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ACD9" w14:textId="6416D305" w:rsidR="002723CE" w:rsidRPr="00F469E4" w:rsidRDefault="002723CE" w:rsidP="000E3CD2">
      <w:pPr>
        <w:jc w:val="both"/>
        <w:rPr>
          <w:b/>
          <w:color w:val="000000" w:themeColor="text1"/>
        </w:rPr>
      </w:pPr>
      <w:bookmarkStart w:id="0" w:name="_GoBack"/>
      <w:bookmarkEnd w:id="0"/>
      <w:r w:rsidRPr="00F469E4">
        <w:rPr>
          <w:b/>
          <w:color w:val="000000" w:themeColor="text1"/>
        </w:rPr>
        <w:t xml:space="preserve">Comments from the Center for Reproductive Rights on the impact of discrimination against </w:t>
      </w:r>
      <w:r w:rsidR="00E407A0" w:rsidRPr="00F469E4">
        <w:rPr>
          <w:b/>
          <w:color w:val="000000" w:themeColor="text1"/>
        </w:rPr>
        <w:t>women and girls</w:t>
      </w:r>
      <w:r w:rsidRPr="00F469E4">
        <w:rPr>
          <w:b/>
          <w:color w:val="000000" w:themeColor="text1"/>
        </w:rPr>
        <w:t xml:space="preserve"> in</w:t>
      </w:r>
      <w:r w:rsidR="00BE25DF" w:rsidRPr="00F469E4">
        <w:rPr>
          <w:b/>
          <w:color w:val="000000" w:themeColor="text1"/>
        </w:rPr>
        <w:t xml:space="preserve"> prison and</w:t>
      </w:r>
      <w:r w:rsidR="004941ED">
        <w:rPr>
          <w:b/>
          <w:color w:val="000000" w:themeColor="text1"/>
        </w:rPr>
        <w:t xml:space="preserve"> detention sub</w:t>
      </w:r>
      <w:r w:rsidRPr="00F469E4">
        <w:rPr>
          <w:b/>
          <w:color w:val="000000" w:themeColor="text1"/>
        </w:rPr>
        <w:t xml:space="preserve">mitted to the Working Group on Discrimination Against </w:t>
      </w:r>
      <w:r w:rsidR="00E407A0" w:rsidRPr="00F469E4">
        <w:rPr>
          <w:b/>
          <w:color w:val="000000" w:themeColor="text1"/>
        </w:rPr>
        <w:t xml:space="preserve">Women </w:t>
      </w:r>
      <w:r w:rsidR="00B11DA0" w:rsidRPr="00F469E4">
        <w:rPr>
          <w:b/>
          <w:color w:val="000000" w:themeColor="text1"/>
        </w:rPr>
        <w:t>in Law and in Practice</w:t>
      </w:r>
    </w:p>
    <w:p w14:paraId="0038B49D" w14:textId="77777777" w:rsidR="002723CE" w:rsidRPr="00F469E4" w:rsidRDefault="002723CE" w:rsidP="004B27B4">
      <w:pPr>
        <w:jc w:val="both"/>
        <w:rPr>
          <w:b/>
          <w:color w:val="000000" w:themeColor="text1"/>
        </w:rPr>
      </w:pPr>
    </w:p>
    <w:p w14:paraId="1A758BDB" w14:textId="2394A44E" w:rsidR="002723CE" w:rsidRPr="00F469E4" w:rsidRDefault="002723CE" w:rsidP="004B27B4">
      <w:pPr>
        <w:pStyle w:val="ListParagraph"/>
        <w:numPr>
          <w:ilvl w:val="0"/>
          <w:numId w:val="1"/>
        </w:numPr>
        <w:jc w:val="both"/>
        <w:rPr>
          <w:bCs/>
          <w:color w:val="000000" w:themeColor="text1"/>
        </w:rPr>
      </w:pPr>
      <w:r w:rsidRPr="00F469E4">
        <w:rPr>
          <w:bCs/>
          <w:color w:val="000000" w:themeColor="text1"/>
        </w:rPr>
        <w:t xml:space="preserve">Introduction </w:t>
      </w:r>
    </w:p>
    <w:p w14:paraId="5371CA72" w14:textId="77777777" w:rsidR="00A0258A" w:rsidRPr="00F469E4" w:rsidRDefault="00A0258A">
      <w:pPr>
        <w:ind w:left="360"/>
        <w:jc w:val="both"/>
        <w:rPr>
          <w:bCs/>
          <w:color w:val="000000" w:themeColor="text1"/>
        </w:rPr>
      </w:pPr>
    </w:p>
    <w:p w14:paraId="2A831978" w14:textId="593BD2D8" w:rsidR="002723CE" w:rsidRPr="00F469E4" w:rsidRDefault="002723CE">
      <w:pPr>
        <w:jc w:val="both"/>
        <w:rPr>
          <w:bCs/>
          <w:color w:val="000000" w:themeColor="text1"/>
        </w:rPr>
      </w:pPr>
      <w:r w:rsidRPr="00F469E4">
        <w:rPr>
          <w:bCs/>
          <w:color w:val="000000" w:themeColor="text1"/>
        </w:rPr>
        <w:t xml:space="preserve">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twenty-five years ago, the Center has advocated for the realization of </w:t>
      </w:r>
      <w:r w:rsidR="00E407A0" w:rsidRPr="00F469E4">
        <w:rPr>
          <w:bCs/>
          <w:color w:val="000000" w:themeColor="text1"/>
        </w:rPr>
        <w:t>women and girls</w:t>
      </w:r>
      <w:r w:rsidRPr="00F469E4">
        <w:rPr>
          <w:bCs/>
          <w:color w:val="000000" w:themeColor="text1"/>
        </w:rPr>
        <w:t xml:space="preserve">’ human rights on a broad range of issues, including the right to </w:t>
      </w:r>
      <w:r w:rsidR="006A2399" w:rsidRPr="00F469E4">
        <w:rPr>
          <w:bCs/>
          <w:color w:val="000000" w:themeColor="text1"/>
        </w:rPr>
        <w:t>sexual and reproductive health</w:t>
      </w:r>
      <w:r w:rsidRPr="00F469E4">
        <w:rPr>
          <w:bCs/>
          <w:color w:val="000000" w:themeColor="text1"/>
        </w:rPr>
        <w:t xml:space="preserve">; preventing and addressing sexual violence; and ending </w:t>
      </w:r>
      <w:r w:rsidR="007E2D23" w:rsidRPr="00F469E4">
        <w:rPr>
          <w:bCs/>
          <w:color w:val="000000" w:themeColor="text1"/>
        </w:rPr>
        <w:t xml:space="preserve">criminalization </w:t>
      </w:r>
      <w:r w:rsidR="005F1E3D">
        <w:rPr>
          <w:bCs/>
          <w:color w:val="000000" w:themeColor="text1"/>
        </w:rPr>
        <w:t>for</w:t>
      </w:r>
      <w:r w:rsidR="005F1E3D" w:rsidRPr="00F469E4">
        <w:rPr>
          <w:bCs/>
          <w:color w:val="000000" w:themeColor="text1"/>
        </w:rPr>
        <w:t xml:space="preserve"> </w:t>
      </w:r>
      <w:r w:rsidR="007E2D23" w:rsidRPr="00F469E4">
        <w:rPr>
          <w:bCs/>
          <w:color w:val="000000" w:themeColor="text1"/>
        </w:rPr>
        <w:t>seeking reproductive health care</w:t>
      </w:r>
      <w:r w:rsidRPr="00F469E4">
        <w:rPr>
          <w:bCs/>
          <w:color w:val="000000" w:themeColor="text1"/>
        </w:rPr>
        <w:t>. We are pleased to provide this submission to</w:t>
      </w:r>
      <w:r w:rsidR="001924A1">
        <w:rPr>
          <w:bCs/>
          <w:color w:val="000000" w:themeColor="text1"/>
        </w:rPr>
        <w:t xml:space="preserve"> the</w:t>
      </w:r>
      <w:r w:rsidRPr="00F469E4">
        <w:rPr>
          <w:bCs/>
          <w:color w:val="000000" w:themeColor="text1"/>
        </w:rPr>
        <w:t xml:space="preserve"> Working Group on Discrimination Against </w:t>
      </w:r>
      <w:r w:rsidR="00E407A0" w:rsidRPr="00F469E4">
        <w:rPr>
          <w:bCs/>
          <w:color w:val="000000" w:themeColor="text1"/>
        </w:rPr>
        <w:t xml:space="preserve">Women </w:t>
      </w:r>
      <w:r w:rsidR="006A2399" w:rsidRPr="00F469E4">
        <w:rPr>
          <w:bCs/>
          <w:color w:val="000000" w:themeColor="text1"/>
        </w:rPr>
        <w:t>in Law and in Practice</w:t>
      </w:r>
      <w:r w:rsidRPr="00F469E4">
        <w:rPr>
          <w:bCs/>
          <w:color w:val="000000" w:themeColor="text1"/>
        </w:rPr>
        <w:t>.</w:t>
      </w:r>
    </w:p>
    <w:p w14:paraId="0D13BD2B" w14:textId="77777777" w:rsidR="00357094" w:rsidRPr="00F469E4" w:rsidRDefault="00357094">
      <w:pPr>
        <w:jc w:val="both"/>
        <w:rPr>
          <w:bCs/>
          <w:color w:val="000000" w:themeColor="text1"/>
        </w:rPr>
      </w:pPr>
    </w:p>
    <w:p w14:paraId="641DCD6F" w14:textId="67148F32" w:rsidR="00BE25DF" w:rsidRPr="00F469E4" w:rsidRDefault="00FE0C19">
      <w:pPr>
        <w:pStyle w:val="xmsonormal"/>
        <w:jc w:val="both"/>
        <w:rPr>
          <w:rFonts w:ascii="Times New Roman" w:hAnsi="Times New Roman" w:cs="Times New Roman"/>
          <w:color w:val="000000" w:themeColor="text1"/>
        </w:rPr>
      </w:pPr>
      <w:r w:rsidRPr="00F469E4">
        <w:rPr>
          <w:rFonts w:ascii="Times New Roman" w:hAnsi="Times New Roman" w:cs="Times New Roman"/>
          <w:color w:val="000000" w:themeColor="text1"/>
        </w:rPr>
        <w:t xml:space="preserve">This submission details different </w:t>
      </w:r>
      <w:r w:rsidR="00013DDD" w:rsidRPr="00F469E4">
        <w:rPr>
          <w:rFonts w:ascii="Times New Roman" w:hAnsi="Times New Roman" w:cs="Times New Roman"/>
          <w:color w:val="000000" w:themeColor="text1"/>
        </w:rPr>
        <w:t xml:space="preserve">ways that deprivation of liberty is often a result of </w:t>
      </w:r>
      <w:r w:rsidR="00E407A0" w:rsidRPr="00F469E4">
        <w:rPr>
          <w:rFonts w:ascii="Times New Roman" w:hAnsi="Times New Roman" w:cs="Times New Roman"/>
          <w:color w:val="000000" w:themeColor="text1"/>
        </w:rPr>
        <w:t>women and girls</w:t>
      </w:r>
      <w:r w:rsidR="00013DDD" w:rsidRPr="00F469E4">
        <w:rPr>
          <w:rFonts w:ascii="Times New Roman" w:hAnsi="Times New Roman" w:cs="Times New Roman"/>
          <w:color w:val="000000" w:themeColor="text1"/>
        </w:rPr>
        <w:t xml:space="preserve"> seeking out reproductive health care. This submission also looks at how other </w:t>
      </w:r>
      <w:r w:rsidR="00E407A0" w:rsidRPr="00F469E4">
        <w:rPr>
          <w:rFonts w:ascii="Times New Roman" w:hAnsi="Times New Roman" w:cs="Times New Roman"/>
          <w:color w:val="000000" w:themeColor="text1"/>
        </w:rPr>
        <w:t>women and girls</w:t>
      </w:r>
      <w:r w:rsidR="00013DDD" w:rsidRPr="00F469E4">
        <w:rPr>
          <w:rFonts w:ascii="Times New Roman" w:hAnsi="Times New Roman" w:cs="Times New Roman"/>
          <w:color w:val="000000" w:themeColor="text1"/>
        </w:rPr>
        <w:t xml:space="preserve"> are deprived of reproductive health care</w:t>
      </w:r>
      <w:r w:rsidR="004945A3" w:rsidRPr="00F469E4">
        <w:rPr>
          <w:rFonts w:ascii="Times New Roman" w:hAnsi="Times New Roman" w:cs="Times New Roman"/>
          <w:color w:val="000000" w:themeColor="text1"/>
        </w:rPr>
        <w:t xml:space="preserve"> </w:t>
      </w:r>
      <w:r w:rsidR="006A2399" w:rsidRPr="00F469E4">
        <w:rPr>
          <w:rFonts w:ascii="Times New Roman" w:hAnsi="Times New Roman" w:cs="Times New Roman"/>
          <w:color w:val="000000" w:themeColor="text1"/>
        </w:rPr>
        <w:t xml:space="preserve">and services </w:t>
      </w:r>
      <w:r w:rsidR="004945A3" w:rsidRPr="00F469E4">
        <w:rPr>
          <w:rFonts w:ascii="Times New Roman" w:hAnsi="Times New Roman" w:cs="Times New Roman"/>
          <w:color w:val="000000" w:themeColor="text1"/>
        </w:rPr>
        <w:t xml:space="preserve">because of the conditions of their detention. </w:t>
      </w:r>
      <w:r w:rsidR="00BE25DF" w:rsidRPr="00F469E4">
        <w:rPr>
          <w:rFonts w:ascii="Times New Roman" w:hAnsi="Times New Roman" w:cs="Times New Roman"/>
          <w:color w:val="000000" w:themeColor="text1"/>
        </w:rPr>
        <w:t>The Center has conducted fact-finding</w:t>
      </w:r>
      <w:r w:rsidR="007C54BA" w:rsidRPr="00F469E4">
        <w:rPr>
          <w:rFonts w:ascii="Times New Roman" w:hAnsi="Times New Roman" w:cs="Times New Roman"/>
          <w:color w:val="000000" w:themeColor="text1"/>
        </w:rPr>
        <w:t xml:space="preserve"> </w:t>
      </w:r>
      <w:r w:rsidR="00BE25DF" w:rsidRPr="00F469E4">
        <w:rPr>
          <w:rFonts w:ascii="Times New Roman" w:hAnsi="Times New Roman" w:cs="Times New Roman"/>
          <w:color w:val="000000" w:themeColor="text1"/>
        </w:rPr>
        <w:t xml:space="preserve">in El Salvador, Honduras, Nepal, </w:t>
      </w:r>
      <w:r w:rsidR="0017144B" w:rsidRPr="00F469E4">
        <w:rPr>
          <w:rFonts w:ascii="Times New Roman" w:hAnsi="Times New Roman" w:cs="Times New Roman"/>
          <w:color w:val="000000" w:themeColor="text1"/>
        </w:rPr>
        <w:t>the Philippin</w:t>
      </w:r>
      <w:r w:rsidR="004945A3" w:rsidRPr="00F469E4">
        <w:rPr>
          <w:rFonts w:ascii="Times New Roman" w:hAnsi="Times New Roman" w:cs="Times New Roman"/>
          <w:color w:val="000000" w:themeColor="text1"/>
        </w:rPr>
        <w:t>e</w:t>
      </w:r>
      <w:r w:rsidR="0017144B" w:rsidRPr="00F469E4">
        <w:rPr>
          <w:rFonts w:ascii="Times New Roman" w:hAnsi="Times New Roman" w:cs="Times New Roman"/>
          <w:color w:val="000000" w:themeColor="text1"/>
        </w:rPr>
        <w:t xml:space="preserve">s, </w:t>
      </w:r>
      <w:r w:rsidR="00BE25DF" w:rsidRPr="00F469E4">
        <w:rPr>
          <w:rFonts w:ascii="Times New Roman" w:hAnsi="Times New Roman" w:cs="Times New Roman"/>
          <w:color w:val="000000" w:themeColor="text1"/>
        </w:rPr>
        <w:t xml:space="preserve">and Rwanda, where </w:t>
      </w:r>
      <w:r w:rsidR="00E407A0" w:rsidRPr="00F469E4">
        <w:rPr>
          <w:rFonts w:ascii="Times New Roman" w:hAnsi="Times New Roman" w:cs="Times New Roman"/>
          <w:color w:val="000000" w:themeColor="text1"/>
        </w:rPr>
        <w:t>women and girls</w:t>
      </w:r>
      <w:r w:rsidR="00BE25DF" w:rsidRPr="00F469E4">
        <w:rPr>
          <w:rFonts w:ascii="Times New Roman" w:hAnsi="Times New Roman" w:cs="Times New Roman"/>
          <w:color w:val="000000" w:themeColor="text1"/>
        </w:rPr>
        <w:t xml:space="preserve"> are prosecuted and sometimes sent to jail for having an abortion. The fear of prosecution </w:t>
      </w:r>
      <w:r w:rsidR="00066EC6" w:rsidRPr="00F469E4">
        <w:rPr>
          <w:rFonts w:ascii="Times New Roman" w:hAnsi="Times New Roman" w:cs="Times New Roman"/>
          <w:color w:val="000000" w:themeColor="text1"/>
        </w:rPr>
        <w:t xml:space="preserve">often deters </w:t>
      </w:r>
      <w:r w:rsidR="00E407A0" w:rsidRPr="00F469E4">
        <w:rPr>
          <w:rFonts w:ascii="Times New Roman" w:hAnsi="Times New Roman" w:cs="Times New Roman"/>
          <w:color w:val="000000" w:themeColor="text1"/>
        </w:rPr>
        <w:t>women and girls</w:t>
      </w:r>
      <w:r w:rsidR="00BE25DF" w:rsidRPr="00F469E4">
        <w:rPr>
          <w:rFonts w:ascii="Times New Roman" w:hAnsi="Times New Roman" w:cs="Times New Roman"/>
          <w:color w:val="000000" w:themeColor="text1"/>
        </w:rPr>
        <w:t xml:space="preserve"> from seeking necessary post-abortion care. In Kenya and Nigeria, the Center has documented cases of </w:t>
      </w:r>
      <w:r w:rsidR="00E407A0" w:rsidRPr="00F469E4">
        <w:rPr>
          <w:rFonts w:ascii="Times New Roman" w:hAnsi="Times New Roman" w:cs="Times New Roman"/>
          <w:color w:val="000000" w:themeColor="text1"/>
        </w:rPr>
        <w:t>women and girls</w:t>
      </w:r>
      <w:r w:rsidR="00BE25DF" w:rsidRPr="00F469E4">
        <w:rPr>
          <w:rFonts w:ascii="Times New Roman" w:hAnsi="Times New Roman" w:cs="Times New Roman"/>
          <w:color w:val="000000" w:themeColor="text1"/>
        </w:rPr>
        <w:t xml:space="preserve"> being detained for inability to pay hospital fees. </w:t>
      </w:r>
      <w:r w:rsidR="008C1429" w:rsidRPr="00F469E4">
        <w:rPr>
          <w:rFonts w:ascii="Times New Roman" w:hAnsi="Times New Roman" w:cs="Times New Roman"/>
          <w:bCs/>
          <w:color w:val="000000" w:themeColor="text1"/>
        </w:rPr>
        <w:t xml:space="preserve">Out of this </w:t>
      </w:r>
      <w:r w:rsidR="004941ED" w:rsidRPr="00F469E4">
        <w:rPr>
          <w:rFonts w:ascii="Times New Roman" w:hAnsi="Times New Roman" w:cs="Times New Roman"/>
          <w:bCs/>
          <w:color w:val="000000" w:themeColor="text1"/>
        </w:rPr>
        <w:t>fact</w:t>
      </w:r>
      <w:r w:rsidR="004941ED">
        <w:rPr>
          <w:rFonts w:ascii="Times New Roman" w:hAnsi="Times New Roman" w:cs="Times New Roman"/>
          <w:bCs/>
          <w:color w:val="000000" w:themeColor="text1"/>
        </w:rPr>
        <w:t>-</w:t>
      </w:r>
      <w:r w:rsidR="008C1429" w:rsidRPr="00F469E4">
        <w:rPr>
          <w:rFonts w:ascii="Times New Roman" w:hAnsi="Times New Roman" w:cs="Times New Roman"/>
          <w:bCs/>
          <w:color w:val="000000" w:themeColor="text1"/>
        </w:rPr>
        <w:t>finding</w:t>
      </w:r>
      <w:r w:rsidR="001924A1">
        <w:rPr>
          <w:rFonts w:ascii="Times New Roman" w:hAnsi="Times New Roman" w:cs="Times New Roman"/>
          <w:bCs/>
          <w:color w:val="000000" w:themeColor="text1"/>
        </w:rPr>
        <w:t>,</w:t>
      </w:r>
      <w:r w:rsidR="008C1429" w:rsidRPr="00F469E4">
        <w:rPr>
          <w:rFonts w:ascii="Times New Roman" w:hAnsi="Times New Roman" w:cs="Times New Roman"/>
          <w:bCs/>
          <w:color w:val="000000" w:themeColor="text1"/>
        </w:rPr>
        <w:t xml:space="preserve"> the Center has litigated cases o</w:t>
      </w:r>
      <w:r w:rsidR="001924A1">
        <w:rPr>
          <w:rFonts w:ascii="Times New Roman" w:hAnsi="Times New Roman" w:cs="Times New Roman"/>
          <w:bCs/>
          <w:color w:val="000000" w:themeColor="text1"/>
        </w:rPr>
        <w:t>f</w:t>
      </w:r>
      <w:r w:rsidR="008C1429" w:rsidRPr="00F469E4">
        <w:rPr>
          <w:rFonts w:ascii="Times New Roman" w:hAnsi="Times New Roman" w:cs="Times New Roman"/>
          <w:bCs/>
          <w:color w:val="000000" w:themeColor="text1"/>
        </w:rPr>
        <w:t xml:space="preserve"> detention of </w:t>
      </w:r>
      <w:r w:rsidR="00E407A0" w:rsidRPr="00F469E4">
        <w:rPr>
          <w:rFonts w:ascii="Times New Roman" w:hAnsi="Times New Roman" w:cs="Times New Roman"/>
          <w:bCs/>
          <w:color w:val="000000" w:themeColor="text1"/>
        </w:rPr>
        <w:t>women and girls</w:t>
      </w:r>
      <w:r w:rsidR="008C1429" w:rsidRPr="00F469E4">
        <w:rPr>
          <w:rFonts w:ascii="Times New Roman" w:hAnsi="Times New Roman" w:cs="Times New Roman"/>
          <w:bCs/>
          <w:color w:val="000000" w:themeColor="text1"/>
        </w:rPr>
        <w:t xml:space="preserve"> post-delivery wherein the detention has resulted in serious health consequences and even death</w:t>
      </w:r>
      <w:r w:rsidR="00BE25DF" w:rsidRPr="00F469E4">
        <w:rPr>
          <w:rFonts w:ascii="Times New Roman" w:hAnsi="Times New Roman" w:cs="Times New Roman"/>
          <w:bCs/>
          <w:color w:val="000000" w:themeColor="text1"/>
        </w:rPr>
        <w:t xml:space="preserve">. </w:t>
      </w:r>
      <w:r w:rsidR="00BE25DF" w:rsidRPr="00F469E4">
        <w:rPr>
          <w:rFonts w:ascii="Times New Roman" w:hAnsi="Times New Roman" w:cs="Times New Roman"/>
          <w:color w:val="000000" w:themeColor="text1"/>
        </w:rPr>
        <w:t>In the United States</w:t>
      </w:r>
      <w:r w:rsidR="006A2399" w:rsidRPr="00F469E4">
        <w:rPr>
          <w:rFonts w:ascii="Times New Roman" w:hAnsi="Times New Roman" w:cs="Times New Roman"/>
          <w:color w:val="000000" w:themeColor="text1"/>
        </w:rPr>
        <w:t xml:space="preserve">, </w:t>
      </w:r>
      <w:r w:rsidR="00E407A0" w:rsidRPr="00F469E4">
        <w:rPr>
          <w:rFonts w:ascii="Times New Roman" w:hAnsi="Times New Roman" w:cs="Times New Roman"/>
          <w:color w:val="000000" w:themeColor="text1"/>
        </w:rPr>
        <w:t>women and girls</w:t>
      </w:r>
      <w:r w:rsidR="00BE25DF" w:rsidRPr="00F469E4">
        <w:rPr>
          <w:rFonts w:ascii="Times New Roman" w:hAnsi="Times New Roman" w:cs="Times New Roman"/>
          <w:color w:val="000000" w:themeColor="text1"/>
        </w:rPr>
        <w:t xml:space="preserve"> who are detained in prisons and immigration detention centers are shackled during </w:t>
      </w:r>
      <w:r w:rsidR="004945A3" w:rsidRPr="00F469E4">
        <w:rPr>
          <w:rFonts w:ascii="Times New Roman" w:hAnsi="Times New Roman" w:cs="Times New Roman"/>
          <w:color w:val="000000" w:themeColor="text1"/>
        </w:rPr>
        <w:t>pregnancy, labor, and delivery</w:t>
      </w:r>
      <w:r w:rsidR="00BE25DF" w:rsidRPr="00F469E4">
        <w:rPr>
          <w:rFonts w:ascii="Times New Roman" w:hAnsi="Times New Roman" w:cs="Times New Roman"/>
          <w:color w:val="000000" w:themeColor="text1"/>
        </w:rPr>
        <w:t xml:space="preserve">, while others are denied access to abortion services. </w:t>
      </w:r>
    </w:p>
    <w:p w14:paraId="0CDB0B0C" w14:textId="77777777" w:rsidR="00BE25DF" w:rsidRPr="00F469E4" w:rsidRDefault="00BE25DF">
      <w:pPr>
        <w:pStyle w:val="xmsonormal"/>
        <w:jc w:val="both"/>
        <w:rPr>
          <w:rFonts w:ascii="Times New Roman" w:hAnsi="Times New Roman" w:cs="Times New Roman"/>
          <w:color w:val="000000" w:themeColor="text1"/>
        </w:rPr>
      </w:pPr>
    </w:p>
    <w:p w14:paraId="3538648D" w14:textId="77777777" w:rsidR="00987B32" w:rsidRPr="00F469E4" w:rsidRDefault="00123F11">
      <w:pPr>
        <w:pStyle w:val="xmsonormal"/>
        <w:numPr>
          <w:ilvl w:val="0"/>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Prose</w:t>
      </w:r>
      <w:r w:rsidR="007C54BA" w:rsidRPr="00F469E4">
        <w:rPr>
          <w:rFonts w:ascii="Times New Roman" w:hAnsi="Times New Roman" w:cs="Times New Roman"/>
          <w:color w:val="000000" w:themeColor="text1"/>
        </w:rPr>
        <w:t xml:space="preserve">cuted and </w:t>
      </w:r>
      <w:r w:rsidR="004945A3" w:rsidRPr="00F469E4">
        <w:rPr>
          <w:rFonts w:ascii="Times New Roman" w:hAnsi="Times New Roman" w:cs="Times New Roman"/>
          <w:color w:val="000000" w:themeColor="text1"/>
        </w:rPr>
        <w:t xml:space="preserve">imprisoned </w:t>
      </w:r>
      <w:r w:rsidRPr="00F469E4">
        <w:rPr>
          <w:rFonts w:ascii="Times New Roman" w:hAnsi="Times New Roman" w:cs="Times New Roman"/>
          <w:color w:val="000000" w:themeColor="text1"/>
        </w:rPr>
        <w:t xml:space="preserve">for having </w:t>
      </w:r>
      <w:r w:rsidR="007C54BA" w:rsidRPr="00F469E4">
        <w:rPr>
          <w:rFonts w:ascii="Times New Roman" w:hAnsi="Times New Roman" w:cs="Times New Roman"/>
          <w:color w:val="000000" w:themeColor="text1"/>
        </w:rPr>
        <w:t>abortion</w:t>
      </w:r>
    </w:p>
    <w:p w14:paraId="6CFEF382" w14:textId="77777777" w:rsidR="007C54BA" w:rsidRPr="00F469E4" w:rsidRDefault="007C54BA">
      <w:pPr>
        <w:pStyle w:val="xmsonormal"/>
        <w:jc w:val="both"/>
        <w:rPr>
          <w:rFonts w:ascii="Times New Roman" w:hAnsi="Times New Roman" w:cs="Times New Roman"/>
          <w:color w:val="000000" w:themeColor="text1"/>
        </w:rPr>
      </w:pPr>
    </w:p>
    <w:p w14:paraId="0BD0A56F" w14:textId="5AE84E2D" w:rsidR="007C54BA" w:rsidRPr="00F469E4" w:rsidRDefault="0017748F">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El Salvador</w:t>
      </w:r>
    </w:p>
    <w:p w14:paraId="5FD20511" w14:textId="77777777" w:rsidR="00824303" w:rsidRPr="00F469E4" w:rsidRDefault="00824303">
      <w:pPr>
        <w:pStyle w:val="Lindas3"/>
        <w:numPr>
          <w:ilvl w:val="0"/>
          <w:numId w:val="0"/>
        </w:numPr>
        <w:spacing w:before="0" w:after="0" w:line="240" w:lineRule="auto"/>
        <w:rPr>
          <w:color w:val="000000" w:themeColor="text1"/>
        </w:rPr>
      </w:pPr>
    </w:p>
    <w:p w14:paraId="5046D5FF" w14:textId="41E21F32" w:rsidR="006D00F8" w:rsidRPr="00F469E4" w:rsidRDefault="0038157E">
      <w:pPr>
        <w:pStyle w:val="Lindas3"/>
        <w:numPr>
          <w:ilvl w:val="0"/>
          <w:numId w:val="0"/>
        </w:numPr>
        <w:spacing w:before="0" w:after="0" w:line="240" w:lineRule="auto"/>
      </w:pPr>
      <w:r w:rsidRPr="00F469E4">
        <w:t>Before 1998, El Salvador allowed abortion</w:t>
      </w:r>
      <w:r w:rsidR="004945A3" w:rsidRPr="00F469E4">
        <w:t xml:space="preserve"> only on specific grounds</w:t>
      </w:r>
      <w:r w:rsidRPr="00F469E4">
        <w:t>.</w:t>
      </w:r>
      <w:r w:rsidR="004945A3" w:rsidRPr="00F469E4">
        <w:rPr>
          <w:rStyle w:val="EndnoteReference"/>
        </w:rPr>
        <w:endnoteReference w:id="1"/>
      </w:r>
      <w:r w:rsidRPr="00F469E4">
        <w:t xml:space="preserve"> El Salvador enacted a new Criminal Code in 1998 criminalizing abortion under any circumstances.</w:t>
      </w:r>
      <w:r w:rsidR="004945A3" w:rsidRPr="00F469E4">
        <w:rPr>
          <w:rStyle w:val="EndnoteReference"/>
        </w:rPr>
        <w:endnoteReference w:id="2"/>
      </w:r>
      <w:r w:rsidRPr="00F469E4">
        <w:t xml:space="preserve"> It also criminalizes health professionals, working either in hospitals or clinics, who perform abortion.</w:t>
      </w:r>
      <w:r w:rsidR="00744BCA" w:rsidRPr="00F469E4">
        <w:rPr>
          <w:rStyle w:val="EndnoteReference"/>
        </w:rPr>
        <w:endnoteReference w:id="3"/>
      </w:r>
      <w:r w:rsidRPr="00F469E4">
        <w:t xml:space="preserve"> The Criminal Code also provides that health professionals must report to the authorities a pregnant woman or an adolescent girl whenever they suspect that they may have had, or attempted to have, an abortion.</w:t>
      </w:r>
      <w:r w:rsidR="00985780" w:rsidRPr="00F469E4">
        <w:t xml:space="preserve"> </w:t>
      </w:r>
      <w:r w:rsidR="00774FD8" w:rsidRPr="00F469E4">
        <w:t>El Salvador further amended its Constitution in 1999 to recognize an embryo as a human being from “</w:t>
      </w:r>
      <w:r w:rsidR="00774FD8" w:rsidRPr="00F469E4">
        <w:rPr>
          <w:i/>
        </w:rPr>
        <w:t>the moment of conception</w:t>
      </w:r>
      <w:r w:rsidR="00774FD8" w:rsidRPr="00F469E4">
        <w:t>.”</w:t>
      </w:r>
      <w:r w:rsidR="00774FD8" w:rsidRPr="00F469E4">
        <w:rPr>
          <w:rStyle w:val="EndnoteReference"/>
        </w:rPr>
        <w:endnoteReference w:id="4"/>
      </w:r>
      <w:r w:rsidR="00774FD8" w:rsidRPr="00F469E4">
        <w:t xml:space="preserve"> A person who performs or self-induces an abortion </w:t>
      </w:r>
      <w:r w:rsidR="003C227A" w:rsidRPr="00F469E4">
        <w:t xml:space="preserve">can be </w:t>
      </w:r>
      <w:r w:rsidR="00774FD8" w:rsidRPr="00F469E4">
        <w:t>prosecuted for homicide, facing imprisonment of up to 50 years.</w:t>
      </w:r>
      <w:r w:rsidR="00774FD8" w:rsidRPr="00F469E4">
        <w:rPr>
          <w:rStyle w:val="EndnoteReference"/>
        </w:rPr>
        <w:endnoteReference w:id="5"/>
      </w:r>
      <w:r w:rsidR="00985780" w:rsidRPr="00F469E4">
        <w:t xml:space="preserve"> </w:t>
      </w:r>
      <w:r w:rsidR="00E407A0" w:rsidRPr="00F469E4">
        <w:t>Women and girls</w:t>
      </w:r>
      <w:r w:rsidR="00744BCA" w:rsidRPr="00F469E4">
        <w:t xml:space="preserve"> who seek out medical care after suffering obstetric emergencies, including miscarriage or stillbirth, risk being reported to the authorities and prosecuted; as a result, many choose not to seek out necessary care</w:t>
      </w:r>
      <w:r w:rsidR="00985780" w:rsidRPr="00F469E4">
        <w:t>.</w:t>
      </w:r>
    </w:p>
    <w:p w14:paraId="69E38D77" w14:textId="3AC5AE80" w:rsidR="00270D76" w:rsidRDefault="00270D76">
      <w:pPr>
        <w:pStyle w:val="WBodyText"/>
        <w:spacing w:after="0" w:line="240" w:lineRule="auto"/>
        <w:rPr>
          <w:rFonts w:ascii="Times New Roman" w:hAnsi="Times New Roman"/>
          <w:sz w:val="24"/>
          <w:lang w:val="en-US"/>
        </w:rPr>
      </w:pPr>
    </w:p>
    <w:p w14:paraId="21394588" w14:textId="47126AAF" w:rsidR="00CF4C91" w:rsidRPr="00F469E4" w:rsidRDefault="00CF4C91">
      <w:pPr>
        <w:pStyle w:val="Lindas3"/>
        <w:numPr>
          <w:ilvl w:val="0"/>
          <w:numId w:val="0"/>
        </w:numPr>
        <w:spacing w:before="0" w:after="0" w:line="240" w:lineRule="auto"/>
        <w:rPr>
          <w:lang w:val="en"/>
        </w:rPr>
      </w:pPr>
      <w:r w:rsidRPr="00F469E4">
        <w:rPr>
          <w:color w:val="000000" w:themeColor="text1"/>
        </w:rPr>
        <w:lastRenderedPageBreak/>
        <w:t>Between 2000 and mid-2011, an estimated 129 women and girls in El Salvador were charged with self-inducing an abortion</w:t>
      </w:r>
      <w:r w:rsidR="004941ED">
        <w:rPr>
          <w:color w:val="000000" w:themeColor="text1"/>
        </w:rPr>
        <w:t>. O</w:t>
      </w:r>
      <w:r w:rsidRPr="00F469E4">
        <w:rPr>
          <w:color w:val="000000" w:themeColor="text1"/>
        </w:rPr>
        <w:t>f those</w:t>
      </w:r>
      <w:r w:rsidR="004941ED">
        <w:rPr>
          <w:color w:val="000000" w:themeColor="text1"/>
        </w:rPr>
        <w:t>,</w:t>
      </w:r>
      <w:r w:rsidRPr="00F469E4">
        <w:rPr>
          <w:color w:val="000000" w:themeColor="text1"/>
        </w:rPr>
        <w:t xml:space="preserve"> 26 were prosecuted and found guilty of having an abortion.</w:t>
      </w:r>
      <w:r w:rsidRPr="00F469E4">
        <w:rPr>
          <w:rStyle w:val="EndnoteReference"/>
          <w:color w:val="000000" w:themeColor="text1"/>
        </w:rPr>
        <w:endnoteReference w:id="6"/>
      </w:r>
      <w:r w:rsidRPr="00F469E4">
        <w:rPr>
          <w:color w:val="000000" w:themeColor="text1"/>
        </w:rPr>
        <w:t xml:space="preserve"> </w:t>
      </w:r>
      <w:r w:rsidRPr="00F469E4">
        <w:rPr>
          <w:color w:val="000000" w:themeColor="text1"/>
          <w:lang w:val="en"/>
        </w:rPr>
        <w:t>During prison visits, Center researchers documented the case of Maritza de Jesus Gonzalez, who had an obstetric emergency and was sentenced to 30 years in prison.</w:t>
      </w:r>
      <w:r w:rsidRPr="00F469E4">
        <w:rPr>
          <w:rStyle w:val="EndnoteReference"/>
          <w:color w:val="000000" w:themeColor="text1"/>
          <w:lang w:val="en"/>
        </w:rPr>
        <w:endnoteReference w:id="7"/>
      </w:r>
      <w:r w:rsidRPr="00F469E4">
        <w:rPr>
          <w:color w:val="000000" w:themeColor="text1"/>
          <w:lang w:val="en"/>
        </w:rPr>
        <w:t xml:space="preserve"> At the time of imprisonment, she was pregnant with twins. While in prison at </w:t>
      </w:r>
      <w:r w:rsidRPr="00F469E4">
        <w:rPr>
          <w:i/>
          <w:color w:val="000000" w:themeColor="text1"/>
          <w:lang w:val="en"/>
        </w:rPr>
        <w:t>Ilopango</w:t>
      </w:r>
      <w:r w:rsidRPr="00F469E4">
        <w:rPr>
          <w:color w:val="000000" w:themeColor="text1"/>
          <w:lang w:val="en"/>
        </w:rPr>
        <w:t xml:space="preserve">, she gave birth to the twins but one of the babies died. She was later transferred to </w:t>
      </w:r>
      <w:r w:rsidRPr="00F469E4">
        <w:rPr>
          <w:i/>
          <w:color w:val="000000" w:themeColor="text1"/>
          <w:lang w:val="en"/>
        </w:rPr>
        <w:t>Centro Penitenciario La Granja de Izalco</w:t>
      </w:r>
      <w:r w:rsidRPr="00F469E4">
        <w:rPr>
          <w:color w:val="000000" w:themeColor="text1"/>
          <w:lang w:val="en"/>
        </w:rPr>
        <w:t>, the maternal detention center, with her other baby</w:t>
      </w:r>
      <w:r w:rsidR="004941ED">
        <w:rPr>
          <w:color w:val="000000" w:themeColor="text1"/>
          <w:lang w:val="en"/>
        </w:rPr>
        <w:t>,</w:t>
      </w:r>
      <w:r w:rsidRPr="00F469E4">
        <w:rPr>
          <w:color w:val="000000" w:themeColor="text1"/>
          <w:lang w:val="en"/>
        </w:rPr>
        <w:t xml:space="preserve"> who received inadequate health care. Maritza’s story is similar to many others who are detained in prisons with insufficient </w:t>
      </w:r>
      <w:r w:rsidRPr="00F469E4">
        <w:rPr>
          <w:lang w:val="en"/>
        </w:rPr>
        <w:t>medication stock, undrinkable water, and lack of access to medical care.</w:t>
      </w:r>
      <w:r w:rsidRPr="00F469E4">
        <w:rPr>
          <w:rStyle w:val="EndnoteReference"/>
          <w:color w:val="000000" w:themeColor="text1"/>
          <w:lang w:val="en"/>
        </w:rPr>
        <w:endnoteReference w:id="8"/>
      </w:r>
    </w:p>
    <w:p w14:paraId="4CC44935" w14:textId="77777777" w:rsidR="00CF4C91" w:rsidRPr="00F469E4" w:rsidRDefault="00CF4C91">
      <w:pPr>
        <w:pStyle w:val="WBodyText"/>
        <w:spacing w:after="0" w:line="240" w:lineRule="auto"/>
        <w:rPr>
          <w:rFonts w:ascii="Times New Roman" w:hAnsi="Times New Roman"/>
          <w:sz w:val="24"/>
          <w:lang w:val="en-US"/>
        </w:rPr>
      </w:pPr>
    </w:p>
    <w:p w14:paraId="0C28C250" w14:textId="2F0E1CC3" w:rsidR="005B1254" w:rsidRPr="00F469E4" w:rsidRDefault="006D00F8">
      <w:pPr>
        <w:pStyle w:val="WBodyText"/>
        <w:spacing w:after="0" w:line="240" w:lineRule="auto"/>
        <w:rPr>
          <w:rFonts w:ascii="Times New Roman" w:hAnsi="Times New Roman"/>
          <w:sz w:val="24"/>
          <w:lang w:val="en-US"/>
        </w:rPr>
      </w:pPr>
      <w:r w:rsidRPr="00F469E4">
        <w:rPr>
          <w:rFonts w:ascii="Times New Roman" w:hAnsi="Times New Roman"/>
          <w:sz w:val="24"/>
          <w:lang w:val="en-US"/>
        </w:rPr>
        <w:t xml:space="preserve">The international human rights community has repeatedly called on El Salvador to liberalize its abortion law. For instance, in 2007, the UN Committee on Economic, Social and Cultural Rights (CESCR Committee) expressed concern at the discrimination faced by women in El Salvador and the illegality of abortion leading to clandestine abortions being among the principal causes of </w:t>
      </w:r>
      <w:r w:rsidR="004941ED">
        <w:rPr>
          <w:rFonts w:ascii="Times New Roman" w:hAnsi="Times New Roman"/>
          <w:sz w:val="24"/>
          <w:lang w:val="en-US"/>
        </w:rPr>
        <w:t>death among women</w:t>
      </w:r>
      <w:r w:rsidRPr="00F469E4">
        <w:rPr>
          <w:rFonts w:ascii="Times New Roman" w:hAnsi="Times New Roman"/>
          <w:sz w:val="24"/>
          <w:lang w:val="en-US"/>
        </w:rPr>
        <w:t xml:space="preserve">, urging </w:t>
      </w:r>
      <w:r w:rsidR="00F469E4">
        <w:rPr>
          <w:rFonts w:ascii="Times New Roman" w:hAnsi="Times New Roman"/>
          <w:sz w:val="24"/>
          <w:lang w:val="en-US"/>
        </w:rPr>
        <w:t>the state</w:t>
      </w:r>
      <w:r w:rsidRPr="00F469E4">
        <w:rPr>
          <w:rFonts w:ascii="Times New Roman" w:hAnsi="Times New Roman"/>
          <w:sz w:val="24"/>
          <w:lang w:val="en-US"/>
        </w:rPr>
        <w:t xml:space="preserve"> to reform and consider exemptions to its abortion legislation.</w:t>
      </w:r>
      <w:r w:rsidRPr="00F469E4">
        <w:rPr>
          <w:rStyle w:val="EndnoteReference"/>
          <w:rFonts w:ascii="Times New Roman" w:hAnsi="Times New Roman"/>
          <w:sz w:val="24"/>
          <w:lang w:val="en-US"/>
        </w:rPr>
        <w:endnoteReference w:id="9"/>
      </w:r>
      <w:r w:rsidRPr="00F469E4">
        <w:rPr>
          <w:rFonts w:ascii="Times New Roman" w:hAnsi="Times New Roman"/>
          <w:sz w:val="24"/>
          <w:lang w:val="en-US"/>
        </w:rPr>
        <w:t xml:space="preserve"> In 2014, the CESCR </w:t>
      </w:r>
      <w:r w:rsidR="001924A1">
        <w:rPr>
          <w:rFonts w:ascii="Times New Roman" w:hAnsi="Times New Roman"/>
          <w:sz w:val="24"/>
          <w:lang w:val="en-US"/>
        </w:rPr>
        <w:t xml:space="preserve">Committee </w:t>
      </w:r>
      <w:r w:rsidRPr="00F469E4">
        <w:rPr>
          <w:rFonts w:ascii="Times New Roman" w:hAnsi="Times New Roman"/>
          <w:sz w:val="24"/>
          <w:lang w:val="en-US"/>
        </w:rPr>
        <w:t xml:space="preserve">reiterated its concern at the continuing total criminalization of abortion, noting that </w:t>
      </w:r>
      <w:r w:rsidR="006443BD">
        <w:rPr>
          <w:rFonts w:ascii="Times New Roman" w:hAnsi="Times New Roman"/>
          <w:sz w:val="24"/>
          <w:lang w:val="en-US"/>
        </w:rPr>
        <w:t>the ban</w:t>
      </w:r>
      <w:r w:rsidRPr="00F469E4">
        <w:rPr>
          <w:rFonts w:ascii="Times New Roman" w:hAnsi="Times New Roman"/>
          <w:sz w:val="24"/>
          <w:lang w:val="en-US"/>
        </w:rPr>
        <w:t xml:space="preserve"> affected “poor and less educated women in particular.”</w:t>
      </w:r>
      <w:r w:rsidRPr="00F469E4">
        <w:rPr>
          <w:rStyle w:val="EndnoteReference"/>
          <w:rFonts w:ascii="Times New Roman" w:hAnsi="Times New Roman"/>
          <w:sz w:val="24"/>
          <w:lang w:val="en-US"/>
        </w:rPr>
        <w:endnoteReference w:id="10"/>
      </w:r>
      <w:r w:rsidRPr="00F469E4">
        <w:rPr>
          <w:rFonts w:ascii="Times New Roman" w:hAnsi="Times New Roman"/>
          <w:sz w:val="24"/>
          <w:lang w:val="en-US"/>
        </w:rPr>
        <w:t xml:space="preserve"> </w:t>
      </w:r>
      <w:r w:rsidR="003A5603" w:rsidRPr="00F469E4">
        <w:rPr>
          <w:rFonts w:ascii="Times New Roman" w:hAnsi="Times New Roman"/>
          <w:sz w:val="24"/>
          <w:lang w:val="en-US"/>
        </w:rPr>
        <w:t>T</w:t>
      </w:r>
      <w:r w:rsidR="005B1254" w:rsidRPr="00F469E4">
        <w:rPr>
          <w:rFonts w:ascii="Times New Roman" w:hAnsi="Times New Roman"/>
          <w:sz w:val="24"/>
          <w:lang w:val="en-US"/>
        </w:rPr>
        <w:t xml:space="preserve">he </w:t>
      </w:r>
      <w:r w:rsidRPr="00F469E4">
        <w:rPr>
          <w:rFonts w:ascii="Times New Roman" w:hAnsi="Times New Roman"/>
          <w:sz w:val="24"/>
          <w:lang w:val="en-US"/>
        </w:rPr>
        <w:t>Committee on the Elimination of All Forms of Discrimination against Women (CEDAW Committee)</w:t>
      </w:r>
      <w:r w:rsidR="005B1254" w:rsidRPr="00F469E4">
        <w:rPr>
          <w:rFonts w:ascii="Times New Roman" w:hAnsi="Times New Roman"/>
          <w:sz w:val="24"/>
          <w:lang w:val="en-US"/>
        </w:rPr>
        <w:t xml:space="preserve"> </w:t>
      </w:r>
      <w:r w:rsidR="003A5603" w:rsidRPr="00F469E4">
        <w:rPr>
          <w:rFonts w:ascii="Times New Roman" w:hAnsi="Times New Roman"/>
          <w:sz w:val="24"/>
          <w:lang w:val="en-US"/>
        </w:rPr>
        <w:t>has also</w:t>
      </w:r>
      <w:r w:rsidRPr="00F469E4">
        <w:rPr>
          <w:rFonts w:ascii="Times New Roman" w:hAnsi="Times New Roman"/>
          <w:sz w:val="24"/>
          <w:lang w:val="en-US"/>
        </w:rPr>
        <w:t xml:space="preserve"> </w:t>
      </w:r>
      <w:r w:rsidR="005B1254" w:rsidRPr="00F469E4">
        <w:rPr>
          <w:rFonts w:ascii="Times New Roman" w:hAnsi="Times New Roman"/>
          <w:sz w:val="24"/>
          <w:lang w:val="en-US"/>
        </w:rPr>
        <w:t>called on</w:t>
      </w:r>
      <w:r w:rsidRPr="00F469E4">
        <w:rPr>
          <w:rFonts w:ascii="Times New Roman" w:hAnsi="Times New Roman"/>
          <w:sz w:val="24"/>
          <w:lang w:val="en-US"/>
        </w:rPr>
        <w:t xml:space="preserve"> El Salvador </w:t>
      </w:r>
      <w:r w:rsidR="005B1254" w:rsidRPr="00F469E4">
        <w:rPr>
          <w:rFonts w:ascii="Times New Roman" w:hAnsi="Times New Roman"/>
          <w:sz w:val="24"/>
          <w:lang w:val="en-US"/>
        </w:rPr>
        <w:t xml:space="preserve">to </w:t>
      </w:r>
      <w:r w:rsidRPr="00F469E4">
        <w:rPr>
          <w:rFonts w:ascii="Times New Roman" w:hAnsi="Times New Roman"/>
          <w:sz w:val="24"/>
          <w:lang w:val="en-US"/>
        </w:rPr>
        <w:t>overturn its legislation criminalizing abortion and strengthen measures to ensure access to sexual and reproductive health services.</w:t>
      </w:r>
      <w:r w:rsidRPr="00F469E4">
        <w:rPr>
          <w:rStyle w:val="EndnoteReference"/>
          <w:rFonts w:ascii="Times New Roman" w:hAnsi="Times New Roman"/>
          <w:sz w:val="24"/>
          <w:lang w:val="en-US"/>
        </w:rPr>
        <w:endnoteReference w:id="11"/>
      </w:r>
      <w:r w:rsidRPr="00F469E4">
        <w:rPr>
          <w:rFonts w:ascii="Times New Roman" w:hAnsi="Times New Roman"/>
          <w:sz w:val="24"/>
          <w:lang w:val="en-US"/>
        </w:rPr>
        <w:t xml:space="preserve"> </w:t>
      </w:r>
    </w:p>
    <w:p w14:paraId="01DD9A7E" w14:textId="77777777" w:rsidR="005B1254" w:rsidRPr="00F469E4" w:rsidRDefault="005B1254">
      <w:pPr>
        <w:pStyle w:val="WBodyText"/>
        <w:spacing w:after="0" w:line="240" w:lineRule="auto"/>
        <w:rPr>
          <w:rFonts w:ascii="Times New Roman" w:hAnsi="Times New Roman"/>
          <w:sz w:val="24"/>
          <w:lang w:val="en-US"/>
        </w:rPr>
      </w:pPr>
    </w:p>
    <w:p w14:paraId="553EA879" w14:textId="53BF8D02" w:rsidR="00824303" w:rsidRPr="00CF4C91" w:rsidRDefault="005B1254">
      <w:pPr>
        <w:pStyle w:val="WBodyText"/>
        <w:spacing w:after="0" w:line="240" w:lineRule="auto"/>
      </w:pPr>
      <w:r w:rsidRPr="00F469E4">
        <w:rPr>
          <w:rFonts w:ascii="Times New Roman" w:hAnsi="Times New Roman"/>
          <w:sz w:val="24"/>
          <w:lang w:val="en-US"/>
        </w:rPr>
        <w:t>Furthermore, o</w:t>
      </w:r>
      <w:r w:rsidR="006D00F8" w:rsidRPr="00F469E4">
        <w:rPr>
          <w:rFonts w:ascii="Times New Roman" w:hAnsi="Times New Roman"/>
          <w:sz w:val="24"/>
          <w:lang w:val="en-US"/>
        </w:rPr>
        <w:t xml:space="preserve">n </w:t>
      </w:r>
      <w:r w:rsidR="004941ED">
        <w:rPr>
          <w:rFonts w:ascii="Times New Roman" w:hAnsi="Times New Roman"/>
          <w:sz w:val="24"/>
          <w:lang w:val="en-US"/>
        </w:rPr>
        <w:t>December 17,</w:t>
      </w:r>
      <w:r w:rsidR="006D00F8" w:rsidRPr="00F469E4">
        <w:rPr>
          <w:rFonts w:ascii="Times New Roman" w:hAnsi="Times New Roman"/>
          <w:sz w:val="24"/>
          <w:lang w:val="en-US"/>
        </w:rPr>
        <w:t xml:space="preserve"> 2014, the UN Human Rights Council Working Group on the Universal Periodic Review submitted its Report on El Salvador,</w:t>
      </w:r>
      <w:r w:rsidR="006D00F8" w:rsidRPr="00F469E4">
        <w:rPr>
          <w:rStyle w:val="EndnoteReference"/>
          <w:rFonts w:ascii="Times New Roman" w:hAnsi="Times New Roman"/>
          <w:sz w:val="24"/>
          <w:lang w:val="en-US"/>
        </w:rPr>
        <w:endnoteReference w:id="12"/>
      </w:r>
      <w:r w:rsidR="006D00F8" w:rsidRPr="00F469E4">
        <w:rPr>
          <w:rFonts w:ascii="Times New Roman" w:hAnsi="Times New Roman"/>
          <w:sz w:val="24"/>
          <w:lang w:val="en-US"/>
        </w:rPr>
        <w:t xml:space="preserve"> calling on El Salvador to decriminalize life-saving abortion and abortion in the cases of pregnancies resulting from rape or incest</w:t>
      </w:r>
      <w:r w:rsidR="004941ED">
        <w:rPr>
          <w:rFonts w:ascii="Times New Roman" w:hAnsi="Times New Roman"/>
          <w:sz w:val="24"/>
          <w:lang w:val="en-US"/>
        </w:rPr>
        <w:t>;</w:t>
      </w:r>
      <w:r w:rsidR="00053B98">
        <w:rPr>
          <w:rFonts w:ascii="Times New Roman" w:hAnsi="Times New Roman"/>
          <w:sz w:val="24"/>
          <w:lang w:val="en-US"/>
        </w:rPr>
        <w:t xml:space="preserve"> to</w:t>
      </w:r>
      <w:r w:rsidR="006D00F8" w:rsidRPr="00F469E4">
        <w:rPr>
          <w:rFonts w:ascii="Times New Roman" w:hAnsi="Times New Roman"/>
          <w:sz w:val="24"/>
          <w:lang w:val="en-US"/>
        </w:rPr>
        <w:t xml:space="preserve"> immediately and unconditionally releas</w:t>
      </w:r>
      <w:r w:rsidR="004941ED">
        <w:rPr>
          <w:rFonts w:ascii="Times New Roman" w:hAnsi="Times New Roman"/>
          <w:sz w:val="24"/>
          <w:lang w:val="en-US"/>
        </w:rPr>
        <w:t>e</w:t>
      </w:r>
      <w:r w:rsidR="006D00F8" w:rsidRPr="00F469E4">
        <w:rPr>
          <w:rFonts w:ascii="Times New Roman" w:hAnsi="Times New Roman"/>
          <w:sz w:val="24"/>
          <w:lang w:val="en-US"/>
        </w:rPr>
        <w:t xml:space="preserve"> all women and girls incarcerated for having undergone an abortion, or for having endured one spontaneously</w:t>
      </w:r>
      <w:r w:rsidR="004941ED">
        <w:rPr>
          <w:rFonts w:ascii="Times New Roman" w:hAnsi="Times New Roman"/>
          <w:sz w:val="24"/>
          <w:lang w:val="en-US"/>
        </w:rPr>
        <w:t>;</w:t>
      </w:r>
      <w:r w:rsidR="006D00F8" w:rsidRPr="00F469E4">
        <w:rPr>
          <w:rFonts w:ascii="Times New Roman" w:hAnsi="Times New Roman"/>
          <w:sz w:val="24"/>
          <w:lang w:val="en-US"/>
        </w:rPr>
        <w:t xml:space="preserve"> and </w:t>
      </w:r>
      <w:r w:rsidR="004941ED">
        <w:rPr>
          <w:rFonts w:ascii="Times New Roman" w:hAnsi="Times New Roman"/>
          <w:sz w:val="24"/>
          <w:lang w:val="en-US"/>
        </w:rPr>
        <w:t xml:space="preserve">to remove </w:t>
      </w:r>
      <w:r w:rsidR="006D00F8" w:rsidRPr="00F469E4">
        <w:rPr>
          <w:rFonts w:ascii="Times New Roman" w:hAnsi="Times New Roman"/>
          <w:sz w:val="24"/>
          <w:lang w:val="en-US"/>
        </w:rPr>
        <w:t>their criminal records.</w:t>
      </w:r>
      <w:r w:rsidR="006D00F8" w:rsidRPr="00F469E4">
        <w:rPr>
          <w:rStyle w:val="EndnoteReference"/>
          <w:rFonts w:ascii="Times New Roman" w:hAnsi="Times New Roman"/>
          <w:sz w:val="24"/>
          <w:lang w:val="en-US"/>
        </w:rPr>
        <w:endnoteReference w:id="13"/>
      </w:r>
      <w:r w:rsidR="006D00F8" w:rsidRPr="00F469E4">
        <w:rPr>
          <w:rFonts w:ascii="Times New Roman" w:hAnsi="Times New Roman"/>
          <w:sz w:val="24"/>
          <w:lang w:val="en-US"/>
        </w:rPr>
        <w:t xml:space="preserve"> In December 2017, the </w:t>
      </w:r>
      <w:r w:rsidR="006D00F8" w:rsidRPr="00F469E4">
        <w:rPr>
          <w:rStyle w:val="h2"/>
          <w:rFonts w:ascii="Times New Roman" w:hAnsi="Times New Roman"/>
          <w:sz w:val="24"/>
          <w:lang w:val="en-US"/>
        </w:rPr>
        <w:t>UN High Commissioner for Human Rights, Mr</w:t>
      </w:r>
      <w:r w:rsidR="004941ED">
        <w:rPr>
          <w:rStyle w:val="h2"/>
          <w:rFonts w:ascii="Times New Roman" w:hAnsi="Times New Roman"/>
          <w:sz w:val="24"/>
          <w:lang w:val="en-US"/>
        </w:rPr>
        <w:t>.</w:t>
      </w:r>
      <w:r w:rsidR="006D00F8" w:rsidRPr="00F469E4">
        <w:rPr>
          <w:rStyle w:val="h2"/>
          <w:rFonts w:ascii="Times New Roman" w:hAnsi="Times New Roman"/>
          <w:sz w:val="24"/>
          <w:lang w:val="en-US"/>
        </w:rPr>
        <w:t xml:space="preserve"> Zeid Ra’ad Al Hussein, issued a statement urging El Salvador “to</w:t>
      </w:r>
      <w:r w:rsidR="006D00F8" w:rsidRPr="00F469E4">
        <w:rPr>
          <w:rFonts w:ascii="Times New Roman" w:hAnsi="Times New Roman"/>
          <w:sz w:val="24"/>
          <w:lang w:val="en-US"/>
        </w:rPr>
        <w:t xml:space="preserve"> launch a moratorium on the application of article 133 of the Penal Code, and review all cases where women have been detained for abortion-related offences, with the aim of ensuring compliance with due process and fair trial standards.”</w:t>
      </w:r>
      <w:r w:rsidR="006D00F8" w:rsidRPr="00F469E4">
        <w:rPr>
          <w:rStyle w:val="EndnoteReference"/>
          <w:rFonts w:ascii="Times New Roman" w:hAnsi="Times New Roman"/>
          <w:sz w:val="24"/>
          <w:lang w:val="en-US"/>
        </w:rPr>
        <w:endnoteReference w:id="14"/>
      </w:r>
      <w:r w:rsidR="006D00F8" w:rsidRPr="00F469E4">
        <w:rPr>
          <w:rFonts w:ascii="Times New Roman" w:hAnsi="Times New Roman"/>
          <w:sz w:val="24"/>
          <w:lang w:val="en-US"/>
        </w:rPr>
        <w:t xml:space="preserve"> Finally, in March 2018, the </w:t>
      </w:r>
      <w:r w:rsidR="006D00F8" w:rsidRPr="00F469E4">
        <w:rPr>
          <w:rFonts w:ascii="Times New Roman" w:hAnsi="Times New Roman"/>
          <w:bCs w:val="0"/>
          <w:sz w:val="24"/>
          <w:lang w:val="en-US"/>
        </w:rPr>
        <w:t>Inter-American Commission on Human Rights called on El Salvador to review carefully the convictions of at least 26 women and to amend the legislation that currently bans abortion in all circumstances, to bring it into line with international human rights law.</w:t>
      </w:r>
      <w:r w:rsidR="006D00F8" w:rsidRPr="00F469E4">
        <w:rPr>
          <w:rStyle w:val="EndnoteReference"/>
          <w:rFonts w:ascii="Times New Roman" w:hAnsi="Times New Roman"/>
          <w:bCs w:val="0"/>
          <w:sz w:val="24"/>
          <w:lang w:val="en-US"/>
        </w:rPr>
        <w:endnoteReference w:id="15"/>
      </w:r>
      <w:r w:rsidR="006D00F8" w:rsidRPr="00F469E4">
        <w:rPr>
          <w:rFonts w:ascii="Times New Roman" w:hAnsi="Times New Roman"/>
          <w:bCs w:val="0"/>
          <w:sz w:val="24"/>
          <w:lang w:val="en-US"/>
        </w:rPr>
        <w:t xml:space="preserve"> Despite the many international calls for change, El Salvador has failed to repeal the total criminalization of abortion. </w:t>
      </w:r>
    </w:p>
    <w:p w14:paraId="5E6759AE" w14:textId="77777777" w:rsidR="007C54BA" w:rsidRPr="00F469E4" w:rsidRDefault="007C54BA">
      <w:pPr>
        <w:pStyle w:val="xmsonormal"/>
        <w:jc w:val="both"/>
        <w:rPr>
          <w:rFonts w:ascii="Times New Roman" w:hAnsi="Times New Roman" w:cs="Times New Roman"/>
          <w:color w:val="000000" w:themeColor="text1"/>
        </w:rPr>
      </w:pPr>
    </w:p>
    <w:p w14:paraId="5CC8C8C1" w14:textId="7160BD75" w:rsidR="00755FF5" w:rsidRPr="00F469E4" w:rsidRDefault="00755FF5">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Honduras</w:t>
      </w:r>
    </w:p>
    <w:p w14:paraId="498C2A5E" w14:textId="77777777" w:rsidR="007C54BA" w:rsidRPr="00F469E4" w:rsidRDefault="007C54BA">
      <w:pPr>
        <w:pStyle w:val="NoSpacing"/>
        <w:jc w:val="both"/>
        <w:rPr>
          <w:rFonts w:eastAsia="Times New Roman"/>
          <w:color w:val="000000" w:themeColor="text1"/>
        </w:rPr>
      </w:pPr>
    </w:p>
    <w:p w14:paraId="1C14FB46" w14:textId="1435FE8B" w:rsidR="007C54BA" w:rsidRPr="00F469E4" w:rsidRDefault="007C54BA">
      <w:pPr>
        <w:pStyle w:val="NoSpacing"/>
        <w:jc w:val="both"/>
        <w:rPr>
          <w:color w:val="000000" w:themeColor="text1"/>
        </w:rPr>
      </w:pPr>
      <w:r w:rsidRPr="00F469E4">
        <w:rPr>
          <w:color w:val="000000" w:themeColor="text1"/>
        </w:rPr>
        <w:t xml:space="preserve">Abortion in Honduras is criminalized in all cases. </w:t>
      </w:r>
      <w:r w:rsidR="00E407A0" w:rsidRPr="00F469E4">
        <w:rPr>
          <w:color w:val="000000" w:themeColor="text1"/>
        </w:rPr>
        <w:t xml:space="preserve">Women and girls </w:t>
      </w:r>
      <w:r w:rsidRPr="00F469E4">
        <w:rPr>
          <w:color w:val="000000" w:themeColor="text1"/>
        </w:rPr>
        <w:t>who consensually undergo an abortion procedure face between three to six years of imprisonment</w:t>
      </w:r>
      <w:r w:rsidR="00C6337E" w:rsidRPr="00F469E4">
        <w:rPr>
          <w:color w:val="000000" w:themeColor="text1"/>
        </w:rPr>
        <w:t>.</w:t>
      </w:r>
      <w:r w:rsidR="00611D05" w:rsidRPr="00F469E4">
        <w:rPr>
          <w:rStyle w:val="EndnoteReference"/>
          <w:color w:val="000000" w:themeColor="text1"/>
        </w:rPr>
        <w:t xml:space="preserve"> </w:t>
      </w:r>
      <w:r w:rsidR="00611D05" w:rsidRPr="00F469E4">
        <w:rPr>
          <w:rStyle w:val="EndnoteReference"/>
          <w:color w:val="000000" w:themeColor="text1"/>
        </w:rPr>
        <w:endnoteReference w:id="16"/>
      </w:r>
      <w:r w:rsidRPr="00F469E4">
        <w:rPr>
          <w:color w:val="000000" w:themeColor="text1"/>
        </w:rPr>
        <w:t xml:space="preserve"> </w:t>
      </w:r>
      <w:r w:rsidR="00750DA4" w:rsidRPr="00F469E4">
        <w:rPr>
          <w:color w:val="000000" w:themeColor="text1"/>
        </w:rPr>
        <w:t>Additionally, in Honduras, there is a ban on contraceptives, including emergency contraceptives.</w:t>
      </w:r>
      <w:r w:rsidR="00750DA4" w:rsidRPr="00F469E4">
        <w:rPr>
          <w:rStyle w:val="EndnoteReference"/>
          <w:color w:val="000000" w:themeColor="text1"/>
        </w:rPr>
        <w:endnoteReference w:id="17"/>
      </w:r>
      <w:r w:rsidR="00750DA4" w:rsidRPr="00F469E4">
        <w:rPr>
          <w:color w:val="000000" w:themeColor="text1"/>
        </w:rPr>
        <w:t xml:space="preserve"> </w:t>
      </w:r>
      <w:r w:rsidRPr="00F469E4">
        <w:rPr>
          <w:color w:val="000000" w:themeColor="text1"/>
        </w:rPr>
        <w:t xml:space="preserve">The </w:t>
      </w:r>
      <w:r w:rsidR="00B77D47" w:rsidRPr="00F469E4">
        <w:rPr>
          <w:color w:val="000000" w:themeColor="text1"/>
        </w:rPr>
        <w:t>total ban on</w:t>
      </w:r>
      <w:r w:rsidRPr="00F469E4">
        <w:rPr>
          <w:color w:val="000000" w:themeColor="text1"/>
        </w:rPr>
        <w:t xml:space="preserve"> abortion</w:t>
      </w:r>
      <w:r w:rsidR="004466EB" w:rsidRPr="00F469E4">
        <w:rPr>
          <w:color w:val="000000" w:themeColor="text1"/>
        </w:rPr>
        <w:t xml:space="preserve"> and contraceptives</w:t>
      </w:r>
      <w:r w:rsidRPr="00F469E4">
        <w:rPr>
          <w:color w:val="000000" w:themeColor="text1"/>
        </w:rPr>
        <w:t xml:space="preserve"> </w:t>
      </w:r>
      <w:r w:rsidR="00B77D47" w:rsidRPr="00F469E4">
        <w:rPr>
          <w:color w:val="000000" w:themeColor="text1"/>
        </w:rPr>
        <w:t>disproportionately affect survivors of SGBV,</w:t>
      </w:r>
      <w:r w:rsidRPr="00F469E4">
        <w:rPr>
          <w:color w:val="000000" w:themeColor="text1"/>
        </w:rPr>
        <w:t xml:space="preserve"> </w:t>
      </w:r>
      <w:r w:rsidR="00E407A0" w:rsidRPr="00F469E4">
        <w:rPr>
          <w:color w:val="000000" w:themeColor="text1"/>
        </w:rPr>
        <w:t>women and girls</w:t>
      </w:r>
      <w:r w:rsidR="00B77D47" w:rsidRPr="00F469E4">
        <w:rPr>
          <w:color w:val="000000" w:themeColor="text1"/>
        </w:rPr>
        <w:t xml:space="preserve"> from marginalized communities and groups</w:t>
      </w:r>
      <w:r w:rsidR="00CE25BC" w:rsidRPr="00F469E4">
        <w:rPr>
          <w:color w:val="000000" w:themeColor="text1"/>
        </w:rPr>
        <w:t>,</w:t>
      </w:r>
      <w:r w:rsidRPr="00F469E4">
        <w:rPr>
          <w:color w:val="000000" w:themeColor="text1"/>
        </w:rPr>
        <w:t xml:space="preserve"> and adolescent girls</w:t>
      </w:r>
      <w:r w:rsidR="00CE25BC" w:rsidRPr="00F469E4">
        <w:rPr>
          <w:color w:val="000000" w:themeColor="text1"/>
        </w:rPr>
        <w:t>, especially those</w:t>
      </w:r>
      <w:r w:rsidRPr="00F469E4">
        <w:rPr>
          <w:color w:val="000000" w:themeColor="text1"/>
        </w:rPr>
        <w:t xml:space="preserve"> who live in rural areas.</w:t>
      </w:r>
      <w:r w:rsidRPr="00F469E4">
        <w:rPr>
          <w:color w:val="000000" w:themeColor="text1"/>
          <w:vertAlign w:val="superscript"/>
        </w:rPr>
        <w:endnoteReference w:id="18"/>
      </w:r>
      <w:r w:rsidRPr="00F469E4">
        <w:rPr>
          <w:color w:val="000000" w:themeColor="text1"/>
        </w:rPr>
        <w:t xml:space="preserve"> </w:t>
      </w:r>
    </w:p>
    <w:p w14:paraId="792743F0" w14:textId="77777777" w:rsidR="00750DA4" w:rsidRPr="00F469E4" w:rsidRDefault="00750DA4">
      <w:pPr>
        <w:pStyle w:val="NoSpacing"/>
        <w:jc w:val="both"/>
        <w:rPr>
          <w:color w:val="000000" w:themeColor="text1"/>
        </w:rPr>
      </w:pPr>
    </w:p>
    <w:p w14:paraId="21E3BF0A" w14:textId="2FDA6C14" w:rsidR="007C54BA" w:rsidRPr="00F469E4" w:rsidRDefault="007C54BA">
      <w:pPr>
        <w:jc w:val="both"/>
        <w:rPr>
          <w:rFonts w:eastAsia="Calibri"/>
          <w:color w:val="000000" w:themeColor="text1"/>
        </w:rPr>
      </w:pPr>
      <w:r w:rsidRPr="00F469E4">
        <w:rPr>
          <w:color w:val="000000" w:themeColor="text1"/>
        </w:rPr>
        <w:lastRenderedPageBreak/>
        <w:t xml:space="preserve">In May 2017, the Honduran government rejected the </w:t>
      </w:r>
      <w:r w:rsidR="00B77D47" w:rsidRPr="00F469E4">
        <w:rPr>
          <w:color w:val="000000" w:themeColor="text1"/>
        </w:rPr>
        <w:t xml:space="preserve">proposal </w:t>
      </w:r>
      <w:r w:rsidRPr="00F469E4">
        <w:rPr>
          <w:color w:val="000000" w:themeColor="text1"/>
        </w:rPr>
        <w:t>to amend the law to legalize abortion in cases of rape, fetal disability</w:t>
      </w:r>
      <w:r w:rsidR="00C6337E" w:rsidRPr="00F469E4">
        <w:rPr>
          <w:color w:val="000000" w:themeColor="text1"/>
        </w:rPr>
        <w:t>,</w:t>
      </w:r>
      <w:r w:rsidRPr="00F469E4">
        <w:rPr>
          <w:color w:val="000000" w:themeColor="text1"/>
        </w:rPr>
        <w:t xml:space="preserve"> or where continuing the pregnancy would pose a risk to the life of the mother, despite significant international pressure on Honduras to </w:t>
      </w:r>
      <w:r w:rsidR="001924A1">
        <w:rPr>
          <w:color w:val="000000" w:themeColor="text1"/>
        </w:rPr>
        <w:t>do so</w:t>
      </w:r>
      <w:r w:rsidRPr="00F469E4">
        <w:rPr>
          <w:color w:val="000000" w:themeColor="text1"/>
        </w:rPr>
        <w:t>.</w:t>
      </w:r>
      <w:r w:rsidR="005B1254" w:rsidRPr="00F469E4">
        <w:rPr>
          <w:rStyle w:val="EndnoteReference"/>
          <w:color w:val="000000" w:themeColor="text1"/>
        </w:rPr>
        <w:endnoteReference w:id="19"/>
      </w:r>
      <w:r w:rsidR="00C654E6" w:rsidRPr="00F469E4">
        <w:rPr>
          <w:color w:val="000000" w:themeColor="text1"/>
        </w:rPr>
        <w:t xml:space="preserve"> I</w:t>
      </w:r>
      <w:r w:rsidR="006D00F8" w:rsidRPr="00F469E4">
        <w:rPr>
          <w:color w:val="000000" w:themeColor="text1"/>
        </w:rPr>
        <w:t xml:space="preserve">n </w:t>
      </w:r>
      <w:r w:rsidR="00025B04" w:rsidRPr="00F469E4">
        <w:rPr>
          <w:color w:val="000000" w:themeColor="text1"/>
        </w:rPr>
        <w:t xml:space="preserve">a </w:t>
      </w:r>
      <w:r w:rsidR="006D00F8" w:rsidRPr="00F469E4">
        <w:rPr>
          <w:color w:val="000000" w:themeColor="text1"/>
        </w:rPr>
        <w:t>2017</w:t>
      </w:r>
      <w:r w:rsidR="00025B04" w:rsidRPr="00F469E4">
        <w:rPr>
          <w:color w:val="000000" w:themeColor="text1"/>
        </w:rPr>
        <w:t xml:space="preserve"> report</w:t>
      </w:r>
      <w:r w:rsidR="006D00F8" w:rsidRPr="00F469E4">
        <w:rPr>
          <w:color w:val="000000" w:themeColor="text1"/>
        </w:rPr>
        <w:t xml:space="preserve">, </w:t>
      </w:r>
      <w:r w:rsidR="00025B04" w:rsidRPr="00F469E4">
        <w:rPr>
          <w:color w:val="000000" w:themeColor="text1"/>
        </w:rPr>
        <w:t>UN experts noted, “</w:t>
      </w:r>
      <w:r w:rsidR="00025B04" w:rsidRPr="00F469E4">
        <w:rPr>
          <w:rFonts w:eastAsia="Calibri"/>
          <w:color w:val="000000" w:themeColor="text1"/>
        </w:rPr>
        <w:t>Denying women and girls access to safe abortion services, in cases involving health reasons, fatal impairment of the foetus and pregnancy resulting from rape or incest, causes excessive and irreversible physical and psychological suffering to many women. It is also the most blatant form of instrumentalisation of women’s bodies and denial of their autonomy.”</w:t>
      </w:r>
      <w:r w:rsidR="00025B04" w:rsidRPr="00F469E4">
        <w:rPr>
          <w:rStyle w:val="EndnoteReference"/>
          <w:color w:val="000000" w:themeColor="text1"/>
        </w:rPr>
        <w:endnoteReference w:id="20"/>
      </w:r>
      <w:r w:rsidR="00025B04" w:rsidRPr="00F469E4">
        <w:rPr>
          <w:rFonts w:eastAsia="Calibri"/>
          <w:color w:val="000000" w:themeColor="text1"/>
        </w:rPr>
        <w:t xml:space="preserve"> Moreover, </w:t>
      </w:r>
      <w:r w:rsidR="00025B04" w:rsidRPr="00F469E4">
        <w:rPr>
          <w:color w:val="000000"/>
          <w:shd w:val="clear" w:color="auto" w:fill="FFFFFF"/>
        </w:rPr>
        <w:t>“Women living in poverty and social exclusion are most likely to be subject to unsafe abortions, in contravention of the State's obligation under international human rights law to respect, protect and to realize the right of women to health, including sexual and reproductive health.”</w:t>
      </w:r>
      <w:r w:rsidR="00025B04" w:rsidRPr="00F469E4">
        <w:rPr>
          <w:rStyle w:val="EndnoteReference"/>
          <w:color w:val="000000"/>
          <w:shd w:val="clear" w:color="auto" w:fill="FFFFFF"/>
        </w:rPr>
        <w:endnoteReference w:id="21"/>
      </w:r>
      <w:r w:rsidR="00025B04" w:rsidRPr="00F469E4">
        <w:rPr>
          <w:color w:val="000000"/>
          <w:shd w:val="clear" w:color="auto" w:fill="FFFFFF"/>
        </w:rPr>
        <w:t xml:space="preserve"> </w:t>
      </w:r>
      <w:r w:rsidRPr="00F469E4">
        <w:rPr>
          <w:color w:val="000000" w:themeColor="text1"/>
        </w:rPr>
        <w:t>Honduras instead reauthorized the Penal Code.</w:t>
      </w:r>
      <w:r w:rsidRPr="00F469E4">
        <w:rPr>
          <w:rStyle w:val="EndnoteReference"/>
          <w:color w:val="000000" w:themeColor="text1"/>
        </w:rPr>
        <w:endnoteReference w:id="22"/>
      </w:r>
      <w:r w:rsidRPr="00F469E4">
        <w:rPr>
          <w:color w:val="000000" w:themeColor="text1"/>
        </w:rPr>
        <w:t xml:space="preserve"> </w:t>
      </w:r>
    </w:p>
    <w:p w14:paraId="73416296" w14:textId="77777777" w:rsidR="00C6337E" w:rsidRPr="00F469E4" w:rsidRDefault="00C6337E">
      <w:pPr>
        <w:pStyle w:val="NoSpacing"/>
        <w:jc w:val="both"/>
        <w:rPr>
          <w:color w:val="000000" w:themeColor="text1"/>
        </w:rPr>
      </w:pPr>
    </w:p>
    <w:p w14:paraId="3C756D74" w14:textId="76915BAB" w:rsidR="00382C2A" w:rsidRPr="00F469E4" w:rsidRDefault="00382C2A">
      <w:pPr>
        <w:pStyle w:val="NoSpacing"/>
        <w:jc w:val="both"/>
      </w:pPr>
      <w:r w:rsidRPr="00F469E4">
        <w:t>According to Centro de Derechos de Mujeres, the largest reproductive rights organization monitoring the situation in the country, despite the criminalization of abortion there are between 50,749 to 82,135 abortions still taking place every year in Honduras.</w:t>
      </w:r>
      <w:r w:rsidRPr="00F469E4">
        <w:rPr>
          <w:rStyle w:val="EndnoteReference"/>
        </w:rPr>
        <w:endnoteReference w:id="23"/>
      </w:r>
      <w:r w:rsidRPr="00F469E4">
        <w:t xml:space="preserve"> Furthermore, estimates put clandestine abortions obtained by </w:t>
      </w:r>
      <w:r w:rsidR="00E407A0" w:rsidRPr="00F469E4">
        <w:t>women and girls</w:t>
      </w:r>
      <w:r w:rsidRPr="00F469E4">
        <w:t xml:space="preserve"> </w:t>
      </w:r>
      <w:r w:rsidR="002A1111" w:rsidRPr="00F469E4">
        <w:t>survivors of rape</w:t>
      </w:r>
      <w:r w:rsidRPr="00F469E4">
        <w:t xml:space="preserve"> as high as 17 percent.</w:t>
      </w:r>
      <w:r w:rsidRPr="00F469E4">
        <w:rPr>
          <w:rStyle w:val="EndnoteReference"/>
        </w:rPr>
        <w:endnoteReference w:id="24"/>
      </w:r>
      <w:r w:rsidRPr="00F469E4">
        <w:t xml:space="preserve"> In countries where abortion is criminalized</w:t>
      </w:r>
      <w:r w:rsidR="001924A1">
        <w:t>,</w:t>
      </w:r>
      <w:r w:rsidRPr="00F469E4">
        <w:t xml:space="preserve"> </w:t>
      </w:r>
      <w:r w:rsidR="00E407A0" w:rsidRPr="00F469E4">
        <w:t>women and girls</w:t>
      </w:r>
      <w:r w:rsidRPr="00F469E4">
        <w:t xml:space="preserve"> are forced to undergo unsafe procedures.</w:t>
      </w:r>
      <w:r w:rsidRPr="00F469E4">
        <w:rPr>
          <w:rStyle w:val="EndnoteReference"/>
        </w:rPr>
        <w:endnoteReference w:id="25"/>
      </w:r>
      <w:r w:rsidRPr="00F469E4">
        <w:t xml:space="preserve"> In Honduras</w:t>
      </w:r>
      <w:r w:rsidR="00F95EA9">
        <w:t>,</w:t>
      </w:r>
      <w:r w:rsidRPr="00F469E4">
        <w:t xml:space="preserve"> up to five percent of maternal deaths are associat</w:t>
      </w:r>
      <w:r w:rsidR="001924A1">
        <w:t>ed</w:t>
      </w:r>
      <w:r w:rsidRPr="00F469E4">
        <w:t xml:space="preserve"> with unsafe abortions.</w:t>
      </w:r>
      <w:r w:rsidRPr="00F469E4">
        <w:rPr>
          <w:rStyle w:val="EndnoteReference"/>
        </w:rPr>
        <w:endnoteReference w:id="26"/>
      </w:r>
      <w:r w:rsidRPr="00F469E4">
        <w:t xml:space="preserve"> This means that the criminalization of abortion and the ban on emergency contraceptive</w:t>
      </w:r>
      <w:r w:rsidR="00F95EA9">
        <w:t>s</w:t>
      </w:r>
      <w:r w:rsidRPr="00F469E4">
        <w:t xml:space="preserve"> has led to preventable deaths of Honduran </w:t>
      </w:r>
      <w:r w:rsidR="00E407A0" w:rsidRPr="00F469E4">
        <w:t>women and girls</w:t>
      </w:r>
      <w:r w:rsidRPr="00F469E4">
        <w:t xml:space="preserve">. </w:t>
      </w:r>
    </w:p>
    <w:p w14:paraId="64B66354" w14:textId="77777777" w:rsidR="00382C2A" w:rsidRPr="00F469E4" w:rsidRDefault="00382C2A">
      <w:pPr>
        <w:pStyle w:val="NoSpacing"/>
        <w:jc w:val="both"/>
      </w:pPr>
    </w:p>
    <w:p w14:paraId="3D650118" w14:textId="4D1EB30F" w:rsidR="00272E5C" w:rsidRPr="00F469E4" w:rsidRDefault="00272E5C">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 xml:space="preserve">Nepal </w:t>
      </w:r>
    </w:p>
    <w:p w14:paraId="59BD9744" w14:textId="77777777" w:rsidR="008E676B" w:rsidRPr="00F469E4" w:rsidRDefault="008E676B">
      <w:pPr>
        <w:pStyle w:val="xmsonormal"/>
        <w:jc w:val="both"/>
        <w:rPr>
          <w:rFonts w:ascii="Times New Roman" w:hAnsi="Times New Roman" w:cs="Times New Roman"/>
          <w:color w:val="000000" w:themeColor="text1"/>
        </w:rPr>
      </w:pPr>
    </w:p>
    <w:p w14:paraId="7F2D853A" w14:textId="218AE323" w:rsidR="00212C59" w:rsidRPr="00F469E4" w:rsidRDefault="0017144B">
      <w:pPr>
        <w:jc w:val="both"/>
        <w:rPr>
          <w:color w:val="000000" w:themeColor="text1"/>
        </w:rPr>
      </w:pPr>
      <w:r w:rsidRPr="00F469E4">
        <w:rPr>
          <w:color w:val="000000" w:themeColor="text1"/>
        </w:rPr>
        <w:t>In 2002, abortion was legalized in Nepal. The new law permits abortion on request until 12 weeks of gestation, and following instances of rape or incest, abortion is permitted up to 18 weeks of gestation.</w:t>
      </w:r>
      <w:r w:rsidRPr="00F469E4">
        <w:rPr>
          <w:rStyle w:val="EndnoteReference"/>
          <w:color w:val="000000" w:themeColor="text1"/>
        </w:rPr>
        <w:endnoteReference w:id="27"/>
      </w:r>
      <w:r w:rsidR="00370E1A" w:rsidRPr="00F469E4">
        <w:rPr>
          <w:color w:val="000000" w:themeColor="text1"/>
        </w:rPr>
        <w:t xml:space="preserve"> Under the new law, t</w:t>
      </w:r>
      <w:r w:rsidRPr="00F469E4">
        <w:rPr>
          <w:color w:val="000000" w:themeColor="text1"/>
        </w:rPr>
        <w:t>here is no gestational limit for a woman to have an abortion if the pregnancy threatens the woman’s life or physical or mental health</w:t>
      </w:r>
      <w:r w:rsidR="00F95EA9">
        <w:rPr>
          <w:color w:val="000000" w:themeColor="text1"/>
        </w:rPr>
        <w:t>,</w:t>
      </w:r>
      <w:r w:rsidRPr="00F469E4">
        <w:rPr>
          <w:color w:val="000000" w:themeColor="text1"/>
        </w:rPr>
        <w:t xml:space="preserve"> or if there is a fetal impairment.</w:t>
      </w:r>
      <w:r w:rsidRPr="00F469E4">
        <w:rPr>
          <w:rStyle w:val="EndnoteReference"/>
          <w:color w:val="000000" w:themeColor="text1"/>
        </w:rPr>
        <w:endnoteReference w:id="28"/>
      </w:r>
      <w:r w:rsidRPr="00F469E4">
        <w:rPr>
          <w:color w:val="000000" w:themeColor="text1"/>
        </w:rPr>
        <w:t xml:space="preserve"> </w:t>
      </w:r>
    </w:p>
    <w:p w14:paraId="5CFBD447" w14:textId="77777777" w:rsidR="00212C59" w:rsidRPr="00F469E4" w:rsidRDefault="00212C59">
      <w:pPr>
        <w:jc w:val="both"/>
        <w:rPr>
          <w:color w:val="000000" w:themeColor="text1"/>
        </w:rPr>
      </w:pPr>
    </w:p>
    <w:p w14:paraId="091E5FB3" w14:textId="41769613" w:rsidR="0017144B" w:rsidRPr="00337A97" w:rsidRDefault="00995011">
      <w:pPr>
        <w:jc w:val="both"/>
        <w:rPr>
          <w:color w:val="000000" w:themeColor="text1"/>
        </w:rPr>
      </w:pPr>
      <w:r w:rsidRPr="00F469E4">
        <w:rPr>
          <w:color w:val="000000" w:themeColor="text1"/>
        </w:rPr>
        <w:t xml:space="preserve">Despite law reform, </w:t>
      </w:r>
      <w:r w:rsidR="00E407A0" w:rsidRPr="00F469E4">
        <w:rPr>
          <w:color w:val="000000" w:themeColor="text1"/>
        </w:rPr>
        <w:t>women and girls</w:t>
      </w:r>
      <w:r w:rsidR="0017144B" w:rsidRPr="00F469E4">
        <w:rPr>
          <w:color w:val="000000" w:themeColor="text1"/>
        </w:rPr>
        <w:t xml:space="preserve"> continue to be prosecuted and imprisoned for having abortions</w:t>
      </w:r>
      <w:r w:rsidRPr="00F469E4">
        <w:rPr>
          <w:color w:val="000000" w:themeColor="text1"/>
        </w:rPr>
        <w:t xml:space="preserve"> from untrained, unlicensed providers</w:t>
      </w:r>
      <w:r w:rsidR="0017144B" w:rsidRPr="00F469E4">
        <w:rPr>
          <w:color w:val="000000" w:themeColor="text1"/>
        </w:rPr>
        <w:t>.</w:t>
      </w:r>
      <w:r w:rsidR="00DF4A1E" w:rsidRPr="00DF4A1E">
        <w:t xml:space="preserve"> </w:t>
      </w:r>
      <w:r w:rsidR="00DF4A1E" w:rsidRPr="00DF4A1E">
        <w:rPr>
          <w:color w:val="000000" w:themeColor="text1"/>
        </w:rPr>
        <w:t xml:space="preserve">According to a fact-finding study conducted by the Forum for Women, Law and Development (FWLD) and the Center in 16 districts of Nepal, </w:t>
      </w:r>
      <w:r w:rsidR="001924A1">
        <w:rPr>
          <w:color w:val="000000" w:themeColor="text1"/>
        </w:rPr>
        <w:t xml:space="preserve">there were </w:t>
      </w:r>
      <w:r w:rsidR="00DF4A1E" w:rsidRPr="00DF4A1E">
        <w:rPr>
          <w:color w:val="000000" w:themeColor="text1"/>
        </w:rPr>
        <w:t xml:space="preserve">13 cases against women and girls for terminating their pregnancies between 2011 </w:t>
      </w:r>
      <w:r w:rsidR="00F95EA9">
        <w:rPr>
          <w:color w:val="000000" w:themeColor="text1"/>
        </w:rPr>
        <w:t>and</w:t>
      </w:r>
      <w:r w:rsidR="00DF4A1E" w:rsidRPr="00DF4A1E">
        <w:rPr>
          <w:color w:val="000000" w:themeColor="text1"/>
        </w:rPr>
        <w:t xml:space="preserve"> 2016</w:t>
      </w:r>
      <w:r w:rsidR="0017144B" w:rsidRPr="00337A97">
        <w:t>.</w:t>
      </w:r>
      <w:r w:rsidR="0040633A" w:rsidRPr="00337A97">
        <w:rPr>
          <w:rStyle w:val="EndnoteReference"/>
        </w:rPr>
        <w:endnoteReference w:id="29"/>
      </w:r>
      <w:r w:rsidR="0017144B" w:rsidRPr="00337A97">
        <w:t xml:space="preserve"> </w:t>
      </w:r>
      <w:r w:rsidR="00E407A0" w:rsidRPr="00337A97">
        <w:rPr>
          <w:color w:val="000000" w:themeColor="text1"/>
        </w:rPr>
        <w:t>Women and girls</w:t>
      </w:r>
      <w:r w:rsidR="0017144B" w:rsidRPr="00337A97">
        <w:rPr>
          <w:color w:val="000000" w:themeColor="text1"/>
        </w:rPr>
        <w:t xml:space="preserve"> who were suspected of having abortion</w:t>
      </w:r>
      <w:r w:rsidR="0040633A" w:rsidRPr="00337A97">
        <w:rPr>
          <w:color w:val="000000" w:themeColor="text1"/>
        </w:rPr>
        <w:t>s</w:t>
      </w:r>
      <w:r w:rsidR="0017144B" w:rsidRPr="00337A97">
        <w:rPr>
          <w:color w:val="000000" w:themeColor="text1"/>
        </w:rPr>
        <w:t xml:space="preserve"> were charged and then held in police custody while the initial investigation was conducted. Many of these </w:t>
      </w:r>
      <w:r w:rsidR="00E407A0" w:rsidRPr="00337A97">
        <w:rPr>
          <w:color w:val="000000" w:themeColor="text1"/>
        </w:rPr>
        <w:t>women and girls</w:t>
      </w:r>
      <w:r w:rsidRPr="00337A97">
        <w:rPr>
          <w:color w:val="000000" w:themeColor="text1"/>
        </w:rPr>
        <w:t xml:space="preserve"> are from low-income families </w:t>
      </w:r>
      <w:r w:rsidR="0017144B" w:rsidRPr="00337A97">
        <w:rPr>
          <w:color w:val="000000" w:themeColor="text1"/>
        </w:rPr>
        <w:t>but were not provided legal aid suppor</w:t>
      </w:r>
      <w:r w:rsidR="005306CA" w:rsidRPr="00337A97">
        <w:rPr>
          <w:color w:val="000000" w:themeColor="text1"/>
        </w:rPr>
        <w:t>t, compounding the effec</w:t>
      </w:r>
      <w:r w:rsidR="00CF4C91" w:rsidRPr="00337A97">
        <w:rPr>
          <w:color w:val="000000" w:themeColor="text1"/>
        </w:rPr>
        <w:t>ts of discrimination against low</w:t>
      </w:r>
      <w:r w:rsidR="005306CA" w:rsidRPr="00337A97">
        <w:rPr>
          <w:color w:val="000000" w:themeColor="text1"/>
        </w:rPr>
        <w:t xml:space="preserve">-income and marginalized women and girls who lack knowledge of the abortion laws and access to regulated, safe abortion facilities and care. </w:t>
      </w:r>
    </w:p>
    <w:p w14:paraId="6D4A03E2" w14:textId="77777777" w:rsidR="0017144B" w:rsidRPr="00337A97" w:rsidRDefault="0017144B">
      <w:pPr>
        <w:jc w:val="both"/>
        <w:rPr>
          <w:color w:val="000000" w:themeColor="text1"/>
        </w:rPr>
      </w:pPr>
    </w:p>
    <w:p w14:paraId="6634994B" w14:textId="7D68208E" w:rsidR="00436185" w:rsidRPr="00F469E4" w:rsidRDefault="0017144B">
      <w:pPr>
        <w:jc w:val="both"/>
        <w:rPr>
          <w:color w:val="000000" w:themeColor="text1"/>
        </w:rPr>
      </w:pPr>
      <w:r w:rsidRPr="00337A97">
        <w:rPr>
          <w:color w:val="000000" w:themeColor="text1"/>
        </w:rPr>
        <w:t xml:space="preserve">Overall, </w:t>
      </w:r>
      <w:r w:rsidR="00CF4C91" w:rsidRPr="00337A97">
        <w:rPr>
          <w:color w:val="000000" w:themeColor="text1"/>
        </w:rPr>
        <w:t xml:space="preserve">the fact-finding study found that </w:t>
      </w:r>
      <w:r w:rsidR="00DB4B37" w:rsidRPr="00337A97">
        <w:rPr>
          <w:color w:val="000000" w:themeColor="text1"/>
        </w:rPr>
        <w:t>five</w:t>
      </w:r>
      <w:r w:rsidRPr="00337A97">
        <w:rPr>
          <w:color w:val="000000" w:themeColor="text1"/>
        </w:rPr>
        <w:t xml:space="preserve"> </w:t>
      </w:r>
      <w:r w:rsidR="00E407A0" w:rsidRPr="00337A97">
        <w:rPr>
          <w:color w:val="000000" w:themeColor="text1"/>
        </w:rPr>
        <w:t>women and girls</w:t>
      </w:r>
      <w:r w:rsidRPr="00337A97">
        <w:rPr>
          <w:color w:val="000000" w:themeColor="text1"/>
        </w:rPr>
        <w:t xml:space="preserve"> </w:t>
      </w:r>
      <w:r w:rsidR="00CF4C91" w:rsidRPr="00337A97">
        <w:rPr>
          <w:color w:val="000000" w:themeColor="text1"/>
        </w:rPr>
        <w:t xml:space="preserve">had been </w:t>
      </w:r>
      <w:r w:rsidRPr="00337A97">
        <w:rPr>
          <w:color w:val="000000" w:themeColor="text1"/>
        </w:rPr>
        <w:t xml:space="preserve">convicted. In cases where </w:t>
      </w:r>
      <w:r w:rsidR="00E407A0" w:rsidRPr="00337A97">
        <w:rPr>
          <w:color w:val="000000" w:themeColor="text1"/>
        </w:rPr>
        <w:t>women and girls</w:t>
      </w:r>
      <w:r w:rsidRPr="00337A97">
        <w:rPr>
          <w:color w:val="000000" w:themeColor="text1"/>
        </w:rPr>
        <w:t xml:space="preserve"> were convicted, they </w:t>
      </w:r>
      <w:r w:rsidR="003A5603" w:rsidRPr="00337A97">
        <w:rPr>
          <w:color w:val="000000" w:themeColor="text1"/>
        </w:rPr>
        <w:t xml:space="preserve">did not know that abortion was </w:t>
      </w:r>
      <w:r w:rsidR="00BD6A48" w:rsidRPr="00337A97">
        <w:rPr>
          <w:color w:val="000000" w:themeColor="text1"/>
        </w:rPr>
        <w:t>legal,</w:t>
      </w:r>
      <w:r w:rsidR="003A5603" w:rsidRPr="00337A97">
        <w:rPr>
          <w:color w:val="000000" w:themeColor="text1"/>
        </w:rPr>
        <w:t xml:space="preserve"> nor did they know where legal abortion services were available</w:t>
      </w:r>
      <w:r w:rsidRPr="00337A97">
        <w:rPr>
          <w:color w:val="000000" w:themeColor="text1"/>
        </w:rPr>
        <w:t>, forcing them to seek illegal abortion from untrained providers</w:t>
      </w:r>
      <w:r w:rsidR="00395A28" w:rsidRPr="00337A97">
        <w:rPr>
          <w:color w:val="000000" w:themeColor="text1"/>
        </w:rPr>
        <w:t xml:space="preserve">. </w:t>
      </w:r>
      <w:r w:rsidRPr="00337A97">
        <w:rPr>
          <w:color w:val="000000" w:themeColor="text1"/>
        </w:rPr>
        <w:t xml:space="preserve">Four </w:t>
      </w:r>
      <w:r w:rsidR="003A5603" w:rsidRPr="00337A97">
        <w:rPr>
          <w:color w:val="000000" w:themeColor="text1"/>
        </w:rPr>
        <w:t xml:space="preserve">of the </w:t>
      </w:r>
      <w:r w:rsidR="00E407A0" w:rsidRPr="00337A97">
        <w:rPr>
          <w:color w:val="000000" w:themeColor="text1"/>
        </w:rPr>
        <w:t>women and girls</w:t>
      </w:r>
      <w:r w:rsidRPr="00337A97">
        <w:rPr>
          <w:color w:val="000000" w:themeColor="text1"/>
        </w:rPr>
        <w:t xml:space="preserve"> were prosecuted for seeking </w:t>
      </w:r>
      <w:r w:rsidR="003A5603" w:rsidRPr="00337A97">
        <w:rPr>
          <w:color w:val="000000" w:themeColor="text1"/>
        </w:rPr>
        <w:t xml:space="preserve">illegal </w:t>
      </w:r>
      <w:r w:rsidRPr="00337A97">
        <w:rPr>
          <w:color w:val="000000" w:themeColor="text1"/>
        </w:rPr>
        <w:t>abortion</w:t>
      </w:r>
      <w:r w:rsidR="00CF4C91" w:rsidRPr="00337A97">
        <w:rPr>
          <w:color w:val="000000" w:themeColor="text1"/>
        </w:rPr>
        <w:t>s</w:t>
      </w:r>
      <w:r w:rsidR="00395A28" w:rsidRPr="00337A97">
        <w:rPr>
          <w:color w:val="000000" w:themeColor="text1"/>
        </w:rPr>
        <w:t xml:space="preserve"> to end pregnancies that were the result of rape</w:t>
      </w:r>
      <w:r w:rsidRPr="00337A97">
        <w:rPr>
          <w:color w:val="000000" w:themeColor="text1"/>
        </w:rPr>
        <w:t xml:space="preserve">. In one case, the </w:t>
      </w:r>
      <w:r w:rsidR="001924A1">
        <w:rPr>
          <w:color w:val="000000" w:themeColor="text1"/>
        </w:rPr>
        <w:t>c</w:t>
      </w:r>
      <w:r w:rsidRPr="00337A97">
        <w:rPr>
          <w:color w:val="000000" w:themeColor="text1"/>
        </w:rPr>
        <w:t>ourt convicted a 15-year-old victim of rape, who terminated her pregnancy at around 20 weeks by consuming medical pills bought by her father from a local drug seller.</w:t>
      </w:r>
      <w:r w:rsidR="00CF4C91" w:rsidRPr="00337A97">
        <w:rPr>
          <w:rStyle w:val="EndnoteReference"/>
          <w:color w:val="000000" w:themeColor="text1"/>
        </w:rPr>
        <w:endnoteReference w:id="30"/>
      </w:r>
      <w:r w:rsidR="00A03612" w:rsidRPr="00F469E4">
        <w:rPr>
          <w:color w:val="000000" w:themeColor="text1"/>
        </w:rPr>
        <w:t xml:space="preserve"> </w:t>
      </w:r>
    </w:p>
    <w:p w14:paraId="4339259E" w14:textId="77777777" w:rsidR="00436185" w:rsidRPr="00F469E4" w:rsidRDefault="00436185">
      <w:pPr>
        <w:jc w:val="both"/>
        <w:rPr>
          <w:color w:val="000000" w:themeColor="text1"/>
        </w:rPr>
      </w:pPr>
    </w:p>
    <w:p w14:paraId="1B983A70" w14:textId="16DC0B15" w:rsidR="0017144B" w:rsidRPr="00F469E4" w:rsidRDefault="00102EE0">
      <w:pPr>
        <w:jc w:val="both"/>
        <w:rPr>
          <w:color w:val="000000" w:themeColor="text1"/>
        </w:rPr>
      </w:pPr>
      <w:r w:rsidRPr="00F469E4">
        <w:rPr>
          <w:color w:val="000000" w:themeColor="text1"/>
        </w:rPr>
        <w:t>Many</w:t>
      </w:r>
      <w:r w:rsidR="00436185" w:rsidRPr="00F469E4">
        <w:rPr>
          <w:color w:val="000000" w:themeColor="text1"/>
        </w:rPr>
        <w:t xml:space="preserve"> Nepal</w:t>
      </w:r>
      <w:r w:rsidRPr="00F469E4">
        <w:rPr>
          <w:color w:val="000000" w:themeColor="text1"/>
        </w:rPr>
        <w:t xml:space="preserve">i </w:t>
      </w:r>
      <w:r w:rsidR="00E407A0" w:rsidRPr="00F469E4">
        <w:rPr>
          <w:color w:val="000000" w:themeColor="text1"/>
        </w:rPr>
        <w:t>women and girls</w:t>
      </w:r>
      <w:r w:rsidR="00436185" w:rsidRPr="00F469E4">
        <w:rPr>
          <w:color w:val="000000" w:themeColor="text1"/>
        </w:rPr>
        <w:t xml:space="preserve"> are </w:t>
      </w:r>
      <w:r w:rsidRPr="00F469E4">
        <w:rPr>
          <w:color w:val="000000" w:themeColor="text1"/>
        </w:rPr>
        <w:t>un</w:t>
      </w:r>
      <w:r w:rsidR="00436185" w:rsidRPr="00F469E4">
        <w:rPr>
          <w:color w:val="000000" w:themeColor="text1"/>
        </w:rPr>
        <w:t>aware that</w:t>
      </w:r>
      <w:r w:rsidR="00212C59" w:rsidRPr="00F469E4">
        <w:rPr>
          <w:color w:val="000000" w:themeColor="text1"/>
        </w:rPr>
        <w:t xml:space="preserve">  abortion </w:t>
      </w:r>
      <w:r w:rsidRPr="00F469E4">
        <w:rPr>
          <w:color w:val="000000" w:themeColor="text1"/>
        </w:rPr>
        <w:t xml:space="preserve">is </w:t>
      </w:r>
      <w:r w:rsidR="00436185" w:rsidRPr="00F469E4">
        <w:rPr>
          <w:color w:val="000000" w:themeColor="text1"/>
        </w:rPr>
        <w:t>legal</w:t>
      </w:r>
      <w:r w:rsidRPr="00F469E4">
        <w:rPr>
          <w:color w:val="000000" w:themeColor="text1"/>
        </w:rPr>
        <w:t xml:space="preserve"> in the country</w:t>
      </w:r>
      <w:r w:rsidR="00436185" w:rsidRPr="00F469E4">
        <w:rPr>
          <w:color w:val="000000" w:themeColor="text1"/>
        </w:rPr>
        <w:t>.</w:t>
      </w:r>
      <w:r w:rsidR="00436185" w:rsidRPr="00F469E4">
        <w:rPr>
          <w:rStyle w:val="EndnoteReference"/>
          <w:color w:val="000000" w:themeColor="text1"/>
        </w:rPr>
        <w:endnoteReference w:id="31"/>
      </w:r>
      <w:r w:rsidRPr="00F469E4">
        <w:rPr>
          <w:color w:val="000000" w:themeColor="text1"/>
        </w:rPr>
        <w:t xml:space="preserve"> A</w:t>
      </w:r>
      <w:r w:rsidR="006D1289" w:rsidRPr="00F469E4">
        <w:rPr>
          <w:color w:val="000000" w:themeColor="text1"/>
        </w:rPr>
        <w:t xml:space="preserve"> 2018</w:t>
      </w:r>
      <w:r w:rsidR="005B1AA0" w:rsidRPr="00F469E4">
        <w:rPr>
          <w:color w:val="000000" w:themeColor="text1"/>
        </w:rPr>
        <w:t xml:space="preserve"> study</w:t>
      </w:r>
      <w:r w:rsidRPr="00F469E4">
        <w:rPr>
          <w:color w:val="000000" w:themeColor="text1"/>
        </w:rPr>
        <w:t xml:space="preserve"> by Nepal’s Center for Research on Environment Health and Population Activities (CREHPA) found that over half of </w:t>
      </w:r>
      <w:r w:rsidR="00E407A0" w:rsidRPr="00F469E4">
        <w:rPr>
          <w:color w:val="000000" w:themeColor="text1"/>
        </w:rPr>
        <w:t>women and girls</w:t>
      </w:r>
      <w:r w:rsidR="005A404F" w:rsidRPr="00F469E4">
        <w:rPr>
          <w:color w:val="000000" w:themeColor="text1"/>
        </w:rPr>
        <w:t xml:space="preserve"> seeking abortion</w:t>
      </w:r>
      <w:r w:rsidRPr="00F469E4">
        <w:rPr>
          <w:color w:val="000000" w:themeColor="text1"/>
        </w:rPr>
        <w:t xml:space="preserve"> are still getting illegal or unsafe abortions.</w:t>
      </w:r>
      <w:r w:rsidRPr="00F469E4">
        <w:rPr>
          <w:rStyle w:val="EndnoteReference"/>
          <w:color w:val="000000" w:themeColor="text1"/>
        </w:rPr>
        <w:endnoteReference w:id="32"/>
      </w:r>
      <w:r w:rsidRPr="00F469E4">
        <w:rPr>
          <w:color w:val="000000" w:themeColor="text1"/>
        </w:rPr>
        <w:t xml:space="preserve"> Since January 2018, all abortion services that are provided by the government are available at no cost.</w:t>
      </w:r>
      <w:r w:rsidRPr="00F469E4">
        <w:rPr>
          <w:rStyle w:val="EndnoteReference"/>
          <w:color w:val="000000" w:themeColor="text1"/>
        </w:rPr>
        <w:endnoteReference w:id="33"/>
      </w:r>
      <w:r w:rsidRPr="00F469E4">
        <w:rPr>
          <w:color w:val="000000" w:themeColor="text1"/>
        </w:rPr>
        <w:t xml:space="preserve"> Many </w:t>
      </w:r>
      <w:r w:rsidR="00E407A0" w:rsidRPr="00F469E4">
        <w:rPr>
          <w:color w:val="000000" w:themeColor="text1"/>
        </w:rPr>
        <w:t>women and girls</w:t>
      </w:r>
      <w:r w:rsidRPr="00F469E4">
        <w:rPr>
          <w:color w:val="000000" w:themeColor="text1"/>
        </w:rPr>
        <w:t>, especially those living in rural areas,</w:t>
      </w:r>
      <w:r w:rsidR="00F54A38" w:rsidRPr="00F469E4">
        <w:rPr>
          <w:color w:val="000000" w:themeColor="text1"/>
        </w:rPr>
        <w:t xml:space="preserve"> however,</w:t>
      </w:r>
      <w:r w:rsidRPr="00F469E4">
        <w:rPr>
          <w:color w:val="000000" w:themeColor="text1"/>
        </w:rPr>
        <w:t xml:space="preserve"> do not know </w:t>
      </w:r>
      <w:r w:rsidR="00F54A38" w:rsidRPr="00F469E4">
        <w:rPr>
          <w:color w:val="000000" w:themeColor="text1"/>
        </w:rPr>
        <w:t>that this program had be</w:t>
      </w:r>
      <w:r w:rsidRPr="00F469E4">
        <w:rPr>
          <w:color w:val="000000" w:themeColor="text1"/>
        </w:rPr>
        <w:t>e</w:t>
      </w:r>
      <w:r w:rsidR="00F54A38" w:rsidRPr="00F469E4">
        <w:rPr>
          <w:color w:val="000000" w:themeColor="text1"/>
        </w:rPr>
        <w:t>n</w:t>
      </w:r>
      <w:r w:rsidRPr="00F469E4">
        <w:rPr>
          <w:color w:val="000000" w:themeColor="text1"/>
        </w:rPr>
        <w:t xml:space="preserve"> put in place</w:t>
      </w:r>
      <w:r w:rsidR="00E70AB4" w:rsidRPr="00F469E4">
        <w:rPr>
          <w:color w:val="000000" w:themeColor="text1"/>
        </w:rPr>
        <w:t>, compounding the multiple and intersecting forms of discrimination faced by already marginalized women and girls who seek abortions.</w:t>
      </w:r>
    </w:p>
    <w:p w14:paraId="373964E1" w14:textId="4DC40F8A" w:rsidR="003A5603" w:rsidRPr="00F469E4" w:rsidRDefault="003A5603">
      <w:pPr>
        <w:jc w:val="both"/>
        <w:rPr>
          <w:color w:val="000000" w:themeColor="text1"/>
        </w:rPr>
      </w:pPr>
    </w:p>
    <w:p w14:paraId="75950981" w14:textId="0FD44323" w:rsidR="003A5603" w:rsidRPr="00F469E4" w:rsidRDefault="00CF4C91">
      <w:pPr>
        <w:jc w:val="both"/>
        <w:rPr>
          <w:color w:val="000000" w:themeColor="text1"/>
        </w:rPr>
      </w:pPr>
      <w:r>
        <w:rPr>
          <w:color w:val="000000" w:themeColor="text1"/>
        </w:rPr>
        <w:t>In 2011, t</w:t>
      </w:r>
      <w:r w:rsidR="00BA091D" w:rsidRPr="00F469E4">
        <w:rPr>
          <w:color w:val="000000" w:themeColor="text1"/>
        </w:rPr>
        <w:t xml:space="preserve">he CEDAW Committee expressed concern about the intersecting forms of discrimination that prevent poor women, including those from rural villages and marginalized communities, </w:t>
      </w:r>
      <w:r>
        <w:rPr>
          <w:color w:val="000000" w:themeColor="text1"/>
        </w:rPr>
        <w:t>from accessing</w:t>
      </w:r>
      <w:r w:rsidR="00BA091D" w:rsidRPr="00F469E4">
        <w:rPr>
          <w:color w:val="000000" w:themeColor="text1"/>
        </w:rPr>
        <w:t xml:space="preserve"> abortion care.</w:t>
      </w:r>
      <w:r w:rsidR="003B6F0F">
        <w:rPr>
          <w:rStyle w:val="EndnoteReference"/>
          <w:color w:val="000000" w:themeColor="text1"/>
        </w:rPr>
        <w:endnoteReference w:id="34"/>
      </w:r>
      <w:r w:rsidR="00BA091D" w:rsidRPr="00F469E4">
        <w:rPr>
          <w:color w:val="000000" w:themeColor="text1"/>
        </w:rPr>
        <w:t xml:space="preserve"> In its review, the Committee</w:t>
      </w:r>
      <w:r>
        <w:rPr>
          <w:color w:val="000000" w:themeColor="text1"/>
        </w:rPr>
        <w:t xml:space="preserve"> noted </w:t>
      </w:r>
      <w:r w:rsidR="00BA091D" w:rsidRPr="00F469E4">
        <w:rPr>
          <w:color w:val="000000" w:themeColor="text1"/>
        </w:rPr>
        <w:t>“the high rate of unsafe abortion, in particular for women living in poverty, women from rural villages and women from marginalized communities within urban areas, in spite of the legalization of abortion in 2002” and called on Nepal to “[p]</w:t>
      </w:r>
      <w:r w:rsidR="00BA091D" w:rsidRPr="00553D0B">
        <w:rPr>
          <w:bCs/>
          <w:color w:val="000000"/>
        </w:rPr>
        <w:t>rioritize programmes that ensure access to a full range of maternal health services, including antenatal, postnatal and emergency obstetric care, in particular for poor women, rural women and young mothers.”</w:t>
      </w:r>
      <w:r w:rsidR="003B6F0F" w:rsidRPr="00553D0B">
        <w:rPr>
          <w:rStyle w:val="EndnoteReference"/>
          <w:bCs/>
          <w:color w:val="000000"/>
        </w:rPr>
        <w:endnoteReference w:id="35"/>
      </w:r>
      <w:r w:rsidR="00BA091D" w:rsidRPr="00F469E4">
        <w:rPr>
          <w:color w:val="000000" w:themeColor="text1"/>
        </w:rPr>
        <w:t xml:space="preserve"> </w:t>
      </w:r>
      <w:r w:rsidR="003A5603" w:rsidRPr="00F469E4">
        <w:rPr>
          <w:color w:val="000000" w:themeColor="text1"/>
        </w:rPr>
        <w:t xml:space="preserve">In 2016, the CESCR Committee </w:t>
      </w:r>
      <w:r w:rsidR="00BA091D" w:rsidRPr="00F469E4">
        <w:rPr>
          <w:color w:val="000000" w:themeColor="text1"/>
        </w:rPr>
        <w:t xml:space="preserve">also </w:t>
      </w:r>
      <w:r w:rsidR="003A5603" w:rsidRPr="00F469E4">
        <w:rPr>
          <w:color w:val="000000" w:themeColor="text1"/>
        </w:rPr>
        <w:t>called on Nepal to “</w:t>
      </w:r>
      <w:r w:rsidR="00BA091D" w:rsidRPr="00F469E4">
        <w:rPr>
          <w:color w:val="000000" w:themeColor="text1"/>
        </w:rPr>
        <w:t>[</w:t>
      </w:r>
      <w:r w:rsidR="003A5603" w:rsidRPr="00F469E4">
        <w:rPr>
          <w:color w:val="000000" w:themeColor="text1"/>
        </w:rPr>
        <w:t>c</w:t>
      </w:r>
      <w:r w:rsidR="00BA091D" w:rsidRPr="00F469E4">
        <w:rPr>
          <w:color w:val="000000" w:themeColor="text1"/>
        </w:rPr>
        <w:t>]</w:t>
      </w:r>
      <w:r w:rsidR="003A5603" w:rsidRPr="00F469E4">
        <w:rPr>
          <w:color w:val="000000" w:themeColor="text1"/>
        </w:rPr>
        <w:t>onduct dissemination campaigns on the legality of abortion in the State party” and to “</w:t>
      </w:r>
      <w:r w:rsidR="00BA091D" w:rsidRPr="00F469E4">
        <w:rPr>
          <w:color w:val="000000" w:themeColor="text1"/>
        </w:rPr>
        <w:t>[</w:t>
      </w:r>
      <w:r w:rsidR="003A5603" w:rsidRPr="00F469E4">
        <w:rPr>
          <w:color w:val="000000" w:themeColor="text1"/>
        </w:rPr>
        <w:t>e</w:t>
      </w:r>
      <w:r w:rsidR="00BA091D" w:rsidRPr="00F469E4">
        <w:rPr>
          <w:color w:val="000000" w:themeColor="text1"/>
        </w:rPr>
        <w:t>]</w:t>
      </w:r>
      <w:r w:rsidR="003A5603" w:rsidRPr="00F469E4">
        <w:rPr>
          <w:color w:val="000000" w:themeColor="text1"/>
        </w:rPr>
        <w:t xml:space="preserve">nsure </w:t>
      </w:r>
      <w:r w:rsidR="00BA091D" w:rsidRPr="00F469E4">
        <w:rPr>
          <w:color w:val="000000" w:themeColor="text1"/>
        </w:rPr>
        <w:t>access to sexual and reproductive health services and safe abortion services.”</w:t>
      </w:r>
      <w:r w:rsidR="00BA091D" w:rsidRPr="00F469E4">
        <w:rPr>
          <w:rStyle w:val="EndnoteReference"/>
          <w:color w:val="000000" w:themeColor="text1"/>
        </w:rPr>
        <w:endnoteReference w:id="36"/>
      </w:r>
      <w:r w:rsidR="00BA091D" w:rsidRPr="00F469E4">
        <w:rPr>
          <w:color w:val="000000" w:themeColor="text1"/>
        </w:rPr>
        <w:t xml:space="preserve"> </w:t>
      </w:r>
      <w:r w:rsidR="003A5603" w:rsidRPr="00F469E4">
        <w:rPr>
          <w:color w:val="000000" w:themeColor="text1"/>
        </w:rPr>
        <w:t xml:space="preserve"> </w:t>
      </w:r>
    </w:p>
    <w:p w14:paraId="50DC7958" w14:textId="27A5548B" w:rsidR="00F54A38" w:rsidRPr="00F469E4" w:rsidRDefault="00F54A38">
      <w:pPr>
        <w:jc w:val="both"/>
        <w:rPr>
          <w:color w:val="000000" w:themeColor="text1"/>
        </w:rPr>
      </w:pPr>
    </w:p>
    <w:p w14:paraId="2960493B" w14:textId="6AB568D3" w:rsidR="0017144B" w:rsidRPr="00F469E4" w:rsidRDefault="00A03612">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 xml:space="preserve">The </w:t>
      </w:r>
      <w:r w:rsidR="004945A3" w:rsidRPr="00F469E4">
        <w:rPr>
          <w:rFonts w:ascii="Times New Roman" w:hAnsi="Times New Roman" w:cs="Times New Roman"/>
          <w:color w:val="000000" w:themeColor="text1"/>
        </w:rPr>
        <w:t>Philippines</w:t>
      </w:r>
    </w:p>
    <w:p w14:paraId="054B2179" w14:textId="77777777" w:rsidR="009E7C5F" w:rsidRPr="00F469E4" w:rsidRDefault="009E7C5F">
      <w:pPr>
        <w:pStyle w:val="xmsonormal"/>
        <w:ind w:left="1440"/>
        <w:jc w:val="both"/>
        <w:rPr>
          <w:rFonts w:ascii="Times New Roman" w:hAnsi="Times New Roman" w:cs="Times New Roman"/>
          <w:color w:val="000000" w:themeColor="text1"/>
        </w:rPr>
      </w:pPr>
    </w:p>
    <w:p w14:paraId="6DE633A6" w14:textId="05D4EDD3" w:rsidR="0017144B" w:rsidRPr="00F469E4" w:rsidRDefault="0017144B">
      <w:pPr>
        <w:jc w:val="both"/>
      </w:pPr>
      <w:r w:rsidRPr="00F469E4">
        <w:rPr>
          <w:color w:val="000000" w:themeColor="text1"/>
        </w:rPr>
        <w:t xml:space="preserve">The abortion law in the </w:t>
      </w:r>
      <w:r w:rsidR="004945A3" w:rsidRPr="00F469E4">
        <w:rPr>
          <w:color w:val="000000" w:themeColor="text1"/>
        </w:rPr>
        <w:t xml:space="preserve">Philippines </w:t>
      </w:r>
      <w:r w:rsidRPr="00F469E4">
        <w:rPr>
          <w:color w:val="000000" w:themeColor="text1"/>
        </w:rPr>
        <w:t xml:space="preserve">is one of the strictest in the world. </w:t>
      </w:r>
      <w:r w:rsidR="00D545F6" w:rsidRPr="00F469E4">
        <w:t>The Revised Penal Code (RPC) penalizes abortion without any clear exceptions</w:t>
      </w:r>
      <w:r w:rsidR="00FA2D02" w:rsidRPr="00F469E4">
        <w:t>.</w:t>
      </w:r>
      <w:r w:rsidR="00FA2D02" w:rsidRPr="00F469E4">
        <w:rPr>
          <w:rStyle w:val="EndnoteReference"/>
        </w:rPr>
        <w:endnoteReference w:id="37"/>
      </w:r>
      <w:r w:rsidR="005A404F" w:rsidRPr="00F469E4">
        <w:rPr>
          <w:color w:val="000000" w:themeColor="text1"/>
        </w:rPr>
        <w:t xml:space="preserve"> </w:t>
      </w:r>
      <w:r w:rsidR="00FA2D02" w:rsidRPr="00F469E4">
        <w:rPr>
          <w:color w:val="000000" w:themeColor="text1"/>
        </w:rPr>
        <w:t>As in other countries, criminalization of abortion</w:t>
      </w:r>
      <w:r w:rsidRPr="00F469E4">
        <w:rPr>
          <w:color w:val="000000" w:themeColor="text1"/>
        </w:rPr>
        <w:t xml:space="preserve"> does not prevent abortions or unintended</w:t>
      </w:r>
      <w:r w:rsidR="00AD5E65" w:rsidRPr="00F469E4">
        <w:rPr>
          <w:color w:val="000000" w:themeColor="text1"/>
        </w:rPr>
        <w:t xml:space="preserve"> and unwanted</w:t>
      </w:r>
      <w:r w:rsidRPr="00F469E4">
        <w:rPr>
          <w:color w:val="000000" w:themeColor="text1"/>
        </w:rPr>
        <w:t xml:space="preserve"> pregnancies; instead</w:t>
      </w:r>
      <w:r w:rsidR="00FA2D02" w:rsidRPr="00F469E4">
        <w:rPr>
          <w:color w:val="000000" w:themeColor="text1"/>
        </w:rPr>
        <w:t>,</w:t>
      </w:r>
      <w:r w:rsidRPr="00F469E4">
        <w:rPr>
          <w:color w:val="000000" w:themeColor="text1"/>
        </w:rPr>
        <w:t xml:space="preserve"> it leads to increasing levels of unsafe abortions and contributes to rising maternal deaths. Estimates show that the incidence of abortion</w:t>
      </w:r>
      <w:r w:rsidR="001924A1">
        <w:rPr>
          <w:color w:val="000000" w:themeColor="text1"/>
        </w:rPr>
        <w:t xml:space="preserve"> </w:t>
      </w:r>
      <w:r w:rsidR="001924A1" w:rsidRPr="00F469E4">
        <w:rPr>
          <w:color w:val="000000" w:themeColor="text1"/>
        </w:rPr>
        <w:t>in the Philippines</w:t>
      </w:r>
      <w:r w:rsidRPr="00F469E4">
        <w:rPr>
          <w:color w:val="000000" w:themeColor="text1"/>
        </w:rPr>
        <w:t xml:space="preserve"> has increased from 560,000 in 2008 to 610,000 in 2012.</w:t>
      </w:r>
      <w:r w:rsidRPr="00F469E4">
        <w:rPr>
          <w:rStyle w:val="EndnoteReference"/>
          <w:color w:val="000000" w:themeColor="text1"/>
        </w:rPr>
        <w:endnoteReference w:id="38"/>
      </w:r>
      <w:r w:rsidRPr="00F469E4">
        <w:rPr>
          <w:color w:val="000000" w:themeColor="text1"/>
        </w:rPr>
        <w:t xml:space="preserve"> The continued criminalization of abortion has led to actual and threatened deprivations of liberty for </w:t>
      </w:r>
      <w:r w:rsidR="00E407A0" w:rsidRPr="00F469E4">
        <w:rPr>
          <w:color w:val="000000" w:themeColor="text1"/>
        </w:rPr>
        <w:t>women and girls</w:t>
      </w:r>
      <w:r w:rsidRPr="00F469E4">
        <w:rPr>
          <w:color w:val="000000" w:themeColor="text1"/>
        </w:rPr>
        <w:t xml:space="preserve"> in the </w:t>
      </w:r>
      <w:r w:rsidR="004945A3" w:rsidRPr="00F469E4">
        <w:rPr>
          <w:color w:val="000000" w:themeColor="text1"/>
        </w:rPr>
        <w:t>Philippines</w:t>
      </w:r>
      <w:r w:rsidRPr="00F469E4">
        <w:rPr>
          <w:color w:val="000000" w:themeColor="text1"/>
        </w:rPr>
        <w:t xml:space="preserve">. Local media continue to report arrests of </w:t>
      </w:r>
      <w:r w:rsidR="00E407A0" w:rsidRPr="00F469E4">
        <w:rPr>
          <w:color w:val="000000" w:themeColor="text1"/>
        </w:rPr>
        <w:t>women and girls</w:t>
      </w:r>
      <w:r w:rsidRPr="00F469E4">
        <w:rPr>
          <w:color w:val="000000" w:themeColor="text1"/>
        </w:rPr>
        <w:t xml:space="preserve"> seeking abortions.</w:t>
      </w:r>
      <w:r w:rsidR="00AB11F5" w:rsidRPr="00F469E4">
        <w:rPr>
          <w:rStyle w:val="EndnoteReference"/>
          <w:color w:val="000000" w:themeColor="text1"/>
        </w:rPr>
        <w:endnoteReference w:id="39"/>
      </w:r>
      <w:r w:rsidRPr="00F469E4">
        <w:rPr>
          <w:color w:val="000000" w:themeColor="text1"/>
        </w:rPr>
        <w:t xml:space="preserve"> </w:t>
      </w:r>
    </w:p>
    <w:p w14:paraId="335851A1" w14:textId="77777777" w:rsidR="0017144B" w:rsidRPr="00F469E4" w:rsidRDefault="0017144B">
      <w:pPr>
        <w:autoSpaceDE w:val="0"/>
        <w:autoSpaceDN w:val="0"/>
        <w:adjustRightInd w:val="0"/>
        <w:jc w:val="both"/>
        <w:rPr>
          <w:color w:val="000000" w:themeColor="text1"/>
        </w:rPr>
      </w:pPr>
    </w:p>
    <w:p w14:paraId="7B25BFD2" w14:textId="339767EB" w:rsidR="0017144B" w:rsidRPr="00F469E4" w:rsidRDefault="0017144B">
      <w:pPr>
        <w:autoSpaceDE w:val="0"/>
        <w:autoSpaceDN w:val="0"/>
        <w:adjustRightInd w:val="0"/>
        <w:jc w:val="both"/>
        <w:rPr>
          <w:color w:val="000000" w:themeColor="text1"/>
        </w:rPr>
      </w:pPr>
      <w:r w:rsidRPr="00F469E4">
        <w:rPr>
          <w:color w:val="000000" w:themeColor="text1"/>
        </w:rPr>
        <w:t xml:space="preserve">After they are arrested, some </w:t>
      </w:r>
      <w:r w:rsidR="00E407A0" w:rsidRPr="00F469E4">
        <w:rPr>
          <w:color w:val="000000" w:themeColor="text1"/>
        </w:rPr>
        <w:t>women and girls</w:t>
      </w:r>
      <w:r w:rsidRPr="00F469E4">
        <w:rPr>
          <w:color w:val="000000" w:themeColor="text1"/>
        </w:rPr>
        <w:t xml:space="preserve"> plead guilty so that they qualify for probation. Kaye, a young woman from Manila, was terrified and hemorrhaging after taking an unregistered drug to induce an abortion. When she sought medical treatment at a government hospital, instead of </w:t>
      </w:r>
      <w:r w:rsidR="00F95EA9">
        <w:rPr>
          <w:color w:val="000000" w:themeColor="text1"/>
        </w:rPr>
        <w:t xml:space="preserve">receiving </w:t>
      </w:r>
      <w:r w:rsidRPr="00F469E4">
        <w:rPr>
          <w:color w:val="000000" w:themeColor="text1"/>
        </w:rPr>
        <w:t xml:space="preserve">prompt and compassionate care, she was verbally abused by the staff and had to wait for almost 24 hours before receiving life-saving treatment for her complications. Hospital workers refused to provide treatment until Kaye admitted that she had self-induced an abortion. After the forced confession, she was immediately reported to the police by hospital staff. Police officers came to the hospital and brought Kaye to jail, where she was charged and detained for illegally inducing abortion. In exchange for </w:t>
      </w:r>
      <w:r w:rsidR="00FA2D02" w:rsidRPr="00F469E4">
        <w:rPr>
          <w:color w:val="000000" w:themeColor="text1"/>
        </w:rPr>
        <w:t>pleading guilty, she was given six</w:t>
      </w:r>
      <w:r w:rsidRPr="00F469E4">
        <w:rPr>
          <w:color w:val="000000" w:themeColor="text1"/>
        </w:rPr>
        <w:t xml:space="preserve"> months of probation instead of time in prison.</w:t>
      </w:r>
      <w:r w:rsidR="00020CD5" w:rsidRPr="00F469E4">
        <w:rPr>
          <w:rStyle w:val="EndnoteReference"/>
          <w:color w:val="000000" w:themeColor="text1"/>
        </w:rPr>
        <w:endnoteReference w:id="40"/>
      </w:r>
    </w:p>
    <w:p w14:paraId="052306D3" w14:textId="77777777" w:rsidR="00020CD5" w:rsidRPr="00F469E4" w:rsidRDefault="00020CD5">
      <w:pPr>
        <w:autoSpaceDE w:val="0"/>
        <w:autoSpaceDN w:val="0"/>
        <w:adjustRightInd w:val="0"/>
        <w:jc w:val="both"/>
        <w:rPr>
          <w:color w:val="000000" w:themeColor="text1"/>
        </w:rPr>
      </w:pPr>
    </w:p>
    <w:p w14:paraId="723CC649" w14:textId="2C365814" w:rsidR="0017144B" w:rsidRPr="00F469E4" w:rsidRDefault="00E407A0">
      <w:pPr>
        <w:autoSpaceDE w:val="0"/>
        <w:autoSpaceDN w:val="0"/>
        <w:adjustRightInd w:val="0"/>
        <w:jc w:val="both"/>
        <w:rPr>
          <w:color w:val="000000" w:themeColor="text1"/>
        </w:rPr>
      </w:pPr>
      <w:r w:rsidRPr="00F469E4">
        <w:rPr>
          <w:color w:val="000000" w:themeColor="text1"/>
        </w:rPr>
        <w:t>Women and girls</w:t>
      </w:r>
      <w:r w:rsidR="0017144B" w:rsidRPr="00F469E4">
        <w:rPr>
          <w:color w:val="000000" w:themeColor="text1"/>
        </w:rPr>
        <w:t xml:space="preserve"> </w:t>
      </w:r>
      <w:r w:rsidR="00D76BC8" w:rsidRPr="00F469E4">
        <w:rPr>
          <w:color w:val="000000" w:themeColor="text1"/>
        </w:rPr>
        <w:t xml:space="preserve">seeking post-abortion care </w:t>
      </w:r>
      <w:r w:rsidR="0017144B" w:rsidRPr="00F469E4">
        <w:rPr>
          <w:color w:val="000000" w:themeColor="text1"/>
        </w:rPr>
        <w:t>often face aggressive questioning and pressure to admit that they have undergone illegal abortions.</w:t>
      </w:r>
      <w:r w:rsidR="00ED7457" w:rsidRPr="00F469E4">
        <w:rPr>
          <w:color w:val="000000" w:themeColor="text1"/>
        </w:rPr>
        <w:t xml:space="preserve"> The same is not true for </w:t>
      </w:r>
      <w:r w:rsidRPr="00F469E4">
        <w:rPr>
          <w:color w:val="000000" w:themeColor="text1"/>
        </w:rPr>
        <w:t>women and girls</w:t>
      </w:r>
      <w:r w:rsidR="00ED7457" w:rsidRPr="00F469E4">
        <w:rPr>
          <w:color w:val="000000" w:themeColor="text1"/>
        </w:rPr>
        <w:t xml:space="preserve"> who are able to </w:t>
      </w:r>
      <w:r w:rsidR="001E0313" w:rsidRPr="00F469E4">
        <w:rPr>
          <w:color w:val="000000" w:themeColor="text1"/>
        </w:rPr>
        <w:t>afford</w:t>
      </w:r>
      <w:r w:rsidR="00ED7457" w:rsidRPr="00F469E4">
        <w:rPr>
          <w:color w:val="000000" w:themeColor="text1"/>
        </w:rPr>
        <w:t xml:space="preserve"> and obtain care in private health facilities.</w:t>
      </w:r>
      <w:r w:rsidR="0017144B" w:rsidRPr="00F469E4">
        <w:rPr>
          <w:color w:val="000000" w:themeColor="text1"/>
        </w:rPr>
        <w:t xml:space="preserve"> Some health providers have </w:t>
      </w:r>
      <w:r w:rsidR="0017144B" w:rsidRPr="00F469E4">
        <w:rPr>
          <w:color w:val="000000" w:themeColor="text1"/>
        </w:rPr>
        <w:lastRenderedPageBreak/>
        <w:t xml:space="preserve">acknowledged that </w:t>
      </w:r>
      <w:r w:rsidRPr="00F469E4">
        <w:rPr>
          <w:color w:val="000000" w:themeColor="text1"/>
        </w:rPr>
        <w:t>women and girls</w:t>
      </w:r>
      <w:r w:rsidR="0017144B" w:rsidRPr="00F469E4">
        <w:rPr>
          <w:color w:val="000000" w:themeColor="text1"/>
        </w:rPr>
        <w:t xml:space="preserve"> are often treated harshly when suspected of having induced abortion.</w:t>
      </w:r>
      <w:r w:rsidR="00BD6A48" w:rsidRPr="00F469E4">
        <w:rPr>
          <w:rStyle w:val="EndnoteReference"/>
          <w:color w:val="000000" w:themeColor="text1"/>
        </w:rPr>
        <w:endnoteReference w:id="41"/>
      </w:r>
      <w:r w:rsidR="0017144B" w:rsidRPr="00F469E4">
        <w:rPr>
          <w:color w:val="000000" w:themeColor="text1"/>
        </w:rPr>
        <w:t xml:space="preserve"> The harsh treatment includes: interrogating them; coercing them to admit that they induced abortions; scolding; and telling them that they will be sent away if they induced the termination. The interrogation is often accompanied by threats of arrest and imprisonment, as well as coercion to sign disclosures that range from testifying that they did not induce an abortion intentionally to granting permission to the hospital to report the </w:t>
      </w:r>
      <w:r w:rsidRPr="00F469E4">
        <w:rPr>
          <w:color w:val="000000" w:themeColor="text1"/>
        </w:rPr>
        <w:t>women and girls</w:t>
      </w:r>
      <w:r w:rsidR="0017144B" w:rsidRPr="00F469E4">
        <w:rPr>
          <w:color w:val="000000" w:themeColor="text1"/>
        </w:rPr>
        <w:t xml:space="preserve"> to the police if traces of abortion-inducing drugs are found.</w:t>
      </w:r>
      <w:r w:rsidR="008E352E" w:rsidRPr="00F469E4">
        <w:rPr>
          <w:rStyle w:val="EndnoteReference"/>
          <w:color w:val="000000" w:themeColor="text1"/>
        </w:rPr>
        <w:endnoteReference w:id="42"/>
      </w:r>
      <w:r w:rsidR="0017144B" w:rsidRPr="00F469E4">
        <w:rPr>
          <w:color w:val="000000" w:themeColor="text1"/>
        </w:rPr>
        <w:t xml:space="preserve"> This treatment is more likely to occur in public hospitals, where </w:t>
      </w:r>
      <w:r w:rsidRPr="00F469E4">
        <w:rPr>
          <w:color w:val="000000" w:themeColor="text1"/>
        </w:rPr>
        <w:t>women and girls</w:t>
      </w:r>
      <w:r w:rsidR="0017144B" w:rsidRPr="00F469E4">
        <w:rPr>
          <w:color w:val="000000" w:themeColor="text1"/>
        </w:rPr>
        <w:t xml:space="preserve"> with limited resources must go to obtain care</w:t>
      </w:r>
      <w:r w:rsidR="008E352E" w:rsidRPr="00F469E4">
        <w:rPr>
          <w:color w:val="000000" w:themeColor="text1"/>
        </w:rPr>
        <w:t>,</w:t>
      </w:r>
      <w:r w:rsidR="008E352E" w:rsidRPr="00F469E4">
        <w:rPr>
          <w:rStyle w:val="EndnoteReference"/>
          <w:color w:val="000000" w:themeColor="text1"/>
        </w:rPr>
        <w:endnoteReference w:id="43"/>
      </w:r>
      <w:r w:rsidR="008E352E" w:rsidRPr="00F469E4">
        <w:rPr>
          <w:color w:val="000000" w:themeColor="text1"/>
        </w:rPr>
        <w:t xml:space="preserve"> again compounding the effects of the discrimination faced by low-income women and girls who seek abortion care. </w:t>
      </w:r>
      <w:r w:rsidR="0017144B" w:rsidRPr="00F469E4">
        <w:rPr>
          <w:color w:val="000000" w:themeColor="text1"/>
        </w:rPr>
        <w:t xml:space="preserve"> Based on </w:t>
      </w:r>
      <w:r w:rsidRPr="00F469E4">
        <w:rPr>
          <w:color w:val="000000" w:themeColor="text1"/>
        </w:rPr>
        <w:t>women and girls</w:t>
      </w:r>
      <w:r w:rsidR="0017144B" w:rsidRPr="00F469E4">
        <w:rPr>
          <w:color w:val="000000" w:themeColor="text1"/>
        </w:rPr>
        <w:t xml:space="preserve">’ testimonies, the threat of being reported by a healthcare provider has the same effect as a legal reporting requirement of deterring </w:t>
      </w:r>
      <w:r w:rsidRPr="00F469E4">
        <w:rPr>
          <w:color w:val="000000" w:themeColor="text1"/>
        </w:rPr>
        <w:t>women and girls</w:t>
      </w:r>
      <w:r w:rsidR="0017144B" w:rsidRPr="00F469E4">
        <w:rPr>
          <w:color w:val="000000" w:themeColor="text1"/>
        </w:rPr>
        <w:t xml:space="preserve"> from seeking healthcare.</w:t>
      </w:r>
    </w:p>
    <w:p w14:paraId="5A375326" w14:textId="2E0CC813" w:rsidR="0017144B" w:rsidRPr="00F469E4" w:rsidRDefault="0017144B">
      <w:pPr>
        <w:pStyle w:val="xmsonormal"/>
        <w:jc w:val="both"/>
        <w:rPr>
          <w:rFonts w:ascii="Times New Roman" w:hAnsi="Times New Roman" w:cs="Times New Roman"/>
          <w:color w:val="000000" w:themeColor="text1"/>
        </w:rPr>
      </w:pPr>
    </w:p>
    <w:p w14:paraId="2BABDCE4" w14:textId="28FA3D1A" w:rsidR="005928D6" w:rsidRPr="00F469E4" w:rsidRDefault="008E352E">
      <w:pPr>
        <w:jc w:val="both"/>
        <w:rPr>
          <w:color w:val="000000" w:themeColor="text1"/>
        </w:rPr>
      </w:pPr>
      <w:r w:rsidRPr="00F469E4">
        <w:rPr>
          <w:color w:val="000000" w:themeColor="text1"/>
        </w:rPr>
        <w:t xml:space="preserve">In April 2015, the results of the CEDAW Committee’s special inquiry on reproductive rights </w:t>
      </w:r>
      <w:r w:rsidR="003B6F0F">
        <w:rPr>
          <w:color w:val="000000" w:themeColor="text1"/>
        </w:rPr>
        <w:t xml:space="preserve">in the Philippines </w:t>
      </w:r>
      <w:r w:rsidRPr="00F469E4">
        <w:rPr>
          <w:color w:val="000000" w:themeColor="text1"/>
        </w:rPr>
        <w:t>were published.</w:t>
      </w:r>
      <w:r w:rsidRPr="00F469E4">
        <w:rPr>
          <w:rStyle w:val="EndnoteReference"/>
          <w:color w:val="000000" w:themeColor="text1"/>
        </w:rPr>
        <w:endnoteReference w:id="44"/>
      </w:r>
      <w:r w:rsidRPr="00F469E4">
        <w:rPr>
          <w:color w:val="000000" w:themeColor="text1"/>
        </w:rPr>
        <w:t xml:space="preserve"> The Committee found the Philippines </w:t>
      </w:r>
      <w:r w:rsidR="009E4BC3">
        <w:rPr>
          <w:color w:val="000000" w:themeColor="text1"/>
        </w:rPr>
        <w:t>violated</w:t>
      </w:r>
      <w:r w:rsidRPr="00F469E4">
        <w:rPr>
          <w:color w:val="000000" w:themeColor="text1"/>
        </w:rPr>
        <w:t xml:space="preserve"> women’s human rights—particularly their right to freedom from discrimination—by denying thousands of women the full range of reproductive health services and failing to remove barriers to access.</w:t>
      </w:r>
      <w:r w:rsidRPr="00F469E4">
        <w:rPr>
          <w:rStyle w:val="EndnoteReference"/>
          <w:color w:val="000000" w:themeColor="text1"/>
        </w:rPr>
        <w:endnoteReference w:id="45"/>
      </w:r>
      <w:r w:rsidRPr="00F469E4">
        <w:rPr>
          <w:color w:val="000000" w:themeColor="text1"/>
        </w:rPr>
        <w:t xml:space="preserve"> The Committee further found that the country’s abortion ban “particularly harmed disadvantaged groups of women, including poor women and adolescent girls, as well as women in abusive relationships.”</w:t>
      </w:r>
      <w:r w:rsidRPr="00F469E4">
        <w:rPr>
          <w:rStyle w:val="EndnoteReference"/>
          <w:color w:val="000000" w:themeColor="text1"/>
        </w:rPr>
        <w:endnoteReference w:id="46"/>
      </w:r>
      <w:r w:rsidRPr="00F469E4">
        <w:rPr>
          <w:color w:val="000000" w:themeColor="text1"/>
        </w:rPr>
        <w:t xml:space="preserve"> </w:t>
      </w:r>
      <w:r w:rsidR="005928D6" w:rsidRPr="00F469E4">
        <w:rPr>
          <w:color w:val="000000" w:themeColor="text1"/>
        </w:rPr>
        <w:t xml:space="preserve">In 2016, the Committee </w:t>
      </w:r>
      <w:r w:rsidR="003B6F0F">
        <w:rPr>
          <w:color w:val="000000" w:themeColor="text1"/>
        </w:rPr>
        <w:t>reiterated its demand that the</w:t>
      </w:r>
      <w:r w:rsidR="005928D6" w:rsidRPr="00F469E4">
        <w:rPr>
          <w:color w:val="000000" w:themeColor="text1"/>
        </w:rPr>
        <w:t xml:space="preserve"> state legalize abortion under certain circumstances.</w:t>
      </w:r>
      <w:r w:rsidR="005928D6" w:rsidRPr="00F469E4">
        <w:rPr>
          <w:rStyle w:val="EndnoteReference"/>
          <w:color w:val="000000" w:themeColor="text1"/>
        </w:rPr>
        <w:endnoteReference w:id="47"/>
      </w:r>
      <w:r w:rsidR="005928D6" w:rsidRPr="00F469E4">
        <w:rPr>
          <w:color w:val="000000" w:themeColor="text1"/>
        </w:rPr>
        <w:t xml:space="preserve"> </w:t>
      </w:r>
      <w:r w:rsidR="003B6F0F">
        <w:rPr>
          <w:color w:val="000000" w:themeColor="text1"/>
        </w:rPr>
        <w:t>Similarly, i</w:t>
      </w:r>
      <w:r w:rsidRPr="00F469E4">
        <w:rPr>
          <w:color w:val="000000" w:themeColor="text1"/>
        </w:rPr>
        <w:t xml:space="preserve">n 2016, the CESCR Committee </w:t>
      </w:r>
      <w:r w:rsidR="005928D6" w:rsidRPr="00F469E4">
        <w:rPr>
          <w:color w:val="000000" w:themeColor="text1"/>
        </w:rPr>
        <w:t>called on the state to “take all measures necessary to reduce the incidence of unsafe abortion and maternal mortality, including by amending its legislation on the prohibition of abortion to legalize abortion in certain circumstances.”</w:t>
      </w:r>
      <w:r w:rsidR="005928D6" w:rsidRPr="00F469E4">
        <w:rPr>
          <w:rStyle w:val="EndnoteReference"/>
          <w:color w:val="000000" w:themeColor="text1"/>
        </w:rPr>
        <w:endnoteReference w:id="48"/>
      </w:r>
      <w:r w:rsidR="005928D6" w:rsidRPr="00F469E4">
        <w:rPr>
          <w:color w:val="000000" w:themeColor="text1"/>
        </w:rPr>
        <w:t xml:space="preserve"> The C</w:t>
      </w:r>
      <w:r w:rsidR="00BD25B9" w:rsidRPr="00F469E4">
        <w:rPr>
          <w:color w:val="000000" w:themeColor="text1"/>
        </w:rPr>
        <w:t>ommittee against Torture (C</w:t>
      </w:r>
      <w:r w:rsidR="005928D6" w:rsidRPr="00F469E4">
        <w:rPr>
          <w:color w:val="000000" w:themeColor="text1"/>
        </w:rPr>
        <w:t>AT Committee</w:t>
      </w:r>
      <w:r w:rsidR="00BD25B9" w:rsidRPr="00F469E4">
        <w:rPr>
          <w:color w:val="000000" w:themeColor="text1"/>
        </w:rPr>
        <w:t>)</w:t>
      </w:r>
      <w:r w:rsidR="005928D6" w:rsidRPr="00F469E4">
        <w:rPr>
          <w:color w:val="000000" w:themeColor="text1"/>
        </w:rPr>
        <w:t xml:space="preserve"> has also weighed in on the abortion ban, calling on the Philippines to l</w:t>
      </w:r>
      <w:r w:rsidR="003B6F0F">
        <w:rPr>
          <w:color w:val="000000" w:themeColor="text1"/>
        </w:rPr>
        <w:t>egalize abortion and also “[d]</w:t>
      </w:r>
      <w:r w:rsidR="005928D6" w:rsidRPr="00F469E4">
        <w:rPr>
          <w:color w:val="000000" w:themeColor="text1"/>
        </w:rPr>
        <w:t>evelop a confidential complaints mechanism for women subjected to discrimination, harassment or ill-treatment while seeking post-abortion or post-pregnancy treatment or other reproductive health services.”</w:t>
      </w:r>
      <w:r w:rsidR="005928D6" w:rsidRPr="00F469E4">
        <w:rPr>
          <w:rStyle w:val="EndnoteReference"/>
          <w:color w:val="000000" w:themeColor="text1"/>
        </w:rPr>
        <w:endnoteReference w:id="49"/>
      </w:r>
    </w:p>
    <w:p w14:paraId="08751DA6" w14:textId="618B7939" w:rsidR="008E352E" w:rsidRPr="00F469E4" w:rsidRDefault="008E352E">
      <w:pPr>
        <w:pStyle w:val="xmsonormal"/>
        <w:jc w:val="both"/>
        <w:rPr>
          <w:rFonts w:ascii="Times New Roman" w:hAnsi="Times New Roman" w:cs="Times New Roman"/>
          <w:color w:val="000000" w:themeColor="text1"/>
        </w:rPr>
      </w:pPr>
    </w:p>
    <w:p w14:paraId="69CCD3D1" w14:textId="72A719C7" w:rsidR="008A4945" w:rsidRPr="00F469E4" w:rsidRDefault="00755FF5">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R</w:t>
      </w:r>
      <w:r w:rsidR="008A4945" w:rsidRPr="00F469E4">
        <w:rPr>
          <w:rFonts w:ascii="Times New Roman" w:hAnsi="Times New Roman" w:cs="Times New Roman"/>
          <w:color w:val="000000" w:themeColor="text1"/>
        </w:rPr>
        <w:t>wanda</w:t>
      </w:r>
    </w:p>
    <w:p w14:paraId="0E6C1222" w14:textId="77777777" w:rsidR="00AB11F5" w:rsidRPr="00F469E4" w:rsidRDefault="00AB11F5">
      <w:pPr>
        <w:pStyle w:val="xmsonormal"/>
        <w:jc w:val="both"/>
        <w:rPr>
          <w:rFonts w:ascii="Times New Roman" w:hAnsi="Times New Roman" w:cs="Times New Roman"/>
          <w:color w:val="000000" w:themeColor="text1"/>
        </w:rPr>
      </w:pPr>
    </w:p>
    <w:p w14:paraId="23FDED0C" w14:textId="2306D016" w:rsidR="007A2BFA" w:rsidRPr="00F469E4" w:rsidRDefault="009E5A31">
      <w:pPr>
        <w:pStyle w:val="BodyText"/>
        <w:spacing w:after="0"/>
        <w:jc w:val="both"/>
        <w:rPr>
          <w:color w:val="000000" w:themeColor="text1"/>
          <w:spacing w:val="-2"/>
        </w:rPr>
      </w:pPr>
      <w:r w:rsidRPr="00F469E4">
        <w:rPr>
          <w:color w:val="000000" w:themeColor="text1"/>
        </w:rPr>
        <w:t>In Rwan</w:t>
      </w:r>
      <w:r w:rsidR="00D04A9C" w:rsidRPr="00F469E4">
        <w:rPr>
          <w:color w:val="000000" w:themeColor="text1"/>
        </w:rPr>
        <w:t xml:space="preserve">da, a woman who induces her </w:t>
      </w:r>
      <w:r w:rsidR="00182658" w:rsidRPr="00F469E4">
        <w:rPr>
          <w:color w:val="000000" w:themeColor="text1"/>
        </w:rPr>
        <w:t xml:space="preserve">own </w:t>
      </w:r>
      <w:r w:rsidR="00D04A9C" w:rsidRPr="00F469E4">
        <w:rPr>
          <w:color w:val="000000" w:themeColor="text1"/>
        </w:rPr>
        <w:t xml:space="preserve">abortion can face </w:t>
      </w:r>
      <w:r w:rsidR="00182658" w:rsidRPr="00F469E4">
        <w:rPr>
          <w:color w:val="000000" w:themeColor="text1"/>
        </w:rPr>
        <w:t>imprisonment</w:t>
      </w:r>
      <w:r w:rsidR="00D04A9C" w:rsidRPr="00F469E4">
        <w:rPr>
          <w:color w:val="000000" w:themeColor="text1"/>
        </w:rPr>
        <w:t xml:space="preserve"> for one to three years and a fine of fifty thousand to two hundred thousand Rwandan </w:t>
      </w:r>
      <w:r w:rsidR="00AD5E65" w:rsidRPr="00F469E4">
        <w:rPr>
          <w:color w:val="000000" w:themeColor="text1"/>
        </w:rPr>
        <w:t>francs</w:t>
      </w:r>
      <w:r w:rsidR="00D04A9C" w:rsidRPr="00F469E4">
        <w:rPr>
          <w:color w:val="000000" w:themeColor="text1"/>
        </w:rPr>
        <w:t>.</w:t>
      </w:r>
      <w:r w:rsidR="00D04A9C" w:rsidRPr="00F469E4">
        <w:rPr>
          <w:rStyle w:val="EndnoteReference"/>
          <w:color w:val="000000" w:themeColor="text1"/>
        </w:rPr>
        <w:endnoteReference w:id="50"/>
      </w:r>
      <w:r w:rsidR="00D04A9C" w:rsidRPr="00F469E4">
        <w:rPr>
          <w:color w:val="000000" w:themeColor="text1"/>
        </w:rPr>
        <w:t xml:space="preserve"> </w:t>
      </w:r>
      <w:r w:rsidR="00182658" w:rsidRPr="00F469E4">
        <w:rPr>
          <w:color w:val="000000" w:themeColor="text1"/>
        </w:rPr>
        <w:t xml:space="preserve">In 2012, </w:t>
      </w:r>
      <w:r w:rsidR="00AB11F5" w:rsidRPr="00F469E4">
        <w:rPr>
          <w:color w:val="000000" w:themeColor="text1"/>
        </w:rPr>
        <w:t xml:space="preserve">the revised </w:t>
      </w:r>
      <w:r w:rsidR="00D340B8">
        <w:rPr>
          <w:color w:val="000000" w:themeColor="text1"/>
        </w:rPr>
        <w:t>p</w:t>
      </w:r>
      <w:r w:rsidR="00AB11F5" w:rsidRPr="00F469E4">
        <w:rPr>
          <w:color w:val="000000" w:themeColor="text1"/>
        </w:rPr>
        <w:t>enal code reduced the penalty for a woman that induces her own abortion or consents to an abortion from 2-5 years</w:t>
      </w:r>
      <w:r w:rsidR="001F0E22" w:rsidRPr="00F469E4">
        <w:rPr>
          <w:rStyle w:val="EndnoteReference"/>
          <w:color w:val="000000" w:themeColor="text1"/>
        </w:rPr>
        <w:endnoteReference w:id="51"/>
      </w:r>
      <w:r w:rsidR="001F0E22" w:rsidRPr="00F469E4">
        <w:rPr>
          <w:color w:val="000000" w:themeColor="text1"/>
        </w:rPr>
        <w:t xml:space="preserve"> to 1-3 years</w:t>
      </w:r>
      <w:r w:rsidR="00AD5E65" w:rsidRPr="00F469E4">
        <w:rPr>
          <w:color w:val="000000" w:themeColor="text1"/>
        </w:rPr>
        <w:t>.</w:t>
      </w:r>
      <w:r w:rsidR="001F0E22" w:rsidRPr="00F469E4">
        <w:rPr>
          <w:color w:val="000000" w:themeColor="text1"/>
        </w:rPr>
        <w:t xml:space="preserve"> </w:t>
      </w:r>
      <w:r w:rsidR="00AD5E65" w:rsidRPr="00F469E4">
        <w:rPr>
          <w:color w:val="000000" w:themeColor="text1"/>
        </w:rPr>
        <w:t>T</w:t>
      </w:r>
      <w:r w:rsidR="001F0E22" w:rsidRPr="00F469E4">
        <w:rPr>
          <w:color w:val="000000" w:themeColor="text1"/>
        </w:rPr>
        <w:t>he penalty is still heavy</w:t>
      </w:r>
      <w:r w:rsidR="00182658" w:rsidRPr="00F469E4">
        <w:rPr>
          <w:color w:val="000000" w:themeColor="text1"/>
        </w:rPr>
        <w:t>,</w:t>
      </w:r>
      <w:r w:rsidR="001F0E22" w:rsidRPr="00F469E4">
        <w:rPr>
          <w:rStyle w:val="EndnoteReference"/>
          <w:color w:val="000000" w:themeColor="text1"/>
        </w:rPr>
        <w:endnoteReference w:id="52"/>
      </w:r>
      <w:r w:rsidR="001F0E22" w:rsidRPr="00F469E4">
        <w:rPr>
          <w:color w:val="000000" w:themeColor="text1"/>
        </w:rPr>
        <w:t xml:space="preserve"> and the law is aggressively enforced, resulting in the frequent arrest, prosecution, and imprisonment of </w:t>
      </w:r>
      <w:r w:rsidR="00E407A0" w:rsidRPr="00F469E4">
        <w:rPr>
          <w:color w:val="000000" w:themeColor="text1"/>
        </w:rPr>
        <w:t>women and girls</w:t>
      </w:r>
      <w:r w:rsidR="001F0E22" w:rsidRPr="00F469E4">
        <w:rPr>
          <w:color w:val="000000" w:themeColor="text1"/>
        </w:rPr>
        <w:t xml:space="preserve"> for procuring an unlawful abortion.</w:t>
      </w:r>
      <w:r w:rsidR="001F0E22" w:rsidRPr="00F469E4">
        <w:rPr>
          <w:rStyle w:val="EndnoteReference"/>
          <w:color w:val="000000" w:themeColor="text1"/>
        </w:rPr>
        <w:endnoteReference w:id="53"/>
      </w:r>
      <w:r w:rsidR="001F0E22" w:rsidRPr="00F469E4">
        <w:rPr>
          <w:color w:val="000000" w:themeColor="text1"/>
          <w:spacing w:val="-2"/>
        </w:rPr>
        <w:t xml:space="preserve"> </w:t>
      </w:r>
    </w:p>
    <w:p w14:paraId="23BA1A62" w14:textId="77777777" w:rsidR="007A2BFA" w:rsidRPr="00F469E4" w:rsidRDefault="007A2BFA">
      <w:pPr>
        <w:pStyle w:val="BodyText"/>
        <w:spacing w:after="0"/>
        <w:jc w:val="both"/>
        <w:rPr>
          <w:color w:val="000000" w:themeColor="text1"/>
          <w:spacing w:val="-2"/>
        </w:rPr>
      </w:pPr>
    </w:p>
    <w:p w14:paraId="1980EA5D" w14:textId="576993F6" w:rsidR="007A2BFA" w:rsidRPr="00F469E4" w:rsidRDefault="001F0E22">
      <w:pPr>
        <w:pStyle w:val="BodyText"/>
        <w:spacing w:after="0"/>
        <w:jc w:val="both"/>
        <w:rPr>
          <w:color w:val="000000" w:themeColor="text1"/>
        </w:rPr>
      </w:pPr>
      <w:r w:rsidRPr="00F469E4">
        <w:rPr>
          <w:color w:val="000000" w:themeColor="text1"/>
          <w:spacing w:val="-2"/>
        </w:rPr>
        <w:t xml:space="preserve">Research published </w:t>
      </w:r>
      <w:r w:rsidR="007A2BFA" w:rsidRPr="00F469E4">
        <w:rPr>
          <w:color w:val="000000" w:themeColor="text1"/>
          <w:spacing w:val="-2"/>
        </w:rPr>
        <w:t xml:space="preserve">by Ipas </w:t>
      </w:r>
      <w:r w:rsidRPr="00F469E4">
        <w:rPr>
          <w:color w:val="000000" w:themeColor="text1"/>
          <w:spacing w:val="-2"/>
        </w:rPr>
        <w:t xml:space="preserve">in 2015 revealed that from July 2013 to April 2014, 313 </w:t>
      </w:r>
      <w:r w:rsidR="00E407A0" w:rsidRPr="00F469E4">
        <w:rPr>
          <w:color w:val="000000" w:themeColor="text1"/>
          <w:spacing w:val="-2"/>
        </w:rPr>
        <w:t>women and girls</w:t>
      </w:r>
      <w:r w:rsidRPr="00F469E4">
        <w:rPr>
          <w:color w:val="000000" w:themeColor="text1"/>
          <w:spacing w:val="-2"/>
        </w:rPr>
        <w:t xml:space="preserve"> were imprisoned in five prisons for illegal abortions.</w:t>
      </w:r>
      <w:r w:rsidRPr="00F469E4">
        <w:rPr>
          <w:rStyle w:val="EndnoteReference"/>
          <w:color w:val="000000" w:themeColor="text1"/>
          <w:spacing w:val="-2"/>
        </w:rPr>
        <w:endnoteReference w:id="54"/>
      </w:r>
      <w:r w:rsidRPr="00F469E4">
        <w:rPr>
          <w:color w:val="000000" w:themeColor="text1"/>
        </w:rPr>
        <w:t xml:space="preserve"> </w:t>
      </w:r>
      <w:r w:rsidR="00E407A0" w:rsidRPr="00F469E4">
        <w:rPr>
          <w:color w:val="000000" w:themeColor="text1"/>
        </w:rPr>
        <w:t>Women and girls</w:t>
      </w:r>
      <w:r w:rsidR="00182658" w:rsidRPr="00F469E4">
        <w:rPr>
          <w:color w:val="000000" w:themeColor="text1"/>
        </w:rPr>
        <w:t xml:space="preserve"> who were imprisoned for illegal abortions accounted for nearly </w:t>
      </w:r>
      <w:r w:rsidR="00182658" w:rsidRPr="00F469E4">
        <w:rPr>
          <w:color w:val="000000" w:themeColor="text1"/>
          <w:spacing w:val="-2"/>
        </w:rPr>
        <w:t>a quarter of the total female prisoners in these prisons.</w:t>
      </w:r>
      <w:r w:rsidR="00182658" w:rsidRPr="00F469E4">
        <w:rPr>
          <w:rStyle w:val="EndnoteReference"/>
          <w:color w:val="000000" w:themeColor="text1"/>
          <w:spacing w:val="-2"/>
        </w:rPr>
        <w:endnoteReference w:id="55"/>
      </w:r>
      <w:r w:rsidR="008F5747" w:rsidRPr="00F469E4">
        <w:rPr>
          <w:color w:val="000000" w:themeColor="text1"/>
        </w:rPr>
        <w:t xml:space="preserve"> </w:t>
      </w:r>
      <w:r w:rsidR="007A2BFA" w:rsidRPr="00F469E4">
        <w:rPr>
          <w:color w:val="000000" w:themeColor="text1"/>
        </w:rPr>
        <w:t>In 2016, the Guttmacher Institute published its findings that despite the legal restrictions and cultural stigma around abortion, an estimated 22</w:t>
      </w:r>
      <w:r w:rsidR="003B6F0F">
        <w:rPr>
          <w:color w:val="000000" w:themeColor="text1"/>
        </w:rPr>
        <w:t xml:space="preserve"> percent</w:t>
      </w:r>
      <w:r w:rsidR="007A2BFA" w:rsidRPr="00F469E4">
        <w:rPr>
          <w:color w:val="000000" w:themeColor="text1"/>
        </w:rPr>
        <w:t xml:space="preserve"> of unintended pregnancies end in induced abortion, with a disproportionate amount of abortions occurring in Kigali City, Rwanda’s capital.</w:t>
      </w:r>
      <w:r w:rsidR="007A2BFA" w:rsidRPr="00F469E4">
        <w:rPr>
          <w:rStyle w:val="EndnoteReference"/>
          <w:color w:val="000000" w:themeColor="text1"/>
        </w:rPr>
        <w:endnoteReference w:id="56"/>
      </w:r>
      <w:r w:rsidR="007A2BFA" w:rsidRPr="00F469E4">
        <w:rPr>
          <w:color w:val="000000" w:themeColor="text1"/>
        </w:rPr>
        <w:t xml:space="preserve"> The study further found that approximately 17,000 </w:t>
      </w:r>
      <w:r w:rsidR="00E407A0" w:rsidRPr="00F469E4">
        <w:rPr>
          <w:color w:val="000000" w:themeColor="text1"/>
        </w:rPr>
        <w:t>women and girls</w:t>
      </w:r>
      <w:r w:rsidR="007A2BFA" w:rsidRPr="00F469E4">
        <w:rPr>
          <w:color w:val="000000" w:themeColor="text1"/>
        </w:rPr>
        <w:t xml:space="preserve"> are treated in health facilities for complications from induced abortions.</w:t>
      </w:r>
      <w:r w:rsidR="007A2BFA" w:rsidRPr="00F469E4">
        <w:rPr>
          <w:rStyle w:val="EndnoteReference"/>
          <w:color w:val="000000" w:themeColor="text1"/>
        </w:rPr>
        <w:endnoteReference w:id="57"/>
      </w:r>
      <w:r w:rsidR="007A2BFA" w:rsidRPr="00F469E4">
        <w:rPr>
          <w:color w:val="000000" w:themeColor="text1"/>
        </w:rPr>
        <w:t xml:space="preserve"> An estimated 40</w:t>
      </w:r>
      <w:r w:rsidR="003B6F0F">
        <w:rPr>
          <w:color w:val="000000" w:themeColor="text1"/>
        </w:rPr>
        <w:t xml:space="preserve"> percent</w:t>
      </w:r>
      <w:r w:rsidR="007A2BFA" w:rsidRPr="00F469E4">
        <w:rPr>
          <w:color w:val="000000" w:themeColor="text1"/>
        </w:rPr>
        <w:t xml:space="preserve"> of clandestine abortions lead to complications that require treatment in a healthcare </w:t>
      </w:r>
      <w:r w:rsidR="007A2BFA" w:rsidRPr="00F469E4">
        <w:rPr>
          <w:color w:val="000000" w:themeColor="text1"/>
        </w:rPr>
        <w:lastRenderedPageBreak/>
        <w:t>facility, though about one</w:t>
      </w:r>
      <w:r w:rsidR="00D340B8">
        <w:rPr>
          <w:color w:val="000000" w:themeColor="text1"/>
        </w:rPr>
        <w:t>-</w:t>
      </w:r>
      <w:r w:rsidR="007A2BFA" w:rsidRPr="00F469E4">
        <w:rPr>
          <w:color w:val="000000" w:themeColor="text1"/>
        </w:rPr>
        <w:t xml:space="preserve">third of </w:t>
      </w:r>
      <w:r w:rsidR="00E407A0" w:rsidRPr="00F469E4">
        <w:rPr>
          <w:color w:val="000000" w:themeColor="text1"/>
        </w:rPr>
        <w:t>women and girls</w:t>
      </w:r>
      <w:r w:rsidR="007A2BFA" w:rsidRPr="00F469E4">
        <w:rPr>
          <w:color w:val="000000" w:themeColor="text1"/>
        </w:rPr>
        <w:t xml:space="preserve"> experiencing </w:t>
      </w:r>
      <w:r w:rsidR="007B2CC5" w:rsidRPr="00F469E4">
        <w:rPr>
          <w:color w:val="000000" w:themeColor="text1"/>
        </w:rPr>
        <w:t xml:space="preserve">such </w:t>
      </w:r>
      <w:r w:rsidR="007A2BFA" w:rsidRPr="00F469E4">
        <w:rPr>
          <w:color w:val="000000" w:themeColor="text1"/>
        </w:rPr>
        <w:t>complications do not receive treatment.</w:t>
      </w:r>
      <w:r w:rsidR="007A2BFA" w:rsidRPr="00F469E4">
        <w:rPr>
          <w:rStyle w:val="EndnoteReference"/>
          <w:color w:val="000000" w:themeColor="text1"/>
        </w:rPr>
        <w:endnoteReference w:id="58"/>
      </w:r>
      <w:r w:rsidR="007A2BFA" w:rsidRPr="00F469E4">
        <w:rPr>
          <w:color w:val="000000" w:themeColor="text1"/>
        </w:rPr>
        <w:t xml:space="preserve"> Abortions amongst poor </w:t>
      </w:r>
      <w:r w:rsidR="00E407A0" w:rsidRPr="00F469E4">
        <w:rPr>
          <w:color w:val="000000" w:themeColor="text1"/>
        </w:rPr>
        <w:t>women and girls</w:t>
      </w:r>
      <w:r w:rsidR="007A2BFA" w:rsidRPr="00F469E4">
        <w:rPr>
          <w:color w:val="000000" w:themeColor="text1"/>
        </w:rPr>
        <w:t>—from rural and urban areas—are far more likely to result in complications.</w:t>
      </w:r>
      <w:r w:rsidR="007A2BFA" w:rsidRPr="00F469E4">
        <w:rPr>
          <w:rStyle w:val="EndnoteReference"/>
          <w:color w:val="000000" w:themeColor="text1"/>
        </w:rPr>
        <w:endnoteReference w:id="59"/>
      </w:r>
    </w:p>
    <w:p w14:paraId="792823E5" w14:textId="3F8AE4DF" w:rsidR="005928D6" w:rsidRPr="00F469E4" w:rsidRDefault="005928D6">
      <w:pPr>
        <w:pStyle w:val="BodyText"/>
        <w:spacing w:after="0"/>
        <w:jc w:val="both"/>
        <w:rPr>
          <w:color w:val="000000" w:themeColor="text1"/>
        </w:rPr>
      </w:pPr>
    </w:p>
    <w:p w14:paraId="02A764AD" w14:textId="0500E3A7" w:rsidR="00E70AB4" w:rsidRPr="00F469E4" w:rsidRDefault="005928D6">
      <w:pPr>
        <w:pStyle w:val="BodyText"/>
        <w:spacing w:after="0"/>
        <w:jc w:val="both"/>
        <w:rPr>
          <w:color w:val="000000" w:themeColor="text1"/>
        </w:rPr>
      </w:pPr>
      <w:r w:rsidRPr="00F469E4">
        <w:rPr>
          <w:color w:val="000000" w:themeColor="text1"/>
        </w:rPr>
        <w:t>In</w:t>
      </w:r>
      <w:r w:rsidR="003B6F0F">
        <w:rPr>
          <w:color w:val="000000" w:themeColor="text1"/>
        </w:rPr>
        <w:t xml:space="preserve"> its</w:t>
      </w:r>
      <w:r w:rsidRPr="00F469E4">
        <w:rPr>
          <w:color w:val="000000" w:themeColor="text1"/>
        </w:rPr>
        <w:t xml:space="preserve"> </w:t>
      </w:r>
      <w:r w:rsidR="00672653" w:rsidRPr="00F469E4">
        <w:rPr>
          <w:color w:val="000000" w:themeColor="text1"/>
        </w:rPr>
        <w:t>2017</w:t>
      </w:r>
      <w:r w:rsidR="003B6F0F">
        <w:rPr>
          <w:color w:val="000000" w:themeColor="text1"/>
        </w:rPr>
        <w:t xml:space="preserve"> review of Rwanda</w:t>
      </w:r>
      <w:r w:rsidR="00672653" w:rsidRPr="00F469E4">
        <w:rPr>
          <w:color w:val="000000" w:themeColor="text1"/>
        </w:rPr>
        <w:t>, the CEDAW Committee expressed concern about the “alarming number of women [who] are serving prison sentences for abortion-related offences, many of whom were arrested when seeking emergency health care following abortion complications</w:t>
      </w:r>
      <w:r w:rsidR="003B6F0F">
        <w:rPr>
          <w:color w:val="000000" w:themeColor="text1"/>
        </w:rPr>
        <w:t>.</w:t>
      </w:r>
      <w:r w:rsidR="00672653" w:rsidRPr="00F469E4">
        <w:rPr>
          <w:color w:val="000000" w:themeColor="text1"/>
        </w:rPr>
        <w:t>”</w:t>
      </w:r>
      <w:r w:rsidR="003B6F0F" w:rsidRPr="00F469E4">
        <w:rPr>
          <w:rStyle w:val="EndnoteReference"/>
          <w:color w:val="000000" w:themeColor="text1"/>
        </w:rPr>
        <w:endnoteReference w:id="60"/>
      </w:r>
      <w:r w:rsidR="003B6F0F">
        <w:rPr>
          <w:color w:val="000000" w:themeColor="text1"/>
        </w:rPr>
        <w:t xml:space="preserve"> The Committee</w:t>
      </w:r>
      <w:r w:rsidR="00672653" w:rsidRPr="00F469E4">
        <w:rPr>
          <w:color w:val="000000" w:themeColor="text1"/>
        </w:rPr>
        <w:t xml:space="preserve"> called on the government to decriminalize abortion in all cases and remove cumbersome requirements for access to legal abortion.</w:t>
      </w:r>
      <w:r w:rsidR="003B6F0F">
        <w:rPr>
          <w:rStyle w:val="EndnoteReference"/>
          <w:color w:val="000000" w:themeColor="text1"/>
        </w:rPr>
        <w:endnoteReference w:id="61"/>
      </w:r>
      <w:r w:rsidR="00672653" w:rsidRPr="00F469E4">
        <w:rPr>
          <w:color w:val="000000" w:themeColor="text1"/>
        </w:rPr>
        <w:t xml:space="preserve"> Similarly</w:t>
      </w:r>
      <w:r w:rsidR="00E70AB4" w:rsidRPr="00F469E4">
        <w:rPr>
          <w:color w:val="000000" w:themeColor="text1"/>
        </w:rPr>
        <w:t>, in 2016, the Human Rights Committee was also concerned about the legal obstacles</w:t>
      </w:r>
      <w:r w:rsidR="00E70AB4" w:rsidRPr="00F469E4">
        <w:rPr>
          <w:rStyle w:val="EndnoteReference"/>
          <w:color w:val="000000" w:themeColor="text1"/>
        </w:rPr>
        <w:endnoteReference w:id="62"/>
      </w:r>
      <w:r w:rsidR="00E70AB4" w:rsidRPr="00F469E4">
        <w:rPr>
          <w:color w:val="000000" w:themeColor="text1"/>
        </w:rPr>
        <w:t xml:space="preserve"> preventing women from having legal abortions. In </w:t>
      </w:r>
      <w:r w:rsidR="00672653" w:rsidRPr="00F469E4">
        <w:rPr>
          <w:color w:val="000000" w:themeColor="text1"/>
        </w:rPr>
        <w:t xml:space="preserve">2013, the CESCR Committee </w:t>
      </w:r>
      <w:r w:rsidR="003B6F0F">
        <w:rPr>
          <w:color w:val="000000" w:themeColor="text1"/>
        </w:rPr>
        <w:t>expressed disapproval of the</w:t>
      </w:r>
      <w:r w:rsidR="00672653" w:rsidRPr="00F469E4">
        <w:rPr>
          <w:color w:val="000000" w:themeColor="text1"/>
        </w:rPr>
        <w:t xml:space="preserve"> high number of clandestine abortions.</w:t>
      </w:r>
      <w:r w:rsidR="00672653" w:rsidRPr="00F469E4">
        <w:rPr>
          <w:rStyle w:val="EndnoteReference"/>
          <w:color w:val="000000" w:themeColor="text1"/>
        </w:rPr>
        <w:endnoteReference w:id="63"/>
      </w:r>
    </w:p>
    <w:p w14:paraId="7720887C" w14:textId="77777777" w:rsidR="00E70AB4" w:rsidRPr="00F469E4" w:rsidRDefault="00E70AB4">
      <w:pPr>
        <w:pStyle w:val="BodyText"/>
        <w:spacing w:after="0"/>
        <w:jc w:val="both"/>
        <w:rPr>
          <w:color w:val="000000" w:themeColor="text1"/>
        </w:rPr>
      </w:pPr>
    </w:p>
    <w:p w14:paraId="0833D8CA" w14:textId="6BE84C23" w:rsidR="004D1097" w:rsidRPr="00F469E4" w:rsidRDefault="004D1097">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Violations under international</w:t>
      </w:r>
      <w:r w:rsidR="00CD5484" w:rsidRPr="00F469E4">
        <w:rPr>
          <w:rFonts w:ascii="Times New Roman" w:hAnsi="Times New Roman" w:cs="Times New Roman"/>
          <w:color w:val="000000" w:themeColor="text1"/>
        </w:rPr>
        <w:t xml:space="preserve"> human rights</w:t>
      </w:r>
      <w:r w:rsidRPr="00F469E4">
        <w:rPr>
          <w:rFonts w:ascii="Times New Roman" w:hAnsi="Times New Roman" w:cs="Times New Roman"/>
          <w:color w:val="000000" w:themeColor="text1"/>
        </w:rPr>
        <w:t xml:space="preserve"> law</w:t>
      </w:r>
    </w:p>
    <w:p w14:paraId="413C593F" w14:textId="77777777" w:rsidR="000957DC" w:rsidRPr="00F469E4" w:rsidRDefault="000957DC">
      <w:pPr>
        <w:pStyle w:val="BodyText"/>
        <w:spacing w:after="0"/>
        <w:jc w:val="both"/>
        <w:rPr>
          <w:color w:val="000000" w:themeColor="text1"/>
        </w:rPr>
      </w:pPr>
    </w:p>
    <w:p w14:paraId="6C12AE3C" w14:textId="1EB5D6A2" w:rsidR="000957DC" w:rsidRDefault="000957DC">
      <w:pPr>
        <w:jc w:val="both"/>
        <w:rPr>
          <w:bCs/>
        </w:rPr>
      </w:pPr>
      <w:r w:rsidRPr="00F469E4">
        <w:rPr>
          <w:bCs/>
        </w:rPr>
        <w:t xml:space="preserve">Treaty monitoring bodies, including the </w:t>
      </w:r>
      <w:r w:rsidRPr="00F469E4">
        <w:t xml:space="preserve">CEDAW Committee, the Human Rights Committee, the </w:t>
      </w:r>
      <w:r w:rsidR="0013422D" w:rsidRPr="00F469E4">
        <w:t>CES</w:t>
      </w:r>
      <w:r w:rsidR="00CD517B">
        <w:t>C</w:t>
      </w:r>
      <w:r w:rsidR="0013422D" w:rsidRPr="00F469E4">
        <w:t>R Committe</w:t>
      </w:r>
      <w:r w:rsidR="00BD25B9" w:rsidRPr="00F469E4">
        <w:t>e</w:t>
      </w:r>
      <w:r w:rsidR="00267A21" w:rsidRPr="00F469E4">
        <w:t xml:space="preserve">, and the </w:t>
      </w:r>
      <w:r w:rsidR="0013422D" w:rsidRPr="00F469E4">
        <w:t>CAT Committee</w:t>
      </w:r>
      <w:r w:rsidRPr="00F469E4">
        <w:t>,</w:t>
      </w:r>
      <w:r w:rsidRPr="00F469E4">
        <w:rPr>
          <w:bCs/>
        </w:rPr>
        <w:t xml:space="preserve"> have found that </w:t>
      </w:r>
      <w:r w:rsidR="00365960" w:rsidRPr="00F469E4">
        <w:rPr>
          <w:bCs/>
        </w:rPr>
        <w:t>restrictive abortion laws</w:t>
      </w:r>
      <w:r w:rsidRPr="00F469E4">
        <w:rPr>
          <w:bCs/>
        </w:rPr>
        <w:t xml:space="preserve"> violate a range of human rights, including the rights to life, health, privacy, freedom from gender discrimination or gender stereotyping, and freedom from ill-treatment.</w:t>
      </w:r>
      <w:r w:rsidRPr="00F469E4">
        <w:rPr>
          <w:rStyle w:val="EndnoteReference"/>
          <w:bCs/>
        </w:rPr>
        <w:endnoteReference w:id="64"/>
      </w:r>
      <w:r w:rsidR="003644D7" w:rsidRPr="00F469E4">
        <w:rPr>
          <w:bCs/>
        </w:rPr>
        <w:t xml:space="preserve"> </w:t>
      </w:r>
      <w:r w:rsidR="00267A21" w:rsidRPr="00F469E4">
        <w:rPr>
          <w:bCs/>
        </w:rPr>
        <w:t>T</w:t>
      </w:r>
      <w:r w:rsidRPr="00F469E4">
        <w:rPr>
          <w:bCs/>
        </w:rPr>
        <w:t xml:space="preserve">reaty monitoring bodies </w:t>
      </w:r>
      <w:r w:rsidR="00267A21" w:rsidRPr="00F469E4">
        <w:rPr>
          <w:bCs/>
        </w:rPr>
        <w:t>repeatedly recognize</w:t>
      </w:r>
      <w:r w:rsidRPr="00F469E4">
        <w:rPr>
          <w:bCs/>
        </w:rPr>
        <w:t xml:space="preserve"> the connection bet</w:t>
      </w:r>
      <w:r w:rsidR="006D133B" w:rsidRPr="00F469E4">
        <w:rPr>
          <w:bCs/>
        </w:rPr>
        <w:t xml:space="preserve">ween restrictive abortion laws and </w:t>
      </w:r>
      <w:r w:rsidRPr="00F469E4">
        <w:rPr>
          <w:bCs/>
        </w:rPr>
        <w:t>high rates of unsafe abortion and maternal mortality</w:t>
      </w:r>
      <w:r w:rsidR="00267A21" w:rsidRPr="00F469E4">
        <w:rPr>
          <w:bCs/>
        </w:rPr>
        <w:t>.</w:t>
      </w:r>
      <w:r w:rsidRPr="00F469E4">
        <w:rPr>
          <w:rStyle w:val="EndnoteReference"/>
        </w:rPr>
        <w:endnoteReference w:id="65"/>
      </w:r>
      <w:r w:rsidR="00265038" w:rsidRPr="00F469E4">
        <w:rPr>
          <w:bCs/>
        </w:rPr>
        <w:t xml:space="preserve"> </w:t>
      </w:r>
    </w:p>
    <w:p w14:paraId="668067E5" w14:textId="77777777" w:rsidR="00D340B8" w:rsidRPr="00F469E4" w:rsidRDefault="00D340B8">
      <w:pPr>
        <w:jc w:val="both"/>
        <w:rPr>
          <w:bCs/>
        </w:rPr>
      </w:pPr>
    </w:p>
    <w:p w14:paraId="0DEE77EE" w14:textId="40F7BFD2" w:rsidR="00AF2627" w:rsidRPr="00F469E4" w:rsidRDefault="00F72360">
      <w:pPr>
        <w:pStyle w:val="BodyText"/>
        <w:spacing w:after="0"/>
        <w:jc w:val="both"/>
      </w:pPr>
      <w:r>
        <w:t>U.N Special Rapporteurs</w:t>
      </w:r>
      <w:r w:rsidR="00AF2627" w:rsidRPr="00F469E4">
        <w:t xml:space="preserve"> have expressed concern over the imprisonment of women and girls who seek reproductive health care, including abortions. In 2018, the Special Rapporteur on the right of everyone to the enjoyment of the highest attainable standard of physical and mental health expressed concern that criminal laws and legal provisions that restrict access to sexual and reproductive health goods and services and can sometimes result in imprisonment. In particular, the Special Rapporteur noted, “Where abortion is illegal, women may face imprisonment for seeking an abortion and emergency services for pregnancy-related complications, including those due to miscarriages. F</w:t>
      </w:r>
      <w:r w:rsidR="00A3105F" w:rsidRPr="00F469E4">
        <w:t>ear of criminal punishment for ‘aiding or abetting’</w:t>
      </w:r>
      <w:r w:rsidR="00AF2627" w:rsidRPr="00F469E4">
        <w:t xml:space="preserve"> abortions can lead health-care providers to report people suffering from pregnancy complications to authorities.”</w:t>
      </w:r>
      <w:r w:rsidR="00AF2627" w:rsidRPr="00F469E4">
        <w:rPr>
          <w:rStyle w:val="EndnoteReference"/>
        </w:rPr>
        <w:endnoteReference w:id="66"/>
      </w:r>
      <w:r w:rsidR="00333CD2" w:rsidRPr="00F469E4">
        <w:t xml:space="preserve"> </w:t>
      </w:r>
      <w:r w:rsidR="00A3105F" w:rsidRPr="00F469E4">
        <w:t xml:space="preserve">The Special Rapporteur stressed, “It is unacceptable that States continue to use detention and confinement as a preferred </w:t>
      </w:r>
      <w:r w:rsidR="00333CD2" w:rsidRPr="00F469E4">
        <w:t xml:space="preserve">tool to promote public safety, ‘morals’ </w:t>
      </w:r>
      <w:r w:rsidR="00A3105F" w:rsidRPr="00F469E4">
        <w:t>and public health, doing more harm than good to social justice, public health and the realization of the right to physical and mental health.”</w:t>
      </w:r>
      <w:r w:rsidR="00A3105F" w:rsidRPr="00F469E4">
        <w:rPr>
          <w:rStyle w:val="EndnoteReference"/>
        </w:rPr>
        <w:endnoteReference w:id="67"/>
      </w:r>
      <w:r w:rsidR="00A3105F" w:rsidRPr="00F469E4">
        <w:t xml:space="preserve"> </w:t>
      </w:r>
    </w:p>
    <w:p w14:paraId="088AEB5A" w14:textId="77777777" w:rsidR="00B71D54" w:rsidRPr="00F469E4" w:rsidRDefault="00B71D54">
      <w:pPr>
        <w:pStyle w:val="BodyText"/>
        <w:spacing w:after="0"/>
        <w:jc w:val="both"/>
      </w:pPr>
    </w:p>
    <w:p w14:paraId="79E0AB78" w14:textId="113B040C" w:rsidR="00B71D54" w:rsidRPr="00F469E4" w:rsidRDefault="00B71D54">
      <w:pPr>
        <w:pStyle w:val="BodyText"/>
        <w:spacing w:after="0"/>
        <w:jc w:val="both"/>
      </w:pPr>
      <w:r w:rsidRPr="00F469E4">
        <w:rPr>
          <w:bCs/>
        </w:rPr>
        <w:t xml:space="preserve">Like the Special Rapporteur, the treaty monitoring bodies </w:t>
      </w:r>
      <w:r w:rsidR="00553D0B">
        <w:rPr>
          <w:bCs/>
        </w:rPr>
        <w:t xml:space="preserve">have </w:t>
      </w:r>
      <w:r w:rsidRPr="00F469E4">
        <w:rPr>
          <w:bCs/>
        </w:rPr>
        <w:t>call</w:t>
      </w:r>
      <w:r w:rsidR="00553D0B">
        <w:rPr>
          <w:bCs/>
        </w:rPr>
        <w:t>ed</w:t>
      </w:r>
      <w:r w:rsidRPr="00F469E4">
        <w:rPr>
          <w:bCs/>
        </w:rPr>
        <w:t xml:space="preserve"> on countries to decriminalize abortion in all circumstances.</w:t>
      </w:r>
      <w:r w:rsidRPr="00F469E4">
        <w:rPr>
          <w:rStyle w:val="EndnoteReference"/>
        </w:rPr>
        <w:endnoteReference w:id="68"/>
      </w:r>
      <w:r w:rsidRPr="00F469E4">
        <w:rPr>
          <w:bCs/>
        </w:rPr>
        <w:t xml:space="preserve"> They also have found that states should ensure that abortion is</w:t>
      </w:r>
      <w:r w:rsidRPr="00F469E4">
        <w:t xml:space="preserve"> legal, at a minimum, when a woman’s life or health is at risk, in cases of rape and incest, and in cases of severe or fatal fetal impairments.</w:t>
      </w:r>
      <w:r w:rsidRPr="00F469E4">
        <w:rPr>
          <w:rStyle w:val="EndnoteReference"/>
        </w:rPr>
        <w:endnoteReference w:id="69"/>
      </w:r>
      <w:r w:rsidRPr="00F469E4">
        <w:t xml:space="preserve"> States must also eliminate punitive measures for women and girls who undergo abortions and for health care providers who deliver abortion services</w:t>
      </w:r>
      <w:r w:rsidR="00D340B8">
        <w:t>;</w:t>
      </w:r>
      <w:r w:rsidRPr="00F469E4">
        <w:t xml:space="preserve"> criminalization of these services </w:t>
      </w:r>
      <w:r w:rsidR="00D340B8">
        <w:t>has been found to be</w:t>
      </w:r>
      <w:r w:rsidR="00D340B8" w:rsidRPr="00F469E4">
        <w:t xml:space="preserve"> </w:t>
      </w:r>
      <w:r w:rsidRPr="00F469E4">
        <w:t>a form of discrimination and a violation of the rights to health, life, and freedom from torture or ill-treatment.</w:t>
      </w:r>
      <w:r w:rsidRPr="00F469E4">
        <w:rPr>
          <w:rStyle w:val="EndnoteReference"/>
        </w:rPr>
        <w:endnoteReference w:id="70"/>
      </w:r>
    </w:p>
    <w:p w14:paraId="7133A7A9" w14:textId="72710936" w:rsidR="00AF2627" w:rsidRPr="00F469E4" w:rsidRDefault="00AF2627">
      <w:pPr>
        <w:pStyle w:val="BodyText"/>
        <w:spacing w:after="0"/>
        <w:jc w:val="both"/>
      </w:pPr>
    </w:p>
    <w:p w14:paraId="6C521760" w14:textId="6128CE7B" w:rsidR="00E70AB4" w:rsidRPr="00F469E4" w:rsidRDefault="00F72360">
      <w:pPr>
        <w:pStyle w:val="BodyText"/>
        <w:spacing w:after="0"/>
        <w:jc w:val="both"/>
      </w:pPr>
      <w:r>
        <w:t>Criminalization of abortion disproportionately impact</w:t>
      </w:r>
      <w:r w:rsidR="00D340B8">
        <w:t xml:space="preserve">s </w:t>
      </w:r>
      <w:r w:rsidR="00B71D54" w:rsidRPr="00F469E4">
        <w:t xml:space="preserve">marginalized women and girls. </w:t>
      </w:r>
      <w:r w:rsidR="00BD25B9" w:rsidRPr="00F469E4">
        <w:t xml:space="preserve">The Special Rapporteur on violence against women, its causes and consequences </w:t>
      </w:r>
      <w:r w:rsidR="00E70AB4" w:rsidRPr="00F469E4">
        <w:t xml:space="preserve">draws attention to </w:t>
      </w:r>
      <w:r w:rsidR="00E70AB4" w:rsidRPr="00F469E4">
        <w:lastRenderedPageBreak/>
        <w:t xml:space="preserve">how marginalized women and girls experience </w:t>
      </w:r>
      <w:r w:rsidR="00AF2627" w:rsidRPr="00F469E4">
        <w:t xml:space="preserve">the intersection of different types of </w:t>
      </w:r>
      <w:r w:rsidR="00E70AB4" w:rsidRPr="00F469E4">
        <w:t>discrimination</w:t>
      </w:r>
      <w:r w:rsidR="00BD25B9" w:rsidRPr="00F469E4">
        <w:t>, which create a “greater risk of long-term health consequences.”</w:t>
      </w:r>
      <w:r w:rsidR="00AF2627" w:rsidRPr="00F469E4">
        <w:rPr>
          <w:rStyle w:val="EndnoteReference"/>
        </w:rPr>
        <w:endnoteReference w:id="71"/>
      </w:r>
      <w:r w:rsidR="00BD25B9" w:rsidRPr="00F469E4">
        <w:t xml:space="preserve"> “Women who are lacking social and cultural capital, due to their minority or immigration status, language barriers, religious or ethnic affiliation, sexual orientation and/or gender identity or educational attainment, are… at greater risk of long-term health consequences.”</w:t>
      </w:r>
      <w:r w:rsidR="00BD25B9" w:rsidRPr="00F469E4">
        <w:rPr>
          <w:rStyle w:val="EndnoteReference"/>
        </w:rPr>
        <w:endnoteReference w:id="72"/>
      </w:r>
      <w:r w:rsidR="00BD25B9" w:rsidRPr="00F469E4">
        <w:t xml:space="preserve"> Women who live in rural communities where no health services are available and women who suffer from cognitive and/or physical disabilities face additional discrimination.</w:t>
      </w:r>
      <w:r w:rsidR="00BD25B9" w:rsidRPr="00F469E4">
        <w:rPr>
          <w:rStyle w:val="EndnoteReference"/>
        </w:rPr>
        <w:endnoteReference w:id="73"/>
      </w:r>
      <w:r w:rsidR="00BD25B9" w:rsidRPr="00F469E4">
        <w:t xml:space="preserve"> </w:t>
      </w:r>
      <w:r w:rsidR="00AF2627" w:rsidRPr="00F469E4">
        <w:t xml:space="preserve">In her report, </w:t>
      </w:r>
      <w:r w:rsidR="0089742E">
        <w:t>the Special Rapporteur</w:t>
      </w:r>
      <w:r w:rsidR="00AF2627" w:rsidRPr="00F469E4">
        <w:t xml:space="preserve"> calls on governments to acknowledge the structural aspects and factors of discrimination and also analyze the social and economic hierarchies between women and men and also among women.</w:t>
      </w:r>
      <w:r w:rsidR="00AF2627" w:rsidRPr="00F469E4">
        <w:rPr>
          <w:rStyle w:val="EndnoteReference"/>
        </w:rPr>
        <w:endnoteReference w:id="74"/>
      </w:r>
      <w:r w:rsidR="00AF2627" w:rsidRPr="00F469E4">
        <w:t xml:space="preserve"> </w:t>
      </w:r>
    </w:p>
    <w:p w14:paraId="63004CD6" w14:textId="77777777" w:rsidR="00AB11F5" w:rsidRPr="00F469E4" w:rsidRDefault="00AB11F5">
      <w:pPr>
        <w:pStyle w:val="xmsonormal"/>
        <w:jc w:val="both"/>
        <w:rPr>
          <w:rFonts w:ascii="Times New Roman" w:hAnsi="Times New Roman" w:cs="Times New Roman"/>
          <w:color w:val="000000" w:themeColor="text1"/>
        </w:rPr>
      </w:pPr>
    </w:p>
    <w:p w14:paraId="1EAB26E1" w14:textId="26677076" w:rsidR="00BE25DF" w:rsidRPr="00F469E4" w:rsidRDefault="00BE25DF">
      <w:pPr>
        <w:pStyle w:val="xmsonormal"/>
        <w:numPr>
          <w:ilvl w:val="0"/>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Inability to pay hospital fees resulting in detention</w:t>
      </w:r>
    </w:p>
    <w:p w14:paraId="3EE1E7AF" w14:textId="77777777" w:rsidR="00C540A8" w:rsidRPr="00F469E4" w:rsidRDefault="00C540A8">
      <w:pPr>
        <w:pStyle w:val="xmsonormal"/>
        <w:ind w:left="720"/>
        <w:jc w:val="both"/>
        <w:rPr>
          <w:rFonts w:ascii="Times New Roman" w:hAnsi="Times New Roman" w:cs="Times New Roman"/>
          <w:color w:val="000000" w:themeColor="text1"/>
        </w:rPr>
      </w:pPr>
    </w:p>
    <w:p w14:paraId="0BFC6FC1" w14:textId="0065D480" w:rsidR="00CF12C9" w:rsidRPr="00F469E4" w:rsidRDefault="00CF12C9">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Kenya</w:t>
      </w:r>
    </w:p>
    <w:p w14:paraId="7B81E9E1" w14:textId="77777777" w:rsidR="00C540A8" w:rsidRPr="00F469E4" w:rsidRDefault="00C540A8">
      <w:pPr>
        <w:pStyle w:val="xmsonormal"/>
        <w:jc w:val="both"/>
        <w:rPr>
          <w:rFonts w:ascii="Times New Roman" w:hAnsi="Times New Roman" w:cs="Times New Roman"/>
          <w:color w:val="000000" w:themeColor="text1"/>
        </w:rPr>
      </w:pPr>
    </w:p>
    <w:p w14:paraId="6A45716B" w14:textId="01129820" w:rsidR="00C540A8" w:rsidRPr="00F469E4" w:rsidRDefault="00C540A8">
      <w:pPr>
        <w:jc w:val="both"/>
        <w:rPr>
          <w:color w:val="000000" w:themeColor="text1"/>
        </w:rPr>
      </w:pPr>
      <w:r w:rsidRPr="00F469E4">
        <w:rPr>
          <w:color w:val="000000" w:themeColor="text1"/>
        </w:rPr>
        <w:t xml:space="preserve">Many </w:t>
      </w:r>
      <w:r w:rsidR="00E407A0" w:rsidRPr="00F469E4">
        <w:rPr>
          <w:color w:val="000000" w:themeColor="text1"/>
        </w:rPr>
        <w:t>women and girls</w:t>
      </w:r>
      <w:r w:rsidRPr="00F469E4">
        <w:rPr>
          <w:color w:val="000000" w:themeColor="text1"/>
        </w:rPr>
        <w:t xml:space="preserve"> in Africa seeking reproductive health services endure serious human rights violations, including physical and verbal abuse and detention in health facilities for inability to pay the hospital fees they incurred for labor and delivery services.</w:t>
      </w:r>
      <w:r w:rsidRPr="00F469E4">
        <w:rPr>
          <w:rStyle w:val="EndnoteReference"/>
          <w:color w:val="000000" w:themeColor="text1"/>
        </w:rPr>
        <w:endnoteReference w:id="75"/>
      </w:r>
      <w:r w:rsidR="00CA508D" w:rsidRPr="00F469E4">
        <w:rPr>
          <w:color w:val="000000" w:themeColor="text1"/>
        </w:rPr>
        <w:t xml:space="preserve"> The inability to pay hospital fees and the subsequent detention of these women has obvious and disproportionate</w:t>
      </w:r>
      <w:r w:rsidR="0089742E">
        <w:rPr>
          <w:color w:val="000000" w:themeColor="text1"/>
        </w:rPr>
        <w:t xml:space="preserve"> effects on low</w:t>
      </w:r>
      <w:r w:rsidR="00CA508D" w:rsidRPr="00F469E4">
        <w:rPr>
          <w:color w:val="000000" w:themeColor="text1"/>
        </w:rPr>
        <w:t xml:space="preserve"> income and marginalized women. </w:t>
      </w:r>
      <w:r w:rsidRPr="00F469E4">
        <w:rPr>
          <w:bCs/>
          <w:color w:val="000000" w:themeColor="text1"/>
        </w:rPr>
        <w:t>In one detention case, Millicent Awuor (Maimuna) gave birth to a baby girl at Pumwani Maternity Hospital</w:t>
      </w:r>
      <w:r w:rsidR="00021752">
        <w:rPr>
          <w:bCs/>
          <w:color w:val="000000" w:themeColor="text1"/>
        </w:rPr>
        <w:t xml:space="preserve">, </w:t>
      </w:r>
      <w:r w:rsidRPr="00F469E4">
        <w:rPr>
          <w:bCs/>
          <w:color w:val="000000" w:themeColor="text1"/>
        </w:rPr>
        <w:t>Kenya’s largest public maternity hospital. When it was time to be discharged, Maimuna did not have the money to pay the hospital fees. Instead of releasing her pending payment, the hospital staff detained her at the hospital in an overcrowded ward for 24 days</w:t>
      </w:r>
      <w:r w:rsidR="00021752">
        <w:rPr>
          <w:bCs/>
          <w:color w:val="000000" w:themeColor="text1"/>
        </w:rPr>
        <w:t>,</w:t>
      </w:r>
      <w:r w:rsidRPr="00F469E4">
        <w:rPr>
          <w:bCs/>
          <w:color w:val="000000" w:themeColor="text1"/>
        </w:rPr>
        <w:t xml:space="preserve"> the time it took for her family to gather the necessary funds to pay her bill. During this time, Maimuna gave her bed to her newborn daughter and slept on the ﬂoor next to a ﬂooding toilet, causing her to contract pneumonia. During her detention, she did not receive post-natal care and was mistreated by the nurses. Furthermore, she was constantly worried about her other children, who were at home by themselves.</w:t>
      </w:r>
      <w:r w:rsidR="004E69FD" w:rsidRPr="00F469E4">
        <w:rPr>
          <w:rStyle w:val="EndnoteReference"/>
          <w:bCs/>
          <w:color w:val="000000" w:themeColor="text1"/>
        </w:rPr>
        <w:endnoteReference w:id="76"/>
      </w:r>
    </w:p>
    <w:p w14:paraId="051D15ED" w14:textId="77777777" w:rsidR="00C540A8" w:rsidRPr="00F469E4" w:rsidRDefault="00C540A8">
      <w:pPr>
        <w:pStyle w:val="Body1"/>
        <w:jc w:val="both"/>
        <w:rPr>
          <w:rFonts w:ascii="Times New Roman" w:hAnsi="Times New Roman"/>
          <w:bCs/>
          <w:color w:val="000000" w:themeColor="text1"/>
          <w:szCs w:val="24"/>
        </w:rPr>
      </w:pPr>
    </w:p>
    <w:p w14:paraId="47DEE8D5" w14:textId="374F70F1" w:rsidR="00C540A8" w:rsidRPr="00F469E4" w:rsidRDefault="00C540A8">
      <w:pPr>
        <w:pStyle w:val="Body1"/>
        <w:jc w:val="both"/>
        <w:rPr>
          <w:rFonts w:ascii="Times New Roman" w:hAnsi="Times New Roman"/>
          <w:bCs/>
          <w:color w:val="000000" w:themeColor="text1"/>
          <w:szCs w:val="24"/>
        </w:rPr>
      </w:pPr>
      <w:r w:rsidRPr="00F469E4">
        <w:rPr>
          <w:rFonts w:ascii="Times New Roman" w:hAnsi="Times New Roman"/>
          <w:bCs/>
          <w:color w:val="000000" w:themeColor="text1"/>
          <w:szCs w:val="24"/>
        </w:rPr>
        <w:t>Another woman, Margaret Anyoso Oliele, was detained and abused twice at Pumwani while seeking delivery services during different pregnancies. During the ﬁrst visit, she was supposed to be discharged ﬁve days after her Cesarean section but was instead detained due to an inability to pay her bill in full. After undergoing a</w:t>
      </w:r>
      <w:r w:rsidR="00BA693F" w:rsidRPr="00F469E4">
        <w:rPr>
          <w:rFonts w:ascii="Times New Roman" w:hAnsi="Times New Roman"/>
          <w:bCs/>
          <w:color w:val="000000" w:themeColor="text1"/>
          <w:szCs w:val="24"/>
        </w:rPr>
        <w:t>nother</w:t>
      </w:r>
      <w:r w:rsidRPr="00F469E4">
        <w:rPr>
          <w:rFonts w:ascii="Times New Roman" w:hAnsi="Times New Roman"/>
          <w:bCs/>
          <w:color w:val="000000" w:themeColor="text1"/>
          <w:szCs w:val="24"/>
        </w:rPr>
        <w:t xml:space="preserve"> Cesarean section, she was again detained because she was unable to pay the bill in full. During Margaret’s detention, hospital nurses refused to dress her surgery wounds and would not let her go outside, as they were concerned she would run away. After ﬁve days, she was ﬁnally released and had to go to a private clinic for treatment for her infected surgical wound.</w:t>
      </w:r>
      <w:r w:rsidR="004E69FD" w:rsidRPr="00F469E4">
        <w:rPr>
          <w:rStyle w:val="EndnoteReference"/>
          <w:rFonts w:ascii="Times New Roman" w:hAnsi="Times New Roman"/>
          <w:bCs/>
          <w:color w:val="000000" w:themeColor="text1"/>
          <w:szCs w:val="24"/>
        </w:rPr>
        <w:endnoteReference w:id="77"/>
      </w:r>
    </w:p>
    <w:p w14:paraId="4D971503" w14:textId="77777777" w:rsidR="00C540A8" w:rsidRPr="00F469E4" w:rsidRDefault="00C540A8">
      <w:pPr>
        <w:pStyle w:val="Body1"/>
        <w:jc w:val="both"/>
        <w:rPr>
          <w:rFonts w:ascii="Times New Roman" w:hAnsi="Times New Roman"/>
          <w:bCs/>
          <w:color w:val="000000" w:themeColor="text1"/>
          <w:szCs w:val="24"/>
        </w:rPr>
      </w:pPr>
    </w:p>
    <w:p w14:paraId="41F65D9D" w14:textId="724B16E9" w:rsidR="00C540A8" w:rsidRPr="00F469E4" w:rsidRDefault="00C540A8">
      <w:pPr>
        <w:pStyle w:val="Body1"/>
        <w:jc w:val="both"/>
        <w:rPr>
          <w:rFonts w:ascii="Times New Roman" w:hAnsi="Times New Roman"/>
          <w:bCs/>
          <w:color w:val="000000" w:themeColor="text1"/>
          <w:szCs w:val="24"/>
        </w:rPr>
      </w:pPr>
      <w:r w:rsidRPr="00F469E4">
        <w:rPr>
          <w:rFonts w:ascii="Times New Roman" w:hAnsi="Times New Roman"/>
          <w:bCs/>
          <w:color w:val="000000" w:themeColor="text1"/>
          <w:szCs w:val="24"/>
        </w:rPr>
        <w:t>The Center filed a petition before the High Court of Kenya, claiming that the arbitrary detention, abuse</w:t>
      </w:r>
      <w:r w:rsidR="00021752">
        <w:rPr>
          <w:rFonts w:ascii="Times New Roman" w:hAnsi="Times New Roman"/>
          <w:bCs/>
          <w:color w:val="000000" w:themeColor="text1"/>
          <w:szCs w:val="24"/>
        </w:rPr>
        <w:t>,</w:t>
      </w:r>
      <w:r w:rsidRPr="00F469E4">
        <w:rPr>
          <w:rFonts w:ascii="Times New Roman" w:hAnsi="Times New Roman"/>
          <w:bCs/>
          <w:color w:val="000000" w:themeColor="text1"/>
          <w:szCs w:val="24"/>
        </w:rPr>
        <w:t xml:space="preserve"> and mistreatment of these two </w:t>
      </w:r>
      <w:r w:rsidR="00E407A0" w:rsidRPr="00F469E4">
        <w:rPr>
          <w:rFonts w:ascii="Times New Roman" w:hAnsi="Times New Roman"/>
          <w:bCs/>
          <w:color w:val="000000" w:themeColor="text1"/>
          <w:szCs w:val="24"/>
        </w:rPr>
        <w:t xml:space="preserve">women </w:t>
      </w:r>
      <w:r w:rsidR="00D340B8">
        <w:rPr>
          <w:rFonts w:ascii="Times New Roman" w:hAnsi="Times New Roman"/>
          <w:bCs/>
          <w:color w:val="000000" w:themeColor="text1"/>
          <w:szCs w:val="24"/>
        </w:rPr>
        <w:t xml:space="preserve">for </w:t>
      </w:r>
      <w:r w:rsidRPr="00F469E4">
        <w:rPr>
          <w:rFonts w:ascii="Times New Roman" w:hAnsi="Times New Roman"/>
          <w:bCs/>
          <w:color w:val="000000" w:themeColor="text1"/>
          <w:szCs w:val="24"/>
        </w:rPr>
        <w:t>seeking maternal healthcare services and the lack of accountability mechanisms to address these abuses is in clear violation of the Constitution of Kenya and the international and regional human rights treaties that Kenya has ratiﬁed. In its groundbreaking decision,</w:t>
      </w:r>
      <w:r w:rsidRPr="00F469E4">
        <w:rPr>
          <w:rStyle w:val="EndnoteReference"/>
          <w:rFonts w:ascii="Times New Roman" w:hAnsi="Times New Roman"/>
          <w:bCs/>
          <w:color w:val="000000" w:themeColor="text1"/>
          <w:szCs w:val="24"/>
        </w:rPr>
        <w:endnoteReference w:id="78"/>
      </w:r>
      <w:r w:rsidRPr="00F469E4">
        <w:rPr>
          <w:rFonts w:ascii="Times New Roman" w:hAnsi="Times New Roman"/>
          <w:bCs/>
          <w:color w:val="000000" w:themeColor="text1"/>
          <w:szCs w:val="24"/>
        </w:rPr>
        <w:t xml:space="preserve"> the High Court recognized that the actions of the staff of Pumwani Maternity Hospital violated the petitioners’ fundamental rights and ordered the government to take steps to prevent future detention, mistreatment, and abuse of </w:t>
      </w:r>
      <w:r w:rsidR="00E407A0" w:rsidRPr="00F469E4">
        <w:rPr>
          <w:rFonts w:ascii="Times New Roman" w:hAnsi="Times New Roman"/>
          <w:bCs/>
          <w:color w:val="000000" w:themeColor="text1"/>
          <w:szCs w:val="24"/>
        </w:rPr>
        <w:t>women and girls</w:t>
      </w:r>
      <w:r w:rsidRPr="00F469E4">
        <w:rPr>
          <w:rFonts w:ascii="Times New Roman" w:hAnsi="Times New Roman"/>
          <w:bCs/>
          <w:color w:val="000000" w:themeColor="text1"/>
          <w:szCs w:val="24"/>
        </w:rPr>
        <w:t xml:space="preserve"> seeking maternal health services. Specifically, the Court found that detention of the </w:t>
      </w:r>
      <w:r w:rsidRPr="00F469E4">
        <w:rPr>
          <w:rFonts w:ascii="Times New Roman" w:hAnsi="Times New Roman"/>
          <w:bCs/>
          <w:color w:val="000000" w:themeColor="text1"/>
          <w:szCs w:val="24"/>
        </w:rPr>
        <w:lastRenderedPageBreak/>
        <w:t>petitioners violated their liberty and freedom of movement,</w:t>
      </w:r>
      <w:r w:rsidRPr="00F469E4">
        <w:rPr>
          <w:rStyle w:val="EndnoteReference"/>
          <w:rFonts w:ascii="Times New Roman" w:hAnsi="Times New Roman"/>
          <w:bCs/>
          <w:color w:val="000000" w:themeColor="text1"/>
          <w:szCs w:val="24"/>
        </w:rPr>
        <w:endnoteReference w:id="79"/>
      </w:r>
      <w:r w:rsidRPr="00F469E4">
        <w:rPr>
          <w:rFonts w:ascii="Times New Roman" w:hAnsi="Times New Roman"/>
          <w:bCs/>
          <w:color w:val="000000" w:themeColor="text1"/>
          <w:szCs w:val="24"/>
        </w:rPr>
        <w:t xml:space="preserve"> their right to health,</w:t>
      </w:r>
      <w:r w:rsidRPr="00F469E4">
        <w:rPr>
          <w:rStyle w:val="EndnoteReference"/>
          <w:rFonts w:ascii="Times New Roman" w:hAnsi="Times New Roman"/>
          <w:bCs/>
          <w:color w:val="000000" w:themeColor="text1"/>
          <w:szCs w:val="24"/>
        </w:rPr>
        <w:endnoteReference w:id="80"/>
      </w:r>
      <w:r w:rsidRPr="00F469E4">
        <w:rPr>
          <w:rFonts w:ascii="Times New Roman" w:hAnsi="Times New Roman"/>
          <w:bCs/>
          <w:color w:val="000000" w:themeColor="text1"/>
          <w:szCs w:val="24"/>
        </w:rPr>
        <w:t xml:space="preserve"> their right to dignity,</w:t>
      </w:r>
      <w:r w:rsidRPr="00F469E4">
        <w:rPr>
          <w:rStyle w:val="EndnoteReference"/>
          <w:rFonts w:ascii="Times New Roman" w:hAnsi="Times New Roman"/>
          <w:bCs/>
          <w:color w:val="000000" w:themeColor="text1"/>
          <w:szCs w:val="24"/>
        </w:rPr>
        <w:endnoteReference w:id="81"/>
      </w:r>
      <w:r w:rsidRPr="00F469E4">
        <w:rPr>
          <w:rFonts w:ascii="Times New Roman" w:hAnsi="Times New Roman"/>
          <w:bCs/>
          <w:color w:val="000000" w:themeColor="text1"/>
          <w:szCs w:val="24"/>
        </w:rPr>
        <w:t xml:space="preserve"> their right to be free from cruel, inhuman, and degrading treatment,</w:t>
      </w:r>
      <w:r w:rsidRPr="00F469E4">
        <w:rPr>
          <w:rStyle w:val="EndnoteReference"/>
          <w:rFonts w:ascii="Times New Roman" w:hAnsi="Times New Roman"/>
          <w:bCs/>
          <w:color w:val="000000" w:themeColor="text1"/>
          <w:szCs w:val="24"/>
        </w:rPr>
        <w:endnoteReference w:id="82"/>
      </w:r>
      <w:r w:rsidRPr="00F469E4">
        <w:rPr>
          <w:rFonts w:ascii="Times New Roman" w:hAnsi="Times New Roman"/>
          <w:bCs/>
          <w:color w:val="000000" w:themeColor="text1"/>
          <w:szCs w:val="24"/>
        </w:rPr>
        <w:t xml:space="preserve"> and their right to be free from discrimination.</w:t>
      </w:r>
    </w:p>
    <w:p w14:paraId="3A6F8631" w14:textId="637BCE7B" w:rsidR="00BA091D" w:rsidRPr="00F469E4" w:rsidRDefault="00BA091D">
      <w:pPr>
        <w:pStyle w:val="Body1"/>
        <w:jc w:val="both"/>
        <w:rPr>
          <w:rFonts w:ascii="Times New Roman" w:hAnsi="Times New Roman"/>
          <w:bCs/>
          <w:color w:val="000000" w:themeColor="text1"/>
          <w:szCs w:val="24"/>
        </w:rPr>
      </w:pPr>
    </w:p>
    <w:p w14:paraId="1FAD25DE" w14:textId="04DD4D0F" w:rsidR="00BA091D" w:rsidRPr="00F469E4" w:rsidRDefault="00BA091D">
      <w:pPr>
        <w:jc w:val="both"/>
      </w:pPr>
      <w:r w:rsidRPr="00F469E4">
        <w:t xml:space="preserve">The </w:t>
      </w:r>
      <w:r w:rsidR="00D340B8">
        <w:t xml:space="preserve">CEDAW </w:t>
      </w:r>
      <w:r w:rsidRPr="00F469E4">
        <w:t>Committee has expressed concern over the post-delivery detention of women and girls who are unable to pay their medical bills and has called on Kenya to end all post-birth detention of mothers for failure to pay medical bills.</w:t>
      </w:r>
      <w:r w:rsidRPr="00F469E4">
        <w:rPr>
          <w:rStyle w:val="EndnoteReference"/>
        </w:rPr>
        <w:endnoteReference w:id="83"/>
      </w:r>
      <w:r w:rsidRPr="00F469E4">
        <w:t xml:space="preserve"> Similarly, the </w:t>
      </w:r>
      <w:r w:rsidR="00D340B8">
        <w:t xml:space="preserve">CAT </w:t>
      </w:r>
      <w:r w:rsidRPr="00F469E4">
        <w:t xml:space="preserve">Committee and the </w:t>
      </w:r>
      <w:r w:rsidR="00D340B8">
        <w:t xml:space="preserve">CESCR </w:t>
      </w:r>
      <w:r w:rsidRPr="00F469E4">
        <w:t>Committee have also told Kenya to eradicate the practice of post-delivery detention of mothers for the non-payment of fees, including in private facilities.</w:t>
      </w:r>
      <w:r w:rsidRPr="00F469E4">
        <w:rPr>
          <w:rStyle w:val="EndnoteReference"/>
        </w:rPr>
        <w:endnoteReference w:id="84"/>
      </w:r>
      <w:r w:rsidRPr="00F469E4">
        <w:t xml:space="preserve"> To achieve this, the CESCR Committee instructed Kenya to “take concrete measures to ensure free maternal-health care services and to prevent the incidence of post-delivery detention in health-care facilities.”</w:t>
      </w:r>
      <w:r w:rsidRPr="00F469E4">
        <w:rPr>
          <w:rStyle w:val="EndnoteReference"/>
        </w:rPr>
        <w:endnoteReference w:id="85"/>
      </w:r>
    </w:p>
    <w:p w14:paraId="23723A10" w14:textId="77777777" w:rsidR="00C540A8" w:rsidRPr="00F469E4" w:rsidRDefault="00C540A8">
      <w:pPr>
        <w:pStyle w:val="xmsonormal"/>
        <w:jc w:val="both"/>
        <w:rPr>
          <w:rFonts w:ascii="Times New Roman" w:hAnsi="Times New Roman" w:cs="Times New Roman"/>
          <w:color w:val="000000" w:themeColor="text1"/>
        </w:rPr>
      </w:pPr>
    </w:p>
    <w:p w14:paraId="5D95D065" w14:textId="57689EBD" w:rsidR="00CF12C9" w:rsidRPr="00F469E4" w:rsidRDefault="00CF12C9">
      <w:pPr>
        <w:pStyle w:val="xmsonormal"/>
        <w:numPr>
          <w:ilvl w:val="1"/>
          <w:numId w:val="11"/>
        </w:numPr>
        <w:jc w:val="both"/>
        <w:rPr>
          <w:rFonts w:ascii="Times New Roman" w:hAnsi="Times New Roman" w:cs="Times New Roman"/>
          <w:color w:val="000000" w:themeColor="text1"/>
        </w:rPr>
      </w:pPr>
      <w:r w:rsidRPr="00F469E4">
        <w:rPr>
          <w:rFonts w:ascii="Times New Roman" w:hAnsi="Times New Roman" w:cs="Times New Roman"/>
          <w:color w:val="000000" w:themeColor="text1"/>
        </w:rPr>
        <w:t>Nigeria</w:t>
      </w:r>
    </w:p>
    <w:p w14:paraId="61086002" w14:textId="77777777" w:rsidR="00BE25DF" w:rsidRPr="00F469E4" w:rsidRDefault="00BE25DF">
      <w:pPr>
        <w:pStyle w:val="xmsonormal"/>
        <w:jc w:val="both"/>
        <w:rPr>
          <w:rFonts w:ascii="Times New Roman" w:hAnsi="Times New Roman" w:cs="Times New Roman"/>
          <w:color w:val="000000" w:themeColor="text1"/>
        </w:rPr>
      </w:pPr>
    </w:p>
    <w:p w14:paraId="363DF87F" w14:textId="675355CB" w:rsidR="005D3C94" w:rsidRPr="00F469E4" w:rsidRDefault="005D3C94">
      <w:pPr>
        <w:pStyle w:val="Body1"/>
        <w:jc w:val="both"/>
        <w:rPr>
          <w:rFonts w:ascii="Times New Roman" w:hAnsi="Times New Roman"/>
          <w:bCs/>
          <w:color w:val="000000" w:themeColor="text1"/>
          <w:szCs w:val="24"/>
        </w:rPr>
      </w:pPr>
      <w:r w:rsidRPr="00F469E4">
        <w:rPr>
          <w:rFonts w:ascii="Times New Roman" w:hAnsi="Times New Roman"/>
          <w:color w:val="000000" w:themeColor="text1"/>
          <w:szCs w:val="24"/>
        </w:rPr>
        <w:t xml:space="preserve">In Nigeria, </w:t>
      </w:r>
      <w:r w:rsidR="00E407A0" w:rsidRPr="00F469E4">
        <w:rPr>
          <w:rFonts w:ascii="Times New Roman" w:hAnsi="Times New Roman"/>
          <w:color w:val="000000" w:themeColor="text1"/>
          <w:szCs w:val="24"/>
        </w:rPr>
        <w:t>women and girls</w:t>
      </w:r>
      <w:r w:rsidRPr="00F469E4">
        <w:rPr>
          <w:rFonts w:ascii="Times New Roman" w:hAnsi="Times New Roman"/>
          <w:color w:val="000000" w:themeColor="text1"/>
          <w:szCs w:val="24"/>
        </w:rPr>
        <w:t xml:space="preserve"> seeking reproductive health services also face detention in hospital facilities for inability to pay the hospital fees. </w:t>
      </w:r>
      <w:r w:rsidRPr="00F469E4">
        <w:rPr>
          <w:rFonts w:ascii="Times New Roman" w:hAnsi="Times New Roman"/>
          <w:bCs/>
          <w:color w:val="000000" w:themeColor="text1"/>
          <w:szCs w:val="24"/>
        </w:rPr>
        <w:t xml:space="preserve">A major obstacle to Nigerian </w:t>
      </w:r>
      <w:r w:rsidR="00E407A0" w:rsidRPr="00F469E4">
        <w:rPr>
          <w:rFonts w:ascii="Times New Roman" w:hAnsi="Times New Roman"/>
          <w:bCs/>
          <w:color w:val="000000" w:themeColor="text1"/>
          <w:szCs w:val="24"/>
        </w:rPr>
        <w:t>women and girls</w:t>
      </w:r>
      <w:r w:rsidRPr="00F469E4">
        <w:rPr>
          <w:rFonts w:ascii="Times New Roman" w:hAnsi="Times New Roman"/>
          <w:bCs/>
          <w:color w:val="000000" w:themeColor="text1"/>
          <w:szCs w:val="24"/>
        </w:rPr>
        <w:t xml:space="preserve"> who attempt to access maternal health facilities is the cost of services. When unable to pay the hospital fees, many </w:t>
      </w:r>
      <w:r w:rsidR="00E407A0" w:rsidRPr="00F469E4">
        <w:rPr>
          <w:rFonts w:ascii="Times New Roman" w:hAnsi="Times New Roman"/>
          <w:bCs/>
          <w:color w:val="000000" w:themeColor="text1"/>
          <w:szCs w:val="24"/>
        </w:rPr>
        <w:t>women and girls</w:t>
      </w:r>
      <w:r w:rsidRPr="00F469E4">
        <w:rPr>
          <w:rFonts w:ascii="Times New Roman" w:hAnsi="Times New Roman"/>
          <w:bCs/>
          <w:color w:val="000000" w:themeColor="text1"/>
          <w:szCs w:val="24"/>
        </w:rPr>
        <w:t xml:space="preserve"> are detained in healthcare facilities without due process and are refused medical treatment, often leading to grave consequences to their life and health, which can discourage others from seeking skilled maternal care to avoid detention.</w:t>
      </w:r>
      <w:r w:rsidRPr="00F469E4">
        <w:rPr>
          <w:rStyle w:val="EndnoteReference"/>
          <w:rFonts w:ascii="Times New Roman" w:hAnsi="Times New Roman"/>
          <w:bCs/>
          <w:color w:val="000000" w:themeColor="text1"/>
          <w:szCs w:val="24"/>
        </w:rPr>
        <w:endnoteReference w:id="86"/>
      </w:r>
      <w:r w:rsidRPr="00F469E4">
        <w:rPr>
          <w:rFonts w:ascii="Times New Roman" w:hAnsi="Times New Roman"/>
          <w:bCs/>
          <w:color w:val="000000" w:themeColor="text1"/>
          <w:szCs w:val="24"/>
        </w:rPr>
        <w:t xml:space="preserve"> </w:t>
      </w:r>
    </w:p>
    <w:p w14:paraId="0272FC61" w14:textId="77777777" w:rsidR="005D3C94" w:rsidRPr="00F469E4" w:rsidRDefault="005D3C94">
      <w:pPr>
        <w:pStyle w:val="Body1"/>
        <w:jc w:val="both"/>
        <w:rPr>
          <w:rFonts w:ascii="Times New Roman" w:hAnsi="Times New Roman"/>
          <w:bCs/>
          <w:color w:val="000000" w:themeColor="text1"/>
          <w:szCs w:val="24"/>
        </w:rPr>
      </w:pPr>
    </w:p>
    <w:p w14:paraId="1048B95B" w14:textId="34A147CD" w:rsidR="005D3C94" w:rsidRPr="00F469E4" w:rsidRDefault="005D3C94">
      <w:pPr>
        <w:tabs>
          <w:tab w:val="left" w:pos="5835"/>
        </w:tabs>
        <w:jc w:val="both"/>
        <w:rPr>
          <w:bCs/>
          <w:color w:val="000000" w:themeColor="text1"/>
        </w:rPr>
      </w:pPr>
      <w:r w:rsidRPr="00F469E4">
        <w:rPr>
          <w:bCs/>
          <w:color w:val="000000" w:themeColor="text1"/>
        </w:rPr>
        <w:t>In 2014, Oduyoye was referred and admitted to the Lagos University Teaching Hospital for complications that arose after she gave birth through a caesarean operation at the Midas Touch private clinic in Lagos.</w:t>
      </w:r>
      <w:r w:rsidRPr="00F469E4">
        <w:rPr>
          <w:rStyle w:val="EndnoteReference"/>
          <w:bCs/>
          <w:color w:val="000000" w:themeColor="text1"/>
        </w:rPr>
        <w:endnoteReference w:id="87"/>
      </w:r>
      <w:r w:rsidRPr="00F469E4">
        <w:rPr>
          <w:bCs/>
          <w:color w:val="000000" w:themeColor="text1"/>
        </w:rPr>
        <w:t xml:space="preserve"> She was treated successfully and discharged, but she was subsequently detained without due process when her family was unable to pay the medical bill in full.</w:t>
      </w:r>
      <w:r w:rsidRPr="00F469E4">
        <w:rPr>
          <w:rStyle w:val="EndnoteReference"/>
          <w:bCs/>
          <w:color w:val="000000" w:themeColor="text1"/>
        </w:rPr>
        <w:endnoteReference w:id="88"/>
      </w:r>
      <w:r w:rsidRPr="00F469E4">
        <w:rPr>
          <w:bCs/>
          <w:color w:val="000000" w:themeColor="text1"/>
        </w:rPr>
        <w:t xml:space="preserve"> Despite her husband’s numerous pleas and attempt to partially pay the hospital fees, she was detained for six weeks in a heavily guarded ward that lacked a toilet, electricity, or mosquito netting. She was denied medical treatment, even when she started having serious health complications.</w:t>
      </w:r>
      <w:r w:rsidRPr="00F469E4">
        <w:rPr>
          <w:rStyle w:val="EndnoteReference"/>
          <w:bCs/>
          <w:color w:val="000000" w:themeColor="text1"/>
        </w:rPr>
        <w:endnoteReference w:id="89"/>
      </w:r>
      <w:r w:rsidRPr="00F469E4">
        <w:rPr>
          <w:bCs/>
          <w:color w:val="000000" w:themeColor="text1"/>
        </w:rPr>
        <w:t xml:space="preserve"> As a result, Oduyoye died from</w:t>
      </w:r>
      <w:r w:rsidRPr="00F469E4">
        <w:rPr>
          <w:color w:val="000000" w:themeColor="text1"/>
        </w:rPr>
        <w:t xml:space="preserve"> </w:t>
      </w:r>
      <w:r w:rsidRPr="00F469E4">
        <w:rPr>
          <w:bCs/>
          <w:color w:val="000000" w:themeColor="text1"/>
        </w:rPr>
        <w:t>puerperal sepsis and pneumonia.</w:t>
      </w:r>
      <w:r w:rsidRPr="00F469E4">
        <w:rPr>
          <w:rStyle w:val="EndnoteReference"/>
          <w:bCs/>
          <w:color w:val="000000" w:themeColor="text1"/>
        </w:rPr>
        <w:endnoteReference w:id="90"/>
      </w:r>
      <w:r w:rsidRPr="00F469E4">
        <w:rPr>
          <w:bCs/>
          <w:color w:val="000000" w:themeColor="text1"/>
        </w:rPr>
        <w:t xml:space="preserve"> The </w:t>
      </w:r>
      <w:r w:rsidR="00E407A0" w:rsidRPr="00F469E4">
        <w:rPr>
          <w:color w:val="000000" w:themeColor="text1"/>
        </w:rPr>
        <w:t xml:space="preserve">Women </w:t>
      </w:r>
      <w:r w:rsidRPr="00F469E4">
        <w:rPr>
          <w:color w:val="000000" w:themeColor="text1"/>
        </w:rPr>
        <w:t>Advocates Research and Documentation Centre</w:t>
      </w:r>
      <w:r w:rsidRPr="00F469E4">
        <w:rPr>
          <w:bCs/>
          <w:color w:val="000000" w:themeColor="text1"/>
        </w:rPr>
        <w:t xml:space="preserve"> and the Center filed a case before the Federal High Court of Nigeria, seeking government accountability for failure to ensure Oduyoye’s access to maternal health services. Particularly, the case</w:t>
      </w:r>
      <w:r w:rsidRPr="00F469E4">
        <w:rPr>
          <w:color w:val="000000" w:themeColor="text1"/>
        </w:rPr>
        <w:t xml:space="preserve"> </w:t>
      </w:r>
      <w:r w:rsidR="00D340B8">
        <w:rPr>
          <w:color w:val="000000" w:themeColor="text1"/>
        </w:rPr>
        <w:t>sought</w:t>
      </w:r>
      <w:r w:rsidRPr="00F469E4">
        <w:rPr>
          <w:bCs/>
          <w:color w:val="000000" w:themeColor="text1"/>
        </w:rPr>
        <w:t xml:space="preserve"> financial reparations, a public apology, and a declaration that the detention of Oduyoye was illegal, unconstitutional, and in violation of her rights</w:t>
      </w:r>
      <w:r w:rsidRPr="00F469E4">
        <w:rPr>
          <w:color w:val="000000" w:themeColor="text1"/>
        </w:rPr>
        <w:t xml:space="preserve"> </w:t>
      </w:r>
      <w:r w:rsidRPr="00F469E4">
        <w:rPr>
          <w:bCs/>
          <w:color w:val="000000" w:themeColor="text1"/>
        </w:rPr>
        <w:t>to life, health, liberty, freedom from arbitrary detention, non-discrimination, dignity, and freedom from cruel, inhuman and degrading treatment.</w:t>
      </w:r>
      <w:r w:rsidRPr="00F469E4">
        <w:rPr>
          <w:rStyle w:val="EndnoteReference"/>
          <w:bCs/>
          <w:color w:val="000000" w:themeColor="text1"/>
        </w:rPr>
        <w:endnoteReference w:id="91"/>
      </w:r>
      <w:r w:rsidRPr="00F469E4">
        <w:rPr>
          <w:bCs/>
          <w:color w:val="000000" w:themeColor="text1"/>
        </w:rPr>
        <w:t xml:space="preserve"> In May 2018, the Court dismissed the case due </w:t>
      </w:r>
      <w:r w:rsidRPr="00F469E4">
        <w:rPr>
          <w:color w:val="000000" w:themeColor="text1"/>
        </w:rPr>
        <w:t>to a procedural irregularity that should not be applicable if the Court had addressed the case as a human rights violation case.</w:t>
      </w:r>
      <w:r w:rsidRPr="00F469E4">
        <w:rPr>
          <w:rStyle w:val="EndnoteReference"/>
          <w:color w:val="000000" w:themeColor="text1"/>
        </w:rPr>
        <w:endnoteReference w:id="92"/>
      </w:r>
    </w:p>
    <w:p w14:paraId="50FBA0AA" w14:textId="77777777" w:rsidR="005D3C94" w:rsidRPr="00F469E4" w:rsidRDefault="005D3C94">
      <w:pPr>
        <w:tabs>
          <w:tab w:val="left" w:pos="5835"/>
        </w:tabs>
        <w:jc w:val="both"/>
        <w:rPr>
          <w:bCs/>
          <w:color w:val="000000" w:themeColor="text1"/>
        </w:rPr>
      </w:pPr>
    </w:p>
    <w:p w14:paraId="604F8AF9" w14:textId="50471840" w:rsidR="005D3C94" w:rsidRPr="00F469E4" w:rsidRDefault="005D3C94">
      <w:pPr>
        <w:tabs>
          <w:tab w:val="left" w:pos="5835"/>
        </w:tabs>
        <w:jc w:val="both"/>
        <w:rPr>
          <w:bCs/>
          <w:color w:val="000000" w:themeColor="text1"/>
        </w:rPr>
      </w:pPr>
      <w:r w:rsidRPr="00F469E4">
        <w:rPr>
          <w:bCs/>
          <w:color w:val="000000" w:themeColor="text1"/>
        </w:rPr>
        <w:t xml:space="preserve">The detention of </w:t>
      </w:r>
      <w:r w:rsidR="00E407A0" w:rsidRPr="00F469E4">
        <w:rPr>
          <w:bCs/>
          <w:color w:val="000000" w:themeColor="text1"/>
        </w:rPr>
        <w:t>women and girls</w:t>
      </w:r>
      <w:r w:rsidRPr="00F469E4">
        <w:rPr>
          <w:bCs/>
          <w:color w:val="000000" w:themeColor="text1"/>
        </w:rPr>
        <w:t xml:space="preserve"> who cannot pay their medical bills is widespread across Nigeria. For example, in a study of 446 </w:t>
      </w:r>
      <w:r w:rsidR="00E407A0" w:rsidRPr="00F469E4">
        <w:rPr>
          <w:bCs/>
          <w:color w:val="000000" w:themeColor="text1"/>
        </w:rPr>
        <w:t>women and girls</w:t>
      </w:r>
      <w:r w:rsidRPr="00F469E4">
        <w:rPr>
          <w:bCs/>
          <w:color w:val="000000" w:themeColor="text1"/>
        </w:rPr>
        <w:t xml:space="preserve"> who had given birth at Enugu State University Teaching Hospital in 2012, 98 reported having been detained because they could not pay their medical bills.</w:t>
      </w:r>
      <w:r w:rsidRPr="00F469E4">
        <w:rPr>
          <w:rStyle w:val="EndnoteReference"/>
          <w:bCs/>
          <w:color w:val="000000" w:themeColor="text1"/>
        </w:rPr>
        <w:endnoteReference w:id="93"/>
      </w:r>
      <w:r w:rsidRPr="00F469E4">
        <w:rPr>
          <w:bCs/>
          <w:color w:val="000000" w:themeColor="text1"/>
        </w:rPr>
        <w:t xml:space="preserve"> </w:t>
      </w:r>
      <w:r w:rsidR="00E407A0" w:rsidRPr="00F469E4">
        <w:rPr>
          <w:bCs/>
          <w:color w:val="000000" w:themeColor="text1"/>
        </w:rPr>
        <w:t>Women and girls</w:t>
      </w:r>
      <w:r w:rsidRPr="00F469E4">
        <w:rPr>
          <w:bCs/>
          <w:color w:val="000000" w:themeColor="text1"/>
        </w:rPr>
        <w:t xml:space="preserve"> like 23-year-old Amarachi Amadi, who as of July 2016 had been detained with her child in a hospital in Abia State for four months with no foreseeable way to pay her bills, are known as Awaiting Bill Settlement patients.</w:t>
      </w:r>
      <w:r w:rsidRPr="00F469E4">
        <w:rPr>
          <w:rStyle w:val="EndnoteReference"/>
          <w:bCs/>
          <w:color w:val="000000" w:themeColor="text1"/>
        </w:rPr>
        <w:endnoteReference w:id="94"/>
      </w:r>
      <w:r w:rsidRPr="00F469E4">
        <w:rPr>
          <w:bCs/>
          <w:color w:val="000000" w:themeColor="text1"/>
        </w:rPr>
        <w:t xml:space="preserve"> They must look after themselves and their newborns while they are prohibited from leaving the hospital until they settle their bills. While some married </w:t>
      </w:r>
      <w:r w:rsidR="00E407A0" w:rsidRPr="00F469E4">
        <w:rPr>
          <w:bCs/>
          <w:color w:val="000000" w:themeColor="text1"/>
        </w:rPr>
        <w:t>women and girls</w:t>
      </w:r>
      <w:r w:rsidRPr="00F469E4">
        <w:rPr>
          <w:bCs/>
          <w:color w:val="000000" w:themeColor="text1"/>
        </w:rPr>
        <w:t xml:space="preserve"> can rely on their husbands to </w:t>
      </w:r>
      <w:r w:rsidRPr="00F469E4">
        <w:rPr>
          <w:bCs/>
          <w:color w:val="000000" w:themeColor="text1"/>
        </w:rPr>
        <w:lastRenderedPageBreak/>
        <w:t>bring them food, single mothers may receive no outside support.</w:t>
      </w:r>
      <w:r w:rsidRPr="00F469E4">
        <w:rPr>
          <w:rStyle w:val="EndnoteReference"/>
          <w:bCs/>
          <w:color w:val="000000" w:themeColor="text1"/>
        </w:rPr>
        <w:endnoteReference w:id="95"/>
      </w:r>
      <w:r w:rsidRPr="00F469E4">
        <w:rPr>
          <w:bCs/>
          <w:color w:val="000000" w:themeColor="text1"/>
        </w:rPr>
        <w:t xml:space="preserve"> In some instances</w:t>
      </w:r>
      <w:r w:rsidR="00D340B8">
        <w:rPr>
          <w:bCs/>
          <w:color w:val="000000" w:themeColor="text1"/>
        </w:rPr>
        <w:t>,</w:t>
      </w:r>
      <w:r w:rsidRPr="00F469E4">
        <w:rPr>
          <w:bCs/>
          <w:color w:val="000000" w:themeColor="text1"/>
        </w:rPr>
        <w:t xml:space="preserve"> the health facilities release the </w:t>
      </w:r>
      <w:r w:rsidR="00E407A0" w:rsidRPr="00F469E4">
        <w:rPr>
          <w:bCs/>
          <w:color w:val="000000" w:themeColor="text1"/>
        </w:rPr>
        <w:t>women and girls</w:t>
      </w:r>
      <w:r w:rsidRPr="00F469E4">
        <w:rPr>
          <w:bCs/>
          <w:color w:val="000000" w:themeColor="text1"/>
        </w:rPr>
        <w:t xml:space="preserve"> but detain their babies for lack of payment. The </w:t>
      </w:r>
      <w:r w:rsidR="00E407A0" w:rsidRPr="00F469E4">
        <w:rPr>
          <w:bCs/>
          <w:color w:val="000000" w:themeColor="text1"/>
        </w:rPr>
        <w:t>women and girls</w:t>
      </w:r>
      <w:r w:rsidRPr="00F469E4">
        <w:rPr>
          <w:bCs/>
          <w:color w:val="000000" w:themeColor="text1"/>
        </w:rPr>
        <w:t xml:space="preserve"> then have to come every day to breastfeed and take care of their newborn until they are able to settle the bills and take the baby home.</w:t>
      </w:r>
    </w:p>
    <w:p w14:paraId="79AADF08" w14:textId="2B3B2ADF" w:rsidR="00BA091D" w:rsidRPr="00F469E4" w:rsidRDefault="00BA091D">
      <w:pPr>
        <w:tabs>
          <w:tab w:val="left" w:pos="5835"/>
        </w:tabs>
        <w:jc w:val="both"/>
        <w:rPr>
          <w:bCs/>
          <w:color w:val="000000" w:themeColor="text1"/>
        </w:rPr>
      </w:pPr>
    </w:p>
    <w:p w14:paraId="17E87552" w14:textId="2016F0B1" w:rsidR="00BA091D" w:rsidRDefault="00BA091D">
      <w:pPr>
        <w:tabs>
          <w:tab w:val="left" w:pos="4194"/>
        </w:tabs>
        <w:jc w:val="both"/>
        <w:rPr>
          <w:bCs/>
        </w:rPr>
      </w:pPr>
      <w:r w:rsidRPr="00F469E4">
        <w:rPr>
          <w:bCs/>
        </w:rPr>
        <w:t xml:space="preserve">The CEDAW Committee and other treaty monitoring bodies have </w:t>
      </w:r>
      <w:r w:rsidR="00D340B8">
        <w:rPr>
          <w:bCs/>
        </w:rPr>
        <w:t>found preventable</w:t>
      </w:r>
      <w:r w:rsidRPr="00F469E4">
        <w:rPr>
          <w:bCs/>
        </w:rPr>
        <w:t xml:space="preserve"> maternal mortality </w:t>
      </w:r>
      <w:r w:rsidR="00D340B8">
        <w:rPr>
          <w:bCs/>
        </w:rPr>
        <w:t>to be</w:t>
      </w:r>
      <w:r w:rsidR="00D340B8" w:rsidRPr="00F469E4">
        <w:rPr>
          <w:bCs/>
        </w:rPr>
        <w:t xml:space="preserve"> </w:t>
      </w:r>
      <w:r w:rsidRPr="00F469E4">
        <w:rPr>
          <w:bCs/>
        </w:rPr>
        <w:t>a violation of women’s and girls’ right to health and life</w:t>
      </w:r>
      <w:r w:rsidR="00D340B8">
        <w:rPr>
          <w:bCs/>
        </w:rPr>
        <w:t xml:space="preserve"> in certain circumstances</w:t>
      </w:r>
      <w:r w:rsidRPr="00F469E4">
        <w:rPr>
          <w:bCs/>
        </w:rPr>
        <w:t>.</w:t>
      </w:r>
      <w:r w:rsidRPr="00F469E4">
        <w:rPr>
          <w:bCs/>
          <w:vertAlign w:val="superscript"/>
        </w:rPr>
        <w:endnoteReference w:id="96"/>
      </w:r>
      <w:r w:rsidRPr="00F469E4">
        <w:rPr>
          <w:bCs/>
        </w:rPr>
        <w:t xml:space="preserve"> The CEDAW Committee has repeatedly drawn attention to the high incidence of maternal death in Nigeria.</w:t>
      </w:r>
      <w:r w:rsidRPr="00F469E4">
        <w:rPr>
          <w:rStyle w:val="EndnoteReference"/>
          <w:bCs/>
        </w:rPr>
        <w:endnoteReference w:id="97"/>
      </w:r>
      <w:r w:rsidRPr="00F469E4">
        <w:rPr>
          <w:bCs/>
        </w:rPr>
        <w:t xml:space="preserve"> The Committee has urged the government to address the issue, as a matter of priority, including through the allocation of “adequate resources to increase women’s access to affordable health services, particularly pre-natal, post-natal, and obstetric services, as well as other medical and emergency assistance provided by trained personnel, particularly in rural areas.”</w:t>
      </w:r>
      <w:r w:rsidRPr="00F469E4">
        <w:rPr>
          <w:rStyle w:val="EndnoteReference"/>
          <w:bCs/>
        </w:rPr>
        <w:endnoteReference w:id="98"/>
      </w:r>
      <w:r w:rsidRPr="00F469E4">
        <w:rPr>
          <w:bCs/>
        </w:rPr>
        <w:t xml:space="preserve"> During the 2013 Universal Periodic Review (UPR), it was also recommended that Nigeria implement measures to reduce the high maternal mortality rate.</w:t>
      </w:r>
      <w:r w:rsidRPr="00F469E4">
        <w:rPr>
          <w:rStyle w:val="EndnoteReference"/>
          <w:bCs/>
        </w:rPr>
        <w:endnoteReference w:id="99"/>
      </w:r>
      <w:r w:rsidRPr="00F469E4">
        <w:rPr>
          <w:bCs/>
        </w:rPr>
        <w:t xml:space="preserve"> Similarly, in 2015, the African Commission on Human and Peoples’ Rights (African Commission) condemned the country’s high rate of maternal mortality</w:t>
      </w:r>
      <w:r w:rsidRPr="00F469E4">
        <w:rPr>
          <w:rStyle w:val="EndnoteReference"/>
          <w:bCs/>
        </w:rPr>
        <w:endnoteReference w:id="100"/>
      </w:r>
      <w:r w:rsidRPr="00F469E4">
        <w:rPr>
          <w:bCs/>
        </w:rPr>
        <w:t xml:space="preserve"> and urged the state to strengthen ongoing initiatives to reduce the high rate of maternal mortality by “eliminating all barriers to maternal health services in the country, increasing budgetary allocation to the health sector in line with the Abuja Declaration, and promoting human rights-based private-sector investment in the health sector.”</w:t>
      </w:r>
      <w:r w:rsidRPr="00F469E4">
        <w:rPr>
          <w:rStyle w:val="EndnoteReference"/>
          <w:bCs/>
        </w:rPr>
        <w:endnoteReference w:id="101"/>
      </w:r>
    </w:p>
    <w:p w14:paraId="2B1C6FD9" w14:textId="7CFB9E7C" w:rsidR="00357920" w:rsidRDefault="00357920">
      <w:pPr>
        <w:tabs>
          <w:tab w:val="left" w:pos="4194"/>
        </w:tabs>
        <w:jc w:val="both"/>
        <w:rPr>
          <w:bCs/>
        </w:rPr>
      </w:pPr>
    </w:p>
    <w:p w14:paraId="5BFC0643" w14:textId="05217F75" w:rsidR="00357920" w:rsidRDefault="00357920" w:rsidP="004B27B4">
      <w:pPr>
        <w:pStyle w:val="ListParagraph"/>
        <w:numPr>
          <w:ilvl w:val="1"/>
          <w:numId w:val="11"/>
        </w:numPr>
        <w:tabs>
          <w:tab w:val="left" w:pos="4194"/>
        </w:tabs>
        <w:jc w:val="both"/>
        <w:rPr>
          <w:bCs/>
        </w:rPr>
      </w:pPr>
      <w:r>
        <w:rPr>
          <w:bCs/>
        </w:rPr>
        <w:t>Violations under international human rights law</w:t>
      </w:r>
    </w:p>
    <w:p w14:paraId="71235576" w14:textId="77777777" w:rsidR="00357920" w:rsidRDefault="00357920" w:rsidP="004B27B4">
      <w:pPr>
        <w:pStyle w:val="ListParagraph"/>
        <w:tabs>
          <w:tab w:val="left" w:pos="4194"/>
        </w:tabs>
        <w:ind w:left="1440"/>
        <w:jc w:val="both"/>
        <w:rPr>
          <w:bCs/>
        </w:rPr>
      </w:pPr>
    </w:p>
    <w:p w14:paraId="34BFAD8E" w14:textId="660C9BA0" w:rsidR="00AB27D1" w:rsidRDefault="00AB27D1" w:rsidP="004B27B4">
      <w:pPr>
        <w:tabs>
          <w:tab w:val="left" w:pos="4194"/>
        </w:tabs>
        <w:jc w:val="both"/>
      </w:pPr>
      <w:r>
        <w:t>The right to maternal health care encompasses a woman’s right to the full range of services in connection with pregnancy and the postnatal period and the ability to access these services free from discrimina</w:t>
      </w:r>
      <w:r w:rsidR="003B311F">
        <w:t>tion, coercion, and violence.</w:t>
      </w:r>
      <w:r w:rsidR="003B311F">
        <w:rPr>
          <w:rStyle w:val="EndnoteReference"/>
        </w:rPr>
        <w:endnoteReference w:id="102"/>
      </w:r>
      <w:r>
        <w:t xml:space="preserve"> Furthermore, treaty monitoring bodies have found that social and other determinants of health must be addressed in order for women to be able to seek and access the matern</w:t>
      </w:r>
      <w:r w:rsidR="003B311F">
        <w:t>al health services they need.</w:t>
      </w:r>
      <w:r w:rsidR="003B311F">
        <w:rPr>
          <w:rStyle w:val="EndnoteReference"/>
        </w:rPr>
        <w:endnoteReference w:id="103"/>
      </w:r>
      <w:r>
        <w:t xml:space="preserve"> Finally, women must be able to exercise reproductive autonomy in determining the number and spacing of their children, have adequate information about maternal health care, and be empowered to utilize maternal health services.</w:t>
      </w:r>
    </w:p>
    <w:p w14:paraId="0D052CD2" w14:textId="77777777" w:rsidR="00AB27D1" w:rsidRDefault="00AB27D1" w:rsidP="004B27B4">
      <w:pPr>
        <w:tabs>
          <w:tab w:val="left" w:pos="4194"/>
        </w:tabs>
        <w:jc w:val="both"/>
      </w:pPr>
    </w:p>
    <w:p w14:paraId="3A266D71" w14:textId="491D6354" w:rsidR="00357920" w:rsidRDefault="00357920" w:rsidP="004B27B4">
      <w:pPr>
        <w:tabs>
          <w:tab w:val="left" w:pos="4194"/>
        </w:tabs>
        <w:jc w:val="both"/>
      </w:pPr>
      <w:r>
        <w:t xml:space="preserve">The treaty monitoring bodies recognize that the failure to provide women with quality maternal health services violates the rights to equality and non-discrimination, because these are services that only women need to meet </w:t>
      </w:r>
      <w:r w:rsidR="003B311F">
        <w:t>their specific health needs.</w:t>
      </w:r>
      <w:r w:rsidR="003B311F">
        <w:rPr>
          <w:rStyle w:val="EndnoteReference"/>
        </w:rPr>
        <w:endnoteReference w:id="104"/>
      </w:r>
      <w:r w:rsidR="004B54AF">
        <w:t xml:space="preserve"> </w:t>
      </w:r>
      <w:r>
        <w:t>The Committees have also indicated that ensuring equality of health results—including by lowering the maternal mortality rate—is an important indicator of a state’s success in fu</w:t>
      </w:r>
      <w:r w:rsidR="00D40C91">
        <w:t>lfilling reproductive rights.</w:t>
      </w:r>
      <w:r w:rsidR="00D40C91">
        <w:rPr>
          <w:rStyle w:val="EndnoteReference"/>
        </w:rPr>
        <w:endnoteReference w:id="105"/>
      </w:r>
      <w:r>
        <w:t xml:space="preserve"> Treaty monitoring bodies have specifically recognized that intersectional discrimination can hinder women’s access to reproductive health services. Treaty monitoring bodies have then recommended that states put a particular focus on the maternal health needs of marginalized groups of women, including adolescents, poor women, minority women, rural women,</w:t>
      </w:r>
      <w:r w:rsidR="00D40C91">
        <w:t xml:space="preserve"> and women with disabilities.</w:t>
      </w:r>
      <w:r w:rsidR="00D40C91">
        <w:rPr>
          <w:rStyle w:val="EndnoteReference"/>
        </w:rPr>
        <w:endnoteReference w:id="106"/>
      </w:r>
    </w:p>
    <w:p w14:paraId="570FE6E8" w14:textId="181A44B3" w:rsidR="00357920" w:rsidRDefault="00357920">
      <w:pPr>
        <w:tabs>
          <w:tab w:val="left" w:pos="4194"/>
        </w:tabs>
        <w:jc w:val="both"/>
      </w:pPr>
    </w:p>
    <w:p w14:paraId="42CA4884" w14:textId="4162B72D" w:rsidR="00357920" w:rsidRPr="00357920" w:rsidRDefault="00357920">
      <w:pPr>
        <w:tabs>
          <w:tab w:val="left" w:pos="4194"/>
        </w:tabs>
        <w:jc w:val="both"/>
        <w:rPr>
          <w:bCs/>
        </w:rPr>
      </w:pPr>
      <w:r>
        <w:t>Treaty monitoring bodies have also addressed the needs of poor and minority women when accessing maternal health services, including the need to collect disaggregated data to track progress on reducing dispari</w:t>
      </w:r>
      <w:r w:rsidR="00135254">
        <w:t>ties in maternal mortality.</w:t>
      </w:r>
      <w:r w:rsidR="00135254">
        <w:rPr>
          <w:rStyle w:val="EndnoteReference"/>
        </w:rPr>
        <w:endnoteReference w:id="107"/>
      </w:r>
      <w:r>
        <w:t xml:space="preserve">  In its 2011 decision in Alyne da Silva Pimentel v. Brazil, the CEDAW Committee found that Brazil had discriminated against Alyne, </w:t>
      </w:r>
      <w:r>
        <w:lastRenderedPageBreak/>
        <w:t>an Afro-Brazilian woman who died following pregnancy and post-natal complications, on the basis of her gender, race, and socioeconomic status when she was den</w:t>
      </w:r>
      <w:r w:rsidR="00135254">
        <w:t>ied maternal health services.</w:t>
      </w:r>
      <w:r w:rsidR="00135254">
        <w:rPr>
          <w:rStyle w:val="EndnoteReference"/>
        </w:rPr>
        <w:endnoteReference w:id="108"/>
      </w:r>
      <w:r>
        <w:t xml:space="preserve"> The CEDAW and ESCR Committees have recognized that maternal health services—including skilled birth attendants, maternal, and postnatal care—are often geographically inaccess</w:t>
      </w:r>
      <w:r w:rsidR="00135254">
        <w:t>ible to women in rural areas.</w:t>
      </w:r>
      <w:r w:rsidR="00135254">
        <w:rPr>
          <w:rStyle w:val="EndnoteReference"/>
        </w:rPr>
        <w:endnoteReference w:id="109"/>
      </w:r>
      <w:r>
        <w:t xml:space="preserve"> There can also be long waiting periods for appointments to receive sexual and </w:t>
      </w:r>
      <w:r w:rsidR="00135254">
        <w:t>reproductive health services.</w:t>
      </w:r>
      <w:r w:rsidR="00135254">
        <w:rPr>
          <w:rStyle w:val="EndnoteReference"/>
        </w:rPr>
        <w:endnoteReference w:id="110"/>
      </w:r>
      <w:r>
        <w:t xml:space="preserve"> They have called on states to pay particular attention to ensuring access for rural women, including by increasing the number of health facilities, funding for health care, and training of pro</w:t>
      </w:r>
      <w:r w:rsidR="00135254">
        <w:t>viders to work in rural areas.</w:t>
      </w:r>
      <w:r w:rsidR="00135254">
        <w:rPr>
          <w:rStyle w:val="EndnoteReference"/>
        </w:rPr>
        <w:endnoteReference w:id="111"/>
      </w:r>
    </w:p>
    <w:p w14:paraId="72B489C2" w14:textId="77777777" w:rsidR="00C633E4" w:rsidRPr="00F469E4" w:rsidRDefault="00C633E4">
      <w:pPr>
        <w:pStyle w:val="xmsonormal"/>
        <w:jc w:val="both"/>
        <w:rPr>
          <w:rFonts w:ascii="Times New Roman" w:hAnsi="Times New Roman" w:cs="Times New Roman"/>
          <w:color w:val="000000" w:themeColor="text1"/>
        </w:rPr>
      </w:pPr>
    </w:p>
    <w:p w14:paraId="6E57FA01" w14:textId="15E71107" w:rsidR="00CF12C9" w:rsidRPr="00E1127D" w:rsidRDefault="005E3FE0">
      <w:pPr>
        <w:pStyle w:val="xmsonormal"/>
        <w:numPr>
          <w:ilvl w:val="0"/>
          <w:numId w:val="11"/>
        </w:numPr>
        <w:jc w:val="both"/>
        <w:rPr>
          <w:rFonts w:ascii="Times New Roman" w:hAnsi="Times New Roman" w:cs="Times New Roman"/>
          <w:color w:val="000000" w:themeColor="text1"/>
        </w:rPr>
      </w:pPr>
      <w:r w:rsidRPr="00E1127D">
        <w:rPr>
          <w:rFonts w:ascii="Times New Roman" w:hAnsi="Times New Roman" w:cs="Times New Roman"/>
          <w:color w:val="000000" w:themeColor="text1"/>
        </w:rPr>
        <w:t>Pregnancy care and access to abortion services while detained</w:t>
      </w:r>
      <w:r w:rsidR="00F5279C" w:rsidRPr="00E1127D">
        <w:rPr>
          <w:rFonts w:ascii="Times New Roman" w:hAnsi="Times New Roman" w:cs="Times New Roman"/>
          <w:color w:val="000000" w:themeColor="text1"/>
        </w:rPr>
        <w:t xml:space="preserve"> or </w:t>
      </w:r>
      <w:r w:rsidR="0089111F" w:rsidRPr="00E1127D">
        <w:rPr>
          <w:rFonts w:ascii="Times New Roman" w:hAnsi="Times New Roman" w:cs="Times New Roman"/>
          <w:color w:val="000000" w:themeColor="text1"/>
        </w:rPr>
        <w:t>imprisoned</w:t>
      </w:r>
    </w:p>
    <w:p w14:paraId="4BD33A53" w14:textId="77777777" w:rsidR="00C92CB1" w:rsidRPr="00E1127D" w:rsidRDefault="00C92CB1">
      <w:pPr>
        <w:pStyle w:val="xmsonormal"/>
        <w:jc w:val="both"/>
        <w:rPr>
          <w:rFonts w:ascii="Times New Roman" w:hAnsi="Times New Roman" w:cs="Times New Roman"/>
          <w:color w:val="000000" w:themeColor="text1"/>
        </w:rPr>
      </w:pPr>
    </w:p>
    <w:p w14:paraId="404C2E1E" w14:textId="77777777" w:rsidR="00553D0B" w:rsidRPr="00E1127D" w:rsidRDefault="00553D0B">
      <w:pPr>
        <w:pStyle w:val="xmsonormal"/>
        <w:numPr>
          <w:ilvl w:val="1"/>
          <w:numId w:val="11"/>
        </w:numPr>
        <w:jc w:val="both"/>
        <w:rPr>
          <w:rFonts w:ascii="Times New Roman" w:hAnsi="Times New Roman" w:cs="Times New Roman"/>
          <w:color w:val="000000" w:themeColor="text1"/>
        </w:rPr>
      </w:pPr>
      <w:r w:rsidRPr="00E1127D">
        <w:rPr>
          <w:rFonts w:ascii="Times New Roman" w:hAnsi="Times New Roman" w:cs="Times New Roman"/>
          <w:color w:val="000000" w:themeColor="text1"/>
        </w:rPr>
        <w:t>United States</w:t>
      </w:r>
    </w:p>
    <w:p w14:paraId="4592181A" w14:textId="77777777" w:rsidR="00553D0B" w:rsidRPr="00E1127D" w:rsidRDefault="00553D0B">
      <w:pPr>
        <w:pStyle w:val="xmsonormal"/>
        <w:jc w:val="both"/>
        <w:rPr>
          <w:rFonts w:ascii="Times New Roman" w:hAnsi="Times New Roman" w:cs="Times New Roman"/>
          <w:color w:val="000000" w:themeColor="text1"/>
        </w:rPr>
      </w:pPr>
    </w:p>
    <w:p w14:paraId="10B38A2B" w14:textId="5AA87811" w:rsidR="004B27B4" w:rsidRPr="002D44D2" w:rsidRDefault="00553D0B" w:rsidP="00E1127D">
      <w:pPr>
        <w:shd w:val="clear" w:color="auto" w:fill="FFFFFF" w:themeFill="background1"/>
        <w:spacing w:after="160" w:line="259" w:lineRule="auto"/>
        <w:jc w:val="both"/>
        <w:rPr>
          <w:color w:val="231F20"/>
        </w:rPr>
      </w:pPr>
      <w:r w:rsidRPr="00E1127D">
        <w:rPr>
          <w:color w:val="231F20"/>
        </w:rPr>
        <w:t>This year, the United States reversed a recent policy change, eliminating the general presumption that the immigration agency should release pregnant individuals in immigration detention except in extraordinary circumstances</w:t>
      </w:r>
      <w:r w:rsidRPr="002D44D2">
        <w:rPr>
          <w:color w:val="231F20"/>
        </w:rPr>
        <w:t xml:space="preserve"> and removing reporting requirements regarding the treatment of pregnant individuals</w:t>
      </w:r>
      <w:r>
        <w:rPr>
          <w:color w:val="231F20"/>
        </w:rPr>
        <w:t xml:space="preserve">. </w:t>
      </w:r>
      <w:r w:rsidRPr="002D44D2">
        <w:rPr>
          <w:color w:val="231F20"/>
        </w:rPr>
        <w:t xml:space="preserve">Since ending the policy last year, the </w:t>
      </w:r>
      <w:r>
        <w:rPr>
          <w:color w:val="231F20"/>
        </w:rPr>
        <w:t xml:space="preserve">Administration </w:t>
      </w:r>
      <w:r w:rsidRPr="002D44D2">
        <w:rPr>
          <w:color w:val="231F20"/>
        </w:rPr>
        <w:t>has detained more than 500 pregnant women, often in conditions in which they do not have access to appropriate prenatal medical care</w:t>
      </w:r>
      <w:r>
        <w:rPr>
          <w:color w:val="231F20"/>
        </w:rPr>
        <w:t>.</w:t>
      </w:r>
      <w:r w:rsidR="004B27B4">
        <w:rPr>
          <w:rStyle w:val="EndnoteReference"/>
          <w:color w:val="231F20"/>
        </w:rPr>
        <w:endnoteReference w:id="112"/>
      </w:r>
    </w:p>
    <w:p w14:paraId="52C85C9A" w14:textId="77777777" w:rsidR="00553D0B" w:rsidRPr="00C73E0B" w:rsidRDefault="00553D0B" w:rsidP="004B27B4">
      <w:pPr>
        <w:pStyle w:val="NormalWeb"/>
        <w:spacing w:before="0" w:beforeAutospacing="0" w:after="0" w:afterAutospacing="0"/>
        <w:jc w:val="both"/>
        <w:rPr>
          <w:rFonts w:eastAsiaTheme="minorHAnsi"/>
          <w:color w:val="000000" w:themeColor="text1"/>
        </w:rPr>
      </w:pPr>
    </w:p>
    <w:p w14:paraId="6B9556A3" w14:textId="77777777" w:rsidR="00553D0B" w:rsidRPr="001B426B" w:rsidRDefault="00553D0B" w:rsidP="00E1127D">
      <w:pPr>
        <w:shd w:val="clear" w:color="auto" w:fill="FFFFFF" w:themeFill="background1"/>
        <w:spacing w:after="160" w:line="259" w:lineRule="auto"/>
        <w:jc w:val="both"/>
        <w:rPr>
          <w:rFonts w:eastAsiaTheme="minorEastAsia"/>
          <w:color w:val="000000" w:themeColor="text1"/>
        </w:rPr>
      </w:pPr>
      <w:r>
        <w:t xml:space="preserve">Indeed, in </w:t>
      </w:r>
      <w:r w:rsidRPr="00C73E0B">
        <w:t xml:space="preserve">the United States, </w:t>
      </w:r>
      <w:r>
        <w:t>imprisoned or detained women and girls</w:t>
      </w:r>
      <w:r>
        <w:rPr>
          <w:rStyle w:val="EndnoteReference"/>
        </w:rPr>
        <w:endnoteReference w:id="113"/>
      </w:r>
      <w:r w:rsidRPr="00794199">
        <w:rPr>
          <w:rFonts w:eastAsia="Arial Unicode MS"/>
        </w:rPr>
        <w:t xml:space="preserve"> are routinely denied </w:t>
      </w:r>
      <w:r w:rsidRPr="001B426B">
        <w:rPr>
          <w:rFonts w:eastAsiaTheme="minorEastAsia"/>
          <w:color w:val="000000" w:themeColor="text1"/>
        </w:rPr>
        <w:t>appropriate medical care and humane conditions.</w:t>
      </w:r>
      <w:r w:rsidRPr="001B426B">
        <w:rPr>
          <w:rStyle w:val="EndnoteReference"/>
          <w:rFonts w:eastAsiaTheme="minorEastAsia"/>
          <w:color w:val="000000" w:themeColor="text1"/>
        </w:rPr>
        <w:endnoteReference w:id="114"/>
      </w:r>
      <w:r w:rsidRPr="001B426B">
        <w:rPr>
          <w:rFonts w:eastAsiaTheme="minorEastAsia"/>
          <w:color w:val="000000" w:themeColor="text1"/>
        </w:rPr>
        <w:t xml:space="preserve"> For instance, one immigrant woman who miscarried while in </w:t>
      </w:r>
      <w:r w:rsidRPr="001B426B">
        <w:rPr>
          <w:rFonts w:eastAsia="Arial Unicode MS"/>
          <w:color w:val="000000" w:themeColor="text1"/>
        </w:rPr>
        <w:t xml:space="preserve">government </w:t>
      </w:r>
      <w:r w:rsidRPr="001B426B">
        <w:rPr>
          <w:rFonts w:eastAsiaTheme="minorEastAsia"/>
          <w:color w:val="000000" w:themeColor="text1"/>
        </w:rPr>
        <w:t>custody earlier this year was informed by her doctor that the detention conditions were a contributing factor. She described the experience as “a punishment I will never forget.”</w:t>
      </w:r>
      <w:r w:rsidRPr="001B426B">
        <w:rPr>
          <w:rStyle w:val="EndnoteReference"/>
          <w:rFonts w:eastAsiaTheme="minorEastAsia"/>
          <w:color w:val="000000" w:themeColor="text1"/>
        </w:rPr>
        <w:endnoteReference w:id="115"/>
      </w:r>
      <w:r w:rsidRPr="001B426B">
        <w:rPr>
          <w:rFonts w:eastAsiaTheme="minorEastAsia"/>
          <w:color w:val="000000" w:themeColor="text1"/>
        </w:rPr>
        <w:t xml:space="preserve"> </w:t>
      </w:r>
    </w:p>
    <w:p w14:paraId="5B298B1F" w14:textId="77777777" w:rsidR="00553D0B" w:rsidRPr="00FD3FF2" w:rsidRDefault="00553D0B" w:rsidP="00E1127D">
      <w:pPr>
        <w:jc w:val="both"/>
        <w:rPr>
          <w:rFonts w:eastAsiaTheme="minorHAnsi"/>
        </w:rPr>
      </w:pPr>
      <w:r w:rsidRPr="00FD3FF2">
        <w:rPr>
          <w:rFonts w:eastAsiaTheme="minorHAnsi"/>
          <w:color w:val="000000" w:themeColor="text1"/>
        </w:rPr>
        <w:t xml:space="preserve">Though abortion is legal in the United States, </w:t>
      </w:r>
      <w:r>
        <w:rPr>
          <w:rFonts w:eastAsiaTheme="minorHAnsi"/>
          <w:color w:val="000000" w:themeColor="text1"/>
        </w:rPr>
        <w:t>women and girls</w:t>
      </w:r>
      <w:r w:rsidRPr="00FD3FF2">
        <w:rPr>
          <w:rFonts w:eastAsiaTheme="minorHAnsi"/>
          <w:color w:val="000000" w:themeColor="text1"/>
        </w:rPr>
        <w:t xml:space="preserve"> who are detained are denied access to abortion services. </w:t>
      </w:r>
      <w:r w:rsidRPr="00FD3FF2">
        <w:rPr>
          <w:rFonts w:eastAsiaTheme="minorHAnsi"/>
        </w:rPr>
        <w:t xml:space="preserve">In 2015, the U.N. Working Group on the issue of discrimination against </w:t>
      </w:r>
      <w:r>
        <w:rPr>
          <w:rFonts w:eastAsiaTheme="minorHAnsi"/>
        </w:rPr>
        <w:t>women and girls</w:t>
      </w:r>
      <w:r w:rsidRPr="00FD3FF2">
        <w:rPr>
          <w:rFonts w:eastAsiaTheme="minorHAnsi"/>
        </w:rPr>
        <w:t xml:space="preserve"> in law and in practice conducted</w:t>
      </w:r>
      <w:r>
        <w:rPr>
          <w:rFonts w:eastAsiaTheme="minorHAnsi"/>
        </w:rPr>
        <w:t xml:space="preserve"> an official mission to the United States</w:t>
      </w:r>
      <w:r w:rsidRPr="00FD3FF2">
        <w:rPr>
          <w:rFonts w:eastAsiaTheme="minorHAnsi"/>
        </w:rPr>
        <w:t xml:space="preserve"> and found that “immigrant </w:t>
      </w:r>
      <w:r>
        <w:rPr>
          <w:rFonts w:eastAsiaTheme="minorHAnsi"/>
        </w:rPr>
        <w:t>women and girls</w:t>
      </w:r>
      <w:r w:rsidRPr="00FD3FF2">
        <w:rPr>
          <w:rFonts w:eastAsiaTheme="minorHAnsi"/>
        </w:rPr>
        <w:t xml:space="preserve"> face severe barriers in accessing sexual and reproductive health services.”</w:t>
      </w:r>
      <w:r w:rsidRPr="00FD3FF2">
        <w:rPr>
          <w:rStyle w:val="EndnoteReference"/>
          <w:rFonts w:eastAsiaTheme="minorHAnsi"/>
        </w:rPr>
        <w:endnoteReference w:id="116"/>
      </w:r>
      <w:r w:rsidRPr="00FD3FF2">
        <w:rPr>
          <w:rFonts w:eastAsiaTheme="minorHAnsi"/>
        </w:rPr>
        <w:t xml:space="preserve"> The Working Group expressed particular concern for immigrant </w:t>
      </w:r>
      <w:r>
        <w:rPr>
          <w:rFonts w:eastAsiaTheme="minorHAnsi"/>
        </w:rPr>
        <w:t>women and girls</w:t>
      </w:r>
      <w:r w:rsidRPr="00FD3FF2">
        <w:rPr>
          <w:rFonts w:eastAsiaTheme="minorHAnsi"/>
        </w:rPr>
        <w:t xml:space="preserve"> and minors in detention centers,</w:t>
      </w:r>
      <w:r w:rsidRPr="00FD3FF2">
        <w:rPr>
          <w:rStyle w:val="EndnoteReference"/>
          <w:rFonts w:eastAsiaTheme="minorHAnsi"/>
        </w:rPr>
        <w:endnoteReference w:id="117"/>
      </w:r>
      <w:r w:rsidRPr="00FD3FF2">
        <w:rPr>
          <w:rFonts w:eastAsiaTheme="minorHAnsi"/>
        </w:rPr>
        <w:t xml:space="preserve"> and also recommended that the U.S. government take steps to ensure that </w:t>
      </w:r>
      <w:r>
        <w:rPr>
          <w:rFonts w:eastAsiaTheme="minorHAnsi"/>
        </w:rPr>
        <w:t>women and girls</w:t>
      </w:r>
      <w:r w:rsidRPr="00FD3FF2">
        <w:rPr>
          <w:rFonts w:eastAsiaTheme="minorHAnsi"/>
        </w:rPr>
        <w:t xml:space="preserve"> can exercise their existing Constitutional right to terminate a pregnancy.</w:t>
      </w:r>
      <w:r w:rsidRPr="00FD3FF2">
        <w:rPr>
          <w:rStyle w:val="EndnoteReference"/>
          <w:rFonts w:eastAsiaTheme="minorHAnsi"/>
        </w:rPr>
        <w:endnoteReference w:id="118"/>
      </w:r>
    </w:p>
    <w:p w14:paraId="63CB1148" w14:textId="77777777" w:rsidR="00553D0B" w:rsidRPr="00FD3FF2" w:rsidRDefault="00553D0B" w:rsidP="00E1127D">
      <w:pPr>
        <w:jc w:val="both"/>
        <w:rPr>
          <w:rFonts w:eastAsiaTheme="minorHAnsi"/>
        </w:rPr>
      </w:pPr>
    </w:p>
    <w:p w14:paraId="0062DC04" w14:textId="031A11FE" w:rsidR="00553D0B" w:rsidRPr="001B426B" w:rsidRDefault="00553D0B" w:rsidP="00E1127D">
      <w:pPr>
        <w:jc w:val="both"/>
        <w:rPr>
          <w:rFonts w:eastAsiaTheme="minorEastAsia"/>
        </w:rPr>
      </w:pPr>
      <w:r w:rsidRPr="001B426B">
        <w:rPr>
          <w:rFonts w:eastAsiaTheme="minorEastAsia"/>
          <w:color w:val="000000" w:themeColor="text1"/>
        </w:rPr>
        <w:t xml:space="preserve">A recent court case filed against the United States government details the experience of </w:t>
      </w:r>
      <w:r w:rsidRPr="001B426B">
        <w:rPr>
          <w:rFonts w:eastAsiaTheme="minorEastAsia"/>
        </w:rPr>
        <w:t>Jane Doe, Jane Moe, Jane Poe, and Jane Roe (the Janes).</w:t>
      </w:r>
      <w:r w:rsidRPr="001B426B">
        <w:rPr>
          <w:rStyle w:val="EndnoteReference"/>
          <w:rFonts w:eastAsiaTheme="minorEastAsia"/>
        </w:rPr>
        <w:endnoteReference w:id="119"/>
      </w:r>
      <w:r w:rsidRPr="001B426B">
        <w:rPr>
          <w:rFonts w:eastAsiaTheme="minorEastAsia"/>
        </w:rPr>
        <w:t xml:space="preserve"> The Janes are pregnant, unaccompanied immigrant minors, who while being held in immigration detention centers, were denied access to abortion services, when the government </w:t>
      </w:r>
      <w:r w:rsidRPr="001B426B">
        <w:rPr>
          <w:rFonts w:eastAsiaTheme="minorEastAsia"/>
          <w:color w:val="000000" w:themeColor="text1"/>
        </w:rPr>
        <w:t xml:space="preserve">refused to allow the Janes </w:t>
      </w:r>
      <w:r w:rsidRPr="001B426B">
        <w:rPr>
          <w:rFonts w:eastAsiaTheme="minorEastAsia"/>
        </w:rPr>
        <w:t>to attend pre-arranged appointments during which they planned to terminate their pregnancies.</w:t>
      </w:r>
      <w:r w:rsidRPr="001B426B">
        <w:rPr>
          <w:rStyle w:val="EndnoteReference"/>
          <w:rFonts w:eastAsiaTheme="minorEastAsia"/>
        </w:rPr>
        <w:endnoteReference w:id="120"/>
      </w:r>
      <w:r w:rsidRPr="001B426B">
        <w:rPr>
          <w:rFonts w:eastAsiaTheme="minorEastAsia"/>
        </w:rPr>
        <w:t xml:space="preserve"> The Janes’ experiences demonstrate a larger pattern of young people in immigration custody who choose to end a pregnancy but are systematically blocked from exercising that right because government officials have engineered immigration policies and detention programs in ways that create and justify added barriers to abortion access.</w:t>
      </w:r>
      <w:r w:rsidR="00CD517B" w:rsidRPr="001B426B" w:rsidDel="00CD517B">
        <w:rPr>
          <w:rStyle w:val="EndnoteReference"/>
          <w:rFonts w:eastAsiaTheme="minorEastAsia"/>
        </w:rPr>
        <w:t xml:space="preserve"> </w:t>
      </w:r>
    </w:p>
    <w:p w14:paraId="6B9F254C" w14:textId="77777777" w:rsidR="00553D0B" w:rsidRPr="00C73E0B" w:rsidRDefault="00553D0B" w:rsidP="001C2281">
      <w:pPr>
        <w:jc w:val="both"/>
        <w:rPr>
          <w:color w:val="000000" w:themeColor="text1"/>
        </w:rPr>
      </w:pPr>
    </w:p>
    <w:p w14:paraId="5366B604" w14:textId="2DEF8634" w:rsidR="00553D0B" w:rsidRDefault="00553D0B" w:rsidP="00E1127D">
      <w:pPr>
        <w:keepNext/>
        <w:widowControl w:val="0"/>
        <w:jc w:val="both"/>
        <w:rPr>
          <w:color w:val="222222"/>
        </w:rPr>
      </w:pPr>
      <w:r w:rsidRPr="00794199">
        <w:rPr>
          <w:rFonts w:eastAsia="Arial Unicode MS"/>
        </w:rPr>
        <w:lastRenderedPageBreak/>
        <w:t xml:space="preserve">Those who decide to continue their pregnancies often experience </w:t>
      </w:r>
      <w:r w:rsidRPr="001B426B">
        <w:rPr>
          <w:rFonts w:eastAsia="Arial Unicode MS"/>
        </w:rPr>
        <w:t>mistreatment by correctional guards and staff during their pregnancies, lack of access to adequate nutrition and healthcare providers, and inhumane conditions during birth.</w:t>
      </w:r>
      <w:r w:rsidRPr="00794199">
        <w:rPr>
          <w:rStyle w:val="EndnoteReference"/>
          <w:rFonts w:eastAsia="Arial Unicode MS"/>
        </w:rPr>
        <w:endnoteReference w:id="121"/>
      </w:r>
      <w:r w:rsidRPr="00794199">
        <w:rPr>
          <w:rFonts w:eastAsia="Arial Unicode MS"/>
        </w:rPr>
        <w:t xml:space="preserve"> </w:t>
      </w:r>
      <w:r>
        <w:t>Women</w:t>
      </w:r>
      <w:r w:rsidRPr="00FE508C">
        <w:t xml:space="preserve"> in immigration detention facilities “are often </w:t>
      </w:r>
      <w:r w:rsidRPr="00FE508C">
        <w:rPr>
          <w:color w:val="222222"/>
        </w:rPr>
        <w:t>denied adequate medical care, even when in dire need of it, are shackled around the stomach while being transported between facilities, and have been physically and psychologically mistreated.”</w:t>
      </w:r>
      <w:r w:rsidR="004B27B4" w:rsidRPr="00FE508C">
        <w:rPr>
          <w:color w:val="222222"/>
          <w:vertAlign w:val="superscript"/>
        </w:rPr>
        <w:endnoteReference w:id="122"/>
      </w:r>
      <w:r w:rsidR="004B27B4" w:rsidRPr="00FE508C">
        <w:rPr>
          <w:color w:val="222222"/>
        </w:rPr>
        <w:t xml:space="preserve">  Critically, women who have had miscarriages while in detention have reported that they did not receive adequate medical care before or after the mis</w:t>
      </w:r>
      <w:r w:rsidR="004B27B4">
        <w:rPr>
          <w:color w:val="222222"/>
        </w:rPr>
        <w:t>carriage, and many suffered</w:t>
      </w:r>
      <w:r w:rsidR="004B27B4" w:rsidRPr="00FE508C">
        <w:rPr>
          <w:color w:val="222222"/>
        </w:rPr>
        <w:t xml:space="preserve"> physical and psychological </w:t>
      </w:r>
      <w:r w:rsidR="004B27B4">
        <w:rPr>
          <w:color w:val="222222"/>
        </w:rPr>
        <w:t xml:space="preserve">harm </w:t>
      </w:r>
      <w:r w:rsidR="004B27B4" w:rsidRPr="00FE508C">
        <w:rPr>
          <w:color w:val="222222"/>
        </w:rPr>
        <w:t>as a result.</w:t>
      </w:r>
      <w:r w:rsidR="004B27B4" w:rsidRPr="00FE508C">
        <w:rPr>
          <w:color w:val="222222"/>
          <w:vertAlign w:val="superscript"/>
        </w:rPr>
        <w:endnoteReference w:id="123"/>
      </w:r>
      <w:r w:rsidR="004B27B4" w:rsidRPr="00FE508C">
        <w:rPr>
          <w:color w:val="222222"/>
        </w:rPr>
        <w:t xml:space="preserve">  </w:t>
      </w:r>
      <w:r w:rsidR="004B27B4">
        <w:rPr>
          <w:color w:val="222222"/>
        </w:rPr>
        <w:t>T</w:t>
      </w:r>
      <w:r w:rsidR="004B27B4" w:rsidRPr="00FE508C">
        <w:rPr>
          <w:color w:val="222222"/>
        </w:rPr>
        <w:t>here are documented cases of pregnant women denied access to medical care in more than six detention centers across the country.</w:t>
      </w:r>
      <w:r w:rsidR="004B27B4" w:rsidRPr="00FE508C">
        <w:rPr>
          <w:color w:val="222222"/>
          <w:vertAlign w:val="superscript"/>
        </w:rPr>
        <w:endnoteReference w:id="124"/>
      </w:r>
      <w:r w:rsidR="004B27B4" w:rsidRPr="00FE508C">
        <w:rPr>
          <w:color w:val="222222"/>
        </w:rPr>
        <w:t xml:space="preserve"> </w:t>
      </w:r>
      <w:r w:rsidRPr="00FE508C">
        <w:rPr>
          <w:color w:val="222222"/>
        </w:rPr>
        <w:t xml:space="preserve"> </w:t>
      </w:r>
    </w:p>
    <w:p w14:paraId="2661A4C6" w14:textId="77777777" w:rsidR="00553D0B" w:rsidRDefault="00553D0B" w:rsidP="004B27B4">
      <w:pPr>
        <w:pStyle w:val="NormalWeb"/>
        <w:spacing w:before="0" w:beforeAutospacing="0" w:after="0" w:afterAutospacing="0"/>
        <w:jc w:val="both"/>
        <w:rPr>
          <w:rFonts w:eastAsia="Arial Unicode MS"/>
          <w:bCs/>
        </w:rPr>
      </w:pPr>
    </w:p>
    <w:p w14:paraId="0AFB1A4C" w14:textId="4AF11725" w:rsidR="00553D0B" w:rsidRPr="001B426B" w:rsidRDefault="00553D0B" w:rsidP="007B2C65">
      <w:pPr>
        <w:keepNext/>
        <w:widowControl w:val="0"/>
        <w:jc w:val="both"/>
        <w:rPr>
          <w:rFonts w:eastAsia="Arial Unicode MS"/>
        </w:rPr>
      </w:pPr>
      <w:r w:rsidRPr="00C73E0B">
        <w:t>I</w:t>
      </w:r>
      <w:r>
        <w:t>n the United States, i</w:t>
      </w:r>
      <w:r w:rsidRPr="00C73E0B">
        <w:t xml:space="preserve">ncarcerated </w:t>
      </w:r>
      <w:r>
        <w:t>and detained women and girls are at risk of poor maternal health outcomes</w:t>
      </w:r>
      <w:r w:rsidRPr="2E028686">
        <w:t xml:space="preserve"> </w:t>
      </w:r>
      <w:r w:rsidRPr="00C73E0B">
        <w:t>because they experience</w:t>
      </w:r>
      <w:r>
        <w:t xml:space="preserve"> disproportionately high levels of</w:t>
      </w:r>
      <w:r w:rsidRPr="00C73E0B">
        <w:t xml:space="preserve"> violence, poor physical and mental health, and substance </w:t>
      </w:r>
      <w:r>
        <w:t xml:space="preserve">use </w:t>
      </w:r>
      <w:r w:rsidRPr="00C73E0B">
        <w:t>in higher proportion than the average population.</w:t>
      </w:r>
      <w:r w:rsidRPr="00C73E0B">
        <w:rPr>
          <w:rStyle w:val="EndnoteReference"/>
        </w:rPr>
        <w:endnoteReference w:id="125"/>
      </w:r>
      <w:r w:rsidRPr="00C73E0B">
        <w:t xml:space="preserve"> Two large studies published in 2009 found that U.S. prisons lack adequate nutrition and hygiene and other conditions suitable for pregnant </w:t>
      </w:r>
      <w:r>
        <w:t>women and girls</w:t>
      </w:r>
      <w:r w:rsidRPr="2E028686">
        <w:t>.</w:t>
      </w:r>
      <w:r w:rsidRPr="00C73E0B">
        <w:rPr>
          <w:rStyle w:val="EndnoteReference"/>
        </w:rPr>
        <w:endnoteReference w:id="126"/>
      </w:r>
      <w:r w:rsidRPr="00C73E0B">
        <w:t xml:space="preserve"> Fewer than half of U.S. jails provide OB/GYN services to assist pregnant </w:t>
      </w:r>
      <w:r>
        <w:t>women and girls</w:t>
      </w:r>
      <w:r w:rsidRPr="00C73E0B">
        <w:t xml:space="preserve"> in prison, and 38 states have no policies on pre-natal care for prisoners.</w:t>
      </w:r>
      <w:r w:rsidRPr="00C73E0B">
        <w:rPr>
          <w:rStyle w:val="EndnoteReference"/>
        </w:rPr>
        <w:endnoteReference w:id="127"/>
      </w:r>
      <w:r w:rsidRPr="2E028686">
        <w:t xml:space="preserve"> </w:t>
      </w:r>
    </w:p>
    <w:p w14:paraId="5E2C8B55" w14:textId="77777777" w:rsidR="00553D0B" w:rsidRDefault="00553D0B" w:rsidP="004B27B4">
      <w:pPr>
        <w:pStyle w:val="NormalWeb"/>
        <w:spacing w:before="0" w:beforeAutospacing="0" w:after="0" w:afterAutospacing="0"/>
        <w:jc w:val="both"/>
        <w:rPr>
          <w:rFonts w:eastAsia="Arial Unicode MS"/>
          <w:bCs/>
        </w:rPr>
      </w:pPr>
    </w:p>
    <w:p w14:paraId="6DEA1EC8" w14:textId="77777777" w:rsidR="00553D0B" w:rsidRPr="003E098D" w:rsidRDefault="00553D0B">
      <w:pPr>
        <w:pStyle w:val="NormalWeb"/>
        <w:spacing w:before="0" w:beforeAutospacing="0" w:after="0" w:afterAutospacing="0"/>
        <w:jc w:val="both"/>
      </w:pPr>
      <w:r>
        <w:t xml:space="preserve">In addition, </w:t>
      </w:r>
      <w:r>
        <w:rPr>
          <w:rFonts w:eastAsia="Arial Unicode MS"/>
          <w:bCs/>
        </w:rPr>
        <w:t xml:space="preserve">the </w:t>
      </w:r>
      <w:r w:rsidRPr="00C73E0B">
        <w:rPr>
          <w:rFonts w:eastAsia="Arial Unicode MS"/>
          <w:bCs/>
        </w:rPr>
        <w:t xml:space="preserve">United States is one of the few countries in the world that continues to use restraints on pregnant incarcerated </w:t>
      </w:r>
      <w:r>
        <w:rPr>
          <w:rFonts w:eastAsia="Arial Unicode MS"/>
          <w:bCs/>
        </w:rPr>
        <w:t>women and girls</w:t>
      </w:r>
      <w:r w:rsidRPr="00C73E0B">
        <w:rPr>
          <w:rFonts w:eastAsia="Arial Unicode MS"/>
          <w:bCs/>
        </w:rPr>
        <w:t xml:space="preserve"> during transport, labor, delivery, and recovery.</w:t>
      </w:r>
      <w:r w:rsidRPr="00C73E0B">
        <w:rPr>
          <w:rStyle w:val="EndnoteReference"/>
          <w:rFonts w:eastAsia="Arial Unicode MS"/>
          <w:bCs/>
        </w:rPr>
        <w:endnoteReference w:id="128"/>
      </w:r>
      <w:r>
        <w:t xml:space="preserve"> </w:t>
      </w:r>
      <w:r w:rsidRPr="00C73E0B">
        <w:t xml:space="preserve">Shackling pregnant </w:t>
      </w:r>
      <w:r>
        <w:t>women and girls</w:t>
      </w:r>
      <w:r w:rsidRPr="00C73E0B">
        <w:t xml:space="preserve"> is needlessly punitive and traumatizing and can cause otherwise avoidable health risks for the woman and the fetus.</w:t>
      </w:r>
      <w:r w:rsidRPr="00C73E0B">
        <w:rPr>
          <w:rStyle w:val="EndnoteReference"/>
        </w:rPr>
        <w:endnoteReference w:id="129"/>
      </w:r>
      <w:r>
        <w:t xml:space="preserve"> When a woman is shackled</w:t>
      </w:r>
      <w:r w:rsidRPr="00C73E0B">
        <w:t>, she is at an increased risk of falling and will not be able to protect herself by breaking her fall due to the restraints.</w:t>
      </w:r>
      <w:r w:rsidRPr="00C73E0B">
        <w:rPr>
          <w:rStyle w:val="EndnoteReference"/>
        </w:rPr>
        <w:endnoteReference w:id="130"/>
      </w:r>
      <w:r w:rsidRPr="00C73E0B">
        <w:t> During the birthing process, shackles hamper a woman’s ability to move to alleviate the pain of her contractions, which increases stress on the woman’s body and may decrease the flow of oxygen to her baby.</w:t>
      </w:r>
      <w:r w:rsidRPr="00C73E0B">
        <w:rPr>
          <w:rStyle w:val="EndnoteReference"/>
        </w:rPr>
        <w:endnoteReference w:id="131"/>
      </w:r>
      <w:r w:rsidRPr="00C73E0B">
        <w:t> The use of restraints may</w:t>
      </w:r>
      <w:r>
        <w:t xml:space="preserve"> also</w:t>
      </w:r>
      <w:r w:rsidRPr="00C73E0B">
        <w:t xml:space="preserve"> delay the doctors’ ability to perform an emergency caesarean section.</w:t>
      </w:r>
      <w:r w:rsidRPr="00C73E0B">
        <w:rPr>
          <w:rStyle w:val="EndnoteReference"/>
        </w:rPr>
        <w:endnoteReference w:id="132"/>
      </w:r>
      <w:r w:rsidRPr="00C73E0B">
        <w:t xml:space="preserve"> Finally, leg shackles inhibit a woman’s recovery, as many experts recommend walking to rehabilitate muscles after a delivery.</w:t>
      </w:r>
      <w:r w:rsidRPr="00C73E0B">
        <w:rPr>
          <w:rStyle w:val="EndnoteReference"/>
        </w:rPr>
        <w:endnoteReference w:id="133"/>
      </w:r>
      <w:r w:rsidRPr="00C73E0B">
        <w:t xml:space="preserve">   </w:t>
      </w:r>
    </w:p>
    <w:p w14:paraId="49ABD5DE" w14:textId="77777777" w:rsidR="00553D0B" w:rsidRPr="00C73E0B" w:rsidRDefault="00553D0B" w:rsidP="007B2C65">
      <w:pPr>
        <w:autoSpaceDE w:val="0"/>
        <w:autoSpaceDN w:val="0"/>
        <w:adjustRightInd w:val="0"/>
        <w:jc w:val="both"/>
        <w:rPr>
          <w:rFonts w:eastAsiaTheme="minorHAnsi"/>
          <w:color w:val="000000" w:themeColor="text1"/>
        </w:rPr>
      </w:pPr>
    </w:p>
    <w:p w14:paraId="60387F30" w14:textId="77777777" w:rsidR="00553D0B" w:rsidRPr="00C73E0B" w:rsidRDefault="00553D0B" w:rsidP="004B27B4">
      <w:pPr>
        <w:pStyle w:val="xmsonormal"/>
        <w:numPr>
          <w:ilvl w:val="1"/>
          <w:numId w:val="11"/>
        </w:numPr>
        <w:jc w:val="both"/>
        <w:rPr>
          <w:rFonts w:ascii="Times New Roman" w:hAnsi="Times New Roman" w:cs="Times New Roman"/>
          <w:color w:val="000000" w:themeColor="text1"/>
        </w:rPr>
      </w:pPr>
      <w:r w:rsidRPr="00C73E0B">
        <w:rPr>
          <w:rFonts w:ascii="Times New Roman" w:hAnsi="Times New Roman" w:cs="Times New Roman"/>
          <w:color w:val="000000" w:themeColor="text1"/>
        </w:rPr>
        <w:t>Violations under international human rights law</w:t>
      </w:r>
    </w:p>
    <w:p w14:paraId="72743099" w14:textId="77777777" w:rsidR="00553D0B" w:rsidRPr="00C73E0B" w:rsidRDefault="00553D0B" w:rsidP="007B2C65">
      <w:pPr>
        <w:autoSpaceDE w:val="0"/>
        <w:autoSpaceDN w:val="0"/>
        <w:adjustRightInd w:val="0"/>
        <w:jc w:val="both"/>
      </w:pPr>
    </w:p>
    <w:p w14:paraId="6E794774" w14:textId="5094388F" w:rsidR="00553D0B" w:rsidRPr="00FD3FF2" w:rsidRDefault="00553D0B" w:rsidP="007B2C65">
      <w:pPr>
        <w:jc w:val="both"/>
      </w:pPr>
      <w:r>
        <w:t>T</w:t>
      </w:r>
      <w:r w:rsidRPr="00FD3FF2">
        <w:t xml:space="preserve">reaty monitoring bodies have consistently recognized that the denial of abortion information and services profoundly affects </w:t>
      </w:r>
      <w:r>
        <w:t>women and girls</w:t>
      </w:r>
      <w:r w:rsidRPr="00FD3FF2">
        <w:t>’ lives and health and hinders the fulfillment of a range of civil, political, economic, and social rights</w:t>
      </w:r>
      <w:r>
        <w:t>.</w:t>
      </w:r>
      <w:r w:rsidRPr="00C73E0B">
        <w:rPr>
          <w:rStyle w:val="EndnoteReference"/>
          <w:bCs/>
        </w:rPr>
        <w:endnoteReference w:id="134"/>
      </w:r>
      <w:r w:rsidRPr="00FD3FF2">
        <w:rPr>
          <w:bCs/>
        </w:rPr>
        <w:t xml:space="preserve"> Furthermore,</w:t>
      </w:r>
      <w:r w:rsidRPr="00FD3FF2">
        <w:t xml:space="preserve"> the Committee on the Rights of the Child has called on states to establish a legal presumption stating that adolescents are competent to seek and have access to sexual and reproductive health commodities and services, including abortion</w:t>
      </w:r>
      <w:r>
        <w:t>,</w:t>
      </w:r>
      <w:r w:rsidRPr="00FD3FF2">
        <w:rPr>
          <w:rStyle w:val="EndnoteReference"/>
        </w:rPr>
        <w:endnoteReference w:id="135"/>
      </w:r>
      <w:r>
        <w:t xml:space="preserve"> which includes having access to reproductive health facilities and even while subject to detention. </w:t>
      </w:r>
    </w:p>
    <w:p w14:paraId="3DB7204E" w14:textId="77777777" w:rsidR="00553D0B" w:rsidRDefault="00553D0B" w:rsidP="004B27B4">
      <w:pPr>
        <w:autoSpaceDE w:val="0"/>
        <w:autoSpaceDN w:val="0"/>
        <w:adjustRightInd w:val="0"/>
        <w:jc w:val="both"/>
      </w:pPr>
    </w:p>
    <w:p w14:paraId="355F3138" w14:textId="693C1065" w:rsidR="00553D0B" w:rsidRPr="00C73E0B" w:rsidRDefault="00553D0B">
      <w:pPr>
        <w:autoSpaceDE w:val="0"/>
        <w:autoSpaceDN w:val="0"/>
        <w:adjustRightInd w:val="0"/>
        <w:jc w:val="both"/>
      </w:pPr>
      <w:r>
        <w:t>Moreover, t</w:t>
      </w:r>
      <w:r w:rsidRPr="00C73E0B">
        <w:t xml:space="preserve">here is growing recognition that states ought to consider alternatives to detention of pregnant </w:t>
      </w:r>
      <w:r>
        <w:t>women and girls</w:t>
      </w:r>
      <w:r w:rsidRPr="00C73E0B">
        <w:t xml:space="preserve"> in order to avoid placing them in a vulnerable situation. For example, in addition to stating that “[i]nstruments of restraint </w:t>
      </w:r>
      <w:r w:rsidRPr="00C73E0B">
        <w:rPr>
          <w:i/>
          <w:iCs/>
        </w:rPr>
        <w:t xml:space="preserve">shall never be used </w:t>
      </w:r>
      <w:r w:rsidRPr="00C73E0B">
        <w:t xml:space="preserve">on </w:t>
      </w:r>
      <w:r>
        <w:t xml:space="preserve">women </w:t>
      </w:r>
      <w:r w:rsidRPr="00C73E0B">
        <w:t>during labour, during birth and immediately after birth,”</w:t>
      </w:r>
      <w:r w:rsidRPr="00C73E0B">
        <w:rPr>
          <w:rStyle w:val="EndnoteReference"/>
        </w:rPr>
        <w:endnoteReference w:id="136"/>
      </w:r>
      <w:r w:rsidRPr="00C73E0B">
        <w:t xml:space="preserve"> the U.N. Rules for the Treatment of </w:t>
      </w:r>
      <w:r>
        <w:t xml:space="preserve">Women </w:t>
      </w:r>
      <w:r w:rsidRPr="00C73E0B">
        <w:t xml:space="preserve">Prisoners favor non-custodial measures for pregnant offenders and impose a duty on States to </w:t>
      </w:r>
      <w:r w:rsidRPr="00C73E0B">
        <w:lastRenderedPageBreak/>
        <w:t>take special care to ensure the health and safety of pregnant prisoners.</w:t>
      </w:r>
      <w:r w:rsidRPr="00C73E0B">
        <w:rPr>
          <w:rStyle w:val="EndnoteReference"/>
        </w:rPr>
        <w:endnoteReference w:id="137"/>
      </w:r>
      <w:r w:rsidRPr="00C73E0B">
        <w:rPr>
          <w:rFonts w:eastAsia="Arial Unicode MS"/>
          <w:bCs/>
        </w:rPr>
        <w:t xml:space="preserve"> </w:t>
      </w:r>
      <w:r w:rsidRPr="00C73E0B">
        <w:t xml:space="preserve">The Special Rapporteur on the situation of migrants has similarly concluded that “as a general rule [concerning migrants in administrative detention], the detention of pregnant </w:t>
      </w:r>
      <w:r>
        <w:t xml:space="preserve">women </w:t>
      </w:r>
      <w:r w:rsidRPr="00C73E0B">
        <w:t>in their final months and nursing mothers should be avoided.”</w:t>
      </w:r>
      <w:r w:rsidRPr="00C73E0B">
        <w:rPr>
          <w:rStyle w:val="EndnoteReference"/>
        </w:rPr>
        <w:endnoteReference w:id="138"/>
      </w:r>
    </w:p>
    <w:p w14:paraId="1FF005DD" w14:textId="77777777" w:rsidR="00553D0B" w:rsidRDefault="00553D0B">
      <w:pPr>
        <w:autoSpaceDE w:val="0"/>
        <w:autoSpaceDN w:val="0"/>
        <w:adjustRightInd w:val="0"/>
        <w:jc w:val="both"/>
        <w:rPr>
          <w:rFonts w:eastAsia="Arial Unicode MS"/>
          <w:bCs/>
        </w:rPr>
      </w:pPr>
    </w:p>
    <w:p w14:paraId="561DC4ED" w14:textId="404DDF7D" w:rsidR="00553D0B" w:rsidRPr="00CF74EC" w:rsidRDefault="00553D0B">
      <w:pPr>
        <w:autoSpaceDE w:val="0"/>
        <w:autoSpaceDN w:val="0"/>
        <w:adjustRightInd w:val="0"/>
        <w:jc w:val="both"/>
      </w:pPr>
      <w:r w:rsidRPr="00C73E0B">
        <w:rPr>
          <w:rFonts w:eastAsia="Arial Unicode MS"/>
          <w:bCs/>
        </w:rPr>
        <w:t xml:space="preserve">The CAT Committee has </w:t>
      </w:r>
      <w:r w:rsidRPr="00C73E0B">
        <w:t xml:space="preserve">condemned the practice of shackling as a form of cruel, inhuman and degrading treatment prohibited under Article 16 and has called on states to revise the practice of shackling incarcerated pregnant </w:t>
      </w:r>
      <w:r>
        <w:t>women and girls</w:t>
      </w:r>
      <w:r w:rsidRPr="00C73E0B">
        <w:t>.</w:t>
      </w:r>
      <w:r w:rsidRPr="00C73E0B">
        <w:rPr>
          <w:rStyle w:val="EndnoteReference"/>
        </w:rPr>
        <w:endnoteReference w:id="139"/>
      </w:r>
      <w:r w:rsidRPr="00C73E0B">
        <w:t xml:space="preserve"> Furthermore, the Human Rights Committee (HRC) has made it clear that </w:t>
      </w:r>
      <w:r>
        <w:t>women and girls</w:t>
      </w:r>
      <w:r w:rsidRPr="00C73E0B">
        <w:t xml:space="preserve"> “should receive humane treatment and respect for their inherent dignity at all times, and in particular during the birth and while caring for their newborn children…”</w:t>
      </w:r>
      <w:r w:rsidRPr="00C73E0B">
        <w:rPr>
          <w:rStyle w:val="EndnoteReference"/>
        </w:rPr>
        <w:endnoteReference w:id="140"/>
      </w:r>
      <w:r w:rsidRPr="00C73E0B">
        <w:t xml:space="preserve"> Additionally, three U.N. Special Rapporteurs have added to the treaty bodies’ concern on this issue, signifying clear international consensus that the U.S. practice of shackling pregnant </w:t>
      </w:r>
      <w:r>
        <w:t>women and girls</w:t>
      </w:r>
      <w:r w:rsidRPr="00C73E0B">
        <w:t xml:space="preserve"> violates the right to be free from ill treatment.</w:t>
      </w:r>
      <w:bookmarkStart w:id="1" w:name="_Ref499726716"/>
      <w:r w:rsidRPr="00C73E0B">
        <w:rPr>
          <w:rStyle w:val="EndnoteReference"/>
        </w:rPr>
        <w:endnoteReference w:id="141"/>
      </w:r>
      <w:bookmarkEnd w:id="1"/>
      <w:r w:rsidRPr="00C73E0B">
        <w:t xml:space="preserve">  Specifically, in her 2011 report on the United States, the U.N. Special Rapporteur on violence against </w:t>
      </w:r>
      <w:r>
        <w:t>women and girls</w:t>
      </w:r>
      <w:r w:rsidRPr="00C73E0B">
        <w:t xml:space="preserve"> called on the U.S. to “[a]dopt legislation banning the use of restraints on pregnant </w:t>
      </w:r>
      <w:r>
        <w:t>women</w:t>
      </w:r>
      <w:r w:rsidRPr="00C73E0B">
        <w:t>, including during labor or delivery, unless there are overwhelming security concerns that cannot be handled by any other method.”</w:t>
      </w:r>
      <w:r w:rsidRPr="00C73E0B">
        <w:rPr>
          <w:rStyle w:val="EndnoteReference"/>
        </w:rPr>
        <w:endnoteReference w:id="142"/>
      </w:r>
      <w:r w:rsidRPr="00C73E0B">
        <w:t xml:space="preserve"> </w:t>
      </w:r>
    </w:p>
    <w:p w14:paraId="4F18A98A" w14:textId="77777777" w:rsidR="00553D0B" w:rsidRPr="00C73E0B" w:rsidRDefault="00553D0B">
      <w:pPr>
        <w:pStyle w:val="xmsonormal"/>
        <w:jc w:val="both"/>
        <w:rPr>
          <w:rFonts w:ascii="Times New Roman" w:hAnsi="Times New Roman" w:cs="Times New Roman"/>
          <w:color w:val="000000" w:themeColor="text1"/>
        </w:rPr>
      </w:pPr>
    </w:p>
    <w:p w14:paraId="780B5F55" w14:textId="67552BA0" w:rsidR="00E91206" w:rsidRDefault="00E91206">
      <w:pPr>
        <w:autoSpaceDE w:val="0"/>
        <w:autoSpaceDN w:val="0"/>
        <w:adjustRightInd w:val="0"/>
        <w:jc w:val="both"/>
      </w:pPr>
    </w:p>
    <w:p w14:paraId="7423B2FB" w14:textId="024D2309" w:rsidR="00E91206" w:rsidRPr="004F6249" w:rsidRDefault="00E91206" w:rsidP="00246A9C">
      <w:pPr>
        <w:pStyle w:val="Body1"/>
        <w:jc w:val="both"/>
        <w:rPr>
          <w:rFonts w:ascii="Times New Roman" w:hAnsi="Times New Roman"/>
          <w:color w:val="auto"/>
          <w:szCs w:val="24"/>
        </w:rPr>
      </w:pPr>
      <w:r w:rsidRPr="004F6249">
        <w:rPr>
          <w:rFonts w:ascii="Times New Roman" w:hAnsi="Times New Roman"/>
          <w:color w:val="auto"/>
          <w:szCs w:val="24"/>
        </w:rPr>
        <w:t xml:space="preserve">We are grateful for this opportunity to input in the </w:t>
      </w:r>
      <w:r>
        <w:rPr>
          <w:rFonts w:ascii="Times New Roman" w:hAnsi="Times New Roman"/>
          <w:color w:val="auto"/>
          <w:szCs w:val="24"/>
        </w:rPr>
        <w:t>Working Group’s</w:t>
      </w:r>
      <w:r w:rsidRPr="004F6249">
        <w:rPr>
          <w:rFonts w:ascii="Times New Roman" w:hAnsi="Times New Roman"/>
          <w:color w:val="auto"/>
          <w:szCs w:val="24"/>
        </w:rPr>
        <w:t xml:space="preserve"> report. Should the mandate need any additional information, please do not hesitate to reach out to Rebecca Brown, Director for Global Advocacy</w:t>
      </w:r>
      <w:r w:rsidR="00F52886">
        <w:rPr>
          <w:rFonts w:ascii="Times New Roman" w:hAnsi="Times New Roman"/>
          <w:color w:val="auto"/>
          <w:szCs w:val="24"/>
        </w:rPr>
        <w:t>, at</w:t>
      </w:r>
      <w:r w:rsidRPr="004F6249">
        <w:rPr>
          <w:rFonts w:ascii="Times New Roman" w:hAnsi="Times New Roman"/>
          <w:color w:val="auto"/>
          <w:szCs w:val="24"/>
        </w:rPr>
        <w:t xml:space="preserve"> </w:t>
      </w:r>
      <w:hyperlink r:id="rId9" w:history="1">
        <w:r w:rsidRPr="004F6249">
          <w:rPr>
            <w:rStyle w:val="Hyperlink"/>
            <w:rFonts w:ascii="Times New Roman" w:hAnsi="Times New Roman"/>
            <w:szCs w:val="24"/>
          </w:rPr>
          <w:t>rbrown@reprorights.org</w:t>
        </w:r>
      </w:hyperlink>
      <w:r w:rsidRPr="004F6249">
        <w:rPr>
          <w:rFonts w:ascii="Times New Roman" w:hAnsi="Times New Roman"/>
          <w:color w:val="auto"/>
          <w:szCs w:val="24"/>
        </w:rPr>
        <w:t xml:space="preserve">. </w:t>
      </w:r>
    </w:p>
    <w:p w14:paraId="2AEE51E0" w14:textId="07672001" w:rsidR="0016497B" w:rsidRPr="00F469E4" w:rsidRDefault="0016497B">
      <w:pPr>
        <w:pStyle w:val="NormalWeb"/>
        <w:spacing w:before="0" w:beforeAutospacing="0" w:after="0" w:afterAutospacing="0"/>
        <w:jc w:val="both"/>
        <w:rPr>
          <w:color w:val="000000" w:themeColor="text1"/>
        </w:rPr>
      </w:pPr>
    </w:p>
    <w:sectPr w:rsidR="0016497B" w:rsidRPr="00F469E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6F94F" w14:textId="77777777" w:rsidR="00693182" w:rsidRDefault="00693182" w:rsidP="00232BB2">
      <w:r>
        <w:separator/>
      </w:r>
    </w:p>
  </w:endnote>
  <w:endnote w:type="continuationSeparator" w:id="0">
    <w:p w14:paraId="4F032FF9" w14:textId="77777777" w:rsidR="00693182" w:rsidRDefault="00693182" w:rsidP="00232BB2">
      <w:r>
        <w:continuationSeparator/>
      </w:r>
    </w:p>
  </w:endnote>
  <w:endnote w:id="1">
    <w:p w14:paraId="6B170CD9" w14:textId="7FF931FD" w:rsidR="00944958" w:rsidRPr="00246A9C" w:rsidRDefault="00944958" w:rsidP="00246A9C">
      <w:pPr>
        <w:pStyle w:val="EndnoteText"/>
        <w:spacing w:after="0"/>
      </w:pPr>
      <w:r w:rsidRPr="00246A9C">
        <w:rPr>
          <w:rStyle w:val="EndnoteReference"/>
        </w:rPr>
        <w:endnoteRef/>
      </w:r>
      <w:r w:rsidRPr="00246A9C">
        <w:t xml:space="preserve"> Specifically, abortion is permitted: (a) to save a woman’s life; (b) when abortion resulted from a crime; (c) when pregnancy resulted from rape; and (d) in case of serious fetal impairment. </w:t>
      </w:r>
      <w:r w:rsidRPr="00246A9C">
        <w:rPr>
          <w:lang w:val="en-GB"/>
        </w:rPr>
        <w:t xml:space="preserve">Decreto N° 270, Código Penal (1973), Art. 169, </w:t>
      </w:r>
      <w:r w:rsidRPr="00246A9C">
        <w:rPr>
          <w:i/>
          <w:lang w:val="en-GB"/>
        </w:rPr>
        <w:t>available at</w:t>
      </w:r>
      <w:r w:rsidRPr="00246A9C">
        <w:rPr>
          <w:lang w:val="en-GB"/>
        </w:rPr>
        <w:t xml:space="preserve"> </w:t>
      </w:r>
      <w:hyperlink r:id="rId1" w:history="1">
        <w:r w:rsidRPr="00246A9C">
          <w:rPr>
            <w:rStyle w:val="Hyperlink"/>
            <w:rFonts w:eastAsia="Times New Roman"/>
            <w:lang w:val="en-GB"/>
          </w:rPr>
          <w:t>http://es.scribd.com/doc/60806391/Codigo-Penal-1973</w:t>
        </w:r>
      </w:hyperlink>
      <w:r w:rsidRPr="00246A9C">
        <w:rPr>
          <w:rStyle w:val="Hyperlink"/>
          <w:rFonts w:eastAsia="Times New Roman"/>
          <w:lang w:val="en-GB"/>
        </w:rPr>
        <w:t>.</w:t>
      </w:r>
    </w:p>
  </w:endnote>
  <w:endnote w:id="2">
    <w:p w14:paraId="25CB771A" w14:textId="14C48C2D" w:rsidR="00944958" w:rsidRPr="00246A9C" w:rsidRDefault="00944958" w:rsidP="00246A9C">
      <w:pPr>
        <w:pStyle w:val="EndnoteText"/>
        <w:spacing w:after="0"/>
      </w:pPr>
      <w:r w:rsidRPr="00246A9C">
        <w:rPr>
          <w:rStyle w:val="EndnoteReference"/>
        </w:rPr>
        <w:endnoteRef/>
      </w:r>
      <w:r w:rsidRPr="00246A9C">
        <w:t xml:space="preserve"> Performing an abortion on another carries a penalty of imprisonment of up to twelve years, and self-inducing an abortion carries a penalty of imprisonment of up to eight years, see </w:t>
      </w:r>
      <w:r w:rsidRPr="00246A9C">
        <w:rPr>
          <w:lang w:val="en-GB"/>
        </w:rPr>
        <w:t xml:space="preserve">Decreto N° 1030, Código Penal (1998) (hereinafter "1998 Criminal Code"), </w:t>
      </w:r>
      <w:r w:rsidRPr="00246A9C">
        <w:t xml:space="preserve">Arts. 133-137. </w:t>
      </w:r>
      <w:r w:rsidRPr="00246A9C">
        <w:rPr>
          <w:i/>
          <w:lang w:val="en-GB"/>
        </w:rPr>
        <w:t>See</w:t>
      </w:r>
      <w:r w:rsidRPr="00246A9C">
        <w:rPr>
          <w:lang w:val="en-GB"/>
        </w:rPr>
        <w:t xml:space="preserve"> also </w:t>
      </w:r>
      <w:r w:rsidRPr="00246A9C">
        <w:rPr>
          <w:rFonts w:eastAsia="Times New Roman"/>
          <w:lang w:eastAsia="en-GB"/>
        </w:rPr>
        <w:t xml:space="preserve">Código de Ética y Deontología Médica </w:t>
      </w:r>
      <w:r w:rsidRPr="00246A9C">
        <w:rPr>
          <w:rFonts w:eastAsia="Times New Roman"/>
          <w:lang w:val="en-GB" w:eastAsia="en-GB"/>
        </w:rPr>
        <w:t>(2015) (</w:t>
      </w:r>
      <w:r w:rsidRPr="00246A9C">
        <w:rPr>
          <w:lang w:val="en-GB"/>
        </w:rPr>
        <w:t xml:space="preserve">hereinafter "2015 El Salvador Doctors’ Code of Ethics and Deontology"), Art. </w:t>
      </w:r>
      <w:r w:rsidRPr="00246A9C">
        <w:t>87, which provides that “</w:t>
      </w:r>
      <w:r w:rsidRPr="00246A9C">
        <w:rPr>
          <w:i/>
        </w:rPr>
        <w:t>performing abortion constitutes serious misconduct according to the Criminal Code</w:t>
      </w:r>
      <w:r w:rsidRPr="00246A9C">
        <w:t>”.</w:t>
      </w:r>
    </w:p>
  </w:endnote>
  <w:endnote w:id="3">
    <w:p w14:paraId="6CF073CF" w14:textId="139D309F" w:rsidR="00944958" w:rsidRPr="00246A9C" w:rsidRDefault="00944958" w:rsidP="00246A9C">
      <w:pPr>
        <w:pStyle w:val="EndnoteText"/>
        <w:spacing w:after="0"/>
      </w:pPr>
      <w:r w:rsidRPr="00246A9C">
        <w:rPr>
          <w:rStyle w:val="EndnoteReference"/>
        </w:rPr>
        <w:endnoteRef/>
      </w:r>
      <w:r w:rsidRPr="00246A9C">
        <w:t xml:space="preserve"> </w:t>
      </w:r>
      <w:r w:rsidRPr="00246A9C">
        <w:rPr>
          <w:lang w:val="en-GB"/>
        </w:rPr>
        <w:t>1998 Criminal Code, Art. 312</w:t>
      </w:r>
      <w:r w:rsidRPr="00246A9C">
        <w:t>.</w:t>
      </w:r>
    </w:p>
  </w:endnote>
  <w:endnote w:id="4">
    <w:p w14:paraId="1FDDFEC0" w14:textId="146981CF" w:rsidR="00944958" w:rsidRPr="00246A9C" w:rsidRDefault="00944958" w:rsidP="00246A9C">
      <w:pPr>
        <w:pStyle w:val="EndnoteText"/>
        <w:spacing w:after="0"/>
        <w:rPr>
          <w:lang w:val="en-GB"/>
        </w:rPr>
      </w:pPr>
      <w:r w:rsidRPr="00246A9C">
        <w:rPr>
          <w:rStyle w:val="EndnoteReference"/>
        </w:rPr>
        <w:endnoteRef/>
      </w:r>
      <w:r w:rsidRPr="00246A9C">
        <w:rPr>
          <w:lang w:val="en-GB"/>
        </w:rPr>
        <w:t xml:space="preserve"> Constitution, Art. 1. </w:t>
      </w:r>
    </w:p>
  </w:endnote>
  <w:endnote w:id="5">
    <w:p w14:paraId="0E5355B6" w14:textId="2A6233C9" w:rsidR="00944958" w:rsidRPr="00246A9C" w:rsidRDefault="00944958" w:rsidP="00246A9C">
      <w:pPr>
        <w:pStyle w:val="EndnoteText"/>
        <w:spacing w:after="0"/>
      </w:pPr>
      <w:r w:rsidRPr="00246A9C">
        <w:rPr>
          <w:rStyle w:val="EndnoteReference"/>
        </w:rPr>
        <w:endnoteRef/>
      </w:r>
      <w:r w:rsidRPr="00246A9C">
        <w:t xml:space="preserve"> 1998 Criminal Code, Arts. 128-132. </w:t>
      </w:r>
    </w:p>
  </w:endnote>
  <w:endnote w:id="6">
    <w:p w14:paraId="2D2D2CA1" w14:textId="0F17DA2A" w:rsidR="00944958" w:rsidRPr="00246A9C" w:rsidRDefault="00944958" w:rsidP="00246A9C">
      <w:pPr>
        <w:pStyle w:val="EndnoteText"/>
        <w:spacing w:after="0"/>
      </w:pPr>
      <w:r w:rsidRPr="00246A9C">
        <w:rPr>
          <w:rStyle w:val="EndnoteReference"/>
        </w:rPr>
        <w:endnoteRef/>
      </w:r>
      <w:r w:rsidRPr="00246A9C">
        <w:t xml:space="preserve"> </w:t>
      </w:r>
      <w:r>
        <w:t xml:space="preserve">Andrea Rowan, </w:t>
      </w:r>
      <w:r w:rsidRPr="00246A9C">
        <w:rPr>
          <w:i/>
        </w:rPr>
        <w:t>Prosecuting Women for Self-Inducing Abortion: Counterproductive and Lacking Compassion</w:t>
      </w:r>
      <w:r w:rsidRPr="00246A9C">
        <w:t xml:space="preserve">, </w:t>
      </w:r>
      <w:r w:rsidRPr="001C2281">
        <w:rPr>
          <w:smallCaps/>
        </w:rPr>
        <w:t>18 Guttmacher Policy Review 3, 73</w:t>
      </w:r>
      <w:r>
        <w:t xml:space="preserve"> (Summer </w:t>
      </w:r>
      <w:r w:rsidRPr="00246A9C">
        <w:t>2015</w:t>
      </w:r>
      <w:r>
        <w:t>)</w:t>
      </w:r>
      <w:r w:rsidRPr="00246A9C">
        <w:t>.</w:t>
      </w:r>
    </w:p>
  </w:endnote>
  <w:endnote w:id="7">
    <w:p w14:paraId="3915D523" w14:textId="5E0AD27E" w:rsidR="00944958" w:rsidRPr="00246A9C" w:rsidRDefault="00944958" w:rsidP="00246A9C">
      <w:pPr>
        <w:pStyle w:val="NoSpacing"/>
        <w:rPr>
          <w:rFonts w:eastAsia="Times New Roman"/>
          <w:color w:val="0044BB"/>
          <w:sz w:val="20"/>
          <w:szCs w:val="20"/>
          <w:u w:val="single"/>
        </w:rPr>
      </w:pPr>
      <w:r w:rsidRPr="00246A9C">
        <w:rPr>
          <w:rStyle w:val="EndnoteReference"/>
          <w:sz w:val="20"/>
          <w:szCs w:val="20"/>
        </w:rPr>
        <w:endnoteRef/>
      </w:r>
      <w:r w:rsidRPr="00246A9C">
        <w:rPr>
          <w:sz w:val="20"/>
          <w:szCs w:val="20"/>
        </w:rPr>
        <w:t xml:space="preserve"> </w:t>
      </w:r>
      <w:r>
        <w:rPr>
          <w:sz w:val="20"/>
          <w:szCs w:val="20"/>
        </w:rPr>
        <w:t xml:space="preserve">Press release, </w:t>
      </w:r>
      <w:r w:rsidRPr="00246A9C">
        <w:rPr>
          <w:sz w:val="20"/>
          <w:szCs w:val="20"/>
        </w:rPr>
        <w:t xml:space="preserve">Center for Reproductive Rights, New Human Rights Case Filed on Behalf of Salvadoran Women Who Miscarried and Are Wrongfully Imprisoned (December 3, 2015), </w:t>
      </w:r>
      <w:r w:rsidRPr="001C2281">
        <w:rPr>
          <w:sz w:val="20"/>
          <w:szCs w:val="20"/>
        </w:rPr>
        <w:t>https://www.reproductiverights.org/press-room/new-human-rights-case-filed-on-behalf-of-salvadoran-women-who-miscarried-and-are-wrongful</w:t>
      </w:r>
      <w:hyperlink r:id="rId2" w:history="1"/>
      <w:r w:rsidRPr="00A54B6E">
        <w:rPr>
          <w:rStyle w:val="Hyperlink"/>
          <w:rFonts w:eastAsia="Times New Roman"/>
          <w:sz w:val="20"/>
          <w:szCs w:val="20"/>
        </w:rPr>
        <w:t>.</w:t>
      </w:r>
    </w:p>
  </w:endnote>
  <w:endnote w:id="8">
    <w:p w14:paraId="159E5F7B" w14:textId="77777777" w:rsidR="00944958" w:rsidRPr="00246A9C" w:rsidRDefault="00944958" w:rsidP="00246A9C">
      <w:pPr>
        <w:pStyle w:val="NoSpacing"/>
        <w:rPr>
          <w:sz w:val="20"/>
          <w:szCs w:val="20"/>
        </w:rPr>
      </w:pPr>
      <w:r w:rsidRPr="00246A9C">
        <w:rPr>
          <w:rStyle w:val="EndnoteReference"/>
          <w:sz w:val="20"/>
          <w:szCs w:val="20"/>
        </w:rPr>
        <w:endnoteRef/>
      </w:r>
      <w:r w:rsidRPr="00246A9C">
        <w:rPr>
          <w:sz w:val="20"/>
          <w:szCs w:val="20"/>
        </w:rPr>
        <w:t xml:space="preserve"> Visit by CRR researcher to “La Granja”, June 27, 2018.</w:t>
      </w:r>
    </w:p>
  </w:endnote>
  <w:endnote w:id="9">
    <w:p w14:paraId="444C5EE0" w14:textId="603A224F"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El Salvador,</w:t>
      </w:r>
      <w:r w:rsidRPr="00246A9C">
        <w:t xml:space="preserve"> paras. 10, 25 and 44,</w:t>
      </w:r>
      <w:r w:rsidRPr="00246A9C">
        <w:rPr>
          <w:i/>
        </w:rPr>
        <w:t xml:space="preserve"> </w:t>
      </w:r>
      <w:r w:rsidRPr="00246A9C">
        <w:rPr>
          <w:iCs/>
        </w:rPr>
        <w:t xml:space="preserve">UN Doc. </w:t>
      </w:r>
      <w:r w:rsidRPr="00246A9C">
        <w:t>E/C.12/SLV/CO/2, (2007).</w:t>
      </w:r>
    </w:p>
  </w:endnote>
  <w:endnote w:id="10">
    <w:p w14:paraId="2EE7E88E" w14:textId="3C9E071A"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El Salvador</w:t>
      </w:r>
      <w:r w:rsidRPr="00246A9C">
        <w:t xml:space="preserve">, paras. 22-23, U.N Doc. E/C.12/SLV/CO/3-5 (2014).  </w:t>
      </w:r>
    </w:p>
  </w:endnote>
  <w:endnote w:id="11">
    <w:p w14:paraId="25C41A71" w14:textId="1583511B" w:rsidR="00944958" w:rsidRPr="00246A9C" w:rsidRDefault="00944958" w:rsidP="00246A9C">
      <w:pPr>
        <w:pStyle w:val="EndnoteText"/>
        <w:spacing w:after="0"/>
      </w:pPr>
      <w:r w:rsidRPr="00246A9C">
        <w:rPr>
          <w:rStyle w:val="EndnoteReference"/>
        </w:rPr>
        <w:endnoteRef/>
      </w:r>
      <w:r w:rsidRPr="00246A9C">
        <w:t xml:space="preserve"> CEDAW Committee, </w:t>
      </w:r>
      <w:r w:rsidRPr="00246A9C">
        <w:rPr>
          <w:i/>
          <w:iCs/>
        </w:rPr>
        <w:t xml:space="preserve">Concluding Observations: El Salvador, </w:t>
      </w:r>
      <w:r w:rsidRPr="00246A9C">
        <w:t>paras. 22(a), 30(a) &amp; (b), 31, 34, 35, 36 &amp; 37, U.N. Doc. CEDAW/C/SLV/CO/8-9 (2017).</w:t>
      </w:r>
    </w:p>
  </w:endnote>
  <w:endnote w:id="12">
    <w:p w14:paraId="310C9A58" w14:textId="37A7DC6E" w:rsidR="00944958" w:rsidRPr="00246A9C" w:rsidRDefault="00944958" w:rsidP="00246A9C">
      <w:pPr>
        <w:pStyle w:val="EndnoteText"/>
        <w:spacing w:after="0"/>
      </w:pPr>
      <w:r w:rsidRPr="00246A9C">
        <w:rPr>
          <w:rStyle w:val="EndnoteReference"/>
        </w:rPr>
        <w:endnoteRef/>
      </w:r>
      <w:r w:rsidRPr="00246A9C">
        <w:t xml:space="preserve"> Human Rights Council, </w:t>
      </w:r>
      <w:r w:rsidRPr="00246A9C">
        <w:rPr>
          <w:i/>
        </w:rPr>
        <w:t>Report of the Working Group on the Universal Periodic Review – El Salvador</w:t>
      </w:r>
      <w:r w:rsidRPr="00246A9C">
        <w:t>, U.N. Doc. A/HRC/28/5 (17 December 2014).</w:t>
      </w:r>
    </w:p>
  </w:endnote>
  <w:endnote w:id="13">
    <w:p w14:paraId="04242D31" w14:textId="034CEFEA" w:rsidR="00944958" w:rsidRPr="00246A9C" w:rsidRDefault="00944958" w:rsidP="00246A9C">
      <w:pPr>
        <w:pStyle w:val="EndnoteText"/>
        <w:spacing w:after="0"/>
      </w:pPr>
      <w:r w:rsidRPr="00246A9C">
        <w:rPr>
          <w:rStyle w:val="EndnoteReference"/>
        </w:rPr>
        <w:endnoteRef/>
      </w:r>
      <w:r w:rsidRPr="00246A9C">
        <w:t xml:space="preserve"> </w:t>
      </w:r>
      <w:r w:rsidRPr="00246A9C">
        <w:rPr>
          <w:i/>
          <w:iCs/>
        </w:rPr>
        <w:t>Id.</w:t>
      </w:r>
      <w:r w:rsidRPr="00246A9C">
        <w:t xml:space="preserve"> at paras. 103.41, 103.51, &amp; 105.51-105.62.</w:t>
      </w:r>
    </w:p>
  </w:endnote>
  <w:endnote w:id="14">
    <w:p w14:paraId="7196A100" w14:textId="0DE96C78" w:rsidR="00944958" w:rsidRPr="00246A9C" w:rsidRDefault="00944958" w:rsidP="00246A9C">
      <w:pPr>
        <w:pStyle w:val="EndnoteText"/>
        <w:spacing w:after="0"/>
        <w:rPr>
          <w:color w:val="0044BB"/>
          <w:u w:val="single"/>
        </w:rPr>
      </w:pPr>
      <w:r w:rsidRPr="00246A9C">
        <w:rPr>
          <w:rStyle w:val="EndnoteReference"/>
        </w:rPr>
        <w:endnoteRef/>
      </w:r>
      <w:r w:rsidRPr="00246A9C">
        <w:t xml:space="preserve"> </w:t>
      </w:r>
      <w:r>
        <w:t>Press Release, OHCHR</w:t>
      </w:r>
      <w:r w:rsidRPr="00246A9C">
        <w:t xml:space="preserve">, </w:t>
      </w:r>
      <w:r w:rsidRPr="001C2281">
        <w:rPr>
          <w:rStyle w:val="h2"/>
        </w:rPr>
        <w:t>Statement by UN High Commissioner for Human Rights Zeid Ra’ad Al Hussein at the end of his mission to El Salvador</w:t>
      </w:r>
      <w:r w:rsidRPr="00246A9C">
        <w:rPr>
          <w:bCs/>
          <w:kern w:val="36"/>
        </w:rPr>
        <w:t xml:space="preserve"> (November </w:t>
      </w:r>
      <w:r>
        <w:rPr>
          <w:bCs/>
          <w:kern w:val="36"/>
        </w:rPr>
        <w:t xml:space="preserve">17, </w:t>
      </w:r>
      <w:r w:rsidRPr="00246A9C">
        <w:rPr>
          <w:bCs/>
          <w:kern w:val="36"/>
        </w:rPr>
        <w:t xml:space="preserve">2017), </w:t>
      </w:r>
      <w:hyperlink r:id="rId3" w:history="1">
        <w:r w:rsidRPr="00246A9C">
          <w:rPr>
            <w:rStyle w:val="Hyperlink"/>
          </w:rPr>
          <w:t>https://www.ohchr.org/EN/NewsEvents/Pages/DisplayNews.aspx?NewsID=22412&amp;LangID=E</w:t>
        </w:r>
      </w:hyperlink>
    </w:p>
  </w:endnote>
  <w:endnote w:id="15">
    <w:p w14:paraId="7B1FC7A6" w14:textId="57F485ED" w:rsidR="00944958" w:rsidRPr="00246A9C" w:rsidRDefault="00944958" w:rsidP="00246A9C">
      <w:pPr>
        <w:pStyle w:val="EndnoteText"/>
        <w:spacing w:after="0"/>
      </w:pPr>
      <w:r w:rsidRPr="00246A9C">
        <w:rPr>
          <w:rStyle w:val="EndnoteReference"/>
        </w:rPr>
        <w:endnoteRef/>
      </w:r>
      <w:r w:rsidRPr="00246A9C">
        <w:t xml:space="preserve"> </w:t>
      </w:r>
      <w:r>
        <w:t xml:space="preserve">Press release, </w:t>
      </w:r>
      <w:r w:rsidRPr="00246A9C">
        <w:t>Inter</w:t>
      </w:r>
      <w:r>
        <w:t>-A</w:t>
      </w:r>
      <w:r w:rsidRPr="00246A9C">
        <w:t xml:space="preserve">merican Commission on Human Rights, </w:t>
      </w:r>
      <w:r w:rsidRPr="001C2281">
        <w:rPr>
          <w:iCs/>
        </w:rPr>
        <w:t>IACHR Urges El Salvador to End the Total Criminalisation of Abortion</w:t>
      </w:r>
      <w:r w:rsidRPr="00CA14C3">
        <w:t xml:space="preserve"> </w:t>
      </w:r>
      <w:r w:rsidRPr="00246A9C">
        <w:t xml:space="preserve">(March </w:t>
      </w:r>
      <w:r>
        <w:t xml:space="preserve">7, </w:t>
      </w:r>
      <w:r w:rsidRPr="00246A9C">
        <w:t>2018)</w:t>
      </w:r>
      <w:r>
        <w:t xml:space="preserve">, </w:t>
      </w:r>
      <w:r w:rsidRPr="00CA14C3">
        <w:t>http://www.oas.org/en/iachr/media_center/PReleases/2018/042.asp</w:t>
      </w:r>
      <w:r w:rsidRPr="00246A9C">
        <w:t>.</w:t>
      </w:r>
    </w:p>
  </w:endnote>
  <w:endnote w:id="16">
    <w:p w14:paraId="29AD04CC" w14:textId="79639164" w:rsidR="00944958" w:rsidRPr="00246A9C" w:rsidRDefault="00944958" w:rsidP="00246A9C">
      <w:pPr>
        <w:pStyle w:val="EndnoteText"/>
        <w:spacing w:after="0"/>
        <w:rPr>
          <w:lang w:val="en-GB"/>
        </w:rPr>
      </w:pPr>
      <w:r w:rsidRPr="00246A9C">
        <w:rPr>
          <w:rStyle w:val="EndnoteReference"/>
        </w:rPr>
        <w:endnoteRef/>
      </w:r>
      <w:r w:rsidRPr="00246A9C">
        <w:t xml:space="preserve"> </w:t>
      </w:r>
      <w:r w:rsidRPr="00246A9C">
        <w:rPr>
          <w:color w:val="000000" w:themeColor="text1"/>
        </w:rPr>
        <w:t>Under Honduran law, abortion is defined as “the murder of a human being during pregnancy or at the moment of delivery</w:t>
      </w:r>
      <w:r>
        <w:rPr>
          <w:color w:val="000000" w:themeColor="text1"/>
        </w:rPr>
        <w:t>,</w:t>
      </w:r>
      <w:r w:rsidRPr="00246A9C">
        <w:rPr>
          <w:color w:val="000000" w:themeColor="text1"/>
        </w:rPr>
        <w:t>”</w:t>
      </w:r>
      <w:r>
        <w:rPr>
          <w:color w:val="000000" w:themeColor="text1"/>
        </w:rPr>
        <w:t xml:space="preserve"> meaning</w:t>
      </w:r>
      <w:r w:rsidRPr="00246A9C">
        <w:rPr>
          <w:color w:val="000000" w:themeColor="text1"/>
        </w:rPr>
        <w:t xml:space="preserve"> that abortion-related crimes are considered homicide. </w:t>
      </w:r>
      <w:r w:rsidRPr="001C2281">
        <w:rPr>
          <w:smallCaps/>
        </w:rPr>
        <w:t>United Nations Population Division, Abortion Policies: A Global Review</w:t>
      </w:r>
      <w:r>
        <w:t xml:space="preserve"> (Honduras) (2002)</w:t>
      </w:r>
      <w:r w:rsidRPr="00246A9C">
        <w:t xml:space="preserve">, </w:t>
      </w:r>
      <w:r w:rsidRPr="00246A9C">
        <w:rPr>
          <w:i/>
        </w:rPr>
        <w:t>available at</w:t>
      </w:r>
      <w:r w:rsidRPr="00246A9C">
        <w:t xml:space="preserve"> www.un.org/esa/population/publications/abortion/doc/honduras.doc.</w:t>
      </w:r>
    </w:p>
  </w:endnote>
  <w:endnote w:id="17">
    <w:p w14:paraId="1223D015" w14:textId="7BCDB537" w:rsidR="00944958" w:rsidRPr="00246A9C" w:rsidRDefault="00944958" w:rsidP="00246A9C">
      <w:pPr>
        <w:pStyle w:val="EndnoteText"/>
        <w:spacing w:after="0"/>
      </w:pPr>
      <w:r w:rsidRPr="00246A9C">
        <w:rPr>
          <w:rStyle w:val="EndnoteReference"/>
        </w:rPr>
        <w:endnoteRef/>
      </w:r>
      <w:r w:rsidRPr="00246A9C">
        <w:t xml:space="preserve"> Secretaría de Salud, Acuerdo No. 2744 (Honduras) (2009); </w:t>
      </w:r>
      <w:r>
        <w:t>C</w:t>
      </w:r>
      <w:r w:rsidRPr="00246A9C">
        <w:t xml:space="preserve">enter for Reproductive Rights, </w:t>
      </w:r>
      <w:r w:rsidRPr="00246A9C">
        <w:rPr>
          <w:rStyle w:val="Hyperlink"/>
          <w:i/>
          <w:color w:val="000000" w:themeColor="text1"/>
          <w:u w:val="none"/>
        </w:rPr>
        <w:t>Honduras: Sexual Violence and Total Bans on Emergency Contraception and Abortion</w:t>
      </w:r>
      <w:r w:rsidRPr="00246A9C">
        <w:t xml:space="preserve"> (2015)</w:t>
      </w:r>
      <w:r>
        <w:t>,</w:t>
      </w:r>
      <w:r w:rsidRPr="00246A9C">
        <w:t xml:space="preserve"> </w:t>
      </w:r>
      <w:r w:rsidRPr="00246A9C">
        <w:rPr>
          <w:i/>
        </w:rPr>
        <w:t xml:space="preserve">available at </w:t>
      </w:r>
      <w:hyperlink r:id="rId4" w:history="1">
        <w:r w:rsidRPr="00246A9C">
          <w:rPr>
            <w:rStyle w:val="Hyperlink"/>
          </w:rPr>
          <w:t>https://www.reproductiverights.org/sites/crr.civicactions.net/files/documents/25MAR15%20GLP_LAC_Honduras_Factsheet_Final%20AS%20FILED%20(1).pdf</w:t>
        </w:r>
      </w:hyperlink>
      <w:r w:rsidRPr="00246A9C">
        <w:t xml:space="preserve">. </w:t>
      </w:r>
    </w:p>
  </w:endnote>
  <w:endnote w:id="18">
    <w:p w14:paraId="0BEBC0D0" w14:textId="04941C07" w:rsidR="00944958" w:rsidRPr="00246A9C" w:rsidRDefault="00944958" w:rsidP="00246A9C">
      <w:pPr>
        <w:pStyle w:val="EndnoteText"/>
        <w:spacing w:after="0"/>
        <w:rPr>
          <w:lang w:val="en-AU"/>
        </w:rPr>
      </w:pPr>
      <w:r w:rsidRPr="00246A9C">
        <w:rPr>
          <w:rStyle w:val="EndnoteReference"/>
        </w:rPr>
        <w:endnoteRef/>
      </w:r>
      <w:r w:rsidRPr="00246A9C">
        <w:t xml:space="preserve"> </w:t>
      </w:r>
      <w:r w:rsidRPr="00246A9C">
        <w:rPr>
          <w:i/>
        </w:rPr>
        <w:t>See</w:t>
      </w:r>
      <w:r w:rsidRPr="00246A9C">
        <w:t xml:space="preserve"> </w:t>
      </w:r>
      <w:r w:rsidRPr="00246A9C">
        <w:rPr>
          <w:lang w:val="en-AU"/>
        </w:rPr>
        <w:t xml:space="preserve">Committee on the Elimination of Racial Discrimination (CERD Committee), </w:t>
      </w:r>
      <w:r w:rsidRPr="00246A9C">
        <w:rPr>
          <w:i/>
          <w:lang w:val="en-AU"/>
        </w:rPr>
        <w:t>Concluding Observations: Honduras</w:t>
      </w:r>
      <w:r w:rsidRPr="00246A9C">
        <w:rPr>
          <w:lang w:val="en-AU"/>
        </w:rPr>
        <w:t xml:space="preserve">, U.N. Doc CERD/C/HND/CO/1-5 (March 13, 2014). </w:t>
      </w:r>
    </w:p>
  </w:endnote>
  <w:endnote w:id="19">
    <w:p w14:paraId="117CDE93" w14:textId="0E676DBF"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Human Rights Committee, </w:t>
      </w:r>
      <w:r w:rsidRPr="00246A9C">
        <w:rPr>
          <w:i/>
        </w:rPr>
        <w:t>Concluding Observations: Honduras</w:t>
      </w:r>
      <w:r w:rsidRPr="00246A9C">
        <w:t xml:space="preserve">, paras. 16-17, U.N. Doc. CCPR/C/HND/CO/2 (2017); CEDAW Committee, </w:t>
      </w:r>
      <w:r w:rsidRPr="00246A9C">
        <w:rPr>
          <w:i/>
        </w:rPr>
        <w:t>Concluding Observations: Honduras</w:t>
      </w:r>
      <w:r w:rsidRPr="00246A9C">
        <w:t xml:space="preserve">, paras. 36-37, U.N. Doc. CEDAW/C/HND/CO/7-8 (2016); Committee Against Torture (CAT Committee), </w:t>
      </w:r>
      <w:r w:rsidRPr="00246A9C">
        <w:rPr>
          <w:i/>
        </w:rPr>
        <w:t>Concluding Observations: Honduras</w:t>
      </w:r>
      <w:r w:rsidRPr="00246A9C">
        <w:t xml:space="preserve">, paras. 47-48, U.N. Doc. CAT/C/HND/CO/2 (2016); CESCR Committee, </w:t>
      </w:r>
      <w:r w:rsidRPr="00246A9C">
        <w:rPr>
          <w:i/>
        </w:rPr>
        <w:t>Concluding Observations: Honduras</w:t>
      </w:r>
      <w:r w:rsidRPr="00246A9C">
        <w:t xml:space="preserve">, paras. 53-53, U.N. Doc. E/C.12/HND/CO/2 (2016); CRC Committee, </w:t>
      </w:r>
      <w:r w:rsidRPr="00246A9C">
        <w:rPr>
          <w:i/>
        </w:rPr>
        <w:t>Concluding Observations: Honduras</w:t>
      </w:r>
      <w:r w:rsidRPr="00246A9C">
        <w:t>, paras. 64-65, U.N. Doc. CRC/C/HND/CO/4-5</w:t>
      </w:r>
      <w:r>
        <w:t xml:space="preserve"> (2015)</w:t>
      </w:r>
      <w:r w:rsidRPr="00246A9C">
        <w:t xml:space="preserve">. </w:t>
      </w:r>
    </w:p>
  </w:endnote>
  <w:endnote w:id="20">
    <w:p w14:paraId="0989894D" w14:textId="7985F4A5" w:rsidR="00944958" w:rsidRPr="00246A9C" w:rsidRDefault="00944958" w:rsidP="00246A9C">
      <w:pPr>
        <w:pStyle w:val="EndnoteText"/>
        <w:spacing w:after="0"/>
      </w:pPr>
      <w:r w:rsidRPr="00246A9C">
        <w:rPr>
          <w:rStyle w:val="EndnoteReference"/>
        </w:rPr>
        <w:endnoteRef/>
      </w:r>
      <w:r w:rsidRPr="00246A9C">
        <w:t xml:space="preserve"> </w:t>
      </w:r>
      <w:r>
        <w:t>Press Release, OHCHR</w:t>
      </w:r>
      <w:r w:rsidRPr="00246A9C">
        <w:t xml:space="preserve">, </w:t>
      </w:r>
      <w:r w:rsidRPr="001C2281">
        <w:t>Honduras needs progressive reform of an abortion law to advance women’s human rights, say UN experts</w:t>
      </w:r>
      <w:r w:rsidRPr="00246A9C">
        <w:rPr>
          <w:i/>
        </w:rPr>
        <w:t xml:space="preserve"> </w:t>
      </w:r>
      <w:r w:rsidRPr="00246A9C">
        <w:t xml:space="preserve">(Apr. 28, 2017), </w:t>
      </w:r>
      <w:hyperlink r:id="rId5" w:history="1">
        <w:r w:rsidRPr="00D25EAA">
          <w:rPr>
            <w:rStyle w:val="Hyperlink"/>
          </w:rPr>
          <w:t>http://www.ohchr.org/EN/NewsEvents/Pages/DisplayNews.aspx?NewsID=21549&amp;LangID</w:t>
        </w:r>
      </w:hyperlink>
      <w:r w:rsidRPr="00246A9C">
        <w:t>=.</w:t>
      </w:r>
      <w:r>
        <w:t xml:space="preserve"> </w:t>
      </w:r>
      <w:r w:rsidRPr="00246A9C">
        <w:t xml:space="preserve"> </w:t>
      </w:r>
    </w:p>
  </w:endnote>
  <w:endnote w:id="21">
    <w:p w14:paraId="13DB4650" w14:textId="3DB9C8D5"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22">
    <w:p w14:paraId="2A8CCEDA" w14:textId="1FFE28C5" w:rsidR="00944958" w:rsidRPr="00246A9C" w:rsidRDefault="00944958" w:rsidP="00246A9C">
      <w:pPr>
        <w:pStyle w:val="EndnoteText"/>
        <w:spacing w:after="0"/>
      </w:pPr>
      <w:r w:rsidRPr="00246A9C">
        <w:rPr>
          <w:rStyle w:val="EndnoteReference"/>
        </w:rPr>
        <w:endnoteRef/>
      </w:r>
      <w:r w:rsidRPr="00246A9C">
        <w:t xml:space="preserve"> </w:t>
      </w:r>
      <w:r>
        <w:t xml:space="preserve">Press Release, </w:t>
      </w:r>
      <w:r w:rsidRPr="00246A9C">
        <w:t xml:space="preserve">Center for Reproductive Rights, </w:t>
      </w:r>
      <w:r w:rsidRPr="001C2281">
        <w:t>Honduras Reinforces Total Abortion Ban</w:t>
      </w:r>
      <w:r w:rsidRPr="00246A9C">
        <w:t xml:space="preserve"> (May. 5, 2017), </w:t>
      </w:r>
      <w:hyperlink r:id="rId6" w:history="1">
        <w:r w:rsidRPr="00246A9C">
          <w:rPr>
            <w:rStyle w:val="Hyperlink"/>
          </w:rPr>
          <w:t>https://www.reproductiverights.org/press-room/honduras-reinforces-total-abortion-ban</w:t>
        </w:r>
      </w:hyperlink>
      <w:r w:rsidRPr="00246A9C">
        <w:rPr>
          <w:rStyle w:val="Hyperlink"/>
        </w:rPr>
        <w:t>.</w:t>
      </w:r>
      <w:r w:rsidRPr="00246A9C">
        <w:t xml:space="preserve"> </w:t>
      </w:r>
    </w:p>
  </w:endnote>
  <w:endnote w:id="23">
    <w:p w14:paraId="57227932" w14:textId="746EDA84" w:rsidR="00944958" w:rsidRPr="001C2281" w:rsidRDefault="00944958" w:rsidP="00246A9C">
      <w:pPr>
        <w:pStyle w:val="EndnoteText"/>
        <w:spacing w:after="0"/>
        <w:rPr>
          <w:lang w:val="es-US"/>
        </w:rPr>
      </w:pPr>
      <w:r w:rsidRPr="00246A9C">
        <w:rPr>
          <w:rStyle w:val="EndnoteReference"/>
        </w:rPr>
        <w:endnoteRef/>
      </w:r>
      <w:r w:rsidRPr="001C2281">
        <w:rPr>
          <w:lang w:val="es-US"/>
        </w:rPr>
        <w:t xml:space="preserve"> Centro de Derechos de Mujeres, Abortions in Honduras, (Feb. 11, 2016), </w:t>
      </w:r>
      <w:hyperlink r:id="rId7" w:history="1">
        <w:r w:rsidRPr="001C2281">
          <w:rPr>
            <w:rStyle w:val="Hyperlink"/>
            <w:lang w:val="es-US"/>
          </w:rPr>
          <w:t>http://derechosdelamujer.org/abortion-in-honduras/</w:t>
        </w:r>
      </w:hyperlink>
      <w:r w:rsidRPr="001C2281">
        <w:rPr>
          <w:lang w:val="es-US"/>
        </w:rPr>
        <w:t xml:space="preserve"> [hereinafter Abortions in Honduras].</w:t>
      </w:r>
    </w:p>
  </w:endnote>
  <w:endnote w:id="24">
    <w:p w14:paraId="6090564B" w14:textId="5BC1E8B2" w:rsidR="00944958" w:rsidRPr="00246A9C" w:rsidRDefault="00944958" w:rsidP="00246A9C">
      <w:pPr>
        <w:pStyle w:val="EndnoteText"/>
        <w:spacing w:after="0"/>
        <w:rPr>
          <w:color w:val="000000" w:themeColor="text1"/>
          <w:lang w:val="en-AU"/>
        </w:rPr>
      </w:pPr>
      <w:r w:rsidRPr="00246A9C">
        <w:rPr>
          <w:rStyle w:val="EndnoteReference"/>
          <w:color w:val="000000" w:themeColor="text1"/>
        </w:rPr>
        <w:endnoteRef/>
      </w:r>
      <w:r w:rsidRPr="00246A9C">
        <w:rPr>
          <w:color w:val="000000" w:themeColor="text1"/>
        </w:rPr>
        <w:t xml:space="preserve"> Human Rights Watch</w:t>
      </w:r>
      <w:r w:rsidRPr="00246A9C">
        <w:rPr>
          <w:color w:val="000000" w:themeColor="text1"/>
          <w:lang w:val="en-AU"/>
        </w:rPr>
        <w:t xml:space="preserve">, </w:t>
      </w:r>
      <w:r w:rsidRPr="00246A9C">
        <w:rPr>
          <w:rStyle w:val="Hyperlink"/>
          <w:i/>
          <w:color w:val="000000" w:themeColor="text1"/>
          <w:u w:val="none"/>
          <w:lang w:val="en-AU"/>
        </w:rPr>
        <w:t>Honduras Should Give Women More Access to Abortion</w:t>
      </w:r>
      <w:r w:rsidRPr="00246A9C">
        <w:rPr>
          <w:color w:val="000000" w:themeColor="text1"/>
          <w:lang w:val="en-AU"/>
        </w:rPr>
        <w:t xml:space="preserve"> (Apr. 24, 2017), </w:t>
      </w:r>
      <w:hyperlink r:id="rId8" w:history="1">
        <w:r w:rsidRPr="00D25EAA">
          <w:rPr>
            <w:rStyle w:val="Hyperlink"/>
            <w:lang w:val="en-AU"/>
          </w:rPr>
          <w:t>https://www.hrw.org/news/2017/04/24/honduras-should-give-women-more-access-abortion</w:t>
        </w:r>
      </w:hyperlink>
      <w:r w:rsidRPr="00246A9C">
        <w:rPr>
          <w:color w:val="000000" w:themeColor="text1"/>
          <w:lang w:val="en-AU"/>
        </w:rPr>
        <w:t>.</w:t>
      </w:r>
      <w:r>
        <w:rPr>
          <w:color w:val="000000" w:themeColor="text1"/>
          <w:lang w:val="en-AU"/>
        </w:rPr>
        <w:t xml:space="preserve"> </w:t>
      </w:r>
    </w:p>
  </w:endnote>
  <w:endnote w:id="25">
    <w:p w14:paraId="1C4B6100" w14:textId="3908E07D" w:rsidR="00944958" w:rsidRPr="00246A9C" w:rsidRDefault="00944958" w:rsidP="00246A9C">
      <w:pPr>
        <w:pStyle w:val="EndnoteText"/>
        <w:spacing w:after="0"/>
      </w:pPr>
      <w:r w:rsidRPr="00246A9C">
        <w:rPr>
          <w:rStyle w:val="EndnoteReference"/>
        </w:rPr>
        <w:endnoteRef/>
      </w:r>
      <w:r w:rsidRPr="00246A9C">
        <w:t xml:space="preserve"> Ganatra, Bela</w:t>
      </w:r>
      <w:r>
        <w:t>,</w:t>
      </w:r>
      <w:r w:rsidRPr="00246A9C">
        <w:t xml:space="preserve"> </w:t>
      </w:r>
      <w:r w:rsidRPr="001C2281">
        <w:rPr>
          <w:i/>
        </w:rPr>
        <w:t>et al.</w:t>
      </w:r>
      <w:r w:rsidRPr="00246A9C">
        <w:t xml:space="preserve">, </w:t>
      </w:r>
      <w:r w:rsidRPr="00246A9C">
        <w:rPr>
          <w:i/>
        </w:rPr>
        <w:t>Global, regional, and subregional classification of abortions by safety, 2010–14: estimates from a Bayesian hierarchical model</w:t>
      </w:r>
      <w:r w:rsidRPr="00246A9C">
        <w:t xml:space="preserve">, 390 </w:t>
      </w:r>
      <w:r w:rsidRPr="00246A9C">
        <w:rPr>
          <w:smallCaps/>
        </w:rPr>
        <w:t>The Lancet</w:t>
      </w:r>
      <w:r w:rsidRPr="00246A9C">
        <w:t xml:space="preserve"> 2372, 2378 (2017).</w:t>
      </w:r>
    </w:p>
  </w:endnote>
  <w:endnote w:id="26">
    <w:p w14:paraId="12D50A1B" w14:textId="105B733E" w:rsidR="00944958" w:rsidRPr="00246A9C" w:rsidRDefault="00944958" w:rsidP="00246A9C">
      <w:pPr>
        <w:pStyle w:val="EndnoteText"/>
        <w:spacing w:after="0"/>
      </w:pPr>
      <w:r w:rsidRPr="00246A9C">
        <w:rPr>
          <w:rStyle w:val="EndnoteReference"/>
        </w:rPr>
        <w:endnoteRef/>
      </w:r>
      <w:r w:rsidRPr="00246A9C">
        <w:t xml:space="preserve"> Abortions in Honduras, </w:t>
      </w:r>
      <w:r w:rsidRPr="00246A9C">
        <w:rPr>
          <w:i/>
        </w:rPr>
        <w:t xml:space="preserve">supra </w:t>
      </w:r>
      <w:r w:rsidRPr="00246A9C">
        <w:t>note</w:t>
      </w:r>
      <w:r w:rsidRPr="00246A9C">
        <w:rPr>
          <w:i/>
        </w:rPr>
        <w:t xml:space="preserve"> </w:t>
      </w:r>
      <w:r w:rsidRPr="00246A9C">
        <w:t>xxiii.</w:t>
      </w:r>
    </w:p>
  </w:endnote>
  <w:endnote w:id="27">
    <w:p w14:paraId="208FC70C" w14:textId="77777777" w:rsidR="00944958" w:rsidRPr="00246A9C" w:rsidRDefault="00944958" w:rsidP="00246A9C">
      <w:pPr>
        <w:pStyle w:val="EndnoteText"/>
        <w:spacing w:after="0"/>
      </w:pPr>
      <w:r w:rsidRPr="00246A9C">
        <w:rPr>
          <w:rStyle w:val="EndnoteReference"/>
        </w:rPr>
        <w:endnoteRef/>
      </w:r>
      <w:r w:rsidRPr="00246A9C">
        <w:t xml:space="preserve"> Nepal Ministry of Health, </w:t>
      </w:r>
      <w:r w:rsidRPr="00246A9C">
        <w:rPr>
          <w:i/>
        </w:rPr>
        <w:t xml:space="preserve">National Safe Abortion Policy, </w:t>
      </w:r>
      <w:r w:rsidRPr="00246A9C">
        <w:t>Kathmandu, Nepal: Ministry of Health, 2002, http://www.mohp.gov.np/images/pdf/policy/National%20abortion%20Policy.pdf.</w:t>
      </w:r>
    </w:p>
  </w:endnote>
  <w:endnote w:id="28">
    <w:p w14:paraId="46D3D9D2"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29">
    <w:p w14:paraId="33F5B467" w14:textId="177632EC" w:rsidR="00944958" w:rsidRPr="00246A9C" w:rsidRDefault="00944958" w:rsidP="00246A9C">
      <w:pPr>
        <w:rPr>
          <w:sz w:val="20"/>
          <w:szCs w:val="20"/>
        </w:rPr>
      </w:pPr>
      <w:r w:rsidRPr="00246A9C">
        <w:rPr>
          <w:rStyle w:val="EndnoteReference"/>
          <w:sz w:val="20"/>
          <w:szCs w:val="20"/>
        </w:rPr>
        <w:endnoteRef/>
      </w:r>
      <w:r w:rsidRPr="00246A9C">
        <w:rPr>
          <w:sz w:val="20"/>
          <w:szCs w:val="20"/>
        </w:rPr>
        <w:t xml:space="preserve"> </w:t>
      </w:r>
      <w:r>
        <w:rPr>
          <w:sz w:val="20"/>
          <w:szCs w:val="20"/>
        </w:rPr>
        <w:t xml:space="preserve">Center for Reproductive Rights and Forum for Women, Law and </w:t>
      </w:r>
      <w:r w:rsidRPr="00ED52E5">
        <w:rPr>
          <w:sz w:val="20"/>
          <w:szCs w:val="20"/>
        </w:rPr>
        <w:t>Development,</w:t>
      </w:r>
      <w:r w:rsidRPr="00ED52E5">
        <w:rPr>
          <w:rStyle w:val="apple-converted-space"/>
          <w:color w:val="212121"/>
          <w:sz w:val="20"/>
          <w:szCs w:val="20"/>
        </w:rPr>
        <w:t> </w:t>
      </w:r>
      <w:r w:rsidRPr="00ED52E5">
        <w:rPr>
          <w:bCs/>
          <w:i/>
          <w:color w:val="212121"/>
          <w:sz w:val="20"/>
          <w:szCs w:val="20"/>
        </w:rPr>
        <w:t>Reforms Required in Laws Related to Abortion and Its Enforcement</w:t>
      </w:r>
      <w:r w:rsidRPr="00ED52E5">
        <w:rPr>
          <w:rStyle w:val="apple-converted-space"/>
          <w:i/>
          <w:color w:val="212121"/>
          <w:sz w:val="20"/>
          <w:szCs w:val="20"/>
        </w:rPr>
        <w:t> </w:t>
      </w:r>
      <w:r w:rsidR="00ED52E5" w:rsidRPr="001C2281">
        <w:rPr>
          <w:color w:val="212121"/>
          <w:sz w:val="20"/>
          <w:szCs w:val="20"/>
        </w:rPr>
        <w:t>(</w:t>
      </w:r>
      <w:r w:rsidR="00ED52E5" w:rsidRPr="001C2281">
        <w:rPr>
          <w:iCs/>
          <w:color w:val="212121"/>
          <w:sz w:val="20"/>
          <w:szCs w:val="20"/>
        </w:rPr>
        <w:t>English-language factsheet forthcoming</w:t>
      </w:r>
      <w:r w:rsidRPr="001C2281">
        <w:rPr>
          <w:iCs/>
          <w:color w:val="212121"/>
          <w:sz w:val="20"/>
          <w:szCs w:val="20"/>
        </w:rPr>
        <w:t>).</w:t>
      </w:r>
    </w:p>
  </w:endnote>
  <w:endnote w:id="30">
    <w:p w14:paraId="098254EA" w14:textId="66C27E7E"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31">
    <w:p w14:paraId="7BC07D04" w14:textId="30FFE25F" w:rsidR="00944958" w:rsidRPr="00246A9C" w:rsidRDefault="00944958" w:rsidP="00246A9C">
      <w:pPr>
        <w:pStyle w:val="EndnoteText"/>
        <w:spacing w:after="0"/>
      </w:pPr>
      <w:r w:rsidRPr="00246A9C">
        <w:rPr>
          <w:rStyle w:val="EndnoteReference"/>
        </w:rPr>
        <w:endnoteRef/>
      </w:r>
      <w:r w:rsidRPr="00246A9C">
        <w:t xml:space="preserve"> Tara Todras-Whitehill, </w:t>
      </w:r>
      <w:r w:rsidRPr="00246A9C">
        <w:rPr>
          <w:i/>
        </w:rPr>
        <w:t xml:space="preserve">Is abortion legal in Nepal? Many Nepali women don’t know the answer. </w:t>
      </w:r>
      <w:r w:rsidRPr="001C2281">
        <w:rPr>
          <w:smallCaps/>
        </w:rPr>
        <w:t>Witness</w:t>
      </w:r>
      <w:r w:rsidRPr="00246A9C">
        <w:t xml:space="preserve"> (Se</w:t>
      </w:r>
      <w:r>
        <w:t>pt. 25,</w:t>
      </w:r>
      <w:r w:rsidRPr="00246A9C">
        <w:t xml:space="preserve"> 2017), </w:t>
      </w:r>
      <w:hyperlink r:id="rId9" w:history="1">
        <w:r w:rsidRPr="00246A9C">
          <w:rPr>
            <w:rStyle w:val="Hyperlink"/>
          </w:rPr>
          <w:t>https://witness.worldpressphoto.org/is-abortion-legal-in-nepal-many-nepali-women-dont-know-the-answer-dae56431f68</w:t>
        </w:r>
      </w:hyperlink>
      <w:r w:rsidRPr="00246A9C">
        <w:t xml:space="preserve">. </w:t>
      </w:r>
    </w:p>
  </w:endnote>
  <w:endnote w:id="32">
    <w:p w14:paraId="37EE1046" w14:textId="7925E7CE" w:rsidR="00944958" w:rsidRPr="00246A9C" w:rsidRDefault="00944958" w:rsidP="00246A9C">
      <w:pPr>
        <w:pStyle w:val="EndnoteText"/>
        <w:spacing w:after="0"/>
      </w:pPr>
      <w:r w:rsidRPr="00246A9C">
        <w:rPr>
          <w:rStyle w:val="EndnoteReference"/>
        </w:rPr>
        <w:endnoteRef/>
      </w:r>
      <w:r w:rsidRPr="00246A9C">
        <w:t xml:space="preserve"> Mahesh Puri, </w:t>
      </w:r>
      <w:r>
        <w:rPr>
          <w:i/>
        </w:rPr>
        <w:t>et al.</w:t>
      </w:r>
      <w:r w:rsidRPr="00246A9C">
        <w:t xml:space="preserve">, </w:t>
      </w:r>
      <w:r w:rsidRPr="00246A9C">
        <w:rPr>
          <w:i/>
        </w:rPr>
        <w:t>Abortion Incidence and Unintended Pregnancy in Nepal</w:t>
      </w:r>
      <w:r w:rsidRPr="00246A9C">
        <w:t xml:space="preserve">, 42 </w:t>
      </w:r>
      <w:r w:rsidRPr="00246A9C">
        <w:rPr>
          <w:smallCaps/>
        </w:rPr>
        <w:t>Guttmacher Institute</w:t>
      </w:r>
      <w:r w:rsidRPr="00246A9C">
        <w:t xml:space="preserve"> 197 (December 2016), </w:t>
      </w:r>
      <w:r w:rsidRPr="00246A9C">
        <w:rPr>
          <w:i/>
        </w:rPr>
        <w:t>available at</w:t>
      </w:r>
      <w:r w:rsidRPr="00246A9C">
        <w:t xml:space="preserve"> https://www.guttmacher.org/journals/ipsrh/2016/12/abortion-incidence-and-unintended-pregnancy-nepal.</w:t>
      </w:r>
    </w:p>
  </w:endnote>
  <w:endnote w:id="33">
    <w:p w14:paraId="0FC268C0" w14:textId="51408F2E" w:rsidR="00944958" w:rsidRPr="00246A9C" w:rsidRDefault="00944958" w:rsidP="00246A9C">
      <w:pPr>
        <w:pStyle w:val="EndnoteText"/>
        <w:spacing w:after="0"/>
      </w:pPr>
      <w:r w:rsidRPr="00246A9C">
        <w:rPr>
          <w:rStyle w:val="EndnoteReference"/>
        </w:rPr>
        <w:endnoteRef/>
      </w:r>
      <w:r w:rsidRPr="00246A9C">
        <w:t xml:space="preserve"> Tara Todras-Whitehill, </w:t>
      </w:r>
      <w:r w:rsidRPr="00246A9C">
        <w:rPr>
          <w:i/>
        </w:rPr>
        <w:t xml:space="preserve">Is abortion legal in Nepal?, supra </w:t>
      </w:r>
      <w:r w:rsidRPr="00246A9C">
        <w:t>note</w:t>
      </w:r>
      <w:r w:rsidRPr="00246A9C">
        <w:rPr>
          <w:i/>
        </w:rPr>
        <w:t xml:space="preserve"> </w:t>
      </w:r>
      <w:r w:rsidRPr="00246A9C">
        <w:t>xxxi</w:t>
      </w:r>
      <w:r w:rsidRPr="00246A9C">
        <w:rPr>
          <w:i/>
        </w:rPr>
        <w:t>.</w:t>
      </w:r>
    </w:p>
  </w:endnote>
  <w:endnote w:id="34">
    <w:p w14:paraId="6E95DE70" w14:textId="7AAAB532"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CEDAW Committee, </w:t>
      </w:r>
      <w:r w:rsidRPr="001C2281">
        <w:rPr>
          <w:i/>
        </w:rPr>
        <w:t>Concluding Observations: Nepal</w:t>
      </w:r>
      <w:r w:rsidRPr="00246A9C">
        <w:t>, U.N. Doc. CEDAW/C/NPL/CO/4-5 (2011).</w:t>
      </w:r>
    </w:p>
  </w:endnote>
  <w:endnote w:id="35">
    <w:p w14:paraId="5F45C6C1" w14:textId="743FA13C"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at paras. 31-32. </w:t>
      </w:r>
    </w:p>
  </w:endnote>
  <w:endnote w:id="36">
    <w:p w14:paraId="5FDDA502" w14:textId="6F09B79E"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Nepal</w:t>
      </w:r>
      <w:r w:rsidRPr="00246A9C">
        <w:t>, para. 26, U.N. Doc. E/C.12/NPL/CO/3 (2014).</w:t>
      </w:r>
    </w:p>
  </w:endnote>
  <w:endnote w:id="37">
    <w:p w14:paraId="51BFFC78" w14:textId="62FEFEF5" w:rsidR="00944958" w:rsidRPr="00246A9C" w:rsidRDefault="00944958" w:rsidP="00246A9C">
      <w:pPr>
        <w:rPr>
          <w:sz w:val="20"/>
          <w:szCs w:val="20"/>
        </w:rPr>
      </w:pPr>
      <w:r w:rsidRPr="00246A9C">
        <w:rPr>
          <w:rStyle w:val="EndnoteReference"/>
          <w:sz w:val="20"/>
          <w:szCs w:val="20"/>
        </w:rPr>
        <w:endnoteRef/>
      </w:r>
      <w:r w:rsidRPr="00246A9C">
        <w:rPr>
          <w:sz w:val="20"/>
          <w:szCs w:val="20"/>
        </w:rPr>
        <w:t xml:space="preserve"> Under the RPC, a woman who consents to and undergoes an abortion may be imprisoned for up to six years and anyone assisting her up to twenty years</w:t>
      </w:r>
      <w:r w:rsidRPr="00246A9C">
        <w:rPr>
          <w:color w:val="000000" w:themeColor="text1"/>
          <w:sz w:val="20"/>
          <w:szCs w:val="20"/>
        </w:rPr>
        <w:t>.</w:t>
      </w:r>
      <w:r w:rsidRPr="00246A9C">
        <w:rPr>
          <w:sz w:val="20"/>
          <w:szCs w:val="20"/>
        </w:rPr>
        <w:t xml:space="preserve"> In addition, there is a prenatal protection clause enshrined in the </w:t>
      </w:r>
      <w:r w:rsidRPr="00246A9C">
        <w:rPr>
          <w:color w:val="000000" w:themeColor="text1"/>
          <w:sz w:val="20"/>
          <w:szCs w:val="20"/>
        </w:rPr>
        <w:t xml:space="preserve">Philippine </w:t>
      </w:r>
      <w:r w:rsidRPr="00246A9C">
        <w:rPr>
          <w:sz w:val="20"/>
          <w:szCs w:val="20"/>
        </w:rPr>
        <w:t xml:space="preserve">Constitution adopted in 1987, which declares that the government shall “equally protect the life of the mother and the life of the unborn from conception.” Revised Penal Code, Act No. 3815, arts. 256–59 (Phil.); Const. (1987), art. II, sec. 12 (Phil.). </w:t>
      </w:r>
    </w:p>
  </w:endnote>
  <w:endnote w:id="38">
    <w:p w14:paraId="78C80A54" w14:textId="3E3AC385" w:rsidR="00944958" w:rsidRPr="00246A9C" w:rsidRDefault="00944958" w:rsidP="00246A9C">
      <w:pPr>
        <w:rPr>
          <w:sz w:val="20"/>
          <w:szCs w:val="20"/>
        </w:rPr>
      </w:pPr>
      <w:r w:rsidRPr="00246A9C">
        <w:rPr>
          <w:rStyle w:val="EndnoteReference"/>
          <w:sz w:val="20"/>
          <w:szCs w:val="20"/>
        </w:rPr>
        <w:endnoteRef/>
      </w:r>
      <w:r w:rsidRPr="00246A9C">
        <w:rPr>
          <w:sz w:val="20"/>
          <w:szCs w:val="20"/>
        </w:rPr>
        <w:t xml:space="preserve"> Lawrence B. Finer &amp; Rubina Hussain, </w:t>
      </w:r>
      <w:r w:rsidRPr="00246A9C">
        <w:rPr>
          <w:i/>
          <w:sz w:val="20"/>
          <w:szCs w:val="20"/>
        </w:rPr>
        <w:t>Unintended Pregnancy and Unsafe Abortion in the Philippines: Context and Consequences</w:t>
      </w:r>
      <w:r w:rsidRPr="00246A9C">
        <w:rPr>
          <w:sz w:val="20"/>
          <w:szCs w:val="20"/>
        </w:rPr>
        <w:t xml:space="preserve">, Guttmacher Institute (March 2013), </w:t>
      </w:r>
      <w:r w:rsidRPr="00246A9C">
        <w:rPr>
          <w:i/>
          <w:sz w:val="20"/>
          <w:szCs w:val="20"/>
        </w:rPr>
        <w:t>available at</w:t>
      </w:r>
      <w:r w:rsidRPr="00246A9C">
        <w:rPr>
          <w:sz w:val="20"/>
          <w:szCs w:val="20"/>
        </w:rPr>
        <w:t xml:space="preserve"> https://www.guttmacher.org/report/unintended-pregnancy-and-unsafe-abortion-philippines-context-and-consequences.</w:t>
      </w:r>
    </w:p>
  </w:endnote>
  <w:endnote w:id="39">
    <w:p w14:paraId="1E471DF7" w14:textId="3466371E" w:rsidR="00944958" w:rsidRPr="00246A9C" w:rsidRDefault="00944958" w:rsidP="00246A9C">
      <w:pPr>
        <w:pStyle w:val="EndnoteText"/>
        <w:spacing w:after="0"/>
      </w:pPr>
      <w:r w:rsidRPr="00246A9C">
        <w:rPr>
          <w:rStyle w:val="EndnoteReference"/>
        </w:rPr>
        <w:endnoteRef/>
      </w:r>
      <w:r w:rsidRPr="00246A9C">
        <w:t xml:space="preserve"> </w:t>
      </w:r>
      <w:r w:rsidRPr="00246A9C">
        <w:rPr>
          <w:smallCaps/>
        </w:rPr>
        <w:t>Center for Reproductive Rights, Criminalization of Abortion in the Philippines: Its Harmful Impact on Women’s Health and Human Rights</w:t>
      </w:r>
      <w:r w:rsidRPr="00246A9C">
        <w:t xml:space="preserve"> (2017), </w:t>
      </w:r>
      <w:r w:rsidRPr="00246A9C">
        <w:rPr>
          <w:i/>
        </w:rPr>
        <w:t>available at</w:t>
      </w:r>
      <w:r w:rsidRPr="00246A9C">
        <w:t xml:space="preserve"> https://www.reproductiverights.org/sites/crr.civicactions.net/files/documents/GLP-Philippines-fact-sheet-2-22-17.pdf.</w:t>
      </w:r>
    </w:p>
  </w:endnote>
  <w:endnote w:id="40">
    <w:p w14:paraId="543852FD" w14:textId="7C4115D3" w:rsidR="00944958" w:rsidRPr="00246A9C" w:rsidRDefault="00944958" w:rsidP="00246A9C">
      <w:pPr>
        <w:pStyle w:val="EndnoteText"/>
        <w:spacing w:after="0"/>
      </w:pPr>
      <w:r w:rsidRPr="00246A9C">
        <w:rPr>
          <w:rStyle w:val="EndnoteReference"/>
        </w:rPr>
        <w:endnoteRef/>
      </w:r>
      <w:r w:rsidRPr="00246A9C">
        <w:t xml:space="preserve"> Interviews by the Center for Reproductive Rights with a woman under the pseudonym Kaye (Mar. 30, 2014-Apr. 13, 2015).  </w:t>
      </w:r>
    </w:p>
  </w:endnote>
  <w:endnote w:id="41">
    <w:p w14:paraId="5BE87980" w14:textId="6F6B9E8E" w:rsidR="00944958" w:rsidRPr="00246A9C" w:rsidRDefault="00944958" w:rsidP="00246A9C">
      <w:pPr>
        <w:pStyle w:val="EndnoteText"/>
        <w:spacing w:after="0"/>
      </w:pPr>
      <w:r w:rsidRPr="00246A9C">
        <w:rPr>
          <w:rStyle w:val="EndnoteReference"/>
        </w:rPr>
        <w:endnoteRef/>
      </w:r>
      <w:r w:rsidRPr="00246A9C">
        <w:t xml:space="preserve"> </w:t>
      </w:r>
      <w:r w:rsidRPr="00246A9C">
        <w:rPr>
          <w:smallCaps/>
        </w:rPr>
        <w:t>Center for Reproductive Rights, Forsaken Lives: The Harmful Impact of the Philippine Criminal Abortion Ban</w:t>
      </w:r>
      <w:r w:rsidRPr="00246A9C">
        <w:t xml:space="preserve"> 50-52 (2010). </w:t>
      </w:r>
    </w:p>
  </w:endnote>
  <w:endnote w:id="42">
    <w:p w14:paraId="6B5E30F4"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43">
    <w:p w14:paraId="08BF8F48" w14:textId="5CDEAB0D"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44">
    <w:p w14:paraId="6C3B789B" w14:textId="5E274AAC" w:rsidR="00944958" w:rsidRPr="00246A9C" w:rsidRDefault="00944958" w:rsidP="00246A9C">
      <w:pPr>
        <w:pStyle w:val="EndnoteText"/>
        <w:spacing w:after="0"/>
      </w:pPr>
      <w:r w:rsidRPr="00246A9C">
        <w:rPr>
          <w:rStyle w:val="EndnoteReference"/>
        </w:rPr>
        <w:endnoteRef/>
      </w:r>
      <w:r w:rsidRPr="00246A9C">
        <w:t xml:space="preserve"> CEDAW Committee, </w:t>
      </w:r>
      <w:r w:rsidRPr="00246A9C">
        <w:rPr>
          <w:i/>
        </w:rPr>
        <w:t>Summary of the inquiry concerning the Philippines under article 8 of the Optional Protocol to the Convention on the Elimination of All Forms of Discrimination against Women</w:t>
      </w:r>
      <w:r w:rsidRPr="00246A9C">
        <w:t xml:space="preserve">, U.N. Doc. CEDAW/C/OP.8/PHL/1 (2015). </w:t>
      </w:r>
    </w:p>
  </w:endnote>
  <w:endnote w:id="45">
    <w:p w14:paraId="3402F461" w14:textId="0D1B9544"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at paras. 27, 31, 36</w:t>
      </w:r>
    </w:p>
  </w:endnote>
  <w:endnote w:id="46">
    <w:p w14:paraId="734D33D6" w14:textId="032764B2"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at para. 24. </w:t>
      </w:r>
    </w:p>
  </w:endnote>
  <w:endnote w:id="47">
    <w:p w14:paraId="3138B093" w14:textId="67F83958" w:rsidR="00944958" w:rsidRPr="00246A9C" w:rsidRDefault="00944958" w:rsidP="00246A9C">
      <w:pPr>
        <w:pStyle w:val="EndnoteText"/>
        <w:spacing w:after="0"/>
      </w:pPr>
      <w:r w:rsidRPr="00246A9C">
        <w:rPr>
          <w:rStyle w:val="EndnoteReference"/>
        </w:rPr>
        <w:endnoteRef/>
      </w:r>
      <w:r w:rsidRPr="00246A9C">
        <w:t xml:space="preserve"> CEDAW Committee, </w:t>
      </w:r>
      <w:r w:rsidRPr="00246A9C">
        <w:rPr>
          <w:i/>
        </w:rPr>
        <w:t>Concluding Observations: Philippines</w:t>
      </w:r>
      <w:r w:rsidRPr="00246A9C">
        <w:t xml:space="preserve">, paras. 39-40, U.N. Doc. CEDAW/C/PHL/CO/7-8 (2016). </w:t>
      </w:r>
    </w:p>
  </w:endnote>
  <w:endnote w:id="48">
    <w:p w14:paraId="2FC09B15" w14:textId="3ED41B8D"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Philippines</w:t>
      </w:r>
      <w:r w:rsidRPr="00246A9C">
        <w:t>, paras. 51-52, U.N. Doc. E/C.12/PHL/CO/5-6</w:t>
      </w:r>
      <w:r>
        <w:t xml:space="preserve"> (2016)</w:t>
      </w:r>
      <w:r w:rsidRPr="00246A9C">
        <w:t xml:space="preserve">. </w:t>
      </w:r>
    </w:p>
  </w:endnote>
  <w:endnote w:id="49">
    <w:p w14:paraId="61CD8174" w14:textId="0271C47C" w:rsidR="00944958" w:rsidRPr="00246A9C" w:rsidRDefault="00944958" w:rsidP="00246A9C">
      <w:pPr>
        <w:pStyle w:val="EndnoteText"/>
        <w:spacing w:after="0"/>
      </w:pPr>
      <w:r w:rsidRPr="00246A9C">
        <w:rPr>
          <w:rStyle w:val="EndnoteReference"/>
        </w:rPr>
        <w:endnoteRef/>
      </w:r>
      <w:r w:rsidRPr="00246A9C">
        <w:t xml:space="preserve"> CAT Committee, </w:t>
      </w:r>
      <w:r w:rsidRPr="00246A9C">
        <w:rPr>
          <w:i/>
        </w:rPr>
        <w:t>Concluding Observations: Philippines</w:t>
      </w:r>
      <w:r w:rsidRPr="00246A9C">
        <w:t xml:space="preserve">, para. 40, U.N. Doc. CAT/C/PHL/CO/3 (2016). </w:t>
      </w:r>
    </w:p>
  </w:endnote>
  <w:endnote w:id="50">
    <w:p w14:paraId="759B6360" w14:textId="79ECB486" w:rsidR="00944958" w:rsidRPr="00246A9C" w:rsidRDefault="00944958" w:rsidP="00246A9C">
      <w:pPr>
        <w:pStyle w:val="EndnoteText"/>
        <w:spacing w:after="0"/>
      </w:pPr>
      <w:r w:rsidRPr="00246A9C">
        <w:rPr>
          <w:rStyle w:val="EndnoteReference"/>
        </w:rPr>
        <w:endnoteRef/>
      </w:r>
      <w:r w:rsidRPr="00246A9C">
        <w:t xml:space="preserve"> Nº 01/2012/OL of 02/05/2012, Official Gazette nº Special of 14 June 2012, Chapter III, Section 5, Articles 162 – 168.</w:t>
      </w:r>
    </w:p>
  </w:endnote>
  <w:endnote w:id="51">
    <w:p w14:paraId="6D5E0A2A" w14:textId="0B39D581" w:rsidR="00944958" w:rsidRPr="00246A9C" w:rsidRDefault="00944958" w:rsidP="00246A9C">
      <w:pPr>
        <w:pStyle w:val="EndnoteText"/>
        <w:spacing w:after="0"/>
      </w:pPr>
      <w:r w:rsidRPr="00246A9C">
        <w:rPr>
          <w:rStyle w:val="EndnoteReference"/>
        </w:rPr>
        <w:endnoteRef/>
      </w:r>
      <w:r w:rsidRPr="00246A9C">
        <w:t xml:space="preserve"> </w:t>
      </w:r>
      <w:r w:rsidRPr="00615505">
        <w:rPr>
          <w:smallCaps/>
        </w:rPr>
        <w:t>United Nations Population Division, Abortion Policies: A Global Review</w:t>
      </w:r>
      <w:r>
        <w:t xml:space="preserve"> (Rwanda)</w:t>
      </w:r>
      <w:r w:rsidRPr="00246A9C" w:rsidDel="000A4951">
        <w:t xml:space="preserve"> </w:t>
      </w:r>
      <w:r w:rsidRPr="00246A9C">
        <w:t>(2002)</w:t>
      </w:r>
      <w:r>
        <w:t>,</w:t>
      </w:r>
      <w:r w:rsidRPr="00246A9C">
        <w:t xml:space="preserve"> </w:t>
      </w:r>
      <w:r w:rsidRPr="00246A9C">
        <w:rPr>
          <w:i/>
          <w:iCs/>
        </w:rPr>
        <w:t xml:space="preserve">available at </w:t>
      </w:r>
      <w:r w:rsidRPr="00246A9C">
        <w:t xml:space="preserve">http://www.un.org/esa/population/publications/abortion/.  </w:t>
      </w:r>
    </w:p>
  </w:endnote>
  <w:endnote w:id="52">
    <w:p w14:paraId="4BB8D435" w14:textId="0C3A9EAF" w:rsidR="00944958" w:rsidRPr="00246A9C" w:rsidRDefault="00944958" w:rsidP="00246A9C">
      <w:pPr>
        <w:pStyle w:val="EndnoteText"/>
        <w:spacing w:after="0"/>
      </w:pPr>
      <w:r w:rsidRPr="00246A9C">
        <w:rPr>
          <w:rStyle w:val="EndnoteReference"/>
        </w:rPr>
        <w:endnoteRef/>
      </w:r>
      <w:r w:rsidRPr="00246A9C">
        <w:t xml:space="preserve"> Pursuant to the Penal Code, a person might face imprisonment of anywhere from one year up to twenty years and fine of 50,000 to 2,000,000 Rwandan francs as criminal liability for abortion. </w:t>
      </w:r>
      <w:r w:rsidRPr="00246A9C">
        <w:rPr>
          <w:i/>
        </w:rPr>
        <w:t xml:space="preserve">See </w:t>
      </w:r>
      <w:r w:rsidRPr="00246A9C">
        <w:t>Organic Law instituting the penal code, Nº 01/2012/OL of 02/05/2012, Official Gazette nº Special of 14 June 2012, Chapter III, Section 5, Articles 162-164.</w:t>
      </w:r>
    </w:p>
  </w:endnote>
  <w:endnote w:id="53">
    <w:p w14:paraId="0CB1E546" w14:textId="1023C141" w:rsidR="00944958" w:rsidRPr="00246A9C" w:rsidRDefault="00944958" w:rsidP="00246A9C">
      <w:pPr>
        <w:pStyle w:val="EndnoteText"/>
        <w:spacing w:after="0"/>
      </w:pPr>
      <w:r w:rsidRPr="00246A9C">
        <w:rPr>
          <w:rStyle w:val="EndnoteReference"/>
        </w:rPr>
        <w:endnoteRef/>
      </w:r>
      <w:r w:rsidRPr="00246A9C">
        <w:t xml:space="preserve"> </w:t>
      </w:r>
      <w:r w:rsidRPr="00246A9C">
        <w:rPr>
          <w:i/>
        </w:rPr>
        <w:t>See, e.g.</w:t>
      </w:r>
      <w:r w:rsidRPr="001C2281">
        <w:t>,</w:t>
      </w:r>
      <w:r w:rsidRPr="00246A9C">
        <w:rPr>
          <w:i/>
        </w:rPr>
        <w:t xml:space="preserve"> </w:t>
      </w:r>
      <w:r w:rsidRPr="00246A9C">
        <w:rPr>
          <w:smallCaps/>
        </w:rPr>
        <w:t xml:space="preserve">IPAS, when Abortion Is A Crime: Rwanda (2015) </w:t>
      </w:r>
      <w:r w:rsidRPr="00246A9C">
        <w:rPr>
          <w:i/>
        </w:rPr>
        <w:t xml:space="preserve">available at </w:t>
      </w:r>
      <w:r w:rsidRPr="00246A9C">
        <w:t xml:space="preserve">http://www.glihd.org/wp-content/uploads/2015/10/STUDY-WHEN-ABORTION-IS-A-CRIME-RWANDA.pdf; </w:t>
      </w:r>
      <w:r w:rsidRPr="00246A9C">
        <w:rPr>
          <w:i/>
        </w:rPr>
        <w:t xml:space="preserve">See also </w:t>
      </w:r>
      <w:r w:rsidRPr="00246A9C">
        <w:rPr>
          <w:smallCaps/>
        </w:rPr>
        <w:t>Association Rwandaise pour le Bien-Être Familial (ARBEF),</w:t>
      </w:r>
      <w:r w:rsidRPr="00246A9C">
        <w:t xml:space="preserve"> </w:t>
      </w:r>
      <w:r w:rsidRPr="00246A9C">
        <w:rPr>
          <w:smallCaps/>
        </w:rPr>
        <w:t>Abortion and Young People in Rwanda</w:t>
      </w:r>
      <w:r w:rsidRPr="00246A9C">
        <w:t xml:space="preserve"> (2012) (unpublished research) (on file with the Center for Reproductive Rights).</w:t>
      </w:r>
    </w:p>
  </w:endnote>
  <w:endnote w:id="54">
    <w:p w14:paraId="1FB5771D" w14:textId="57815A8B" w:rsidR="00944958" w:rsidRPr="00246A9C" w:rsidRDefault="00944958" w:rsidP="00246A9C">
      <w:pPr>
        <w:pStyle w:val="EndnoteText"/>
        <w:spacing w:after="0"/>
      </w:pPr>
      <w:r w:rsidRPr="00246A9C">
        <w:rPr>
          <w:rStyle w:val="EndnoteReference"/>
        </w:rPr>
        <w:endnoteRef/>
      </w:r>
      <w:r w:rsidRPr="00246A9C">
        <w:t xml:space="preserve"> </w:t>
      </w:r>
      <w:r w:rsidRPr="00246A9C">
        <w:rPr>
          <w:smallCaps/>
        </w:rPr>
        <w:t>IPAS, when Abortion Is A Crime: Rwanda</w:t>
      </w:r>
      <w:r>
        <w:rPr>
          <w:smallCaps/>
        </w:rPr>
        <w:t xml:space="preserve"> 8</w:t>
      </w:r>
      <w:r w:rsidRPr="00246A9C">
        <w:rPr>
          <w:smallCaps/>
        </w:rPr>
        <w:t xml:space="preserve">, </w:t>
      </w:r>
      <w:r w:rsidRPr="00246A9C">
        <w:rPr>
          <w:i/>
        </w:rPr>
        <w:t xml:space="preserve">supra </w:t>
      </w:r>
      <w:r w:rsidRPr="00246A9C">
        <w:t>note liii</w:t>
      </w:r>
      <w:r w:rsidRPr="00246A9C">
        <w:rPr>
          <w:smallCaps/>
        </w:rPr>
        <w:t xml:space="preserve">. </w:t>
      </w:r>
    </w:p>
  </w:endnote>
  <w:endnote w:id="55">
    <w:p w14:paraId="71371C5E" w14:textId="491C95A9"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56">
    <w:p w14:paraId="2718E4E1" w14:textId="5292B93D" w:rsidR="00944958" w:rsidRPr="00246A9C" w:rsidRDefault="00944958" w:rsidP="00246A9C">
      <w:pPr>
        <w:pStyle w:val="EndnoteText"/>
        <w:spacing w:after="0"/>
      </w:pPr>
      <w:r w:rsidRPr="00246A9C">
        <w:rPr>
          <w:rStyle w:val="EndnoteReference"/>
        </w:rPr>
        <w:endnoteRef/>
      </w:r>
      <w:r w:rsidRPr="00246A9C">
        <w:t xml:space="preserve"> Paulin Basinga, </w:t>
      </w:r>
      <w:r>
        <w:rPr>
          <w:i/>
        </w:rPr>
        <w:t>et al.</w:t>
      </w:r>
      <w:r w:rsidRPr="00246A9C">
        <w:t xml:space="preserve">, </w:t>
      </w:r>
      <w:r w:rsidRPr="00246A9C">
        <w:rPr>
          <w:i/>
        </w:rPr>
        <w:t xml:space="preserve">Unintended Pregnancy and Induced Abortion in Rwanda: Causes and Consequences, </w:t>
      </w:r>
      <w:r w:rsidRPr="00246A9C">
        <w:rPr>
          <w:smallCaps/>
        </w:rPr>
        <w:t>Guttmacher Institute</w:t>
      </w:r>
      <w:r w:rsidRPr="00246A9C">
        <w:rPr>
          <w:i/>
        </w:rPr>
        <w:t xml:space="preserve"> </w:t>
      </w:r>
      <w:r w:rsidRPr="00246A9C">
        <w:t xml:space="preserve">(May 2013), </w:t>
      </w:r>
      <w:r w:rsidRPr="00246A9C">
        <w:rPr>
          <w:i/>
        </w:rPr>
        <w:t>available at</w:t>
      </w:r>
      <w:r w:rsidRPr="00246A9C">
        <w:t xml:space="preserve"> https://www.guttmacher.org/sites/default/files/report_pdf/unintended-pregnancy-rwanda.pdf</w:t>
      </w:r>
    </w:p>
  </w:endnote>
  <w:endnote w:id="57">
    <w:p w14:paraId="0F6F04E9" w14:textId="2AA112EF"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58">
    <w:p w14:paraId="4570F516" w14:textId="4FFB90DF"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59">
    <w:p w14:paraId="106CF4CD"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60">
    <w:p w14:paraId="08D174AF" w14:textId="77777777" w:rsidR="00944958" w:rsidRPr="00246A9C" w:rsidRDefault="00944958" w:rsidP="00246A9C">
      <w:pPr>
        <w:pStyle w:val="EndnoteText"/>
        <w:spacing w:after="0"/>
      </w:pPr>
      <w:r w:rsidRPr="00246A9C">
        <w:rPr>
          <w:rStyle w:val="EndnoteReference"/>
        </w:rPr>
        <w:endnoteRef/>
      </w:r>
      <w:r w:rsidRPr="00246A9C">
        <w:t xml:space="preserve"> CEDAW Committee, </w:t>
      </w:r>
      <w:r w:rsidRPr="00246A9C">
        <w:rPr>
          <w:i/>
        </w:rPr>
        <w:t>Concluding Observations: Rwanda</w:t>
      </w:r>
      <w:r w:rsidRPr="00246A9C">
        <w:t>, paras. 38-39, U.N. Doc. CEDAW/C/RWA/CO/7-9 (2017).</w:t>
      </w:r>
    </w:p>
  </w:endnote>
  <w:endnote w:id="61">
    <w:p w14:paraId="49DE703B" w14:textId="51B8E2FC"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62">
    <w:p w14:paraId="275A7A32" w14:textId="5CB9D729" w:rsidR="00944958" w:rsidRPr="00246A9C" w:rsidRDefault="00944958" w:rsidP="00246A9C">
      <w:pPr>
        <w:pStyle w:val="EndnoteText"/>
        <w:spacing w:after="0"/>
      </w:pPr>
      <w:r w:rsidRPr="00246A9C">
        <w:rPr>
          <w:rStyle w:val="EndnoteReference"/>
        </w:rPr>
        <w:endnoteRef/>
      </w:r>
      <w:r w:rsidRPr="00246A9C">
        <w:t xml:space="preserve"> Human Rights Committee, </w:t>
      </w:r>
      <w:r w:rsidRPr="00246A9C">
        <w:rPr>
          <w:i/>
        </w:rPr>
        <w:t>Concluding Observations: Rwanda</w:t>
      </w:r>
      <w:r w:rsidRPr="00246A9C">
        <w:t xml:space="preserve">, paras. 17-18, U.N. Doc. CCPR/C/RWA/CO/4 (2016). </w:t>
      </w:r>
    </w:p>
  </w:endnote>
  <w:endnote w:id="63">
    <w:p w14:paraId="6962C0FE" w14:textId="739DC8C5"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Rwanda</w:t>
      </w:r>
      <w:r w:rsidRPr="00246A9C">
        <w:t xml:space="preserve">, para. 26, U.N. Doc. E/C.12/RWA/CO/2-4 (2013). </w:t>
      </w:r>
    </w:p>
  </w:endnote>
  <w:endnote w:id="64">
    <w:p w14:paraId="46518862" w14:textId="48868EA8" w:rsidR="00944958" w:rsidRPr="00246A9C" w:rsidRDefault="00944958" w:rsidP="00246A9C">
      <w:pPr>
        <w:pStyle w:val="EndnoteText"/>
        <w:spacing w:after="0"/>
      </w:pPr>
      <w:r w:rsidRPr="00246A9C">
        <w:rPr>
          <w:rStyle w:val="EndnoteReference"/>
        </w:rPr>
        <w:endnoteRef/>
      </w:r>
      <w:r w:rsidRPr="00246A9C">
        <w:t xml:space="preserve"> </w:t>
      </w:r>
      <w:r w:rsidRPr="00246A9C">
        <w:rPr>
          <w:i/>
        </w:rPr>
        <w:t>See, e.g.</w:t>
      </w:r>
      <w:r w:rsidRPr="00246A9C">
        <w:t xml:space="preserve">, </w:t>
      </w:r>
      <w:r w:rsidRPr="00246A9C">
        <w:rPr>
          <w:rFonts w:eastAsia="Times New Roman"/>
        </w:rPr>
        <w:t>K.L. v. Peru</w:t>
      </w:r>
      <w:r w:rsidRPr="00246A9C">
        <w:rPr>
          <w:rFonts w:eastAsia="Times New Roman"/>
          <w:i/>
        </w:rPr>
        <w:t xml:space="preserve">, </w:t>
      </w:r>
      <w:r w:rsidRPr="00246A9C">
        <w:rPr>
          <w:rFonts w:eastAsia="Times New Roman"/>
        </w:rPr>
        <w:t>Human Rights Committee, Commc’n No. 1153/2003, U.N. Doc. CCPR/C/85/D/1153/2003 (2005); L.C. v. Peru, CEDAW Committee, Commc’n No. 22/2009, para. 8.15, U.N. Doc. CEDAW/C/50/D/22/2009 (2011)</w:t>
      </w:r>
      <w:r w:rsidRPr="00246A9C">
        <w:t xml:space="preserve">; CEDAW Committee, </w:t>
      </w:r>
      <w:r w:rsidRPr="00246A9C">
        <w:rPr>
          <w:i/>
        </w:rPr>
        <w:t>CEDAW General Recommendation No. 24: Article 12 of the Convention (Women and Health)</w:t>
      </w:r>
      <w:r w:rsidRPr="00246A9C">
        <w:t>, paras. 11, 14, U.N. Doc. A/54/38/Rev.1,</w:t>
      </w:r>
      <w:r w:rsidR="000835D7">
        <w:t xml:space="preserve"> </w:t>
      </w:r>
      <w:r w:rsidRPr="00246A9C">
        <w:t xml:space="preserve">chap.I (1999); ESCR Committee, </w:t>
      </w:r>
      <w:r w:rsidRPr="00246A9C">
        <w:rPr>
          <w:i/>
        </w:rPr>
        <w:t>Concluding Observations: Philippines</w:t>
      </w:r>
      <w:r w:rsidRPr="00246A9C">
        <w:t xml:space="preserve">, para. </w:t>
      </w:r>
      <w:r w:rsidRPr="009708F1">
        <w:t xml:space="preserve">52, U.N. Doc. E/C.12/PHL/CO/5-6 (2016); </w:t>
      </w:r>
      <w:r w:rsidRPr="009708F1">
        <w:rPr>
          <w:i/>
        </w:rPr>
        <w:t>Honduras</w:t>
      </w:r>
      <w:r w:rsidRPr="009708F1">
        <w:t xml:space="preserve">, paras. 53-54, U.N. Doc. E/C.12/HND/CO/2 (2016); </w:t>
      </w:r>
      <w:r w:rsidRPr="00AB0898">
        <w:rPr>
          <w:i/>
        </w:rPr>
        <w:t>Nepal</w:t>
      </w:r>
      <w:r w:rsidRPr="009708F1">
        <w:t xml:space="preserve">, para. 26, U.N. Doc. E/C.12/NPL/CO/3 (2014); CEDAW Committee, </w:t>
      </w:r>
      <w:r w:rsidRPr="009708F1">
        <w:rPr>
          <w:i/>
        </w:rPr>
        <w:t>Concluding Observations: El Salvador</w:t>
      </w:r>
      <w:r w:rsidRPr="009708F1">
        <w:t xml:space="preserve">, paras. 35-37, U.N. Doc. CEDAW/C/SLV/CO/8-9 (2017); </w:t>
      </w:r>
      <w:r w:rsidRPr="009708F1">
        <w:rPr>
          <w:i/>
        </w:rPr>
        <w:t>Honduras</w:t>
      </w:r>
      <w:r w:rsidRPr="009708F1">
        <w:t xml:space="preserve">, paras. 36-27, U.N. Doc. CEDAW/C/HND/CO/7-8 (2016); </w:t>
      </w:r>
      <w:r w:rsidRPr="009708F1">
        <w:rPr>
          <w:i/>
          <w:iCs/>
        </w:rPr>
        <w:t>Philippines</w:t>
      </w:r>
      <w:r w:rsidRPr="009708F1">
        <w:t xml:space="preserve">, para. 40, U.N. Doc. CEDAW/C/PHL/CO/7-8 (2016); </w:t>
      </w:r>
      <w:r w:rsidRPr="009708F1">
        <w:rPr>
          <w:i/>
        </w:rPr>
        <w:t>Philippines</w:t>
      </w:r>
      <w:r w:rsidRPr="009708F1">
        <w:t xml:space="preserve">, paras. 27-28, U.N. Doc. </w:t>
      </w:r>
      <w:r w:rsidRPr="00246A9C">
        <w:t xml:space="preserve">CEDAW/C/PHI/CO/6 (2006); CEDAW Committee, </w:t>
      </w:r>
      <w:r w:rsidRPr="00246A9C">
        <w:rPr>
          <w:i/>
          <w:iCs/>
        </w:rPr>
        <w:t>Summary of the inquiry concerning the Philippines under Article 8 of the Optional Protocol to the Convention on the Elimination of All Forms of Discrimination against Women</w:t>
      </w:r>
      <w:r w:rsidRPr="00246A9C">
        <w:t xml:space="preserve">, U.N. Doc. CEDAW/C/ OP.8/PHL/1, para. 51(v) (2015); Human Rights Committee, </w:t>
      </w:r>
      <w:r w:rsidRPr="00246A9C">
        <w:rPr>
          <w:i/>
        </w:rPr>
        <w:t xml:space="preserve">Concluding Observations: El Salvador, </w:t>
      </w:r>
      <w:r w:rsidRPr="00246A9C">
        <w:t xml:space="preserve">paras. 14-15, U.N. Doc. CCPR/C/SLV/CO/7 (2018); </w:t>
      </w:r>
      <w:r w:rsidRPr="00246A9C">
        <w:rPr>
          <w:i/>
          <w:iCs/>
        </w:rPr>
        <w:t>Philippines</w:t>
      </w:r>
      <w:r w:rsidRPr="00246A9C">
        <w:t xml:space="preserve">, para. 13, U.N. Doc. CCPR/C/PHL/CO/4 (2012); and CAT Committee, </w:t>
      </w:r>
      <w:r w:rsidRPr="00246A9C">
        <w:rPr>
          <w:i/>
          <w:iCs/>
        </w:rPr>
        <w:t>Concluding Observations: Philippines</w:t>
      </w:r>
      <w:r w:rsidRPr="00246A9C">
        <w:t>, paras. 38, 39, U.N. Doc. CAT/C/PHL/CO/3 (2016).</w:t>
      </w:r>
    </w:p>
  </w:endnote>
  <w:endnote w:id="65">
    <w:p w14:paraId="2A74B17B" w14:textId="0F57F816" w:rsidR="00944958" w:rsidRPr="00246A9C" w:rsidRDefault="00944958" w:rsidP="00246A9C">
      <w:pPr>
        <w:pStyle w:val="NormalWeb"/>
        <w:spacing w:before="0" w:beforeAutospacing="0" w:after="0" w:afterAutospacing="0"/>
        <w:rPr>
          <w:sz w:val="20"/>
          <w:szCs w:val="20"/>
        </w:rPr>
      </w:pPr>
      <w:r w:rsidRPr="00246A9C">
        <w:rPr>
          <w:rStyle w:val="EndnoteReference"/>
          <w:sz w:val="20"/>
          <w:szCs w:val="20"/>
        </w:rPr>
        <w:endnoteRef/>
      </w:r>
      <w:r w:rsidRPr="00246A9C">
        <w:rPr>
          <w:i/>
          <w:sz w:val="20"/>
          <w:szCs w:val="20"/>
        </w:rPr>
        <w:t xml:space="preserve"> See, e.g.</w:t>
      </w:r>
      <w:r w:rsidRPr="00246A9C">
        <w:rPr>
          <w:sz w:val="20"/>
          <w:szCs w:val="20"/>
        </w:rPr>
        <w:t xml:space="preserve">, CEDAW Committee, </w:t>
      </w:r>
      <w:r w:rsidRPr="00246A9C">
        <w:rPr>
          <w:i/>
          <w:sz w:val="20"/>
          <w:szCs w:val="20"/>
        </w:rPr>
        <w:t xml:space="preserve">Concluding Observations: Rwanda, </w:t>
      </w:r>
      <w:r w:rsidRPr="00246A9C">
        <w:rPr>
          <w:sz w:val="20"/>
          <w:szCs w:val="20"/>
        </w:rPr>
        <w:t xml:space="preserve">paras. 38-39, U.N. Doc. CEDAW/C/RWA/CO/7-9 (2017); </w:t>
      </w:r>
      <w:r w:rsidRPr="00246A9C">
        <w:rPr>
          <w:i/>
          <w:sz w:val="20"/>
          <w:szCs w:val="20"/>
        </w:rPr>
        <w:t>Paraguay</w:t>
      </w:r>
      <w:r w:rsidRPr="00246A9C">
        <w:rPr>
          <w:sz w:val="20"/>
          <w:szCs w:val="20"/>
        </w:rPr>
        <w:t xml:space="preserve">, paras. 30, 31, U.N. Doc. CEDAW/C/PRY/CO/6 (2011); </w:t>
      </w:r>
      <w:r w:rsidRPr="00246A9C">
        <w:rPr>
          <w:i/>
          <w:sz w:val="20"/>
          <w:szCs w:val="20"/>
        </w:rPr>
        <w:t>Chile</w:t>
      </w:r>
      <w:r w:rsidRPr="00246A9C">
        <w:rPr>
          <w:sz w:val="20"/>
          <w:szCs w:val="20"/>
        </w:rPr>
        <w:t xml:space="preserve">, paras. 34, 35, U.N. Doc. CEDAW/C/CHI/CO/5-6 (2012); ESCR Committee, </w:t>
      </w:r>
      <w:r w:rsidRPr="00246A9C">
        <w:rPr>
          <w:i/>
          <w:sz w:val="20"/>
          <w:szCs w:val="20"/>
        </w:rPr>
        <w:t>Concluding Observations: Philippines</w:t>
      </w:r>
      <w:r w:rsidRPr="00246A9C">
        <w:rPr>
          <w:sz w:val="20"/>
          <w:szCs w:val="20"/>
        </w:rPr>
        <w:t xml:space="preserve">, paras. 51, 52, U.N. Doc. E/C.12/PHL/CO5-6 (2016); Human Rights Committee, </w:t>
      </w:r>
      <w:r w:rsidRPr="00246A9C">
        <w:rPr>
          <w:i/>
          <w:sz w:val="20"/>
          <w:szCs w:val="20"/>
        </w:rPr>
        <w:t>Concluding Observations: Zambia</w:t>
      </w:r>
      <w:r w:rsidRPr="00246A9C">
        <w:rPr>
          <w:sz w:val="20"/>
          <w:szCs w:val="20"/>
        </w:rPr>
        <w:t>, para. 18, U.N. Doc. CCPR/C/ZMB/CO/3 (2007).</w:t>
      </w:r>
    </w:p>
  </w:endnote>
  <w:endnote w:id="66">
    <w:p w14:paraId="7DC75314" w14:textId="3CD52E66" w:rsidR="00944958" w:rsidRPr="00246A9C" w:rsidRDefault="00944958" w:rsidP="00246A9C">
      <w:pPr>
        <w:pStyle w:val="EndnoteText"/>
        <w:spacing w:after="0"/>
      </w:pPr>
      <w:r w:rsidRPr="00246A9C">
        <w:rPr>
          <w:rStyle w:val="EndnoteReference"/>
        </w:rPr>
        <w:endnoteRef/>
      </w:r>
      <w:r w:rsidRPr="00246A9C">
        <w:t xml:space="preserve"> Human Rights Council, </w:t>
      </w:r>
      <w:r w:rsidRPr="00246A9C">
        <w:rPr>
          <w:i/>
        </w:rPr>
        <w:t>Report of the Special Rapporteur on the right of everyone to the enjoyment of the highest attainable standard of physical and mental health</w:t>
      </w:r>
      <w:r w:rsidRPr="00246A9C">
        <w:t>, para. 75</w:t>
      </w:r>
      <w:r>
        <w:t>,</w:t>
      </w:r>
      <w:r w:rsidRPr="00246A9C">
        <w:t xml:space="preserve"> U.N. Doc. A/HRC/38/36 (2018).</w:t>
      </w:r>
    </w:p>
  </w:endnote>
  <w:endnote w:id="67">
    <w:p w14:paraId="61299881" w14:textId="442904E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at para. 96. </w:t>
      </w:r>
    </w:p>
  </w:endnote>
  <w:endnote w:id="68">
    <w:p w14:paraId="3B1F1780" w14:textId="6BD552C7"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CRC Committee, </w:t>
      </w:r>
      <w:r w:rsidRPr="00246A9C">
        <w:rPr>
          <w:i/>
        </w:rPr>
        <w:t>Concluding Observations: Bhutan</w:t>
      </w:r>
      <w:r w:rsidRPr="00246A9C">
        <w:t>, para. 35(c), U.N. Doc. CRC/C/BTN/CO/3-5 (2017);</w:t>
      </w:r>
      <w:r w:rsidRPr="00246A9C">
        <w:rPr>
          <w:i/>
        </w:rPr>
        <w:t xml:space="preserve"> Cameroon, </w:t>
      </w:r>
      <w:r w:rsidRPr="00246A9C">
        <w:t xml:space="preserve">para. </w:t>
      </w:r>
      <w:r w:rsidRPr="001C2281">
        <w:rPr>
          <w:lang w:val="es-US"/>
        </w:rPr>
        <w:t xml:space="preserve">35(c), CRC/C/CMR/CO/3-5 (2017); </w:t>
      </w:r>
      <w:r w:rsidRPr="001C2281">
        <w:rPr>
          <w:i/>
          <w:lang w:val="es-US"/>
        </w:rPr>
        <w:t>Sierra Leone</w:t>
      </w:r>
      <w:r w:rsidRPr="001C2281">
        <w:rPr>
          <w:lang w:val="es-US"/>
        </w:rPr>
        <w:t xml:space="preserve">, para. 32 (c), U.N. Doc. </w:t>
      </w:r>
      <w:r w:rsidRPr="00246A9C">
        <w:t xml:space="preserve">CRC/C/SLE/CO/3-5 (2016); </w:t>
      </w:r>
      <w:r w:rsidRPr="00246A9C">
        <w:rPr>
          <w:i/>
        </w:rPr>
        <w:t>Benin</w:t>
      </w:r>
      <w:r w:rsidRPr="00246A9C">
        <w:t>,</w:t>
      </w:r>
      <w:r w:rsidRPr="00246A9C">
        <w:rPr>
          <w:i/>
        </w:rPr>
        <w:t xml:space="preserve"> </w:t>
      </w:r>
      <w:r w:rsidRPr="00246A9C">
        <w:t xml:space="preserve">para. 57(c), U.N. Doc. CRC/C/BEN/CO/3-5 (2016); CEDAW Committee, </w:t>
      </w:r>
      <w:r w:rsidRPr="00246A9C">
        <w:rPr>
          <w:i/>
        </w:rPr>
        <w:t>Concluding Observations: Micronesia</w:t>
      </w:r>
      <w:r w:rsidRPr="00246A9C">
        <w:t xml:space="preserve">, para. 37(b), U.N. Doc. </w:t>
      </w:r>
      <w:r w:rsidRPr="001C2281">
        <w:rPr>
          <w:lang w:val="es-US"/>
        </w:rPr>
        <w:t xml:space="preserve">CEDAW/C/FSM/CO/1-3 (2017); </w:t>
      </w:r>
      <w:r w:rsidRPr="001C2281">
        <w:rPr>
          <w:i/>
          <w:lang w:val="es-US"/>
        </w:rPr>
        <w:t>Niger</w:t>
      </w:r>
      <w:r w:rsidRPr="001C2281">
        <w:rPr>
          <w:lang w:val="es-US"/>
        </w:rPr>
        <w:t xml:space="preserve">, para. 33(c), U.N. Doc. CEDAW/C/NER/CO/3-4 (2017); </w:t>
      </w:r>
      <w:r w:rsidRPr="001C2281">
        <w:rPr>
          <w:i/>
          <w:lang w:val="es-US"/>
        </w:rPr>
        <w:t xml:space="preserve">Costa Rica, </w:t>
      </w:r>
      <w:r w:rsidRPr="001C2281">
        <w:rPr>
          <w:lang w:val="es-US"/>
        </w:rPr>
        <w:t xml:space="preserve">para. 31(a), U.N. Doc. </w:t>
      </w:r>
      <w:r w:rsidRPr="00246A9C">
        <w:t xml:space="preserve">CEDAW/C/CRI/CO/7 (2017). </w:t>
      </w:r>
      <w:r w:rsidRPr="00246A9C">
        <w:rPr>
          <w:i/>
        </w:rPr>
        <w:t>See also</w:t>
      </w:r>
      <w:r w:rsidRPr="00246A9C">
        <w:t xml:space="preserve"> Human Rights Committee, </w:t>
      </w:r>
      <w:r w:rsidRPr="00246A9C">
        <w:rPr>
          <w:i/>
        </w:rPr>
        <w:t>Concluding Observations: Honduras</w:t>
      </w:r>
      <w:r w:rsidRPr="00246A9C">
        <w:t>, para. 17, U.N. Doc. CCPR/C/HND/CO/2 (2017).</w:t>
      </w:r>
    </w:p>
  </w:endnote>
  <w:endnote w:id="69">
    <w:p w14:paraId="32D55B8C" w14:textId="71D581F8" w:rsidR="00944958" w:rsidRPr="00246A9C" w:rsidRDefault="00944958" w:rsidP="00246A9C">
      <w:pPr>
        <w:autoSpaceDE w:val="0"/>
        <w:autoSpaceDN w:val="0"/>
        <w:adjustRightInd w:val="0"/>
        <w:rPr>
          <w:sz w:val="20"/>
          <w:szCs w:val="20"/>
          <w:highlight w:val="cyan"/>
        </w:rPr>
      </w:pPr>
      <w:r w:rsidRPr="00246A9C">
        <w:rPr>
          <w:rStyle w:val="EndnoteReference"/>
          <w:sz w:val="20"/>
          <w:szCs w:val="20"/>
        </w:rPr>
        <w:endnoteRef/>
      </w:r>
      <w:r w:rsidRPr="00246A9C">
        <w:rPr>
          <w:sz w:val="20"/>
          <w:szCs w:val="20"/>
        </w:rPr>
        <w:t xml:space="preserve"> </w:t>
      </w:r>
      <w:r w:rsidRPr="00246A9C">
        <w:rPr>
          <w:i/>
          <w:sz w:val="20"/>
          <w:szCs w:val="20"/>
        </w:rPr>
        <w:t>See, e.g.,</w:t>
      </w:r>
      <w:r w:rsidRPr="00246A9C">
        <w:rPr>
          <w:sz w:val="20"/>
          <w:szCs w:val="20"/>
        </w:rPr>
        <w:t xml:space="preserve"> L.C. v. Peru, CEDAW Committee, Commc’n No. 22/2009, para. 12(b), U.N. Doc. CEDAW/C/50/D/22/2009 (2011); K.L. v. Peru, Human Rights Committee, Commc’n No. 1153/2003, U.N. Doc. CCPR/C/85/D/1153/2003 (2005); Human Rights Committee, </w:t>
      </w:r>
      <w:r w:rsidRPr="00246A9C">
        <w:rPr>
          <w:i/>
          <w:sz w:val="20"/>
          <w:szCs w:val="20"/>
        </w:rPr>
        <w:t>Concluding Observations: Ireland</w:t>
      </w:r>
      <w:r w:rsidRPr="00246A9C">
        <w:rPr>
          <w:sz w:val="20"/>
          <w:szCs w:val="20"/>
        </w:rPr>
        <w:t xml:space="preserve">, para. 9, U.N. Doc. CCPR/C/IRL/CO/4 (2014); CEDAW Committee, </w:t>
      </w:r>
      <w:r w:rsidRPr="00246A9C">
        <w:rPr>
          <w:i/>
          <w:sz w:val="20"/>
          <w:szCs w:val="20"/>
        </w:rPr>
        <w:t>Concluding Observations: Bahrain</w:t>
      </w:r>
      <w:r w:rsidRPr="00246A9C">
        <w:rPr>
          <w:sz w:val="20"/>
          <w:szCs w:val="20"/>
        </w:rPr>
        <w:t xml:space="preserve">, para. 42(b), U.N. Doc. CEDAW/C/BHR/CO/3 (2014); CAT Committee, </w:t>
      </w:r>
      <w:r w:rsidRPr="00246A9C">
        <w:rPr>
          <w:i/>
          <w:sz w:val="20"/>
          <w:szCs w:val="20"/>
        </w:rPr>
        <w:t xml:space="preserve">Concluding Observations: Paraguay, </w:t>
      </w:r>
      <w:r w:rsidRPr="00246A9C">
        <w:rPr>
          <w:sz w:val="20"/>
          <w:szCs w:val="20"/>
        </w:rPr>
        <w:t xml:space="preserve">para. 22, U.N. Doc. CAT/C/PRY/CO/4-6 (2011); CRC Committee, </w:t>
      </w:r>
      <w:r w:rsidRPr="00246A9C">
        <w:rPr>
          <w:i/>
          <w:sz w:val="20"/>
          <w:szCs w:val="20"/>
        </w:rPr>
        <w:t xml:space="preserve">Concluding Observations: </w:t>
      </w:r>
      <w:r w:rsidRPr="004941ED">
        <w:rPr>
          <w:i/>
          <w:sz w:val="20"/>
          <w:szCs w:val="20"/>
        </w:rPr>
        <w:t>Chile</w:t>
      </w:r>
      <w:r w:rsidRPr="004941ED">
        <w:rPr>
          <w:sz w:val="20"/>
          <w:szCs w:val="20"/>
        </w:rPr>
        <w:t xml:space="preserve">, para. </w:t>
      </w:r>
      <w:r w:rsidRPr="001C2281">
        <w:rPr>
          <w:sz w:val="20"/>
          <w:szCs w:val="20"/>
        </w:rPr>
        <w:t xml:space="preserve">61, U.N. Doc. </w:t>
      </w:r>
      <w:r w:rsidRPr="00246A9C">
        <w:rPr>
          <w:sz w:val="20"/>
          <w:szCs w:val="20"/>
          <w:lang w:val="es-CO"/>
        </w:rPr>
        <w:t xml:space="preserve">CRC/C/CHL/CO/4-5 (2015); </w:t>
      </w:r>
      <w:r w:rsidRPr="00246A9C">
        <w:rPr>
          <w:i/>
          <w:sz w:val="20"/>
          <w:szCs w:val="20"/>
          <w:lang w:val="es-CO"/>
        </w:rPr>
        <w:t>Costa Rica,</w:t>
      </w:r>
      <w:r w:rsidRPr="00246A9C">
        <w:rPr>
          <w:sz w:val="20"/>
          <w:szCs w:val="20"/>
          <w:lang w:val="es-CO"/>
        </w:rPr>
        <w:t xml:space="preserve"> para. </w:t>
      </w:r>
      <w:r w:rsidRPr="001C2281">
        <w:rPr>
          <w:sz w:val="20"/>
          <w:szCs w:val="20"/>
          <w:lang w:val="es-US"/>
        </w:rPr>
        <w:t xml:space="preserve">64, U.N. Doc. </w:t>
      </w:r>
      <w:r w:rsidRPr="00246A9C">
        <w:rPr>
          <w:sz w:val="20"/>
          <w:szCs w:val="20"/>
        </w:rPr>
        <w:t>CRC /C/CRI/CO/4 (2011);</w:t>
      </w:r>
      <w:r w:rsidRPr="00246A9C">
        <w:rPr>
          <w:i/>
          <w:sz w:val="20"/>
          <w:szCs w:val="20"/>
        </w:rPr>
        <w:t xml:space="preserve"> Dominican Republic, </w:t>
      </w:r>
      <w:r w:rsidRPr="00246A9C">
        <w:rPr>
          <w:sz w:val="20"/>
          <w:szCs w:val="20"/>
        </w:rPr>
        <w:t>para. 52, U.N. CRC</w:t>
      </w:r>
      <w:r>
        <w:rPr>
          <w:sz w:val="20"/>
          <w:szCs w:val="20"/>
        </w:rPr>
        <w:t>/</w:t>
      </w:r>
      <w:r w:rsidRPr="00246A9C">
        <w:rPr>
          <w:sz w:val="20"/>
          <w:szCs w:val="20"/>
        </w:rPr>
        <w:t>C/DOM/CO/3-5</w:t>
      </w:r>
      <w:r>
        <w:rPr>
          <w:sz w:val="20"/>
          <w:szCs w:val="20"/>
        </w:rPr>
        <w:t xml:space="preserve"> (2015)</w:t>
      </w:r>
      <w:r w:rsidRPr="00246A9C">
        <w:rPr>
          <w:sz w:val="20"/>
          <w:szCs w:val="20"/>
        </w:rPr>
        <w:t xml:space="preserve">; ESCR Committee, </w:t>
      </w:r>
      <w:r w:rsidRPr="00246A9C">
        <w:rPr>
          <w:i/>
          <w:sz w:val="20"/>
          <w:szCs w:val="20"/>
        </w:rPr>
        <w:t>Concluding Observations: Chile</w:t>
      </w:r>
      <w:r w:rsidRPr="00246A9C">
        <w:rPr>
          <w:sz w:val="20"/>
          <w:szCs w:val="20"/>
        </w:rPr>
        <w:t>, para. 29, U.N. Doc. E/C.12/CHL/CO/4 (2015).</w:t>
      </w:r>
      <w:r w:rsidRPr="00246A9C">
        <w:rPr>
          <w:sz w:val="20"/>
          <w:szCs w:val="20"/>
          <w:highlight w:val="cyan"/>
        </w:rPr>
        <w:fldChar w:fldCharType="begin"/>
      </w:r>
      <w:r w:rsidRPr="00246A9C">
        <w:rPr>
          <w:sz w:val="20"/>
          <w:szCs w:val="20"/>
          <w:highlight w:val="cyan"/>
        </w:rPr>
        <w:instrText xml:space="preserve"> TC "Sierra Leone" \f C \l "5" </w:instrText>
      </w:r>
      <w:r w:rsidRPr="00246A9C">
        <w:rPr>
          <w:sz w:val="20"/>
          <w:szCs w:val="20"/>
          <w:highlight w:val="cyan"/>
        </w:rPr>
        <w:fldChar w:fldCharType="end"/>
      </w:r>
    </w:p>
  </w:endnote>
  <w:endnote w:id="70">
    <w:p w14:paraId="3E25DFBA" w14:textId="2B7BA23E" w:rsidR="00944958" w:rsidRPr="00246A9C" w:rsidRDefault="00944958" w:rsidP="00246A9C">
      <w:pPr>
        <w:contextualSpacing/>
        <w:rPr>
          <w:sz w:val="20"/>
          <w:szCs w:val="20"/>
        </w:rPr>
      </w:pPr>
      <w:r w:rsidRPr="00246A9C">
        <w:rPr>
          <w:rStyle w:val="EndnoteReference"/>
          <w:sz w:val="20"/>
          <w:szCs w:val="20"/>
        </w:rPr>
        <w:endnoteRef/>
      </w:r>
      <w:r w:rsidRPr="00246A9C">
        <w:rPr>
          <w:i/>
          <w:sz w:val="20"/>
          <w:szCs w:val="20"/>
        </w:rPr>
        <w:t xml:space="preserve"> See, e.g.</w:t>
      </w:r>
      <w:r w:rsidRPr="00246A9C">
        <w:rPr>
          <w:sz w:val="20"/>
          <w:szCs w:val="20"/>
        </w:rPr>
        <w:t xml:space="preserve">, CEDAW Committee, </w:t>
      </w:r>
      <w:r w:rsidRPr="00246A9C">
        <w:rPr>
          <w:i/>
          <w:sz w:val="20"/>
          <w:szCs w:val="20"/>
        </w:rPr>
        <w:t>General Recommendation No. 24</w:t>
      </w:r>
      <w:r w:rsidRPr="00246A9C">
        <w:rPr>
          <w:sz w:val="20"/>
          <w:szCs w:val="20"/>
        </w:rPr>
        <w:t xml:space="preserve">, para. 14, </w:t>
      </w:r>
      <w:r>
        <w:rPr>
          <w:i/>
          <w:sz w:val="20"/>
          <w:szCs w:val="20"/>
        </w:rPr>
        <w:t xml:space="preserve">supra </w:t>
      </w:r>
      <w:r>
        <w:rPr>
          <w:sz w:val="20"/>
          <w:szCs w:val="20"/>
        </w:rPr>
        <w:t>note lxiv</w:t>
      </w:r>
      <w:r w:rsidRPr="00246A9C">
        <w:rPr>
          <w:sz w:val="20"/>
          <w:szCs w:val="20"/>
        </w:rPr>
        <w:t xml:space="preserve">; CRC Committee, </w:t>
      </w:r>
      <w:r w:rsidRPr="00246A9C">
        <w:rPr>
          <w:i/>
          <w:sz w:val="20"/>
          <w:szCs w:val="20"/>
        </w:rPr>
        <w:t>Concluding Observations: Nicaragua</w:t>
      </w:r>
      <w:r w:rsidRPr="00246A9C">
        <w:rPr>
          <w:sz w:val="20"/>
          <w:szCs w:val="20"/>
        </w:rPr>
        <w:t xml:space="preserve">, para. 59, U.N. Doc. CRC/C/NIC/CO/4 (2010); CAT Committee, </w:t>
      </w:r>
      <w:r w:rsidRPr="00246A9C">
        <w:rPr>
          <w:i/>
          <w:sz w:val="20"/>
          <w:szCs w:val="20"/>
        </w:rPr>
        <w:t xml:space="preserve">Concluding Observations: </w:t>
      </w:r>
      <w:r w:rsidRPr="004941ED">
        <w:rPr>
          <w:i/>
          <w:sz w:val="20"/>
          <w:szCs w:val="20"/>
        </w:rPr>
        <w:t>Nicaragua</w:t>
      </w:r>
      <w:r w:rsidRPr="004941ED">
        <w:rPr>
          <w:sz w:val="20"/>
          <w:szCs w:val="20"/>
        </w:rPr>
        <w:t xml:space="preserve">, para. 16, U.N. Doc. </w:t>
      </w:r>
      <w:r w:rsidRPr="00246A9C">
        <w:rPr>
          <w:sz w:val="20"/>
          <w:szCs w:val="20"/>
        </w:rPr>
        <w:t>CAT/C/NIC/CO/1 (2009); ESCR Committee: Concluding Observations: Pakistan, paras. 77, 78, U.N. Doc. CESCR/C/PAK/CO/1 (2017).</w:t>
      </w:r>
    </w:p>
  </w:endnote>
  <w:endnote w:id="71">
    <w:p w14:paraId="55D2D1CC" w14:textId="582C3F59" w:rsidR="00944958" w:rsidRPr="00246A9C" w:rsidRDefault="00944958" w:rsidP="00246A9C">
      <w:pPr>
        <w:pStyle w:val="EndnoteText"/>
        <w:spacing w:after="0"/>
      </w:pPr>
      <w:r w:rsidRPr="00246A9C">
        <w:rPr>
          <w:rStyle w:val="EndnoteReference"/>
        </w:rPr>
        <w:endnoteRef/>
      </w:r>
      <w:r w:rsidRPr="00246A9C">
        <w:t xml:space="preserve"> Human Rights Council, </w:t>
      </w:r>
      <w:r w:rsidRPr="00246A9C">
        <w:rPr>
          <w:i/>
        </w:rPr>
        <w:t>Report of the Special Rapporteur on violence against women, its causes and consequences, Rashida Manjoo</w:t>
      </w:r>
      <w:r w:rsidRPr="00246A9C">
        <w:t xml:space="preserve">, para. 47, U.N. Doc. A/HRC/17/26 (2011). </w:t>
      </w:r>
    </w:p>
  </w:endnote>
  <w:endnote w:id="72">
    <w:p w14:paraId="52479C7D" w14:textId="2E36A3E4"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73">
    <w:p w14:paraId="115463C9"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74">
    <w:p w14:paraId="3BBC0141" w14:textId="79A2D403"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w:t>
      </w:r>
    </w:p>
  </w:endnote>
  <w:endnote w:id="75">
    <w:p w14:paraId="07934A7A" w14:textId="410BE410"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Delan Devakumar &amp; Rob Yates, </w:t>
      </w:r>
      <w:r w:rsidRPr="00246A9C">
        <w:rPr>
          <w:i/>
        </w:rPr>
        <w:t xml:space="preserve">Medical Hostages: Detention of Women and Babies in </w:t>
      </w:r>
      <w:r w:rsidRPr="00246A9C">
        <w:t xml:space="preserve">Hospitals, 18 </w:t>
      </w:r>
      <w:r w:rsidRPr="00246A9C">
        <w:rPr>
          <w:smallCaps/>
        </w:rPr>
        <w:t>Health and Human Rights</w:t>
      </w:r>
      <w:r w:rsidRPr="00246A9C">
        <w:t xml:space="preserve"> 1 (2016). </w:t>
      </w:r>
      <w:r w:rsidRPr="00246A9C">
        <w:rPr>
          <w:i/>
        </w:rPr>
        <w:t xml:space="preserve">See also </w:t>
      </w:r>
      <w:r w:rsidRPr="00246A9C">
        <w:t xml:space="preserve">Center for Reproductive Rights, </w:t>
      </w:r>
      <w:r w:rsidRPr="00246A9C">
        <w:rPr>
          <w:i/>
        </w:rPr>
        <w:t>Failure to Deliver: Violations of Women’s Human Rights in Kenyan Health Facilities</w:t>
      </w:r>
      <w:r w:rsidRPr="00246A9C">
        <w:t xml:space="preserve"> (2007)</w:t>
      </w:r>
      <w:r>
        <w:t>.</w:t>
      </w:r>
    </w:p>
  </w:endnote>
  <w:endnote w:id="76">
    <w:p w14:paraId="3E5B6A9A" w14:textId="60274F82"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Millicent Awuor Maimuna &amp; Margaret Anyoso Oliele v. Attorney General and others, Constitutional Petition No. 562 of 2012, High Court of Kenya, paras. 10-15.</w:t>
      </w:r>
    </w:p>
  </w:endnote>
  <w:endnote w:id="77">
    <w:p w14:paraId="7DACA224" w14:textId="5F221135"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at paras. 16-23. </w:t>
      </w:r>
    </w:p>
  </w:endnote>
  <w:endnote w:id="78">
    <w:p w14:paraId="734F1FCA" w14:textId="6C5E5B44" w:rsidR="00944958" w:rsidRPr="00246A9C" w:rsidRDefault="00944958" w:rsidP="00246A9C">
      <w:pPr>
        <w:pStyle w:val="EndnoteText"/>
        <w:spacing w:after="0"/>
      </w:pPr>
      <w:r w:rsidRPr="00246A9C">
        <w:rPr>
          <w:rStyle w:val="EndnoteReference"/>
        </w:rPr>
        <w:endnoteRef/>
      </w:r>
      <w:r w:rsidRPr="00246A9C">
        <w:t xml:space="preserve"> In the Matter of Enforcement of the Bill of Rights Under Article 24 of the Constitution of the Republic of Kenya, Petition No. 562 of 2012 (2015).</w:t>
      </w:r>
    </w:p>
  </w:endnote>
  <w:endnote w:id="79">
    <w:p w14:paraId="3D83801E"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at 35.</w:t>
      </w:r>
    </w:p>
  </w:endnote>
  <w:endnote w:id="80">
    <w:p w14:paraId="78D6E2ED"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at 63, 65.</w:t>
      </w:r>
    </w:p>
  </w:endnote>
  <w:endnote w:id="81">
    <w:p w14:paraId="66CC8ABE"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xml:space="preserve">. at 28. </w:t>
      </w:r>
    </w:p>
  </w:endnote>
  <w:endnote w:id="82">
    <w:p w14:paraId="4FF3838C"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at 43, 44, 46.</w:t>
      </w:r>
    </w:p>
  </w:endnote>
  <w:endnote w:id="83">
    <w:p w14:paraId="1F38FB5F"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See, e.g.,</w:t>
      </w:r>
      <w:r w:rsidRPr="00246A9C">
        <w:t xml:space="preserve"> CEDAW Committee, </w:t>
      </w:r>
      <w:r w:rsidRPr="00246A9C">
        <w:rPr>
          <w:i/>
        </w:rPr>
        <w:t>Concluding Observations: Kenya</w:t>
      </w:r>
      <w:r w:rsidRPr="00246A9C">
        <w:t>, paras. 38, 39(d), U.N. Doc. CEDAW/C/KEN/CO/8 (2017).</w:t>
      </w:r>
    </w:p>
  </w:endnote>
  <w:endnote w:id="84">
    <w:p w14:paraId="68103816"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CAT Committee, </w:t>
      </w:r>
      <w:r w:rsidRPr="00246A9C">
        <w:rPr>
          <w:i/>
        </w:rPr>
        <w:t xml:space="preserve">Concluding Observations: Kenya, </w:t>
      </w:r>
      <w:r w:rsidRPr="00246A9C">
        <w:t xml:space="preserve">para. 27, U.N. Doc. CAT/C/KEN/CO/2 (2013); CESCR Committee, </w:t>
      </w:r>
      <w:r w:rsidRPr="00246A9C">
        <w:rPr>
          <w:i/>
        </w:rPr>
        <w:t>Concluding Observations: Kenya</w:t>
      </w:r>
      <w:r w:rsidRPr="00246A9C">
        <w:t xml:space="preserve">, paras. 53-54, U.N. Doc. E/C.12/KEN/CO/2-5 (2016). </w:t>
      </w:r>
    </w:p>
  </w:endnote>
  <w:endnote w:id="85">
    <w:p w14:paraId="51449642" w14:textId="003914DB" w:rsidR="00944958" w:rsidRPr="00246A9C" w:rsidRDefault="00944958" w:rsidP="00246A9C">
      <w:pPr>
        <w:pStyle w:val="EndnoteText"/>
        <w:spacing w:after="0"/>
      </w:pPr>
      <w:r w:rsidRPr="00246A9C">
        <w:rPr>
          <w:rStyle w:val="EndnoteReference"/>
        </w:rPr>
        <w:endnoteRef/>
      </w:r>
      <w:r w:rsidRPr="00246A9C">
        <w:t xml:space="preserve"> CESCR Committee, </w:t>
      </w:r>
      <w:r w:rsidRPr="00246A9C">
        <w:rPr>
          <w:i/>
        </w:rPr>
        <w:t>Concluding Observations: Kenya</w:t>
      </w:r>
      <w:r>
        <w:t>,</w:t>
      </w:r>
      <w:r w:rsidRPr="00246A9C">
        <w:t xml:space="preserve"> para. 54, U.N. Doc. E/C.12/KEN/CO/2-5 (2016).</w:t>
      </w:r>
    </w:p>
  </w:endnote>
  <w:endnote w:id="86">
    <w:p w14:paraId="3E8652E4"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smallCaps/>
        </w:rPr>
        <w:t>Center for Reproductive Rights et al.,</w:t>
      </w:r>
      <w:r w:rsidRPr="00246A9C">
        <w:t xml:space="preserve"> </w:t>
      </w:r>
      <w:r w:rsidRPr="00246A9C">
        <w:rPr>
          <w:rStyle w:val="SubtleReference"/>
        </w:rPr>
        <w:t>Broken Promises: Human Rights, Accountability and Maternal Death in Nigeria</w:t>
      </w:r>
      <w:r w:rsidRPr="00246A9C">
        <w:t xml:space="preserve"> 41 (2008).</w:t>
      </w:r>
    </w:p>
  </w:endnote>
  <w:endnote w:id="87">
    <w:p w14:paraId="4226C4DA" w14:textId="70220590" w:rsidR="00944958" w:rsidRPr="00246A9C" w:rsidRDefault="00944958" w:rsidP="00246A9C">
      <w:pPr>
        <w:pStyle w:val="EndnoteText"/>
        <w:spacing w:after="0"/>
      </w:pPr>
      <w:r w:rsidRPr="00246A9C">
        <w:rPr>
          <w:rStyle w:val="EndnoteReference"/>
        </w:rPr>
        <w:endnoteRef/>
      </w:r>
      <w:r w:rsidRPr="00246A9C">
        <w:t xml:space="preserve"> </w:t>
      </w:r>
      <w:r w:rsidRPr="00246A9C">
        <w:rPr>
          <w:i/>
        </w:rPr>
        <w:t>Women Advocates Research and Documentation Center v. Attorney General of the Federation</w:t>
      </w:r>
      <w:r w:rsidRPr="00246A9C">
        <w:t>, (2015) Originating Summons, Federal High Court (Nigeria).</w:t>
      </w:r>
    </w:p>
  </w:endnote>
  <w:endnote w:id="88">
    <w:p w14:paraId="645AB8BC"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89">
    <w:p w14:paraId="076DE076"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90">
    <w:p w14:paraId="1D48D261"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91">
    <w:p w14:paraId="0DBB9FF8"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92">
    <w:p w14:paraId="71F4A091" w14:textId="7726E43E" w:rsidR="00944958" w:rsidRPr="00246A9C" w:rsidRDefault="00944958" w:rsidP="00246A9C">
      <w:pPr>
        <w:pStyle w:val="EndnoteText"/>
        <w:spacing w:after="0"/>
      </w:pPr>
      <w:r w:rsidRPr="00246A9C">
        <w:rPr>
          <w:rStyle w:val="EndnoteReference"/>
        </w:rPr>
        <w:endnoteRef/>
      </w:r>
      <w:r w:rsidRPr="00246A9C">
        <w:t xml:space="preserve"> </w:t>
      </w:r>
      <w:r>
        <w:t xml:space="preserve">Press Release, </w:t>
      </w:r>
      <w:r w:rsidRPr="00246A9C">
        <w:t xml:space="preserve">Center for Reproductive Rights, </w:t>
      </w:r>
      <w:r w:rsidRPr="001C2281">
        <w:t>Nigeria’s Federal High Court Strikes Out Civil Society Organization’s Case of a Woman Who Was Illegally Detained and Died During Confinement</w:t>
      </w:r>
      <w:r w:rsidRPr="00246A9C">
        <w:t xml:space="preserve"> (May 18, 2018), https://www.reproductiverights.org/Nigeria-High-Court-Case-Woman-Illegally-Detained-Died.</w:t>
      </w:r>
    </w:p>
  </w:endnote>
  <w:endnote w:id="93">
    <w:p w14:paraId="50C0D2B6" w14:textId="77777777" w:rsidR="00944958" w:rsidRPr="00246A9C" w:rsidRDefault="00944958" w:rsidP="00246A9C">
      <w:pPr>
        <w:pStyle w:val="EndnoteText"/>
        <w:spacing w:after="0"/>
      </w:pPr>
      <w:r w:rsidRPr="00246A9C">
        <w:rPr>
          <w:rStyle w:val="EndnoteReference"/>
        </w:rPr>
        <w:endnoteRef/>
      </w:r>
      <w:r w:rsidRPr="00246A9C">
        <w:t xml:space="preserve"> Innocent I. Okafor </w:t>
      </w:r>
      <w:r w:rsidRPr="001C2281">
        <w:rPr>
          <w:i/>
        </w:rPr>
        <w:t>et al.</w:t>
      </w:r>
      <w:r w:rsidRPr="00246A9C">
        <w:t xml:space="preserve">, </w:t>
      </w:r>
      <w:r w:rsidRPr="00246A9C">
        <w:rPr>
          <w:i/>
        </w:rPr>
        <w:t>Disrespect and Abuse during Facility-Based Childbirth in a Low-Income Country</w:t>
      </w:r>
      <w:r w:rsidRPr="00246A9C">
        <w:t xml:space="preserve">, 128 </w:t>
      </w:r>
      <w:r w:rsidRPr="00246A9C">
        <w:rPr>
          <w:smallCaps/>
        </w:rPr>
        <w:t xml:space="preserve">Int’l. J. Gynecology &amp; Obstetrics </w:t>
      </w:r>
      <w:r w:rsidRPr="00246A9C">
        <w:t xml:space="preserve">110, 112 (2015).  </w:t>
      </w:r>
    </w:p>
  </w:endnote>
  <w:endnote w:id="94">
    <w:p w14:paraId="106069A9" w14:textId="226AE81D" w:rsidR="00944958" w:rsidRPr="00246A9C" w:rsidRDefault="00944958" w:rsidP="00246A9C">
      <w:pPr>
        <w:pStyle w:val="EndnoteText"/>
        <w:spacing w:after="0"/>
      </w:pPr>
      <w:r w:rsidRPr="00246A9C">
        <w:rPr>
          <w:rStyle w:val="EndnoteReference"/>
        </w:rPr>
        <w:endnoteRef/>
      </w:r>
      <w:r w:rsidRPr="00246A9C">
        <w:t xml:space="preserve"> Adaobi Tricia Nwaubani, </w:t>
      </w:r>
      <w:r w:rsidRPr="00246A9C">
        <w:rPr>
          <w:i/>
        </w:rPr>
        <w:t>Sky-High Bills Leave Nigerian Mothers and Newborns Trapped in Hospitals</w:t>
      </w:r>
      <w:r w:rsidRPr="00246A9C">
        <w:t xml:space="preserve">, </w:t>
      </w:r>
      <w:r w:rsidRPr="00246A9C">
        <w:rPr>
          <w:smallCaps/>
        </w:rPr>
        <w:t>Thomson Reuters Foundation</w:t>
      </w:r>
      <w:r w:rsidRPr="00246A9C">
        <w:t xml:space="preserve"> (July 12, 2016)</w:t>
      </w:r>
      <w:r>
        <w:t>,</w:t>
      </w:r>
      <w:r w:rsidRPr="00246A9C">
        <w:t xml:space="preserve"> </w:t>
      </w:r>
      <w:hyperlink r:id="rId10" w:history="1">
        <w:r w:rsidRPr="00246A9C">
          <w:rPr>
            <w:rStyle w:val="Hyperlink"/>
          </w:rPr>
          <w:t>http://news.trust.org/item/20160712104512-b6xji/</w:t>
        </w:r>
      </w:hyperlink>
      <w:r w:rsidRPr="00246A9C">
        <w:t>.</w:t>
      </w:r>
    </w:p>
  </w:endnote>
  <w:endnote w:id="95">
    <w:p w14:paraId="5DC22E31" w14:textId="77777777" w:rsidR="00944958" w:rsidRPr="00246A9C" w:rsidRDefault="00944958" w:rsidP="00246A9C">
      <w:pPr>
        <w:pStyle w:val="EndnoteText"/>
        <w:spacing w:after="0"/>
        <w:rPr>
          <w:i/>
        </w:rPr>
      </w:pPr>
      <w:r w:rsidRPr="00246A9C">
        <w:rPr>
          <w:rStyle w:val="EndnoteReference"/>
        </w:rPr>
        <w:endnoteRef/>
      </w:r>
      <w:r w:rsidRPr="00246A9C">
        <w:t xml:space="preserve"> </w:t>
      </w:r>
      <w:r w:rsidRPr="00246A9C">
        <w:rPr>
          <w:i/>
        </w:rPr>
        <w:t>Id.</w:t>
      </w:r>
    </w:p>
  </w:endnote>
  <w:endnote w:id="96">
    <w:p w14:paraId="593E959F" w14:textId="7A57641E" w:rsidR="00944958" w:rsidRPr="004941ED" w:rsidRDefault="00944958" w:rsidP="00246A9C">
      <w:pPr>
        <w:pStyle w:val="EndnoteText"/>
        <w:spacing w:after="0"/>
        <w:rPr>
          <w:lang w:val="es-US"/>
        </w:rPr>
      </w:pPr>
      <w:r w:rsidRPr="00246A9C">
        <w:rPr>
          <w:rStyle w:val="EndnoteReference"/>
        </w:rPr>
        <w:endnoteRef/>
      </w:r>
      <w:r w:rsidRPr="00246A9C">
        <w:t xml:space="preserve"> </w:t>
      </w:r>
      <w:r w:rsidRPr="00246A9C">
        <w:rPr>
          <w:i/>
        </w:rPr>
        <w:t>See</w:t>
      </w:r>
      <w:r w:rsidRPr="00246A9C">
        <w:t xml:space="preserve"> CESCR Committee, </w:t>
      </w:r>
      <w:r w:rsidRPr="00246A9C">
        <w:rPr>
          <w:i/>
        </w:rPr>
        <w:t>General Comment No. 14: The right to the highest attainable standard of health (Art. 12)</w:t>
      </w:r>
      <w:r w:rsidRPr="00246A9C">
        <w:t xml:space="preserve"> (2000), </w:t>
      </w:r>
      <w:r w:rsidRPr="00246A9C">
        <w:rPr>
          <w:i/>
        </w:rPr>
        <w:t>in</w:t>
      </w:r>
      <w:r w:rsidRPr="00246A9C">
        <w:t xml:space="preserve"> Compilation of General Comments and General Recommendations Adopted by Human Rights Treaty Bodies, U.N. Doc. HRI/GEN/1/Rev.9 (Vol. I) (2008). </w:t>
      </w:r>
      <w:r w:rsidRPr="00246A9C">
        <w:rPr>
          <w:i/>
        </w:rPr>
        <w:t>See also, e.g.</w:t>
      </w:r>
      <w:r w:rsidRPr="00246A9C">
        <w:t xml:space="preserve">, CEDAW Committee, </w:t>
      </w:r>
      <w:r w:rsidRPr="00246A9C">
        <w:rPr>
          <w:i/>
        </w:rPr>
        <w:t>Concluding Observations: Belize</w:t>
      </w:r>
      <w:r w:rsidRPr="00246A9C">
        <w:t xml:space="preserve">, para. </w:t>
      </w:r>
      <w:r w:rsidRPr="004941ED">
        <w:rPr>
          <w:lang w:val="es-US"/>
        </w:rPr>
        <w:t xml:space="preserve">56, U.N. Doc. A/54/38/Rev.1 (1999); </w:t>
      </w:r>
      <w:r w:rsidRPr="004941ED">
        <w:rPr>
          <w:i/>
          <w:lang w:val="es-US"/>
        </w:rPr>
        <w:t>Colombia</w:t>
      </w:r>
      <w:r w:rsidRPr="004941ED">
        <w:rPr>
          <w:lang w:val="es-US"/>
        </w:rPr>
        <w:t xml:space="preserve">, para. 393, U.N, Doc A/54/38/Rev.1 (1999); </w:t>
      </w:r>
      <w:r w:rsidRPr="004941ED">
        <w:rPr>
          <w:i/>
          <w:lang w:val="es-US"/>
        </w:rPr>
        <w:t>Dominican Republic</w:t>
      </w:r>
      <w:r w:rsidRPr="004941ED">
        <w:rPr>
          <w:lang w:val="es-US"/>
        </w:rPr>
        <w:t xml:space="preserve">, para. 337, U.N. Doc A/53/38/Rev.1 (1998); </w:t>
      </w:r>
      <w:r w:rsidRPr="004941ED">
        <w:rPr>
          <w:i/>
          <w:iCs/>
          <w:lang w:val="es-US"/>
        </w:rPr>
        <w:t>Madagascar</w:t>
      </w:r>
      <w:r w:rsidRPr="004941ED">
        <w:rPr>
          <w:lang w:val="es-US"/>
        </w:rPr>
        <w:t>, para. 244, U.N. Doc A/49/38, (1994).</w:t>
      </w:r>
    </w:p>
  </w:endnote>
  <w:endnote w:id="97">
    <w:p w14:paraId="50FEDE69" w14:textId="0139E545" w:rsidR="00944958" w:rsidRPr="00246A9C" w:rsidRDefault="00944958" w:rsidP="00246A9C">
      <w:pPr>
        <w:pStyle w:val="EndnoteText"/>
        <w:spacing w:after="0"/>
      </w:pPr>
      <w:r w:rsidRPr="00246A9C">
        <w:rPr>
          <w:rStyle w:val="EndnoteReference"/>
        </w:rPr>
        <w:endnoteRef/>
      </w:r>
      <w:r w:rsidRPr="00246A9C">
        <w:t xml:space="preserve"> </w:t>
      </w:r>
      <w:r w:rsidRPr="00246A9C">
        <w:rPr>
          <w:i/>
        </w:rPr>
        <w:t>See</w:t>
      </w:r>
      <w:r w:rsidRPr="00246A9C">
        <w:t xml:space="preserve"> CEDAW Committee, </w:t>
      </w:r>
      <w:r w:rsidRPr="00246A9C">
        <w:rPr>
          <w:i/>
        </w:rPr>
        <w:t>Concluding Observations: Nigeria</w:t>
      </w:r>
      <w:r w:rsidRPr="00246A9C">
        <w:t xml:space="preserve">, para. </w:t>
      </w:r>
      <w:r w:rsidRPr="001C2281">
        <w:rPr>
          <w:lang w:val="es-US"/>
        </w:rPr>
        <w:t>170, U.N. Doc. A/59/38/Rev. 1 (1998);</w:t>
      </w:r>
      <w:r w:rsidRPr="001C2281">
        <w:rPr>
          <w:highlight w:val="yellow"/>
          <w:lang w:val="es-US"/>
        </w:rPr>
        <w:t xml:space="preserve"> </w:t>
      </w:r>
      <w:r w:rsidRPr="001C2281">
        <w:rPr>
          <w:i/>
          <w:lang w:val="es-US"/>
        </w:rPr>
        <w:t>Nigeria</w:t>
      </w:r>
      <w:r w:rsidRPr="001C2281">
        <w:rPr>
          <w:lang w:val="es-US"/>
        </w:rPr>
        <w:t xml:space="preserve">, paras. </w:t>
      </w:r>
      <w:r w:rsidRPr="00246A9C">
        <w:t xml:space="preserve">307–08, U.N. Doc. A/59/38, (Supplement No. 38) (Part I) (2004); </w:t>
      </w:r>
      <w:r w:rsidRPr="00246A9C">
        <w:rPr>
          <w:i/>
        </w:rPr>
        <w:t>Nigeria</w:t>
      </w:r>
      <w:r w:rsidRPr="00246A9C">
        <w:t xml:space="preserve">, para. </w:t>
      </w:r>
      <w:r w:rsidRPr="001C2281">
        <w:rPr>
          <w:lang w:val="es-US"/>
        </w:rPr>
        <w:t xml:space="preserve">33, U.N. Doc. CEDAW/C/NGA/CO/6 (2008); </w:t>
      </w:r>
      <w:r w:rsidRPr="001C2281">
        <w:rPr>
          <w:i/>
          <w:lang w:val="es-US"/>
        </w:rPr>
        <w:t>Nigeria</w:t>
      </w:r>
      <w:r w:rsidRPr="001C2281">
        <w:rPr>
          <w:lang w:val="es-US"/>
        </w:rPr>
        <w:t xml:space="preserve">, paras. 40-41, U.N. Doc. </w:t>
      </w:r>
      <w:r w:rsidRPr="00246A9C">
        <w:t>CEDAW/C/NGA/CO/7-8 (2017).</w:t>
      </w:r>
    </w:p>
  </w:endnote>
  <w:endnote w:id="98">
    <w:p w14:paraId="5CA74054" w14:textId="77777777" w:rsidR="00944958" w:rsidRPr="00246A9C" w:rsidRDefault="00944958" w:rsidP="00246A9C">
      <w:pPr>
        <w:pStyle w:val="EndnoteText"/>
        <w:spacing w:after="0"/>
      </w:pPr>
      <w:r w:rsidRPr="00246A9C">
        <w:rPr>
          <w:rStyle w:val="EndnoteReference"/>
        </w:rPr>
        <w:endnoteRef/>
      </w:r>
      <w:r w:rsidRPr="00246A9C">
        <w:t xml:space="preserve"> CEDAW Committee</w:t>
      </w:r>
      <w:r w:rsidRPr="00246A9C">
        <w:rPr>
          <w:i/>
        </w:rPr>
        <w:t>, Concluding Observations: Nigeria</w:t>
      </w:r>
      <w:r w:rsidRPr="00246A9C">
        <w:t>, para. 34, U.N. Doc. CEDAW/C/NGA/CO/6 (2008).</w:t>
      </w:r>
    </w:p>
  </w:endnote>
  <w:endnote w:id="99">
    <w:p w14:paraId="175BBCB8" w14:textId="6B8C9F13" w:rsidR="00944958" w:rsidRPr="00246A9C" w:rsidRDefault="00944958" w:rsidP="00246A9C">
      <w:pPr>
        <w:pStyle w:val="EndnoteText"/>
        <w:spacing w:after="0"/>
      </w:pPr>
      <w:r w:rsidRPr="00246A9C">
        <w:rPr>
          <w:rStyle w:val="EndnoteReference"/>
        </w:rPr>
        <w:endnoteRef/>
      </w:r>
      <w:r w:rsidRPr="00246A9C">
        <w:t xml:space="preserve"> Human Rights Council, </w:t>
      </w:r>
      <w:r w:rsidRPr="00246A9C">
        <w:rPr>
          <w:i/>
        </w:rPr>
        <w:t>Report of the Working Group on the Universal Periodic Review: Nigeria</w:t>
      </w:r>
      <w:r w:rsidRPr="00246A9C">
        <w:t>, para. 135.105, U.N. Doc. A/HRC/25/6 (2013)</w:t>
      </w:r>
      <w:r>
        <w:t>.</w:t>
      </w:r>
    </w:p>
  </w:endnote>
  <w:endnote w:id="100">
    <w:p w14:paraId="3563AF65" w14:textId="77777777" w:rsidR="00944958" w:rsidRPr="00246A9C" w:rsidRDefault="00944958" w:rsidP="00246A9C">
      <w:pPr>
        <w:pStyle w:val="CommentText"/>
        <w:rPr>
          <w:i/>
          <w:lang w:val="en-US"/>
        </w:rPr>
      </w:pPr>
      <w:r w:rsidRPr="00246A9C">
        <w:rPr>
          <w:rStyle w:val="EndnoteReference"/>
          <w:lang w:val="en-US"/>
        </w:rPr>
        <w:endnoteRef/>
      </w:r>
      <w:r w:rsidRPr="00246A9C">
        <w:rPr>
          <w:lang w:val="en-US"/>
        </w:rPr>
        <w:t xml:space="preserve"> African Commission on Human and Peoples’ Rights, </w:t>
      </w:r>
      <w:r w:rsidRPr="00246A9C">
        <w:rPr>
          <w:i/>
          <w:lang w:val="en-US"/>
        </w:rPr>
        <w:t>Concluding Observations and Recommendations on the 5th Periodic Report of the Federal Republic of Nigeria on the Implementation of the African Charter on Human and Peoples’ Rights (2011 – 2014)</w:t>
      </w:r>
      <w:r w:rsidRPr="00246A9C">
        <w:rPr>
          <w:lang w:val="en-US"/>
        </w:rPr>
        <w:t>, African Union, para. 76 (2015).</w:t>
      </w:r>
    </w:p>
  </w:endnote>
  <w:endnote w:id="101">
    <w:p w14:paraId="4C4C7348"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 para. 117.</w:t>
      </w:r>
    </w:p>
  </w:endnote>
  <w:endnote w:id="102">
    <w:p w14:paraId="6D76BA34" w14:textId="0CBF7A64" w:rsidR="00944958" w:rsidRPr="00ED52E5" w:rsidRDefault="00944958" w:rsidP="00246A9C">
      <w:pPr>
        <w:pStyle w:val="EndnoteText"/>
        <w:spacing w:after="0"/>
      </w:pPr>
      <w:r w:rsidRPr="00246A9C">
        <w:rPr>
          <w:rStyle w:val="EndnoteReference"/>
        </w:rPr>
        <w:endnoteRef/>
      </w:r>
      <w:r w:rsidRPr="00246A9C">
        <w:t xml:space="preserve"> </w:t>
      </w:r>
      <w:r w:rsidR="00ED52E5" w:rsidRPr="00ED52E5">
        <w:t xml:space="preserve">Convention on the Elimination of All Forms of Discrimination against Women, </w:t>
      </w:r>
      <w:r w:rsidR="00ED52E5" w:rsidRPr="001C2281">
        <w:rPr>
          <w:i/>
        </w:rPr>
        <w:t>adopted</w:t>
      </w:r>
      <w:r w:rsidR="00ED52E5">
        <w:t xml:space="preserve"> Dec. 18, 1979, art. 12</w:t>
      </w:r>
      <w:r w:rsidR="00ED52E5" w:rsidRPr="00ED52E5">
        <w:t>, G.A. Res. 34/180, U.N. GAOR, 34th Sess., Supp. No. 46, at 193, U.N. Doc. A/34/46 (1980), U.N.T.S. 13 (entered into force Sept. 3, 1981)</w:t>
      </w:r>
      <w:r w:rsidR="00ED52E5">
        <w:t>.</w:t>
      </w:r>
    </w:p>
  </w:endnote>
  <w:endnote w:id="103">
    <w:p w14:paraId="0CBB4270" w14:textId="270A4CAD" w:rsidR="00944958" w:rsidRPr="00ED52E5" w:rsidRDefault="00944958" w:rsidP="00246A9C">
      <w:pPr>
        <w:pStyle w:val="EndnoteText"/>
        <w:spacing w:after="0"/>
      </w:pPr>
      <w:r w:rsidRPr="00ED52E5">
        <w:rPr>
          <w:rStyle w:val="EndnoteReference"/>
        </w:rPr>
        <w:endnoteRef/>
      </w:r>
      <w:r w:rsidRPr="00ED52E5">
        <w:t xml:space="preserve"> </w:t>
      </w:r>
      <w:r w:rsidR="00ED52E5" w:rsidRPr="00ED52E5">
        <w:t xml:space="preserve">CEDAW and CRC Committees, </w:t>
      </w:r>
      <w:r w:rsidR="00ED52E5" w:rsidRPr="001C2281">
        <w:rPr>
          <w:i/>
        </w:rPr>
        <w:t>Joint general recommendation No. 31 of the Committee on the Elimination of Discrimination against Women/general comment No. 18 of the Committee on the Rights of the Child on harmful practices</w:t>
      </w:r>
      <w:r w:rsidR="00ED52E5" w:rsidRPr="00ED52E5">
        <w:t>, U.N. Doc. CEDAW/C/GC/31-CRC/C/GC/18 (2014).</w:t>
      </w:r>
      <w:r w:rsidRPr="00ED52E5">
        <w:t xml:space="preserve"> </w:t>
      </w:r>
      <w:r w:rsidRPr="001C2281">
        <w:rPr>
          <w:i/>
        </w:rPr>
        <w:t>See also</w:t>
      </w:r>
      <w:r w:rsidRPr="00ED52E5">
        <w:t xml:space="preserve"> CRC Committee, </w:t>
      </w:r>
      <w:r w:rsidRPr="001C2281">
        <w:rPr>
          <w:i/>
        </w:rPr>
        <w:t>Concluding Observations: Mongolia</w:t>
      </w:r>
      <w:r w:rsidRPr="00ED52E5">
        <w:t xml:space="preserve">, para. 51(a), U.N. Doc. CRC/C/MNG/CO/3-4 (2010); ESCR Committee, </w:t>
      </w:r>
      <w:r w:rsidRPr="001C2281">
        <w:rPr>
          <w:i/>
        </w:rPr>
        <w:t>Concluding Observations: Australia</w:t>
      </w:r>
      <w:r w:rsidRPr="00ED52E5">
        <w:t>, para. 28, U.N. Doc. E/C.12/AUS/CO/4 (2009).</w:t>
      </w:r>
    </w:p>
  </w:endnote>
  <w:endnote w:id="104">
    <w:p w14:paraId="5BB60310" w14:textId="387BC7D4" w:rsidR="00944958" w:rsidRPr="00246A9C" w:rsidRDefault="00944958" w:rsidP="00246A9C">
      <w:pPr>
        <w:pStyle w:val="EndnoteText"/>
        <w:spacing w:after="0"/>
      </w:pPr>
      <w:r w:rsidRPr="00ED52E5">
        <w:rPr>
          <w:rStyle w:val="EndnoteReference"/>
        </w:rPr>
        <w:endnoteRef/>
      </w:r>
      <w:r w:rsidRPr="00ED52E5">
        <w:t xml:space="preserve"> Alyne da Silva Pimentel Teixeira v Brazil, CEDAW Committee, Commc’n No. 17/2008, paras. 7.6- 7.7, U.N. Doc. CEDAW/C/49/D/17/2008 (2011); CRC Committee, </w:t>
      </w:r>
      <w:r w:rsidRPr="001C2281">
        <w:rPr>
          <w:i/>
        </w:rPr>
        <w:t>Gen</w:t>
      </w:r>
      <w:r w:rsidR="00AB0898" w:rsidRPr="001C2281">
        <w:rPr>
          <w:i/>
        </w:rPr>
        <w:t>eral</w:t>
      </w:r>
      <w:r w:rsidRPr="001C2281">
        <w:rPr>
          <w:i/>
        </w:rPr>
        <w:t xml:space="preserve"> Comment No. 20</w:t>
      </w:r>
      <w:r w:rsidR="00AB0898" w:rsidRPr="001C2281">
        <w:rPr>
          <w:i/>
        </w:rPr>
        <w:t xml:space="preserve"> (2016) on the implementation of the rights of the child during adolescence</w:t>
      </w:r>
      <w:r w:rsidRPr="00ED52E5">
        <w:t>,</w:t>
      </w:r>
      <w:r w:rsidR="00ED52E5" w:rsidRPr="001C2281">
        <w:t xml:space="preserve"> para. 59</w:t>
      </w:r>
      <w:r w:rsidRPr="001C2281">
        <w:rPr>
          <w:i/>
        </w:rPr>
        <w:t xml:space="preserve"> </w:t>
      </w:r>
      <w:r w:rsidR="00AB0898" w:rsidRPr="00ED52E5">
        <w:t>, U.N</w:t>
      </w:r>
      <w:r w:rsidR="00AB0898">
        <w:t xml:space="preserve">. Doc. </w:t>
      </w:r>
      <w:r w:rsidR="00AB0898" w:rsidRPr="00AB0898">
        <w:t>CRC/C/GC/20</w:t>
      </w:r>
      <w:r w:rsidR="00ED52E5">
        <w:t xml:space="preserve"> (2016).</w:t>
      </w:r>
    </w:p>
  </w:endnote>
  <w:endnote w:id="105">
    <w:p w14:paraId="65F00490" w14:textId="6F2F46AD" w:rsidR="00944958" w:rsidRPr="00246A9C" w:rsidRDefault="00944958" w:rsidP="00246A9C">
      <w:pPr>
        <w:pStyle w:val="EndnoteText"/>
        <w:spacing w:after="0"/>
      </w:pPr>
      <w:r w:rsidRPr="00246A9C">
        <w:rPr>
          <w:rStyle w:val="EndnoteReference"/>
        </w:rPr>
        <w:endnoteRef/>
      </w:r>
      <w:r w:rsidRPr="00246A9C">
        <w:t xml:space="preserve"> See </w:t>
      </w:r>
      <w:r w:rsidRPr="00ED52E5">
        <w:t>CEDAW Committee, Gen. Recommendation No. 24, para. 21</w:t>
      </w:r>
      <w:r w:rsidR="00ED52E5" w:rsidRPr="001C2281">
        <w:t xml:space="preserve">, </w:t>
      </w:r>
      <w:r w:rsidR="00ED52E5" w:rsidRPr="00ED52E5">
        <w:rPr>
          <w:i/>
        </w:rPr>
        <w:t xml:space="preserve">supra </w:t>
      </w:r>
      <w:r w:rsidR="00ED52E5" w:rsidRPr="00ED52E5">
        <w:t>note lxiv</w:t>
      </w:r>
      <w:r w:rsidRPr="00ED52E5">
        <w:t>. See also</w:t>
      </w:r>
      <w:r w:rsidRPr="00246A9C">
        <w:t xml:space="preserve"> Human Rights Committee, </w:t>
      </w:r>
      <w:r w:rsidRPr="001C2281">
        <w:rPr>
          <w:i/>
        </w:rPr>
        <w:t>Concluding Observations: Rwanda</w:t>
      </w:r>
      <w:r w:rsidRPr="00246A9C">
        <w:t>, U.N. Doc. CCPR/C/RWA/CO/4 (2016).</w:t>
      </w:r>
    </w:p>
  </w:endnote>
  <w:endnote w:id="106">
    <w:p w14:paraId="4CD6BEF9" w14:textId="03B75AE7" w:rsidR="00944958" w:rsidRPr="00246A9C" w:rsidRDefault="00944958" w:rsidP="00246A9C">
      <w:pPr>
        <w:pStyle w:val="EndnoteText"/>
        <w:spacing w:after="0"/>
      </w:pPr>
      <w:r w:rsidRPr="00246A9C">
        <w:rPr>
          <w:rStyle w:val="EndnoteReference"/>
        </w:rPr>
        <w:endnoteRef/>
      </w:r>
      <w:r w:rsidRPr="00246A9C">
        <w:t xml:space="preserve"> </w:t>
      </w:r>
      <w:r w:rsidRPr="001C2281">
        <w:rPr>
          <w:i/>
        </w:rPr>
        <w:t>See, e.g.</w:t>
      </w:r>
      <w:r w:rsidRPr="00246A9C">
        <w:t xml:space="preserve">, CEDAW Committee, </w:t>
      </w:r>
      <w:r w:rsidRPr="001C2281">
        <w:rPr>
          <w:i/>
        </w:rPr>
        <w:t>Concluding Observations: Thailand</w:t>
      </w:r>
      <w:r w:rsidRPr="00246A9C">
        <w:t xml:space="preserve">, paras. 42-43, U.N. Doc. CEDAW/C/THA/CO/6-7 (2017); </w:t>
      </w:r>
      <w:r w:rsidRPr="001C2281">
        <w:rPr>
          <w:i/>
        </w:rPr>
        <w:t>Lesotho</w:t>
      </w:r>
      <w:r w:rsidRPr="00246A9C">
        <w:t>, paras. 32-33, U.N. Doc. CEDAW/C/LSO/CO/1-4 (2011)</w:t>
      </w:r>
      <w:r w:rsidR="00ED52E5">
        <w:t>.</w:t>
      </w:r>
    </w:p>
  </w:endnote>
  <w:endnote w:id="107">
    <w:p w14:paraId="11E41381" w14:textId="2C2713BB" w:rsidR="00944958" w:rsidRPr="00246A9C" w:rsidRDefault="00944958" w:rsidP="00246A9C">
      <w:pPr>
        <w:pStyle w:val="EndnoteText"/>
        <w:spacing w:after="0"/>
      </w:pPr>
      <w:r w:rsidRPr="00246A9C">
        <w:rPr>
          <w:rStyle w:val="EndnoteReference"/>
        </w:rPr>
        <w:endnoteRef/>
      </w:r>
      <w:r w:rsidRPr="00246A9C">
        <w:t xml:space="preserve"> </w:t>
      </w:r>
      <w:r w:rsidRPr="001C2281">
        <w:rPr>
          <w:i/>
        </w:rPr>
        <w:t>See</w:t>
      </w:r>
      <w:r w:rsidRPr="00246A9C">
        <w:t xml:space="preserve"> CEDAW Committee, </w:t>
      </w:r>
      <w:r w:rsidRPr="001C2281">
        <w:rPr>
          <w:i/>
        </w:rPr>
        <w:t>Concluding Observations: Romania</w:t>
      </w:r>
      <w:r w:rsidRPr="00246A9C">
        <w:t xml:space="preserve">, paras. </w:t>
      </w:r>
      <w:r w:rsidRPr="004941ED">
        <w:rPr>
          <w:lang w:val="es-US"/>
        </w:rPr>
        <w:t xml:space="preserve">40, 41, U.N. Doc. CEDAW/C/ ROU/CO/7-8 (2017); </w:t>
      </w:r>
      <w:r w:rsidRPr="001C2281">
        <w:rPr>
          <w:i/>
          <w:lang w:val="es-US"/>
        </w:rPr>
        <w:t>Costa Rica</w:t>
      </w:r>
      <w:r w:rsidRPr="004941ED">
        <w:rPr>
          <w:lang w:val="es-US"/>
        </w:rPr>
        <w:t xml:space="preserve">, paras. </w:t>
      </w:r>
      <w:r w:rsidRPr="001C2281">
        <w:rPr>
          <w:lang w:val="es-US"/>
        </w:rPr>
        <w:t xml:space="preserve">40, 41, U.N. Doc. </w:t>
      </w:r>
      <w:r w:rsidRPr="00246A9C">
        <w:t xml:space="preserve">CEDAW/C/CRI/CO/7 (2017); </w:t>
      </w:r>
      <w:r w:rsidRPr="001C2281">
        <w:rPr>
          <w:i/>
        </w:rPr>
        <w:t>Switzerland</w:t>
      </w:r>
      <w:r w:rsidRPr="00246A9C">
        <w:t>, paras. 49, 50, U.N. Doc. CEDAW/C/BRB/CO/5-8 (2017)</w:t>
      </w:r>
      <w:r w:rsidR="00ED52E5">
        <w:t>.</w:t>
      </w:r>
    </w:p>
  </w:endnote>
  <w:endnote w:id="108">
    <w:p w14:paraId="40C0C300" w14:textId="0C1CADAB" w:rsidR="00944958" w:rsidRPr="00246A9C" w:rsidRDefault="00944958" w:rsidP="00246A9C">
      <w:pPr>
        <w:pStyle w:val="EndnoteText"/>
        <w:spacing w:after="0"/>
      </w:pPr>
      <w:r w:rsidRPr="00246A9C">
        <w:rPr>
          <w:rStyle w:val="EndnoteReference"/>
        </w:rPr>
        <w:endnoteRef/>
      </w:r>
      <w:r w:rsidRPr="00246A9C">
        <w:t xml:space="preserve"> Alyne da Silva Pimentel Teixeira v Brazil, CEDAW Committee, Commc’n No. 17/2008, paras. 7.3- 7.7, U.N. Doc. CEDAW/C/49/D/17/2008 (2011).</w:t>
      </w:r>
    </w:p>
  </w:endnote>
  <w:endnote w:id="109">
    <w:p w14:paraId="1305E0A4" w14:textId="722CAF2B" w:rsidR="00944958" w:rsidRPr="00246A9C" w:rsidRDefault="00944958" w:rsidP="00246A9C">
      <w:pPr>
        <w:pStyle w:val="EndnoteText"/>
        <w:spacing w:after="0"/>
      </w:pPr>
      <w:r w:rsidRPr="00246A9C">
        <w:rPr>
          <w:rStyle w:val="EndnoteReference"/>
        </w:rPr>
        <w:endnoteRef/>
      </w:r>
      <w:r w:rsidRPr="00246A9C">
        <w:t xml:space="preserve"> </w:t>
      </w:r>
      <w:r w:rsidRPr="001C2281">
        <w:rPr>
          <w:i/>
        </w:rPr>
        <w:t>See, e.g.</w:t>
      </w:r>
      <w:r w:rsidRPr="00246A9C">
        <w:t xml:space="preserve">, CEDAW Committee, </w:t>
      </w:r>
      <w:r w:rsidRPr="001C2281">
        <w:rPr>
          <w:i/>
        </w:rPr>
        <w:t>Concluding Observations: Sierra Leone</w:t>
      </w:r>
      <w:r w:rsidRPr="00246A9C">
        <w:t xml:space="preserve">, para. 32, U.N. Doc. CEDAW/C/SLE/CO/6 (2014); ESCR Committee, </w:t>
      </w:r>
      <w:r w:rsidRPr="001C2281">
        <w:rPr>
          <w:i/>
        </w:rPr>
        <w:t>Concluding Observations: Djibouti</w:t>
      </w:r>
      <w:r w:rsidRPr="00246A9C">
        <w:t>, para. 32, U.N. Doc. E/C.12/DJI/CO/1-2 (2014)</w:t>
      </w:r>
      <w:r w:rsidR="00ED52E5">
        <w:t>.</w:t>
      </w:r>
    </w:p>
  </w:endnote>
  <w:endnote w:id="110">
    <w:p w14:paraId="50388C71" w14:textId="161212F7" w:rsidR="00944958" w:rsidRPr="00246A9C" w:rsidRDefault="00944958" w:rsidP="00246A9C">
      <w:pPr>
        <w:pStyle w:val="EndnoteText"/>
        <w:spacing w:after="0"/>
      </w:pPr>
      <w:r w:rsidRPr="00246A9C">
        <w:rPr>
          <w:rStyle w:val="EndnoteReference"/>
        </w:rPr>
        <w:endnoteRef/>
      </w:r>
      <w:r w:rsidRPr="00246A9C">
        <w:t xml:space="preserve"> CEDAW Committee, </w:t>
      </w:r>
      <w:r w:rsidRPr="001C2281">
        <w:rPr>
          <w:i/>
        </w:rPr>
        <w:t>Concluding Observations: Estonia</w:t>
      </w:r>
      <w:r w:rsidRPr="00246A9C">
        <w:t xml:space="preserve">, paras. </w:t>
      </w:r>
      <w:r w:rsidRPr="001C2281">
        <w:t xml:space="preserve">30-31, U.N. Doc. </w:t>
      </w:r>
      <w:r w:rsidRPr="00246A9C">
        <w:t>CEDAW/C/EST/ CO/5-6 (2016).</w:t>
      </w:r>
    </w:p>
  </w:endnote>
  <w:endnote w:id="111">
    <w:p w14:paraId="3DD3F0F6" w14:textId="3748F457" w:rsidR="00944958" w:rsidRPr="00246A9C" w:rsidRDefault="00944958" w:rsidP="00246A9C">
      <w:pPr>
        <w:pStyle w:val="EndnoteText"/>
        <w:spacing w:after="0"/>
      </w:pPr>
      <w:r w:rsidRPr="00246A9C">
        <w:rPr>
          <w:rStyle w:val="EndnoteReference"/>
        </w:rPr>
        <w:endnoteRef/>
      </w:r>
      <w:r w:rsidRPr="00246A9C">
        <w:t xml:space="preserve"> </w:t>
      </w:r>
      <w:r w:rsidRPr="001C2281">
        <w:rPr>
          <w:i/>
        </w:rPr>
        <w:t>See, e.g.</w:t>
      </w:r>
      <w:r w:rsidRPr="00246A9C">
        <w:t xml:space="preserve">, CEDAW Committee, </w:t>
      </w:r>
      <w:r w:rsidRPr="001C2281">
        <w:rPr>
          <w:i/>
        </w:rPr>
        <w:t>Concluding Observations: Cameroon</w:t>
      </w:r>
      <w:r w:rsidRPr="00246A9C">
        <w:t>, para. 33, U.N. Doc. CEDAW/C/CMR/CO/4-5 (2014)</w:t>
      </w:r>
      <w:r w:rsidR="00ED52E5">
        <w:t>.</w:t>
      </w:r>
    </w:p>
  </w:endnote>
  <w:endnote w:id="112">
    <w:p w14:paraId="7C872EDB" w14:textId="4B53865D" w:rsidR="00944958" w:rsidRPr="00246A9C" w:rsidRDefault="00944958" w:rsidP="00246A9C">
      <w:pPr>
        <w:pStyle w:val="EndnoteText"/>
        <w:spacing w:after="0"/>
      </w:pPr>
      <w:r w:rsidRPr="00246A9C">
        <w:rPr>
          <w:rStyle w:val="EndnoteReference"/>
        </w:rPr>
        <w:endnoteRef/>
      </w:r>
      <w:r w:rsidRPr="00246A9C">
        <w:t xml:space="preserve"> Emma O’Connor &amp; Nidhi Prakash, </w:t>
      </w:r>
      <w:r w:rsidRPr="00246A9C">
        <w:rPr>
          <w:bCs/>
          <w:i/>
          <w:color w:val="222222"/>
        </w:rPr>
        <w:t>Pregnant Women Say They Miscarried In Immigration Detention And Didn't Get The Care They Needed</w:t>
      </w:r>
      <w:r w:rsidRPr="00246A9C">
        <w:rPr>
          <w:bCs/>
          <w:color w:val="222222"/>
        </w:rPr>
        <w:t xml:space="preserve">, BuzzFeed News (Jul. 9, 2018), </w:t>
      </w:r>
      <w:hyperlink r:id="rId11" w:anchor=".fi7GqAanJ" w:history="1">
        <w:r w:rsidRPr="00246A9C">
          <w:rPr>
            <w:rStyle w:val="Hyperlink"/>
          </w:rPr>
          <w:t>https://www.buzzfeed.com/emaoconnor/pregnant-migrant-women-miscarriage-cpb-ice-detention-trump?utm_term=.hoJNbWrPj#.fi7GqAanJ</w:t>
        </w:r>
      </w:hyperlink>
      <w:r w:rsidRPr="00246A9C">
        <w:rPr>
          <w:rStyle w:val="Hyperlink"/>
        </w:rPr>
        <w:t>.</w:t>
      </w:r>
    </w:p>
  </w:endnote>
  <w:endnote w:id="113">
    <w:p w14:paraId="623644A1" w14:textId="77777777" w:rsidR="00944958" w:rsidRPr="00246A9C" w:rsidRDefault="00944958" w:rsidP="00246A9C">
      <w:pPr>
        <w:pStyle w:val="EndnoteText"/>
        <w:spacing w:after="0"/>
      </w:pPr>
      <w:r w:rsidRPr="00246A9C">
        <w:rPr>
          <w:rStyle w:val="EndnoteReference"/>
        </w:rPr>
        <w:endnoteRef/>
      </w:r>
      <w:r w:rsidRPr="00246A9C">
        <w:t xml:space="preserve"> In the United States, women and girls face deplorable treatment both when they are imprisoned for criminal offenses and also when they are immigrants who have been detained following an immigration violation. Detained immigrant woman and girls often have not committed any crime and may be in the United States seeking asylum.  </w:t>
      </w:r>
    </w:p>
  </w:endnote>
  <w:endnote w:id="114">
    <w:p w14:paraId="56F3C03D" w14:textId="77777777" w:rsidR="00944958" w:rsidRPr="001C2281" w:rsidRDefault="00944958" w:rsidP="00246A9C">
      <w:pPr>
        <w:autoSpaceDE w:val="0"/>
        <w:autoSpaceDN w:val="0"/>
        <w:adjustRightInd w:val="0"/>
        <w:rPr>
          <w:rFonts w:eastAsiaTheme="minorHAnsi"/>
          <w:sz w:val="20"/>
          <w:szCs w:val="20"/>
        </w:rPr>
      </w:pPr>
      <w:r w:rsidRPr="00246A9C">
        <w:rPr>
          <w:rStyle w:val="EndnoteReference"/>
          <w:sz w:val="20"/>
          <w:szCs w:val="20"/>
        </w:rPr>
        <w:endnoteRef/>
      </w:r>
      <w:r w:rsidRPr="00246A9C">
        <w:rPr>
          <w:sz w:val="20"/>
          <w:szCs w:val="20"/>
        </w:rPr>
        <w:t xml:space="preserve"> </w:t>
      </w:r>
      <w:r w:rsidRPr="00246A9C">
        <w:rPr>
          <w:i/>
          <w:sz w:val="20"/>
          <w:szCs w:val="20"/>
        </w:rPr>
        <w:t>See, e.g</w:t>
      </w:r>
      <w:r w:rsidRPr="00246A9C">
        <w:rPr>
          <w:sz w:val="20"/>
          <w:szCs w:val="20"/>
        </w:rPr>
        <w:t xml:space="preserve">., </w:t>
      </w:r>
      <w:r w:rsidRPr="00246A9C">
        <w:rPr>
          <w:rFonts w:eastAsiaTheme="minorHAnsi"/>
          <w:color w:val="000000"/>
          <w:sz w:val="20"/>
          <w:szCs w:val="20"/>
        </w:rPr>
        <w:t xml:space="preserve">Letter from ACLU </w:t>
      </w:r>
      <w:r w:rsidRPr="001C2281">
        <w:rPr>
          <w:rFonts w:eastAsiaTheme="minorHAnsi"/>
          <w:i/>
          <w:color w:val="000000"/>
          <w:sz w:val="20"/>
          <w:szCs w:val="20"/>
        </w:rPr>
        <w:t xml:space="preserve">et al. </w:t>
      </w:r>
      <w:r w:rsidRPr="00246A9C">
        <w:rPr>
          <w:rFonts w:eastAsiaTheme="minorHAnsi"/>
          <w:color w:val="000000"/>
          <w:sz w:val="20"/>
          <w:szCs w:val="20"/>
        </w:rPr>
        <w:t xml:space="preserve">to Cameron Quinn, Officer for Civil Rights and Civil Liberties, Dep’t of Homeland Sec., and John Roth, Inspector General, Dep’t of Homeland Sec. (Nov. 13, 2017), </w:t>
      </w:r>
      <w:r w:rsidRPr="001C2281">
        <w:rPr>
          <w:rFonts w:eastAsiaTheme="minorHAnsi"/>
          <w:sz w:val="20"/>
          <w:szCs w:val="20"/>
        </w:rPr>
        <w:t>https://www.aclu.org/sites/default/files/field_document/revisedcomplaintcrcl_oigpr</w:t>
      </w:r>
    </w:p>
    <w:p w14:paraId="6022B648" w14:textId="77777777" w:rsidR="00944958" w:rsidRPr="00246A9C" w:rsidRDefault="00944958" w:rsidP="00246A9C">
      <w:pPr>
        <w:pStyle w:val="EndnoteText"/>
        <w:spacing w:after="0"/>
      </w:pPr>
      <w:r w:rsidRPr="001C2281">
        <w:rPr>
          <w:rFonts w:eastAsiaTheme="minorHAnsi"/>
        </w:rPr>
        <w:t>egnantwomenicecustody11.13.17.pdf.</w:t>
      </w:r>
    </w:p>
  </w:endnote>
  <w:endnote w:id="115">
    <w:p w14:paraId="2196ACB8" w14:textId="74F5EC24" w:rsidR="00944958" w:rsidRPr="00246A9C" w:rsidRDefault="00944958" w:rsidP="00944958">
      <w:pPr>
        <w:autoSpaceDE w:val="0"/>
        <w:autoSpaceDN w:val="0"/>
        <w:adjustRightInd w:val="0"/>
        <w:rPr>
          <w:rFonts w:eastAsiaTheme="minorHAnsi"/>
          <w:color w:val="000000"/>
          <w:sz w:val="20"/>
          <w:szCs w:val="20"/>
        </w:rPr>
      </w:pPr>
      <w:r w:rsidRPr="00246A9C">
        <w:rPr>
          <w:rStyle w:val="EndnoteReference"/>
          <w:sz w:val="20"/>
          <w:szCs w:val="20"/>
        </w:rPr>
        <w:endnoteRef/>
      </w:r>
      <w:r w:rsidRPr="00246A9C">
        <w:rPr>
          <w:sz w:val="20"/>
          <w:szCs w:val="20"/>
        </w:rPr>
        <w:t xml:space="preserve"> </w:t>
      </w:r>
      <w:r>
        <w:rPr>
          <w:rFonts w:eastAsiaTheme="minorHAnsi"/>
          <w:i/>
          <w:color w:val="000000"/>
          <w:sz w:val="20"/>
          <w:szCs w:val="20"/>
        </w:rPr>
        <w:t>Id.</w:t>
      </w:r>
    </w:p>
  </w:endnote>
  <w:endnote w:id="116">
    <w:p w14:paraId="7A3E4655" w14:textId="00D6B1B4" w:rsidR="00944958" w:rsidRPr="00246A9C" w:rsidRDefault="00944958" w:rsidP="001C2281">
      <w:pPr>
        <w:autoSpaceDE w:val="0"/>
        <w:autoSpaceDN w:val="0"/>
        <w:adjustRightInd w:val="0"/>
      </w:pPr>
      <w:r w:rsidRPr="00246A9C">
        <w:rPr>
          <w:rStyle w:val="EndnoteReference"/>
          <w:sz w:val="20"/>
          <w:szCs w:val="20"/>
        </w:rPr>
        <w:endnoteRef/>
      </w:r>
      <w:r w:rsidRPr="00246A9C">
        <w:rPr>
          <w:sz w:val="20"/>
          <w:szCs w:val="20"/>
        </w:rPr>
        <w:t xml:space="preserve"> </w:t>
      </w:r>
      <w:r w:rsidR="00620B14">
        <w:rPr>
          <w:sz w:val="20"/>
          <w:szCs w:val="20"/>
        </w:rPr>
        <w:t xml:space="preserve">Human Rights </w:t>
      </w:r>
      <w:r w:rsidR="00620B14" w:rsidRPr="00ED52E5">
        <w:rPr>
          <w:sz w:val="20"/>
          <w:szCs w:val="20"/>
        </w:rPr>
        <w:t xml:space="preserve">Council, </w:t>
      </w:r>
      <w:r w:rsidRPr="00ED52E5">
        <w:rPr>
          <w:rFonts w:eastAsiaTheme="minorHAnsi"/>
          <w:i/>
          <w:sz w:val="20"/>
          <w:szCs w:val="20"/>
        </w:rPr>
        <w:t xml:space="preserve">Rep. of the Working Group on the Issue of Discrimination Against Women in </w:t>
      </w:r>
      <w:r w:rsidRPr="008C20A0">
        <w:rPr>
          <w:rFonts w:eastAsiaTheme="minorHAnsi"/>
          <w:i/>
          <w:sz w:val="20"/>
          <w:szCs w:val="20"/>
        </w:rPr>
        <w:t>Law and in Practice on Its Mission to the United States of America,</w:t>
      </w:r>
      <w:r w:rsidRPr="008C20A0">
        <w:rPr>
          <w:rFonts w:eastAsiaTheme="minorHAnsi"/>
          <w:sz w:val="20"/>
          <w:szCs w:val="20"/>
        </w:rPr>
        <w:t xml:space="preserve"> para. 68, U.N</w:t>
      </w:r>
      <w:r w:rsidR="00620B14" w:rsidRPr="001C2281">
        <w:rPr>
          <w:rFonts w:eastAsiaTheme="minorHAnsi"/>
          <w:sz w:val="20"/>
          <w:szCs w:val="20"/>
        </w:rPr>
        <w:t xml:space="preserve">. </w:t>
      </w:r>
      <w:r w:rsidRPr="00ED52E5">
        <w:rPr>
          <w:rFonts w:eastAsiaTheme="minorHAnsi"/>
          <w:sz w:val="20"/>
          <w:szCs w:val="20"/>
        </w:rPr>
        <w:t>Doc. A/HRC/32/44/Add.2 (2016).</w:t>
      </w:r>
    </w:p>
  </w:endnote>
  <w:endnote w:id="117">
    <w:p w14:paraId="421D3054" w14:textId="229C2516"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r w:rsidR="00620B14">
        <w:t>,</w:t>
      </w:r>
      <w:r w:rsidRPr="00246A9C">
        <w:t xml:space="preserve"> at para. 80.</w:t>
      </w:r>
    </w:p>
  </w:endnote>
  <w:endnote w:id="118">
    <w:p w14:paraId="74D3CD52" w14:textId="09744830" w:rsidR="00944958" w:rsidRPr="00246A9C" w:rsidRDefault="00944958" w:rsidP="00246A9C">
      <w:pPr>
        <w:pStyle w:val="EndnoteText"/>
        <w:tabs>
          <w:tab w:val="left" w:pos="1124"/>
        </w:tabs>
        <w:spacing w:after="0"/>
      </w:pPr>
      <w:r w:rsidRPr="00246A9C">
        <w:rPr>
          <w:rStyle w:val="EndnoteReference"/>
        </w:rPr>
        <w:endnoteRef/>
      </w:r>
      <w:r w:rsidRPr="00246A9C">
        <w:t xml:space="preserve"> </w:t>
      </w:r>
      <w:r w:rsidRPr="00246A9C">
        <w:rPr>
          <w:i/>
        </w:rPr>
        <w:t>Id</w:t>
      </w:r>
      <w:r w:rsidRPr="00246A9C">
        <w:t>.</w:t>
      </w:r>
      <w:r w:rsidR="00620B14">
        <w:t>,</w:t>
      </w:r>
      <w:r w:rsidRPr="00246A9C">
        <w:t xml:space="preserve"> at para. 90(g).</w:t>
      </w:r>
      <w:r w:rsidRPr="00246A9C">
        <w:tab/>
      </w:r>
    </w:p>
  </w:endnote>
  <w:endnote w:id="119">
    <w:p w14:paraId="7C78B593" w14:textId="77777777" w:rsidR="00944958" w:rsidRPr="00246A9C" w:rsidRDefault="00944958" w:rsidP="00246A9C">
      <w:pPr>
        <w:pStyle w:val="EndnoteText"/>
        <w:spacing w:after="0"/>
      </w:pPr>
      <w:r w:rsidRPr="00246A9C">
        <w:rPr>
          <w:rStyle w:val="EndnoteReference"/>
        </w:rPr>
        <w:endnoteRef/>
      </w:r>
      <w:r w:rsidRPr="00246A9C">
        <w:t xml:space="preserve"> Alex M. Azar II. v. Rochelle Garza, On Appeal from the United States District Court for the District of Columbia No. 17-cv-02122-TSC (2018). </w:t>
      </w:r>
    </w:p>
  </w:endnote>
  <w:endnote w:id="120">
    <w:p w14:paraId="3DDAD318" w14:textId="77777777"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sidRPr="00246A9C">
        <w:t>.</w:t>
      </w:r>
    </w:p>
  </w:endnote>
  <w:endnote w:id="121">
    <w:p w14:paraId="6DE04622" w14:textId="476C0A33" w:rsidR="00944958" w:rsidRPr="00246A9C" w:rsidRDefault="00944958" w:rsidP="00246A9C">
      <w:pPr>
        <w:pStyle w:val="EndnoteText"/>
        <w:spacing w:after="0"/>
      </w:pPr>
      <w:r w:rsidRPr="00246A9C">
        <w:rPr>
          <w:rStyle w:val="EndnoteReference"/>
        </w:rPr>
        <w:endnoteRef/>
      </w:r>
      <w:r w:rsidRPr="00246A9C">
        <w:t xml:space="preserve"> Victoria Law, </w:t>
      </w:r>
      <w:r w:rsidRPr="00246A9C">
        <w:rPr>
          <w:i/>
        </w:rPr>
        <w:t>U.S. Prisons and Jails are Threatening Lives of Pregnant Women and Babies</w:t>
      </w:r>
      <w:r w:rsidRPr="00246A9C">
        <w:t xml:space="preserve">, </w:t>
      </w:r>
    </w:p>
    <w:p w14:paraId="4FEF84E8" w14:textId="16D02F22" w:rsidR="00944958" w:rsidRPr="00246A9C" w:rsidRDefault="00944958" w:rsidP="00246A9C">
      <w:pPr>
        <w:pStyle w:val="EndnoteText"/>
        <w:spacing w:after="0"/>
      </w:pPr>
      <w:r w:rsidRPr="00246A9C">
        <w:t>IN THESE TIMES</w:t>
      </w:r>
      <w:r>
        <w:t xml:space="preserve"> </w:t>
      </w:r>
      <w:r w:rsidRPr="00246A9C">
        <w:t>(Sept. 28, 2015), http://inthesetimes.com/article/18410/u.s.-prisons-are-threatening-the-lives-of-pregnant-mothers-and-newborns.</w:t>
      </w:r>
    </w:p>
  </w:endnote>
  <w:endnote w:id="122">
    <w:p w14:paraId="691D703B" w14:textId="4BACD9CF" w:rsidR="00944958" w:rsidRPr="00246A9C" w:rsidRDefault="00944958" w:rsidP="00246A9C">
      <w:pPr>
        <w:pStyle w:val="EndnoteText"/>
        <w:spacing w:after="0"/>
        <w:rPr>
          <w:i/>
        </w:rPr>
      </w:pPr>
      <w:r w:rsidRPr="00246A9C">
        <w:rPr>
          <w:rStyle w:val="EndnoteReference"/>
        </w:rPr>
        <w:endnoteRef/>
      </w:r>
      <w:r w:rsidRPr="00246A9C">
        <w:t xml:space="preserve">Emma O’Connor &amp; Nidhi Prakash, </w:t>
      </w:r>
      <w:r w:rsidRPr="00246A9C">
        <w:rPr>
          <w:bCs/>
          <w:i/>
          <w:color w:val="222222"/>
        </w:rPr>
        <w:t>Pregnant Women Say They Miscarried In Immigration Detention And Didn't Get The Care They Needed</w:t>
      </w:r>
      <w:r w:rsidRPr="00246A9C">
        <w:rPr>
          <w:bCs/>
          <w:color w:val="222222"/>
        </w:rPr>
        <w:t xml:space="preserve">, BuzzFeed News (Jul. 9, 2018), </w:t>
      </w:r>
      <w:hyperlink r:id="rId12" w:anchor=".fi7GqAanJ" w:history="1">
        <w:r w:rsidRPr="00246A9C">
          <w:rPr>
            <w:rStyle w:val="Hyperlink"/>
          </w:rPr>
          <w:t>https://www.buzzfeed.com/emaoconnor/pregnant-migrant-women-miscarriage-cpb-ice-detention-trump?utm_term=.hoJNbWrPj#.fi7GqAanJ</w:t>
        </w:r>
      </w:hyperlink>
      <w:r w:rsidRPr="00246A9C">
        <w:rPr>
          <w:bCs/>
          <w:color w:val="222222"/>
        </w:rPr>
        <w:t xml:space="preserve">. </w:t>
      </w:r>
    </w:p>
  </w:endnote>
  <w:endnote w:id="123">
    <w:p w14:paraId="29677E32" w14:textId="77777777" w:rsidR="00944958" w:rsidRPr="00246A9C" w:rsidRDefault="00944958" w:rsidP="00246A9C">
      <w:pPr>
        <w:pStyle w:val="EndnoteText"/>
        <w:spacing w:after="0"/>
        <w:rPr>
          <w:i/>
        </w:rPr>
      </w:pPr>
      <w:r w:rsidRPr="00246A9C">
        <w:rPr>
          <w:rStyle w:val="EndnoteReference"/>
        </w:rPr>
        <w:endnoteRef/>
      </w:r>
      <w:r w:rsidRPr="00246A9C">
        <w:t xml:space="preserve"> </w:t>
      </w:r>
      <w:r w:rsidRPr="00246A9C">
        <w:rPr>
          <w:i/>
        </w:rPr>
        <w:t xml:space="preserve">Id. </w:t>
      </w:r>
    </w:p>
  </w:endnote>
  <w:endnote w:id="124">
    <w:p w14:paraId="02611A30" w14:textId="412CA55A" w:rsidR="00944958" w:rsidRPr="00246A9C" w:rsidRDefault="00944958" w:rsidP="00246A9C">
      <w:pPr>
        <w:pStyle w:val="EndnoteText"/>
        <w:spacing w:after="0"/>
      </w:pPr>
      <w:r w:rsidRPr="00246A9C">
        <w:rPr>
          <w:rStyle w:val="EndnoteReference"/>
        </w:rPr>
        <w:endnoteRef/>
      </w:r>
      <w:r w:rsidRPr="00246A9C">
        <w:t xml:space="preserve"> </w:t>
      </w:r>
      <w:r w:rsidRPr="00246A9C">
        <w:rPr>
          <w:i/>
        </w:rPr>
        <w:t>Id</w:t>
      </w:r>
      <w:r>
        <w:rPr>
          <w:i/>
        </w:rPr>
        <w:t>.</w:t>
      </w:r>
      <w:r w:rsidRPr="00246A9C">
        <w:rPr>
          <w:i/>
        </w:rPr>
        <w:t xml:space="preserve"> </w:t>
      </w:r>
    </w:p>
  </w:endnote>
  <w:endnote w:id="125">
    <w:p w14:paraId="32CA8A2E" w14:textId="77777777" w:rsidR="00944958" w:rsidRPr="00246A9C"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Pr="00246A9C">
        <w:rPr>
          <w:i/>
          <w:iCs/>
          <w:sz w:val="20"/>
          <w:szCs w:val="20"/>
        </w:rPr>
        <w:t xml:space="preserve">See </w:t>
      </w:r>
      <w:r w:rsidRPr="00246A9C">
        <w:rPr>
          <w:sz w:val="20"/>
          <w:szCs w:val="20"/>
        </w:rPr>
        <w:t xml:space="preserve">Angela Brown </w:t>
      </w:r>
      <w:r w:rsidRPr="001C2281">
        <w:rPr>
          <w:i/>
          <w:sz w:val="20"/>
          <w:szCs w:val="20"/>
        </w:rPr>
        <w:t>et al.</w:t>
      </w:r>
      <w:r w:rsidRPr="00246A9C">
        <w:rPr>
          <w:sz w:val="20"/>
          <w:szCs w:val="20"/>
        </w:rPr>
        <w:t xml:space="preserve">, </w:t>
      </w:r>
      <w:r w:rsidRPr="00246A9C">
        <w:rPr>
          <w:i/>
          <w:iCs/>
          <w:sz w:val="20"/>
          <w:szCs w:val="20"/>
        </w:rPr>
        <w:t>Prevalence and Severity of Lifetime Physical and Sexual Victimization among Incarcerated Women</w:t>
      </w:r>
      <w:r w:rsidRPr="00246A9C">
        <w:rPr>
          <w:sz w:val="20"/>
          <w:szCs w:val="20"/>
        </w:rPr>
        <w:t>, 22 Int’l J. of Law &amp; Psychiatry (1999).</w:t>
      </w:r>
    </w:p>
  </w:endnote>
  <w:endnote w:id="126">
    <w:p w14:paraId="1F23CEA5" w14:textId="1A663828" w:rsidR="00944958" w:rsidRPr="008C20A0"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Pr="001C2281">
        <w:rPr>
          <w:smallCaps/>
          <w:sz w:val="20"/>
          <w:szCs w:val="20"/>
        </w:rPr>
        <w:t>World Health Organization &amp; United Nations Office on Drugs and Crime, Women’s Health in Prison: Correcting Gender Inequity in Prison Health</w:t>
      </w:r>
      <w:r w:rsidRPr="00246A9C">
        <w:rPr>
          <w:sz w:val="20"/>
          <w:szCs w:val="20"/>
        </w:rPr>
        <w:t xml:space="preserve"> (2009</w:t>
      </w:r>
      <w:r w:rsidRPr="008C20A0">
        <w:rPr>
          <w:sz w:val="20"/>
          <w:szCs w:val="20"/>
        </w:rPr>
        <w:t xml:space="preserve">); </w:t>
      </w:r>
      <w:r w:rsidRPr="001C2281">
        <w:rPr>
          <w:smallCaps/>
          <w:sz w:val="20"/>
          <w:szCs w:val="20"/>
        </w:rPr>
        <w:t>Inst</w:t>
      </w:r>
      <w:r w:rsidR="00620B14" w:rsidRPr="001C2281">
        <w:rPr>
          <w:smallCaps/>
          <w:sz w:val="20"/>
          <w:szCs w:val="20"/>
        </w:rPr>
        <w:t>itute</w:t>
      </w:r>
      <w:r w:rsidRPr="001C2281">
        <w:rPr>
          <w:smallCaps/>
          <w:sz w:val="20"/>
          <w:szCs w:val="20"/>
        </w:rPr>
        <w:t xml:space="preserve"> on Women &amp; Criminal Justice, </w:t>
      </w:r>
      <w:r w:rsidRPr="001C2281">
        <w:rPr>
          <w:iCs/>
          <w:smallCaps/>
          <w:sz w:val="20"/>
          <w:szCs w:val="20"/>
        </w:rPr>
        <w:t>Mothers, Infants and Imprisonment</w:t>
      </w:r>
      <w:r w:rsidR="00620B14" w:rsidRPr="001C2281">
        <w:rPr>
          <w:iCs/>
          <w:smallCaps/>
          <w:sz w:val="20"/>
          <w:szCs w:val="20"/>
        </w:rPr>
        <w:t xml:space="preserve"> 15</w:t>
      </w:r>
      <w:r w:rsidRPr="008C20A0">
        <w:rPr>
          <w:i/>
          <w:iCs/>
          <w:sz w:val="20"/>
          <w:szCs w:val="20"/>
        </w:rPr>
        <w:t xml:space="preserve"> </w:t>
      </w:r>
      <w:r w:rsidRPr="008C20A0">
        <w:rPr>
          <w:sz w:val="20"/>
          <w:szCs w:val="20"/>
        </w:rPr>
        <w:t>(2009).</w:t>
      </w:r>
    </w:p>
  </w:endnote>
  <w:endnote w:id="127">
    <w:p w14:paraId="1C3E18B7" w14:textId="355E6C8A" w:rsidR="00944958" w:rsidRPr="00620B14" w:rsidRDefault="00944958" w:rsidP="001C2281">
      <w:pPr>
        <w:autoSpaceDE w:val="0"/>
        <w:autoSpaceDN w:val="0"/>
        <w:adjustRightInd w:val="0"/>
      </w:pPr>
      <w:r w:rsidRPr="008C20A0">
        <w:rPr>
          <w:rStyle w:val="EndnoteReference"/>
          <w:sz w:val="20"/>
          <w:szCs w:val="20"/>
        </w:rPr>
        <w:endnoteRef/>
      </w:r>
      <w:r w:rsidRPr="008C20A0">
        <w:rPr>
          <w:sz w:val="20"/>
          <w:szCs w:val="20"/>
        </w:rPr>
        <w:t xml:space="preserve"> </w:t>
      </w:r>
      <w:r w:rsidRPr="001C2281">
        <w:rPr>
          <w:smallCaps/>
          <w:sz w:val="20"/>
          <w:szCs w:val="20"/>
        </w:rPr>
        <w:t>Nat’l Women’s Law Ctr. &amp; Rebecca Project for Human Rights, Mothers Behind Bars</w:t>
      </w:r>
      <w:r w:rsidRPr="00246A9C">
        <w:rPr>
          <w:sz w:val="20"/>
          <w:szCs w:val="20"/>
        </w:rPr>
        <w:t xml:space="preserve"> 16 (2010), </w:t>
      </w:r>
      <w:r w:rsidRPr="00246A9C">
        <w:rPr>
          <w:i/>
          <w:iCs/>
          <w:sz w:val="20"/>
          <w:szCs w:val="20"/>
        </w:rPr>
        <w:t xml:space="preserve">available at </w:t>
      </w:r>
      <w:r w:rsidRPr="001C2281">
        <w:rPr>
          <w:iCs/>
          <w:sz w:val="20"/>
          <w:szCs w:val="20"/>
        </w:rPr>
        <w:t>h</w:t>
      </w:r>
      <w:r w:rsidRPr="00246A9C">
        <w:rPr>
          <w:sz w:val="20"/>
          <w:szCs w:val="20"/>
        </w:rPr>
        <w:t>ttp://www.nwlc.org/sites/default/files/pdfs/mothersbehindbars2010.pdf (finding that 38 states received failing grades (D/F) for their failure to institute adequate policies, or any policies at all, requiring that pregnant women</w:t>
      </w:r>
      <w:r>
        <w:t xml:space="preserve"> </w:t>
      </w:r>
      <w:r w:rsidRPr="001C2281">
        <w:rPr>
          <w:sz w:val="20"/>
          <w:szCs w:val="20"/>
        </w:rPr>
        <w:t>receive adequate prenatal care).</w:t>
      </w:r>
    </w:p>
  </w:endnote>
  <w:endnote w:id="128">
    <w:p w14:paraId="1546E5E5" w14:textId="279016A9" w:rsidR="00944958" w:rsidRPr="00246A9C" w:rsidRDefault="00944958" w:rsidP="00246A9C">
      <w:pPr>
        <w:pStyle w:val="EndnoteText"/>
        <w:spacing w:after="0"/>
      </w:pPr>
      <w:r w:rsidRPr="00246A9C">
        <w:rPr>
          <w:rStyle w:val="EndnoteReference"/>
        </w:rPr>
        <w:endnoteRef/>
      </w:r>
      <w:r w:rsidRPr="00246A9C">
        <w:t xml:space="preserve"> </w:t>
      </w:r>
      <w:r w:rsidRPr="00246A9C">
        <w:rPr>
          <w:smallCaps/>
        </w:rPr>
        <w:t xml:space="preserve">Center for Reproductive Rights, Moving in a New Direction for Promoting Reproductive Health, Rights, and Justice, </w:t>
      </w:r>
      <w:r w:rsidRPr="00246A9C">
        <w:t>44 (2017)</w:t>
      </w:r>
      <w:r>
        <w:t xml:space="preserve">, </w:t>
      </w:r>
      <w:r>
        <w:rPr>
          <w:i/>
        </w:rPr>
        <w:t xml:space="preserve">available at </w:t>
      </w:r>
      <w:r w:rsidRPr="00944958">
        <w:rPr>
          <w:i/>
        </w:rPr>
        <w:t>ht</w:t>
      </w:r>
      <w:r w:rsidRPr="001C2281">
        <w:t>tps://www.reproductiverights.org/sites/crr.civicactions.net/files/documents/US-PAPS-Compendium-final-SM.pdf</w:t>
      </w:r>
      <w:r w:rsidRPr="00944958">
        <w:t>.</w:t>
      </w:r>
      <w:r w:rsidRPr="00246A9C">
        <w:t xml:space="preserve"> </w:t>
      </w:r>
    </w:p>
  </w:endnote>
  <w:endnote w:id="129">
    <w:p w14:paraId="5BEE4B9F" w14:textId="20C79EF3" w:rsidR="00944958" w:rsidRPr="00246A9C"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Pr="001C2281">
        <w:rPr>
          <w:smallCaps/>
          <w:sz w:val="20"/>
          <w:szCs w:val="20"/>
        </w:rPr>
        <w:t>Amnesty Int’l</w:t>
      </w:r>
      <w:r w:rsidRPr="00246A9C">
        <w:rPr>
          <w:sz w:val="20"/>
          <w:szCs w:val="20"/>
        </w:rPr>
        <w:t xml:space="preserve">, </w:t>
      </w:r>
      <w:r w:rsidRPr="001C2281">
        <w:rPr>
          <w:i/>
          <w:sz w:val="20"/>
          <w:szCs w:val="20"/>
        </w:rPr>
        <w:t>Not Part of My Sentence: Violations of the Human Rights of Women in Custody</w:t>
      </w:r>
      <w:r w:rsidRPr="00246A9C">
        <w:rPr>
          <w:sz w:val="20"/>
          <w:szCs w:val="20"/>
        </w:rPr>
        <w:t xml:space="preserve"> (Mar. 1999), </w:t>
      </w:r>
      <w:r w:rsidRPr="00246A9C">
        <w:rPr>
          <w:i/>
          <w:iCs/>
          <w:sz w:val="20"/>
          <w:szCs w:val="20"/>
        </w:rPr>
        <w:t xml:space="preserve">available at  </w:t>
      </w:r>
      <w:r w:rsidRPr="00944958">
        <w:rPr>
          <w:iCs/>
          <w:sz w:val="20"/>
          <w:szCs w:val="20"/>
        </w:rPr>
        <w:t>https://www.amnesty.org/download/Documents/144000/amr510011999en.pdf</w:t>
      </w:r>
      <w:r w:rsidRPr="00246A9C">
        <w:rPr>
          <w:sz w:val="20"/>
          <w:szCs w:val="20"/>
        </w:rPr>
        <w:t xml:space="preserve">; Jenni Vainik, </w:t>
      </w:r>
      <w:r w:rsidRPr="00246A9C">
        <w:rPr>
          <w:i/>
          <w:iCs/>
          <w:sz w:val="20"/>
          <w:szCs w:val="20"/>
        </w:rPr>
        <w:t>The Reproductive and Parental Rights of Incarcerated Mothers</w:t>
      </w:r>
      <w:r w:rsidRPr="00246A9C">
        <w:rPr>
          <w:sz w:val="20"/>
          <w:szCs w:val="20"/>
        </w:rPr>
        <w:t xml:space="preserve">, </w:t>
      </w:r>
      <w:r w:rsidRPr="001C2281">
        <w:rPr>
          <w:smallCaps/>
          <w:sz w:val="20"/>
          <w:szCs w:val="20"/>
        </w:rPr>
        <w:t>46 Fam. Ct. Rev. 670, 678</w:t>
      </w:r>
      <w:r w:rsidRPr="00246A9C">
        <w:rPr>
          <w:sz w:val="20"/>
          <w:szCs w:val="20"/>
        </w:rPr>
        <w:t xml:space="preserve"> (2008); Kendra Weatherhead, </w:t>
      </w:r>
      <w:r w:rsidRPr="00246A9C">
        <w:rPr>
          <w:i/>
          <w:iCs/>
          <w:sz w:val="20"/>
          <w:szCs w:val="20"/>
        </w:rPr>
        <w:t>Cruel But Not Unusual Punishment: The Failure to Provide Adequate Medical Treatment to Female Prisoners in the United States</w:t>
      </w:r>
      <w:r w:rsidRPr="00246A9C">
        <w:rPr>
          <w:sz w:val="20"/>
          <w:szCs w:val="20"/>
        </w:rPr>
        <w:t xml:space="preserve">, 13 </w:t>
      </w:r>
      <w:r w:rsidRPr="001C2281">
        <w:rPr>
          <w:smallCaps/>
          <w:sz w:val="20"/>
          <w:szCs w:val="20"/>
        </w:rPr>
        <w:t>Health Matrix</w:t>
      </w:r>
      <w:r w:rsidRPr="00246A9C">
        <w:rPr>
          <w:sz w:val="20"/>
          <w:szCs w:val="20"/>
        </w:rPr>
        <w:t xml:space="preserve"> 429, 450 (2003).</w:t>
      </w:r>
    </w:p>
  </w:endnote>
  <w:endnote w:id="130">
    <w:p w14:paraId="5FD7ECE6" w14:textId="77777777" w:rsidR="00944958" w:rsidRPr="00246A9C" w:rsidRDefault="00944958" w:rsidP="00246A9C">
      <w:pPr>
        <w:pStyle w:val="NormalWeb"/>
        <w:spacing w:before="0" w:beforeAutospacing="0" w:after="0" w:afterAutospacing="0"/>
        <w:rPr>
          <w:sz w:val="20"/>
          <w:szCs w:val="20"/>
        </w:rPr>
      </w:pPr>
      <w:r w:rsidRPr="00246A9C">
        <w:rPr>
          <w:rStyle w:val="EndnoteReference"/>
          <w:sz w:val="20"/>
          <w:szCs w:val="20"/>
        </w:rPr>
        <w:endnoteRef/>
      </w:r>
      <w:r w:rsidRPr="00246A9C">
        <w:rPr>
          <w:sz w:val="20"/>
          <w:szCs w:val="20"/>
        </w:rPr>
        <w:t xml:space="preserve"> Jenni Vainik, </w:t>
      </w:r>
      <w:r w:rsidRPr="00246A9C">
        <w:rPr>
          <w:i/>
          <w:sz w:val="20"/>
          <w:szCs w:val="20"/>
        </w:rPr>
        <w:t>The Reproductive and Parental Rights of Incarcerated Mothers</w:t>
      </w:r>
      <w:r w:rsidRPr="00246A9C">
        <w:rPr>
          <w:sz w:val="20"/>
          <w:szCs w:val="20"/>
        </w:rPr>
        <w:t xml:space="preserve">, 46 </w:t>
      </w:r>
      <w:r w:rsidRPr="00246A9C">
        <w:rPr>
          <w:smallCaps/>
          <w:sz w:val="20"/>
          <w:szCs w:val="20"/>
        </w:rPr>
        <w:t>Fam. Ct. Rev.</w:t>
      </w:r>
      <w:r w:rsidRPr="00246A9C">
        <w:rPr>
          <w:sz w:val="20"/>
          <w:szCs w:val="20"/>
        </w:rPr>
        <w:t xml:space="preserve"> 670, 678 (2008). </w:t>
      </w:r>
    </w:p>
  </w:endnote>
  <w:endnote w:id="131">
    <w:p w14:paraId="79A82119" w14:textId="77777777" w:rsidR="00944958" w:rsidRPr="00246A9C" w:rsidRDefault="00944958" w:rsidP="00246A9C">
      <w:pPr>
        <w:pStyle w:val="NormalWeb"/>
        <w:spacing w:before="0" w:beforeAutospacing="0" w:after="0" w:afterAutospacing="0"/>
        <w:rPr>
          <w:sz w:val="20"/>
          <w:szCs w:val="20"/>
        </w:rPr>
      </w:pPr>
      <w:r w:rsidRPr="00246A9C">
        <w:rPr>
          <w:rStyle w:val="EndnoteReference"/>
          <w:sz w:val="20"/>
          <w:szCs w:val="20"/>
        </w:rPr>
        <w:endnoteRef/>
      </w:r>
      <w:r w:rsidRPr="00246A9C">
        <w:rPr>
          <w:sz w:val="20"/>
          <w:szCs w:val="20"/>
        </w:rPr>
        <w:t xml:space="preserve"> Kendra Weatherhead, </w:t>
      </w:r>
      <w:r w:rsidRPr="00246A9C">
        <w:rPr>
          <w:i/>
          <w:sz w:val="20"/>
          <w:szCs w:val="20"/>
        </w:rPr>
        <w:t>Cruel But Not Unusual Punishment: The Failure to Provide Adequate Medical Treatment to Female Prisoners in the United States</w:t>
      </w:r>
      <w:r w:rsidRPr="00246A9C">
        <w:rPr>
          <w:sz w:val="20"/>
          <w:szCs w:val="20"/>
        </w:rPr>
        <w:t xml:space="preserve">, 13 </w:t>
      </w:r>
      <w:r w:rsidRPr="00246A9C">
        <w:rPr>
          <w:smallCaps/>
          <w:sz w:val="20"/>
          <w:szCs w:val="20"/>
        </w:rPr>
        <w:t>Health Matrix</w:t>
      </w:r>
      <w:r w:rsidRPr="00246A9C">
        <w:rPr>
          <w:sz w:val="20"/>
          <w:szCs w:val="20"/>
        </w:rPr>
        <w:t xml:space="preserve"> 429, 450 (2003). </w:t>
      </w:r>
    </w:p>
  </w:endnote>
  <w:endnote w:id="132">
    <w:p w14:paraId="420AAB5A" w14:textId="496A9557" w:rsidR="00944958" w:rsidRPr="00246A9C" w:rsidRDefault="00944958" w:rsidP="00246A9C">
      <w:pPr>
        <w:pStyle w:val="NormalWeb"/>
        <w:spacing w:before="0" w:beforeAutospacing="0" w:after="0" w:afterAutospacing="0"/>
        <w:rPr>
          <w:sz w:val="20"/>
          <w:szCs w:val="20"/>
        </w:rPr>
      </w:pPr>
      <w:r w:rsidRPr="00246A9C">
        <w:rPr>
          <w:rStyle w:val="EndnoteReference"/>
          <w:sz w:val="20"/>
          <w:szCs w:val="20"/>
        </w:rPr>
        <w:endnoteRef/>
      </w:r>
      <w:r w:rsidRPr="00246A9C">
        <w:rPr>
          <w:smallCaps/>
          <w:sz w:val="20"/>
          <w:szCs w:val="20"/>
        </w:rPr>
        <w:t>Amnesty Int’l, Not Part of My Sentence: Violations of the Human Rights of Women in Custody</w:t>
      </w:r>
      <w:r w:rsidRPr="00246A9C">
        <w:rPr>
          <w:sz w:val="20"/>
          <w:szCs w:val="20"/>
        </w:rPr>
        <w:t xml:space="preserve"> (Mar. 1999), </w:t>
      </w:r>
      <w:r w:rsidRPr="00944958">
        <w:rPr>
          <w:sz w:val="20"/>
          <w:szCs w:val="20"/>
        </w:rPr>
        <w:t>https://www.amnesty.org/download/Documents/144000/amr510011999en.pdf</w:t>
      </w:r>
      <w:r w:rsidRPr="00944958" w:rsidDel="00944958">
        <w:rPr>
          <w:sz w:val="20"/>
          <w:szCs w:val="20"/>
        </w:rPr>
        <w:t xml:space="preserve"> </w:t>
      </w:r>
      <w:r w:rsidRPr="00246A9C">
        <w:rPr>
          <w:sz w:val="20"/>
          <w:szCs w:val="20"/>
        </w:rPr>
        <w:t xml:space="preserve">. </w:t>
      </w:r>
    </w:p>
  </w:endnote>
  <w:endnote w:id="133">
    <w:p w14:paraId="2E5C6B7F" w14:textId="77777777" w:rsidR="00944958" w:rsidRPr="00246A9C" w:rsidRDefault="00944958" w:rsidP="00246A9C">
      <w:pPr>
        <w:pStyle w:val="NormalWeb"/>
        <w:spacing w:before="0" w:beforeAutospacing="0" w:after="0" w:afterAutospacing="0"/>
        <w:rPr>
          <w:sz w:val="20"/>
          <w:szCs w:val="20"/>
        </w:rPr>
      </w:pPr>
      <w:r w:rsidRPr="00246A9C">
        <w:rPr>
          <w:rStyle w:val="EndnoteReference"/>
          <w:sz w:val="20"/>
          <w:szCs w:val="20"/>
        </w:rPr>
        <w:endnoteRef/>
      </w:r>
      <w:r w:rsidRPr="00246A9C">
        <w:rPr>
          <w:sz w:val="20"/>
          <w:szCs w:val="20"/>
        </w:rPr>
        <w:t xml:space="preserve"> </w:t>
      </w:r>
      <w:r w:rsidRPr="00246A9C">
        <w:rPr>
          <w:i/>
          <w:sz w:val="20"/>
          <w:szCs w:val="20"/>
        </w:rPr>
        <w:t>Id</w:t>
      </w:r>
      <w:r w:rsidRPr="00246A9C">
        <w:rPr>
          <w:sz w:val="20"/>
          <w:szCs w:val="20"/>
        </w:rPr>
        <w:t xml:space="preserve">. </w:t>
      </w:r>
    </w:p>
  </w:endnote>
  <w:endnote w:id="134">
    <w:p w14:paraId="2A94ABC6" w14:textId="7F8F0FD8" w:rsidR="00944958" w:rsidRPr="008C20A0" w:rsidRDefault="00944958" w:rsidP="00246A9C">
      <w:pPr>
        <w:pStyle w:val="EndnoteText"/>
        <w:spacing w:after="0"/>
      </w:pPr>
      <w:r w:rsidRPr="00246A9C">
        <w:rPr>
          <w:rStyle w:val="EndnoteReference"/>
        </w:rPr>
        <w:endnoteRef/>
      </w:r>
      <w:r w:rsidRPr="00246A9C">
        <w:t xml:space="preserve"> </w:t>
      </w:r>
      <w:r w:rsidRPr="00246A9C">
        <w:rPr>
          <w:i/>
        </w:rPr>
        <w:t>See, e.g.</w:t>
      </w:r>
      <w:r w:rsidRPr="00246A9C">
        <w:t xml:space="preserve">, </w:t>
      </w:r>
      <w:r w:rsidRPr="00246A9C">
        <w:rPr>
          <w:rFonts w:eastAsia="Times New Roman"/>
        </w:rPr>
        <w:t>K.L. v. Peru</w:t>
      </w:r>
      <w:r w:rsidRPr="00246A9C">
        <w:rPr>
          <w:rFonts w:eastAsia="Times New Roman"/>
          <w:i/>
        </w:rPr>
        <w:t xml:space="preserve">, </w:t>
      </w:r>
      <w:r w:rsidRPr="00246A9C">
        <w:rPr>
          <w:rFonts w:eastAsia="Times New Roman"/>
        </w:rPr>
        <w:t>Human Rights Committee, Commc’n No. 1153/2003, U.N. Doc. CCPR/C/85/D/1153/2003 (2005); L.C. v. Peru, CEDAW Committee, Commc’n No. 22/2009, para. 8.15, U.N. Doc. CEDAW/C/50/D/22/2009 (2011)</w:t>
      </w:r>
      <w:r w:rsidRPr="00246A9C">
        <w:t xml:space="preserve">; CEDAW </w:t>
      </w:r>
      <w:r w:rsidRPr="008C20A0">
        <w:t xml:space="preserve">Committee, </w:t>
      </w:r>
      <w:r w:rsidRPr="008C20A0">
        <w:rPr>
          <w:i/>
        </w:rPr>
        <w:t>Gen</w:t>
      </w:r>
      <w:r w:rsidR="008C20A0" w:rsidRPr="001C2281">
        <w:rPr>
          <w:i/>
        </w:rPr>
        <w:t>.</w:t>
      </w:r>
      <w:r w:rsidRPr="008C20A0">
        <w:rPr>
          <w:i/>
        </w:rPr>
        <w:t xml:space="preserve"> Recommendation No. 24</w:t>
      </w:r>
      <w:r w:rsidR="00FA4B97" w:rsidRPr="001C2281">
        <w:t>,</w:t>
      </w:r>
      <w:r w:rsidRPr="008C20A0">
        <w:t xml:space="preserve"> paras. 11, 14, </w:t>
      </w:r>
      <w:r w:rsidR="008C20A0" w:rsidRPr="008C20A0">
        <w:rPr>
          <w:i/>
        </w:rPr>
        <w:t xml:space="preserve">supra </w:t>
      </w:r>
      <w:r w:rsidR="008C20A0" w:rsidRPr="008C20A0">
        <w:t>note lxiv</w:t>
      </w:r>
      <w:r w:rsidRPr="008C20A0">
        <w:t xml:space="preserve">; ESCR Committee, </w:t>
      </w:r>
      <w:r w:rsidRPr="008C20A0">
        <w:rPr>
          <w:i/>
        </w:rPr>
        <w:t>Conclu</w:t>
      </w:r>
      <w:r w:rsidRPr="00246A9C">
        <w:rPr>
          <w:i/>
        </w:rPr>
        <w:t>ding Observations: Philippines</w:t>
      </w:r>
      <w:r w:rsidRPr="00246A9C">
        <w:t xml:space="preserve">, para. </w:t>
      </w:r>
      <w:r w:rsidRPr="001C2281">
        <w:rPr>
          <w:lang w:val="es-US"/>
        </w:rPr>
        <w:t xml:space="preserve">52, U.N. Doc. E/C.12/PHL/CO/5-6 (2016); </w:t>
      </w:r>
      <w:r w:rsidRPr="001C2281">
        <w:rPr>
          <w:i/>
          <w:lang w:val="es-US"/>
        </w:rPr>
        <w:t>Honduras</w:t>
      </w:r>
      <w:r w:rsidRPr="001C2281">
        <w:rPr>
          <w:lang w:val="es-US"/>
        </w:rPr>
        <w:t xml:space="preserve">, paras. 53-54, U.N. Doc. E/C.12/HND/CO/2 (2016); </w:t>
      </w:r>
      <w:r w:rsidRPr="001C2281">
        <w:rPr>
          <w:i/>
          <w:lang w:val="es-US"/>
        </w:rPr>
        <w:t>Nepal</w:t>
      </w:r>
      <w:r w:rsidRPr="001C2281">
        <w:rPr>
          <w:lang w:val="es-US"/>
        </w:rPr>
        <w:t xml:space="preserve">, para. 26, U.N. Doc. E/C.12/NPL/CO/3 (2014); CEDAW Committee, </w:t>
      </w:r>
      <w:r w:rsidRPr="001C2281">
        <w:rPr>
          <w:i/>
          <w:lang w:val="es-US"/>
        </w:rPr>
        <w:t>Concluding Observations: El Salvador</w:t>
      </w:r>
      <w:r w:rsidRPr="001C2281">
        <w:rPr>
          <w:lang w:val="es-US"/>
        </w:rPr>
        <w:t xml:space="preserve">, paras. 35-37, U.N. Doc. </w:t>
      </w:r>
      <w:r w:rsidRPr="00246A9C">
        <w:t xml:space="preserve">CEDAW/C/SLV/CO/8-9 (2017); </w:t>
      </w:r>
      <w:r w:rsidRPr="00246A9C">
        <w:rPr>
          <w:i/>
        </w:rPr>
        <w:t>Honduras</w:t>
      </w:r>
      <w:r w:rsidRPr="00246A9C">
        <w:t xml:space="preserve">, paras. 36-27, U.N. Doc. CEDAW/C/HND/CO/7-8 (2016); </w:t>
      </w:r>
      <w:r w:rsidRPr="00246A9C">
        <w:rPr>
          <w:i/>
          <w:iCs/>
        </w:rPr>
        <w:t>Philippines</w:t>
      </w:r>
      <w:r w:rsidRPr="00246A9C">
        <w:t xml:space="preserve">, para. 40, U.N. Doc. CEDAW/C/PHL/CO/7-8 (2016); Human Rights Committee, </w:t>
      </w:r>
      <w:r w:rsidRPr="00246A9C">
        <w:rPr>
          <w:i/>
        </w:rPr>
        <w:t xml:space="preserve">Concluding Observations: El Salvador, </w:t>
      </w:r>
      <w:r w:rsidRPr="00246A9C">
        <w:t xml:space="preserve">paras. 14-15, U.N. Doc. CCPR/C/SLV/CO/7 (2018); </w:t>
      </w:r>
      <w:r w:rsidRPr="00246A9C">
        <w:rPr>
          <w:i/>
          <w:iCs/>
        </w:rPr>
        <w:t>Philippines</w:t>
      </w:r>
      <w:r w:rsidRPr="00246A9C">
        <w:t xml:space="preserve">, para. 13, U.N. Doc. CCPR/C/PHL/CO/4 (2012); CAT Committee, </w:t>
      </w:r>
      <w:r w:rsidRPr="00246A9C">
        <w:rPr>
          <w:i/>
          <w:iCs/>
        </w:rPr>
        <w:t>Concluding Observations: Philippines</w:t>
      </w:r>
      <w:r w:rsidRPr="00246A9C">
        <w:t>, paras. 38, 39, U.N. Doc</w:t>
      </w:r>
      <w:r w:rsidRPr="008C20A0">
        <w:t>. CAT/C/PHL/CO/3 (2016).</w:t>
      </w:r>
    </w:p>
  </w:endnote>
  <w:endnote w:id="135">
    <w:p w14:paraId="248E8D18" w14:textId="34D3A8B4" w:rsidR="00944958" w:rsidRPr="008C20A0" w:rsidRDefault="00944958" w:rsidP="00246A9C">
      <w:pPr>
        <w:pStyle w:val="EndnoteText"/>
        <w:spacing w:after="0"/>
      </w:pPr>
      <w:r w:rsidRPr="008C20A0">
        <w:rPr>
          <w:rStyle w:val="EndnoteReference"/>
        </w:rPr>
        <w:endnoteRef/>
      </w:r>
      <w:r w:rsidRPr="008C20A0">
        <w:t xml:space="preserve"> CRC Committee, </w:t>
      </w:r>
      <w:r w:rsidRPr="008C20A0">
        <w:rPr>
          <w:i/>
        </w:rPr>
        <w:t>Gen. Comment No. 20</w:t>
      </w:r>
      <w:r w:rsidRPr="008C20A0">
        <w:t xml:space="preserve">, </w:t>
      </w:r>
      <w:r w:rsidRPr="008C20A0">
        <w:rPr>
          <w:i/>
        </w:rPr>
        <w:t>supra</w:t>
      </w:r>
      <w:r w:rsidRPr="008C20A0">
        <w:t xml:space="preserve"> note </w:t>
      </w:r>
      <w:r w:rsidR="008C20A0" w:rsidRPr="001C2281">
        <w:t>civ</w:t>
      </w:r>
      <w:r w:rsidRPr="008C20A0">
        <w:t>, para. 39.</w:t>
      </w:r>
    </w:p>
  </w:endnote>
  <w:endnote w:id="136">
    <w:p w14:paraId="0BC7941C" w14:textId="77777777" w:rsidR="00944958" w:rsidRPr="00246A9C" w:rsidRDefault="00944958" w:rsidP="00246A9C">
      <w:pPr>
        <w:autoSpaceDE w:val="0"/>
        <w:autoSpaceDN w:val="0"/>
        <w:adjustRightInd w:val="0"/>
        <w:rPr>
          <w:i/>
          <w:iCs/>
          <w:sz w:val="20"/>
          <w:szCs w:val="20"/>
        </w:rPr>
      </w:pPr>
      <w:r w:rsidRPr="008C20A0">
        <w:rPr>
          <w:rStyle w:val="EndnoteReference"/>
          <w:sz w:val="20"/>
          <w:szCs w:val="20"/>
        </w:rPr>
        <w:endnoteRef/>
      </w:r>
      <w:r w:rsidRPr="008C20A0">
        <w:rPr>
          <w:sz w:val="20"/>
          <w:szCs w:val="20"/>
        </w:rPr>
        <w:t xml:space="preserve"> </w:t>
      </w:r>
      <w:r w:rsidRPr="008C20A0">
        <w:rPr>
          <w:i/>
          <w:iCs/>
          <w:sz w:val="20"/>
          <w:szCs w:val="20"/>
        </w:rPr>
        <w:t>United</w:t>
      </w:r>
      <w:r w:rsidRPr="00246A9C">
        <w:rPr>
          <w:i/>
          <w:iCs/>
          <w:sz w:val="20"/>
          <w:szCs w:val="20"/>
        </w:rPr>
        <w:t xml:space="preserve"> Nations Rules for the Treatment of Women Prisoners and Non-custodial Measures</w:t>
      </w:r>
    </w:p>
    <w:p w14:paraId="0289A71B" w14:textId="77777777" w:rsidR="00944958" w:rsidRPr="00246A9C" w:rsidRDefault="00944958" w:rsidP="00246A9C">
      <w:pPr>
        <w:autoSpaceDE w:val="0"/>
        <w:autoSpaceDN w:val="0"/>
        <w:adjustRightInd w:val="0"/>
        <w:rPr>
          <w:sz w:val="20"/>
          <w:szCs w:val="20"/>
        </w:rPr>
      </w:pPr>
      <w:r w:rsidRPr="00246A9C">
        <w:rPr>
          <w:i/>
          <w:iCs/>
          <w:sz w:val="20"/>
          <w:szCs w:val="20"/>
        </w:rPr>
        <w:t>for Women Offenders</w:t>
      </w:r>
      <w:r w:rsidRPr="00246A9C">
        <w:rPr>
          <w:sz w:val="20"/>
          <w:szCs w:val="20"/>
        </w:rPr>
        <w:t>, Rule 24, U.N. Doc. A/C.3/65/L.5 (Oct. 6, 2010) (emphasis added).</w:t>
      </w:r>
    </w:p>
  </w:endnote>
  <w:endnote w:id="137">
    <w:p w14:paraId="75DC5B5F" w14:textId="331652C7" w:rsidR="00944958" w:rsidRPr="00246A9C"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Pr="00246A9C">
        <w:rPr>
          <w:i/>
          <w:iCs/>
          <w:sz w:val="20"/>
          <w:szCs w:val="20"/>
        </w:rPr>
        <w:t>Id.</w:t>
      </w:r>
      <w:r w:rsidRPr="00246A9C">
        <w:rPr>
          <w:sz w:val="20"/>
          <w:szCs w:val="20"/>
        </w:rPr>
        <w:t>, para.</w:t>
      </w:r>
      <w:r w:rsidR="000944D2">
        <w:rPr>
          <w:sz w:val="20"/>
          <w:szCs w:val="20"/>
        </w:rPr>
        <w:t xml:space="preserve"> </w:t>
      </w:r>
      <w:r w:rsidRPr="00246A9C">
        <w:rPr>
          <w:sz w:val="20"/>
          <w:szCs w:val="20"/>
        </w:rPr>
        <w:t>9 and Rules 5, 15, 22, 25, 39, 42, 48, 64.</w:t>
      </w:r>
    </w:p>
  </w:endnote>
  <w:endnote w:id="138">
    <w:p w14:paraId="21AA3DEF" w14:textId="3C4BF06A" w:rsidR="00944958" w:rsidRPr="00246A9C"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008C20A0">
        <w:rPr>
          <w:sz w:val="20"/>
          <w:szCs w:val="20"/>
        </w:rPr>
        <w:t xml:space="preserve">Human Rights Council, </w:t>
      </w:r>
      <w:r w:rsidRPr="00246A9C">
        <w:rPr>
          <w:i/>
          <w:iCs/>
          <w:sz w:val="20"/>
          <w:szCs w:val="20"/>
        </w:rPr>
        <w:t xml:space="preserve">Report of the Special Rapporteur on the human rights of migrants </w:t>
      </w:r>
      <w:r w:rsidRPr="00246A9C">
        <w:rPr>
          <w:sz w:val="20"/>
          <w:szCs w:val="20"/>
        </w:rPr>
        <w:t xml:space="preserve">(by François Crépeau), para.36, U.N. Doc. A/HRC/20/24 (Apr. </w:t>
      </w:r>
      <w:r w:rsidR="000944D2">
        <w:rPr>
          <w:sz w:val="20"/>
          <w:szCs w:val="20"/>
        </w:rPr>
        <w:t xml:space="preserve">2, </w:t>
      </w:r>
      <w:r w:rsidRPr="00246A9C">
        <w:rPr>
          <w:sz w:val="20"/>
          <w:szCs w:val="20"/>
        </w:rPr>
        <w:t xml:space="preserve">2012); </w:t>
      </w:r>
      <w:r w:rsidRPr="00246A9C">
        <w:rPr>
          <w:i/>
          <w:iCs/>
          <w:sz w:val="20"/>
          <w:szCs w:val="20"/>
        </w:rPr>
        <w:t xml:space="preserve">See also </w:t>
      </w:r>
      <w:r w:rsidR="008C20A0">
        <w:rPr>
          <w:iCs/>
          <w:sz w:val="20"/>
          <w:szCs w:val="20"/>
        </w:rPr>
        <w:t xml:space="preserve">Human Rights Council, </w:t>
      </w:r>
      <w:r w:rsidRPr="00246A9C">
        <w:rPr>
          <w:i/>
          <w:iCs/>
          <w:sz w:val="20"/>
          <w:szCs w:val="20"/>
        </w:rPr>
        <w:t xml:space="preserve">Report of the Special Rapporteur on the human rights of migrants, Mission to the United States of America </w:t>
      </w:r>
      <w:r w:rsidRPr="00246A9C">
        <w:rPr>
          <w:sz w:val="20"/>
          <w:szCs w:val="20"/>
        </w:rPr>
        <w:t>(by Jorge Bustamante), para. 120-21, U.N. Doc. A/HRC/7/12/Add.2 (March 5, 2008) (recommending alternatives to immigration detention for women who are pregnant, nursing, or suffering the effects of persecution or abuse).</w:t>
      </w:r>
    </w:p>
  </w:endnote>
  <w:endnote w:id="139">
    <w:p w14:paraId="1B16ABF4" w14:textId="77777777" w:rsidR="00944958" w:rsidRPr="00246A9C" w:rsidRDefault="00944958" w:rsidP="00246A9C">
      <w:pPr>
        <w:pStyle w:val="EndnoteText"/>
        <w:spacing w:after="0"/>
      </w:pPr>
      <w:r w:rsidRPr="00246A9C">
        <w:rPr>
          <w:rStyle w:val="EndnoteReference"/>
        </w:rPr>
        <w:endnoteRef/>
      </w:r>
      <w:r w:rsidRPr="00246A9C">
        <w:t xml:space="preserve"> CAT Committee, </w:t>
      </w:r>
      <w:r w:rsidRPr="00246A9C">
        <w:rPr>
          <w:i/>
        </w:rPr>
        <w:t>Concluding Observations: United States of America</w:t>
      </w:r>
      <w:r w:rsidRPr="00246A9C">
        <w:t xml:space="preserve">, para. 21, U.N. Doc. CAT/C/USA/CO/3-5 (2014); </w:t>
      </w:r>
      <w:r w:rsidRPr="00246A9C">
        <w:rPr>
          <w:i/>
        </w:rPr>
        <w:t>United States of America</w:t>
      </w:r>
      <w:r w:rsidRPr="00246A9C">
        <w:t xml:space="preserve">, para. 33, U.N. doc. CAT/C/USA/CO/2 (2006). </w:t>
      </w:r>
    </w:p>
  </w:endnote>
  <w:endnote w:id="140">
    <w:p w14:paraId="4FCF76F9" w14:textId="77777777" w:rsidR="00944958" w:rsidRPr="00246A9C" w:rsidRDefault="00944958" w:rsidP="00246A9C">
      <w:pPr>
        <w:pStyle w:val="EndnoteText"/>
        <w:spacing w:after="0"/>
      </w:pPr>
      <w:r w:rsidRPr="00246A9C">
        <w:rPr>
          <w:rStyle w:val="EndnoteReference"/>
        </w:rPr>
        <w:endnoteRef/>
      </w:r>
      <w:r w:rsidRPr="00246A9C">
        <w:t xml:space="preserve"> Human Rights Committee, </w:t>
      </w:r>
      <w:r w:rsidRPr="00246A9C">
        <w:rPr>
          <w:i/>
        </w:rPr>
        <w:t>General Comment 28: Equality of Rights between Men and Women (Art. 3),</w:t>
      </w:r>
      <w:r w:rsidRPr="00246A9C">
        <w:t xml:space="preserve"> para. 15, U.N. Doc. CCPR/C/21/Rev.1/Add.10 (2000). </w:t>
      </w:r>
    </w:p>
  </w:endnote>
  <w:endnote w:id="141">
    <w:p w14:paraId="6514054C" w14:textId="5256A0B0" w:rsidR="00944958" w:rsidRPr="00246A9C" w:rsidRDefault="00944958" w:rsidP="00246A9C">
      <w:pPr>
        <w:autoSpaceDE w:val="0"/>
        <w:autoSpaceDN w:val="0"/>
        <w:adjustRightInd w:val="0"/>
        <w:rPr>
          <w:sz w:val="20"/>
          <w:szCs w:val="20"/>
        </w:rPr>
      </w:pPr>
      <w:r w:rsidRPr="00246A9C">
        <w:rPr>
          <w:rStyle w:val="EndnoteReference"/>
          <w:sz w:val="20"/>
          <w:szCs w:val="20"/>
        </w:rPr>
        <w:endnoteRef/>
      </w:r>
      <w:r w:rsidRPr="00246A9C">
        <w:rPr>
          <w:sz w:val="20"/>
          <w:szCs w:val="20"/>
        </w:rPr>
        <w:t xml:space="preserve"> </w:t>
      </w:r>
      <w:r w:rsidR="008C20A0">
        <w:rPr>
          <w:sz w:val="20"/>
          <w:szCs w:val="20"/>
        </w:rPr>
        <w:t xml:space="preserve">Human Rights Council, </w:t>
      </w:r>
      <w:r w:rsidRPr="00246A9C">
        <w:rPr>
          <w:i/>
          <w:iCs/>
          <w:sz w:val="20"/>
          <w:szCs w:val="20"/>
        </w:rPr>
        <w:t>Report of the Special Rapporteur on torture and other cruel, inhuman or degrading treatment or punishment</w:t>
      </w:r>
      <w:r w:rsidR="008C20A0">
        <w:rPr>
          <w:i/>
          <w:iCs/>
          <w:sz w:val="20"/>
          <w:szCs w:val="20"/>
        </w:rPr>
        <w:t xml:space="preserve"> </w:t>
      </w:r>
      <w:r w:rsidR="008C20A0" w:rsidRPr="00246A9C">
        <w:rPr>
          <w:sz w:val="20"/>
          <w:szCs w:val="20"/>
        </w:rPr>
        <w:t>(by Manfred Nowak)</w:t>
      </w:r>
      <w:r w:rsidRPr="00246A9C">
        <w:rPr>
          <w:sz w:val="20"/>
          <w:szCs w:val="20"/>
        </w:rPr>
        <w:t>, para.</w:t>
      </w:r>
      <w:r w:rsidR="000944D2">
        <w:rPr>
          <w:sz w:val="20"/>
          <w:szCs w:val="20"/>
        </w:rPr>
        <w:t xml:space="preserve"> </w:t>
      </w:r>
      <w:r w:rsidRPr="00246A9C">
        <w:rPr>
          <w:sz w:val="20"/>
          <w:szCs w:val="20"/>
        </w:rPr>
        <w:t xml:space="preserve">41, U.N. Doc. A/HRC/7/3 (Jan. 15, 2008) (recommending that “measures of physical restraint should be avoided during delivery”); </w:t>
      </w:r>
      <w:r w:rsidR="008C20A0">
        <w:rPr>
          <w:sz w:val="20"/>
          <w:szCs w:val="20"/>
        </w:rPr>
        <w:t xml:space="preserve">Comm’n on Human Rights, </w:t>
      </w:r>
      <w:r w:rsidRPr="00246A9C">
        <w:rPr>
          <w:i/>
          <w:iCs/>
          <w:sz w:val="20"/>
          <w:szCs w:val="20"/>
        </w:rPr>
        <w:t>Report of the Special Rapporteur on violence against women, its causes and consequences, on the mission to the United States of America on the issue of violence against women in state and federal prisons</w:t>
      </w:r>
      <w:r w:rsidR="008C20A0">
        <w:rPr>
          <w:i/>
          <w:iCs/>
          <w:sz w:val="20"/>
          <w:szCs w:val="20"/>
        </w:rPr>
        <w:t xml:space="preserve"> </w:t>
      </w:r>
      <w:r w:rsidR="008C20A0" w:rsidRPr="00246A9C">
        <w:rPr>
          <w:sz w:val="20"/>
          <w:szCs w:val="20"/>
        </w:rPr>
        <w:t>(by Radhika Coomaraswamy)</w:t>
      </w:r>
      <w:r w:rsidRPr="00246A9C">
        <w:rPr>
          <w:sz w:val="20"/>
          <w:szCs w:val="20"/>
        </w:rPr>
        <w:t>, paras. 54, 133, U.N. Doc. E/CN.4/1999/68/Add.2 (Jan. 4, 1999) (finding that the use of shackles on pregnant women during childbirth “violates international standards and may be said to constitute cruel and unusual practices”);</w:t>
      </w:r>
      <w:r w:rsidRPr="00246A9C">
        <w:rPr>
          <w:i/>
          <w:iCs/>
          <w:sz w:val="20"/>
          <w:szCs w:val="20"/>
        </w:rPr>
        <w:t xml:space="preserve"> </w:t>
      </w:r>
      <w:r w:rsidR="008C20A0">
        <w:rPr>
          <w:iCs/>
          <w:sz w:val="20"/>
          <w:szCs w:val="20"/>
        </w:rPr>
        <w:t xml:space="preserve">Human Rights Council, </w:t>
      </w:r>
      <w:r w:rsidRPr="00246A9C">
        <w:rPr>
          <w:i/>
          <w:iCs/>
          <w:sz w:val="20"/>
          <w:szCs w:val="20"/>
        </w:rPr>
        <w:t xml:space="preserve">Report of the Special Rapporteur on violence against women, its causes and consequences on the Mission to the United States of America </w:t>
      </w:r>
      <w:r w:rsidRPr="00246A9C">
        <w:rPr>
          <w:sz w:val="20"/>
          <w:szCs w:val="20"/>
        </w:rPr>
        <w:t>(by Rashida Manjoo), para.115, U.N. Doc. A/HRC/17/26/Add.5 (June 1, 2011) [hereinafter SR-VAW’s Report of the Mission to the USA (2011)].</w:t>
      </w:r>
    </w:p>
  </w:endnote>
  <w:endnote w:id="142">
    <w:p w14:paraId="4C1C2274" w14:textId="48767143" w:rsidR="00944958" w:rsidRPr="00246A9C" w:rsidRDefault="00944958" w:rsidP="00246A9C">
      <w:pPr>
        <w:pStyle w:val="EndnoteText"/>
        <w:spacing w:after="0"/>
      </w:pPr>
      <w:r w:rsidRPr="00246A9C">
        <w:rPr>
          <w:rStyle w:val="EndnoteReference"/>
        </w:rPr>
        <w:endnoteRef/>
      </w:r>
      <w:r w:rsidRPr="00246A9C">
        <w:t xml:space="preserve"> SR-VAW’s Report of the Mission to the USA (2011), </w:t>
      </w:r>
      <w:r w:rsidRPr="00246A9C">
        <w:rPr>
          <w:i/>
        </w:rPr>
        <w:t>supra</w:t>
      </w:r>
      <w:r w:rsidRPr="00246A9C">
        <w:t xml:space="preserve"> note</w:t>
      </w:r>
      <w:r w:rsidR="000944D2">
        <w:t xml:space="preserve"> cxlii</w:t>
      </w:r>
      <w:r w:rsidRPr="00246A9C">
        <w:t>, para. 115(C)(h).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6680552"/>
      <w:docPartObj>
        <w:docPartGallery w:val="Page Numbers (Bottom of Page)"/>
        <w:docPartUnique/>
      </w:docPartObj>
    </w:sdtPr>
    <w:sdtEndPr>
      <w:rPr>
        <w:rStyle w:val="PageNumber"/>
      </w:rPr>
    </w:sdtEndPr>
    <w:sdtContent>
      <w:p w14:paraId="6CE29C4F" w14:textId="4F76C7AB" w:rsidR="00944958" w:rsidRDefault="00944958" w:rsidP="00F723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DDF0B" w14:textId="77777777" w:rsidR="00944958" w:rsidRDefault="00944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szCs w:val="20"/>
      </w:rPr>
      <w:id w:val="1635061548"/>
      <w:docPartObj>
        <w:docPartGallery w:val="Page Numbers (Bottom of Page)"/>
        <w:docPartUnique/>
      </w:docPartObj>
    </w:sdtPr>
    <w:sdtEndPr>
      <w:rPr>
        <w:rStyle w:val="PageNumber"/>
      </w:rPr>
    </w:sdtEndPr>
    <w:sdtContent>
      <w:p w14:paraId="504A8CF6" w14:textId="177FC3F7" w:rsidR="00944958" w:rsidRPr="00F72360" w:rsidRDefault="00944958" w:rsidP="00F72360">
        <w:pPr>
          <w:pStyle w:val="Footer"/>
          <w:framePr w:wrap="none" w:vAnchor="text" w:hAnchor="margin" w:xAlign="center" w:y="1"/>
          <w:rPr>
            <w:rStyle w:val="PageNumber"/>
            <w:sz w:val="20"/>
            <w:szCs w:val="20"/>
          </w:rPr>
        </w:pPr>
        <w:r w:rsidRPr="00F72360">
          <w:rPr>
            <w:rStyle w:val="PageNumber"/>
            <w:sz w:val="20"/>
            <w:szCs w:val="20"/>
          </w:rPr>
          <w:fldChar w:fldCharType="begin"/>
        </w:r>
        <w:r w:rsidRPr="00F72360">
          <w:rPr>
            <w:rStyle w:val="PageNumber"/>
            <w:sz w:val="20"/>
            <w:szCs w:val="20"/>
          </w:rPr>
          <w:instrText xml:space="preserve"> PAGE </w:instrText>
        </w:r>
        <w:r w:rsidRPr="00F72360">
          <w:rPr>
            <w:rStyle w:val="PageNumber"/>
            <w:sz w:val="20"/>
            <w:szCs w:val="20"/>
          </w:rPr>
          <w:fldChar w:fldCharType="separate"/>
        </w:r>
        <w:r w:rsidR="00086B9F">
          <w:rPr>
            <w:rStyle w:val="PageNumber"/>
            <w:noProof/>
            <w:sz w:val="20"/>
            <w:szCs w:val="20"/>
          </w:rPr>
          <w:t>1</w:t>
        </w:r>
        <w:r w:rsidRPr="00F72360">
          <w:rPr>
            <w:rStyle w:val="PageNumber"/>
            <w:sz w:val="20"/>
            <w:szCs w:val="20"/>
          </w:rPr>
          <w:fldChar w:fldCharType="end"/>
        </w:r>
      </w:p>
    </w:sdtContent>
  </w:sdt>
  <w:p w14:paraId="438E972E" w14:textId="77777777" w:rsidR="00944958" w:rsidRPr="00F72360" w:rsidRDefault="0094495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A6FB" w14:textId="77777777" w:rsidR="00693182" w:rsidRDefault="00693182" w:rsidP="00232BB2">
      <w:r>
        <w:separator/>
      </w:r>
    </w:p>
  </w:footnote>
  <w:footnote w:type="continuationSeparator" w:id="0">
    <w:p w14:paraId="63D00EBE" w14:textId="77777777" w:rsidR="00693182" w:rsidRDefault="00693182" w:rsidP="00232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7B9"/>
    <w:multiLevelType w:val="hybridMultilevel"/>
    <w:tmpl w:val="F866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1451"/>
    <w:multiLevelType w:val="hybridMultilevel"/>
    <w:tmpl w:val="1D9C29A0"/>
    <w:lvl w:ilvl="0" w:tplc="6154616E">
      <w:start w:val="3"/>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9121A1A"/>
    <w:multiLevelType w:val="hybridMultilevel"/>
    <w:tmpl w:val="FEE6756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1C27"/>
    <w:multiLevelType w:val="hybridMultilevel"/>
    <w:tmpl w:val="AA028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42258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39F1"/>
    <w:multiLevelType w:val="hybridMultilevel"/>
    <w:tmpl w:val="3206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A7B49"/>
    <w:multiLevelType w:val="multilevel"/>
    <w:tmpl w:val="C630D476"/>
    <w:name w:val="Lindas"/>
    <w:lvl w:ilvl="0">
      <w:start w:val="1"/>
      <w:numFmt w:val="upperRoman"/>
      <w:pStyle w:val="Lindas1"/>
      <w:lvlText w:val="%1."/>
      <w:lvlJc w:val="left"/>
      <w:pPr>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Lindas2"/>
      <w:lvlText w:val="%2."/>
      <w:lvlJc w:val="left"/>
      <w:pPr>
        <w:ind w:left="720" w:hanging="720"/>
      </w:pPr>
      <w:rPr>
        <w:rFonts w:ascii="Times New Roman Bold" w:hAnsi="Times New Roman Bold"/>
        <w:b/>
        <w:i w:val="0"/>
        <w:caps w:val="0"/>
        <w:strike w:val="0"/>
        <w:dstrike w:val="0"/>
        <w:vanish w:val="0"/>
        <w:color w:val="auto"/>
        <w:sz w:val="24"/>
        <w:u w:val="none"/>
        <w:vertAlign w:val="baseline"/>
      </w:rPr>
    </w:lvl>
    <w:lvl w:ilvl="2">
      <w:start w:val="1"/>
      <w:numFmt w:val="decimal"/>
      <w:lvlRestart w:val="0"/>
      <w:pStyle w:val="Lindas3"/>
      <w:lvlText w:val="%3."/>
      <w:lvlJc w:val="left"/>
      <w:pPr>
        <w:tabs>
          <w:tab w:val="num" w:pos="1430"/>
        </w:tabs>
        <w:ind w:left="143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Lindas4"/>
      <w:lvlText w:val="(%4)"/>
      <w:lvlJc w:val="left"/>
      <w:pPr>
        <w:ind w:left="1440" w:hanging="646"/>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Lindas5"/>
      <w:lvlText w:val="(%5)"/>
      <w:lvlJc w:val="left"/>
      <w:pPr>
        <w:ind w:left="228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pStyle w:val="Lindas6"/>
      <w:suff w:val="nothing"/>
      <w:lvlText w:val="%6"/>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indas7"/>
      <w:lvlText w:val="%7."/>
      <w:lvlJc w:val="left"/>
      <w:pPr>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Lindas8"/>
      <w:lvlText w:val="%8."/>
      <w:lvlJc w:val="left"/>
      <w:pPr>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indas9"/>
      <w:lvlText w:val="%9."/>
      <w:lvlJc w:val="left"/>
      <w:pPr>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20E81CDA"/>
    <w:multiLevelType w:val="hybridMultilevel"/>
    <w:tmpl w:val="035C5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024AC7"/>
    <w:multiLevelType w:val="multilevel"/>
    <w:tmpl w:val="10C6F56E"/>
    <w:name w:val="Num"/>
    <w:lvl w:ilvl="0">
      <w:start w:val="1"/>
      <w:numFmt w:val="upperRoman"/>
      <w:pStyle w:val="Num1"/>
      <w:lvlText w:val="%1."/>
      <w:lvlJc w:val="left"/>
      <w:pPr>
        <w:tabs>
          <w:tab w:val="num" w:pos="720"/>
        </w:tabs>
        <w:ind w:left="0" w:firstLine="0"/>
      </w:pPr>
      <w:rPr>
        <w:rFonts w:hint="default"/>
        <w:small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7395D74"/>
    <w:multiLevelType w:val="hybridMultilevel"/>
    <w:tmpl w:val="E1FC2958"/>
    <w:lvl w:ilvl="0" w:tplc="1E867920">
      <w:start w:val="2"/>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D403BBB"/>
    <w:multiLevelType w:val="hybridMultilevel"/>
    <w:tmpl w:val="1E588092"/>
    <w:lvl w:ilvl="0" w:tplc="1E503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F3501"/>
    <w:multiLevelType w:val="hybridMultilevel"/>
    <w:tmpl w:val="2858F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EC55A0"/>
    <w:multiLevelType w:val="hybridMultilevel"/>
    <w:tmpl w:val="624C6F22"/>
    <w:lvl w:ilvl="0" w:tplc="1E503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17CAA"/>
    <w:multiLevelType w:val="hybridMultilevel"/>
    <w:tmpl w:val="D3B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7A39"/>
    <w:multiLevelType w:val="hybridMultilevel"/>
    <w:tmpl w:val="422E638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C6619"/>
    <w:multiLevelType w:val="hybridMultilevel"/>
    <w:tmpl w:val="9A0898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71994"/>
    <w:multiLevelType w:val="hybridMultilevel"/>
    <w:tmpl w:val="F6C0A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8A7AA0"/>
    <w:multiLevelType w:val="hybridMultilevel"/>
    <w:tmpl w:val="4E1275DA"/>
    <w:lvl w:ilvl="0" w:tplc="E4088630">
      <w:start w:val="1"/>
      <w:numFmt w:val="upperLetter"/>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73D76"/>
    <w:multiLevelType w:val="hybridMultilevel"/>
    <w:tmpl w:val="BE32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03B78"/>
    <w:multiLevelType w:val="hybridMultilevel"/>
    <w:tmpl w:val="B5D41670"/>
    <w:lvl w:ilvl="0" w:tplc="1E503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27842"/>
    <w:multiLevelType w:val="hybridMultilevel"/>
    <w:tmpl w:val="1E588092"/>
    <w:lvl w:ilvl="0" w:tplc="1E503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A0351"/>
    <w:multiLevelType w:val="hybridMultilevel"/>
    <w:tmpl w:val="C10A0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1E47C8"/>
    <w:multiLevelType w:val="hybridMultilevel"/>
    <w:tmpl w:val="F1F02764"/>
    <w:lvl w:ilvl="0" w:tplc="1E503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84DA7"/>
    <w:multiLevelType w:val="hybridMultilevel"/>
    <w:tmpl w:val="85465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5"/>
  </w:num>
  <w:num w:numId="4">
    <w:abstractNumId w:val="16"/>
  </w:num>
  <w:num w:numId="5">
    <w:abstractNumId w:val="8"/>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1"/>
  </w:num>
  <w:num w:numId="11">
    <w:abstractNumId w:val="14"/>
  </w:num>
  <w:num w:numId="12">
    <w:abstractNumId w:val="3"/>
  </w:num>
  <w:num w:numId="13">
    <w:abstractNumId w:val="21"/>
  </w:num>
  <w:num w:numId="14">
    <w:abstractNumId w:val="9"/>
  </w:num>
  <w:num w:numId="15">
    <w:abstractNumId w:val="22"/>
  </w:num>
  <w:num w:numId="16">
    <w:abstractNumId w:val="17"/>
  </w:num>
  <w:num w:numId="17">
    <w:abstractNumId w:val="20"/>
  </w:num>
  <w:num w:numId="18">
    <w:abstractNumId w:val="4"/>
  </w:num>
  <w:num w:numId="19">
    <w:abstractNumId w:val="6"/>
  </w:num>
  <w:num w:numId="20">
    <w:abstractNumId w:val="10"/>
  </w:num>
  <w:num w:numId="21">
    <w:abstractNumId w:val="13"/>
  </w:num>
  <w:num w:numId="22">
    <w:abstractNumId w:val="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7B"/>
    <w:rsid w:val="00000E71"/>
    <w:rsid w:val="000074A5"/>
    <w:rsid w:val="00013DDD"/>
    <w:rsid w:val="00016139"/>
    <w:rsid w:val="000200FE"/>
    <w:rsid w:val="00020CD5"/>
    <w:rsid w:val="00021752"/>
    <w:rsid w:val="00022497"/>
    <w:rsid w:val="00022BDF"/>
    <w:rsid w:val="0002496E"/>
    <w:rsid w:val="00025B04"/>
    <w:rsid w:val="00033519"/>
    <w:rsid w:val="00033685"/>
    <w:rsid w:val="00043915"/>
    <w:rsid w:val="00045E3F"/>
    <w:rsid w:val="00053B98"/>
    <w:rsid w:val="000562FF"/>
    <w:rsid w:val="000637AC"/>
    <w:rsid w:val="00066972"/>
    <w:rsid w:val="00066EC6"/>
    <w:rsid w:val="000675E5"/>
    <w:rsid w:val="000772C6"/>
    <w:rsid w:val="00077BC9"/>
    <w:rsid w:val="00077D41"/>
    <w:rsid w:val="000835D7"/>
    <w:rsid w:val="000863E2"/>
    <w:rsid w:val="00086B9F"/>
    <w:rsid w:val="00087849"/>
    <w:rsid w:val="000944D2"/>
    <w:rsid w:val="000957DC"/>
    <w:rsid w:val="000A167F"/>
    <w:rsid w:val="000A3E0C"/>
    <w:rsid w:val="000A4951"/>
    <w:rsid w:val="000A597C"/>
    <w:rsid w:val="000A7050"/>
    <w:rsid w:val="000B1037"/>
    <w:rsid w:val="000B72A8"/>
    <w:rsid w:val="000C1918"/>
    <w:rsid w:val="000D19E3"/>
    <w:rsid w:val="000D2590"/>
    <w:rsid w:val="000D75B3"/>
    <w:rsid w:val="000E103C"/>
    <w:rsid w:val="000E12F8"/>
    <w:rsid w:val="000E1A87"/>
    <w:rsid w:val="000E3CD2"/>
    <w:rsid w:val="000E4C10"/>
    <w:rsid w:val="000F2B20"/>
    <w:rsid w:val="000F329D"/>
    <w:rsid w:val="000F646E"/>
    <w:rsid w:val="00100F81"/>
    <w:rsid w:val="00102EE0"/>
    <w:rsid w:val="00115AFA"/>
    <w:rsid w:val="0011661D"/>
    <w:rsid w:val="00116820"/>
    <w:rsid w:val="00123F11"/>
    <w:rsid w:val="00126E9E"/>
    <w:rsid w:val="00127D5E"/>
    <w:rsid w:val="0013141B"/>
    <w:rsid w:val="00133B20"/>
    <w:rsid w:val="0013422D"/>
    <w:rsid w:val="00135254"/>
    <w:rsid w:val="00135FFA"/>
    <w:rsid w:val="0014228E"/>
    <w:rsid w:val="00147398"/>
    <w:rsid w:val="001528C7"/>
    <w:rsid w:val="00163516"/>
    <w:rsid w:val="0016497B"/>
    <w:rsid w:val="00165528"/>
    <w:rsid w:val="0017144B"/>
    <w:rsid w:val="00175474"/>
    <w:rsid w:val="0017629C"/>
    <w:rsid w:val="0017748F"/>
    <w:rsid w:val="00182658"/>
    <w:rsid w:val="00186836"/>
    <w:rsid w:val="001924A1"/>
    <w:rsid w:val="00194DBB"/>
    <w:rsid w:val="00195D97"/>
    <w:rsid w:val="00197467"/>
    <w:rsid w:val="001A6668"/>
    <w:rsid w:val="001A676C"/>
    <w:rsid w:val="001B578B"/>
    <w:rsid w:val="001C132B"/>
    <w:rsid w:val="001C2281"/>
    <w:rsid w:val="001C584B"/>
    <w:rsid w:val="001C65FF"/>
    <w:rsid w:val="001C7435"/>
    <w:rsid w:val="001D5174"/>
    <w:rsid w:val="001E0313"/>
    <w:rsid w:val="001E2A9E"/>
    <w:rsid w:val="001E3B3E"/>
    <w:rsid w:val="001E5D97"/>
    <w:rsid w:val="001F0E22"/>
    <w:rsid w:val="001F1989"/>
    <w:rsid w:val="001F2EEF"/>
    <w:rsid w:val="001F3FBC"/>
    <w:rsid w:val="001F6B85"/>
    <w:rsid w:val="00201956"/>
    <w:rsid w:val="00201A1B"/>
    <w:rsid w:val="00205786"/>
    <w:rsid w:val="00205D22"/>
    <w:rsid w:val="0020722F"/>
    <w:rsid w:val="00210139"/>
    <w:rsid w:val="00212C59"/>
    <w:rsid w:val="00221D2A"/>
    <w:rsid w:val="00224D99"/>
    <w:rsid w:val="0023161E"/>
    <w:rsid w:val="00232BB2"/>
    <w:rsid w:val="0023515D"/>
    <w:rsid w:val="002356E3"/>
    <w:rsid w:val="00242892"/>
    <w:rsid w:val="00246A9C"/>
    <w:rsid w:val="00247922"/>
    <w:rsid w:val="00253444"/>
    <w:rsid w:val="00255F61"/>
    <w:rsid w:val="0026344D"/>
    <w:rsid w:val="00264B24"/>
    <w:rsid w:val="00265038"/>
    <w:rsid w:val="002663FA"/>
    <w:rsid w:val="00267A21"/>
    <w:rsid w:val="00270D76"/>
    <w:rsid w:val="002723CE"/>
    <w:rsid w:val="00272E5C"/>
    <w:rsid w:val="00273413"/>
    <w:rsid w:val="00276E48"/>
    <w:rsid w:val="00277453"/>
    <w:rsid w:val="002774A3"/>
    <w:rsid w:val="00277FF2"/>
    <w:rsid w:val="002838ED"/>
    <w:rsid w:val="00290C1F"/>
    <w:rsid w:val="002A1111"/>
    <w:rsid w:val="002A4D0A"/>
    <w:rsid w:val="002A7A41"/>
    <w:rsid w:val="002A7EB3"/>
    <w:rsid w:val="002B2485"/>
    <w:rsid w:val="002B4CED"/>
    <w:rsid w:val="002B7AEB"/>
    <w:rsid w:val="002C2D11"/>
    <w:rsid w:val="002C79F8"/>
    <w:rsid w:val="002D5CED"/>
    <w:rsid w:val="002E1B4D"/>
    <w:rsid w:val="002E51CC"/>
    <w:rsid w:val="002E5832"/>
    <w:rsid w:val="002F31CA"/>
    <w:rsid w:val="002F33E2"/>
    <w:rsid w:val="002F55B7"/>
    <w:rsid w:val="002F6788"/>
    <w:rsid w:val="00300973"/>
    <w:rsid w:val="00307CB9"/>
    <w:rsid w:val="00311FF2"/>
    <w:rsid w:val="00312598"/>
    <w:rsid w:val="003215FD"/>
    <w:rsid w:val="00326947"/>
    <w:rsid w:val="00333CD2"/>
    <w:rsid w:val="00337A97"/>
    <w:rsid w:val="003438A6"/>
    <w:rsid w:val="003443A3"/>
    <w:rsid w:val="00353355"/>
    <w:rsid w:val="00357094"/>
    <w:rsid w:val="00357920"/>
    <w:rsid w:val="00362F70"/>
    <w:rsid w:val="00363CD5"/>
    <w:rsid w:val="0036447D"/>
    <w:rsid w:val="003644D7"/>
    <w:rsid w:val="0036521D"/>
    <w:rsid w:val="00365960"/>
    <w:rsid w:val="00370E1A"/>
    <w:rsid w:val="00372CBF"/>
    <w:rsid w:val="00380A6C"/>
    <w:rsid w:val="0038157E"/>
    <w:rsid w:val="003819AD"/>
    <w:rsid w:val="00382C2A"/>
    <w:rsid w:val="00393988"/>
    <w:rsid w:val="00393DEE"/>
    <w:rsid w:val="00395A28"/>
    <w:rsid w:val="00395E7F"/>
    <w:rsid w:val="003A00F5"/>
    <w:rsid w:val="003A02E3"/>
    <w:rsid w:val="003A1B49"/>
    <w:rsid w:val="003A3057"/>
    <w:rsid w:val="003A5603"/>
    <w:rsid w:val="003A5744"/>
    <w:rsid w:val="003B28AD"/>
    <w:rsid w:val="003B311F"/>
    <w:rsid w:val="003B3248"/>
    <w:rsid w:val="003B6F0F"/>
    <w:rsid w:val="003B71D6"/>
    <w:rsid w:val="003B7F7F"/>
    <w:rsid w:val="003C087C"/>
    <w:rsid w:val="003C227A"/>
    <w:rsid w:val="003C2388"/>
    <w:rsid w:val="003C4B83"/>
    <w:rsid w:val="003C642F"/>
    <w:rsid w:val="003C69AA"/>
    <w:rsid w:val="003C6C56"/>
    <w:rsid w:val="003D6700"/>
    <w:rsid w:val="003E098D"/>
    <w:rsid w:val="003E536D"/>
    <w:rsid w:val="003F16AA"/>
    <w:rsid w:val="003F38B1"/>
    <w:rsid w:val="003F3F41"/>
    <w:rsid w:val="003F4DB2"/>
    <w:rsid w:val="00400FDA"/>
    <w:rsid w:val="00404263"/>
    <w:rsid w:val="00405387"/>
    <w:rsid w:val="0040633A"/>
    <w:rsid w:val="0041080E"/>
    <w:rsid w:val="004119E6"/>
    <w:rsid w:val="00414391"/>
    <w:rsid w:val="0041559C"/>
    <w:rsid w:val="00426667"/>
    <w:rsid w:val="00430916"/>
    <w:rsid w:val="00434A74"/>
    <w:rsid w:val="00436185"/>
    <w:rsid w:val="0043754A"/>
    <w:rsid w:val="00437C89"/>
    <w:rsid w:val="004466EB"/>
    <w:rsid w:val="0045144A"/>
    <w:rsid w:val="00451D00"/>
    <w:rsid w:val="00452D22"/>
    <w:rsid w:val="00454C6A"/>
    <w:rsid w:val="004635CE"/>
    <w:rsid w:val="004727A7"/>
    <w:rsid w:val="004857E8"/>
    <w:rsid w:val="0048611A"/>
    <w:rsid w:val="00491510"/>
    <w:rsid w:val="0049303A"/>
    <w:rsid w:val="004941ED"/>
    <w:rsid w:val="004945A3"/>
    <w:rsid w:val="004A06A6"/>
    <w:rsid w:val="004A5A80"/>
    <w:rsid w:val="004A7153"/>
    <w:rsid w:val="004A71EF"/>
    <w:rsid w:val="004A7FFC"/>
    <w:rsid w:val="004B1574"/>
    <w:rsid w:val="004B27B4"/>
    <w:rsid w:val="004B335B"/>
    <w:rsid w:val="004B3ADA"/>
    <w:rsid w:val="004B54AF"/>
    <w:rsid w:val="004B7866"/>
    <w:rsid w:val="004C282D"/>
    <w:rsid w:val="004C4A4D"/>
    <w:rsid w:val="004C518A"/>
    <w:rsid w:val="004D0244"/>
    <w:rsid w:val="004D1097"/>
    <w:rsid w:val="004D27C4"/>
    <w:rsid w:val="004D3BB1"/>
    <w:rsid w:val="004E5B24"/>
    <w:rsid w:val="004E69FD"/>
    <w:rsid w:val="004F2730"/>
    <w:rsid w:val="004F5556"/>
    <w:rsid w:val="004F5B1B"/>
    <w:rsid w:val="004F760E"/>
    <w:rsid w:val="00511953"/>
    <w:rsid w:val="005138D8"/>
    <w:rsid w:val="00515A50"/>
    <w:rsid w:val="00521863"/>
    <w:rsid w:val="0052759A"/>
    <w:rsid w:val="00530329"/>
    <w:rsid w:val="005306CA"/>
    <w:rsid w:val="00545836"/>
    <w:rsid w:val="005461DF"/>
    <w:rsid w:val="005530BE"/>
    <w:rsid w:val="00553D0B"/>
    <w:rsid w:val="00563F1E"/>
    <w:rsid w:val="005657F0"/>
    <w:rsid w:val="0056775D"/>
    <w:rsid w:val="00571A58"/>
    <w:rsid w:val="005731B6"/>
    <w:rsid w:val="00573F38"/>
    <w:rsid w:val="00574537"/>
    <w:rsid w:val="00580A86"/>
    <w:rsid w:val="00583F31"/>
    <w:rsid w:val="005864FC"/>
    <w:rsid w:val="00590DA3"/>
    <w:rsid w:val="005928D6"/>
    <w:rsid w:val="00595F1D"/>
    <w:rsid w:val="005A3DED"/>
    <w:rsid w:val="005A404F"/>
    <w:rsid w:val="005A4072"/>
    <w:rsid w:val="005A44E3"/>
    <w:rsid w:val="005B1254"/>
    <w:rsid w:val="005B1AA0"/>
    <w:rsid w:val="005B3654"/>
    <w:rsid w:val="005D0833"/>
    <w:rsid w:val="005D3C94"/>
    <w:rsid w:val="005D43CD"/>
    <w:rsid w:val="005E066F"/>
    <w:rsid w:val="005E3FE0"/>
    <w:rsid w:val="005F1E3D"/>
    <w:rsid w:val="00600F65"/>
    <w:rsid w:val="00603D70"/>
    <w:rsid w:val="00607377"/>
    <w:rsid w:val="00611D05"/>
    <w:rsid w:val="00613E29"/>
    <w:rsid w:val="00620B14"/>
    <w:rsid w:val="006262AC"/>
    <w:rsid w:val="00626B7F"/>
    <w:rsid w:val="00630999"/>
    <w:rsid w:val="006401E2"/>
    <w:rsid w:val="006443BD"/>
    <w:rsid w:val="00644D32"/>
    <w:rsid w:val="0065087E"/>
    <w:rsid w:val="00651F4D"/>
    <w:rsid w:val="00661857"/>
    <w:rsid w:val="00671CE5"/>
    <w:rsid w:val="00672653"/>
    <w:rsid w:val="006832A0"/>
    <w:rsid w:val="00686130"/>
    <w:rsid w:val="00693182"/>
    <w:rsid w:val="00694B1D"/>
    <w:rsid w:val="00697605"/>
    <w:rsid w:val="006A2399"/>
    <w:rsid w:val="006A35FF"/>
    <w:rsid w:val="006A5470"/>
    <w:rsid w:val="006A5D49"/>
    <w:rsid w:val="006B3E73"/>
    <w:rsid w:val="006B7EDA"/>
    <w:rsid w:val="006C1E5E"/>
    <w:rsid w:val="006C64D0"/>
    <w:rsid w:val="006C7B22"/>
    <w:rsid w:val="006D00F8"/>
    <w:rsid w:val="006D1289"/>
    <w:rsid w:val="006D133B"/>
    <w:rsid w:val="006D259B"/>
    <w:rsid w:val="006F1E2C"/>
    <w:rsid w:val="006F3173"/>
    <w:rsid w:val="006F6975"/>
    <w:rsid w:val="006F69A3"/>
    <w:rsid w:val="00703B0D"/>
    <w:rsid w:val="00707ED5"/>
    <w:rsid w:val="00714B86"/>
    <w:rsid w:val="00717365"/>
    <w:rsid w:val="00720BFE"/>
    <w:rsid w:val="0072244B"/>
    <w:rsid w:val="00724D38"/>
    <w:rsid w:val="007253BA"/>
    <w:rsid w:val="00727A78"/>
    <w:rsid w:val="007368FE"/>
    <w:rsid w:val="00740578"/>
    <w:rsid w:val="00740BBB"/>
    <w:rsid w:val="00741B5D"/>
    <w:rsid w:val="0074325A"/>
    <w:rsid w:val="00743485"/>
    <w:rsid w:val="00744BCA"/>
    <w:rsid w:val="00750DA4"/>
    <w:rsid w:val="007532B1"/>
    <w:rsid w:val="00755FF5"/>
    <w:rsid w:val="0075658E"/>
    <w:rsid w:val="00765B63"/>
    <w:rsid w:val="007732D8"/>
    <w:rsid w:val="00774FD8"/>
    <w:rsid w:val="00783A59"/>
    <w:rsid w:val="00785BF8"/>
    <w:rsid w:val="0079666D"/>
    <w:rsid w:val="007A2BFA"/>
    <w:rsid w:val="007A5D54"/>
    <w:rsid w:val="007A64F6"/>
    <w:rsid w:val="007A6711"/>
    <w:rsid w:val="007B19B4"/>
    <w:rsid w:val="007B27DA"/>
    <w:rsid w:val="007B2C65"/>
    <w:rsid w:val="007B2CC5"/>
    <w:rsid w:val="007B3140"/>
    <w:rsid w:val="007B7378"/>
    <w:rsid w:val="007C1D8D"/>
    <w:rsid w:val="007C54BA"/>
    <w:rsid w:val="007C7D06"/>
    <w:rsid w:val="007D006E"/>
    <w:rsid w:val="007D27B4"/>
    <w:rsid w:val="007E256D"/>
    <w:rsid w:val="007E2D23"/>
    <w:rsid w:val="007E3943"/>
    <w:rsid w:val="007F5FD3"/>
    <w:rsid w:val="008215D9"/>
    <w:rsid w:val="00824303"/>
    <w:rsid w:val="00833563"/>
    <w:rsid w:val="008361E9"/>
    <w:rsid w:val="0083793A"/>
    <w:rsid w:val="00840455"/>
    <w:rsid w:val="008413E5"/>
    <w:rsid w:val="00845CC9"/>
    <w:rsid w:val="00856D76"/>
    <w:rsid w:val="00860645"/>
    <w:rsid w:val="0086346B"/>
    <w:rsid w:val="00864C59"/>
    <w:rsid w:val="00865F93"/>
    <w:rsid w:val="00867032"/>
    <w:rsid w:val="008702D7"/>
    <w:rsid w:val="00872320"/>
    <w:rsid w:val="00873C58"/>
    <w:rsid w:val="00882FD7"/>
    <w:rsid w:val="00883C2D"/>
    <w:rsid w:val="008868AD"/>
    <w:rsid w:val="0089111F"/>
    <w:rsid w:val="0089742E"/>
    <w:rsid w:val="008A1B4B"/>
    <w:rsid w:val="008A381D"/>
    <w:rsid w:val="008A4945"/>
    <w:rsid w:val="008A5EA8"/>
    <w:rsid w:val="008B3BB6"/>
    <w:rsid w:val="008B3F9C"/>
    <w:rsid w:val="008B555F"/>
    <w:rsid w:val="008C1429"/>
    <w:rsid w:val="008C1BD7"/>
    <w:rsid w:val="008C20A0"/>
    <w:rsid w:val="008C4912"/>
    <w:rsid w:val="008D3925"/>
    <w:rsid w:val="008D6AFF"/>
    <w:rsid w:val="008E0B17"/>
    <w:rsid w:val="008E352E"/>
    <w:rsid w:val="008E676B"/>
    <w:rsid w:val="008F5747"/>
    <w:rsid w:val="00901FA1"/>
    <w:rsid w:val="00912ED4"/>
    <w:rsid w:val="0091349B"/>
    <w:rsid w:val="00921C96"/>
    <w:rsid w:val="0092227E"/>
    <w:rsid w:val="00926704"/>
    <w:rsid w:val="00927590"/>
    <w:rsid w:val="00927A75"/>
    <w:rsid w:val="00934E98"/>
    <w:rsid w:val="00944958"/>
    <w:rsid w:val="00944B0C"/>
    <w:rsid w:val="00947EF1"/>
    <w:rsid w:val="00952344"/>
    <w:rsid w:val="00953B52"/>
    <w:rsid w:val="00954B67"/>
    <w:rsid w:val="00955F04"/>
    <w:rsid w:val="009561BA"/>
    <w:rsid w:val="00956557"/>
    <w:rsid w:val="00956C10"/>
    <w:rsid w:val="0095737E"/>
    <w:rsid w:val="00961373"/>
    <w:rsid w:val="00965B0E"/>
    <w:rsid w:val="009708F1"/>
    <w:rsid w:val="00972956"/>
    <w:rsid w:val="00977411"/>
    <w:rsid w:val="00985780"/>
    <w:rsid w:val="00987B32"/>
    <w:rsid w:val="00994A6E"/>
    <w:rsid w:val="00995011"/>
    <w:rsid w:val="00995D3F"/>
    <w:rsid w:val="009B4A65"/>
    <w:rsid w:val="009B4E60"/>
    <w:rsid w:val="009B51A9"/>
    <w:rsid w:val="009D4E2B"/>
    <w:rsid w:val="009D78F2"/>
    <w:rsid w:val="009E3ECE"/>
    <w:rsid w:val="009E4BC3"/>
    <w:rsid w:val="009E5A31"/>
    <w:rsid w:val="009E64B2"/>
    <w:rsid w:val="009E7C5F"/>
    <w:rsid w:val="009F11A7"/>
    <w:rsid w:val="009F4E43"/>
    <w:rsid w:val="009F6E9F"/>
    <w:rsid w:val="00A019A4"/>
    <w:rsid w:val="00A0258A"/>
    <w:rsid w:val="00A03612"/>
    <w:rsid w:val="00A0514B"/>
    <w:rsid w:val="00A16580"/>
    <w:rsid w:val="00A174C1"/>
    <w:rsid w:val="00A213CB"/>
    <w:rsid w:val="00A22395"/>
    <w:rsid w:val="00A260F2"/>
    <w:rsid w:val="00A26F23"/>
    <w:rsid w:val="00A3105F"/>
    <w:rsid w:val="00A32622"/>
    <w:rsid w:val="00A346D8"/>
    <w:rsid w:val="00A35172"/>
    <w:rsid w:val="00A36D98"/>
    <w:rsid w:val="00A44488"/>
    <w:rsid w:val="00A448D6"/>
    <w:rsid w:val="00A4750E"/>
    <w:rsid w:val="00A54B6E"/>
    <w:rsid w:val="00A5581F"/>
    <w:rsid w:val="00A622FC"/>
    <w:rsid w:val="00A64731"/>
    <w:rsid w:val="00A671AA"/>
    <w:rsid w:val="00A84829"/>
    <w:rsid w:val="00A90C93"/>
    <w:rsid w:val="00A97661"/>
    <w:rsid w:val="00AA0366"/>
    <w:rsid w:val="00AA4C60"/>
    <w:rsid w:val="00AA4C8E"/>
    <w:rsid w:val="00AB0898"/>
    <w:rsid w:val="00AB11F5"/>
    <w:rsid w:val="00AB27D1"/>
    <w:rsid w:val="00AB4CA4"/>
    <w:rsid w:val="00AC185D"/>
    <w:rsid w:val="00AC30CF"/>
    <w:rsid w:val="00AC6034"/>
    <w:rsid w:val="00AD119E"/>
    <w:rsid w:val="00AD1A98"/>
    <w:rsid w:val="00AD5A1C"/>
    <w:rsid w:val="00AD5E65"/>
    <w:rsid w:val="00AE572D"/>
    <w:rsid w:val="00AF010F"/>
    <w:rsid w:val="00AF2627"/>
    <w:rsid w:val="00AF4336"/>
    <w:rsid w:val="00B02019"/>
    <w:rsid w:val="00B047CC"/>
    <w:rsid w:val="00B11DA0"/>
    <w:rsid w:val="00B14A2C"/>
    <w:rsid w:val="00B21185"/>
    <w:rsid w:val="00B27D9B"/>
    <w:rsid w:val="00B348C6"/>
    <w:rsid w:val="00B350CF"/>
    <w:rsid w:val="00B35BF9"/>
    <w:rsid w:val="00B40780"/>
    <w:rsid w:val="00B44B2A"/>
    <w:rsid w:val="00B460EA"/>
    <w:rsid w:val="00B47C13"/>
    <w:rsid w:val="00B503F1"/>
    <w:rsid w:val="00B55119"/>
    <w:rsid w:val="00B63A7D"/>
    <w:rsid w:val="00B71D54"/>
    <w:rsid w:val="00B7423F"/>
    <w:rsid w:val="00B74A59"/>
    <w:rsid w:val="00B77D47"/>
    <w:rsid w:val="00B81F3B"/>
    <w:rsid w:val="00B868A9"/>
    <w:rsid w:val="00B91BF8"/>
    <w:rsid w:val="00BA091D"/>
    <w:rsid w:val="00BA1F77"/>
    <w:rsid w:val="00BA693F"/>
    <w:rsid w:val="00BB0BBD"/>
    <w:rsid w:val="00BB121D"/>
    <w:rsid w:val="00BC1B70"/>
    <w:rsid w:val="00BC586D"/>
    <w:rsid w:val="00BC61DA"/>
    <w:rsid w:val="00BD02F5"/>
    <w:rsid w:val="00BD1E9E"/>
    <w:rsid w:val="00BD25B9"/>
    <w:rsid w:val="00BD44CC"/>
    <w:rsid w:val="00BD4FC6"/>
    <w:rsid w:val="00BD6A48"/>
    <w:rsid w:val="00BE25DF"/>
    <w:rsid w:val="00BE6107"/>
    <w:rsid w:val="00BE638C"/>
    <w:rsid w:val="00BE64F4"/>
    <w:rsid w:val="00C03DC3"/>
    <w:rsid w:val="00C05ABE"/>
    <w:rsid w:val="00C148B0"/>
    <w:rsid w:val="00C1693E"/>
    <w:rsid w:val="00C261DF"/>
    <w:rsid w:val="00C26D04"/>
    <w:rsid w:val="00C33169"/>
    <w:rsid w:val="00C478C2"/>
    <w:rsid w:val="00C540A8"/>
    <w:rsid w:val="00C62E5D"/>
    <w:rsid w:val="00C6337E"/>
    <w:rsid w:val="00C633E4"/>
    <w:rsid w:val="00C654E6"/>
    <w:rsid w:val="00C663BC"/>
    <w:rsid w:val="00C71147"/>
    <w:rsid w:val="00C72104"/>
    <w:rsid w:val="00C72C7A"/>
    <w:rsid w:val="00C73E0B"/>
    <w:rsid w:val="00C92CB1"/>
    <w:rsid w:val="00C95315"/>
    <w:rsid w:val="00CA14C3"/>
    <w:rsid w:val="00CA1C07"/>
    <w:rsid w:val="00CA4095"/>
    <w:rsid w:val="00CA4F15"/>
    <w:rsid w:val="00CA508D"/>
    <w:rsid w:val="00CA5902"/>
    <w:rsid w:val="00CA5C72"/>
    <w:rsid w:val="00CA6E34"/>
    <w:rsid w:val="00CC0AFF"/>
    <w:rsid w:val="00CD517B"/>
    <w:rsid w:val="00CD5484"/>
    <w:rsid w:val="00CD7879"/>
    <w:rsid w:val="00CE25BC"/>
    <w:rsid w:val="00CE2C6D"/>
    <w:rsid w:val="00CF01BB"/>
    <w:rsid w:val="00CF12C9"/>
    <w:rsid w:val="00CF4C91"/>
    <w:rsid w:val="00CF74EC"/>
    <w:rsid w:val="00D03144"/>
    <w:rsid w:val="00D04A9C"/>
    <w:rsid w:val="00D12E06"/>
    <w:rsid w:val="00D22D80"/>
    <w:rsid w:val="00D32120"/>
    <w:rsid w:val="00D3327D"/>
    <w:rsid w:val="00D340B8"/>
    <w:rsid w:val="00D36D83"/>
    <w:rsid w:val="00D40C91"/>
    <w:rsid w:val="00D47459"/>
    <w:rsid w:val="00D4754A"/>
    <w:rsid w:val="00D545F6"/>
    <w:rsid w:val="00D55373"/>
    <w:rsid w:val="00D60071"/>
    <w:rsid w:val="00D74F15"/>
    <w:rsid w:val="00D76BC8"/>
    <w:rsid w:val="00D77FA9"/>
    <w:rsid w:val="00D82381"/>
    <w:rsid w:val="00D82972"/>
    <w:rsid w:val="00D82C11"/>
    <w:rsid w:val="00D85C64"/>
    <w:rsid w:val="00D942B5"/>
    <w:rsid w:val="00D94C1E"/>
    <w:rsid w:val="00D96899"/>
    <w:rsid w:val="00DB080C"/>
    <w:rsid w:val="00DB3024"/>
    <w:rsid w:val="00DB3CC1"/>
    <w:rsid w:val="00DB4B37"/>
    <w:rsid w:val="00DC0607"/>
    <w:rsid w:val="00DC0741"/>
    <w:rsid w:val="00DC6DCD"/>
    <w:rsid w:val="00DC7520"/>
    <w:rsid w:val="00DC7C31"/>
    <w:rsid w:val="00DD5FA6"/>
    <w:rsid w:val="00DE180B"/>
    <w:rsid w:val="00DE5607"/>
    <w:rsid w:val="00DE5A34"/>
    <w:rsid w:val="00DF351E"/>
    <w:rsid w:val="00DF4A1E"/>
    <w:rsid w:val="00DF4B72"/>
    <w:rsid w:val="00DF6539"/>
    <w:rsid w:val="00E02A5A"/>
    <w:rsid w:val="00E03AB0"/>
    <w:rsid w:val="00E04AEA"/>
    <w:rsid w:val="00E05D8F"/>
    <w:rsid w:val="00E1127D"/>
    <w:rsid w:val="00E145BF"/>
    <w:rsid w:val="00E15266"/>
    <w:rsid w:val="00E226FD"/>
    <w:rsid w:val="00E22E9E"/>
    <w:rsid w:val="00E22FF5"/>
    <w:rsid w:val="00E263B0"/>
    <w:rsid w:val="00E3169F"/>
    <w:rsid w:val="00E34810"/>
    <w:rsid w:val="00E357AC"/>
    <w:rsid w:val="00E3618B"/>
    <w:rsid w:val="00E363D3"/>
    <w:rsid w:val="00E367BC"/>
    <w:rsid w:val="00E3758D"/>
    <w:rsid w:val="00E40733"/>
    <w:rsid w:val="00E407A0"/>
    <w:rsid w:val="00E40EA2"/>
    <w:rsid w:val="00E411D5"/>
    <w:rsid w:val="00E4728D"/>
    <w:rsid w:val="00E51E3F"/>
    <w:rsid w:val="00E54050"/>
    <w:rsid w:val="00E56506"/>
    <w:rsid w:val="00E64449"/>
    <w:rsid w:val="00E70AB4"/>
    <w:rsid w:val="00E70D1B"/>
    <w:rsid w:val="00E75DD0"/>
    <w:rsid w:val="00E76703"/>
    <w:rsid w:val="00E91206"/>
    <w:rsid w:val="00E915A1"/>
    <w:rsid w:val="00E938A8"/>
    <w:rsid w:val="00E94D08"/>
    <w:rsid w:val="00E9615D"/>
    <w:rsid w:val="00E968BB"/>
    <w:rsid w:val="00EA3DE4"/>
    <w:rsid w:val="00EB3A71"/>
    <w:rsid w:val="00EC09BE"/>
    <w:rsid w:val="00EC4483"/>
    <w:rsid w:val="00EC7D8E"/>
    <w:rsid w:val="00ED1908"/>
    <w:rsid w:val="00ED415A"/>
    <w:rsid w:val="00ED52E5"/>
    <w:rsid w:val="00ED5F5C"/>
    <w:rsid w:val="00ED7457"/>
    <w:rsid w:val="00EE0FA2"/>
    <w:rsid w:val="00EE1E16"/>
    <w:rsid w:val="00EE373B"/>
    <w:rsid w:val="00EE4432"/>
    <w:rsid w:val="00EE4897"/>
    <w:rsid w:val="00EF1D2A"/>
    <w:rsid w:val="00EF1D92"/>
    <w:rsid w:val="00EF457B"/>
    <w:rsid w:val="00F02C05"/>
    <w:rsid w:val="00F04D5F"/>
    <w:rsid w:val="00F05412"/>
    <w:rsid w:val="00F06834"/>
    <w:rsid w:val="00F10DFE"/>
    <w:rsid w:val="00F144E0"/>
    <w:rsid w:val="00F15D5D"/>
    <w:rsid w:val="00F27148"/>
    <w:rsid w:val="00F27F84"/>
    <w:rsid w:val="00F37DDC"/>
    <w:rsid w:val="00F41590"/>
    <w:rsid w:val="00F449F6"/>
    <w:rsid w:val="00F469E4"/>
    <w:rsid w:val="00F5279C"/>
    <w:rsid w:val="00F52886"/>
    <w:rsid w:val="00F54121"/>
    <w:rsid w:val="00F54A38"/>
    <w:rsid w:val="00F57263"/>
    <w:rsid w:val="00F601EF"/>
    <w:rsid w:val="00F610AF"/>
    <w:rsid w:val="00F63252"/>
    <w:rsid w:val="00F63DBD"/>
    <w:rsid w:val="00F6641C"/>
    <w:rsid w:val="00F67672"/>
    <w:rsid w:val="00F70633"/>
    <w:rsid w:val="00F71A60"/>
    <w:rsid w:val="00F721D8"/>
    <w:rsid w:val="00F72360"/>
    <w:rsid w:val="00F7326A"/>
    <w:rsid w:val="00F81B48"/>
    <w:rsid w:val="00F84B57"/>
    <w:rsid w:val="00F91A9D"/>
    <w:rsid w:val="00F91BF0"/>
    <w:rsid w:val="00F927CB"/>
    <w:rsid w:val="00F95EA9"/>
    <w:rsid w:val="00F97368"/>
    <w:rsid w:val="00FA07CD"/>
    <w:rsid w:val="00FA2D02"/>
    <w:rsid w:val="00FA36E9"/>
    <w:rsid w:val="00FA4B97"/>
    <w:rsid w:val="00FA7E33"/>
    <w:rsid w:val="00FB2E19"/>
    <w:rsid w:val="00FB32BC"/>
    <w:rsid w:val="00FB4EEB"/>
    <w:rsid w:val="00FB5FA4"/>
    <w:rsid w:val="00FC4AA1"/>
    <w:rsid w:val="00FD2DD5"/>
    <w:rsid w:val="00FD3FF2"/>
    <w:rsid w:val="00FD46DD"/>
    <w:rsid w:val="00FD53C4"/>
    <w:rsid w:val="00FD7E01"/>
    <w:rsid w:val="00FE0C19"/>
    <w:rsid w:val="00FE4446"/>
    <w:rsid w:val="00FE6C7F"/>
    <w:rsid w:val="00FF039C"/>
    <w:rsid w:val="00FF379A"/>
    <w:rsid w:val="00FF5B3D"/>
    <w:rsid w:val="00FF63C6"/>
    <w:rsid w:val="00FF6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A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97B"/>
    <w:rPr>
      <w:rFonts w:ascii="Calibri" w:hAnsi="Calibri" w:cs="Calibri"/>
    </w:rPr>
  </w:style>
  <w:style w:type="paragraph" w:styleId="ListParagraph">
    <w:name w:val="List Paragraph"/>
    <w:basedOn w:val="Normal"/>
    <w:link w:val="ListParagraphChar"/>
    <w:uiPriority w:val="34"/>
    <w:qFormat/>
    <w:rsid w:val="002723CE"/>
    <w:pPr>
      <w:ind w:left="720"/>
      <w:contextualSpacing/>
    </w:pPr>
  </w:style>
  <w:style w:type="paragraph" w:styleId="NoSpacing">
    <w:name w:val="No Spacing"/>
    <w:uiPriority w:val="1"/>
    <w:qFormat/>
    <w:rsid w:val="003C2388"/>
    <w:pPr>
      <w:spacing w:after="0" w:line="240" w:lineRule="auto"/>
    </w:pPr>
    <w:rPr>
      <w:rFonts w:ascii="Times New Roman" w:eastAsia="Calibri" w:hAnsi="Times New Roman" w:cs="Times New Roman"/>
      <w:sz w:val="24"/>
      <w:szCs w:val="24"/>
    </w:rPr>
  </w:style>
  <w:style w:type="paragraph" w:customStyle="1" w:styleId="Lindas9">
    <w:name w:val="Lindas_9"/>
    <w:basedOn w:val="Normal"/>
    <w:next w:val="BodyText"/>
    <w:rsid w:val="003C2388"/>
    <w:pPr>
      <w:numPr>
        <w:ilvl w:val="8"/>
        <w:numId w:val="3"/>
      </w:numPr>
      <w:spacing w:before="240" w:after="240"/>
      <w:outlineLvl w:val="8"/>
    </w:pPr>
  </w:style>
  <w:style w:type="paragraph" w:customStyle="1" w:styleId="Lindas8">
    <w:name w:val="Lindas_8"/>
    <w:basedOn w:val="Normal"/>
    <w:next w:val="BodyText"/>
    <w:rsid w:val="003C2388"/>
    <w:pPr>
      <w:numPr>
        <w:ilvl w:val="7"/>
        <w:numId w:val="3"/>
      </w:numPr>
      <w:spacing w:before="240" w:after="240"/>
      <w:outlineLvl w:val="7"/>
    </w:pPr>
  </w:style>
  <w:style w:type="paragraph" w:customStyle="1" w:styleId="Lindas7">
    <w:name w:val="Lindas_7"/>
    <w:basedOn w:val="Normal"/>
    <w:next w:val="BodyText"/>
    <w:rsid w:val="003C2388"/>
    <w:pPr>
      <w:numPr>
        <w:ilvl w:val="6"/>
        <w:numId w:val="3"/>
      </w:numPr>
      <w:spacing w:before="240" w:after="240"/>
      <w:outlineLvl w:val="6"/>
    </w:pPr>
  </w:style>
  <w:style w:type="paragraph" w:customStyle="1" w:styleId="Lindas6">
    <w:name w:val="Lindas_6"/>
    <w:basedOn w:val="Normal"/>
    <w:next w:val="BodyText"/>
    <w:rsid w:val="003C2388"/>
    <w:pPr>
      <w:numPr>
        <w:ilvl w:val="5"/>
        <w:numId w:val="3"/>
      </w:numPr>
      <w:spacing w:before="240" w:after="240" w:line="360" w:lineRule="auto"/>
      <w:jc w:val="both"/>
      <w:outlineLvl w:val="5"/>
    </w:pPr>
    <w:rPr>
      <w:i/>
    </w:rPr>
  </w:style>
  <w:style w:type="paragraph" w:customStyle="1" w:styleId="Lindas5">
    <w:name w:val="Lindas_5"/>
    <w:basedOn w:val="Normal"/>
    <w:next w:val="BodyText"/>
    <w:rsid w:val="003C2388"/>
    <w:pPr>
      <w:numPr>
        <w:ilvl w:val="4"/>
        <w:numId w:val="3"/>
      </w:numPr>
      <w:spacing w:before="240" w:after="240" w:line="480" w:lineRule="auto"/>
      <w:jc w:val="both"/>
      <w:outlineLvl w:val="4"/>
    </w:pPr>
  </w:style>
  <w:style w:type="paragraph" w:customStyle="1" w:styleId="Lindas4">
    <w:name w:val="Lindas_4"/>
    <w:basedOn w:val="Normal"/>
    <w:next w:val="BodyText"/>
    <w:rsid w:val="003C2388"/>
    <w:pPr>
      <w:numPr>
        <w:ilvl w:val="3"/>
        <w:numId w:val="3"/>
      </w:numPr>
      <w:spacing w:before="240" w:after="240" w:line="480" w:lineRule="auto"/>
      <w:jc w:val="both"/>
      <w:outlineLvl w:val="3"/>
    </w:pPr>
  </w:style>
  <w:style w:type="paragraph" w:customStyle="1" w:styleId="Lindas3">
    <w:name w:val="Lindas_3"/>
    <w:basedOn w:val="Normal"/>
    <w:next w:val="BodyText"/>
    <w:link w:val="Lindas3Char"/>
    <w:rsid w:val="003C2388"/>
    <w:pPr>
      <w:numPr>
        <w:ilvl w:val="2"/>
        <w:numId w:val="3"/>
      </w:numPr>
      <w:spacing w:before="240" w:after="240" w:line="480" w:lineRule="auto"/>
      <w:jc w:val="both"/>
      <w:outlineLvl w:val="2"/>
    </w:pPr>
  </w:style>
  <w:style w:type="character" w:customStyle="1" w:styleId="Lindas3Char">
    <w:name w:val="Lindas_3 Char"/>
    <w:link w:val="Lindas3"/>
    <w:rsid w:val="003C2388"/>
    <w:rPr>
      <w:rFonts w:ascii="Times New Roman" w:eastAsia="Times New Roman" w:hAnsi="Times New Roman" w:cs="Times New Roman"/>
      <w:sz w:val="24"/>
      <w:szCs w:val="24"/>
    </w:rPr>
  </w:style>
  <w:style w:type="paragraph" w:customStyle="1" w:styleId="Lindas2">
    <w:name w:val="Lindas_2"/>
    <w:basedOn w:val="Normal"/>
    <w:next w:val="BodyText"/>
    <w:rsid w:val="003C2388"/>
    <w:pPr>
      <w:widowControl w:val="0"/>
      <w:numPr>
        <w:ilvl w:val="1"/>
        <w:numId w:val="3"/>
      </w:numPr>
      <w:spacing w:before="240" w:after="240" w:line="360" w:lineRule="auto"/>
      <w:jc w:val="both"/>
      <w:outlineLvl w:val="1"/>
    </w:pPr>
    <w:rPr>
      <w:rFonts w:ascii="Times New Roman Bold"/>
      <w:b/>
    </w:rPr>
  </w:style>
  <w:style w:type="paragraph" w:customStyle="1" w:styleId="Lindas1">
    <w:name w:val="Lindas_1"/>
    <w:basedOn w:val="Normal"/>
    <w:next w:val="BodyText"/>
    <w:rsid w:val="003C2388"/>
    <w:pPr>
      <w:keepNext/>
      <w:widowControl w:val="0"/>
      <w:numPr>
        <w:numId w:val="3"/>
      </w:numPr>
      <w:spacing w:before="240" w:after="240" w:line="360" w:lineRule="auto"/>
      <w:jc w:val="both"/>
      <w:outlineLvl w:val="0"/>
    </w:pPr>
    <w:rPr>
      <w:b/>
      <w:caps/>
    </w:rPr>
  </w:style>
  <w:style w:type="character" w:styleId="Hyperlink">
    <w:name w:val="Hyperlink"/>
    <w:uiPriority w:val="99"/>
    <w:unhideWhenUsed/>
    <w:rsid w:val="003C2388"/>
    <w:rPr>
      <w:color w:val="0044BB"/>
      <w:u w:val="single"/>
    </w:rPr>
  </w:style>
  <w:style w:type="paragraph" w:styleId="EndnoteText">
    <w:name w:val="endnote text"/>
    <w:aliases w:val="en"/>
    <w:basedOn w:val="Normal"/>
    <w:link w:val="EndnoteTextChar"/>
    <w:uiPriority w:val="99"/>
    <w:unhideWhenUsed/>
    <w:rsid w:val="003C2388"/>
    <w:pPr>
      <w:spacing w:after="240"/>
    </w:pPr>
    <w:rPr>
      <w:rFonts w:eastAsia="Calibri"/>
      <w:sz w:val="20"/>
      <w:szCs w:val="20"/>
    </w:rPr>
  </w:style>
  <w:style w:type="character" w:customStyle="1" w:styleId="EndnoteTextChar">
    <w:name w:val="Endnote Text Char"/>
    <w:aliases w:val="en Char"/>
    <w:basedOn w:val="DefaultParagraphFont"/>
    <w:link w:val="EndnoteText"/>
    <w:uiPriority w:val="99"/>
    <w:rsid w:val="003C2388"/>
    <w:rPr>
      <w:rFonts w:ascii="Times New Roman" w:eastAsia="Calibri" w:hAnsi="Times New Roman" w:cs="Times New Roman"/>
      <w:sz w:val="20"/>
      <w:szCs w:val="20"/>
    </w:rPr>
  </w:style>
  <w:style w:type="character" w:styleId="EndnoteReference">
    <w:name w:val="endnote reference"/>
    <w:uiPriority w:val="99"/>
    <w:unhideWhenUsed/>
    <w:rsid w:val="003C2388"/>
    <w:rPr>
      <w:vertAlign w:val="superscript"/>
    </w:rPr>
  </w:style>
  <w:style w:type="paragraph" w:styleId="HTMLPreformatted">
    <w:name w:val="HTML Preformatted"/>
    <w:basedOn w:val="Normal"/>
    <w:link w:val="HTMLPreformattedChar"/>
    <w:uiPriority w:val="99"/>
    <w:unhideWhenUsed/>
    <w:rsid w:val="003C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C2388"/>
    <w:rPr>
      <w:rFonts w:ascii="Courier New" w:eastAsia="Times New Roman" w:hAnsi="Courier New" w:cs="Courier New"/>
      <w:sz w:val="20"/>
      <w:szCs w:val="20"/>
      <w:lang w:val="en-GB" w:eastAsia="en-GB"/>
    </w:rPr>
  </w:style>
  <w:style w:type="paragraph" w:styleId="BodyText">
    <w:name w:val="Body Text"/>
    <w:basedOn w:val="Normal"/>
    <w:link w:val="BodyTextChar"/>
    <w:uiPriority w:val="99"/>
    <w:unhideWhenUsed/>
    <w:rsid w:val="003C2388"/>
    <w:pPr>
      <w:spacing w:after="120"/>
    </w:pPr>
  </w:style>
  <w:style w:type="character" w:customStyle="1" w:styleId="BodyTextChar">
    <w:name w:val="Body Text Char"/>
    <w:basedOn w:val="DefaultParagraphFont"/>
    <w:link w:val="BodyText"/>
    <w:uiPriority w:val="1"/>
    <w:rsid w:val="003C2388"/>
  </w:style>
  <w:style w:type="paragraph" w:styleId="FootnoteText">
    <w:name w:val="footnote text"/>
    <w:aliases w:val="Footnote reference,FA Fu,Footnote Text Char Char Char Char Char,Footnote Text Char Char Char Char,Footnote Text Char Char Char,Footnote Text Char Char Char Char Char Char Char Char,ft"/>
    <w:basedOn w:val="Normal"/>
    <w:link w:val="FootnoteTextChar"/>
    <w:uiPriority w:val="99"/>
    <w:unhideWhenUsed/>
    <w:rsid w:val="003C2388"/>
    <w:rPr>
      <w:sz w:val="20"/>
      <w:szCs w:val="20"/>
      <w:lang w:val="fr-CH"/>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ft Char"/>
    <w:basedOn w:val="DefaultParagraphFont"/>
    <w:link w:val="FootnoteText"/>
    <w:uiPriority w:val="99"/>
    <w:rsid w:val="003C2388"/>
    <w:rPr>
      <w:sz w:val="20"/>
      <w:szCs w:val="20"/>
      <w:lang w:val="fr-CH"/>
    </w:rPr>
  </w:style>
  <w:style w:type="paragraph" w:customStyle="1" w:styleId="Body1">
    <w:name w:val="Body 1"/>
    <w:rsid w:val="003C2388"/>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3C2388"/>
    <w:pPr>
      <w:spacing w:before="100" w:beforeAutospacing="1" w:after="100" w:afterAutospacing="1"/>
    </w:pPr>
  </w:style>
  <w:style w:type="paragraph" w:styleId="Header">
    <w:name w:val="header"/>
    <w:basedOn w:val="Normal"/>
    <w:link w:val="HeaderChar"/>
    <w:uiPriority w:val="99"/>
    <w:unhideWhenUsed/>
    <w:rsid w:val="006B3E73"/>
    <w:pPr>
      <w:tabs>
        <w:tab w:val="center" w:pos="4680"/>
        <w:tab w:val="right" w:pos="9360"/>
      </w:tabs>
    </w:pPr>
  </w:style>
  <w:style w:type="character" w:customStyle="1" w:styleId="HeaderChar">
    <w:name w:val="Header Char"/>
    <w:basedOn w:val="DefaultParagraphFont"/>
    <w:link w:val="Header"/>
    <w:uiPriority w:val="99"/>
    <w:rsid w:val="006B3E73"/>
  </w:style>
  <w:style w:type="paragraph" w:styleId="Footer">
    <w:name w:val="footer"/>
    <w:basedOn w:val="Normal"/>
    <w:link w:val="FooterChar"/>
    <w:uiPriority w:val="99"/>
    <w:unhideWhenUsed/>
    <w:rsid w:val="006B3E73"/>
    <w:pPr>
      <w:tabs>
        <w:tab w:val="center" w:pos="4680"/>
        <w:tab w:val="right" w:pos="9360"/>
      </w:tabs>
    </w:pPr>
  </w:style>
  <w:style w:type="character" w:customStyle="1" w:styleId="FooterChar">
    <w:name w:val="Footer Char"/>
    <w:basedOn w:val="DefaultParagraphFont"/>
    <w:link w:val="Footer"/>
    <w:uiPriority w:val="99"/>
    <w:rsid w:val="006B3E73"/>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
    <w:basedOn w:val="DefaultParagraphFont"/>
    <w:link w:val="Char2"/>
    <w:uiPriority w:val="99"/>
    <w:unhideWhenUsed/>
    <w:rsid w:val="00135FFA"/>
    <w:rPr>
      <w:vertAlign w:val="superscript"/>
    </w:rPr>
  </w:style>
  <w:style w:type="paragraph" w:styleId="CommentText">
    <w:name w:val="annotation text"/>
    <w:basedOn w:val="Normal"/>
    <w:link w:val="CommentTextChar"/>
    <w:uiPriority w:val="99"/>
    <w:semiHidden/>
    <w:unhideWhenUsed/>
    <w:rsid w:val="00D74F15"/>
    <w:rPr>
      <w:sz w:val="20"/>
      <w:szCs w:val="20"/>
      <w:lang w:val="fr-CH"/>
    </w:rPr>
  </w:style>
  <w:style w:type="character" w:customStyle="1" w:styleId="CommentTextChar">
    <w:name w:val="Comment Text Char"/>
    <w:basedOn w:val="DefaultParagraphFont"/>
    <w:link w:val="CommentText"/>
    <w:uiPriority w:val="99"/>
    <w:semiHidden/>
    <w:rsid w:val="00D74F15"/>
    <w:rPr>
      <w:sz w:val="20"/>
      <w:szCs w:val="20"/>
      <w:lang w:val="fr-CH"/>
    </w:rPr>
  </w:style>
  <w:style w:type="character" w:styleId="SubtleReference">
    <w:name w:val="Subtle Reference"/>
    <w:basedOn w:val="DefaultParagraphFont"/>
    <w:uiPriority w:val="31"/>
    <w:qFormat/>
    <w:rsid w:val="00D74F15"/>
    <w:rPr>
      <w:smallCaps/>
      <w:color w:val="auto"/>
    </w:rPr>
  </w:style>
  <w:style w:type="character" w:customStyle="1" w:styleId="submitted">
    <w:name w:val="submitted"/>
    <w:basedOn w:val="DefaultParagraphFont"/>
    <w:rsid w:val="00651F4D"/>
  </w:style>
  <w:style w:type="character" w:styleId="Strong">
    <w:name w:val="Strong"/>
    <w:basedOn w:val="DefaultParagraphFont"/>
    <w:uiPriority w:val="22"/>
    <w:qFormat/>
    <w:rsid w:val="00651F4D"/>
    <w:rPr>
      <w:b/>
      <w:bCs/>
    </w:rPr>
  </w:style>
  <w:style w:type="paragraph" w:customStyle="1" w:styleId="Num1">
    <w:name w:val="Num1"/>
    <w:basedOn w:val="BodyText"/>
    <w:rsid w:val="004B7866"/>
    <w:pPr>
      <w:numPr>
        <w:numId w:val="9"/>
      </w:numPr>
      <w:spacing w:after="240"/>
    </w:pPr>
    <w:rPr>
      <w:rFonts w:ascii="Times New Roman Bold" w:eastAsiaTheme="minorHAnsi" w:hAnsi="Times New Roman Bold" w:cstheme="minorBidi"/>
      <w:b/>
      <w:u w:val="single"/>
    </w:rPr>
  </w:style>
  <w:style w:type="paragraph" w:customStyle="1" w:styleId="Char2">
    <w:name w:val="Char2"/>
    <w:basedOn w:val="Normal"/>
    <w:link w:val="FootnoteReference"/>
    <w:uiPriority w:val="99"/>
    <w:rsid w:val="004B7866"/>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E75DD0"/>
    <w:rPr>
      <w:color w:val="605E5C"/>
      <w:shd w:val="clear" w:color="auto" w:fill="E1DFDD"/>
    </w:rPr>
  </w:style>
  <w:style w:type="character" w:styleId="CommentReference">
    <w:name w:val="annotation reference"/>
    <w:basedOn w:val="DefaultParagraphFont"/>
    <w:uiPriority w:val="99"/>
    <w:semiHidden/>
    <w:unhideWhenUsed/>
    <w:rsid w:val="007C54BA"/>
    <w:rPr>
      <w:sz w:val="16"/>
      <w:szCs w:val="16"/>
    </w:rPr>
  </w:style>
  <w:style w:type="paragraph" w:styleId="CommentSubject">
    <w:name w:val="annotation subject"/>
    <w:basedOn w:val="CommentText"/>
    <w:next w:val="CommentText"/>
    <w:link w:val="CommentSubjectChar"/>
    <w:uiPriority w:val="99"/>
    <w:semiHidden/>
    <w:unhideWhenUsed/>
    <w:rsid w:val="007C54BA"/>
    <w:rPr>
      <w:b/>
      <w:bCs/>
      <w:lang w:val="en-US"/>
    </w:rPr>
  </w:style>
  <w:style w:type="character" w:customStyle="1" w:styleId="CommentSubjectChar">
    <w:name w:val="Comment Subject Char"/>
    <w:basedOn w:val="CommentTextChar"/>
    <w:link w:val="CommentSubject"/>
    <w:uiPriority w:val="99"/>
    <w:semiHidden/>
    <w:rsid w:val="007C54BA"/>
    <w:rPr>
      <w:rFonts w:ascii="Times New Roman" w:eastAsia="Times New Roman" w:hAnsi="Times New Roman" w:cs="Times New Roman"/>
      <w:b/>
      <w:bCs/>
      <w:sz w:val="20"/>
      <w:szCs w:val="20"/>
      <w:lang w:val="fr-CH"/>
    </w:rPr>
  </w:style>
  <w:style w:type="paragraph" w:styleId="BalloonText">
    <w:name w:val="Balloon Text"/>
    <w:basedOn w:val="Normal"/>
    <w:link w:val="BalloonTextChar"/>
    <w:uiPriority w:val="99"/>
    <w:semiHidden/>
    <w:unhideWhenUsed/>
    <w:rsid w:val="007C54BA"/>
    <w:rPr>
      <w:sz w:val="18"/>
      <w:szCs w:val="18"/>
    </w:rPr>
  </w:style>
  <w:style w:type="character" w:customStyle="1" w:styleId="BalloonTextChar">
    <w:name w:val="Balloon Text Char"/>
    <w:basedOn w:val="DefaultParagraphFont"/>
    <w:link w:val="BalloonText"/>
    <w:uiPriority w:val="99"/>
    <w:semiHidden/>
    <w:rsid w:val="007C54BA"/>
    <w:rPr>
      <w:rFonts w:ascii="Times New Roman" w:eastAsia="Times New Roman" w:hAnsi="Times New Roman" w:cs="Times New Roman"/>
      <w:sz w:val="18"/>
      <w:szCs w:val="18"/>
    </w:rPr>
  </w:style>
  <w:style w:type="character" w:customStyle="1" w:styleId="ListParagraphChar">
    <w:name w:val="List Paragraph Char"/>
    <w:basedOn w:val="DefaultParagraphFont"/>
    <w:link w:val="ListParagraph"/>
    <w:uiPriority w:val="34"/>
    <w:rsid w:val="00265038"/>
    <w:rPr>
      <w:rFonts w:ascii="Times New Roman" w:eastAsia="Times New Roman" w:hAnsi="Times New Roman" w:cs="Times New Roman"/>
      <w:sz w:val="24"/>
      <w:szCs w:val="24"/>
    </w:rPr>
  </w:style>
  <w:style w:type="paragraph" w:customStyle="1" w:styleId="WBodyText">
    <w:name w:val="WBodyText"/>
    <w:basedOn w:val="Normal"/>
    <w:link w:val="WBodyTextChar"/>
    <w:uiPriority w:val="9"/>
    <w:qFormat/>
    <w:rsid w:val="006D00F8"/>
    <w:pPr>
      <w:spacing w:after="200" w:line="288" w:lineRule="auto"/>
      <w:jc w:val="both"/>
    </w:pPr>
    <w:rPr>
      <w:rFonts w:ascii="Arial" w:hAnsi="Arial"/>
      <w:bCs/>
      <w:sz w:val="20"/>
      <w:lang w:val="en-GB"/>
    </w:rPr>
  </w:style>
  <w:style w:type="character" w:customStyle="1" w:styleId="WBodyTextChar">
    <w:name w:val="WBodyText Char"/>
    <w:basedOn w:val="DefaultParagraphFont"/>
    <w:link w:val="WBodyText"/>
    <w:uiPriority w:val="9"/>
    <w:rsid w:val="006D00F8"/>
    <w:rPr>
      <w:rFonts w:ascii="Arial" w:eastAsia="Times New Roman" w:hAnsi="Arial" w:cs="Times New Roman"/>
      <w:bCs/>
      <w:sz w:val="20"/>
      <w:szCs w:val="24"/>
      <w:lang w:val="en-GB"/>
    </w:rPr>
  </w:style>
  <w:style w:type="character" w:customStyle="1" w:styleId="h2">
    <w:name w:val="h2"/>
    <w:basedOn w:val="DefaultParagraphFont"/>
    <w:rsid w:val="006D00F8"/>
  </w:style>
  <w:style w:type="character" w:styleId="FollowedHyperlink">
    <w:name w:val="FollowedHyperlink"/>
    <w:basedOn w:val="DefaultParagraphFont"/>
    <w:uiPriority w:val="99"/>
    <w:semiHidden/>
    <w:unhideWhenUsed/>
    <w:rsid w:val="00165528"/>
    <w:rPr>
      <w:color w:val="954F72" w:themeColor="followedHyperlink"/>
      <w:u w:val="single"/>
    </w:rPr>
  </w:style>
  <w:style w:type="character" w:styleId="PageNumber">
    <w:name w:val="page number"/>
    <w:basedOn w:val="DefaultParagraphFont"/>
    <w:uiPriority w:val="99"/>
    <w:semiHidden/>
    <w:unhideWhenUsed/>
    <w:rsid w:val="003B6F0F"/>
  </w:style>
  <w:style w:type="character" w:customStyle="1" w:styleId="apple-converted-space">
    <w:name w:val="apple-converted-space"/>
    <w:basedOn w:val="DefaultParagraphFont"/>
    <w:rsid w:val="00DF4A1E"/>
  </w:style>
  <w:style w:type="character" w:customStyle="1" w:styleId="UnresolvedMention2">
    <w:name w:val="Unresolved Mention2"/>
    <w:basedOn w:val="DefaultParagraphFont"/>
    <w:uiPriority w:val="99"/>
    <w:semiHidden/>
    <w:unhideWhenUsed/>
    <w:rsid w:val="005731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97B"/>
    <w:rPr>
      <w:rFonts w:ascii="Calibri" w:hAnsi="Calibri" w:cs="Calibri"/>
    </w:rPr>
  </w:style>
  <w:style w:type="paragraph" w:styleId="ListParagraph">
    <w:name w:val="List Paragraph"/>
    <w:basedOn w:val="Normal"/>
    <w:link w:val="ListParagraphChar"/>
    <w:uiPriority w:val="34"/>
    <w:qFormat/>
    <w:rsid w:val="002723CE"/>
    <w:pPr>
      <w:ind w:left="720"/>
      <w:contextualSpacing/>
    </w:pPr>
  </w:style>
  <w:style w:type="paragraph" w:styleId="NoSpacing">
    <w:name w:val="No Spacing"/>
    <w:uiPriority w:val="1"/>
    <w:qFormat/>
    <w:rsid w:val="003C2388"/>
    <w:pPr>
      <w:spacing w:after="0" w:line="240" w:lineRule="auto"/>
    </w:pPr>
    <w:rPr>
      <w:rFonts w:ascii="Times New Roman" w:eastAsia="Calibri" w:hAnsi="Times New Roman" w:cs="Times New Roman"/>
      <w:sz w:val="24"/>
      <w:szCs w:val="24"/>
    </w:rPr>
  </w:style>
  <w:style w:type="paragraph" w:customStyle="1" w:styleId="Lindas9">
    <w:name w:val="Lindas_9"/>
    <w:basedOn w:val="Normal"/>
    <w:next w:val="BodyText"/>
    <w:rsid w:val="003C2388"/>
    <w:pPr>
      <w:numPr>
        <w:ilvl w:val="8"/>
        <w:numId w:val="3"/>
      </w:numPr>
      <w:spacing w:before="240" w:after="240"/>
      <w:outlineLvl w:val="8"/>
    </w:pPr>
  </w:style>
  <w:style w:type="paragraph" w:customStyle="1" w:styleId="Lindas8">
    <w:name w:val="Lindas_8"/>
    <w:basedOn w:val="Normal"/>
    <w:next w:val="BodyText"/>
    <w:rsid w:val="003C2388"/>
    <w:pPr>
      <w:numPr>
        <w:ilvl w:val="7"/>
        <w:numId w:val="3"/>
      </w:numPr>
      <w:spacing w:before="240" w:after="240"/>
      <w:outlineLvl w:val="7"/>
    </w:pPr>
  </w:style>
  <w:style w:type="paragraph" w:customStyle="1" w:styleId="Lindas7">
    <w:name w:val="Lindas_7"/>
    <w:basedOn w:val="Normal"/>
    <w:next w:val="BodyText"/>
    <w:rsid w:val="003C2388"/>
    <w:pPr>
      <w:numPr>
        <w:ilvl w:val="6"/>
        <w:numId w:val="3"/>
      </w:numPr>
      <w:spacing w:before="240" w:after="240"/>
      <w:outlineLvl w:val="6"/>
    </w:pPr>
  </w:style>
  <w:style w:type="paragraph" w:customStyle="1" w:styleId="Lindas6">
    <w:name w:val="Lindas_6"/>
    <w:basedOn w:val="Normal"/>
    <w:next w:val="BodyText"/>
    <w:rsid w:val="003C2388"/>
    <w:pPr>
      <w:numPr>
        <w:ilvl w:val="5"/>
        <w:numId w:val="3"/>
      </w:numPr>
      <w:spacing w:before="240" w:after="240" w:line="360" w:lineRule="auto"/>
      <w:jc w:val="both"/>
      <w:outlineLvl w:val="5"/>
    </w:pPr>
    <w:rPr>
      <w:i/>
    </w:rPr>
  </w:style>
  <w:style w:type="paragraph" w:customStyle="1" w:styleId="Lindas5">
    <w:name w:val="Lindas_5"/>
    <w:basedOn w:val="Normal"/>
    <w:next w:val="BodyText"/>
    <w:rsid w:val="003C2388"/>
    <w:pPr>
      <w:numPr>
        <w:ilvl w:val="4"/>
        <w:numId w:val="3"/>
      </w:numPr>
      <w:spacing w:before="240" w:after="240" w:line="480" w:lineRule="auto"/>
      <w:jc w:val="both"/>
      <w:outlineLvl w:val="4"/>
    </w:pPr>
  </w:style>
  <w:style w:type="paragraph" w:customStyle="1" w:styleId="Lindas4">
    <w:name w:val="Lindas_4"/>
    <w:basedOn w:val="Normal"/>
    <w:next w:val="BodyText"/>
    <w:rsid w:val="003C2388"/>
    <w:pPr>
      <w:numPr>
        <w:ilvl w:val="3"/>
        <w:numId w:val="3"/>
      </w:numPr>
      <w:spacing w:before="240" w:after="240" w:line="480" w:lineRule="auto"/>
      <w:jc w:val="both"/>
      <w:outlineLvl w:val="3"/>
    </w:pPr>
  </w:style>
  <w:style w:type="paragraph" w:customStyle="1" w:styleId="Lindas3">
    <w:name w:val="Lindas_3"/>
    <w:basedOn w:val="Normal"/>
    <w:next w:val="BodyText"/>
    <w:link w:val="Lindas3Char"/>
    <w:rsid w:val="003C2388"/>
    <w:pPr>
      <w:numPr>
        <w:ilvl w:val="2"/>
        <w:numId w:val="3"/>
      </w:numPr>
      <w:spacing w:before="240" w:after="240" w:line="480" w:lineRule="auto"/>
      <w:jc w:val="both"/>
      <w:outlineLvl w:val="2"/>
    </w:pPr>
  </w:style>
  <w:style w:type="character" w:customStyle="1" w:styleId="Lindas3Char">
    <w:name w:val="Lindas_3 Char"/>
    <w:link w:val="Lindas3"/>
    <w:rsid w:val="003C2388"/>
    <w:rPr>
      <w:rFonts w:ascii="Times New Roman" w:eastAsia="Times New Roman" w:hAnsi="Times New Roman" w:cs="Times New Roman"/>
      <w:sz w:val="24"/>
      <w:szCs w:val="24"/>
    </w:rPr>
  </w:style>
  <w:style w:type="paragraph" w:customStyle="1" w:styleId="Lindas2">
    <w:name w:val="Lindas_2"/>
    <w:basedOn w:val="Normal"/>
    <w:next w:val="BodyText"/>
    <w:rsid w:val="003C2388"/>
    <w:pPr>
      <w:widowControl w:val="0"/>
      <w:numPr>
        <w:ilvl w:val="1"/>
        <w:numId w:val="3"/>
      </w:numPr>
      <w:spacing w:before="240" w:after="240" w:line="360" w:lineRule="auto"/>
      <w:jc w:val="both"/>
      <w:outlineLvl w:val="1"/>
    </w:pPr>
    <w:rPr>
      <w:rFonts w:ascii="Times New Roman Bold"/>
      <w:b/>
    </w:rPr>
  </w:style>
  <w:style w:type="paragraph" w:customStyle="1" w:styleId="Lindas1">
    <w:name w:val="Lindas_1"/>
    <w:basedOn w:val="Normal"/>
    <w:next w:val="BodyText"/>
    <w:rsid w:val="003C2388"/>
    <w:pPr>
      <w:keepNext/>
      <w:widowControl w:val="0"/>
      <w:numPr>
        <w:numId w:val="3"/>
      </w:numPr>
      <w:spacing w:before="240" w:after="240" w:line="360" w:lineRule="auto"/>
      <w:jc w:val="both"/>
      <w:outlineLvl w:val="0"/>
    </w:pPr>
    <w:rPr>
      <w:b/>
      <w:caps/>
    </w:rPr>
  </w:style>
  <w:style w:type="character" w:styleId="Hyperlink">
    <w:name w:val="Hyperlink"/>
    <w:uiPriority w:val="99"/>
    <w:unhideWhenUsed/>
    <w:rsid w:val="003C2388"/>
    <w:rPr>
      <w:color w:val="0044BB"/>
      <w:u w:val="single"/>
    </w:rPr>
  </w:style>
  <w:style w:type="paragraph" w:styleId="EndnoteText">
    <w:name w:val="endnote text"/>
    <w:aliases w:val="en"/>
    <w:basedOn w:val="Normal"/>
    <w:link w:val="EndnoteTextChar"/>
    <w:uiPriority w:val="99"/>
    <w:unhideWhenUsed/>
    <w:rsid w:val="003C2388"/>
    <w:pPr>
      <w:spacing w:after="240"/>
    </w:pPr>
    <w:rPr>
      <w:rFonts w:eastAsia="Calibri"/>
      <w:sz w:val="20"/>
      <w:szCs w:val="20"/>
    </w:rPr>
  </w:style>
  <w:style w:type="character" w:customStyle="1" w:styleId="EndnoteTextChar">
    <w:name w:val="Endnote Text Char"/>
    <w:aliases w:val="en Char"/>
    <w:basedOn w:val="DefaultParagraphFont"/>
    <w:link w:val="EndnoteText"/>
    <w:uiPriority w:val="99"/>
    <w:rsid w:val="003C2388"/>
    <w:rPr>
      <w:rFonts w:ascii="Times New Roman" w:eastAsia="Calibri" w:hAnsi="Times New Roman" w:cs="Times New Roman"/>
      <w:sz w:val="20"/>
      <w:szCs w:val="20"/>
    </w:rPr>
  </w:style>
  <w:style w:type="character" w:styleId="EndnoteReference">
    <w:name w:val="endnote reference"/>
    <w:uiPriority w:val="99"/>
    <w:unhideWhenUsed/>
    <w:rsid w:val="003C2388"/>
    <w:rPr>
      <w:vertAlign w:val="superscript"/>
    </w:rPr>
  </w:style>
  <w:style w:type="paragraph" w:styleId="HTMLPreformatted">
    <w:name w:val="HTML Preformatted"/>
    <w:basedOn w:val="Normal"/>
    <w:link w:val="HTMLPreformattedChar"/>
    <w:uiPriority w:val="99"/>
    <w:unhideWhenUsed/>
    <w:rsid w:val="003C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C2388"/>
    <w:rPr>
      <w:rFonts w:ascii="Courier New" w:eastAsia="Times New Roman" w:hAnsi="Courier New" w:cs="Courier New"/>
      <w:sz w:val="20"/>
      <w:szCs w:val="20"/>
      <w:lang w:val="en-GB" w:eastAsia="en-GB"/>
    </w:rPr>
  </w:style>
  <w:style w:type="paragraph" w:styleId="BodyText">
    <w:name w:val="Body Text"/>
    <w:basedOn w:val="Normal"/>
    <w:link w:val="BodyTextChar"/>
    <w:uiPriority w:val="99"/>
    <w:unhideWhenUsed/>
    <w:rsid w:val="003C2388"/>
    <w:pPr>
      <w:spacing w:after="120"/>
    </w:pPr>
  </w:style>
  <w:style w:type="character" w:customStyle="1" w:styleId="BodyTextChar">
    <w:name w:val="Body Text Char"/>
    <w:basedOn w:val="DefaultParagraphFont"/>
    <w:link w:val="BodyText"/>
    <w:uiPriority w:val="1"/>
    <w:rsid w:val="003C2388"/>
  </w:style>
  <w:style w:type="paragraph" w:styleId="FootnoteText">
    <w:name w:val="footnote text"/>
    <w:aliases w:val="Footnote reference,FA Fu,Footnote Text Char Char Char Char Char,Footnote Text Char Char Char Char,Footnote Text Char Char Char,Footnote Text Char Char Char Char Char Char Char Char,ft"/>
    <w:basedOn w:val="Normal"/>
    <w:link w:val="FootnoteTextChar"/>
    <w:uiPriority w:val="99"/>
    <w:unhideWhenUsed/>
    <w:rsid w:val="003C2388"/>
    <w:rPr>
      <w:sz w:val="20"/>
      <w:szCs w:val="20"/>
      <w:lang w:val="fr-CH"/>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ft Char"/>
    <w:basedOn w:val="DefaultParagraphFont"/>
    <w:link w:val="FootnoteText"/>
    <w:uiPriority w:val="99"/>
    <w:rsid w:val="003C2388"/>
    <w:rPr>
      <w:sz w:val="20"/>
      <w:szCs w:val="20"/>
      <w:lang w:val="fr-CH"/>
    </w:rPr>
  </w:style>
  <w:style w:type="paragraph" w:customStyle="1" w:styleId="Body1">
    <w:name w:val="Body 1"/>
    <w:rsid w:val="003C2388"/>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3C2388"/>
    <w:pPr>
      <w:spacing w:before="100" w:beforeAutospacing="1" w:after="100" w:afterAutospacing="1"/>
    </w:pPr>
  </w:style>
  <w:style w:type="paragraph" w:styleId="Header">
    <w:name w:val="header"/>
    <w:basedOn w:val="Normal"/>
    <w:link w:val="HeaderChar"/>
    <w:uiPriority w:val="99"/>
    <w:unhideWhenUsed/>
    <w:rsid w:val="006B3E73"/>
    <w:pPr>
      <w:tabs>
        <w:tab w:val="center" w:pos="4680"/>
        <w:tab w:val="right" w:pos="9360"/>
      </w:tabs>
    </w:pPr>
  </w:style>
  <w:style w:type="character" w:customStyle="1" w:styleId="HeaderChar">
    <w:name w:val="Header Char"/>
    <w:basedOn w:val="DefaultParagraphFont"/>
    <w:link w:val="Header"/>
    <w:uiPriority w:val="99"/>
    <w:rsid w:val="006B3E73"/>
  </w:style>
  <w:style w:type="paragraph" w:styleId="Footer">
    <w:name w:val="footer"/>
    <w:basedOn w:val="Normal"/>
    <w:link w:val="FooterChar"/>
    <w:uiPriority w:val="99"/>
    <w:unhideWhenUsed/>
    <w:rsid w:val="006B3E73"/>
    <w:pPr>
      <w:tabs>
        <w:tab w:val="center" w:pos="4680"/>
        <w:tab w:val="right" w:pos="9360"/>
      </w:tabs>
    </w:pPr>
  </w:style>
  <w:style w:type="character" w:customStyle="1" w:styleId="FooterChar">
    <w:name w:val="Footer Char"/>
    <w:basedOn w:val="DefaultParagraphFont"/>
    <w:link w:val="Footer"/>
    <w:uiPriority w:val="99"/>
    <w:rsid w:val="006B3E73"/>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
    <w:basedOn w:val="DefaultParagraphFont"/>
    <w:link w:val="Char2"/>
    <w:uiPriority w:val="99"/>
    <w:unhideWhenUsed/>
    <w:rsid w:val="00135FFA"/>
    <w:rPr>
      <w:vertAlign w:val="superscript"/>
    </w:rPr>
  </w:style>
  <w:style w:type="paragraph" w:styleId="CommentText">
    <w:name w:val="annotation text"/>
    <w:basedOn w:val="Normal"/>
    <w:link w:val="CommentTextChar"/>
    <w:uiPriority w:val="99"/>
    <w:semiHidden/>
    <w:unhideWhenUsed/>
    <w:rsid w:val="00D74F15"/>
    <w:rPr>
      <w:sz w:val="20"/>
      <w:szCs w:val="20"/>
      <w:lang w:val="fr-CH"/>
    </w:rPr>
  </w:style>
  <w:style w:type="character" w:customStyle="1" w:styleId="CommentTextChar">
    <w:name w:val="Comment Text Char"/>
    <w:basedOn w:val="DefaultParagraphFont"/>
    <w:link w:val="CommentText"/>
    <w:uiPriority w:val="99"/>
    <w:semiHidden/>
    <w:rsid w:val="00D74F15"/>
    <w:rPr>
      <w:sz w:val="20"/>
      <w:szCs w:val="20"/>
      <w:lang w:val="fr-CH"/>
    </w:rPr>
  </w:style>
  <w:style w:type="character" w:styleId="SubtleReference">
    <w:name w:val="Subtle Reference"/>
    <w:basedOn w:val="DefaultParagraphFont"/>
    <w:uiPriority w:val="31"/>
    <w:qFormat/>
    <w:rsid w:val="00D74F15"/>
    <w:rPr>
      <w:smallCaps/>
      <w:color w:val="auto"/>
    </w:rPr>
  </w:style>
  <w:style w:type="character" w:customStyle="1" w:styleId="submitted">
    <w:name w:val="submitted"/>
    <w:basedOn w:val="DefaultParagraphFont"/>
    <w:rsid w:val="00651F4D"/>
  </w:style>
  <w:style w:type="character" w:styleId="Strong">
    <w:name w:val="Strong"/>
    <w:basedOn w:val="DefaultParagraphFont"/>
    <w:uiPriority w:val="22"/>
    <w:qFormat/>
    <w:rsid w:val="00651F4D"/>
    <w:rPr>
      <w:b/>
      <w:bCs/>
    </w:rPr>
  </w:style>
  <w:style w:type="paragraph" w:customStyle="1" w:styleId="Num1">
    <w:name w:val="Num1"/>
    <w:basedOn w:val="BodyText"/>
    <w:rsid w:val="004B7866"/>
    <w:pPr>
      <w:numPr>
        <w:numId w:val="9"/>
      </w:numPr>
      <w:spacing w:after="240"/>
    </w:pPr>
    <w:rPr>
      <w:rFonts w:ascii="Times New Roman Bold" w:eastAsiaTheme="minorHAnsi" w:hAnsi="Times New Roman Bold" w:cstheme="minorBidi"/>
      <w:b/>
      <w:u w:val="single"/>
    </w:rPr>
  </w:style>
  <w:style w:type="paragraph" w:customStyle="1" w:styleId="Char2">
    <w:name w:val="Char2"/>
    <w:basedOn w:val="Normal"/>
    <w:link w:val="FootnoteReference"/>
    <w:uiPriority w:val="99"/>
    <w:rsid w:val="004B7866"/>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E75DD0"/>
    <w:rPr>
      <w:color w:val="605E5C"/>
      <w:shd w:val="clear" w:color="auto" w:fill="E1DFDD"/>
    </w:rPr>
  </w:style>
  <w:style w:type="character" w:styleId="CommentReference">
    <w:name w:val="annotation reference"/>
    <w:basedOn w:val="DefaultParagraphFont"/>
    <w:uiPriority w:val="99"/>
    <w:semiHidden/>
    <w:unhideWhenUsed/>
    <w:rsid w:val="007C54BA"/>
    <w:rPr>
      <w:sz w:val="16"/>
      <w:szCs w:val="16"/>
    </w:rPr>
  </w:style>
  <w:style w:type="paragraph" w:styleId="CommentSubject">
    <w:name w:val="annotation subject"/>
    <w:basedOn w:val="CommentText"/>
    <w:next w:val="CommentText"/>
    <w:link w:val="CommentSubjectChar"/>
    <w:uiPriority w:val="99"/>
    <w:semiHidden/>
    <w:unhideWhenUsed/>
    <w:rsid w:val="007C54BA"/>
    <w:rPr>
      <w:b/>
      <w:bCs/>
      <w:lang w:val="en-US"/>
    </w:rPr>
  </w:style>
  <w:style w:type="character" w:customStyle="1" w:styleId="CommentSubjectChar">
    <w:name w:val="Comment Subject Char"/>
    <w:basedOn w:val="CommentTextChar"/>
    <w:link w:val="CommentSubject"/>
    <w:uiPriority w:val="99"/>
    <w:semiHidden/>
    <w:rsid w:val="007C54BA"/>
    <w:rPr>
      <w:rFonts w:ascii="Times New Roman" w:eastAsia="Times New Roman" w:hAnsi="Times New Roman" w:cs="Times New Roman"/>
      <w:b/>
      <w:bCs/>
      <w:sz w:val="20"/>
      <w:szCs w:val="20"/>
      <w:lang w:val="fr-CH"/>
    </w:rPr>
  </w:style>
  <w:style w:type="paragraph" w:styleId="BalloonText">
    <w:name w:val="Balloon Text"/>
    <w:basedOn w:val="Normal"/>
    <w:link w:val="BalloonTextChar"/>
    <w:uiPriority w:val="99"/>
    <w:semiHidden/>
    <w:unhideWhenUsed/>
    <w:rsid w:val="007C54BA"/>
    <w:rPr>
      <w:sz w:val="18"/>
      <w:szCs w:val="18"/>
    </w:rPr>
  </w:style>
  <w:style w:type="character" w:customStyle="1" w:styleId="BalloonTextChar">
    <w:name w:val="Balloon Text Char"/>
    <w:basedOn w:val="DefaultParagraphFont"/>
    <w:link w:val="BalloonText"/>
    <w:uiPriority w:val="99"/>
    <w:semiHidden/>
    <w:rsid w:val="007C54BA"/>
    <w:rPr>
      <w:rFonts w:ascii="Times New Roman" w:eastAsia="Times New Roman" w:hAnsi="Times New Roman" w:cs="Times New Roman"/>
      <w:sz w:val="18"/>
      <w:szCs w:val="18"/>
    </w:rPr>
  </w:style>
  <w:style w:type="character" w:customStyle="1" w:styleId="ListParagraphChar">
    <w:name w:val="List Paragraph Char"/>
    <w:basedOn w:val="DefaultParagraphFont"/>
    <w:link w:val="ListParagraph"/>
    <w:uiPriority w:val="34"/>
    <w:rsid w:val="00265038"/>
    <w:rPr>
      <w:rFonts w:ascii="Times New Roman" w:eastAsia="Times New Roman" w:hAnsi="Times New Roman" w:cs="Times New Roman"/>
      <w:sz w:val="24"/>
      <w:szCs w:val="24"/>
    </w:rPr>
  </w:style>
  <w:style w:type="paragraph" w:customStyle="1" w:styleId="WBodyText">
    <w:name w:val="WBodyText"/>
    <w:basedOn w:val="Normal"/>
    <w:link w:val="WBodyTextChar"/>
    <w:uiPriority w:val="9"/>
    <w:qFormat/>
    <w:rsid w:val="006D00F8"/>
    <w:pPr>
      <w:spacing w:after="200" w:line="288" w:lineRule="auto"/>
      <w:jc w:val="both"/>
    </w:pPr>
    <w:rPr>
      <w:rFonts w:ascii="Arial" w:hAnsi="Arial"/>
      <w:bCs/>
      <w:sz w:val="20"/>
      <w:lang w:val="en-GB"/>
    </w:rPr>
  </w:style>
  <w:style w:type="character" w:customStyle="1" w:styleId="WBodyTextChar">
    <w:name w:val="WBodyText Char"/>
    <w:basedOn w:val="DefaultParagraphFont"/>
    <w:link w:val="WBodyText"/>
    <w:uiPriority w:val="9"/>
    <w:rsid w:val="006D00F8"/>
    <w:rPr>
      <w:rFonts w:ascii="Arial" w:eastAsia="Times New Roman" w:hAnsi="Arial" w:cs="Times New Roman"/>
      <w:bCs/>
      <w:sz w:val="20"/>
      <w:szCs w:val="24"/>
      <w:lang w:val="en-GB"/>
    </w:rPr>
  </w:style>
  <w:style w:type="character" w:customStyle="1" w:styleId="h2">
    <w:name w:val="h2"/>
    <w:basedOn w:val="DefaultParagraphFont"/>
    <w:rsid w:val="006D00F8"/>
  </w:style>
  <w:style w:type="character" w:styleId="FollowedHyperlink">
    <w:name w:val="FollowedHyperlink"/>
    <w:basedOn w:val="DefaultParagraphFont"/>
    <w:uiPriority w:val="99"/>
    <w:semiHidden/>
    <w:unhideWhenUsed/>
    <w:rsid w:val="00165528"/>
    <w:rPr>
      <w:color w:val="954F72" w:themeColor="followedHyperlink"/>
      <w:u w:val="single"/>
    </w:rPr>
  </w:style>
  <w:style w:type="character" w:styleId="PageNumber">
    <w:name w:val="page number"/>
    <w:basedOn w:val="DefaultParagraphFont"/>
    <w:uiPriority w:val="99"/>
    <w:semiHidden/>
    <w:unhideWhenUsed/>
    <w:rsid w:val="003B6F0F"/>
  </w:style>
  <w:style w:type="character" w:customStyle="1" w:styleId="apple-converted-space">
    <w:name w:val="apple-converted-space"/>
    <w:basedOn w:val="DefaultParagraphFont"/>
    <w:rsid w:val="00DF4A1E"/>
  </w:style>
  <w:style w:type="character" w:customStyle="1" w:styleId="UnresolvedMention2">
    <w:name w:val="Unresolved Mention2"/>
    <w:basedOn w:val="DefaultParagraphFont"/>
    <w:uiPriority w:val="99"/>
    <w:semiHidden/>
    <w:unhideWhenUsed/>
    <w:rsid w:val="00573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931">
      <w:bodyDiv w:val="1"/>
      <w:marLeft w:val="0"/>
      <w:marRight w:val="0"/>
      <w:marTop w:val="0"/>
      <w:marBottom w:val="0"/>
      <w:divBdr>
        <w:top w:val="none" w:sz="0" w:space="0" w:color="auto"/>
        <w:left w:val="none" w:sz="0" w:space="0" w:color="auto"/>
        <w:bottom w:val="none" w:sz="0" w:space="0" w:color="auto"/>
        <w:right w:val="none" w:sz="0" w:space="0" w:color="auto"/>
      </w:divBdr>
    </w:div>
    <w:div w:id="76175470">
      <w:bodyDiv w:val="1"/>
      <w:marLeft w:val="0"/>
      <w:marRight w:val="0"/>
      <w:marTop w:val="0"/>
      <w:marBottom w:val="0"/>
      <w:divBdr>
        <w:top w:val="none" w:sz="0" w:space="0" w:color="auto"/>
        <w:left w:val="none" w:sz="0" w:space="0" w:color="auto"/>
        <w:bottom w:val="none" w:sz="0" w:space="0" w:color="auto"/>
        <w:right w:val="none" w:sz="0" w:space="0" w:color="auto"/>
      </w:divBdr>
    </w:div>
    <w:div w:id="82067753">
      <w:bodyDiv w:val="1"/>
      <w:marLeft w:val="0"/>
      <w:marRight w:val="0"/>
      <w:marTop w:val="0"/>
      <w:marBottom w:val="0"/>
      <w:divBdr>
        <w:top w:val="none" w:sz="0" w:space="0" w:color="auto"/>
        <w:left w:val="none" w:sz="0" w:space="0" w:color="auto"/>
        <w:bottom w:val="none" w:sz="0" w:space="0" w:color="auto"/>
        <w:right w:val="none" w:sz="0" w:space="0" w:color="auto"/>
      </w:divBdr>
    </w:div>
    <w:div w:id="87778891">
      <w:bodyDiv w:val="1"/>
      <w:marLeft w:val="0"/>
      <w:marRight w:val="0"/>
      <w:marTop w:val="0"/>
      <w:marBottom w:val="0"/>
      <w:divBdr>
        <w:top w:val="none" w:sz="0" w:space="0" w:color="auto"/>
        <w:left w:val="none" w:sz="0" w:space="0" w:color="auto"/>
        <w:bottom w:val="none" w:sz="0" w:space="0" w:color="auto"/>
        <w:right w:val="none" w:sz="0" w:space="0" w:color="auto"/>
      </w:divBdr>
    </w:div>
    <w:div w:id="105464798">
      <w:bodyDiv w:val="1"/>
      <w:marLeft w:val="0"/>
      <w:marRight w:val="0"/>
      <w:marTop w:val="0"/>
      <w:marBottom w:val="0"/>
      <w:divBdr>
        <w:top w:val="none" w:sz="0" w:space="0" w:color="auto"/>
        <w:left w:val="none" w:sz="0" w:space="0" w:color="auto"/>
        <w:bottom w:val="none" w:sz="0" w:space="0" w:color="auto"/>
        <w:right w:val="none" w:sz="0" w:space="0" w:color="auto"/>
      </w:divBdr>
    </w:div>
    <w:div w:id="167713463">
      <w:bodyDiv w:val="1"/>
      <w:marLeft w:val="0"/>
      <w:marRight w:val="0"/>
      <w:marTop w:val="0"/>
      <w:marBottom w:val="0"/>
      <w:divBdr>
        <w:top w:val="none" w:sz="0" w:space="0" w:color="auto"/>
        <w:left w:val="none" w:sz="0" w:space="0" w:color="auto"/>
        <w:bottom w:val="none" w:sz="0" w:space="0" w:color="auto"/>
        <w:right w:val="none" w:sz="0" w:space="0" w:color="auto"/>
      </w:divBdr>
      <w:divsChild>
        <w:div w:id="1558541631">
          <w:marLeft w:val="0"/>
          <w:marRight w:val="0"/>
          <w:marTop w:val="0"/>
          <w:marBottom w:val="0"/>
          <w:divBdr>
            <w:top w:val="none" w:sz="0" w:space="0" w:color="auto"/>
            <w:left w:val="none" w:sz="0" w:space="0" w:color="auto"/>
            <w:bottom w:val="none" w:sz="0" w:space="0" w:color="auto"/>
            <w:right w:val="none" w:sz="0" w:space="0" w:color="auto"/>
          </w:divBdr>
          <w:divsChild>
            <w:div w:id="1104302572">
              <w:marLeft w:val="0"/>
              <w:marRight w:val="0"/>
              <w:marTop w:val="0"/>
              <w:marBottom w:val="0"/>
              <w:divBdr>
                <w:top w:val="none" w:sz="0" w:space="0" w:color="auto"/>
                <w:left w:val="none" w:sz="0" w:space="0" w:color="auto"/>
                <w:bottom w:val="none" w:sz="0" w:space="0" w:color="auto"/>
                <w:right w:val="none" w:sz="0" w:space="0" w:color="auto"/>
              </w:divBdr>
              <w:divsChild>
                <w:div w:id="2093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4431">
      <w:bodyDiv w:val="1"/>
      <w:marLeft w:val="0"/>
      <w:marRight w:val="0"/>
      <w:marTop w:val="0"/>
      <w:marBottom w:val="0"/>
      <w:divBdr>
        <w:top w:val="none" w:sz="0" w:space="0" w:color="auto"/>
        <w:left w:val="none" w:sz="0" w:space="0" w:color="auto"/>
        <w:bottom w:val="none" w:sz="0" w:space="0" w:color="auto"/>
        <w:right w:val="none" w:sz="0" w:space="0" w:color="auto"/>
      </w:divBdr>
    </w:div>
    <w:div w:id="204801382">
      <w:bodyDiv w:val="1"/>
      <w:marLeft w:val="0"/>
      <w:marRight w:val="0"/>
      <w:marTop w:val="0"/>
      <w:marBottom w:val="0"/>
      <w:divBdr>
        <w:top w:val="none" w:sz="0" w:space="0" w:color="auto"/>
        <w:left w:val="none" w:sz="0" w:space="0" w:color="auto"/>
        <w:bottom w:val="none" w:sz="0" w:space="0" w:color="auto"/>
        <w:right w:val="none" w:sz="0" w:space="0" w:color="auto"/>
      </w:divBdr>
      <w:divsChild>
        <w:div w:id="1948123483">
          <w:marLeft w:val="0"/>
          <w:marRight w:val="0"/>
          <w:marTop w:val="0"/>
          <w:marBottom w:val="0"/>
          <w:divBdr>
            <w:top w:val="none" w:sz="0" w:space="0" w:color="auto"/>
            <w:left w:val="none" w:sz="0" w:space="0" w:color="auto"/>
            <w:bottom w:val="none" w:sz="0" w:space="0" w:color="auto"/>
            <w:right w:val="none" w:sz="0" w:space="0" w:color="auto"/>
          </w:divBdr>
          <w:divsChild>
            <w:div w:id="880170099">
              <w:marLeft w:val="0"/>
              <w:marRight w:val="0"/>
              <w:marTop w:val="0"/>
              <w:marBottom w:val="0"/>
              <w:divBdr>
                <w:top w:val="none" w:sz="0" w:space="0" w:color="auto"/>
                <w:left w:val="none" w:sz="0" w:space="0" w:color="auto"/>
                <w:bottom w:val="none" w:sz="0" w:space="0" w:color="auto"/>
                <w:right w:val="none" w:sz="0" w:space="0" w:color="auto"/>
              </w:divBdr>
              <w:divsChild>
                <w:div w:id="1342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4127">
      <w:bodyDiv w:val="1"/>
      <w:marLeft w:val="0"/>
      <w:marRight w:val="0"/>
      <w:marTop w:val="0"/>
      <w:marBottom w:val="0"/>
      <w:divBdr>
        <w:top w:val="none" w:sz="0" w:space="0" w:color="auto"/>
        <w:left w:val="none" w:sz="0" w:space="0" w:color="auto"/>
        <w:bottom w:val="none" w:sz="0" w:space="0" w:color="auto"/>
        <w:right w:val="none" w:sz="0" w:space="0" w:color="auto"/>
      </w:divBdr>
      <w:divsChild>
        <w:div w:id="990328823">
          <w:marLeft w:val="0"/>
          <w:marRight w:val="0"/>
          <w:marTop w:val="0"/>
          <w:marBottom w:val="0"/>
          <w:divBdr>
            <w:top w:val="none" w:sz="0" w:space="0" w:color="auto"/>
            <w:left w:val="none" w:sz="0" w:space="0" w:color="auto"/>
            <w:bottom w:val="none" w:sz="0" w:space="0" w:color="auto"/>
            <w:right w:val="none" w:sz="0" w:space="0" w:color="auto"/>
          </w:divBdr>
          <w:divsChild>
            <w:div w:id="118913020">
              <w:marLeft w:val="0"/>
              <w:marRight w:val="0"/>
              <w:marTop w:val="0"/>
              <w:marBottom w:val="0"/>
              <w:divBdr>
                <w:top w:val="none" w:sz="0" w:space="0" w:color="auto"/>
                <w:left w:val="none" w:sz="0" w:space="0" w:color="auto"/>
                <w:bottom w:val="none" w:sz="0" w:space="0" w:color="auto"/>
                <w:right w:val="none" w:sz="0" w:space="0" w:color="auto"/>
              </w:divBdr>
              <w:divsChild>
                <w:div w:id="9174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4167">
      <w:bodyDiv w:val="1"/>
      <w:marLeft w:val="0"/>
      <w:marRight w:val="0"/>
      <w:marTop w:val="0"/>
      <w:marBottom w:val="0"/>
      <w:divBdr>
        <w:top w:val="none" w:sz="0" w:space="0" w:color="auto"/>
        <w:left w:val="none" w:sz="0" w:space="0" w:color="auto"/>
        <w:bottom w:val="none" w:sz="0" w:space="0" w:color="auto"/>
        <w:right w:val="none" w:sz="0" w:space="0" w:color="auto"/>
      </w:divBdr>
      <w:divsChild>
        <w:div w:id="231621942">
          <w:marLeft w:val="0"/>
          <w:marRight w:val="0"/>
          <w:marTop w:val="0"/>
          <w:marBottom w:val="0"/>
          <w:divBdr>
            <w:top w:val="none" w:sz="0" w:space="0" w:color="auto"/>
            <w:left w:val="none" w:sz="0" w:space="0" w:color="auto"/>
            <w:bottom w:val="none" w:sz="0" w:space="0" w:color="auto"/>
            <w:right w:val="none" w:sz="0" w:space="0" w:color="auto"/>
          </w:divBdr>
        </w:div>
        <w:div w:id="876086900">
          <w:marLeft w:val="0"/>
          <w:marRight w:val="0"/>
          <w:marTop w:val="0"/>
          <w:marBottom w:val="0"/>
          <w:divBdr>
            <w:top w:val="none" w:sz="0" w:space="0" w:color="auto"/>
            <w:left w:val="none" w:sz="0" w:space="0" w:color="auto"/>
            <w:bottom w:val="none" w:sz="0" w:space="0" w:color="auto"/>
            <w:right w:val="none" w:sz="0" w:space="0" w:color="auto"/>
          </w:divBdr>
        </w:div>
      </w:divsChild>
    </w:div>
    <w:div w:id="243608249">
      <w:bodyDiv w:val="1"/>
      <w:marLeft w:val="0"/>
      <w:marRight w:val="0"/>
      <w:marTop w:val="0"/>
      <w:marBottom w:val="0"/>
      <w:divBdr>
        <w:top w:val="none" w:sz="0" w:space="0" w:color="auto"/>
        <w:left w:val="none" w:sz="0" w:space="0" w:color="auto"/>
        <w:bottom w:val="none" w:sz="0" w:space="0" w:color="auto"/>
        <w:right w:val="none" w:sz="0" w:space="0" w:color="auto"/>
      </w:divBdr>
    </w:div>
    <w:div w:id="372073980">
      <w:bodyDiv w:val="1"/>
      <w:marLeft w:val="0"/>
      <w:marRight w:val="0"/>
      <w:marTop w:val="0"/>
      <w:marBottom w:val="0"/>
      <w:divBdr>
        <w:top w:val="none" w:sz="0" w:space="0" w:color="auto"/>
        <w:left w:val="none" w:sz="0" w:space="0" w:color="auto"/>
        <w:bottom w:val="none" w:sz="0" w:space="0" w:color="auto"/>
        <w:right w:val="none" w:sz="0" w:space="0" w:color="auto"/>
      </w:divBdr>
    </w:div>
    <w:div w:id="381439428">
      <w:bodyDiv w:val="1"/>
      <w:marLeft w:val="0"/>
      <w:marRight w:val="0"/>
      <w:marTop w:val="0"/>
      <w:marBottom w:val="0"/>
      <w:divBdr>
        <w:top w:val="none" w:sz="0" w:space="0" w:color="auto"/>
        <w:left w:val="none" w:sz="0" w:space="0" w:color="auto"/>
        <w:bottom w:val="none" w:sz="0" w:space="0" w:color="auto"/>
        <w:right w:val="none" w:sz="0" w:space="0" w:color="auto"/>
      </w:divBdr>
    </w:div>
    <w:div w:id="444228355">
      <w:bodyDiv w:val="1"/>
      <w:marLeft w:val="0"/>
      <w:marRight w:val="0"/>
      <w:marTop w:val="0"/>
      <w:marBottom w:val="0"/>
      <w:divBdr>
        <w:top w:val="none" w:sz="0" w:space="0" w:color="auto"/>
        <w:left w:val="none" w:sz="0" w:space="0" w:color="auto"/>
        <w:bottom w:val="none" w:sz="0" w:space="0" w:color="auto"/>
        <w:right w:val="none" w:sz="0" w:space="0" w:color="auto"/>
      </w:divBdr>
      <w:divsChild>
        <w:div w:id="1795752494">
          <w:marLeft w:val="0"/>
          <w:marRight w:val="0"/>
          <w:marTop w:val="0"/>
          <w:marBottom w:val="0"/>
          <w:divBdr>
            <w:top w:val="none" w:sz="0" w:space="0" w:color="auto"/>
            <w:left w:val="none" w:sz="0" w:space="0" w:color="auto"/>
            <w:bottom w:val="none" w:sz="0" w:space="0" w:color="auto"/>
            <w:right w:val="none" w:sz="0" w:space="0" w:color="auto"/>
          </w:divBdr>
          <w:divsChild>
            <w:div w:id="2107529345">
              <w:marLeft w:val="0"/>
              <w:marRight w:val="0"/>
              <w:marTop w:val="0"/>
              <w:marBottom w:val="0"/>
              <w:divBdr>
                <w:top w:val="none" w:sz="0" w:space="0" w:color="auto"/>
                <w:left w:val="none" w:sz="0" w:space="0" w:color="auto"/>
                <w:bottom w:val="none" w:sz="0" w:space="0" w:color="auto"/>
                <w:right w:val="none" w:sz="0" w:space="0" w:color="auto"/>
              </w:divBdr>
              <w:divsChild>
                <w:div w:id="6988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7373">
      <w:bodyDiv w:val="1"/>
      <w:marLeft w:val="0"/>
      <w:marRight w:val="0"/>
      <w:marTop w:val="0"/>
      <w:marBottom w:val="0"/>
      <w:divBdr>
        <w:top w:val="none" w:sz="0" w:space="0" w:color="auto"/>
        <w:left w:val="none" w:sz="0" w:space="0" w:color="auto"/>
        <w:bottom w:val="none" w:sz="0" w:space="0" w:color="auto"/>
        <w:right w:val="none" w:sz="0" w:space="0" w:color="auto"/>
      </w:divBdr>
    </w:div>
    <w:div w:id="594438665">
      <w:bodyDiv w:val="1"/>
      <w:marLeft w:val="0"/>
      <w:marRight w:val="0"/>
      <w:marTop w:val="0"/>
      <w:marBottom w:val="0"/>
      <w:divBdr>
        <w:top w:val="none" w:sz="0" w:space="0" w:color="auto"/>
        <w:left w:val="none" w:sz="0" w:space="0" w:color="auto"/>
        <w:bottom w:val="none" w:sz="0" w:space="0" w:color="auto"/>
        <w:right w:val="none" w:sz="0" w:space="0" w:color="auto"/>
      </w:divBdr>
      <w:divsChild>
        <w:div w:id="226501001">
          <w:marLeft w:val="0"/>
          <w:marRight w:val="0"/>
          <w:marTop w:val="0"/>
          <w:marBottom w:val="0"/>
          <w:divBdr>
            <w:top w:val="none" w:sz="0" w:space="0" w:color="auto"/>
            <w:left w:val="none" w:sz="0" w:space="0" w:color="auto"/>
            <w:bottom w:val="none" w:sz="0" w:space="0" w:color="auto"/>
            <w:right w:val="none" w:sz="0" w:space="0" w:color="auto"/>
          </w:divBdr>
          <w:divsChild>
            <w:div w:id="1436898917">
              <w:marLeft w:val="0"/>
              <w:marRight w:val="0"/>
              <w:marTop w:val="0"/>
              <w:marBottom w:val="0"/>
              <w:divBdr>
                <w:top w:val="none" w:sz="0" w:space="0" w:color="auto"/>
                <w:left w:val="none" w:sz="0" w:space="0" w:color="auto"/>
                <w:bottom w:val="none" w:sz="0" w:space="0" w:color="auto"/>
                <w:right w:val="none" w:sz="0" w:space="0" w:color="auto"/>
              </w:divBdr>
              <w:divsChild>
                <w:div w:id="10207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6357">
      <w:bodyDiv w:val="1"/>
      <w:marLeft w:val="0"/>
      <w:marRight w:val="0"/>
      <w:marTop w:val="0"/>
      <w:marBottom w:val="0"/>
      <w:divBdr>
        <w:top w:val="none" w:sz="0" w:space="0" w:color="auto"/>
        <w:left w:val="none" w:sz="0" w:space="0" w:color="auto"/>
        <w:bottom w:val="none" w:sz="0" w:space="0" w:color="auto"/>
        <w:right w:val="none" w:sz="0" w:space="0" w:color="auto"/>
      </w:divBdr>
      <w:divsChild>
        <w:div w:id="445005209">
          <w:marLeft w:val="0"/>
          <w:marRight w:val="0"/>
          <w:marTop w:val="0"/>
          <w:marBottom w:val="0"/>
          <w:divBdr>
            <w:top w:val="none" w:sz="0" w:space="0" w:color="auto"/>
            <w:left w:val="none" w:sz="0" w:space="0" w:color="auto"/>
            <w:bottom w:val="none" w:sz="0" w:space="0" w:color="auto"/>
            <w:right w:val="none" w:sz="0" w:space="0" w:color="auto"/>
          </w:divBdr>
          <w:divsChild>
            <w:div w:id="826166948">
              <w:marLeft w:val="0"/>
              <w:marRight w:val="0"/>
              <w:marTop w:val="0"/>
              <w:marBottom w:val="0"/>
              <w:divBdr>
                <w:top w:val="none" w:sz="0" w:space="0" w:color="auto"/>
                <w:left w:val="none" w:sz="0" w:space="0" w:color="auto"/>
                <w:bottom w:val="none" w:sz="0" w:space="0" w:color="auto"/>
                <w:right w:val="none" w:sz="0" w:space="0" w:color="auto"/>
              </w:divBdr>
              <w:divsChild>
                <w:div w:id="1324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429">
      <w:bodyDiv w:val="1"/>
      <w:marLeft w:val="0"/>
      <w:marRight w:val="0"/>
      <w:marTop w:val="0"/>
      <w:marBottom w:val="0"/>
      <w:divBdr>
        <w:top w:val="none" w:sz="0" w:space="0" w:color="auto"/>
        <w:left w:val="none" w:sz="0" w:space="0" w:color="auto"/>
        <w:bottom w:val="none" w:sz="0" w:space="0" w:color="auto"/>
        <w:right w:val="none" w:sz="0" w:space="0" w:color="auto"/>
      </w:divBdr>
    </w:div>
    <w:div w:id="768234225">
      <w:bodyDiv w:val="1"/>
      <w:marLeft w:val="0"/>
      <w:marRight w:val="0"/>
      <w:marTop w:val="0"/>
      <w:marBottom w:val="0"/>
      <w:divBdr>
        <w:top w:val="none" w:sz="0" w:space="0" w:color="auto"/>
        <w:left w:val="none" w:sz="0" w:space="0" w:color="auto"/>
        <w:bottom w:val="none" w:sz="0" w:space="0" w:color="auto"/>
        <w:right w:val="none" w:sz="0" w:space="0" w:color="auto"/>
      </w:divBdr>
    </w:div>
    <w:div w:id="837692609">
      <w:bodyDiv w:val="1"/>
      <w:marLeft w:val="0"/>
      <w:marRight w:val="0"/>
      <w:marTop w:val="0"/>
      <w:marBottom w:val="0"/>
      <w:divBdr>
        <w:top w:val="none" w:sz="0" w:space="0" w:color="auto"/>
        <w:left w:val="none" w:sz="0" w:space="0" w:color="auto"/>
        <w:bottom w:val="none" w:sz="0" w:space="0" w:color="auto"/>
        <w:right w:val="none" w:sz="0" w:space="0" w:color="auto"/>
      </w:divBdr>
    </w:div>
    <w:div w:id="916985912">
      <w:bodyDiv w:val="1"/>
      <w:marLeft w:val="0"/>
      <w:marRight w:val="0"/>
      <w:marTop w:val="0"/>
      <w:marBottom w:val="0"/>
      <w:divBdr>
        <w:top w:val="none" w:sz="0" w:space="0" w:color="auto"/>
        <w:left w:val="none" w:sz="0" w:space="0" w:color="auto"/>
        <w:bottom w:val="none" w:sz="0" w:space="0" w:color="auto"/>
        <w:right w:val="none" w:sz="0" w:space="0" w:color="auto"/>
      </w:divBdr>
    </w:div>
    <w:div w:id="988098892">
      <w:bodyDiv w:val="1"/>
      <w:marLeft w:val="0"/>
      <w:marRight w:val="0"/>
      <w:marTop w:val="0"/>
      <w:marBottom w:val="0"/>
      <w:divBdr>
        <w:top w:val="none" w:sz="0" w:space="0" w:color="auto"/>
        <w:left w:val="none" w:sz="0" w:space="0" w:color="auto"/>
        <w:bottom w:val="none" w:sz="0" w:space="0" w:color="auto"/>
        <w:right w:val="none" w:sz="0" w:space="0" w:color="auto"/>
      </w:divBdr>
      <w:divsChild>
        <w:div w:id="2125150864">
          <w:marLeft w:val="0"/>
          <w:marRight w:val="0"/>
          <w:marTop w:val="0"/>
          <w:marBottom w:val="0"/>
          <w:divBdr>
            <w:top w:val="none" w:sz="0" w:space="0" w:color="auto"/>
            <w:left w:val="none" w:sz="0" w:space="0" w:color="auto"/>
            <w:bottom w:val="none" w:sz="0" w:space="0" w:color="auto"/>
            <w:right w:val="none" w:sz="0" w:space="0" w:color="auto"/>
          </w:divBdr>
          <w:divsChild>
            <w:div w:id="1287390495">
              <w:marLeft w:val="0"/>
              <w:marRight w:val="0"/>
              <w:marTop w:val="0"/>
              <w:marBottom w:val="0"/>
              <w:divBdr>
                <w:top w:val="none" w:sz="0" w:space="0" w:color="auto"/>
                <w:left w:val="none" w:sz="0" w:space="0" w:color="auto"/>
                <w:bottom w:val="none" w:sz="0" w:space="0" w:color="auto"/>
                <w:right w:val="none" w:sz="0" w:space="0" w:color="auto"/>
              </w:divBdr>
              <w:divsChild>
                <w:div w:id="371002634">
                  <w:marLeft w:val="0"/>
                  <w:marRight w:val="0"/>
                  <w:marTop w:val="0"/>
                  <w:marBottom w:val="0"/>
                  <w:divBdr>
                    <w:top w:val="none" w:sz="0" w:space="0" w:color="auto"/>
                    <w:left w:val="none" w:sz="0" w:space="0" w:color="auto"/>
                    <w:bottom w:val="none" w:sz="0" w:space="0" w:color="auto"/>
                    <w:right w:val="none" w:sz="0" w:space="0" w:color="auto"/>
                  </w:divBdr>
                  <w:divsChild>
                    <w:div w:id="1537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837">
      <w:bodyDiv w:val="1"/>
      <w:marLeft w:val="0"/>
      <w:marRight w:val="0"/>
      <w:marTop w:val="0"/>
      <w:marBottom w:val="0"/>
      <w:divBdr>
        <w:top w:val="none" w:sz="0" w:space="0" w:color="auto"/>
        <w:left w:val="none" w:sz="0" w:space="0" w:color="auto"/>
        <w:bottom w:val="none" w:sz="0" w:space="0" w:color="auto"/>
        <w:right w:val="none" w:sz="0" w:space="0" w:color="auto"/>
      </w:divBdr>
    </w:div>
    <w:div w:id="1021400267">
      <w:bodyDiv w:val="1"/>
      <w:marLeft w:val="0"/>
      <w:marRight w:val="0"/>
      <w:marTop w:val="0"/>
      <w:marBottom w:val="0"/>
      <w:divBdr>
        <w:top w:val="none" w:sz="0" w:space="0" w:color="auto"/>
        <w:left w:val="none" w:sz="0" w:space="0" w:color="auto"/>
        <w:bottom w:val="none" w:sz="0" w:space="0" w:color="auto"/>
        <w:right w:val="none" w:sz="0" w:space="0" w:color="auto"/>
      </w:divBdr>
    </w:div>
    <w:div w:id="1080524763">
      <w:bodyDiv w:val="1"/>
      <w:marLeft w:val="0"/>
      <w:marRight w:val="0"/>
      <w:marTop w:val="0"/>
      <w:marBottom w:val="0"/>
      <w:divBdr>
        <w:top w:val="none" w:sz="0" w:space="0" w:color="auto"/>
        <w:left w:val="none" w:sz="0" w:space="0" w:color="auto"/>
        <w:bottom w:val="none" w:sz="0" w:space="0" w:color="auto"/>
        <w:right w:val="none" w:sz="0" w:space="0" w:color="auto"/>
      </w:divBdr>
    </w:div>
    <w:div w:id="1156337687">
      <w:bodyDiv w:val="1"/>
      <w:marLeft w:val="0"/>
      <w:marRight w:val="0"/>
      <w:marTop w:val="0"/>
      <w:marBottom w:val="0"/>
      <w:divBdr>
        <w:top w:val="none" w:sz="0" w:space="0" w:color="auto"/>
        <w:left w:val="none" w:sz="0" w:space="0" w:color="auto"/>
        <w:bottom w:val="none" w:sz="0" w:space="0" w:color="auto"/>
        <w:right w:val="none" w:sz="0" w:space="0" w:color="auto"/>
      </w:divBdr>
    </w:div>
    <w:div w:id="1225943591">
      <w:bodyDiv w:val="1"/>
      <w:marLeft w:val="0"/>
      <w:marRight w:val="0"/>
      <w:marTop w:val="0"/>
      <w:marBottom w:val="0"/>
      <w:divBdr>
        <w:top w:val="none" w:sz="0" w:space="0" w:color="auto"/>
        <w:left w:val="none" w:sz="0" w:space="0" w:color="auto"/>
        <w:bottom w:val="none" w:sz="0" w:space="0" w:color="auto"/>
        <w:right w:val="none" w:sz="0" w:space="0" w:color="auto"/>
      </w:divBdr>
    </w:div>
    <w:div w:id="1370687032">
      <w:bodyDiv w:val="1"/>
      <w:marLeft w:val="0"/>
      <w:marRight w:val="0"/>
      <w:marTop w:val="0"/>
      <w:marBottom w:val="0"/>
      <w:divBdr>
        <w:top w:val="none" w:sz="0" w:space="0" w:color="auto"/>
        <w:left w:val="none" w:sz="0" w:space="0" w:color="auto"/>
        <w:bottom w:val="none" w:sz="0" w:space="0" w:color="auto"/>
        <w:right w:val="none" w:sz="0" w:space="0" w:color="auto"/>
      </w:divBdr>
    </w:div>
    <w:div w:id="1378050370">
      <w:bodyDiv w:val="1"/>
      <w:marLeft w:val="0"/>
      <w:marRight w:val="0"/>
      <w:marTop w:val="0"/>
      <w:marBottom w:val="0"/>
      <w:divBdr>
        <w:top w:val="none" w:sz="0" w:space="0" w:color="auto"/>
        <w:left w:val="none" w:sz="0" w:space="0" w:color="auto"/>
        <w:bottom w:val="none" w:sz="0" w:space="0" w:color="auto"/>
        <w:right w:val="none" w:sz="0" w:space="0" w:color="auto"/>
      </w:divBdr>
      <w:divsChild>
        <w:div w:id="1732264747">
          <w:marLeft w:val="0"/>
          <w:marRight w:val="0"/>
          <w:marTop w:val="0"/>
          <w:marBottom w:val="0"/>
          <w:divBdr>
            <w:top w:val="none" w:sz="0" w:space="0" w:color="auto"/>
            <w:left w:val="none" w:sz="0" w:space="0" w:color="auto"/>
            <w:bottom w:val="none" w:sz="0" w:space="0" w:color="auto"/>
            <w:right w:val="none" w:sz="0" w:space="0" w:color="auto"/>
          </w:divBdr>
          <w:divsChild>
            <w:div w:id="554855881">
              <w:marLeft w:val="0"/>
              <w:marRight w:val="0"/>
              <w:marTop w:val="0"/>
              <w:marBottom w:val="0"/>
              <w:divBdr>
                <w:top w:val="none" w:sz="0" w:space="0" w:color="auto"/>
                <w:left w:val="none" w:sz="0" w:space="0" w:color="auto"/>
                <w:bottom w:val="none" w:sz="0" w:space="0" w:color="auto"/>
                <w:right w:val="none" w:sz="0" w:space="0" w:color="auto"/>
              </w:divBdr>
              <w:divsChild>
                <w:div w:id="7254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5298">
      <w:bodyDiv w:val="1"/>
      <w:marLeft w:val="0"/>
      <w:marRight w:val="0"/>
      <w:marTop w:val="0"/>
      <w:marBottom w:val="0"/>
      <w:divBdr>
        <w:top w:val="none" w:sz="0" w:space="0" w:color="auto"/>
        <w:left w:val="none" w:sz="0" w:space="0" w:color="auto"/>
        <w:bottom w:val="none" w:sz="0" w:space="0" w:color="auto"/>
        <w:right w:val="none" w:sz="0" w:space="0" w:color="auto"/>
      </w:divBdr>
    </w:div>
    <w:div w:id="1446000329">
      <w:bodyDiv w:val="1"/>
      <w:marLeft w:val="0"/>
      <w:marRight w:val="0"/>
      <w:marTop w:val="0"/>
      <w:marBottom w:val="0"/>
      <w:divBdr>
        <w:top w:val="none" w:sz="0" w:space="0" w:color="auto"/>
        <w:left w:val="none" w:sz="0" w:space="0" w:color="auto"/>
        <w:bottom w:val="none" w:sz="0" w:space="0" w:color="auto"/>
        <w:right w:val="none" w:sz="0" w:space="0" w:color="auto"/>
      </w:divBdr>
    </w:div>
    <w:div w:id="1446268218">
      <w:bodyDiv w:val="1"/>
      <w:marLeft w:val="0"/>
      <w:marRight w:val="0"/>
      <w:marTop w:val="0"/>
      <w:marBottom w:val="0"/>
      <w:divBdr>
        <w:top w:val="none" w:sz="0" w:space="0" w:color="auto"/>
        <w:left w:val="none" w:sz="0" w:space="0" w:color="auto"/>
        <w:bottom w:val="none" w:sz="0" w:space="0" w:color="auto"/>
        <w:right w:val="none" w:sz="0" w:space="0" w:color="auto"/>
      </w:divBdr>
    </w:div>
    <w:div w:id="1476558761">
      <w:bodyDiv w:val="1"/>
      <w:marLeft w:val="0"/>
      <w:marRight w:val="0"/>
      <w:marTop w:val="0"/>
      <w:marBottom w:val="0"/>
      <w:divBdr>
        <w:top w:val="none" w:sz="0" w:space="0" w:color="auto"/>
        <w:left w:val="none" w:sz="0" w:space="0" w:color="auto"/>
        <w:bottom w:val="none" w:sz="0" w:space="0" w:color="auto"/>
        <w:right w:val="none" w:sz="0" w:space="0" w:color="auto"/>
      </w:divBdr>
    </w:div>
    <w:div w:id="1495220095">
      <w:bodyDiv w:val="1"/>
      <w:marLeft w:val="0"/>
      <w:marRight w:val="0"/>
      <w:marTop w:val="0"/>
      <w:marBottom w:val="0"/>
      <w:divBdr>
        <w:top w:val="none" w:sz="0" w:space="0" w:color="auto"/>
        <w:left w:val="none" w:sz="0" w:space="0" w:color="auto"/>
        <w:bottom w:val="none" w:sz="0" w:space="0" w:color="auto"/>
        <w:right w:val="none" w:sz="0" w:space="0" w:color="auto"/>
      </w:divBdr>
      <w:divsChild>
        <w:div w:id="316960965">
          <w:marLeft w:val="0"/>
          <w:marRight w:val="0"/>
          <w:marTop w:val="0"/>
          <w:marBottom w:val="0"/>
          <w:divBdr>
            <w:top w:val="none" w:sz="0" w:space="0" w:color="auto"/>
            <w:left w:val="none" w:sz="0" w:space="0" w:color="auto"/>
            <w:bottom w:val="none" w:sz="0" w:space="0" w:color="auto"/>
            <w:right w:val="none" w:sz="0" w:space="0" w:color="auto"/>
          </w:divBdr>
          <w:divsChild>
            <w:div w:id="4795479">
              <w:marLeft w:val="0"/>
              <w:marRight w:val="0"/>
              <w:marTop w:val="0"/>
              <w:marBottom w:val="0"/>
              <w:divBdr>
                <w:top w:val="none" w:sz="0" w:space="0" w:color="auto"/>
                <w:left w:val="none" w:sz="0" w:space="0" w:color="auto"/>
                <w:bottom w:val="none" w:sz="0" w:space="0" w:color="auto"/>
                <w:right w:val="none" w:sz="0" w:space="0" w:color="auto"/>
              </w:divBdr>
              <w:divsChild>
                <w:div w:id="332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0555">
      <w:bodyDiv w:val="1"/>
      <w:marLeft w:val="0"/>
      <w:marRight w:val="0"/>
      <w:marTop w:val="0"/>
      <w:marBottom w:val="0"/>
      <w:divBdr>
        <w:top w:val="none" w:sz="0" w:space="0" w:color="auto"/>
        <w:left w:val="none" w:sz="0" w:space="0" w:color="auto"/>
        <w:bottom w:val="none" w:sz="0" w:space="0" w:color="auto"/>
        <w:right w:val="none" w:sz="0" w:space="0" w:color="auto"/>
      </w:divBdr>
    </w:div>
    <w:div w:id="1659726203">
      <w:bodyDiv w:val="1"/>
      <w:marLeft w:val="0"/>
      <w:marRight w:val="0"/>
      <w:marTop w:val="0"/>
      <w:marBottom w:val="0"/>
      <w:divBdr>
        <w:top w:val="none" w:sz="0" w:space="0" w:color="auto"/>
        <w:left w:val="none" w:sz="0" w:space="0" w:color="auto"/>
        <w:bottom w:val="none" w:sz="0" w:space="0" w:color="auto"/>
        <w:right w:val="none" w:sz="0" w:space="0" w:color="auto"/>
      </w:divBdr>
    </w:div>
    <w:div w:id="1687170720">
      <w:bodyDiv w:val="1"/>
      <w:marLeft w:val="0"/>
      <w:marRight w:val="0"/>
      <w:marTop w:val="0"/>
      <w:marBottom w:val="0"/>
      <w:divBdr>
        <w:top w:val="none" w:sz="0" w:space="0" w:color="auto"/>
        <w:left w:val="none" w:sz="0" w:space="0" w:color="auto"/>
        <w:bottom w:val="none" w:sz="0" w:space="0" w:color="auto"/>
        <w:right w:val="none" w:sz="0" w:space="0" w:color="auto"/>
      </w:divBdr>
      <w:divsChild>
        <w:div w:id="1610888372">
          <w:marLeft w:val="0"/>
          <w:marRight w:val="0"/>
          <w:marTop w:val="0"/>
          <w:marBottom w:val="0"/>
          <w:divBdr>
            <w:top w:val="none" w:sz="0" w:space="0" w:color="auto"/>
            <w:left w:val="none" w:sz="0" w:space="0" w:color="auto"/>
            <w:bottom w:val="none" w:sz="0" w:space="0" w:color="auto"/>
            <w:right w:val="none" w:sz="0" w:space="0" w:color="auto"/>
          </w:divBdr>
          <w:divsChild>
            <w:div w:id="1717005599">
              <w:marLeft w:val="0"/>
              <w:marRight w:val="0"/>
              <w:marTop w:val="0"/>
              <w:marBottom w:val="0"/>
              <w:divBdr>
                <w:top w:val="none" w:sz="0" w:space="0" w:color="auto"/>
                <w:left w:val="none" w:sz="0" w:space="0" w:color="auto"/>
                <w:bottom w:val="none" w:sz="0" w:space="0" w:color="auto"/>
                <w:right w:val="none" w:sz="0" w:space="0" w:color="auto"/>
              </w:divBdr>
              <w:divsChild>
                <w:div w:id="346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57546">
      <w:bodyDiv w:val="1"/>
      <w:marLeft w:val="0"/>
      <w:marRight w:val="0"/>
      <w:marTop w:val="0"/>
      <w:marBottom w:val="0"/>
      <w:divBdr>
        <w:top w:val="none" w:sz="0" w:space="0" w:color="auto"/>
        <w:left w:val="none" w:sz="0" w:space="0" w:color="auto"/>
        <w:bottom w:val="none" w:sz="0" w:space="0" w:color="auto"/>
        <w:right w:val="none" w:sz="0" w:space="0" w:color="auto"/>
      </w:divBdr>
    </w:div>
    <w:div w:id="1797600223">
      <w:bodyDiv w:val="1"/>
      <w:marLeft w:val="0"/>
      <w:marRight w:val="0"/>
      <w:marTop w:val="0"/>
      <w:marBottom w:val="0"/>
      <w:divBdr>
        <w:top w:val="none" w:sz="0" w:space="0" w:color="auto"/>
        <w:left w:val="none" w:sz="0" w:space="0" w:color="auto"/>
        <w:bottom w:val="none" w:sz="0" w:space="0" w:color="auto"/>
        <w:right w:val="none" w:sz="0" w:space="0" w:color="auto"/>
      </w:divBdr>
    </w:div>
    <w:div w:id="1808931443">
      <w:bodyDiv w:val="1"/>
      <w:marLeft w:val="0"/>
      <w:marRight w:val="0"/>
      <w:marTop w:val="0"/>
      <w:marBottom w:val="0"/>
      <w:divBdr>
        <w:top w:val="none" w:sz="0" w:space="0" w:color="auto"/>
        <w:left w:val="none" w:sz="0" w:space="0" w:color="auto"/>
        <w:bottom w:val="none" w:sz="0" w:space="0" w:color="auto"/>
        <w:right w:val="none" w:sz="0" w:space="0" w:color="auto"/>
      </w:divBdr>
    </w:div>
    <w:div w:id="1826314184">
      <w:bodyDiv w:val="1"/>
      <w:marLeft w:val="0"/>
      <w:marRight w:val="0"/>
      <w:marTop w:val="0"/>
      <w:marBottom w:val="0"/>
      <w:divBdr>
        <w:top w:val="none" w:sz="0" w:space="0" w:color="auto"/>
        <w:left w:val="none" w:sz="0" w:space="0" w:color="auto"/>
        <w:bottom w:val="none" w:sz="0" w:space="0" w:color="auto"/>
        <w:right w:val="none" w:sz="0" w:space="0" w:color="auto"/>
      </w:divBdr>
    </w:div>
    <w:div w:id="1891648033">
      <w:bodyDiv w:val="1"/>
      <w:marLeft w:val="0"/>
      <w:marRight w:val="0"/>
      <w:marTop w:val="0"/>
      <w:marBottom w:val="0"/>
      <w:divBdr>
        <w:top w:val="none" w:sz="0" w:space="0" w:color="auto"/>
        <w:left w:val="none" w:sz="0" w:space="0" w:color="auto"/>
        <w:bottom w:val="none" w:sz="0" w:space="0" w:color="auto"/>
        <w:right w:val="none" w:sz="0" w:space="0" w:color="auto"/>
      </w:divBdr>
      <w:divsChild>
        <w:div w:id="700210379">
          <w:marLeft w:val="0"/>
          <w:marRight w:val="0"/>
          <w:marTop w:val="0"/>
          <w:marBottom w:val="0"/>
          <w:divBdr>
            <w:top w:val="none" w:sz="0" w:space="0" w:color="auto"/>
            <w:left w:val="none" w:sz="0" w:space="0" w:color="auto"/>
            <w:bottom w:val="none" w:sz="0" w:space="0" w:color="auto"/>
            <w:right w:val="none" w:sz="0" w:space="0" w:color="auto"/>
          </w:divBdr>
          <w:divsChild>
            <w:div w:id="1598248497">
              <w:marLeft w:val="0"/>
              <w:marRight w:val="0"/>
              <w:marTop w:val="0"/>
              <w:marBottom w:val="0"/>
              <w:divBdr>
                <w:top w:val="none" w:sz="0" w:space="0" w:color="auto"/>
                <w:left w:val="none" w:sz="0" w:space="0" w:color="auto"/>
                <w:bottom w:val="none" w:sz="0" w:space="0" w:color="auto"/>
                <w:right w:val="none" w:sz="0" w:space="0" w:color="auto"/>
              </w:divBdr>
              <w:divsChild>
                <w:div w:id="542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2806817">
          <w:marLeft w:val="0"/>
          <w:marRight w:val="0"/>
          <w:marTop w:val="0"/>
          <w:marBottom w:val="0"/>
          <w:divBdr>
            <w:top w:val="none" w:sz="0" w:space="0" w:color="auto"/>
            <w:left w:val="none" w:sz="0" w:space="0" w:color="auto"/>
            <w:bottom w:val="none" w:sz="0" w:space="0" w:color="auto"/>
            <w:right w:val="none" w:sz="0" w:space="0" w:color="auto"/>
          </w:divBdr>
          <w:divsChild>
            <w:div w:id="774331401">
              <w:marLeft w:val="0"/>
              <w:marRight w:val="0"/>
              <w:marTop w:val="0"/>
              <w:marBottom w:val="0"/>
              <w:divBdr>
                <w:top w:val="none" w:sz="0" w:space="0" w:color="auto"/>
                <w:left w:val="none" w:sz="0" w:space="0" w:color="auto"/>
                <w:bottom w:val="none" w:sz="0" w:space="0" w:color="auto"/>
                <w:right w:val="none" w:sz="0" w:space="0" w:color="auto"/>
              </w:divBdr>
              <w:divsChild>
                <w:div w:id="114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2886">
      <w:bodyDiv w:val="1"/>
      <w:marLeft w:val="0"/>
      <w:marRight w:val="0"/>
      <w:marTop w:val="0"/>
      <w:marBottom w:val="0"/>
      <w:divBdr>
        <w:top w:val="none" w:sz="0" w:space="0" w:color="auto"/>
        <w:left w:val="none" w:sz="0" w:space="0" w:color="auto"/>
        <w:bottom w:val="none" w:sz="0" w:space="0" w:color="auto"/>
        <w:right w:val="none" w:sz="0" w:space="0" w:color="auto"/>
      </w:divBdr>
    </w:div>
    <w:div w:id="1993606196">
      <w:bodyDiv w:val="1"/>
      <w:marLeft w:val="0"/>
      <w:marRight w:val="0"/>
      <w:marTop w:val="0"/>
      <w:marBottom w:val="0"/>
      <w:divBdr>
        <w:top w:val="none" w:sz="0" w:space="0" w:color="auto"/>
        <w:left w:val="none" w:sz="0" w:space="0" w:color="auto"/>
        <w:bottom w:val="none" w:sz="0" w:space="0" w:color="auto"/>
        <w:right w:val="none" w:sz="0" w:space="0" w:color="auto"/>
      </w:divBdr>
    </w:div>
    <w:div w:id="2082633515">
      <w:bodyDiv w:val="1"/>
      <w:marLeft w:val="0"/>
      <w:marRight w:val="0"/>
      <w:marTop w:val="0"/>
      <w:marBottom w:val="0"/>
      <w:divBdr>
        <w:top w:val="none" w:sz="0" w:space="0" w:color="auto"/>
        <w:left w:val="none" w:sz="0" w:space="0" w:color="auto"/>
        <w:bottom w:val="none" w:sz="0" w:space="0" w:color="auto"/>
        <w:right w:val="none" w:sz="0" w:space="0" w:color="auto"/>
      </w:divBdr>
    </w:div>
    <w:div w:id="21083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brown@reprorights.or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hrw.org/news/2017/04/24/honduras-should-give-women-more-access-abortion" TargetMode="External"/><Relationship Id="rId3" Type="http://schemas.openxmlformats.org/officeDocument/2006/relationships/hyperlink" Target="https://www.ohchr.org/EN/NewsEvents/Pages/DisplayNews.aspx?NewsID=22412&amp;LangID=E" TargetMode="External"/><Relationship Id="rId7" Type="http://schemas.openxmlformats.org/officeDocument/2006/relationships/hyperlink" Target="http://derechosdelamujer.org/abortion-in-honduras/" TargetMode="External"/><Relationship Id="rId12" Type="http://schemas.openxmlformats.org/officeDocument/2006/relationships/hyperlink" Target="https://www.buzzfeed.com/emaoconnor/pregnant-migrant-women-miscarriage-cpb-ice-detention-trump?utm_term=.hoJNbWrPj" TargetMode="External"/><Relationship Id="rId2" Type="http://schemas.openxmlformats.org/officeDocument/2006/relationships/hyperlink" Target="https://www.camara.cl/pdf.aspx?prmID=117002&amp;prmTIPO=DOCUMENTOCOMISION" TargetMode="External"/><Relationship Id="rId1" Type="http://schemas.openxmlformats.org/officeDocument/2006/relationships/hyperlink" Target="http://es.scribd.com/doc/60806391/Codigo-Penal-1973" TargetMode="External"/><Relationship Id="rId6" Type="http://schemas.openxmlformats.org/officeDocument/2006/relationships/hyperlink" Target="https://www.reproductiverights.org/press-room/honduras-reinforces-total-abortion-ban" TargetMode="External"/><Relationship Id="rId11" Type="http://schemas.openxmlformats.org/officeDocument/2006/relationships/hyperlink" Target="https://www.buzzfeed.com/emaoconnor/pregnant-migrant-women-miscarriage-cpb-ice-detention-trump?utm_term=.hoJNbWrPj" TargetMode="External"/><Relationship Id="rId5" Type="http://schemas.openxmlformats.org/officeDocument/2006/relationships/hyperlink" Target="http://www.ohchr.org/EN/NewsEvents/Pages/DisplayNews.aspx?NewsID=21549&amp;LangID" TargetMode="External"/><Relationship Id="rId10" Type="http://schemas.openxmlformats.org/officeDocument/2006/relationships/hyperlink" Target="http://news.trust.org/item/20160712104512-b6xji/" TargetMode="External"/><Relationship Id="rId4" Type="http://schemas.openxmlformats.org/officeDocument/2006/relationships/hyperlink" Target="https://www.reproductiverights.org/sites/crr.civicactions.net/files/documents/25MAR15%20GLP_LAC_Honduras_Factsheet_Final%20AS%20FILED%20(1).pdf" TargetMode="External"/><Relationship Id="rId9" Type="http://schemas.openxmlformats.org/officeDocument/2006/relationships/hyperlink" Target="https://witness.worldpressphoto.org/is-abortion-legal-in-nepal-many-nepali-women-dont-know-the-answer-dae56431f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D7180-B15A-4B37-88D0-29007F4577BC}">
  <ds:schemaRefs>
    <ds:schemaRef ds:uri="http://schemas.openxmlformats.org/officeDocument/2006/bibliography"/>
  </ds:schemaRefs>
</ds:datastoreItem>
</file>

<file path=customXml/itemProps2.xml><?xml version="1.0" encoding="utf-8"?>
<ds:datastoreItem xmlns:ds="http://schemas.openxmlformats.org/officeDocument/2006/customXml" ds:itemID="{795D0203-86EF-4DD0-BFCE-CEC823827455}"/>
</file>

<file path=customXml/itemProps3.xml><?xml version="1.0" encoding="utf-8"?>
<ds:datastoreItem xmlns:ds="http://schemas.openxmlformats.org/officeDocument/2006/customXml" ds:itemID="{8F234C32-804A-46BB-A542-A930D4F607FE}"/>
</file>

<file path=customXml/itemProps4.xml><?xml version="1.0" encoding="utf-8"?>
<ds:datastoreItem xmlns:ds="http://schemas.openxmlformats.org/officeDocument/2006/customXml" ds:itemID="{EC5CEBC3-4D1F-4388-8922-C8DA40120CBC}"/>
</file>

<file path=docProps/app.xml><?xml version="1.0" encoding="utf-8"?>
<Properties xmlns="http://schemas.openxmlformats.org/officeDocument/2006/extended-properties" xmlns:vt="http://schemas.openxmlformats.org/officeDocument/2006/docPropsVTypes">
  <Template>Normal.dotm</Template>
  <TotalTime>0</TotalTime>
  <Pages>18</Pages>
  <Words>5970</Words>
  <Characters>34034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Myers</dc:creator>
  <cp:lastModifiedBy>Monica Iyer</cp:lastModifiedBy>
  <cp:revision>2</cp:revision>
  <dcterms:created xsi:type="dcterms:W3CDTF">2018-09-17T08:49:00Z</dcterms:created>
  <dcterms:modified xsi:type="dcterms:W3CDTF">2018-09-17T08:49:00Z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