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FB2" w:rsidRPr="00206F24" w:rsidRDefault="00206F24" w:rsidP="00206F24">
      <w:pPr>
        <w:pStyle w:val="Title"/>
        <w:pBdr>
          <w:bottom w:val="none" w:sz="0" w:space="0" w:color="auto"/>
        </w:pBdr>
        <w:spacing w:after="0"/>
        <w:contextualSpacing w:val="0"/>
        <w:jc w:val="left"/>
        <w:rPr>
          <w:rFonts w:ascii="Arial" w:hAnsi="Arial" w:cs="Arial"/>
          <w:b w:val="0"/>
          <w:color w:val="auto"/>
          <w:sz w:val="22"/>
          <w:szCs w:val="22"/>
        </w:rPr>
      </w:pPr>
      <w:r w:rsidRPr="00206F24">
        <w:rPr>
          <w:noProof/>
          <w:color w:val="auto"/>
        </w:rPr>
        <w:drawing>
          <wp:anchor distT="0" distB="0" distL="114300" distR="114300" simplePos="0" relativeHeight="251658240" behindDoc="0" locked="0" layoutInCell="1" allowOverlap="1" wp14:anchorId="5ED5B8E3" wp14:editId="4822D16D">
            <wp:simplePos x="0" y="0"/>
            <wp:positionH relativeFrom="column">
              <wp:posOffset>1832898</wp:posOffset>
            </wp:positionH>
            <wp:positionV relativeFrom="paragraph">
              <wp:align>top</wp:align>
            </wp:positionV>
            <wp:extent cx="1410970" cy="7283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gov-logo-stacked-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0970" cy="728345"/>
                    </a:xfrm>
                    <a:prstGeom prst="rect">
                      <a:avLst/>
                    </a:prstGeom>
                  </pic:spPr>
                </pic:pic>
              </a:graphicData>
            </a:graphic>
          </wp:anchor>
        </w:drawing>
      </w:r>
      <w:r w:rsidRPr="00206F24">
        <w:rPr>
          <w:rFonts w:ascii="Arial" w:hAnsi="Arial" w:cs="Arial"/>
          <w:b w:val="0"/>
          <w:color w:val="auto"/>
          <w:sz w:val="22"/>
          <w:szCs w:val="22"/>
        </w:rPr>
        <w:br w:type="textWrapping" w:clear="all"/>
      </w:r>
    </w:p>
    <w:p w:rsidR="009F7FB2" w:rsidRDefault="00206F24" w:rsidP="00206F24">
      <w:pPr>
        <w:jc w:val="center"/>
        <w:rPr>
          <w:rFonts w:ascii="Arial" w:hAnsi="Arial" w:cs="Arial"/>
          <w:b/>
          <w:lang w:val="en-AU"/>
        </w:rPr>
      </w:pPr>
      <w:r w:rsidRPr="00206F24">
        <w:rPr>
          <w:rFonts w:ascii="Arial" w:hAnsi="Arial" w:cs="Arial"/>
          <w:b/>
          <w:lang w:val="en-AU"/>
        </w:rPr>
        <w:t xml:space="preserve">Subject: Australian Government </w:t>
      </w:r>
      <w:r w:rsidRPr="00206F24">
        <w:rPr>
          <w:rFonts w:ascii="Arial" w:hAnsi="Arial" w:cs="Arial"/>
          <w:b/>
          <w:lang w:val="en-AU"/>
        </w:rPr>
        <w:t xml:space="preserve">Response to Working Group </w:t>
      </w:r>
      <w:proofErr w:type="gramStart"/>
      <w:r w:rsidRPr="00206F24">
        <w:rPr>
          <w:rFonts w:ascii="Arial" w:hAnsi="Arial" w:cs="Arial"/>
          <w:b/>
          <w:lang w:val="en-AU"/>
        </w:rPr>
        <w:t>On</w:t>
      </w:r>
      <w:r w:rsidR="003A1C21" w:rsidRPr="00206F24">
        <w:rPr>
          <w:rFonts w:ascii="Arial" w:hAnsi="Arial" w:cs="Arial"/>
          <w:b/>
          <w:lang w:val="en-AU"/>
        </w:rPr>
        <w:t xml:space="preserve"> </w:t>
      </w:r>
      <w:r w:rsidRPr="00206F24">
        <w:rPr>
          <w:rFonts w:ascii="Arial" w:hAnsi="Arial" w:cs="Arial"/>
          <w:b/>
          <w:lang w:val="en-AU"/>
        </w:rPr>
        <w:t>Discrimination Against</w:t>
      </w:r>
      <w:proofErr w:type="gramEnd"/>
      <w:r w:rsidRPr="00206F24">
        <w:rPr>
          <w:rFonts w:ascii="Arial" w:hAnsi="Arial" w:cs="Arial"/>
          <w:b/>
          <w:lang w:val="en-AU"/>
        </w:rPr>
        <w:t xml:space="preserve"> Women in Law and Practice – Questionnaire on good practices </w:t>
      </w:r>
    </w:p>
    <w:p w:rsidR="00206F24" w:rsidRDefault="00206F24" w:rsidP="00206F24">
      <w:pPr>
        <w:rPr>
          <w:rFonts w:ascii="Calibri" w:hAnsi="Calibri"/>
          <w:u w:val="single"/>
        </w:rPr>
      </w:pPr>
    </w:p>
    <w:p w:rsidR="00206F24" w:rsidRPr="00206F24" w:rsidRDefault="00206F24" w:rsidP="00206F24">
      <w:pPr>
        <w:rPr>
          <w:rFonts w:ascii="Arial" w:hAnsi="Arial" w:cs="Arial"/>
          <w:lang w:val="en-AU"/>
        </w:rPr>
      </w:pPr>
      <w:r w:rsidRPr="00206F24">
        <w:rPr>
          <w:rFonts w:ascii="Arial" w:hAnsi="Arial" w:cs="Arial"/>
          <w:lang w:val="en-AU"/>
        </w:rPr>
        <w:t xml:space="preserve">The Australian Government </w:t>
      </w:r>
      <w:r>
        <w:rPr>
          <w:rFonts w:ascii="Arial" w:hAnsi="Arial" w:cs="Arial"/>
          <w:lang w:val="en-AU"/>
        </w:rPr>
        <w:t xml:space="preserve">presents </w:t>
      </w:r>
      <w:r w:rsidRPr="00206F24">
        <w:rPr>
          <w:rFonts w:ascii="Arial" w:hAnsi="Arial" w:cs="Arial"/>
          <w:lang w:val="en-AU"/>
        </w:rPr>
        <w:t>its response to the</w:t>
      </w:r>
      <w:r w:rsidRPr="00206F24">
        <w:rPr>
          <w:rFonts w:ascii="Arial" w:hAnsi="Arial" w:cs="Arial"/>
          <w:lang w:val="en-AU"/>
        </w:rPr>
        <w:t xml:space="preserve"> questionnaire from the </w:t>
      </w:r>
      <w:r w:rsidRPr="00206F24">
        <w:rPr>
          <w:rFonts w:ascii="Arial" w:hAnsi="Arial" w:cs="Arial"/>
          <w:lang w:val="en-AU"/>
        </w:rPr>
        <w:t>Working Group</w:t>
      </w:r>
      <w:r>
        <w:rPr>
          <w:rFonts w:ascii="Arial" w:hAnsi="Arial" w:cs="Arial"/>
          <w:lang w:val="en-AU"/>
        </w:rPr>
        <w:t xml:space="preserve"> o</w:t>
      </w:r>
      <w:r w:rsidRPr="00206F24">
        <w:rPr>
          <w:rFonts w:ascii="Arial" w:hAnsi="Arial" w:cs="Arial"/>
          <w:lang w:val="en-AU"/>
        </w:rPr>
        <w:t xml:space="preserve">n Discrimination </w:t>
      </w:r>
      <w:proofErr w:type="gramStart"/>
      <w:r w:rsidRPr="00206F24">
        <w:rPr>
          <w:rFonts w:ascii="Arial" w:hAnsi="Arial" w:cs="Arial"/>
          <w:lang w:val="en-AU"/>
        </w:rPr>
        <w:t>Against</w:t>
      </w:r>
      <w:proofErr w:type="gramEnd"/>
      <w:r w:rsidRPr="00206F24">
        <w:rPr>
          <w:rFonts w:ascii="Arial" w:hAnsi="Arial" w:cs="Arial"/>
          <w:lang w:val="en-AU"/>
        </w:rPr>
        <w:t xml:space="preserve"> Women in Law and Practice – Questionnaire on good</w:t>
      </w:r>
      <w:r>
        <w:rPr>
          <w:rFonts w:ascii="Arial" w:hAnsi="Arial" w:cs="Arial"/>
          <w:lang w:val="en-AU"/>
        </w:rPr>
        <w:t xml:space="preserve"> practices, dated 4 August 2016</w:t>
      </w:r>
      <w:bookmarkStart w:id="0" w:name="_GoBack"/>
      <w:bookmarkEnd w:id="0"/>
      <w:r>
        <w:rPr>
          <w:rFonts w:ascii="Arial" w:hAnsi="Arial" w:cs="Arial"/>
          <w:lang w:val="en-AU"/>
        </w:rPr>
        <w:t xml:space="preserve">. </w:t>
      </w:r>
    </w:p>
    <w:p w:rsidR="009F7FB2" w:rsidRPr="00206F24" w:rsidRDefault="009F7FB2" w:rsidP="00036121">
      <w:pPr>
        <w:spacing w:after="0" w:line="276" w:lineRule="auto"/>
        <w:rPr>
          <w:rFonts w:ascii="Arial" w:eastAsiaTheme="majorEastAsia" w:hAnsi="Arial" w:cs="Arial"/>
          <w:b/>
          <w:spacing w:val="5"/>
          <w:kern w:val="28"/>
          <w:lang w:val="en-AU"/>
        </w:rPr>
      </w:pPr>
    </w:p>
    <w:p w:rsidR="009F7FB2" w:rsidRPr="00206F24" w:rsidRDefault="009F7FB2" w:rsidP="00036121">
      <w:pPr>
        <w:pStyle w:val="ListParagraph"/>
        <w:numPr>
          <w:ilvl w:val="0"/>
          <w:numId w:val="2"/>
        </w:numPr>
        <w:spacing w:after="0" w:line="276" w:lineRule="auto"/>
        <w:ind w:left="709" w:hanging="709"/>
        <w:rPr>
          <w:rFonts w:ascii="Arial" w:eastAsiaTheme="majorEastAsia" w:hAnsi="Arial" w:cs="Arial"/>
          <w:b/>
          <w:spacing w:val="5"/>
          <w:kern w:val="28"/>
          <w:lang w:val="en-AU"/>
        </w:rPr>
      </w:pPr>
      <w:r w:rsidRPr="00206F24">
        <w:rPr>
          <w:rFonts w:ascii="Arial" w:eastAsiaTheme="majorEastAsia" w:hAnsi="Arial" w:cs="Arial"/>
          <w:b/>
          <w:spacing w:val="5"/>
          <w:kern w:val="28"/>
          <w:lang w:val="en-AU"/>
        </w:rPr>
        <w:t>Identification of a law that has eliminated or substantially reduced discrimination and supported women’s empowerment.</w:t>
      </w:r>
    </w:p>
    <w:p w:rsidR="009F7FB2" w:rsidRPr="00206F24" w:rsidRDefault="009F7FB2" w:rsidP="00036121">
      <w:pPr>
        <w:spacing w:after="0" w:line="276" w:lineRule="auto"/>
        <w:rPr>
          <w:rFonts w:ascii="Arial" w:hAnsi="Arial" w:cs="Arial"/>
          <w:i/>
        </w:rPr>
      </w:pPr>
    </w:p>
    <w:p w:rsidR="009F7FB2" w:rsidRPr="00206F24" w:rsidRDefault="009F7FB2" w:rsidP="00036121">
      <w:pPr>
        <w:spacing w:after="0" w:line="276" w:lineRule="auto"/>
        <w:rPr>
          <w:rFonts w:ascii="Arial" w:hAnsi="Arial" w:cs="Arial"/>
          <w:i/>
        </w:rPr>
      </w:pPr>
      <w:r w:rsidRPr="00206F24">
        <w:rPr>
          <w:rFonts w:ascii="Arial" w:hAnsi="Arial" w:cs="Arial"/>
          <w:i/>
        </w:rPr>
        <w:t>Background Information on the Law</w:t>
      </w:r>
    </w:p>
    <w:p w:rsidR="009F7FB2" w:rsidRPr="00206F24" w:rsidRDefault="009F7FB2" w:rsidP="00036121">
      <w:pPr>
        <w:pStyle w:val="NumberedParagraph2"/>
        <w:numPr>
          <w:ilvl w:val="0"/>
          <w:numId w:val="0"/>
        </w:numPr>
        <w:spacing w:after="0"/>
        <w:rPr>
          <w:rFonts w:ascii="Arial" w:hAnsi="Arial" w:cs="Arial"/>
        </w:rPr>
      </w:pPr>
    </w:p>
    <w:p w:rsidR="00160DFA" w:rsidRPr="00206F24" w:rsidRDefault="009F7FB2" w:rsidP="00036121">
      <w:pPr>
        <w:pStyle w:val="NumberedParagraph2"/>
        <w:numPr>
          <w:ilvl w:val="0"/>
          <w:numId w:val="0"/>
        </w:numPr>
        <w:spacing w:after="0"/>
        <w:rPr>
          <w:rFonts w:ascii="Arial" w:hAnsi="Arial" w:cs="Arial"/>
        </w:rPr>
      </w:pPr>
      <w:r w:rsidRPr="00206F24">
        <w:rPr>
          <w:rFonts w:ascii="Arial" w:hAnsi="Arial" w:cs="Arial"/>
        </w:rPr>
        <w:t>The Australian Government believes that all Australians have the right to be free from</w:t>
      </w:r>
      <w:r w:rsidR="00160DFA" w:rsidRPr="00206F24">
        <w:rPr>
          <w:rFonts w:ascii="Arial" w:hAnsi="Arial" w:cs="Arial"/>
        </w:rPr>
        <w:t xml:space="preserve"> discrimination and harassment.</w:t>
      </w:r>
    </w:p>
    <w:p w:rsidR="00160DFA" w:rsidRPr="00206F24" w:rsidRDefault="00160DFA" w:rsidP="00036121">
      <w:pPr>
        <w:pStyle w:val="NumberedParagraph2"/>
        <w:numPr>
          <w:ilvl w:val="0"/>
          <w:numId w:val="0"/>
        </w:numPr>
        <w:spacing w:after="0"/>
        <w:rPr>
          <w:rFonts w:ascii="Arial" w:hAnsi="Arial" w:cs="Arial"/>
        </w:rPr>
      </w:pPr>
    </w:p>
    <w:p w:rsidR="009F7FB2" w:rsidRPr="00206F24" w:rsidRDefault="00160DFA" w:rsidP="00036121">
      <w:pPr>
        <w:pStyle w:val="NumberedParagraph2"/>
        <w:numPr>
          <w:ilvl w:val="0"/>
          <w:numId w:val="0"/>
        </w:numPr>
        <w:spacing w:after="0"/>
        <w:rPr>
          <w:rFonts w:ascii="Arial" w:hAnsi="Arial" w:cs="Arial"/>
        </w:rPr>
      </w:pPr>
      <w:r w:rsidRPr="00206F24">
        <w:rPr>
          <w:rFonts w:ascii="Arial" w:hAnsi="Arial" w:cs="Arial"/>
        </w:rPr>
        <w:t xml:space="preserve">The </w:t>
      </w:r>
      <w:r w:rsidRPr="00206F24">
        <w:rPr>
          <w:rFonts w:ascii="Arial" w:hAnsi="Arial" w:cs="Arial"/>
          <w:i/>
        </w:rPr>
        <w:t>Sex Discrimination Act 1984</w:t>
      </w:r>
      <w:r w:rsidRPr="00206F24">
        <w:rPr>
          <w:rFonts w:ascii="Arial" w:hAnsi="Arial" w:cs="Arial"/>
        </w:rPr>
        <w:t xml:space="preserve"> (</w:t>
      </w:r>
      <w:proofErr w:type="spellStart"/>
      <w:r w:rsidRPr="00206F24">
        <w:rPr>
          <w:rFonts w:ascii="Arial" w:hAnsi="Arial" w:cs="Arial"/>
        </w:rPr>
        <w:t>Cth</w:t>
      </w:r>
      <w:proofErr w:type="spellEnd"/>
      <w:r w:rsidRPr="00206F24">
        <w:rPr>
          <w:rFonts w:ascii="Arial" w:hAnsi="Arial" w:cs="Arial"/>
        </w:rPr>
        <w:t xml:space="preserve">) is the key Commonwealth legislation for making discrimination against women unlawful. It </w:t>
      </w:r>
      <w:r w:rsidR="009F7FB2" w:rsidRPr="00206F24">
        <w:rPr>
          <w:rFonts w:ascii="Arial" w:hAnsi="Arial" w:cs="Arial"/>
        </w:rPr>
        <w:t>prohibits direct and indirect discrimination on the grounds of sex, marital or relationship status, pregnancy or potential pregnancy, breastfeeding, sexual orientation, gender identity or intersex status. It also prohibits discrimination on the ground of family responsibilities in the area of employment. Sexual harassment is also unlawful under the</w:t>
      </w:r>
      <w:r w:rsidR="006B3960" w:rsidRPr="00206F24">
        <w:rPr>
          <w:rFonts w:ascii="Arial" w:hAnsi="Arial" w:cs="Arial"/>
        </w:rPr>
        <w:t xml:space="preserve"> Sex Discrimination</w:t>
      </w:r>
      <w:r w:rsidR="009F7FB2" w:rsidRPr="00206F24">
        <w:rPr>
          <w:rFonts w:ascii="Arial" w:hAnsi="Arial" w:cs="Arial"/>
        </w:rPr>
        <w:t xml:space="preserve"> Act. </w:t>
      </w:r>
    </w:p>
    <w:p w:rsidR="001548A4" w:rsidRPr="00206F24" w:rsidRDefault="001548A4" w:rsidP="00036121">
      <w:pPr>
        <w:pStyle w:val="NumberedParagraph2"/>
        <w:numPr>
          <w:ilvl w:val="0"/>
          <w:numId w:val="0"/>
        </w:numPr>
        <w:spacing w:after="0"/>
        <w:rPr>
          <w:rFonts w:ascii="Arial" w:hAnsi="Arial" w:cs="Arial"/>
        </w:rPr>
      </w:pPr>
    </w:p>
    <w:p w:rsidR="001548A4" w:rsidRPr="00206F24" w:rsidRDefault="001548A4" w:rsidP="00036121">
      <w:pPr>
        <w:spacing w:after="0" w:line="276" w:lineRule="auto"/>
        <w:rPr>
          <w:rFonts w:ascii="Arial" w:hAnsi="Arial" w:cs="Arial"/>
          <w:i/>
        </w:rPr>
      </w:pPr>
      <w:r w:rsidRPr="00206F24">
        <w:rPr>
          <w:rFonts w:ascii="Arial" w:hAnsi="Arial" w:cs="Arial"/>
          <w:i/>
        </w:rPr>
        <w:t>The Law’s Compliance with CEDAW</w:t>
      </w:r>
    </w:p>
    <w:p w:rsidR="001548A4" w:rsidRPr="00206F24" w:rsidRDefault="001548A4" w:rsidP="00036121">
      <w:pPr>
        <w:pStyle w:val="NumberedParagraph2"/>
        <w:numPr>
          <w:ilvl w:val="0"/>
          <w:numId w:val="0"/>
        </w:numPr>
        <w:spacing w:after="0"/>
        <w:rPr>
          <w:rFonts w:ascii="Arial" w:hAnsi="Arial" w:cs="Arial"/>
        </w:rPr>
      </w:pPr>
    </w:p>
    <w:p w:rsidR="00036121" w:rsidRPr="00206F24" w:rsidRDefault="00AA1C95" w:rsidP="00036121">
      <w:pPr>
        <w:pStyle w:val="paragraph"/>
        <w:shd w:val="clear" w:color="auto" w:fill="FFFFFF"/>
        <w:spacing w:before="0" w:beforeAutospacing="0" w:after="0" w:afterAutospacing="0" w:line="276" w:lineRule="auto"/>
        <w:rPr>
          <w:rFonts w:ascii="Arial" w:hAnsi="Arial" w:cs="Arial"/>
          <w:sz w:val="22"/>
          <w:szCs w:val="22"/>
        </w:rPr>
      </w:pPr>
      <w:r w:rsidRPr="00206F24">
        <w:rPr>
          <w:rFonts w:ascii="Arial" w:hAnsi="Arial" w:cs="Arial"/>
          <w:sz w:val="22"/>
          <w:szCs w:val="22"/>
        </w:rPr>
        <w:t>The Sex Discrimination Act</w:t>
      </w:r>
      <w:r w:rsidRPr="00206F24">
        <w:rPr>
          <w:rFonts w:ascii="Arial" w:hAnsi="Arial" w:cs="Arial"/>
          <w:i/>
          <w:sz w:val="22"/>
          <w:szCs w:val="22"/>
        </w:rPr>
        <w:t xml:space="preserve"> </w:t>
      </w:r>
      <w:r w:rsidRPr="00206F24">
        <w:rPr>
          <w:rFonts w:ascii="Arial" w:hAnsi="Arial" w:cs="Arial"/>
          <w:sz w:val="22"/>
          <w:szCs w:val="22"/>
        </w:rPr>
        <w:t xml:space="preserve">gives effect to many of Australia’s obligations under CEDAW, as well as to aspects of </w:t>
      </w:r>
      <w:r w:rsidR="00E90555" w:rsidRPr="00206F24">
        <w:rPr>
          <w:rFonts w:ascii="Arial" w:eastAsiaTheme="minorHAnsi" w:hAnsi="Arial" w:cs="Arial"/>
          <w:sz w:val="22"/>
          <w:szCs w:val="22"/>
          <w:lang w:eastAsia="en-US"/>
        </w:rPr>
        <w:t xml:space="preserve">the </w:t>
      </w:r>
      <w:r w:rsidR="00E90555" w:rsidRPr="00206F24">
        <w:rPr>
          <w:rFonts w:ascii="Arial" w:eastAsiaTheme="minorHAnsi" w:hAnsi="Arial" w:cs="Arial"/>
          <w:i/>
          <w:sz w:val="22"/>
          <w:szCs w:val="22"/>
          <w:lang w:eastAsia="en-US"/>
        </w:rPr>
        <w:t>International Covenant on Civil and Political Rights</w:t>
      </w:r>
      <w:r w:rsidR="00E90555" w:rsidRPr="00206F24">
        <w:rPr>
          <w:rFonts w:ascii="Arial" w:eastAsiaTheme="minorHAnsi" w:hAnsi="Arial" w:cs="Arial"/>
          <w:sz w:val="22"/>
          <w:szCs w:val="22"/>
          <w:lang w:eastAsia="en-US"/>
        </w:rPr>
        <w:t xml:space="preserve"> and </w:t>
      </w:r>
      <w:r w:rsidR="00E90555" w:rsidRPr="00206F24">
        <w:rPr>
          <w:rFonts w:ascii="Arial" w:eastAsiaTheme="minorHAnsi" w:hAnsi="Arial" w:cs="Arial"/>
          <w:i/>
          <w:sz w:val="22"/>
          <w:szCs w:val="22"/>
          <w:lang w:eastAsia="en-US"/>
        </w:rPr>
        <w:t>International Covenant on Economic, Social and Cultural Rights</w:t>
      </w:r>
      <w:r w:rsidR="00E90555" w:rsidRPr="00206F24">
        <w:rPr>
          <w:rFonts w:ascii="Arial" w:eastAsiaTheme="minorHAnsi" w:hAnsi="Arial" w:cs="Arial"/>
          <w:sz w:val="22"/>
          <w:szCs w:val="22"/>
          <w:lang w:eastAsia="en-US"/>
        </w:rPr>
        <w:t xml:space="preserve"> (both done at New York on 16 December 1966), the </w:t>
      </w:r>
      <w:r w:rsidR="00E90555" w:rsidRPr="00206F24">
        <w:rPr>
          <w:rFonts w:ascii="Arial" w:eastAsiaTheme="minorHAnsi" w:hAnsi="Arial" w:cs="Arial"/>
          <w:i/>
          <w:sz w:val="22"/>
          <w:szCs w:val="22"/>
          <w:lang w:eastAsia="en-US"/>
        </w:rPr>
        <w:t xml:space="preserve">Convention on the Rights of the Child </w:t>
      </w:r>
      <w:r w:rsidR="00E90555" w:rsidRPr="00206F24">
        <w:rPr>
          <w:rFonts w:ascii="Arial" w:eastAsiaTheme="minorHAnsi" w:hAnsi="Arial" w:cs="Arial"/>
          <w:sz w:val="22"/>
          <w:szCs w:val="22"/>
          <w:lang w:eastAsia="en-US"/>
        </w:rPr>
        <w:t>(done at New York on 20 November 1989)</w:t>
      </w:r>
      <w:r w:rsidR="00036121" w:rsidRPr="00206F24">
        <w:rPr>
          <w:rFonts w:ascii="Arial" w:eastAsiaTheme="minorHAnsi" w:hAnsi="Arial" w:cs="Arial"/>
          <w:sz w:val="22"/>
          <w:szCs w:val="22"/>
          <w:lang w:eastAsia="en-US"/>
        </w:rPr>
        <w:t xml:space="preserve">, and </w:t>
      </w:r>
      <w:r w:rsidRPr="00206F24">
        <w:rPr>
          <w:rFonts w:ascii="Arial" w:hAnsi="Arial" w:cs="Arial"/>
          <w:sz w:val="22"/>
          <w:szCs w:val="22"/>
        </w:rPr>
        <w:t>Int</w:t>
      </w:r>
      <w:r w:rsidR="006B3960" w:rsidRPr="00206F24">
        <w:rPr>
          <w:rFonts w:ascii="Arial" w:hAnsi="Arial" w:cs="Arial"/>
          <w:sz w:val="22"/>
          <w:szCs w:val="22"/>
        </w:rPr>
        <w:t xml:space="preserve">ernational Labour Organization </w:t>
      </w:r>
      <w:r w:rsidRPr="00206F24">
        <w:rPr>
          <w:rFonts w:ascii="Arial" w:hAnsi="Arial" w:cs="Arial"/>
          <w:sz w:val="22"/>
          <w:szCs w:val="22"/>
        </w:rPr>
        <w:t xml:space="preserve">Conventions, including </w:t>
      </w:r>
      <w:r w:rsidR="00036121" w:rsidRPr="00206F24">
        <w:rPr>
          <w:rFonts w:ascii="Arial" w:hAnsi="Arial" w:cs="Arial"/>
          <w:sz w:val="22"/>
          <w:szCs w:val="22"/>
        </w:rPr>
        <w:t xml:space="preserve">the </w:t>
      </w:r>
      <w:r w:rsidR="00036121" w:rsidRPr="00206F24">
        <w:rPr>
          <w:rFonts w:ascii="Arial" w:hAnsi="Arial" w:cs="Arial"/>
          <w:i/>
          <w:sz w:val="22"/>
          <w:szCs w:val="22"/>
        </w:rPr>
        <w:t>Equal Remuneration Convention, 1951</w:t>
      </w:r>
      <w:r w:rsidR="00036121" w:rsidRPr="00206F24">
        <w:rPr>
          <w:rFonts w:ascii="Arial" w:hAnsi="Arial" w:cs="Arial"/>
          <w:sz w:val="22"/>
          <w:szCs w:val="22"/>
        </w:rPr>
        <w:t xml:space="preserve"> (No. 100), the </w:t>
      </w:r>
      <w:r w:rsidR="00036121" w:rsidRPr="00206F24">
        <w:rPr>
          <w:rFonts w:ascii="Arial" w:hAnsi="Arial" w:cs="Arial"/>
          <w:i/>
          <w:sz w:val="22"/>
          <w:szCs w:val="22"/>
        </w:rPr>
        <w:t>Discrimination (Employment and Occupation) Convention, 1958</w:t>
      </w:r>
      <w:r w:rsidR="00036121" w:rsidRPr="00206F24">
        <w:rPr>
          <w:rFonts w:ascii="Arial" w:hAnsi="Arial" w:cs="Arial"/>
          <w:sz w:val="22"/>
          <w:szCs w:val="22"/>
        </w:rPr>
        <w:t xml:space="preserve"> (No. 111), the </w:t>
      </w:r>
      <w:r w:rsidR="00036121" w:rsidRPr="00206F24">
        <w:rPr>
          <w:rFonts w:ascii="Arial" w:hAnsi="Arial" w:cs="Arial"/>
          <w:i/>
          <w:sz w:val="22"/>
          <w:szCs w:val="22"/>
        </w:rPr>
        <w:t>Workers with Family Responsibilities Convention, 1981</w:t>
      </w:r>
      <w:r w:rsidR="00036121" w:rsidRPr="00206F24">
        <w:rPr>
          <w:rFonts w:ascii="Arial" w:hAnsi="Arial" w:cs="Arial"/>
          <w:sz w:val="22"/>
          <w:szCs w:val="22"/>
        </w:rPr>
        <w:t xml:space="preserve"> (No. 156), and the </w:t>
      </w:r>
      <w:r w:rsidR="00036121" w:rsidRPr="00206F24">
        <w:rPr>
          <w:rFonts w:ascii="Arial" w:hAnsi="Arial" w:cs="Arial"/>
          <w:i/>
          <w:sz w:val="22"/>
          <w:szCs w:val="22"/>
        </w:rPr>
        <w:t>Termination of Employment Convention, 1982</w:t>
      </w:r>
      <w:r w:rsidR="00036121" w:rsidRPr="00206F24">
        <w:rPr>
          <w:rFonts w:ascii="Arial" w:hAnsi="Arial" w:cs="Arial"/>
          <w:sz w:val="22"/>
          <w:szCs w:val="22"/>
        </w:rPr>
        <w:t xml:space="preserve"> (No. 158).</w:t>
      </w:r>
    </w:p>
    <w:p w:rsidR="00036121" w:rsidRPr="00206F24" w:rsidRDefault="00036121" w:rsidP="00036121">
      <w:pPr>
        <w:pStyle w:val="paragraph"/>
        <w:shd w:val="clear" w:color="auto" w:fill="FFFFFF"/>
        <w:spacing w:before="0" w:beforeAutospacing="0" w:after="0" w:afterAutospacing="0" w:line="276" w:lineRule="auto"/>
        <w:rPr>
          <w:rFonts w:ascii="Arial" w:hAnsi="Arial" w:cs="Arial"/>
          <w:sz w:val="22"/>
          <w:szCs w:val="22"/>
        </w:rPr>
      </w:pPr>
    </w:p>
    <w:p w:rsidR="006B3960" w:rsidRPr="00206F24" w:rsidRDefault="006B3960" w:rsidP="00036121">
      <w:pPr>
        <w:pStyle w:val="NumberedParagraph2"/>
        <w:numPr>
          <w:ilvl w:val="0"/>
          <w:numId w:val="0"/>
        </w:numPr>
        <w:spacing w:after="0"/>
        <w:rPr>
          <w:rFonts w:ascii="Arial" w:hAnsi="Arial" w:cs="Arial"/>
        </w:rPr>
      </w:pPr>
      <w:r w:rsidRPr="00206F24">
        <w:rPr>
          <w:rFonts w:ascii="Arial" w:hAnsi="Arial" w:cs="Arial"/>
        </w:rPr>
        <w:t>All states and territories across Australia also have anti-discrimination legislation, in addition to the federal Sex Discrimination Act being applicable, which seek to reduce discrimination and support women’s equal participation. Where a state law is inconsistent with a Commonwealth law, section 109 of Australia’s Constitution provides that Commonwealth law prevails to the extent of the inconsistency.</w:t>
      </w:r>
    </w:p>
    <w:p w:rsidR="003A1C21" w:rsidRPr="00206F24" w:rsidRDefault="003A1C21" w:rsidP="00036121">
      <w:pPr>
        <w:spacing w:after="0" w:line="276" w:lineRule="auto"/>
        <w:rPr>
          <w:rFonts w:ascii="Arial" w:hAnsi="Arial" w:cs="Arial"/>
          <w:lang w:val="en-AU"/>
        </w:rPr>
      </w:pPr>
    </w:p>
    <w:p w:rsidR="009F7FB2" w:rsidRPr="00206F24" w:rsidRDefault="009F7FB2" w:rsidP="00036121">
      <w:pPr>
        <w:pStyle w:val="ListParagraph"/>
        <w:numPr>
          <w:ilvl w:val="0"/>
          <w:numId w:val="2"/>
        </w:numPr>
        <w:spacing w:after="0" w:line="276" w:lineRule="auto"/>
        <w:ind w:left="0" w:firstLine="0"/>
        <w:rPr>
          <w:rFonts w:ascii="Arial" w:hAnsi="Arial" w:cs="Arial"/>
          <w:b/>
          <w:bCs/>
        </w:rPr>
      </w:pPr>
      <w:r w:rsidRPr="00206F24">
        <w:rPr>
          <w:rFonts w:ascii="Arial" w:eastAsiaTheme="majorEastAsia" w:hAnsi="Arial" w:cs="Arial"/>
          <w:b/>
          <w:spacing w:val="5"/>
          <w:kern w:val="28"/>
          <w:lang w:val="en-AU"/>
        </w:rPr>
        <w:t>How the law came into being and was implemented</w:t>
      </w:r>
    </w:p>
    <w:p w:rsidR="009F7FB2" w:rsidRPr="00206F24" w:rsidRDefault="009F7FB2" w:rsidP="00036121">
      <w:pPr>
        <w:spacing w:after="0" w:line="276" w:lineRule="auto"/>
        <w:rPr>
          <w:rFonts w:ascii="Arial" w:hAnsi="Arial" w:cs="Arial"/>
          <w:b/>
          <w:bCs/>
        </w:rPr>
      </w:pPr>
    </w:p>
    <w:p w:rsidR="009F7FB2" w:rsidRPr="00206F24" w:rsidRDefault="00A551D6" w:rsidP="00036121">
      <w:pPr>
        <w:pStyle w:val="NumberedParagraph2"/>
        <w:numPr>
          <w:ilvl w:val="0"/>
          <w:numId w:val="0"/>
        </w:numPr>
        <w:spacing w:after="0"/>
        <w:rPr>
          <w:rFonts w:ascii="Arial" w:hAnsi="Arial" w:cs="Arial"/>
          <w:spacing w:val="-4"/>
        </w:rPr>
      </w:pPr>
      <w:r w:rsidRPr="00206F24">
        <w:rPr>
          <w:rFonts w:ascii="Arial" w:hAnsi="Arial" w:cs="Arial"/>
        </w:rPr>
        <w:t xml:space="preserve">The Sex Discrimination Act </w:t>
      </w:r>
      <w:r w:rsidR="009F7FB2" w:rsidRPr="00206F24">
        <w:rPr>
          <w:rFonts w:ascii="Arial" w:hAnsi="Arial" w:cs="Arial"/>
        </w:rPr>
        <w:t xml:space="preserve">came into force on 1 August 1984, implementing Australia’s international human rights obligations in CEDAW, following ratification by Australia on </w:t>
      </w:r>
      <w:r w:rsidR="004A359E" w:rsidRPr="00206F24">
        <w:rPr>
          <w:rFonts w:ascii="Arial" w:hAnsi="Arial" w:cs="Arial"/>
          <w:spacing w:val="-4"/>
        </w:rPr>
        <w:t>28 July 1983.</w:t>
      </w:r>
    </w:p>
    <w:p w:rsidR="006B3960" w:rsidRPr="00206F24" w:rsidRDefault="006B3960" w:rsidP="00036121">
      <w:pPr>
        <w:pStyle w:val="NumberedParagraph2"/>
        <w:numPr>
          <w:ilvl w:val="0"/>
          <w:numId w:val="0"/>
        </w:numPr>
        <w:spacing w:after="0"/>
        <w:rPr>
          <w:rFonts w:ascii="Arial" w:hAnsi="Arial" w:cs="Arial"/>
        </w:rPr>
      </w:pPr>
    </w:p>
    <w:p w:rsidR="00A551D6" w:rsidRPr="00206F24" w:rsidRDefault="00A551D6" w:rsidP="00036121">
      <w:pPr>
        <w:pStyle w:val="NumberedParagraph2"/>
        <w:numPr>
          <w:ilvl w:val="0"/>
          <w:numId w:val="0"/>
        </w:numPr>
        <w:spacing w:after="0"/>
        <w:rPr>
          <w:rFonts w:ascii="Arial" w:hAnsi="Arial" w:cs="Arial"/>
        </w:rPr>
      </w:pPr>
      <w:r w:rsidRPr="00206F24">
        <w:rPr>
          <w:rFonts w:ascii="Arial" w:hAnsi="Arial" w:cs="Arial"/>
        </w:rPr>
        <w:lastRenderedPageBreak/>
        <w:t>In 2011, significant amendments to the Sex Discrimination Act came into effect, including:</w:t>
      </w:r>
    </w:p>
    <w:p w:rsidR="00A551D6" w:rsidRPr="00206F24" w:rsidRDefault="00A551D6" w:rsidP="00036121">
      <w:pPr>
        <w:pStyle w:val="NumberedParagraphBullet"/>
        <w:spacing w:after="0"/>
        <w:ind w:left="851" w:hanging="284"/>
        <w:rPr>
          <w:rFonts w:ascii="Arial" w:hAnsi="Arial" w:cs="Arial"/>
          <w:sz w:val="22"/>
        </w:rPr>
      </w:pPr>
      <w:r w:rsidRPr="00206F24">
        <w:rPr>
          <w:rFonts w:ascii="Arial" w:hAnsi="Arial" w:cs="Arial"/>
          <w:sz w:val="22"/>
        </w:rPr>
        <w:t>ensuring that protections from sex discrimination apply equally to women and men;</w:t>
      </w:r>
    </w:p>
    <w:p w:rsidR="00A551D6" w:rsidRPr="00206F24" w:rsidRDefault="00A551D6" w:rsidP="00036121">
      <w:pPr>
        <w:pStyle w:val="NumberedParagraphBullet"/>
        <w:spacing w:after="0"/>
        <w:ind w:left="851" w:hanging="284"/>
        <w:rPr>
          <w:rFonts w:ascii="Arial" w:hAnsi="Arial" w:cs="Arial"/>
          <w:sz w:val="22"/>
        </w:rPr>
      </w:pPr>
      <w:r w:rsidRPr="00206F24">
        <w:rPr>
          <w:rFonts w:ascii="Arial" w:hAnsi="Arial" w:cs="Arial"/>
          <w:sz w:val="22"/>
        </w:rPr>
        <w:t>prohibiting direct discrimination against employees on the ground of family responsibilities;</w:t>
      </w:r>
    </w:p>
    <w:p w:rsidR="00A551D6" w:rsidRPr="00206F24" w:rsidRDefault="00A551D6" w:rsidP="00036121">
      <w:pPr>
        <w:pStyle w:val="NumberedParagraphBullet"/>
        <w:spacing w:after="0"/>
        <w:ind w:left="851" w:hanging="284"/>
        <w:rPr>
          <w:rFonts w:ascii="Arial" w:hAnsi="Arial" w:cs="Arial"/>
          <w:sz w:val="22"/>
        </w:rPr>
      </w:pPr>
      <w:r w:rsidRPr="00206F24">
        <w:rPr>
          <w:rFonts w:ascii="Arial" w:hAnsi="Arial" w:cs="Arial"/>
          <w:sz w:val="22"/>
        </w:rPr>
        <w:t>strengthening protections against sexual harassment in workplaces and schools, and prohibiting sexual harassment through new technologies; and</w:t>
      </w:r>
    </w:p>
    <w:p w:rsidR="00A551D6" w:rsidRPr="00206F24" w:rsidRDefault="00A551D6" w:rsidP="00036121">
      <w:pPr>
        <w:pStyle w:val="NumberedParagraphBullet"/>
        <w:spacing w:after="0"/>
        <w:ind w:left="851" w:hanging="284"/>
        <w:rPr>
          <w:rFonts w:ascii="Arial" w:hAnsi="Arial" w:cs="Arial"/>
          <w:sz w:val="22"/>
        </w:rPr>
      </w:pPr>
      <w:proofErr w:type="gramStart"/>
      <w:r w:rsidRPr="00206F24">
        <w:rPr>
          <w:rFonts w:ascii="Arial" w:hAnsi="Arial" w:cs="Arial"/>
          <w:sz w:val="22"/>
        </w:rPr>
        <w:t>establishing</w:t>
      </w:r>
      <w:proofErr w:type="gramEnd"/>
      <w:r w:rsidRPr="00206F24">
        <w:rPr>
          <w:rFonts w:ascii="Arial" w:hAnsi="Arial" w:cs="Arial"/>
          <w:sz w:val="22"/>
        </w:rPr>
        <w:t xml:space="preserve"> breastfeeding as a separate ground of discrimination, allowing measures to protect and accommodate the needs of breastfeeding mothers.</w:t>
      </w:r>
    </w:p>
    <w:p w:rsidR="00A551D6" w:rsidRPr="00206F24" w:rsidRDefault="00A551D6" w:rsidP="00036121">
      <w:pPr>
        <w:pStyle w:val="NumberedParagraph2"/>
        <w:numPr>
          <w:ilvl w:val="0"/>
          <w:numId w:val="0"/>
        </w:numPr>
        <w:spacing w:after="0"/>
        <w:rPr>
          <w:rFonts w:ascii="Arial" w:hAnsi="Arial" w:cs="Arial"/>
        </w:rPr>
      </w:pPr>
    </w:p>
    <w:p w:rsidR="00A551D6" w:rsidRPr="00206F24" w:rsidRDefault="00A551D6" w:rsidP="00036121">
      <w:pPr>
        <w:pStyle w:val="NumberedParagraph2"/>
        <w:numPr>
          <w:ilvl w:val="0"/>
          <w:numId w:val="0"/>
        </w:numPr>
        <w:spacing w:after="0"/>
        <w:rPr>
          <w:rFonts w:ascii="Arial" w:hAnsi="Arial" w:cs="Arial"/>
        </w:rPr>
      </w:pPr>
      <w:r w:rsidRPr="00206F24">
        <w:rPr>
          <w:rFonts w:ascii="Arial" w:hAnsi="Arial" w:cs="Arial"/>
        </w:rPr>
        <w:t>In 2013 the Sex Discrimination Act was amended to make it unlawful to discriminate on the grounds of sexual orientation, gender identity and intersex status. Same-sex couples are now also protected under the definition of ‘marital or relationship status’. These protections apply to lesbian, gay, bisexual, transgender, gender diverse and intersex people.</w:t>
      </w:r>
    </w:p>
    <w:p w:rsidR="00A551D6" w:rsidRPr="00206F24" w:rsidRDefault="00A551D6" w:rsidP="00036121">
      <w:pPr>
        <w:spacing w:after="0" w:line="276" w:lineRule="auto"/>
        <w:rPr>
          <w:rFonts w:ascii="Arial" w:hAnsi="Arial" w:cs="Arial"/>
          <w:lang w:val="en-AU"/>
        </w:rPr>
      </w:pPr>
    </w:p>
    <w:p w:rsidR="004A359E" w:rsidRPr="00206F24" w:rsidRDefault="004A359E" w:rsidP="004A359E">
      <w:pPr>
        <w:pStyle w:val="NumberedParagraph2"/>
        <w:numPr>
          <w:ilvl w:val="0"/>
          <w:numId w:val="0"/>
        </w:numPr>
        <w:spacing w:after="0"/>
        <w:rPr>
          <w:rFonts w:ascii="Arial" w:hAnsi="Arial" w:cs="Arial"/>
        </w:rPr>
      </w:pPr>
      <w:r w:rsidRPr="00206F24">
        <w:rPr>
          <w:rFonts w:ascii="Arial" w:hAnsi="Arial" w:cs="Arial"/>
        </w:rPr>
        <w:t>The Sex Discrimination Act provides a range of permanent exemptions (for example, religious bodies and charities) and gives the Australian Human Rights Commission (AHRC), Australia’s National Human Rights Institution, power to grant temporary exemptions from certain provisions of the Sex Discrimination Act.</w:t>
      </w:r>
    </w:p>
    <w:p w:rsidR="004A359E" w:rsidRPr="00206F24" w:rsidRDefault="004A359E" w:rsidP="004A359E">
      <w:pPr>
        <w:pStyle w:val="NumberedParagraph2"/>
        <w:numPr>
          <w:ilvl w:val="0"/>
          <w:numId w:val="0"/>
        </w:numPr>
        <w:spacing w:after="0"/>
        <w:rPr>
          <w:rFonts w:ascii="Arial" w:hAnsi="Arial" w:cs="Arial"/>
        </w:rPr>
      </w:pPr>
    </w:p>
    <w:p w:rsidR="004A359E" w:rsidRPr="00206F24" w:rsidRDefault="004A359E" w:rsidP="004A359E">
      <w:pPr>
        <w:pStyle w:val="NumberedParagraph2"/>
        <w:numPr>
          <w:ilvl w:val="0"/>
          <w:numId w:val="0"/>
        </w:numPr>
        <w:spacing w:after="0"/>
        <w:rPr>
          <w:rFonts w:ascii="Arial" w:hAnsi="Arial" w:cs="Arial"/>
        </w:rPr>
      </w:pPr>
      <w:r w:rsidRPr="00206F24">
        <w:rPr>
          <w:rFonts w:ascii="Arial" w:hAnsi="Arial" w:cs="Arial"/>
        </w:rPr>
        <w:t>The Sex Discrimination Act also allows the use of affirmative action by allowing a person to take ‘special measures’ to achieve substantive equality between men and women. These measures are defined as those that are otherwise discriminatory but designed to promote equality or meet special needs.</w:t>
      </w:r>
    </w:p>
    <w:p w:rsidR="004A359E" w:rsidRPr="00206F24" w:rsidRDefault="004A359E" w:rsidP="00036121">
      <w:pPr>
        <w:spacing w:after="0" w:line="276" w:lineRule="auto"/>
        <w:rPr>
          <w:rFonts w:ascii="Arial" w:hAnsi="Arial" w:cs="Arial"/>
          <w:lang w:val="en-AU"/>
        </w:rPr>
      </w:pPr>
    </w:p>
    <w:p w:rsidR="009F7FB2" w:rsidRPr="00206F24" w:rsidRDefault="009F7FB2" w:rsidP="00036121">
      <w:pPr>
        <w:pStyle w:val="ListParagraph"/>
        <w:numPr>
          <w:ilvl w:val="0"/>
          <w:numId w:val="2"/>
        </w:numPr>
        <w:spacing w:after="0" w:line="276" w:lineRule="auto"/>
        <w:ind w:left="0" w:firstLine="0"/>
        <w:rPr>
          <w:rFonts w:ascii="Arial" w:eastAsiaTheme="majorEastAsia" w:hAnsi="Arial" w:cs="Arial"/>
          <w:b/>
          <w:spacing w:val="5"/>
          <w:kern w:val="28"/>
          <w:lang w:val="en-AU"/>
        </w:rPr>
      </w:pPr>
      <w:r w:rsidRPr="00206F24">
        <w:rPr>
          <w:rFonts w:ascii="Arial" w:eastAsiaTheme="majorEastAsia" w:hAnsi="Arial" w:cs="Arial"/>
          <w:b/>
          <w:spacing w:val="5"/>
          <w:kern w:val="28"/>
          <w:lang w:val="en-AU"/>
        </w:rPr>
        <w:t>The impacts that the law has had for women on the ground</w:t>
      </w:r>
    </w:p>
    <w:p w:rsidR="009F7FB2" w:rsidRPr="00206F24" w:rsidRDefault="009F7FB2" w:rsidP="00036121">
      <w:pPr>
        <w:spacing w:after="0" w:line="276" w:lineRule="auto"/>
        <w:rPr>
          <w:rFonts w:ascii="Arial" w:hAnsi="Arial" w:cs="Arial"/>
          <w:lang w:val="en-AU"/>
        </w:rPr>
      </w:pPr>
    </w:p>
    <w:p w:rsidR="009F7FB2" w:rsidRPr="00206F24" w:rsidRDefault="009F7FB2" w:rsidP="00036121">
      <w:pPr>
        <w:pStyle w:val="NumberedParagraph2"/>
        <w:numPr>
          <w:ilvl w:val="0"/>
          <w:numId w:val="0"/>
        </w:numPr>
        <w:spacing w:after="0"/>
        <w:rPr>
          <w:rFonts w:ascii="Arial" w:hAnsi="Arial" w:cs="Arial"/>
        </w:rPr>
      </w:pPr>
      <w:r w:rsidRPr="00206F24">
        <w:rPr>
          <w:rFonts w:ascii="Arial" w:hAnsi="Arial" w:cs="Arial"/>
        </w:rPr>
        <w:t xml:space="preserve">Complaints of unlawful discrimination or sexual harassment under the Sex Discrimination Act can be lodged with the </w:t>
      </w:r>
      <w:r w:rsidR="00A551D6" w:rsidRPr="00206F24">
        <w:rPr>
          <w:rFonts w:ascii="Arial" w:hAnsi="Arial" w:cs="Arial"/>
        </w:rPr>
        <w:t>AHRC</w:t>
      </w:r>
      <w:r w:rsidRPr="00206F24">
        <w:rPr>
          <w:rFonts w:ascii="Arial" w:hAnsi="Arial" w:cs="Arial"/>
        </w:rPr>
        <w:t xml:space="preserve">. </w:t>
      </w:r>
      <w:r w:rsidR="00861468" w:rsidRPr="00206F24">
        <w:rPr>
          <w:rFonts w:ascii="Arial" w:hAnsi="Arial" w:cs="Arial"/>
        </w:rPr>
        <w:t xml:space="preserve">This includes complaints of direct and indirect discrimination and sexual harassment. </w:t>
      </w:r>
      <w:r w:rsidRPr="00206F24">
        <w:rPr>
          <w:rFonts w:ascii="Arial" w:hAnsi="Arial" w:cs="Arial"/>
        </w:rPr>
        <w:t xml:space="preserve">The </w:t>
      </w:r>
      <w:r w:rsidR="00A551D6" w:rsidRPr="00206F24">
        <w:rPr>
          <w:rFonts w:ascii="Arial" w:hAnsi="Arial" w:cs="Arial"/>
        </w:rPr>
        <w:t>AHRC</w:t>
      </w:r>
      <w:r w:rsidRPr="00206F24">
        <w:rPr>
          <w:rFonts w:ascii="Arial" w:hAnsi="Arial" w:cs="Arial"/>
        </w:rPr>
        <w:t xml:space="preserve"> has the power to investigate and attempt to conciliate complaints under the </w:t>
      </w:r>
      <w:r w:rsidR="00861468" w:rsidRPr="00206F24">
        <w:rPr>
          <w:rFonts w:ascii="Arial" w:hAnsi="Arial" w:cs="Arial"/>
        </w:rPr>
        <w:t xml:space="preserve">Sex Discrimination </w:t>
      </w:r>
      <w:r w:rsidRPr="00206F24">
        <w:rPr>
          <w:rFonts w:ascii="Arial" w:hAnsi="Arial" w:cs="Arial"/>
        </w:rPr>
        <w:t xml:space="preserve">Act. If the conciliation is unsuccessful, an application for legal proceedings can be lodged in the Federal Court of Australia or the Federal Circuit Court of Australia, seeking a civil remedy. </w:t>
      </w:r>
    </w:p>
    <w:p w:rsidR="003A1C21" w:rsidRPr="00206F24" w:rsidRDefault="003A1C21" w:rsidP="00036121">
      <w:pPr>
        <w:pStyle w:val="NumberedParagraph2"/>
        <w:numPr>
          <w:ilvl w:val="0"/>
          <w:numId w:val="0"/>
        </w:numPr>
        <w:spacing w:after="0"/>
        <w:rPr>
          <w:rFonts w:ascii="Arial" w:hAnsi="Arial" w:cs="Arial"/>
        </w:rPr>
      </w:pPr>
    </w:p>
    <w:p w:rsidR="003A1C21" w:rsidRPr="00206F24" w:rsidRDefault="003A1C21" w:rsidP="00036121">
      <w:pPr>
        <w:pStyle w:val="NumberedParagraph2"/>
        <w:numPr>
          <w:ilvl w:val="0"/>
          <w:numId w:val="0"/>
        </w:numPr>
        <w:spacing w:after="0"/>
        <w:rPr>
          <w:rFonts w:ascii="Arial" w:hAnsi="Arial" w:cs="Arial"/>
        </w:rPr>
      </w:pPr>
      <w:r w:rsidRPr="00206F24">
        <w:rPr>
          <w:rFonts w:ascii="Arial" w:hAnsi="Arial" w:cs="Arial"/>
        </w:rPr>
        <w:t xml:space="preserve">In addition to resolving complaints under the Sex Discrimination Act, the AHRC also: </w:t>
      </w:r>
    </w:p>
    <w:p w:rsidR="003A1C21" w:rsidRPr="00206F24" w:rsidRDefault="003A1C21" w:rsidP="00036121">
      <w:pPr>
        <w:pStyle w:val="NumberedParagraphBullet"/>
        <w:spacing w:after="0"/>
        <w:ind w:left="851" w:hanging="284"/>
        <w:rPr>
          <w:rFonts w:ascii="Arial" w:hAnsi="Arial" w:cs="Arial"/>
          <w:sz w:val="22"/>
        </w:rPr>
      </w:pPr>
      <w:r w:rsidRPr="00206F24">
        <w:rPr>
          <w:rFonts w:ascii="Arial" w:hAnsi="Arial" w:cs="Arial"/>
          <w:sz w:val="22"/>
        </w:rPr>
        <w:t>resolves complaints of discrimination or breaches of human rights</w:t>
      </w:r>
    </w:p>
    <w:p w:rsidR="003A1C21" w:rsidRPr="00206F24" w:rsidRDefault="003A1C21" w:rsidP="00036121">
      <w:pPr>
        <w:pStyle w:val="NumberedParagraphBullet"/>
        <w:spacing w:after="0"/>
        <w:ind w:left="851" w:hanging="284"/>
        <w:rPr>
          <w:rFonts w:ascii="Arial" w:hAnsi="Arial" w:cs="Arial"/>
          <w:sz w:val="22"/>
        </w:rPr>
      </w:pPr>
      <w:r w:rsidRPr="00206F24">
        <w:rPr>
          <w:rFonts w:ascii="Arial" w:hAnsi="Arial" w:cs="Arial"/>
          <w:sz w:val="22"/>
        </w:rPr>
        <w:t>holds public inquiries into human rights issues of national importance</w:t>
      </w:r>
    </w:p>
    <w:p w:rsidR="003A1C21" w:rsidRPr="00206F24" w:rsidRDefault="003A1C21" w:rsidP="00036121">
      <w:pPr>
        <w:pStyle w:val="NumberedParagraphBullet"/>
        <w:spacing w:after="0"/>
        <w:ind w:left="851" w:hanging="284"/>
        <w:rPr>
          <w:rFonts w:ascii="Arial" w:hAnsi="Arial" w:cs="Arial"/>
          <w:sz w:val="22"/>
        </w:rPr>
      </w:pPr>
      <w:r w:rsidRPr="00206F24">
        <w:rPr>
          <w:rFonts w:ascii="Arial" w:hAnsi="Arial" w:cs="Arial"/>
          <w:sz w:val="22"/>
        </w:rPr>
        <w:t>develops education programmes and resources for schools, workplaces and the community</w:t>
      </w:r>
    </w:p>
    <w:p w:rsidR="003A1C21" w:rsidRPr="00206F24" w:rsidRDefault="003A1C21" w:rsidP="00036121">
      <w:pPr>
        <w:pStyle w:val="NumberedParagraphBullet"/>
        <w:spacing w:after="0"/>
        <w:ind w:left="851" w:hanging="284"/>
        <w:rPr>
          <w:rFonts w:ascii="Arial" w:hAnsi="Arial" w:cs="Arial"/>
          <w:sz w:val="22"/>
        </w:rPr>
      </w:pPr>
      <w:r w:rsidRPr="00206F24">
        <w:rPr>
          <w:rFonts w:ascii="Arial" w:hAnsi="Arial" w:cs="Arial"/>
          <w:sz w:val="22"/>
        </w:rPr>
        <w:t>provides independent legal advice to assist courts in cases that involve human rights principles</w:t>
      </w:r>
    </w:p>
    <w:p w:rsidR="003A1C21" w:rsidRPr="00206F24" w:rsidRDefault="003A1C21" w:rsidP="00036121">
      <w:pPr>
        <w:pStyle w:val="NumberedParagraphBullet"/>
        <w:spacing w:after="0"/>
        <w:ind w:left="851" w:hanging="284"/>
        <w:rPr>
          <w:rFonts w:ascii="Arial" w:hAnsi="Arial" w:cs="Arial"/>
          <w:sz w:val="22"/>
        </w:rPr>
      </w:pPr>
      <w:r w:rsidRPr="00206F24">
        <w:rPr>
          <w:rFonts w:ascii="Arial" w:hAnsi="Arial" w:cs="Arial"/>
          <w:sz w:val="22"/>
        </w:rPr>
        <w:t>provides advice and submissions to parliaments and governments to develop laws, policies and programmes</w:t>
      </w:r>
    </w:p>
    <w:p w:rsidR="003A1C21" w:rsidRPr="00206F24" w:rsidRDefault="003A1C21" w:rsidP="00036121">
      <w:pPr>
        <w:pStyle w:val="NumberedParagraphBullet"/>
        <w:spacing w:after="0"/>
        <w:ind w:left="851" w:hanging="284"/>
        <w:rPr>
          <w:rFonts w:ascii="Arial" w:hAnsi="Arial" w:cs="Arial"/>
          <w:sz w:val="22"/>
        </w:rPr>
      </w:pPr>
      <w:proofErr w:type="gramStart"/>
      <w:r w:rsidRPr="00206F24">
        <w:rPr>
          <w:rFonts w:ascii="Arial" w:hAnsi="Arial" w:cs="Arial"/>
          <w:sz w:val="22"/>
        </w:rPr>
        <w:t>undertakes</w:t>
      </w:r>
      <w:proofErr w:type="gramEnd"/>
      <w:r w:rsidRPr="00206F24">
        <w:rPr>
          <w:rFonts w:ascii="Arial" w:hAnsi="Arial" w:cs="Arial"/>
          <w:sz w:val="22"/>
        </w:rPr>
        <w:t xml:space="preserve"> and coordinates research into human rights and discrimination issues.</w:t>
      </w:r>
    </w:p>
    <w:p w:rsidR="001548A4" w:rsidRPr="00206F24" w:rsidRDefault="001548A4" w:rsidP="00036121">
      <w:pPr>
        <w:spacing w:after="0" w:line="276" w:lineRule="auto"/>
        <w:rPr>
          <w:rFonts w:ascii="Arial" w:hAnsi="Arial" w:cs="Arial"/>
        </w:rPr>
      </w:pPr>
    </w:p>
    <w:p w:rsidR="009F7FB2" w:rsidRPr="00206F24" w:rsidRDefault="009F7FB2" w:rsidP="00036121">
      <w:pPr>
        <w:spacing w:after="0" w:line="276" w:lineRule="auto"/>
        <w:rPr>
          <w:rFonts w:ascii="Arial" w:hAnsi="Arial" w:cs="Arial"/>
        </w:rPr>
      </w:pPr>
      <w:r w:rsidRPr="00206F24">
        <w:rPr>
          <w:rFonts w:ascii="Arial" w:hAnsi="Arial" w:cs="Arial"/>
        </w:rPr>
        <w:t xml:space="preserve">The </w:t>
      </w:r>
      <w:r w:rsidR="004A359E" w:rsidRPr="00206F24">
        <w:rPr>
          <w:rFonts w:ascii="Arial" w:hAnsi="Arial" w:cs="Arial"/>
        </w:rPr>
        <w:t>AHRC</w:t>
      </w:r>
      <w:r w:rsidRPr="00206F24">
        <w:rPr>
          <w:rFonts w:ascii="Arial" w:hAnsi="Arial" w:cs="Arial"/>
        </w:rPr>
        <w:t xml:space="preserve">’s 2014/15 Annual Report </w:t>
      </w:r>
      <w:r w:rsidR="004A359E" w:rsidRPr="00206F24">
        <w:rPr>
          <w:rFonts w:ascii="Arial" w:hAnsi="Arial" w:cs="Arial"/>
        </w:rPr>
        <w:t>indicated</w:t>
      </w:r>
      <w:r w:rsidRPr="00206F24">
        <w:rPr>
          <w:rFonts w:ascii="Arial" w:hAnsi="Arial" w:cs="Arial"/>
        </w:rPr>
        <w:t xml:space="preserve"> that 453 complaints were made under the Sex Discrimination Act, wi</w:t>
      </w:r>
      <w:r w:rsidR="004A359E" w:rsidRPr="00206F24">
        <w:rPr>
          <w:rFonts w:ascii="Arial" w:hAnsi="Arial" w:cs="Arial"/>
        </w:rPr>
        <w:t>th 451 matters being finalised.</w:t>
      </w:r>
      <w:r w:rsidRPr="00206F24">
        <w:rPr>
          <w:rFonts w:ascii="Arial" w:hAnsi="Arial" w:cs="Arial"/>
        </w:rPr>
        <w:t xml:space="preserve"> This constituted 19% of all complaints received by the </w:t>
      </w:r>
      <w:r w:rsidR="004A359E" w:rsidRPr="00206F24">
        <w:rPr>
          <w:rFonts w:ascii="Arial" w:hAnsi="Arial" w:cs="Arial"/>
        </w:rPr>
        <w:t>AHRC</w:t>
      </w:r>
      <w:r w:rsidRPr="00206F24">
        <w:rPr>
          <w:rFonts w:ascii="Arial" w:hAnsi="Arial" w:cs="Arial"/>
        </w:rPr>
        <w:t xml:space="preserve"> in the 2014/15 financial year. </w:t>
      </w:r>
      <w:r w:rsidR="00086F64" w:rsidRPr="00206F24">
        <w:rPr>
          <w:rFonts w:ascii="Arial" w:hAnsi="Arial" w:cs="Arial"/>
        </w:rPr>
        <w:t xml:space="preserve">The Australian Government does not collect data on all cases in which the Sex Discrimination Act </w:t>
      </w:r>
      <w:r w:rsidR="00D54111" w:rsidRPr="00206F24">
        <w:rPr>
          <w:rFonts w:ascii="Arial" w:hAnsi="Arial" w:cs="Arial"/>
        </w:rPr>
        <w:t xml:space="preserve">is raised </w:t>
      </w:r>
      <w:r w:rsidR="00086F64" w:rsidRPr="00206F24">
        <w:rPr>
          <w:rFonts w:ascii="Arial" w:hAnsi="Arial" w:cs="Arial"/>
        </w:rPr>
        <w:t>before common law courts.</w:t>
      </w:r>
    </w:p>
    <w:p w:rsidR="001548A4" w:rsidRPr="00206F24" w:rsidRDefault="001548A4" w:rsidP="00036121">
      <w:pPr>
        <w:spacing w:after="0" w:line="276" w:lineRule="auto"/>
        <w:rPr>
          <w:rFonts w:ascii="Arial" w:hAnsi="Arial" w:cs="Arial"/>
        </w:rPr>
      </w:pPr>
    </w:p>
    <w:p w:rsidR="00A551D6" w:rsidRPr="00206F24" w:rsidRDefault="009F7FB2" w:rsidP="00036121">
      <w:pPr>
        <w:spacing w:after="0" w:line="276" w:lineRule="auto"/>
        <w:rPr>
          <w:rFonts w:ascii="Arial" w:hAnsi="Arial" w:cs="Arial"/>
        </w:rPr>
      </w:pPr>
      <w:r w:rsidRPr="00206F24">
        <w:rPr>
          <w:rFonts w:ascii="Arial" w:hAnsi="Arial" w:cs="Arial"/>
        </w:rPr>
        <w:t xml:space="preserve">The Sex Discrimination Act also promotes the principle of gender equality and requires the appointment of a Sex Discrimination Commissioner. The Commissioner is charged with leading the </w:t>
      </w:r>
      <w:r w:rsidRPr="00206F24">
        <w:rPr>
          <w:rFonts w:ascii="Arial" w:hAnsi="Arial" w:cs="Arial"/>
        </w:rPr>
        <w:lastRenderedPageBreak/>
        <w:t xml:space="preserve">work of the </w:t>
      </w:r>
      <w:r w:rsidR="003A1C21" w:rsidRPr="00206F24">
        <w:rPr>
          <w:rFonts w:ascii="Arial" w:hAnsi="Arial" w:cs="Arial"/>
        </w:rPr>
        <w:t>AHRC</w:t>
      </w:r>
      <w:r w:rsidRPr="00206F24">
        <w:rPr>
          <w:rFonts w:ascii="Arial" w:hAnsi="Arial" w:cs="Arial"/>
        </w:rPr>
        <w:t xml:space="preserve"> to promote understanding of and compliance with the Sex Discrimination Act. The Commissioner undertakes a range of activities to address sex discrimination, sexual harassment and other barriers to gender equality. The role includes advocating for law and policy reform, conducting research, public inquiries into human rights issues of national importance, and community education initiatives and resources.</w:t>
      </w:r>
    </w:p>
    <w:sectPr w:rsidR="00A551D6" w:rsidRPr="00206F24" w:rsidSect="009F7FB2">
      <w:footerReference w:type="default" r:id="rId9"/>
      <w:pgSz w:w="11906" w:h="16838"/>
      <w:pgMar w:top="1134"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456" w:rsidRDefault="00AE7456" w:rsidP="009F7FB2">
      <w:pPr>
        <w:spacing w:after="0" w:line="240" w:lineRule="auto"/>
      </w:pPr>
      <w:r>
        <w:separator/>
      </w:r>
    </w:p>
  </w:endnote>
  <w:endnote w:type="continuationSeparator" w:id="0">
    <w:p w:rsidR="00AE7456" w:rsidRDefault="00AE7456" w:rsidP="009F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411852871"/>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9F7FB2" w:rsidRPr="007350C3" w:rsidRDefault="009F7FB2" w:rsidP="009F7FB2">
            <w:pPr>
              <w:pStyle w:val="Footer"/>
              <w:jc w:val="right"/>
              <w:rPr>
                <w:rFonts w:ascii="Arial" w:hAnsi="Arial" w:cs="Arial"/>
              </w:rPr>
            </w:pPr>
            <w:r w:rsidRPr="007350C3">
              <w:rPr>
                <w:rFonts w:ascii="Arial" w:hAnsi="Arial" w:cs="Arial"/>
              </w:rPr>
              <w:t xml:space="preserve">Page </w:t>
            </w:r>
            <w:r w:rsidRPr="007350C3">
              <w:rPr>
                <w:rFonts w:ascii="Arial" w:hAnsi="Arial" w:cs="Arial"/>
                <w:b/>
                <w:bCs/>
              </w:rPr>
              <w:fldChar w:fldCharType="begin"/>
            </w:r>
            <w:r w:rsidRPr="007350C3">
              <w:rPr>
                <w:rFonts w:ascii="Arial" w:hAnsi="Arial" w:cs="Arial"/>
                <w:b/>
                <w:bCs/>
              </w:rPr>
              <w:instrText xml:space="preserve"> PAGE </w:instrText>
            </w:r>
            <w:r w:rsidRPr="007350C3">
              <w:rPr>
                <w:rFonts w:ascii="Arial" w:hAnsi="Arial" w:cs="Arial"/>
                <w:b/>
                <w:bCs/>
              </w:rPr>
              <w:fldChar w:fldCharType="separate"/>
            </w:r>
            <w:r w:rsidR="00206F24">
              <w:rPr>
                <w:rFonts w:ascii="Arial" w:hAnsi="Arial" w:cs="Arial"/>
                <w:b/>
                <w:bCs/>
                <w:noProof/>
              </w:rPr>
              <w:t>1</w:t>
            </w:r>
            <w:r w:rsidRPr="007350C3">
              <w:rPr>
                <w:rFonts w:ascii="Arial" w:hAnsi="Arial" w:cs="Arial"/>
                <w:b/>
                <w:bCs/>
              </w:rPr>
              <w:fldChar w:fldCharType="end"/>
            </w:r>
            <w:r w:rsidRPr="007350C3">
              <w:rPr>
                <w:rFonts w:ascii="Arial" w:hAnsi="Arial" w:cs="Arial"/>
              </w:rPr>
              <w:t xml:space="preserve"> of </w:t>
            </w:r>
            <w:r w:rsidRPr="007350C3">
              <w:rPr>
                <w:rFonts w:ascii="Arial" w:hAnsi="Arial" w:cs="Arial"/>
                <w:b/>
                <w:bCs/>
              </w:rPr>
              <w:fldChar w:fldCharType="begin"/>
            </w:r>
            <w:r w:rsidRPr="007350C3">
              <w:rPr>
                <w:rFonts w:ascii="Arial" w:hAnsi="Arial" w:cs="Arial"/>
                <w:b/>
                <w:bCs/>
              </w:rPr>
              <w:instrText xml:space="preserve"> NUMPAGES  </w:instrText>
            </w:r>
            <w:r w:rsidRPr="007350C3">
              <w:rPr>
                <w:rFonts w:ascii="Arial" w:hAnsi="Arial" w:cs="Arial"/>
                <w:b/>
                <w:bCs/>
              </w:rPr>
              <w:fldChar w:fldCharType="separate"/>
            </w:r>
            <w:r w:rsidR="00206F24">
              <w:rPr>
                <w:rFonts w:ascii="Arial" w:hAnsi="Arial" w:cs="Arial"/>
                <w:b/>
                <w:bCs/>
                <w:noProof/>
              </w:rPr>
              <w:t>3</w:t>
            </w:r>
            <w:r w:rsidRPr="007350C3">
              <w:rPr>
                <w:rFonts w:ascii="Arial" w:hAnsi="Arial" w:cs="Arial"/>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456" w:rsidRDefault="00AE7456" w:rsidP="009F7FB2">
      <w:pPr>
        <w:spacing w:after="0" w:line="240" w:lineRule="auto"/>
      </w:pPr>
      <w:r>
        <w:separator/>
      </w:r>
    </w:p>
  </w:footnote>
  <w:footnote w:type="continuationSeparator" w:id="0">
    <w:p w:rsidR="00AE7456" w:rsidRDefault="00AE7456" w:rsidP="009F7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E6FCA"/>
    <w:multiLevelType w:val="hybridMultilevel"/>
    <w:tmpl w:val="BE06662E"/>
    <w:lvl w:ilvl="0" w:tplc="9EC8014A">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7E50612"/>
    <w:multiLevelType w:val="hybridMultilevel"/>
    <w:tmpl w:val="594081C0"/>
    <w:lvl w:ilvl="0" w:tplc="48182EF2">
      <w:start w:val="1"/>
      <w:numFmt w:val="upperRoman"/>
      <w:lvlText w:val="%1."/>
      <w:lvlJc w:val="left"/>
      <w:pPr>
        <w:ind w:left="3240" w:hanging="720"/>
      </w:pPr>
      <w:rPr>
        <w:rFonts w:hint="default"/>
        <w:color w:val="0070C0"/>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
    <w:nsid w:val="3F7A6FA2"/>
    <w:multiLevelType w:val="hybridMultilevel"/>
    <w:tmpl w:val="61F69246"/>
    <w:lvl w:ilvl="0" w:tplc="00ECA05C">
      <w:start w:val="1"/>
      <w:numFmt w:val="bullet"/>
      <w:pStyle w:val="NumberedParagraphBullet"/>
      <w:lvlText w:val=""/>
      <w:lvlJc w:val="left"/>
      <w:pPr>
        <w:ind w:left="3949" w:hanging="360"/>
      </w:pPr>
      <w:rPr>
        <w:rFonts w:ascii="Symbol" w:hAnsi="Symbol" w:hint="default"/>
        <w:color w:val="6F406C"/>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nsid w:val="41592F56"/>
    <w:multiLevelType w:val="hybridMultilevel"/>
    <w:tmpl w:val="B91A8F3A"/>
    <w:lvl w:ilvl="0" w:tplc="5F2A50BC">
      <w:start w:val="1"/>
      <w:numFmt w:val="decimal"/>
      <w:pStyle w:val="NumberedParagraph2"/>
      <w:lvlText w:val="2. %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B2"/>
    <w:rsid w:val="00036121"/>
    <w:rsid w:val="00086F64"/>
    <w:rsid w:val="001548A4"/>
    <w:rsid w:val="00160DFA"/>
    <w:rsid w:val="00197EF9"/>
    <w:rsid w:val="001E485F"/>
    <w:rsid w:val="00206F24"/>
    <w:rsid w:val="00215F83"/>
    <w:rsid w:val="003A1C21"/>
    <w:rsid w:val="004A1DF2"/>
    <w:rsid w:val="004A359E"/>
    <w:rsid w:val="006B3960"/>
    <w:rsid w:val="006C517D"/>
    <w:rsid w:val="007350C3"/>
    <w:rsid w:val="00861468"/>
    <w:rsid w:val="009F7FB2"/>
    <w:rsid w:val="00A551D6"/>
    <w:rsid w:val="00AA1C95"/>
    <w:rsid w:val="00AE7456"/>
    <w:rsid w:val="00D336C1"/>
    <w:rsid w:val="00D54111"/>
    <w:rsid w:val="00E64E37"/>
    <w:rsid w:val="00E90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B2"/>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7FB2"/>
    <w:rPr>
      <w:color w:val="0000FF"/>
      <w:u w:val="single"/>
    </w:rPr>
  </w:style>
  <w:style w:type="character" w:customStyle="1" w:styleId="NumberedParagraph2Char">
    <w:name w:val="Numbered Paragraph 2 Char"/>
    <w:basedOn w:val="DefaultParagraphFont"/>
    <w:link w:val="NumberedParagraph2"/>
    <w:locked/>
    <w:rsid w:val="009F7FB2"/>
  </w:style>
  <w:style w:type="paragraph" w:customStyle="1" w:styleId="NumberedParagraph2">
    <w:name w:val="Numbered Paragraph 2"/>
    <w:basedOn w:val="Normal"/>
    <w:link w:val="NumberedParagraph2Char"/>
    <w:qFormat/>
    <w:rsid w:val="009F7FB2"/>
    <w:pPr>
      <w:numPr>
        <w:numId w:val="1"/>
      </w:numPr>
      <w:spacing w:after="200" w:line="276" w:lineRule="auto"/>
    </w:pPr>
    <w:rPr>
      <w:lang w:val="en-AU"/>
    </w:rPr>
  </w:style>
  <w:style w:type="paragraph" w:styleId="Header">
    <w:name w:val="header"/>
    <w:basedOn w:val="Normal"/>
    <w:link w:val="HeaderChar"/>
    <w:uiPriority w:val="99"/>
    <w:unhideWhenUsed/>
    <w:rsid w:val="009F7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FB2"/>
    <w:rPr>
      <w:lang w:val="en-CA"/>
    </w:rPr>
  </w:style>
  <w:style w:type="paragraph" w:styleId="Footer">
    <w:name w:val="footer"/>
    <w:basedOn w:val="Normal"/>
    <w:link w:val="FooterChar"/>
    <w:uiPriority w:val="99"/>
    <w:unhideWhenUsed/>
    <w:rsid w:val="009F7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FB2"/>
    <w:rPr>
      <w:lang w:val="en-CA"/>
    </w:rPr>
  </w:style>
  <w:style w:type="paragraph" w:styleId="Title">
    <w:name w:val="Title"/>
    <w:basedOn w:val="Normal"/>
    <w:next w:val="Normal"/>
    <w:link w:val="TitleChar"/>
    <w:uiPriority w:val="10"/>
    <w:qFormat/>
    <w:rsid w:val="009F7FB2"/>
    <w:pPr>
      <w:pBdr>
        <w:bottom w:val="single" w:sz="8" w:space="4" w:color="4F81BD" w:themeColor="accent1"/>
      </w:pBdr>
      <w:spacing w:after="240" w:line="276" w:lineRule="auto"/>
      <w:contextualSpacing/>
      <w:jc w:val="right"/>
    </w:pPr>
    <w:rPr>
      <w:rFonts w:asciiTheme="majorHAnsi" w:eastAsiaTheme="majorEastAsia" w:hAnsiTheme="majorHAnsi" w:cstheme="majorBidi"/>
      <w:b/>
      <w:smallCaps/>
      <w:color w:val="1F497D" w:themeColor="text2"/>
      <w:spacing w:val="5"/>
      <w:kern w:val="28"/>
      <w:sz w:val="52"/>
      <w:szCs w:val="52"/>
      <w:lang w:val="en-AU"/>
    </w:rPr>
  </w:style>
  <w:style w:type="character" w:customStyle="1" w:styleId="TitleChar">
    <w:name w:val="Title Char"/>
    <w:basedOn w:val="DefaultParagraphFont"/>
    <w:link w:val="Title"/>
    <w:uiPriority w:val="10"/>
    <w:rsid w:val="009F7FB2"/>
    <w:rPr>
      <w:rFonts w:asciiTheme="majorHAnsi" w:eastAsiaTheme="majorEastAsia" w:hAnsiTheme="majorHAnsi" w:cstheme="majorBidi"/>
      <w:b/>
      <w:smallCaps/>
      <w:color w:val="1F497D" w:themeColor="text2"/>
      <w:spacing w:val="5"/>
      <w:kern w:val="28"/>
      <w:sz w:val="52"/>
      <w:szCs w:val="52"/>
    </w:rPr>
  </w:style>
  <w:style w:type="paragraph" w:styleId="ListParagraph">
    <w:name w:val="List Paragraph"/>
    <w:basedOn w:val="Normal"/>
    <w:uiPriority w:val="34"/>
    <w:qFormat/>
    <w:rsid w:val="009F7FB2"/>
    <w:pPr>
      <w:ind w:left="720"/>
      <w:contextualSpacing/>
    </w:pPr>
  </w:style>
  <w:style w:type="character" w:styleId="Emphasis">
    <w:name w:val="Emphasis"/>
    <w:basedOn w:val="DefaultParagraphFont"/>
    <w:uiPriority w:val="20"/>
    <w:qFormat/>
    <w:rsid w:val="00A551D6"/>
    <w:rPr>
      <w:i/>
      <w:iCs/>
    </w:rPr>
  </w:style>
  <w:style w:type="paragraph" w:customStyle="1" w:styleId="NumberedParagraphBullet">
    <w:name w:val="Numbered Paragraph Bullet"/>
    <w:basedOn w:val="Normal"/>
    <w:link w:val="NumberedParagraphBulletChar"/>
    <w:qFormat/>
    <w:rsid w:val="00A551D6"/>
    <w:pPr>
      <w:numPr>
        <w:numId w:val="6"/>
      </w:numPr>
      <w:spacing w:after="40" w:line="276" w:lineRule="auto"/>
    </w:pPr>
    <w:rPr>
      <w:sz w:val="21"/>
      <w:lang w:val="en-AU"/>
    </w:rPr>
  </w:style>
  <w:style w:type="paragraph" w:customStyle="1" w:styleId="NumberedParagraphBulletLastLine">
    <w:name w:val="Numbered Paragraph Bullet Last Line"/>
    <w:basedOn w:val="NumberedParagraphBullet"/>
    <w:link w:val="NumberedParagraphBulletLastLineChar"/>
    <w:qFormat/>
    <w:rsid w:val="00A551D6"/>
    <w:pPr>
      <w:spacing w:after="200"/>
    </w:pPr>
  </w:style>
  <w:style w:type="character" w:customStyle="1" w:styleId="NumberedParagraphBulletChar">
    <w:name w:val="Numbered Paragraph Bullet Char"/>
    <w:basedOn w:val="DefaultParagraphFont"/>
    <w:link w:val="NumberedParagraphBullet"/>
    <w:rsid w:val="00A551D6"/>
    <w:rPr>
      <w:sz w:val="21"/>
    </w:rPr>
  </w:style>
  <w:style w:type="character" w:customStyle="1" w:styleId="NumberedParagraphBulletLastLineChar">
    <w:name w:val="Numbered Paragraph Bullet Last Line Char"/>
    <w:basedOn w:val="NumberedParagraphBulletChar"/>
    <w:link w:val="NumberedParagraphBulletLastLine"/>
    <w:rsid w:val="00A551D6"/>
    <w:rPr>
      <w:sz w:val="21"/>
    </w:rPr>
  </w:style>
  <w:style w:type="paragraph" w:customStyle="1" w:styleId="definition">
    <w:name w:val="definition"/>
    <w:basedOn w:val="Normal"/>
    <w:rsid w:val="00E64E3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E64E37"/>
  </w:style>
  <w:style w:type="paragraph" w:customStyle="1" w:styleId="paragraph">
    <w:name w:val="paragraph"/>
    <w:basedOn w:val="Normal"/>
    <w:rsid w:val="00E64E3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2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F24"/>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B2"/>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7FB2"/>
    <w:rPr>
      <w:color w:val="0000FF"/>
      <w:u w:val="single"/>
    </w:rPr>
  </w:style>
  <w:style w:type="character" w:customStyle="1" w:styleId="NumberedParagraph2Char">
    <w:name w:val="Numbered Paragraph 2 Char"/>
    <w:basedOn w:val="DefaultParagraphFont"/>
    <w:link w:val="NumberedParagraph2"/>
    <w:locked/>
    <w:rsid w:val="009F7FB2"/>
  </w:style>
  <w:style w:type="paragraph" w:customStyle="1" w:styleId="NumberedParagraph2">
    <w:name w:val="Numbered Paragraph 2"/>
    <w:basedOn w:val="Normal"/>
    <w:link w:val="NumberedParagraph2Char"/>
    <w:qFormat/>
    <w:rsid w:val="009F7FB2"/>
    <w:pPr>
      <w:numPr>
        <w:numId w:val="1"/>
      </w:numPr>
      <w:spacing w:after="200" w:line="276" w:lineRule="auto"/>
    </w:pPr>
    <w:rPr>
      <w:lang w:val="en-AU"/>
    </w:rPr>
  </w:style>
  <w:style w:type="paragraph" w:styleId="Header">
    <w:name w:val="header"/>
    <w:basedOn w:val="Normal"/>
    <w:link w:val="HeaderChar"/>
    <w:uiPriority w:val="99"/>
    <w:unhideWhenUsed/>
    <w:rsid w:val="009F7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FB2"/>
    <w:rPr>
      <w:lang w:val="en-CA"/>
    </w:rPr>
  </w:style>
  <w:style w:type="paragraph" w:styleId="Footer">
    <w:name w:val="footer"/>
    <w:basedOn w:val="Normal"/>
    <w:link w:val="FooterChar"/>
    <w:uiPriority w:val="99"/>
    <w:unhideWhenUsed/>
    <w:rsid w:val="009F7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FB2"/>
    <w:rPr>
      <w:lang w:val="en-CA"/>
    </w:rPr>
  </w:style>
  <w:style w:type="paragraph" w:styleId="Title">
    <w:name w:val="Title"/>
    <w:basedOn w:val="Normal"/>
    <w:next w:val="Normal"/>
    <w:link w:val="TitleChar"/>
    <w:uiPriority w:val="10"/>
    <w:qFormat/>
    <w:rsid w:val="009F7FB2"/>
    <w:pPr>
      <w:pBdr>
        <w:bottom w:val="single" w:sz="8" w:space="4" w:color="4F81BD" w:themeColor="accent1"/>
      </w:pBdr>
      <w:spacing w:after="240" w:line="276" w:lineRule="auto"/>
      <w:contextualSpacing/>
      <w:jc w:val="right"/>
    </w:pPr>
    <w:rPr>
      <w:rFonts w:asciiTheme="majorHAnsi" w:eastAsiaTheme="majorEastAsia" w:hAnsiTheme="majorHAnsi" w:cstheme="majorBidi"/>
      <w:b/>
      <w:smallCaps/>
      <w:color w:val="1F497D" w:themeColor="text2"/>
      <w:spacing w:val="5"/>
      <w:kern w:val="28"/>
      <w:sz w:val="52"/>
      <w:szCs w:val="52"/>
      <w:lang w:val="en-AU"/>
    </w:rPr>
  </w:style>
  <w:style w:type="character" w:customStyle="1" w:styleId="TitleChar">
    <w:name w:val="Title Char"/>
    <w:basedOn w:val="DefaultParagraphFont"/>
    <w:link w:val="Title"/>
    <w:uiPriority w:val="10"/>
    <w:rsid w:val="009F7FB2"/>
    <w:rPr>
      <w:rFonts w:asciiTheme="majorHAnsi" w:eastAsiaTheme="majorEastAsia" w:hAnsiTheme="majorHAnsi" w:cstheme="majorBidi"/>
      <w:b/>
      <w:smallCaps/>
      <w:color w:val="1F497D" w:themeColor="text2"/>
      <w:spacing w:val="5"/>
      <w:kern w:val="28"/>
      <w:sz w:val="52"/>
      <w:szCs w:val="52"/>
    </w:rPr>
  </w:style>
  <w:style w:type="paragraph" w:styleId="ListParagraph">
    <w:name w:val="List Paragraph"/>
    <w:basedOn w:val="Normal"/>
    <w:uiPriority w:val="34"/>
    <w:qFormat/>
    <w:rsid w:val="009F7FB2"/>
    <w:pPr>
      <w:ind w:left="720"/>
      <w:contextualSpacing/>
    </w:pPr>
  </w:style>
  <w:style w:type="character" w:styleId="Emphasis">
    <w:name w:val="Emphasis"/>
    <w:basedOn w:val="DefaultParagraphFont"/>
    <w:uiPriority w:val="20"/>
    <w:qFormat/>
    <w:rsid w:val="00A551D6"/>
    <w:rPr>
      <w:i/>
      <w:iCs/>
    </w:rPr>
  </w:style>
  <w:style w:type="paragraph" w:customStyle="1" w:styleId="NumberedParagraphBullet">
    <w:name w:val="Numbered Paragraph Bullet"/>
    <w:basedOn w:val="Normal"/>
    <w:link w:val="NumberedParagraphBulletChar"/>
    <w:qFormat/>
    <w:rsid w:val="00A551D6"/>
    <w:pPr>
      <w:numPr>
        <w:numId w:val="6"/>
      </w:numPr>
      <w:spacing w:after="40" w:line="276" w:lineRule="auto"/>
    </w:pPr>
    <w:rPr>
      <w:sz w:val="21"/>
      <w:lang w:val="en-AU"/>
    </w:rPr>
  </w:style>
  <w:style w:type="paragraph" w:customStyle="1" w:styleId="NumberedParagraphBulletLastLine">
    <w:name w:val="Numbered Paragraph Bullet Last Line"/>
    <w:basedOn w:val="NumberedParagraphBullet"/>
    <w:link w:val="NumberedParagraphBulletLastLineChar"/>
    <w:qFormat/>
    <w:rsid w:val="00A551D6"/>
    <w:pPr>
      <w:spacing w:after="200"/>
    </w:pPr>
  </w:style>
  <w:style w:type="character" w:customStyle="1" w:styleId="NumberedParagraphBulletChar">
    <w:name w:val="Numbered Paragraph Bullet Char"/>
    <w:basedOn w:val="DefaultParagraphFont"/>
    <w:link w:val="NumberedParagraphBullet"/>
    <w:rsid w:val="00A551D6"/>
    <w:rPr>
      <w:sz w:val="21"/>
    </w:rPr>
  </w:style>
  <w:style w:type="character" w:customStyle="1" w:styleId="NumberedParagraphBulletLastLineChar">
    <w:name w:val="Numbered Paragraph Bullet Last Line Char"/>
    <w:basedOn w:val="NumberedParagraphBulletChar"/>
    <w:link w:val="NumberedParagraphBulletLastLine"/>
    <w:rsid w:val="00A551D6"/>
    <w:rPr>
      <w:sz w:val="21"/>
    </w:rPr>
  </w:style>
  <w:style w:type="paragraph" w:customStyle="1" w:styleId="definition">
    <w:name w:val="definition"/>
    <w:basedOn w:val="Normal"/>
    <w:rsid w:val="00E64E3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E64E37"/>
  </w:style>
  <w:style w:type="paragraph" w:customStyle="1" w:styleId="paragraph">
    <w:name w:val="paragraph"/>
    <w:basedOn w:val="Normal"/>
    <w:rsid w:val="00E64E3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2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F24"/>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7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88DBD6-DE65-405F-A35D-8278031ACD45}"/>
</file>

<file path=customXml/itemProps2.xml><?xml version="1.0" encoding="utf-8"?>
<ds:datastoreItem xmlns:ds="http://schemas.openxmlformats.org/officeDocument/2006/customXml" ds:itemID="{5929DBCF-14BE-4053-8CE0-596B3D43947F}"/>
</file>

<file path=customXml/itemProps3.xml><?xml version="1.0" encoding="utf-8"?>
<ds:datastoreItem xmlns:ds="http://schemas.openxmlformats.org/officeDocument/2006/customXml" ds:itemID="{30DE09C8-B803-4FD3-A88A-B1632D682683}"/>
</file>

<file path=docProps/app.xml><?xml version="1.0" encoding="utf-8"?>
<Properties xmlns="http://schemas.openxmlformats.org/officeDocument/2006/extended-properties" xmlns:vt="http://schemas.openxmlformats.org/officeDocument/2006/docPropsVTypes">
  <Template>90DB1282</Template>
  <TotalTime>0</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Mooney, Prudence</dc:creator>
  <cp:lastModifiedBy>Renee Arian</cp:lastModifiedBy>
  <cp:revision>2</cp:revision>
  <cp:lastPrinted>2016-09-09T01:57:00Z</cp:lastPrinted>
  <dcterms:created xsi:type="dcterms:W3CDTF">2016-09-12T15:09:00Z</dcterms:created>
  <dcterms:modified xsi:type="dcterms:W3CDTF">2016-09-12T15:09:00Z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f5811d41-3365-4a15-9c02-415e57759b2f</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0x0101008822B9E06671B54FA89F14538B9B0FEA</vt:lpwstr>
  </property>
</Properties>
</file>