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52" w:rsidRDefault="00FB004F" w:rsidP="00FB004F">
      <w:pPr>
        <w:spacing w:after="0" w:line="240" w:lineRule="auto"/>
        <w:jc w:val="center"/>
        <w:rPr>
          <w:rFonts w:ascii="Times New Roman" w:hAnsi="Times New Roman" w:cs="Times New Roman"/>
          <w:b/>
          <w:sz w:val="28"/>
          <w:szCs w:val="28"/>
          <w:lang w:val="en-AU"/>
        </w:rPr>
      </w:pPr>
      <w:r w:rsidRPr="00FB004F">
        <w:rPr>
          <w:rFonts w:ascii="Times New Roman" w:hAnsi="Times New Roman" w:cs="Times New Roman"/>
          <w:b/>
          <w:sz w:val="28"/>
          <w:szCs w:val="28"/>
          <w:lang w:val="en-AU"/>
        </w:rPr>
        <w:t>Questionnaire on ‘Women’s Human Rights</w:t>
      </w:r>
    </w:p>
    <w:p w:rsidR="00FB004F" w:rsidRPr="00FB004F" w:rsidRDefault="00FB004F" w:rsidP="009B48FA">
      <w:pPr>
        <w:spacing w:after="240" w:line="240" w:lineRule="auto"/>
        <w:jc w:val="center"/>
        <w:rPr>
          <w:rFonts w:ascii="Times New Roman" w:hAnsi="Times New Roman" w:cs="Times New Roman"/>
          <w:b/>
          <w:sz w:val="28"/>
          <w:szCs w:val="28"/>
          <w:lang w:val="en-AU"/>
        </w:rPr>
      </w:pPr>
      <w:r w:rsidRPr="00FB004F">
        <w:rPr>
          <w:rFonts w:ascii="Times New Roman" w:hAnsi="Times New Roman" w:cs="Times New Roman"/>
          <w:b/>
          <w:sz w:val="28"/>
          <w:szCs w:val="28"/>
          <w:lang w:val="en-AU"/>
        </w:rPr>
        <w:t>in the Changing</w:t>
      </w:r>
      <w:r w:rsidR="002E2E52">
        <w:rPr>
          <w:rFonts w:ascii="Times New Roman" w:hAnsi="Times New Roman" w:cs="Times New Roman"/>
          <w:b/>
          <w:sz w:val="28"/>
          <w:szCs w:val="28"/>
          <w:lang w:val="en-AU"/>
        </w:rPr>
        <w:t xml:space="preserve"> </w:t>
      </w:r>
      <w:r w:rsidRPr="00FB004F">
        <w:rPr>
          <w:rFonts w:ascii="Times New Roman" w:hAnsi="Times New Roman" w:cs="Times New Roman"/>
          <w:b/>
          <w:sz w:val="28"/>
          <w:szCs w:val="28"/>
          <w:lang w:val="en-AU"/>
        </w:rPr>
        <w:t>World of Work’</w:t>
      </w:r>
    </w:p>
    <w:p w:rsidR="00FB004F" w:rsidRPr="00FB004F" w:rsidRDefault="00FB004F" w:rsidP="00FB004F">
      <w:pPr>
        <w:spacing w:after="120" w:line="240" w:lineRule="auto"/>
        <w:rPr>
          <w:rFonts w:ascii="Times New Roman" w:hAnsi="Times New Roman" w:cs="Times New Roman"/>
          <w:sz w:val="24"/>
          <w:szCs w:val="24"/>
          <w:lang w:val="en-AU"/>
        </w:rPr>
      </w:pPr>
      <w:r w:rsidRPr="00FB004F">
        <w:rPr>
          <w:rFonts w:ascii="Times New Roman" w:hAnsi="Times New Roman" w:cs="Times New Roman"/>
          <w:sz w:val="24"/>
          <w:szCs w:val="24"/>
          <w:lang w:val="en-AU"/>
        </w:rPr>
        <w:t>The Working Group on discrimination against women and girls will present a thematic report on ‘women’s human rights in the changing world of work’ to the 44</w:t>
      </w:r>
      <w:r w:rsidRPr="00FB004F">
        <w:rPr>
          <w:rFonts w:ascii="Times New Roman" w:hAnsi="Times New Roman" w:cs="Times New Roman"/>
          <w:sz w:val="24"/>
          <w:szCs w:val="24"/>
          <w:vertAlign w:val="superscript"/>
          <w:lang w:val="en-AU"/>
        </w:rPr>
        <w:t>th</w:t>
      </w:r>
      <w:r w:rsidRPr="00FB004F">
        <w:rPr>
          <w:rFonts w:ascii="Times New Roman" w:hAnsi="Times New Roman" w:cs="Times New Roman"/>
          <w:sz w:val="24"/>
          <w:szCs w:val="24"/>
          <w:lang w:val="en-AU"/>
        </w:rPr>
        <w:t xml:space="preserve"> session of the Human Rights Council in June 2020. This report will be produced in the context of the Working Group focus on key areas affecting the human rights of women and girls and will aim at reasserting women’s right to equality and countering rollbacks in this area. An overview of the scope of </w:t>
      </w:r>
      <w:proofErr w:type="gramStart"/>
      <w:r w:rsidRPr="00FB004F">
        <w:rPr>
          <w:rFonts w:ascii="Times New Roman" w:hAnsi="Times New Roman" w:cs="Times New Roman"/>
          <w:sz w:val="24"/>
          <w:szCs w:val="24"/>
          <w:lang w:val="en-AU"/>
        </w:rPr>
        <w:t>this  can</w:t>
      </w:r>
      <w:proofErr w:type="gramEnd"/>
      <w:r w:rsidRPr="00FB004F">
        <w:rPr>
          <w:rFonts w:ascii="Times New Roman" w:hAnsi="Times New Roman" w:cs="Times New Roman"/>
          <w:sz w:val="24"/>
          <w:szCs w:val="24"/>
          <w:lang w:val="en-AU"/>
        </w:rPr>
        <w:t xml:space="preserve"> be found in the Appendix.</w:t>
      </w:r>
    </w:p>
    <w:p w:rsidR="00FB004F" w:rsidRDefault="00FB004F" w:rsidP="00044128">
      <w:pPr>
        <w:spacing w:after="240" w:line="240" w:lineRule="auto"/>
        <w:rPr>
          <w:rFonts w:ascii="Times New Roman" w:hAnsi="Times New Roman" w:cs="Times New Roman"/>
          <w:sz w:val="24"/>
          <w:szCs w:val="24"/>
          <w:lang w:val="en-AU"/>
        </w:rPr>
      </w:pPr>
      <w:r w:rsidRPr="00FB004F">
        <w:rPr>
          <w:rFonts w:ascii="Times New Roman" w:hAnsi="Times New Roman" w:cs="Times New Roman"/>
          <w:sz w:val="24"/>
          <w:szCs w:val="24"/>
          <w:lang w:val="en-AU"/>
        </w:rPr>
        <w:t xml:space="preserve">In this regard, the Working Group would like to seek inputs from States and other stakeholders to inform the preparation of this report in line with its mandate to maintain a constructive approach and dialogue with States and other stakeholders to address discrimination against women in law and practice. Submissions should be sent by 1 September 2019 to </w:t>
      </w:r>
      <w:hyperlink r:id="rId8" w:history="1">
        <w:r w:rsidRPr="00FB004F">
          <w:rPr>
            <w:rStyle w:val="Hyperlink"/>
            <w:rFonts w:ascii="Times New Roman" w:hAnsi="Times New Roman" w:cs="Times New Roman"/>
            <w:sz w:val="24"/>
            <w:szCs w:val="24"/>
            <w:lang w:val="en-AU"/>
          </w:rPr>
          <w:t>wgdiscriminationwomen@ohchr.org</w:t>
        </w:r>
      </w:hyperlink>
      <w:r w:rsidRPr="00FB004F">
        <w:rPr>
          <w:rFonts w:ascii="Times New Roman" w:hAnsi="Times New Roman" w:cs="Times New Roman"/>
          <w:sz w:val="24"/>
          <w:szCs w:val="24"/>
          <w:lang w:val="en-AU"/>
        </w:rPr>
        <w:t xml:space="preserve"> and will be made public on the Working Group's web page, unless otherwise requested.</w:t>
      </w:r>
    </w:p>
    <w:p w:rsidR="00576DE6" w:rsidRDefault="00576DE6" w:rsidP="00044128">
      <w:pPr>
        <w:spacing w:after="120" w:line="240" w:lineRule="auto"/>
        <w:rPr>
          <w:rFonts w:ascii="Times New Roman" w:hAnsi="Times New Roman" w:cs="Times New Roman"/>
          <w:b/>
          <w:sz w:val="24"/>
          <w:szCs w:val="24"/>
        </w:rPr>
      </w:pPr>
      <w:r w:rsidRPr="00576DE6">
        <w:rPr>
          <w:rFonts w:ascii="Times New Roman" w:hAnsi="Times New Roman" w:cs="Times New Roman"/>
          <w:b/>
          <w:sz w:val="24"/>
          <w:szCs w:val="24"/>
        </w:rPr>
        <w:t>Core questions</w:t>
      </w:r>
    </w:p>
    <w:p w:rsidR="00576DE6" w:rsidRDefault="00576DE6" w:rsidP="00705C09">
      <w:pPr>
        <w:pStyle w:val="ListParagraph"/>
        <w:numPr>
          <w:ilvl w:val="0"/>
          <w:numId w:val="2"/>
        </w:numPr>
        <w:spacing w:after="120" w:line="240" w:lineRule="auto"/>
        <w:ind w:left="714" w:hanging="357"/>
        <w:rPr>
          <w:rFonts w:ascii="Times New Roman" w:hAnsi="Times New Roman" w:cs="Times New Roman"/>
          <w:sz w:val="24"/>
          <w:szCs w:val="24"/>
        </w:rPr>
      </w:pPr>
      <w:r w:rsidRPr="00576DE6">
        <w:rPr>
          <w:rFonts w:ascii="Times New Roman" w:hAnsi="Times New Roman" w:cs="Times New Roman"/>
          <w:sz w:val="24"/>
          <w:szCs w:val="24"/>
        </w:rPr>
        <w:t xml:space="preserve">What are the main trends influencing women’s human rights in the world of work in your national context and their </w:t>
      </w:r>
      <w:proofErr w:type="gramStart"/>
      <w:r w:rsidRPr="00576DE6">
        <w:rPr>
          <w:rFonts w:ascii="Times New Roman" w:hAnsi="Times New Roman" w:cs="Times New Roman"/>
          <w:sz w:val="24"/>
          <w:szCs w:val="24"/>
        </w:rPr>
        <w:t>impact:</w:t>
      </w:r>
      <w:proofErr w:type="gramEnd"/>
    </w:p>
    <w:p w:rsidR="00576DE6" w:rsidRDefault="00576DE6" w:rsidP="00B12364">
      <w:pPr>
        <w:pStyle w:val="ListParagraph"/>
        <w:numPr>
          <w:ilvl w:val="0"/>
          <w:numId w:val="3"/>
        </w:numPr>
        <w:spacing w:after="0" w:line="240" w:lineRule="auto"/>
        <w:ind w:left="1071" w:hanging="357"/>
        <w:rPr>
          <w:rFonts w:ascii="Times New Roman" w:hAnsi="Times New Roman" w:cs="Times New Roman"/>
          <w:sz w:val="24"/>
          <w:szCs w:val="24"/>
        </w:rPr>
      </w:pPr>
      <w:r w:rsidRPr="00576DE6">
        <w:rPr>
          <w:rFonts w:ascii="Times New Roman" w:hAnsi="Times New Roman" w:cs="Times New Roman"/>
          <w:sz w:val="24"/>
          <w:szCs w:val="24"/>
        </w:rPr>
        <w:t>on the types of and quantity work available to women, and the quality and conditions of work (including access to social protection and equal pay)?</w:t>
      </w:r>
    </w:p>
    <w:p w:rsidR="00576DE6" w:rsidRDefault="00576DE6" w:rsidP="00B12364">
      <w:pPr>
        <w:pStyle w:val="ListParagraph"/>
        <w:numPr>
          <w:ilvl w:val="0"/>
          <w:numId w:val="3"/>
        </w:numPr>
        <w:spacing w:after="120" w:line="240" w:lineRule="auto"/>
        <w:ind w:left="1071" w:hanging="357"/>
        <w:rPr>
          <w:rFonts w:ascii="Times New Roman" w:hAnsi="Times New Roman" w:cs="Times New Roman"/>
          <w:sz w:val="24"/>
          <w:szCs w:val="24"/>
        </w:rPr>
      </w:pPr>
      <w:r w:rsidRPr="00576DE6">
        <w:rPr>
          <w:rFonts w:ascii="Times New Roman" w:hAnsi="Times New Roman" w:cs="Times New Roman"/>
          <w:sz w:val="24"/>
          <w:szCs w:val="24"/>
        </w:rPr>
        <w:t>for women’s safety (including violence and sexual harassment) at work?</w:t>
      </w:r>
    </w:p>
    <w:p w:rsidR="00576DE6" w:rsidRDefault="00576DE6" w:rsidP="00B12364">
      <w:pPr>
        <w:pStyle w:val="ListParagraph"/>
        <w:numPr>
          <w:ilvl w:val="0"/>
          <w:numId w:val="3"/>
        </w:numPr>
        <w:spacing w:after="120" w:line="240" w:lineRule="auto"/>
        <w:ind w:left="1071" w:hanging="357"/>
        <w:rPr>
          <w:rFonts w:ascii="Times New Roman" w:hAnsi="Times New Roman" w:cs="Times New Roman"/>
          <w:sz w:val="24"/>
          <w:szCs w:val="24"/>
        </w:rPr>
      </w:pPr>
      <w:r w:rsidRPr="00576DE6">
        <w:rPr>
          <w:rFonts w:ascii="Times New Roman" w:hAnsi="Times New Roman" w:cs="Times New Roman"/>
          <w:sz w:val="24"/>
          <w:szCs w:val="24"/>
        </w:rPr>
        <w:t>on women’s rights to organize and claim rights?</w:t>
      </w:r>
    </w:p>
    <w:p w:rsidR="00FB004F" w:rsidRPr="00044128" w:rsidRDefault="00576DE6" w:rsidP="00B12364">
      <w:pPr>
        <w:pStyle w:val="ListParagraph"/>
        <w:numPr>
          <w:ilvl w:val="0"/>
          <w:numId w:val="2"/>
        </w:numPr>
        <w:spacing w:after="240" w:line="240" w:lineRule="auto"/>
        <w:ind w:left="714" w:hanging="357"/>
        <w:rPr>
          <w:rFonts w:ascii="Times New Roman" w:hAnsi="Times New Roman" w:cs="Times New Roman"/>
          <w:sz w:val="24"/>
          <w:szCs w:val="24"/>
          <w:lang w:val="en-AU"/>
        </w:rPr>
      </w:pPr>
      <w:r w:rsidRPr="00044128">
        <w:rPr>
          <w:rFonts w:ascii="Times New Roman" w:hAnsi="Times New Roman" w:cs="Times New Roman"/>
          <w:sz w:val="24"/>
          <w:szCs w:val="24"/>
        </w:rPr>
        <w:t>What are the promising practices emerging from your country to ensure the realization of women’s rights to work and women’s rights at work, in the context of technological and demographic change, as well as continuing globalization and the shift towards sustainability? (laws; economic, labour market and social policies; programmes).</w:t>
      </w:r>
    </w:p>
    <w:p w:rsidR="004A41F2" w:rsidRPr="004A41F2" w:rsidRDefault="004A41F2" w:rsidP="00B12364">
      <w:pPr>
        <w:spacing w:after="120" w:line="240" w:lineRule="auto"/>
        <w:rPr>
          <w:rFonts w:ascii="Times New Roman" w:hAnsi="Times New Roman" w:cs="Times New Roman"/>
          <w:b/>
          <w:sz w:val="24"/>
          <w:szCs w:val="24"/>
          <w:u w:val="single"/>
          <w:lang w:val="en-AU"/>
        </w:rPr>
      </w:pPr>
      <w:r w:rsidRPr="004A41F2">
        <w:rPr>
          <w:rFonts w:ascii="Times New Roman" w:hAnsi="Times New Roman" w:cs="Times New Roman"/>
          <w:b/>
          <w:sz w:val="24"/>
          <w:szCs w:val="24"/>
          <w:u w:val="single"/>
          <w:lang w:val="en-AU"/>
        </w:rPr>
        <w:t>Specific questions</w:t>
      </w:r>
    </w:p>
    <w:p w:rsidR="004A41F2" w:rsidRPr="008F7725" w:rsidRDefault="004A41F2" w:rsidP="0027558B">
      <w:pPr>
        <w:spacing w:after="120" w:line="240" w:lineRule="auto"/>
        <w:rPr>
          <w:rFonts w:ascii="Times New Roman" w:hAnsi="Times New Roman" w:cs="Times New Roman"/>
          <w:i/>
          <w:sz w:val="24"/>
          <w:szCs w:val="24"/>
          <w:lang w:val="en-AU"/>
        </w:rPr>
      </w:pPr>
      <w:r w:rsidRPr="008F7725">
        <w:rPr>
          <w:rFonts w:ascii="Times New Roman" w:hAnsi="Times New Roman" w:cs="Times New Roman"/>
          <w:i/>
          <w:sz w:val="24"/>
          <w:szCs w:val="24"/>
          <w:lang w:val="en-AU"/>
        </w:rPr>
        <w:t>Technology</w:t>
      </w:r>
    </w:p>
    <w:p w:rsidR="004A41F2" w:rsidRDefault="004A41F2" w:rsidP="00705C09">
      <w:pPr>
        <w:pStyle w:val="ListParagraph"/>
        <w:numPr>
          <w:ilvl w:val="0"/>
          <w:numId w:val="7"/>
        </w:numPr>
        <w:spacing w:after="120" w:line="240" w:lineRule="auto"/>
        <w:ind w:left="714" w:hanging="357"/>
        <w:rPr>
          <w:rFonts w:ascii="Times New Roman" w:hAnsi="Times New Roman" w:cs="Times New Roman"/>
          <w:sz w:val="24"/>
          <w:szCs w:val="24"/>
          <w:lang w:val="en-AU"/>
        </w:rPr>
      </w:pPr>
      <w:r w:rsidRPr="008F7725">
        <w:rPr>
          <w:rFonts w:ascii="Times New Roman" w:hAnsi="Times New Roman" w:cs="Times New Roman"/>
          <w:sz w:val="24"/>
          <w:szCs w:val="24"/>
          <w:lang w:val="en-AU"/>
        </w:rPr>
        <w:t>How is technological change impacting on women’s experiences of work in your national context? (e.g. increasing access to ICTs, robotics, machine learning, automation)</w:t>
      </w:r>
    </w:p>
    <w:p w:rsidR="00576DE6" w:rsidRPr="00B12364" w:rsidRDefault="004A41F2" w:rsidP="00705C09">
      <w:pPr>
        <w:pStyle w:val="ListParagraph"/>
        <w:numPr>
          <w:ilvl w:val="1"/>
          <w:numId w:val="2"/>
        </w:numPr>
        <w:spacing w:after="120" w:line="240" w:lineRule="auto"/>
        <w:ind w:left="993" w:hanging="284"/>
        <w:rPr>
          <w:rFonts w:ascii="Times New Roman" w:hAnsi="Times New Roman" w:cs="Times New Roman"/>
          <w:sz w:val="24"/>
          <w:szCs w:val="24"/>
          <w:lang w:val="en-AU"/>
        </w:rPr>
      </w:pPr>
      <w:r w:rsidRPr="00B12364">
        <w:rPr>
          <w:rFonts w:ascii="Times New Roman" w:hAnsi="Times New Roman" w:cs="Times New Roman"/>
          <w:sz w:val="24"/>
          <w:szCs w:val="24"/>
          <w:lang w:val="en-AU"/>
        </w:rPr>
        <w:t xml:space="preserve">What are some of the good practices for supporting women to benefit equally from technological advances? </w:t>
      </w:r>
      <w:r w:rsidRPr="00705C09">
        <w:rPr>
          <w:rFonts w:ascii="Times New Roman" w:hAnsi="Times New Roman" w:cs="Times New Roman"/>
          <w:i/>
          <w:sz w:val="24"/>
          <w:szCs w:val="24"/>
          <w:lang w:val="en-AU"/>
        </w:rPr>
        <w:t>(laws, economic and social policies, institutional measures, regulation, actions by employers)</w:t>
      </w:r>
    </w:p>
    <w:p w:rsidR="006B0C61" w:rsidRDefault="006B0C61" w:rsidP="00705C09">
      <w:pPr>
        <w:spacing w:after="120" w:line="240" w:lineRule="auto"/>
        <w:rPr>
          <w:rFonts w:ascii="Times New Roman" w:hAnsi="Times New Roman" w:cs="Times New Roman"/>
          <w:sz w:val="24"/>
          <w:szCs w:val="24"/>
          <w:lang w:val="en-AU"/>
        </w:rPr>
      </w:pPr>
      <w:r w:rsidRPr="00494965">
        <w:rPr>
          <w:rFonts w:ascii="Times New Roman" w:hAnsi="Times New Roman" w:cs="Times New Roman"/>
          <w:i/>
          <w:sz w:val="24"/>
          <w:szCs w:val="24"/>
          <w:lang w:val="en-AU"/>
        </w:rPr>
        <w:t>‘Gig’ and ‘On Demand’ Economy</w:t>
      </w:r>
    </w:p>
    <w:p w:rsidR="006B0C61" w:rsidRDefault="006B0C61" w:rsidP="00705C09">
      <w:pPr>
        <w:pStyle w:val="ListParagraph"/>
        <w:numPr>
          <w:ilvl w:val="0"/>
          <w:numId w:val="2"/>
        </w:numPr>
        <w:spacing w:after="120" w:line="240" w:lineRule="auto"/>
        <w:ind w:left="714" w:hanging="357"/>
        <w:rPr>
          <w:rFonts w:ascii="Times New Roman" w:hAnsi="Times New Roman" w:cs="Times New Roman"/>
          <w:sz w:val="24"/>
          <w:szCs w:val="24"/>
          <w:lang w:val="en-AU"/>
        </w:rPr>
      </w:pPr>
      <w:r w:rsidRPr="00E61922">
        <w:rPr>
          <w:rFonts w:ascii="Times New Roman" w:hAnsi="Times New Roman" w:cs="Times New Roman"/>
          <w:sz w:val="24"/>
          <w:szCs w:val="24"/>
          <w:lang w:val="en-AU"/>
        </w:rPr>
        <w:t>How is the rise of more flexible forms of labour, including the ‘gig’ and ‘on demand’ economy impacting on women’s experiences of work in your national context?</w:t>
      </w:r>
    </w:p>
    <w:p w:rsidR="006B0C61" w:rsidRDefault="006B0C61" w:rsidP="00532968">
      <w:pPr>
        <w:pStyle w:val="ListParagraph"/>
        <w:numPr>
          <w:ilvl w:val="0"/>
          <w:numId w:val="4"/>
        </w:numPr>
        <w:spacing w:after="0" w:line="240" w:lineRule="auto"/>
        <w:ind w:left="1071" w:hanging="357"/>
        <w:rPr>
          <w:rFonts w:ascii="Times New Roman" w:hAnsi="Times New Roman" w:cs="Times New Roman"/>
          <w:sz w:val="24"/>
          <w:szCs w:val="24"/>
          <w:lang w:val="en-AU"/>
        </w:rPr>
      </w:pPr>
      <w:r w:rsidRPr="00E61922">
        <w:rPr>
          <w:rFonts w:ascii="Times New Roman" w:hAnsi="Times New Roman" w:cs="Times New Roman"/>
          <w:sz w:val="24"/>
          <w:szCs w:val="24"/>
          <w:lang w:val="en-AU"/>
        </w:rPr>
        <w:t>What are the implications for job security for increased flexibility and women’s caring responsibilities, and for harassment and violence?</w:t>
      </w:r>
    </w:p>
    <w:p w:rsidR="00532968" w:rsidRPr="00532968" w:rsidRDefault="00532968" w:rsidP="00532968">
      <w:pPr>
        <w:pStyle w:val="ListParagraph"/>
        <w:numPr>
          <w:ilvl w:val="0"/>
          <w:numId w:val="4"/>
        </w:numPr>
        <w:spacing w:after="0" w:line="240" w:lineRule="auto"/>
        <w:ind w:left="1071" w:hanging="357"/>
        <w:rPr>
          <w:rFonts w:ascii="Times New Roman" w:hAnsi="Times New Roman" w:cs="Times New Roman"/>
          <w:sz w:val="24"/>
          <w:szCs w:val="24"/>
          <w:lang w:val="en-AU"/>
        </w:rPr>
      </w:pPr>
      <w:r w:rsidRPr="00532968">
        <w:rPr>
          <w:rFonts w:ascii="Times New Roman" w:hAnsi="Times New Roman" w:cs="Times New Roman"/>
          <w:sz w:val="24"/>
          <w:szCs w:val="24"/>
          <w:lang w:val="en-AU"/>
        </w:rPr>
        <w:t>Which groups of women are most likely to be impacted by this type of work?</w:t>
      </w:r>
    </w:p>
    <w:p w:rsidR="00532968" w:rsidRPr="00532968" w:rsidRDefault="00532968" w:rsidP="00316B1E">
      <w:pPr>
        <w:pStyle w:val="ListParagraph"/>
        <w:numPr>
          <w:ilvl w:val="0"/>
          <w:numId w:val="4"/>
        </w:numPr>
        <w:spacing w:after="0" w:line="240" w:lineRule="auto"/>
        <w:ind w:left="1071" w:hanging="357"/>
        <w:rPr>
          <w:rFonts w:ascii="Times New Roman" w:hAnsi="Times New Roman" w:cs="Times New Roman"/>
          <w:sz w:val="24"/>
          <w:szCs w:val="24"/>
          <w:lang w:val="en-AU"/>
        </w:rPr>
      </w:pPr>
      <w:r w:rsidRPr="00532968">
        <w:rPr>
          <w:rFonts w:ascii="Times New Roman" w:hAnsi="Times New Roman" w:cs="Times New Roman"/>
          <w:sz w:val="24"/>
          <w:szCs w:val="24"/>
          <w:lang w:val="en-AU"/>
        </w:rPr>
        <w:t xml:space="preserve">What are some of the good practices for ensuring access to social protection for women in informal and ‘on demand’ work? </w:t>
      </w:r>
      <w:r w:rsidRPr="006D35B1">
        <w:rPr>
          <w:rFonts w:ascii="Times New Roman" w:hAnsi="Times New Roman" w:cs="Times New Roman"/>
          <w:i/>
          <w:sz w:val="24"/>
          <w:szCs w:val="24"/>
          <w:lang w:val="en-AU"/>
        </w:rPr>
        <w:t>(laws, economic and social policies, institutional measures, regulation, actions by employers)</w:t>
      </w:r>
    </w:p>
    <w:p w:rsidR="00532968" w:rsidRDefault="00532968" w:rsidP="00FD0B07">
      <w:pPr>
        <w:pStyle w:val="ListParagraph"/>
        <w:numPr>
          <w:ilvl w:val="0"/>
          <w:numId w:val="4"/>
        </w:numPr>
        <w:spacing w:after="120" w:line="240" w:lineRule="auto"/>
        <w:ind w:left="1071" w:hanging="357"/>
        <w:rPr>
          <w:rFonts w:ascii="Times New Roman" w:hAnsi="Times New Roman" w:cs="Times New Roman"/>
          <w:sz w:val="24"/>
          <w:szCs w:val="24"/>
          <w:lang w:val="en-AU"/>
        </w:rPr>
      </w:pPr>
      <w:r w:rsidRPr="00532968">
        <w:rPr>
          <w:rFonts w:ascii="Times New Roman" w:hAnsi="Times New Roman" w:cs="Times New Roman"/>
          <w:sz w:val="24"/>
          <w:szCs w:val="24"/>
          <w:lang w:val="en-AU"/>
        </w:rPr>
        <w:lastRenderedPageBreak/>
        <w:t>What are the good practices for women’s collective organising in the context of more flexible forms of labour?</w:t>
      </w:r>
    </w:p>
    <w:p w:rsidR="00446436" w:rsidRDefault="00446436" w:rsidP="00FD0B07">
      <w:pPr>
        <w:spacing w:after="120" w:line="240" w:lineRule="auto"/>
        <w:rPr>
          <w:rFonts w:ascii="Times New Roman" w:hAnsi="Times New Roman" w:cs="Times New Roman"/>
          <w:sz w:val="24"/>
          <w:szCs w:val="24"/>
          <w:lang w:val="en-AU"/>
        </w:rPr>
      </w:pPr>
      <w:r w:rsidRPr="00446436">
        <w:rPr>
          <w:rFonts w:ascii="Times New Roman" w:hAnsi="Times New Roman" w:cs="Times New Roman"/>
          <w:i/>
          <w:sz w:val="24"/>
          <w:szCs w:val="24"/>
          <w:lang w:val="en-AU"/>
        </w:rPr>
        <w:t>Demographic change</w:t>
      </w:r>
    </w:p>
    <w:p w:rsidR="00446436" w:rsidRDefault="00446436" w:rsidP="00FD0B07">
      <w:pPr>
        <w:pStyle w:val="ListParagraph"/>
        <w:numPr>
          <w:ilvl w:val="0"/>
          <w:numId w:val="2"/>
        </w:numPr>
        <w:spacing w:after="120" w:line="240" w:lineRule="auto"/>
        <w:ind w:left="714" w:hanging="357"/>
        <w:rPr>
          <w:rFonts w:ascii="Times New Roman" w:hAnsi="Times New Roman" w:cs="Times New Roman"/>
          <w:sz w:val="24"/>
          <w:szCs w:val="24"/>
          <w:lang w:val="en-AU"/>
        </w:rPr>
      </w:pPr>
      <w:r w:rsidRPr="00446436">
        <w:rPr>
          <w:rFonts w:ascii="Times New Roman" w:hAnsi="Times New Roman" w:cs="Times New Roman"/>
          <w:sz w:val="24"/>
          <w:szCs w:val="24"/>
          <w:lang w:val="en-AU"/>
        </w:rPr>
        <w:t>How is demographic change in your national context impacting on women’s experience of work?</w:t>
      </w:r>
    </w:p>
    <w:p w:rsidR="00446436" w:rsidRDefault="00446436" w:rsidP="00446436">
      <w:pPr>
        <w:pStyle w:val="ListParagraph"/>
        <w:numPr>
          <w:ilvl w:val="0"/>
          <w:numId w:val="6"/>
        </w:numPr>
        <w:spacing w:after="120" w:line="240" w:lineRule="auto"/>
        <w:rPr>
          <w:rFonts w:ascii="Times New Roman" w:hAnsi="Times New Roman" w:cs="Times New Roman"/>
          <w:sz w:val="24"/>
          <w:szCs w:val="24"/>
          <w:lang w:val="en-AU"/>
        </w:rPr>
      </w:pPr>
      <w:r w:rsidRPr="00446436">
        <w:rPr>
          <w:rFonts w:ascii="Times New Roman" w:hAnsi="Times New Roman" w:cs="Times New Roman"/>
          <w:sz w:val="24"/>
          <w:szCs w:val="24"/>
          <w:lang w:val="en-AU"/>
        </w:rPr>
        <w:t>What are the implications of an ageing population and of the ‘youth bulge’?</w:t>
      </w:r>
    </w:p>
    <w:p w:rsidR="00852E02" w:rsidRDefault="00446436" w:rsidP="008B45AD">
      <w:pPr>
        <w:pStyle w:val="ListParagraph"/>
        <w:numPr>
          <w:ilvl w:val="0"/>
          <w:numId w:val="6"/>
        </w:numPr>
        <w:spacing w:after="120" w:line="240" w:lineRule="auto"/>
        <w:ind w:left="1071" w:hanging="357"/>
        <w:rPr>
          <w:rFonts w:ascii="Times New Roman" w:hAnsi="Times New Roman" w:cs="Times New Roman"/>
          <w:sz w:val="24"/>
          <w:szCs w:val="24"/>
          <w:lang w:val="en-AU"/>
        </w:rPr>
      </w:pPr>
      <w:r w:rsidRPr="00446436">
        <w:rPr>
          <w:rFonts w:ascii="Times New Roman" w:hAnsi="Times New Roman" w:cs="Times New Roman"/>
          <w:sz w:val="24"/>
          <w:szCs w:val="24"/>
          <w:lang w:val="en-AU"/>
        </w:rPr>
        <w:t xml:space="preserve">What economic and social policies are needed to ensure that the growth in the care sector creates decent work opportunities for women? What are some emerging promising practices? </w:t>
      </w:r>
      <w:r w:rsidRPr="00F228C9">
        <w:rPr>
          <w:rFonts w:ascii="Times New Roman" w:hAnsi="Times New Roman" w:cs="Times New Roman"/>
          <w:i/>
          <w:sz w:val="24"/>
          <w:szCs w:val="24"/>
          <w:lang w:val="en-AU"/>
        </w:rPr>
        <w:t>(laws, economic and social policies, institutional measures, regulation, actions by employers)</w:t>
      </w:r>
      <w:r w:rsidR="008B45AD">
        <w:rPr>
          <w:rFonts w:ascii="Times New Roman" w:hAnsi="Times New Roman" w:cs="Times New Roman"/>
          <w:i/>
          <w:sz w:val="24"/>
          <w:szCs w:val="24"/>
          <w:lang w:val="en-AU"/>
        </w:rPr>
        <w:t>.</w:t>
      </w:r>
    </w:p>
    <w:p w:rsidR="00946CE2" w:rsidRDefault="00946CE2" w:rsidP="008B45AD">
      <w:pPr>
        <w:spacing w:after="120" w:line="240" w:lineRule="auto"/>
        <w:rPr>
          <w:rFonts w:ascii="Times New Roman" w:hAnsi="Times New Roman" w:cs="Times New Roman"/>
          <w:sz w:val="24"/>
          <w:szCs w:val="24"/>
          <w:lang w:val="en-AU"/>
        </w:rPr>
      </w:pPr>
      <w:r w:rsidRPr="00946CE2">
        <w:rPr>
          <w:rFonts w:ascii="Times New Roman" w:hAnsi="Times New Roman" w:cs="Times New Roman"/>
          <w:i/>
          <w:sz w:val="24"/>
          <w:szCs w:val="24"/>
          <w:lang w:val="en-AU"/>
        </w:rPr>
        <w:t>Transition to sustainability</w:t>
      </w:r>
    </w:p>
    <w:p w:rsidR="0029245D" w:rsidRDefault="00946CE2" w:rsidP="008B45AD">
      <w:pPr>
        <w:pStyle w:val="ListParagraph"/>
        <w:numPr>
          <w:ilvl w:val="0"/>
          <w:numId w:val="2"/>
        </w:numPr>
        <w:spacing w:after="120" w:line="240" w:lineRule="auto"/>
        <w:ind w:left="714" w:hanging="357"/>
        <w:rPr>
          <w:rFonts w:ascii="Times New Roman" w:hAnsi="Times New Roman" w:cs="Times New Roman"/>
          <w:sz w:val="24"/>
          <w:szCs w:val="24"/>
        </w:rPr>
      </w:pPr>
      <w:r w:rsidRPr="00946CE2">
        <w:rPr>
          <w:rFonts w:ascii="Times New Roman" w:hAnsi="Times New Roman" w:cs="Times New Roman"/>
          <w:sz w:val="24"/>
          <w:szCs w:val="24"/>
          <w:lang w:val="en-AU"/>
        </w:rPr>
        <w:t>What measures are necessary to ensure that women benefit equally from the transition to sustainability in your national context? What are some of the promising practices to ensure that green jobs do not replicate existing</w:t>
      </w:r>
      <w:r w:rsidR="00BE7A6F">
        <w:rPr>
          <w:rFonts w:ascii="Times New Roman" w:hAnsi="Times New Roman" w:cs="Times New Roman"/>
          <w:sz w:val="24"/>
          <w:szCs w:val="24"/>
          <w:lang w:val="en-AU"/>
        </w:rPr>
        <w:t xml:space="preserve"> </w:t>
      </w:r>
      <w:r w:rsidR="00BE7A6F" w:rsidRPr="00BE7A6F">
        <w:rPr>
          <w:rFonts w:ascii="Times New Roman" w:hAnsi="Times New Roman" w:cs="Times New Roman"/>
          <w:sz w:val="24"/>
          <w:szCs w:val="24"/>
        </w:rPr>
        <w:t>gender inequalities in other sectors (e.g. occupational segregation, gender pay gap)?</w:t>
      </w:r>
    </w:p>
    <w:p w:rsidR="00A85EEB" w:rsidRDefault="00A85EEB">
      <w:pPr>
        <w:rPr>
          <w:rFonts w:ascii="Times New Roman" w:hAnsi="Times New Roman" w:cs="Times New Roman"/>
          <w:sz w:val="24"/>
          <w:szCs w:val="24"/>
        </w:rPr>
      </w:pPr>
    </w:p>
    <w:p w:rsidR="0062289D" w:rsidRDefault="0062289D" w:rsidP="0062289D">
      <w:pPr>
        <w:jc w:val="both"/>
        <w:rPr>
          <w:rFonts w:ascii="Tahoma" w:eastAsia="Calibri" w:hAnsi="Tahoma" w:cs="Tahoma"/>
          <w:i/>
          <w:color w:val="C00000"/>
        </w:rPr>
      </w:pPr>
      <w:r w:rsidRPr="0062289D">
        <w:rPr>
          <w:rFonts w:ascii="Tahoma" w:hAnsi="Tahoma" w:cs="Tahoma"/>
          <w:i/>
          <w:color w:val="C00000"/>
        </w:rPr>
        <w:t xml:space="preserve">The Commissioner for Administration and Protection of Human Rights </w:t>
      </w:r>
      <w:r w:rsidRPr="0062289D">
        <w:rPr>
          <w:rFonts w:ascii="Tahoma" w:eastAsia="Calibri" w:hAnsi="Tahoma" w:cs="Tahoma"/>
          <w:i/>
          <w:color w:val="C00000"/>
        </w:rPr>
        <w:t>is an independent authority responsible to deal with individual complaints concerning maladministration, misbehaviour and human rights violations by state authorities or officers. The Commissioner has an expanded mandate, among other</w:t>
      </w:r>
      <w:r w:rsidR="007D4E5A">
        <w:rPr>
          <w:rFonts w:ascii="Tahoma" w:eastAsia="Calibri" w:hAnsi="Tahoma" w:cs="Tahoma"/>
          <w:i/>
          <w:color w:val="C00000"/>
        </w:rPr>
        <w:t>s</w:t>
      </w:r>
      <w:r w:rsidRPr="0062289D">
        <w:rPr>
          <w:rFonts w:ascii="Tahoma" w:eastAsia="Calibri" w:hAnsi="Tahoma" w:cs="Tahoma"/>
          <w:i/>
          <w:color w:val="C00000"/>
        </w:rPr>
        <w:t xml:space="preserve">, to combat discrimination on the </w:t>
      </w:r>
      <w:r w:rsidRPr="0062289D">
        <w:rPr>
          <w:rFonts w:ascii="Tahoma" w:eastAsia="Calibri" w:hAnsi="Tahoma" w:cs="Tahoma"/>
          <w:b/>
          <w:i/>
          <w:color w:val="C00000"/>
        </w:rPr>
        <w:t>ground of gender</w:t>
      </w:r>
      <w:r w:rsidRPr="0062289D">
        <w:rPr>
          <w:rFonts w:ascii="Tahoma" w:eastAsia="Calibri" w:hAnsi="Tahoma" w:cs="Tahoma"/>
          <w:i/>
          <w:color w:val="C00000"/>
        </w:rPr>
        <w:t xml:space="preserve"> as </w:t>
      </w:r>
      <w:r w:rsidR="007D4E5A">
        <w:rPr>
          <w:rFonts w:ascii="Tahoma" w:eastAsia="Calibri" w:hAnsi="Tahoma" w:cs="Tahoma"/>
          <w:i/>
          <w:color w:val="C00000"/>
        </w:rPr>
        <w:t>provided</w:t>
      </w:r>
      <w:r w:rsidRPr="0062289D">
        <w:rPr>
          <w:rFonts w:ascii="Tahoma" w:eastAsia="Calibri" w:hAnsi="Tahoma" w:cs="Tahoma"/>
          <w:i/>
          <w:color w:val="C00000"/>
        </w:rPr>
        <w:t xml:space="preserve"> by the Equal Treatment of Men and Women in Employment and Vocational Training Law (L.205(I)/2002). </w:t>
      </w:r>
      <w:r w:rsidR="007D4E5A">
        <w:rPr>
          <w:rFonts w:ascii="Tahoma" w:eastAsia="Calibri" w:hAnsi="Tahoma" w:cs="Tahoma"/>
          <w:i/>
          <w:color w:val="C00000"/>
        </w:rPr>
        <w:t>Being the</w:t>
      </w:r>
      <w:r w:rsidRPr="0062289D">
        <w:rPr>
          <w:rFonts w:ascii="Tahoma" w:eastAsia="Calibri" w:hAnsi="Tahoma" w:cs="Tahoma"/>
          <w:i/>
          <w:color w:val="C00000"/>
        </w:rPr>
        <w:t xml:space="preserve"> National Human Rights Institution, the Commissioner observes violation or inadequate protection of human rights and proceeds to interventions when it is deemed necessary to promote in society a culture of respect for the rights of vulnerable groups of population. In this respect, the </w:t>
      </w:r>
      <w:r w:rsidRPr="0062289D">
        <w:rPr>
          <w:rFonts w:ascii="Tahoma" w:eastAsia="Calibri" w:hAnsi="Tahoma" w:cs="Tahoma"/>
          <w:b/>
          <w:i/>
          <w:color w:val="C00000"/>
        </w:rPr>
        <w:t>protection of the rights of women and girls</w:t>
      </w:r>
      <w:r w:rsidRPr="0062289D">
        <w:rPr>
          <w:rFonts w:ascii="Tahoma" w:eastAsia="Calibri" w:hAnsi="Tahoma" w:cs="Tahoma"/>
          <w:i/>
          <w:color w:val="C00000"/>
        </w:rPr>
        <w:t xml:space="preserve"> has been discussed repeatedly and continuously and interventions were issued (eg. trafficking for purposes of labour or exploitation, prostitution and its institutional framework, sexism in politics and media, institutional framework for abortions, violence against women and domestic violence, stalking and female genital mutilations). </w:t>
      </w:r>
    </w:p>
    <w:p w:rsidR="00F0794B" w:rsidRDefault="0062289D" w:rsidP="0062289D">
      <w:pPr>
        <w:jc w:val="both"/>
        <w:rPr>
          <w:rFonts w:ascii="Tahoma" w:hAnsi="Tahoma" w:cs="Tahoma"/>
          <w:i/>
          <w:color w:val="C00000"/>
        </w:rPr>
      </w:pPr>
      <w:r>
        <w:rPr>
          <w:rFonts w:ascii="Tahoma" w:eastAsia="Calibri" w:hAnsi="Tahoma" w:cs="Tahoma"/>
          <w:i/>
          <w:color w:val="C00000"/>
        </w:rPr>
        <w:t xml:space="preserve">In Cyprus, the L. 205(I)/2002 </w:t>
      </w:r>
      <w:r w:rsidRPr="0062289D">
        <w:rPr>
          <w:rFonts w:ascii="Tahoma" w:eastAsia="Calibri" w:hAnsi="Tahoma" w:cs="Tahoma"/>
          <w:i/>
          <w:color w:val="C00000"/>
        </w:rPr>
        <w:t xml:space="preserve">provides a framework for the </w:t>
      </w:r>
      <w:r w:rsidRPr="0062289D">
        <w:rPr>
          <w:rFonts w:ascii="Tahoma" w:eastAsia="Calibri" w:hAnsi="Tahoma" w:cs="Tahoma"/>
          <w:b/>
          <w:i/>
          <w:color w:val="C00000"/>
        </w:rPr>
        <w:t>equal treatment of men and women in employment</w:t>
      </w:r>
      <w:r w:rsidRPr="0062289D">
        <w:rPr>
          <w:rFonts w:ascii="Tahoma" w:eastAsia="Calibri" w:hAnsi="Tahoma" w:cs="Tahoma"/>
          <w:i/>
          <w:color w:val="C00000"/>
        </w:rPr>
        <w:t>, both in</w:t>
      </w:r>
      <w:r w:rsidR="007D4E5A">
        <w:rPr>
          <w:rFonts w:ascii="Tahoma" w:eastAsia="Calibri" w:hAnsi="Tahoma" w:cs="Tahoma"/>
          <w:i/>
          <w:color w:val="C00000"/>
        </w:rPr>
        <w:t xml:space="preserve"> the</w:t>
      </w:r>
      <w:r w:rsidRPr="0062289D">
        <w:rPr>
          <w:rFonts w:ascii="Tahoma" w:eastAsia="Calibri" w:hAnsi="Tahoma" w:cs="Tahoma"/>
          <w:i/>
          <w:color w:val="C00000"/>
        </w:rPr>
        <w:t xml:space="preserve"> public and </w:t>
      </w:r>
      <w:r w:rsidR="007D4E5A">
        <w:rPr>
          <w:rFonts w:ascii="Tahoma" w:eastAsia="Calibri" w:hAnsi="Tahoma" w:cs="Tahoma"/>
          <w:i/>
          <w:color w:val="C00000"/>
        </w:rPr>
        <w:t xml:space="preserve">the </w:t>
      </w:r>
      <w:r w:rsidRPr="0062289D">
        <w:rPr>
          <w:rFonts w:ascii="Tahoma" w:eastAsia="Calibri" w:hAnsi="Tahoma" w:cs="Tahoma"/>
          <w:i/>
          <w:color w:val="C00000"/>
        </w:rPr>
        <w:t xml:space="preserve">private sector, </w:t>
      </w:r>
      <w:r>
        <w:rPr>
          <w:rFonts w:ascii="Tahoma" w:eastAsia="Calibri" w:hAnsi="Tahoma" w:cs="Tahoma"/>
          <w:i/>
          <w:color w:val="C00000"/>
        </w:rPr>
        <w:t xml:space="preserve">and </w:t>
      </w:r>
      <w:r w:rsidR="007D4E5A">
        <w:rPr>
          <w:rFonts w:ascii="Tahoma" w:eastAsia="Calibri" w:hAnsi="Tahoma" w:cs="Tahoma"/>
          <w:i/>
          <w:color w:val="C00000"/>
        </w:rPr>
        <w:t xml:space="preserve">it </w:t>
      </w:r>
      <w:r w:rsidRPr="0062289D">
        <w:rPr>
          <w:rFonts w:ascii="Tahoma" w:eastAsia="Calibri" w:hAnsi="Tahoma" w:cs="Tahoma"/>
          <w:i/>
          <w:color w:val="C00000"/>
        </w:rPr>
        <w:t>covers any discrimination based on sex (including sexual harassment and harassment)</w:t>
      </w:r>
      <w:r w:rsidR="007D4E5A">
        <w:rPr>
          <w:rFonts w:ascii="Tahoma" w:eastAsia="Calibri" w:hAnsi="Tahoma" w:cs="Tahoma"/>
          <w:i/>
          <w:color w:val="C00000"/>
        </w:rPr>
        <w:t>. Moreover, it</w:t>
      </w:r>
      <w:r w:rsidRPr="0062289D">
        <w:rPr>
          <w:rFonts w:ascii="Tahoma" w:eastAsia="Calibri" w:hAnsi="Tahoma" w:cs="Tahoma"/>
          <w:i/>
          <w:color w:val="C00000"/>
        </w:rPr>
        <w:t xml:space="preserve"> protects mothers in relation to pregnancy, childbirth, nursing, maternity or sickness caused by pregnancy or childbirth. </w:t>
      </w:r>
      <w:r w:rsidRPr="0062289D">
        <w:rPr>
          <w:rFonts w:ascii="Tahoma" w:hAnsi="Tahoma" w:cs="Tahoma"/>
          <w:i/>
          <w:color w:val="C00000"/>
        </w:rPr>
        <w:t>Unequal treatment between men and women in access to goods and services is also prohibited according to the Equal Treatment of Men and Women (access to goods and services and the Benefit of these) Law (L.18(I)/2008).</w:t>
      </w:r>
      <w:r>
        <w:rPr>
          <w:rFonts w:ascii="Tahoma" w:hAnsi="Tahoma" w:cs="Tahoma"/>
          <w:i/>
          <w:color w:val="C00000"/>
        </w:rPr>
        <w:t xml:space="preserve"> The protection of the Equal pay of men and women is provided by the L. 177(I)/2002, t</w:t>
      </w:r>
      <w:r w:rsidRPr="0062289D">
        <w:rPr>
          <w:rFonts w:ascii="Tahoma" w:hAnsi="Tahoma" w:cs="Tahoma"/>
          <w:i/>
          <w:color w:val="C00000"/>
        </w:rPr>
        <w:t>he Equal Pay of Men and Women for Equal Work or Work of equal pay Law of 2002</w:t>
      </w:r>
      <w:r>
        <w:rPr>
          <w:rFonts w:ascii="Tahoma" w:hAnsi="Tahoma" w:cs="Tahoma"/>
          <w:i/>
          <w:color w:val="C00000"/>
        </w:rPr>
        <w:t>. Protection of women is also provided by the Protection of Maternity Law, according to which dismissal of pregnant or new mothers is prohibited</w:t>
      </w:r>
      <w:r w:rsidR="00F0794B">
        <w:rPr>
          <w:rFonts w:ascii="Tahoma" w:hAnsi="Tahoma" w:cs="Tahoma"/>
          <w:i/>
          <w:color w:val="C00000"/>
        </w:rPr>
        <w:t xml:space="preserve"> (this period was recently expanded to five months after the completion of the maternity period)</w:t>
      </w:r>
      <w:r>
        <w:rPr>
          <w:rFonts w:ascii="Tahoma" w:hAnsi="Tahoma" w:cs="Tahoma"/>
          <w:i/>
          <w:color w:val="C00000"/>
        </w:rPr>
        <w:t>.</w:t>
      </w:r>
    </w:p>
    <w:p w:rsidR="00F0794B" w:rsidRDefault="00F0794B" w:rsidP="0062289D">
      <w:pPr>
        <w:jc w:val="both"/>
        <w:rPr>
          <w:rFonts w:ascii="Tahoma" w:hAnsi="Tahoma" w:cs="Tahoma"/>
          <w:i/>
          <w:color w:val="C00000"/>
        </w:rPr>
      </w:pPr>
    </w:p>
    <w:p w:rsidR="00F01AD4" w:rsidRDefault="00F0794B" w:rsidP="00F01AD4">
      <w:pPr>
        <w:jc w:val="both"/>
        <w:rPr>
          <w:rFonts w:ascii="Tahoma" w:hAnsi="Tahoma" w:cs="Tahoma"/>
          <w:i/>
          <w:color w:val="C00000"/>
          <w:lang w:val="en-US"/>
        </w:rPr>
      </w:pPr>
      <w:r>
        <w:rPr>
          <w:rFonts w:ascii="Tahoma" w:hAnsi="Tahoma" w:cs="Tahoma"/>
          <w:i/>
          <w:color w:val="C00000"/>
          <w:lang w:val="en-US"/>
        </w:rPr>
        <w:lastRenderedPageBreak/>
        <w:t>According to the Statistical Service</w:t>
      </w:r>
      <w:r>
        <w:rPr>
          <w:rStyle w:val="FootnoteReference"/>
          <w:rFonts w:ascii="Tahoma" w:hAnsi="Tahoma" w:cs="Tahoma"/>
          <w:i/>
          <w:color w:val="C00000"/>
          <w:lang w:val="en-US"/>
        </w:rPr>
        <w:footnoteReference w:id="1"/>
      </w:r>
      <w:r>
        <w:rPr>
          <w:rFonts w:ascii="Tahoma" w:hAnsi="Tahoma" w:cs="Tahoma"/>
          <w:i/>
          <w:color w:val="C00000"/>
          <w:lang w:val="en-US"/>
        </w:rPr>
        <w:t xml:space="preserve"> of the Republic of Cyprus, </w:t>
      </w:r>
    </w:p>
    <w:p w:rsidR="00F01AD4" w:rsidRPr="00F01AD4" w:rsidRDefault="00F0794B" w:rsidP="00F01AD4">
      <w:pPr>
        <w:pStyle w:val="ListParagraph"/>
        <w:numPr>
          <w:ilvl w:val="0"/>
          <w:numId w:val="9"/>
        </w:numPr>
        <w:jc w:val="both"/>
        <w:rPr>
          <w:rFonts w:ascii="Verdana" w:eastAsia="Malgun Gothic" w:hAnsi="Verdana" w:cs="Arial"/>
          <w:sz w:val="18"/>
          <w:szCs w:val="18"/>
          <w:lang w:val="en-US"/>
        </w:rPr>
      </w:pPr>
      <w:r w:rsidRPr="00F01AD4">
        <w:rPr>
          <w:rFonts w:ascii="Tahoma" w:hAnsi="Tahoma" w:cs="Tahoma"/>
          <w:i/>
          <w:color w:val="C00000"/>
          <w:lang w:val="en-US"/>
        </w:rPr>
        <w:t xml:space="preserve">51% of the Cyprus population are women. </w:t>
      </w:r>
    </w:p>
    <w:p w:rsidR="00F01AD4" w:rsidRPr="00F01AD4" w:rsidRDefault="00F0794B" w:rsidP="00F01AD4">
      <w:pPr>
        <w:pStyle w:val="ListParagraph"/>
        <w:numPr>
          <w:ilvl w:val="0"/>
          <w:numId w:val="9"/>
        </w:numPr>
        <w:jc w:val="both"/>
        <w:rPr>
          <w:rFonts w:ascii="Verdana" w:eastAsia="Malgun Gothic" w:hAnsi="Verdana" w:cs="Arial"/>
          <w:sz w:val="18"/>
          <w:szCs w:val="18"/>
          <w:lang w:val="en-US"/>
        </w:rPr>
      </w:pPr>
      <w:r w:rsidRPr="00F01AD4">
        <w:rPr>
          <w:rFonts w:ascii="Tahoma" w:hAnsi="Tahoma" w:cs="Tahoma"/>
          <w:i/>
          <w:color w:val="C00000"/>
          <w:lang w:val="en-US"/>
        </w:rPr>
        <w:t xml:space="preserve">38% of women have completed higher education. </w:t>
      </w:r>
    </w:p>
    <w:p w:rsidR="00F01AD4" w:rsidRPr="00F01AD4" w:rsidRDefault="00F01AD4" w:rsidP="00F01AD4">
      <w:pPr>
        <w:pStyle w:val="ListParagraph"/>
        <w:numPr>
          <w:ilvl w:val="0"/>
          <w:numId w:val="9"/>
        </w:numPr>
        <w:jc w:val="both"/>
        <w:rPr>
          <w:rFonts w:ascii="Verdana" w:eastAsia="Malgun Gothic" w:hAnsi="Verdana" w:cs="Arial"/>
          <w:sz w:val="18"/>
          <w:szCs w:val="18"/>
          <w:lang w:val="en-US"/>
        </w:rPr>
      </w:pPr>
      <w:r w:rsidRPr="00F01AD4">
        <w:rPr>
          <w:rFonts w:ascii="Tahoma" w:hAnsi="Tahoma" w:cs="Tahoma"/>
          <w:i/>
          <w:color w:val="C00000"/>
          <w:lang w:val="en-US"/>
        </w:rPr>
        <w:t xml:space="preserve">48% of the total workforce in Cyprus is women. </w:t>
      </w:r>
    </w:p>
    <w:p w:rsidR="00F01AD4" w:rsidRPr="00F01AD4" w:rsidRDefault="00F01AD4" w:rsidP="00F01AD4">
      <w:pPr>
        <w:pStyle w:val="ListParagraph"/>
        <w:numPr>
          <w:ilvl w:val="0"/>
          <w:numId w:val="9"/>
        </w:numPr>
        <w:jc w:val="both"/>
        <w:rPr>
          <w:rFonts w:ascii="Verdana" w:eastAsia="Malgun Gothic" w:hAnsi="Verdana" w:cs="Arial"/>
          <w:sz w:val="18"/>
          <w:szCs w:val="18"/>
          <w:lang w:val="en-US"/>
        </w:rPr>
      </w:pPr>
      <w:r w:rsidRPr="00F01AD4">
        <w:rPr>
          <w:rFonts w:ascii="Tahoma" w:hAnsi="Tahoma" w:cs="Tahoma"/>
          <w:i/>
          <w:color w:val="C00000"/>
          <w:lang w:val="en-US"/>
        </w:rPr>
        <w:t xml:space="preserve">Only 15% of the women in workforce are working in part time. </w:t>
      </w:r>
    </w:p>
    <w:p w:rsidR="00F01AD4" w:rsidRDefault="00F01AD4" w:rsidP="00F01AD4">
      <w:pPr>
        <w:jc w:val="both"/>
        <w:rPr>
          <w:rFonts w:ascii="Tahoma" w:hAnsi="Tahoma" w:cs="Tahoma"/>
          <w:i/>
          <w:color w:val="C00000"/>
          <w:lang w:val="en-US"/>
        </w:rPr>
      </w:pPr>
      <w:r>
        <w:rPr>
          <w:rFonts w:ascii="Tahoma" w:hAnsi="Tahoma" w:cs="Tahoma"/>
          <w:i/>
          <w:color w:val="C00000"/>
          <w:lang w:val="en-US"/>
        </w:rPr>
        <w:t>In 2017, p</w:t>
      </w:r>
      <w:r w:rsidRPr="00F01AD4">
        <w:rPr>
          <w:rFonts w:ascii="Tahoma" w:hAnsi="Tahoma" w:cs="Tahoma"/>
          <w:i/>
          <w:color w:val="C00000"/>
          <w:lang w:val="en-US"/>
        </w:rPr>
        <w:t xml:space="preserve">ay gap </w:t>
      </w:r>
      <w:r>
        <w:rPr>
          <w:rFonts w:ascii="Tahoma" w:hAnsi="Tahoma" w:cs="Tahoma"/>
          <w:i/>
          <w:color w:val="C00000"/>
          <w:lang w:val="en-US"/>
        </w:rPr>
        <w:t xml:space="preserve">was 13,7%. Also based </w:t>
      </w:r>
      <w:r w:rsidR="007D4E5A">
        <w:rPr>
          <w:rFonts w:ascii="Tahoma" w:hAnsi="Tahoma" w:cs="Tahoma"/>
          <w:i/>
          <w:color w:val="C00000"/>
          <w:lang w:val="en-US"/>
        </w:rPr>
        <w:t>on</w:t>
      </w:r>
      <w:r>
        <w:rPr>
          <w:rFonts w:ascii="Tahoma" w:hAnsi="Tahoma" w:cs="Tahoma"/>
          <w:i/>
          <w:color w:val="C00000"/>
          <w:lang w:val="en-US"/>
        </w:rPr>
        <w:t xml:space="preserve"> the data</w:t>
      </w:r>
      <w:r>
        <w:rPr>
          <w:rStyle w:val="FootnoteReference"/>
          <w:rFonts w:ascii="Tahoma" w:hAnsi="Tahoma" w:cs="Tahoma"/>
          <w:i/>
          <w:color w:val="C00000"/>
          <w:lang w:val="en-US"/>
        </w:rPr>
        <w:footnoteReference w:id="2"/>
      </w:r>
      <w:r>
        <w:rPr>
          <w:rFonts w:ascii="Tahoma" w:hAnsi="Tahoma" w:cs="Tahoma"/>
          <w:i/>
          <w:color w:val="C00000"/>
          <w:lang w:val="en-US"/>
        </w:rPr>
        <w:t xml:space="preserve"> of the Statistical Service, in 2018, the parental leave (unpaid leave of maximum 18 weeks) is not often used neither by the mothers or by the fathers. </w:t>
      </w:r>
    </w:p>
    <w:p w:rsidR="00DE1C9F" w:rsidRDefault="00DE1C9F" w:rsidP="00F01AD4">
      <w:pPr>
        <w:jc w:val="both"/>
        <w:rPr>
          <w:rFonts w:ascii="Tahoma" w:hAnsi="Tahoma" w:cs="Tahoma"/>
          <w:i/>
          <w:color w:val="C00000"/>
          <w:lang w:val="en-US"/>
        </w:rPr>
      </w:pPr>
      <w:r>
        <w:rPr>
          <w:rFonts w:ascii="Tahoma" w:hAnsi="Tahoma" w:cs="Tahoma"/>
          <w:i/>
          <w:color w:val="C00000"/>
          <w:lang w:val="en-US"/>
        </w:rPr>
        <w:t>Moreover, in Cyprus flexible forms of employment are not widespread</w:t>
      </w:r>
      <w:bookmarkStart w:id="0" w:name="_GoBack"/>
      <w:bookmarkEnd w:id="0"/>
      <w:r>
        <w:rPr>
          <w:rFonts w:ascii="Tahoma" w:hAnsi="Tahoma" w:cs="Tahoma"/>
          <w:i/>
          <w:color w:val="C00000"/>
          <w:lang w:val="en-US"/>
        </w:rPr>
        <w:t xml:space="preserve">. However, </w:t>
      </w:r>
      <w:r w:rsidR="007D4E5A">
        <w:rPr>
          <w:rFonts w:ascii="Tahoma" w:hAnsi="Tahoma" w:cs="Tahoma"/>
          <w:i/>
          <w:color w:val="C00000"/>
          <w:lang w:val="en-US"/>
        </w:rPr>
        <w:t>within the last few years</w:t>
      </w:r>
      <w:r>
        <w:rPr>
          <w:rFonts w:ascii="Tahoma" w:hAnsi="Tahoma" w:cs="Tahoma"/>
          <w:i/>
          <w:color w:val="C00000"/>
          <w:lang w:val="en-US"/>
        </w:rPr>
        <w:t>, gig jobs or on demand companies have started to appear</w:t>
      </w:r>
      <w:r w:rsidR="007D4E5A">
        <w:rPr>
          <w:rFonts w:ascii="Tahoma" w:hAnsi="Tahoma" w:cs="Tahoma"/>
          <w:i/>
          <w:color w:val="C00000"/>
          <w:lang w:val="en-US"/>
        </w:rPr>
        <w:t xml:space="preserve"> in Cyprus economy.</w:t>
      </w:r>
    </w:p>
    <w:p w:rsidR="00DE1C9F" w:rsidRPr="00DE1C9F" w:rsidRDefault="00DE1C9F" w:rsidP="00F01AD4">
      <w:pPr>
        <w:jc w:val="both"/>
        <w:rPr>
          <w:rFonts w:ascii="Verdana" w:eastAsia="Malgun Gothic" w:hAnsi="Verdana" w:cs="Arial"/>
          <w:sz w:val="18"/>
          <w:szCs w:val="18"/>
          <w:lang w:val="en-US"/>
        </w:rPr>
      </w:pPr>
      <w:r>
        <w:rPr>
          <w:rFonts w:ascii="Tahoma" w:hAnsi="Tahoma" w:cs="Tahoma"/>
          <w:i/>
          <w:color w:val="C00000"/>
          <w:lang w:val="en-US"/>
        </w:rPr>
        <w:t xml:space="preserve">There is still existing profession segregation, but changes have started to appear, with girls selecting studies/professions that used to be more male-dominated sectors. </w:t>
      </w:r>
    </w:p>
    <w:p w:rsidR="00A22D78" w:rsidRPr="00F0794B" w:rsidRDefault="00A22D78" w:rsidP="00A22D78">
      <w:pPr>
        <w:jc w:val="both"/>
        <w:rPr>
          <w:rFonts w:ascii="Tahoma" w:hAnsi="Tahoma" w:cs="Tahoma"/>
          <w:i/>
          <w:color w:val="C00000"/>
        </w:rPr>
      </w:pPr>
      <w:r>
        <w:rPr>
          <w:rFonts w:ascii="Tahoma" w:hAnsi="Tahoma" w:cs="Tahoma"/>
          <w:i/>
          <w:color w:val="C00000"/>
        </w:rPr>
        <w:t>It is</w:t>
      </w:r>
      <w:r w:rsidR="007D4E5A">
        <w:rPr>
          <w:rFonts w:ascii="Tahoma" w:hAnsi="Tahoma" w:cs="Tahoma"/>
          <w:i/>
          <w:color w:val="C00000"/>
        </w:rPr>
        <w:t>,</w:t>
      </w:r>
      <w:r>
        <w:rPr>
          <w:rFonts w:ascii="Tahoma" w:hAnsi="Tahoma" w:cs="Tahoma"/>
          <w:i/>
          <w:color w:val="C00000"/>
        </w:rPr>
        <w:t xml:space="preserve"> thus</w:t>
      </w:r>
      <w:r w:rsidR="007D4E5A">
        <w:rPr>
          <w:rFonts w:ascii="Tahoma" w:hAnsi="Tahoma" w:cs="Tahoma"/>
          <w:i/>
          <w:color w:val="C00000"/>
        </w:rPr>
        <w:t>,</w:t>
      </w:r>
      <w:r>
        <w:rPr>
          <w:rFonts w:ascii="Tahoma" w:hAnsi="Tahoma" w:cs="Tahoma"/>
          <w:i/>
          <w:color w:val="C00000"/>
        </w:rPr>
        <w:t xml:space="preserve"> important to </w:t>
      </w:r>
      <w:r w:rsidRPr="00F0794B">
        <w:rPr>
          <w:rFonts w:ascii="Tahoma" w:hAnsi="Tahoma" w:cs="Tahoma"/>
          <w:i/>
          <w:color w:val="C00000"/>
        </w:rPr>
        <w:t>keep raising awareness through specialised and targeted campaigns, that would</w:t>
      </w:r>
      <w:r w:rsidR="007D4E5A">
        <w:rPr>
          <w:rFonts w:ascii="Tahoma" w:hAnsi="Tahoma" w:cs="Tahoma"/>
          <w:i/>
          <w:color w:val="C00000"/>
        </w:rPr>
        <w:t xml:space="preserve"> aim to</w:t>
      </w:r>
      <w:r w:rsidRPr="00F0794B">
        <w:rPr>
          <w:rFonts w:ascii="Tahoma" w:hAnsi="Tahoma" w:cs="Tahoma"/>
          <w:i/>
          <w:color w:val="C00000"/>
        </w:rPr>
        <w:t xml:space="preserve"> inform about human rights and where to go in case of their violation. Emphasis should be given to women and girls to</w:t>
      </w:r>
      <w:r w:rsidR="007D4E5A">
        <w:rPr>
          <w:rFonts w:ascii="Tahoma" w:hAnsi="Tahoma" w:cs="Tahoma"/>
          <w:i/>
          <w:color w:val="C00000"/>
        </w:rPr>
        <w:t xml:space="preserve"> be able to</w:t>
      </w:r>
      <w:r w:rsidRPr="00F0794B">
        <w:rPr>
          <w:rFonts w:ascii="Tahoma" w:hAnsi="Tahoma" w:cs="Tahoma"/>
          <w:i/>
          <w:color w:val="C00000"/>
        </w:rPr>
        <w:t xml:space="preserve"> recogni</w:t>
      </w:r>
      <w:r w:rsidR="007D4E5A">
        <w:rPr>
          <w:rFonts w:ascii="Tahoma" w:hAnsi="Tahoma" w:cs="Tahoma"/>
          <w:i/>
          <w:color w:val="C00000"/>
        </w:rPr>
        <w:t>s</w:t>
      </w:r>
      <w:r w:rsidRPr="00F0794B">
        <w:rPr>
          <w:rFonts w:ascii="Tahoma" w:hAnsi="Tahoma" w:cs="Tahoma"/>
          <w:i/>
          <w:color w:val="C00000"/>
        </w:rPr>
        <w:t xml:space="preserve">e whether their human rights are violated, and in this respect, </w:t>
      </w:r>
      <w:r w:rsidR="007D4E5A">
        <w:rPr>
          <w:rFonts w:ascii="Tahoma" w:hAnsi="Tahoma" w:cs="Tahoma"/>
          <w:i/>
          <w:color w:val="C00000"/>
        </w:rPr>
        <w:t xml:space="preserve">that </w:t>
      </w:r>
      <w:r w:rsidRPr="00F0794B">
        <w:rPr>
          <w:rFonts w:ascii="Tahoma" w:hAnsi="Tahoma" w:cs="Tahoma"/>
          <w:i/>
          <w:color w:val="C00000"/>
        </w:rPr>
        <w:t xml:space="preserve">they should be better informed. </w:t>
      </w:r>
    </w:p>
    <w:p w:rsidR="0062289D" w:rsidRPr="00F01AD4" w:rsidRDefault="0062289D" w:rsidP="0062289D">
      <w:pPr>
        <w:jc w:val="both"/>
        <w:rPr>
          <w:rFonts w:ascii="Tahoma" w:hAnsi="Tahoma" w:cs="Tahoma"/>
          <w:sz w:val="24"/>
          <w:szCs w:val="24"/>
        </w:rPr>
      </w:pPr>
    </w:p>
    <w:p w:rsidR="00D61B40" w:rsidRDefault="00D61B40" w:rsidP="00715E8C">
      <w:pPr>
        <w:spacing w:after="240" w:line="240" w:lineRule="auto"/>
        <w:rPr>
          <w:rFonts w:ascii="Times New Roman" w:hAnsi="Times New Roman" w:cs="Times New Roman"/>
          <w:b/>
          <w:sz w:val="28"/>
          <w:szCs w:val="28"/>
        </w:rPr>
      </w:pPr>
      <w:r w:rsidRPr="00D61B40">
        <w:rPr>
          <w:rFonts w:ascii="Times New Roman" w:hAnsi="Times New Roman" w:cs="Times New Roman"/>
          <w:b/>
          <w:sz w:val="28"/>
          <w:szCs w:val="28"/>
        </w:rPr>
        <w:t>APPENDIX</w:t>
      </w:r>
    </w:p>
    <w:p w:rsidR="00D61B40" w:rsidRDefault="00D61B40" w:rsidP="00715E8C">
      <w:pPr>
        <w:spacing w:after="120" w:line="240" w:lineRule="auto"/>
        <w:rPr>
          <w:rFonts w:ascii="Times New Roman" w:hAnsi="Times New Roman" w:cs="Times New Roman"/>
          <w:b/>
          <w:sz w:val="24"/>
          <w:szCs w:val="24"/>
          <w:lang w:val="en-AU"/>
        </w:rPr>
      </w:pPr>
      <w:r w:rsidRPr="00D61B40">
        <w:rPr>
          <w:rFonts w:ascii="Times New Roman" w:hAnsi="Times New Roman" w:cs="Times New Roman"/>
          <w:b/>
          <w:sz w:val="24"/>
          <w:szCs w:val="24"/>
          <w:lang w:val="en-AU"/>
        </w:rPr>
        <w:t>Report overview</w:t>
      </w:r>
    </w:p>
    <w:p w:rsidR="00691786" w:rsidRDefault="00691786" w:rsidP="00715E8C">
      <w:pPr>
        <w:spacing w:after="120" w:line="240" w:lineRule="auto"/>
        <w:rPr>
          <w:rFonts w:ascii="Times New Roman" w:hAnsi="Times New Roman" w:cs="Times New Roman"/>
          <w:sz w:val="24"/>
          <w:szCs w:val="24"/>
          <w:lang w:val="en-AU"/>
        </w:rPr>
      </w:pPr>
      <w:r w:rsidRPr="00691786">
        <w:rPr>
          <w:rFonts w:ascii="Times New Roman" w:hAnsi="Times New Roman" w:cs="Times New Roman"/>
          <w:sz w:val="24"/>
          <w:szCs w:val="24"/>
          <w:lang w:val="en-AU"/>
        </w:rPr>
        <w:t>The specific objectives of the thematic report and the context driving the Working Group to develop this thematic analysis are, as follows:</w:t>
      </w:r>
    </w:p>
    <w:p w:rsidR="00A618F9" w:rsidRPr="00A618F9" w:rsidRDefault="00A618F9" w:rsidP="00715E8C">
      <w:pPr>
        <w:pStyle w:val="ListParagraph"/>
        <w:numPr>
          <w:ilvl w:val="0"/>
          <w:numId w:val="2"/>
        </w:numPr>
        <w:spacing w:after="0" w:line="240" w:lineRule="auto"/>
        <w:ind w:left="714" w:hanging="357"/>
        <w:rPr>
          <w:rFonts w:ascii="Times New Roman" w:hAnsi="Times New Roman" w:cs="Times New Roman"/>
          <w:sz w:val="24"/>
          <w:szCs w:val="24"/>
          <w:lang w:val="en-AU"/>
        </w:rPr>
      </w:pPr>
      <w:r w:rsidRPr="00A618F9">
        <w:rPr>
          <w:rFonts w:ascii="Times New Roman" w:hAnsi="Times New Roman" w:cs="Times New Roman"/>
          <w:sz w:val="24"/>
          <w:szCs w:val="24"/>
          <w:lang w:val="en-AU"/>
        </w:rPr>
        <w:t>Deepen the understanding of the implications for women’s human rights at work in the context of megatrends that are changing the world of work, including technological change, demographic change, globalization and a shift towards sustainability;</w:t>
      </w:r>
    </w:p>
    <w:p w:rsidR="00A618F9" w:rsidRPr="00A618F9" w:rsidRDefault="00A618F9" w:rsidP="00715E8C">
      <w:pPr>
        <w:pStyle w:val="ListParagraph"/>
        <w:numPr>
          <w:ilvl w:val="0"/>
          <w:numId w:val="2"/>
        </w:numPr>
        <w:spacing w:after="0" w:line="240" w:lineRule="auto"/>
        <w:ind w:left="714" w:hanging="357"/>
        <w:rPr>
          <w:rFonts w:ascii="Times New Roman" w:hAnsi="Times New Roman" w:cs="Times New Roman"/>
          <w:sz w:val="24"/>
          <w:szCs w:val="24"/>
          <w:lang w:val="en-AU"/>
        </w:rPr>
      </w:pPr>
      <w:r w:rsidRPr="00A618F9">
        <w:rPr>
          <w:rFonts w:ascii="Times New Roman" w:hAnsi="Times New Roman" w:cs="Times New Roman"/>
          <w:sz w:val="24"/>
          <w:szCs w:val="24"/>
          <w:lang w:val="en-AU"/>
        </w:rPr>
        <w:t>Identify the risks and opportunities for women’s rights to work and women’s rights at work (e.g. inter alia, access to decent work and workplace entitlements, equal pay, support to balance paid work with caring responsibilities, freedom from discrimination harassment and violence and support for women’s collective action and organising)</w:t>
      </w:r>
    </w:p>
    <w:p w:rsidR="00A618F9" w:rsidRPr="00A618F9" w:rsidRDefault="00A618F9" w:rsidP="00715E8C">
      <w:pPr>
        <w:pStyle w:val="ListParagraph"/>
        <w:numPr>
          <w:ilvl w:val="0"/>
          <w:numId w:val="2"/>
        </w:numPr>
        <w:spacing w:after="120" w:line="240" w:lineRule="auto"/>
        <w:ind w:left="714" w:hanging="357"/>
        <w:rPr>
          <w:rFonts w:ascii="Times New Roman" w:hAnsi="Times New Roman" w:cs="Times New Roman"/>
          <w:b/>
          <w:sz w:val="24"/>
          <w:szCs w:val="24"/>
          <w:lang w:val="en-AU"/>
        </w:rPr>
      </w:pPr>
      <w:r w:rsidRPr="00A618F9">
        <w:rPr>
          <w:rFonts w:ascii="Times New Roman" w:hAnsi="Times New Roman" w:cs="Times New Roman"/>
          <w:sz w:val="24"/>
          <w:szCs w:val="24"/>
          <w:lang w:val="en-AU"/>
        </w:rPr>
        <w:t>Identify promising approaches and make recommendations for promoting and protecting women’s human rights in the changing world of work.</w:t>
      </w:r>
    </w:p>
    <w:p w:rsidR="00A618F9" w:rsidRDefault="00A618F9" w:rsidP="002D2DF6">
      <w:pPr>
        <w:spacing w:after="120" w:line="240" w:lineRule="auto"/>
        <w:rPr>
          <w:rFonts w:ascii="Times New Roman" w:hAnsi="Times New Roman" w:cs="Times New Roman"/>
          <w:sz w:val="24"/>
          <w:szCs w:val="24"/>
          <w:lang w:val="en-AU"/>
        </w:rPr>
      </w:pPr>
      <w:r w:rsidRPr="00A618F9">
        <w:rPr>
          <w:rFonts w:ascii="Times New Roman" w:hAnsi="Times New Roman" w:cs="Times New Roman"/>
          <w:sz w:val="24"/>
          <w:szCs w:val="24"/>
          <w:lang w:val="en-AU"/>
        </w:rPr>
        <w:t>Closing gender gaps and realizing women’s human rights in the world of work remains one of the most pressing economic and social challenges facing the global community today. At 48.5 per cent in 2018, women’s global labour force participation rate is 26.5 percentage points below that of men.</w:t>
      </w:r>
      <w:r w:rsidRPr="00A618F9">
        <w:rPr>
          <w:rFonts w:ascii="Times New Roman" w:hAnsi="Times New Roman" w:cs="Times New Roman"/>
          <w:sz w:val="24"/>
          <w:szCs w:val="24"/>
          <w:vertAlign w:val="superscript"/>
          <w:lang w:val="en-AU"/>
        </w:rPr>
        <w:footnoteReference w:id="3"/>
      </w:r>
      <w:r w:rsidRPr="00A618F9">
        <w:rPr>
          <w:rFonts w:ascii="Times New Roman" w:hAnsi="Times New Roman" w:cs="Times New Roman"/>
          <w:sz w:val="24"/>
          <w:szCs w:val="24"/>
          <w:lang w:val="en-AU"/>
        </w:rPr>
        <w:t xml:space="preserve"> While the gender gap in labour force participation has narrowed in </w:t>
      </w:r>
      <w:r w:rsidRPr="00A618F9">
        <w:rPr>
          <w:rFonts w:ascii="Times New Roman" w:hAnsi="Times New Roman" w:cs="Times New Roman"/>
          <w:sz w:val="24"/>
          <w:szCs w:val="24"/>
          <w:lang w:val="en-AU"/>
        </w:rPr>
        <w:lastRenderedPageBreak/>
        <w:t>most regions, the gap remains especially wide in the Arab States, Northern Africa and Southern Asia where it is expected this gap will remain wide in the near future.</w:t>
      </w:r>
      <w:r w:rsidRPr="00A618F9">
        <w:rPr>
          <w:rFonts w:ascii="Times New Roman" w:hAnsi="Times New Roman" w:cs="Times New Roman"/>
          <w:sz w:val="24"/>
          <w:szCs w:val="24"/>
          <w:vertAlign w:val="superscript"/>
          <w:lang w:val="en-AU"/>
        </w:rPr>
        <w:footnoteReference w:id="4"/>
      </w:r>
    </w:p>
    <w:p w:rsidR="002E628F" w:rsidRPr="002E628F" w:rsidRDefault="002E628F" w:rsidP="002D2DF6">
      <w:pPr>
        <w:spacing w:after="120" w:line="240" w:lineRule="auto"/>
        <w:rPr>
          <w:rFonts w:ascii="Times New Roman" w:hAnsi="Times New Roman" w:cs="Times New Roman"/>
          <w:sz w:val="24"/>
          <w:szCs w:val="24"/>
          <w:lang w:val="en-AU"/>
        </w:rPr>
      </w:pPr>
      <w:r w:rsidRPr="002E628F">
        <w:rPr>
          <w:rFonts w:ascii="Times New Roman" w:hAnsi="Times New Roman" w:cs="Times New Roman"/>
          <w:sz w:val="24"/>
          <w:szCs w:val="24"/>
          <w:lang w:val="en-AU"/>
        </w:rPr>
        <w:t>There remain significant deficits in the quality and conditions of women’s work. Globally, women remain concentrated in the lowest paid jobs, in vulnerable forms of employment including in the informal sector, with limited or no access to decent work conditions and social protection. In low-income countries, 92 per cent of women are employed informally (compared to 87.5 per cent of men), with little access to the raft of employment and social protection rights conferred on workers who have a formal employment contract.</w:t>
      </w:r>
      <w:r w:rsidR="004F58BD">
        <w:rPr>
          <w:rStyle w:val="FootnoteReference"/>
          <w:rFonts w:ascii="Times New Roman" w:hAnsi="Times New Roman" w:cs="Times New Roman"/>
          <w:sz w:val="24"/>
          <w:szCs w:val="24"/>
          <w:lang w:val="en-AU"/>
        </w:rPr>
        <w:footnoteReference w:id="5"/>
      </w:r>
      <w:r w:rsidRPr="002E628F">
        <w:rPr>
          <w:rFonts w:ascii="Times New Roman" w:hAnsi="Times New Roman" w:cs="Times New Roman"/>
          <w:sz w:val="24"/>
          <w:szCs w:val="24"/>
          <w:lang w:val="en-AU"/>
        </w:rPr>
        <w:t xml:space="preserve"> Particularly stark gender gaps can be seen in the proportion of informally employed who work without any direct pay or remuneration, as unpaid family workers in family farms and enterprises (28.1 of women versus 8.7 per cent of men).</w:t>
      </w:r>
      <w:r w:rsidR="002D7C45">
        <w:rPr>
          <w:rStyle w:val="FootnoteReference"/>
          <w:rFonts w:ascii="Times New Roman" w:hAnsi="Times New Roman" w:cs="Times New Roman"/>
          <w:sz w:val="24"/>
          <w:szCs w:val="24"/>
          <w:lang w:val="en-AU"/>
        </w:rPr>
        <w:footnoteReference w:id="6"/>
      </w:r>
    </w:p>
    <w:p w:rsidR="00A618F9" w:rsidRDefault="002E628F" w:rsidP="00D1500A">
      <w:pPr>
        <w:spacing w:after="120" w:line="240" w:lineRule="auto"/>
        <w:rPr>
          <w:rFonts w:ascii="Times New Roman" w:hAnsi="Times New Roman" w:cs="Times New Roman"/>
          <w:sz w:val="24"/>
          <w:szCs w:val="24"/>
          <w:lang w:val="en-AU"/>
        </w:rPr>
      </w:pPr>
      <w:r w:rsidRPr="002E628F">
        <w:rPr>
          <w:rFonts w:ascii="Times New Roman" w:hAnsi="Times New Roman" w:cs="Times New Roman"/>
          <w:sz w:val="24"/>
          <w:szCs w:val="24"/>
          <w:lang w:val="en-AU"/>
        </w:rPr>
        <w:t>Systemic discrimination continues to pose a barrier to women’s enjoyment of their rights to work and rights at work around the globe.</w:t>
      </w:r>
      <w:r w:rsidR="00E666EE">
        <w:rPr>
          <w:rStyle w:val="FootnoteReference"/>
          <w:rFonts w:ascii="Times New Roman" w:hAnsi="Times New Roman" w:cs="Times New Roman"/>
          <w:sz w:val="24"/>
          <w:szCs w:val="24"/>
          <w:lang w:val="en-AU"/>
        </w:rPr>
        <w:footnoteReference w:id="7"/>
      </w:r>
      <w:r w:rsidRPr="002E628F">
        <w:rPr>
          <w:rFonts w:ascii="Times New Roman" w:hAnsi="Times New Roman" w:cs="Times New Roman"/>
          <w:sz w:val="24"/>
          <w:szCs w:val="24"/>
          <w:lang w:val="en-AU"/>
        </w:rPr>
        <w:t xml:space="preserve"> A significant constraint to women’s participation in paid work and advancement in the public</w:t>
      </w:r>
      <w:r>
        <w:rPr>
          <w:rFonts w:ascii="Times New Roman" w:hAnsi="Times New Roman" w:cs="Times New Roman"/>
          <w:sz w:val="24"/>
          <w:szCs w:val="24"/>
          <w:lang w:val="en-AU"/>
        </w:rPr>
        <w:t xml:space="preserve"> </w:t>
      </w:r>
      <w:r w:rsidR="00C57F5D" w:rsidRPr="00C57F5D">
        <w:rPr>
          <w:rFonts w:ascii="Times New Roman" w:hAnsi="Times New Roman" w:cs="Times New Roman"/>
          <w:sz w:val="24"/>
          <w:szCs w:val="24"/>
          <w:lang w:val="en-AU"/>
        </w:rPr>
        <w:t xml:space="preserve">sphere at large remains their disproportionate responsibility for unpaid care and domestic work. This has significant impacts on women including the vertical and horizontal segregation of women workers (resulting from for example the higher concentration of women in informal and lower paying sectors as well as the lack of gender parity in positions with higher pay and influence), pervasive gender-based discrimination at work, and the high incidence of sexual harassment and violence. Realizing women’s </w:t>
      </w:r>
      <w:r w:rsidR="00C57F5D" w:rsidRPr="004D02D4">
        <w:rPr>
          <w:rFonts w:ascii="Times New Roman" w:hAnsi="Times New Roman" w:cs="Times New Roman"/>
          <w:i/>
          <w:sz w:val="24"/>
          <w:szCs w:val="24"/>
          <w:lang w:val="en-AU"/>
        </w:rPr>
        <w:t>rights to work</w:t>
      </w:r>
      <w:r w:rsidR="00C57F5D" w:rsidRPr="00C57F5D">
        <w:rPr>
          <w:rFonts w:ascii="Times New Roman" w:hAnsi="Times New Roman" w:cs="Times New Roman"/>
          <w:sz w:val="24"/>
          <w:szCs w:val="24"/>
          <w:lang w:val="en-AU"/>
        </w:rPr>
        <w:t xml:space="preserve"> includes removing barriers to women’s workforce participation, such as legal barriers, socio-cultural barriers for example the lack of public policy support for care, and the availability of ‘decent work’</w:t>
      </w:r>
      <w:r w:rsidR="002343A5">
        <w:rPr>
          <w:rStyle w:val="FootnoteReference"/>
          <w:rFonts w:ascii="Times New Roman" w:hAnsi="Times New Roman" w:cs="Times New Roman"/>
          <w:sz w:val="24"/>
          <w:szCs w:val="24"/>
          <w:lang w:val="en-AU"/>
        </w:rPr>
        <w:footnoteReference w:id="8"/>
      </w:r>
      <w:r w:rsidR="00C57F5D" w:rsidRPr="00C57F5D">
        <w:rPr>
          <w:rFonts w:ascii="Times New Roman" w:hAnsi="Times New Roman" w:cs="Times New Roman"/>
          <w:sz w:val="24"/>
          <w:szCs w:val="24"/>
          <w:lang w:val="en-AU"/>
        </w:rPr>
        <w:t xml:space="preserve">, amongst others. Realizing women’s </w:t>
      </w:r>
      <w:r w:rsidR="00C57F5D" w:rsidRPr="004D02D4">
        <w:rPr>
          <w:rFonts w:ascii="Times New Roman" w:hAnsi="Times New Roman" w:cs="Times New Roman"/>
          <w:i/>
          <w:sz w:val="24"/>
          <w:szCs w:val="24"/>
          <w:lang w:val="en-AU"/>
        </w:rPr>
        <w:t>rights at work</w:t>
      </w:r>
      <w:r w:rsidR="00C57F5D" w:rsidRPr="00C57F5D">
        <w:rPr>
          <w:rFonts w:ascii="Times New Roman" w:hAnsi="Times New Roman" w:cs="Times New Roman"/>
          <w:sz w:val="24"/>
          <w:szCs w:val="24"/>
          <w:lang w:val="en-AU"/>
        </w:rPr>
        <w:t xml:space="preserve"> includes ensuring decent conditions at work, including equal access to workplace entitlements and equal pay, dismantling the barriers to women equal progression and access to leadership positions, freedom from violence, discrimination and harassment and enabling conditions for women’s collective action and voice in decision-making.</w:t>
      </w:r>
    </w:p>
    <w:p w:rsidR="00665645" w:rsidRPr="00665645" w:rsidRDefault="00665645" w:rsidP="00D1500A">
      <w:pPr>
        <w:spacing w:after="120" w:line="240" w:lineRule="auto"/>
        <w:rPr>
          <w:rFonts w:ascii="Times New Roman" w:hAnsi="Times New Roman" w:cs="Times New Roman"/>
          <w:sz w:val="24"/>
          <w:szCs w:val="24"/>
          <w:lang w:val="en-AU"/>
        </w:rPr>
      </w:pPr>
      <w:r w:rsidRPr="00665645">
        <w:rPr>
          <w:rFonts w:ascii="Times New Roman" w:hAnsi="Times New Roman" w:cs="Times New Roman"/>
          <w:sz w:val="24"/>
          <w:szCs w:val="24"/>
          <w:lang w:val="en-AU"/>
        </w:rPr>
        <w:t>The context for women’s rights in the world of work is shifting dramatically – especially through technological change – but also through significant demographic change and continued globalization.</w:t>
      </w:r>
      <w:r w:rsidR="0072065A">
        <w:rPr>
          <w:rStyle w:val="FootnoteReference"/>
          <w:rFonts w:ascii="Times New Roman" w:hAnsi="Times New Roman" w:cs="Times New Roman"/>
          <w:sz w:val="24"/>
          <w:szCs w:val="24"/>
          <w:lang w:val="en-AU"/>
        </w:rPr>
        <w:footnoteReference w:id="9"/>
      </w:r>
      <w:r w:rsidRPr="00665645">
        <w:rPr>
          <w:rFonts w:ascii="Times New Roman" w:hAnsi="Times New Roman" w:cs="Times New Roman"/>
          <w:sz w:val="24"/>
          <w:szCs w:val="24"/>
          <w:lang w:val="en-AU"/>
        </w:rPr>
        <w:t xml:space="preserve"> The sheer scale and velocity of these changes are unprecedented, and they are occurring against a backdrop of an increasing focus on creating a sustainable future. History indicates that no industrial or technological change has been gender-neutral.</w:t>
      </w:r>
    </w:p>
    <w:p w:rsidR="00665645" w:rsidRDefault="00665645" w:rsidP="004D02D4">
      <w:pPr>
        <w:spacing w:after="120" w:line="240" w:lineRule="auto"/>
        <w:rPr>
          <w:rFonts w:ascii="Times New Roman" w:hAnsi="Times New Roman" w:cs="Times New Roman"/>
          <w:sz w:val="24"/>
          <w:szCs w:val="24"/>
          <w:lang w:val="en-AU"/>
        </w:rPr>
      </w:pPr>
      <w:r w:rsidRPr="00665645">
        <w:rPr>
          <w:rFonts w:ascii="Times New Roman" w:hAnsi="Times New Roman" w:cs="Times New Roman"/>
          <w:sz w:val="24"/>
          <w:szCs w:val="24"/>
          <w:lang w:val="en-AU"/>
        </w:rPr>
        <w:t xml:space="preserve">At the same time as technological and demographic changes, the increasing level of backlash and resistance to women’s rights across different parts of the world is also influencing women’s rights at work. Growing conservatism and extremism often seek to misuse interpretations of ‘religion’, ‘tradition’ and ‘culture’ to challenge gender equality and women’s rights and reinforce traditional gender roles, particularly in relation to the gender roles in the family and women’s sexual and reproductive health and rights. In some contexts, the concept of gender is being challenged by women’s rights and misleadingly characterized </w:t>
      </w:r>
      <w:r w:rsidRPr="00665645">
        <w:rPr>
          <w:rFonts w:ascii="Times New Roman" w:hAnsi="Times New Roman" w:cs="Times New Roman"/>
          <w:sz w:val="24"/>
          <w:szCs w:val="24"/>
          <w:lang w:val="en-AU"/>
        </w:rPr>
        <w:lastRenderedPageBreak/>
        <w:t>as an “ideology” that is opposed to family values. Such forces can serve to deny women’s access to education and economic opportunities, including their right to work.</w:t>
      </w:r>
    </w:p>
    <w:p w:rsidR="00883666" w:rsidRDefault="009230D4" w:rsidP="004D02D4">
      <w:pPr>
        <w:spacing w:after="120" w:line="240" w:lineRule="auto"/>
        <w:rPr>
          <w:rFonts w:ascii="Times New Roman" w:hAnsi="Times New Roman" w:cs="Times New Roman"/>
          <w:sz w:val="24"/>
          <w:szCs w:val="24"/>
          <w:lang w:val="en-AU"/>
        </w:rPr>
      </w:pPr>
      <w:r w:rsidRPr="009230D4">
        <w:rPr>
          <w:rFonts w:ascii="Times New Roman" w:hAnsi="Times New Roman" w:cs="Times New Roman"/>
          <w:sz w:val="24"/>
          <w:szCs w:val="24"/>
          <w:lang w:val="en-AU"/>
        </w:rPr>
        <w:t>Dominant economic models, based on financial liberalization and weak regulation, combined with boom and bust cycles geared to short-term profits, have created a global economy marked by uncertainty, increased vulnerability and deepening inequalities. The changing structure of work over recent decades has also created new vulnerabilities due to fissuring of the workplace through increased global supply chains, sub-contracting and the use of flexible forms of labour. Such trends present challenges for women’s collective action and organising which is crucial for the protection of women’s rights in relation to work.</w:t>
      </w:r>
    </w:p>
    <w:p w:rsidR="001C703D" w:rsidRPr="001C703D" w:rsidRDefault="001C703D" w:rsidP="004D02D4">
      <w:pPr>
        <w:spacing w:after="120" w:line="240" w:lineRule="auto"/>
        <w:rPr>
          <w:rFonts w:ascii="Times New Roman" w:hAnsi="Times New Roman" w:cs="Times New Roman"/>
          <w:sz w:val="24"/>
          <w:szCs w:val="24"/>
          <w:lang w:val="en-AU"/>
        </w:rPr>
      </w:pPr>
      <w:r w:rsidRPr="001C703D">
        <w:rPr>
          <w:rFonts w:ascii="Times New Roman" w:hAnsi="Times New Roman" w:cs="Times New Roman"/>
          <w:sz w:val="24"/>
          <w:szCs w:val="24"/>
          <w:lang w:val="en-AU"/>
        </w:rPr>
        <w:t>If existing gender inequalities are not addressed and new threats not fully assessed, there is significant danger that gender inequalities will not only be replicated but amplified in the future world of work. Creating a world of work where women benefit and contribute on an equal basis to men requires recasting the structure of work and the economy with women’s human rights at the centre.</w:t>
      </w:r>
    </w:p>
    <w:p w:rsidR="001C703D" w:rsidRDefault="001C703D" w:rsidP="004D02D4">
      <w:pPr>
        <w:spacing w:after="120" w:line="240" w:lineRule="auto"/>
        <w:rPr>
          <w:rFonts w:ascii="Times New Roman" w:hAnsi="Times New Roman" w:cs="Times New Roman"/>
          <w:sz w:val="24"/>
          <w:szCs w:val="24"/>
          <w:lang w:val="en-AU"/>
        </w:rPr>
      </w:pPr>
      <w:r w:rsidRPr="001C703D">
        <w:rPr>
          <w:rFonts w:ascii="Times New Roman" w:hAnsi="Times New Roman" w:cs="Times New Roman"/>
          <w:sz w:val="24"/>
          <w:szCs w:val="24"/>
          <w:lang w:val="en-AU"/>
        </w:rPr>
        <w:t>Against this background, the report will examine several mega-trends that will impact women’s human rights in relation to work in the future, building on the key themed identified by the ILO Commission on the Future of Work.</w:t>
      </w:r>
      <w:r>
        <w:rPr>
          <w:rStyle w:val="FootnoteReference"/>
          <w:rFonts w:ascii="Times New Roman" w:hAnsi="Times New Roman" w:cs="Times New Roman"/>
          <w:sz w:val="24"/>
          <w:szCs w:val="24"/>
          <w:lang w:val="en-AU"/>
        </w:rPr>
        <w:footnoteReference w:id="10"/>
      </w:r>
    </w:p>
    <w:p w:rsidR="00336FD8" w:rsidRDefault="00336FD8" w:rsidP="00786412">
      <w:pPr>
        <w:spacing w:after="120" w:line="240" w:lineRule="auto"/>
        <w:jc w:val="both"/>
        <w:rPr>
          <w:rFonts w:ascii="Times New Roman" w:hAnsi="Times New Roman" w:cs="Times New Roman"/>
          <w:color w:val="000000"/>
          <w:sz w:val="24"/>
          <w:szCs w:val="24"/>
          <w:lang w:eastAsia="en-AU"/>
        </w:rPr>
      </w:pPr>
      <w:r w:rsidRPr="00336FD8">
        <w:rPr>
          <w:rFonts w:ascii="Times New Roman" w:hAnsi="Times New Roman" w:cs="Times New Roman"/>
          <w:b/>
          <w:color w:val="000000"/>
          <w:sz w:val="24"/>
          <w:szCs w:val="24"/>
          <w:lang w:eastAsia="en-AU"/>
        </w:rPr>
        <w:t>Technological change</w:t>
      </w:r>
      <w:r w:rsidRPr="00336FD8">
        <w:rPr>
          <w:rFonts w:ascii="Times New Roman" w:hAnsi="Times New Roman" w:cs="Times New Roman"/>
          <w:color w:val="000000"/>
          <w:sz w:val="24"/>
          <w:szCs w:val="24"/>
          <w:lang w:eastAsia="en-AU"/>
        </w:rPr>
        <w:t xml:space="preserve"> is driving significant change in the world of work with increasing access to information and communication technologies, artificial intelligence, robotics, machine learning and automation. There are significant implications for women’s access to work, the kinds of jobs available to women, and their rights at work. Increasing women’s access to ICT has been found to enable access to markets and information for women entrepreneurs. Yet, the digital divide continues to negatively impact on the most marginalized women and new technologies have also opened up new spaces for violence and harassment against women.</w:t>
      </w:r>
    </w:p>
    <w:p w:rsidR="00232EAC" w:rsidRPr="00232EAC" w:rsidRDefault="00336FD8" w:rsidP="00232EAC">
      <w:pPr>
        <w:spacing w:after="120" w:line="240" w:lineRule="auto"/>
        <w:rPr>
          <w:rFonts w:ascii="Times New Roman" w:hAnsi="Times New Roman" w:cs="Times New Roman"/>
          <w:sz w:val="24"/>
          <w:szCs w:val="24"/>
        </w:rPr>
      </w:pPr>
      <w:r w:rsidRPr="00336FD8">
        <w:rPr>
          <w:rFonts w:ascii="Times New Roman" w:hAnsi="Times New Roman" w:cs="Times New Roman"/>
          <w:color w:val="000000"/>
          <w:sz w:val="24"/>
          <w:szCs w:val="24"/>
          <w:lang w:eastAsia="en-AU"/>
        </w:rPr>
        <w:t xml:space="preserve">There are divergent views on how automation will impact on women’s jobs, with variation across regions and countries. Based on US data, a 2018 </w:t>
      </w:r>
      <w:r w:rsidRPr="00336FD8">
        <w:rPr>
          <w:rFonts w:ascii="Times New Roman" w:hAnsi="Times New Roman" w:cs="Times New Roman"/>
          <w:sz w:val="24"/>
          <w:szCs w:val="24"/>
        </w:rPr>
        <w:t>World Economic Forum report found that 1.4 million US jobs will be at risk by 2026,</w:t>
      </w:r>
      <w:r w:rsidR="00232EAC">
        <w:rPr>
          <w:rFonts w:ascii="Times New Roman" w:hAnsi="Times New Roman" w:cs="Times New Roman"/>
          <w:sz w:val="24"/>
          <w:szCs w:val="24"/>
        </w:rPr>
        <w:t xml:space="preserve"> </w:t>
      </w:r>
      <w:r w:rsidR="00232EAC" w:rsidRPr="00232EAC">
        <w:rPr>
          <w:rFonts w:ascii="Times New Roman" w:hAnsi="Times New Roman" w:cs="Times New Roman"/>
          <w:sz w:val="24"/>
          <w:szCs w:val="24"/>
        </w:rPr>
        <w:t>and 57% of these jobs are currently performed by women.</w:t>
      </w:r>
      <w:r w:rsidR="00232EAC" w:rsidRPr="00232EAC">
        <w:rPr>
          <w:rFonts w:ascii="Times New Roman" w:hAnsi="Times New Roman" w:cs="Times New Roman"/>
          <w:sz w:val="24"/>
          <w:szCs w:val="24"/>
          <w:vertAlign w:val="superscript"/>
        </w:rPr>
        <w:footnoteReference w:id="11"/>
      </w:r>
      <w:r w:rsidR="00232EAC" w:rsidRPr="00232EAC">
        <w:rPr>
          <w:rFonts w:ascii="Times New Roman" w:hAnsi="Times New Roman" w:cs="Times New Roman"/>
          <w:sz w:val="24"/>
          <w:szCs w:val="24"/>
          <w:lang w:val="en-AU"/>
        </w:rPr>
        <w:t xml:space="preserve"> In ASEAN countries, women represent the majority in occupations that are likely to be automated and are thus more likely to become unemployed than men.</w:t>
      </w:r>
      <w:r w:rsidR="00232EAC" w:rsidRPr="00232EAC">
        <w:rPr>
          <w:rFonts w:ascii="Times New Roman" w:hAnsi="Times New Roman" w:cs="Times New Roman"/>
          <w:sz w:val="24"/>
          <w:szCs w:val="24"/>
          <w:vertAlign w:val="superscript"/>
          <w:lang w:val="en-AU"/>
        </w:rPr>
        <w:footnoteReference w:id="12"/>
      </w:r>
      <w:r w:rsidR="00232EAC" w:rsidRPr="00232EAC">
        <w:rPr>
          <w:rFonts w:ascii="Times New Roman" w:hAnsi="Times New Roman" w:cs="Times New Roman"/>
          <w:sz w:val="24"/>
          <w:szCs w:val="24"/>
          <w:lang w:val="en-AU"/>
        </w:rPr>
        <w:t xml:space="preserve"> However, in Argentina, women’s jobs face an automation probability of 61.3 per cent, while for men it stands at 66.1 per cent.</w:t>
      </w:r>
      <w:r w:rsidR="00232EAC" w:rsidRPr="00232EAC">
        <w:rPr>
          <w:rFonts w:ascii="Times New Roman" w:hAnsi="Times New Roman" w:cs="Times New Roman"/>
          <w:sz w:val="24"/>
          <w:szCs w:val="24"/>
          <w:vertAlign w:val="superscript"/>
          <w:lang w:val="en-AU"/>
        </w:rPr>
        <w:footnoteReference w:id="13"/>
      </w:r>
      <w:r w:rsidR="00232EAC" w:rsidRPr="00232EAC">
        <w:rPr>
          <w:rFonts w:ascii="Times New Roman" w:hAnsi="Times New Roman" w:cs="Times New Roman"/>
          <w:sz w:val="24"/>
          <w:szCs w:val="24"/>
          <w:lang w:val="en-AU"/>
        </w:rPr>
        <w:t xml:space="preserve"> </w:t>
      </w:r>
      <w:r w:rsidR="00232EAC" w:rsidRPr="00232EAC">
        <w:rPr>
          <w:rFonts w:ascii="Times New Roman" w:hAnsi="Times New Roman" w:cs="Times New Roman"/>
          <w:sz w:val="24"/>
          <w:szCs w:val="24"/>
        </w:rPr>
        <w:t>A key challenge in a future of tech-driven job creation is women’s underrepresentation in STEM education which limits their access to jobs in high-growth and high-paid areas.</w:t>
      </w:r>
      <w:r w:rsidR="00232EAC" w:rsidRPr="00232EAC">
        <w:rPr>
          <w:rFonts w:ascii="Times New Roman" w:hAnsi="Times New Roman" w:cs="Times New Roman"/>
          <w:sz w:val="24"/>
          <w:szCs w:val="24"/>
          <w:vertAlign w:val="superscript"/>
        </w:rPr>
        <w:footnoteReference w:id="14"/>
      </w:r>
      <w:r w:rsidR="00232EAC" w:rsidRPr="00232EAC">
        <w:rPr>
          <w:rFonts w:ascii="Times New Roman" w:hAnsi="Times New Roman" w:cs="Times New Roman"/>
          <w:sz w:val="24"/>
          <w:szCs w:val="24"/>
        </w:rPr>
        <w:t xml:space="preserve"> </w:t>
      </w:r>
    </w:p>
    <w:p w:rsidR="00232EAC" w:rsidRPr="00232EAC" w:rsidRDefault="00232EAC" w:rsidP="00E64C01">
      <w:pPr>
        <w:spacing w:after="120" w:line="240" w:lineRule="auto"/>
        <w:rPr>
          <w:rFonts w:ascii="Times New Roman" w:hAnsi="Times New Roman" w:cs="Times New Roman"/>
          <w:sz w:val="24"/>
          <w:szCs w:val="24"/>
          <w:lang w:val="en-AU"/>
        </w:rPr>
      </w:pPr>
      <w:r w:rsidRPr="00232EAC">
        <w:rPr>
          <w:rFonts w:ascii="Times New Roman" w:hAnsi="Times New Roman" w:cs="Times New Roman"/>
          <w:sz w:val="24"/>
          <w:szCs w:val="24"/>
          <w:lang w:val="en-AU"/>
        </w:rPr>
        <w:t>Technological change is also shifting the type of work available, with a growth of jobs in the ‘gig’ or ‘on-demand’ economy.</w:t>
      </w:r>
      <w:r w:rsidRPr="00232EAC">
        <w:rPr>
          <w:rFonts w:ascii="Times New Roman" w:hAnsi="Times New Roman" w:cs="Times New Roman"/>
          <w:sz w:val="24"/>
          <w:szCs w:val="24"/>
          <w:vertAlign w:val="superscript"/>
          <w:lang w:val="en-AU"/>
        </w:rPr>
        <w:footnoteReference w:id="15"/>
      </w:r>
      <w:r w:rsidRPr="00232EAC">
        <w:rPr>
          <w:rFonts w:ascii="Times New Roman" w:hAnsi="Times New Roman" w:cs="Times New Roman"/>
          <w:sz w:val="24"/>
          <w:szCs w:val="24"/>
          <w:lang w:val="en-AU"/>
        </w:rPr>
        <w:t xml:space="preserve"> While these jobs may offer flexibility, they are insecure and most often do not offer the workplace entitlements and access social protection as decent work.</w:t>
      </w:r>
      <w:r w:rsidRPr="00232EAC">
        <w:rPr>
          <w:rFonts w:ascii="Times New Roman" w:hAnsi="Times New Roman" w:cs="Times New Roman"/>
          <w:sz w:val="24"/>
          <w:szCs w:val="24"/>
          <w:vertAlign w:val="superscript"/>
          <w:lang w:val="en-AU"/>
        </w:rPr>
        <w:footnoteReference w:id="16"/>
      </w:r>
      <w:r w:rsidRPr="00232EAC">
        <w:rPr>
          <w:rFonts w:ascii="Times New Roman" w:hAnsi="Times New Roman" w:cs="Times New Roman"/>
          <w:sz w:val="24"/>
          <w:szCs w:val="24"/>
          <w:lang w:val="en-AU"/>
        </w:rPr>
        <w:t xml:space="preserve"> More broadly, informal work is expected to grow in the future, which presents significant challenges for access to social protection and women’s economic security.</w:t>
      </w:r>
    </w:p>
    <w:p w:rsidR="00E64C01" w:rsidRDefault="00E64C01" w:rsidP="00E64C01">
      <w:pPr>
        <w:spacing w:after="120"/>
        <w:jc w:val="both"/>
        <w:rPr>
          <w:rFonts w:ascii="Times New Roman" w:eastAsia="Times New Roman" w:hAnsi="Times New Roman" w:cs="Times New Roman"/>
          <w:color w:val="000000"/>
          <w:sz w:val="24"/>
          <w:szCs w:val="24"/>
          <w:lang w:val="en-AU" w:eastAsia="en-AU"/>
        </w:rPr>
      </w:pPr>
      <w:r w:rsidRPr="00E64C01">
        <w:rPr>
          <w:rFonts w:ascii="Times New Roman" w:eastAsia="Times New Roman" w:hAnsi="Times New Roman" w:cs="Times New Roman"/>
          <w:b/>
          <w:color w:val="000000"/>
          <w:sz w:val="24"/>
          <w:szCs w:val="24"/>
          <w:lang w:val="en-AU" w:eastAsia="en-AU"/>
        </w:rPr>
        <w:lastRenderedPageBreak/>
        <w:t>Demographic change</w:t>
      </w:r>
      <w:r w:rsidRPr="00E64C01">
        <w:rPr>
          <w:rFonts w:ascii="Times New Roman" w:eastAsia="Times New Roman" w:hAnsi="Times New Roman" w:cs="Times New Roman"/>
          <w:color w:val="000000"/>
          <w:sz w:val="24"/>
          <w:szCs w:val="24"/>
          <w:lang w:val="en-AU" w:eastAsia="en-AU"/>
        </w:rPr>
        <w:t xml:space="preserve"> is also continuing to transform the world of work in different ways. Developed country populations are ageing with low fertility rates, while developing country populations have growing youth populations, often referred to as the ‘youth bulge’.</w:t>
      </w:r>
      <w:r w:rsidRPr="00E64C01">
        <w:rPr>
          <w:rStyle w:val="FootnoteReference"/>
          <w:rFonts w:ascii="Times New Roman" w:eastAsia="Times New Roman" w:hAnsi="Times New Roman" w:cs="Times New Roman"/>
          <w:color w:val="000000"/>
          <w:sz w:val="24"/>
          <w:szCs w:val="24"/>
          <w:lang w:val="en-AU" w:eastAsia="en-AU"/>
        </w:rPr>
        <w:footnoteReference w:id="17"/>
      </w:r>
      <w:r w:rsidRPr="00E64C01">
        <w:rPr>
          <w:rFonts w:ascii="Times New Roman" w:eastAsia="Times New Roman" w:hAnsi="Times New Roman" w:cs="Times New Roman"/>
          <w:color w:val="000000"/>
          <w:sz w:val="24"/>
          <w:szCs w:val="24"/>
          <w:lang w:val="en-AU" w:eastAsia="en-AU"/>
        </w:rPr>
        <w:t xml:space="preserve"> Ageing populations have significant implications for gender equality. Women’s poverty in old age is a major concern, stemming from their lack of access to social protection, low participation in paid work over the lifecycle, gender pay gap and lower likelihood of asset ownership. An ageing population will also increase the demand for care, both unpaid care work as well as paid care workers, with significant gender implications. Currently, nearly 1 in 5 women in paid jobs are employed by the care sector.</w:t>
      </w:r>
      <w:r w:rsidRPr="00E64C01">
        <w:rPr>
          <w:rStyle w:val="FootnoteReference"/>
          <w:rFonts w:ascii="Times New Roman" w:eastAsia="Times New Roman" w:hAnsi="Times New Roman" w:cs="Times New Roman"/>
          <w:color w:val="000000"/>
          <w:sz w:val="24"/>
          <w:szCs w:val="24"/>
          <w:lang w:val="en-AU" w:eastAsia="en-AU"/>
        </w:rPr>
        <w:footnoteReference w:id="18"/>
      </w:r>
      <w:r w:rsidRPr="00E64C01">
        <w:rPr>
          <w:rFonts w:ascii="Times New Roman" w:eastAsia="Times New Roman" w:hAnsi="Times New Roman" w:cs="Times New Roman"/>
          <w:color w:val="000000"/>
          <w:sz w:val="24"/>
          <w:szCs w:val="24"/>
          <w:lang w:val="en-AU" w:eastAsia="en-AU"/>
        </w:rPr>
        <w:t xml:space="preserve"> The growth of jobs in the care sector will create increasing opportunities for women’s employment, however the key concern is the quality and conditions of these jobs as well as the risk of another layer of women care workers being exploited to sustain the participation of those for women paid opportunities open us (the ‘global care chain’).</w:t>
      </w:r>
    </w:p>
    <w:p w:rsidR="00504B95" w:rsidRDefault="00E64C01" w:rsidP="007D1FAB">
      <w:pPr>
        <w:pStyle w:val="CommentText"/>
        <w:spacing w:after="120"/>
        <w:jc w:val="both"/>
        <w:rPr>
          <w:rFonts w:ascii="Times New Roman" w:hAnsi="Times New Roman" w:cs="Times New Roman"/>
          <w:sz w:val="24"/>
          <w:szCs w:val="24"/>
        </w:rPr>
      </w:pPr>
      <w:r w:rsidRPr="00E64C01">
        <w:rPr>
          <w:rFonts w:ascii="Times New Roman" w:hAnsi="Times New Roman" w:cs="Times New Roman"/>
          <w:b/>
          <w:color w:val="000000"/>
          <w:sz w:val="24"/>
          <w:szCs w:val="24"/>
          <w:lang w:eastAsia="en-AU"/>
        </w:rPr>
        <w:t xml:space="preserve">Globalization </w:t>
      </w:r>
      <w:r w:rsidRPr="00E64C01">
        <w:rPr>
          <w:rFonts w:ascii="Times New Roman" w:hAnsi="Times New Roman" w:cs="Times New Roman"/>
          <w:color w:val="000000"/>
          <w:sz w:val="24"/>
          <w:szCs w:val="24"/>
          <w:lang w:eastAsia="en-AU"/>
        </w:rPr>
        <w:t>is characterized by increasing trends of human, financial, economic, technological transactions and communications across countries and regions. In developing countries, the growing prominence of export-led growth, for example through the creation of export processing zones and industrial</w:t>
      </w:r>
      <w:r w:rsidR="00504B95">
        <w:rPr>
          <w:rFonts w:ascii="Times New Roman" w:hAnsi="Times New Roman" w:cs="Times New Roman"/>
          <w:color w:val="000000"/>
          <w:sz w:val="24"/>
          <w:szCs w:val="24"/>
          <w:lang w:eastAsia="en-AU"/>
        </w:rPr>
        <w:t xml:space="preserve"> </w:t>
      </w:r>
      <w:r w:rsidR="00504B95" w:rsidRPr="004F49F1">
        <w:rPr>
          <w:rFonts w:ascii="Times New Roman" w:hAnsi="Times New Roman" w:cs="Times New Roman"/>
          <w:color w:val="000000"/>
          <w:sz w:val="24"/>
          <w:szCs w:val="24"/>
          <w:lang w:eastAsia="en-AU"/>
        </w:rPr>
        <w:t xml:space="preserve">zones, have not necessarily created decent work, with new employment generally being more insecure and precarious. </w:t>
      </w:r>
      <w:r w:rsidR="00504B95" w:rsidRPr="004F49F1">
        <w:rPr>
          <w:rFonts w:ascii="Times New Roman" w:hAnsi="Times New Roman" w:cs="Times New Roman"/>
          <w:sz w:val="24"/>
          <w:szCs w:val="24"/>
        </w:rPr>
        <w:t>For example, recent years have seen large numbers of women in developing countries employed in assembly manufacturing in export processing zones, areas in which labour and environmental standards may not apply in full or remain unenforced, leaving women vulnerable to poor working conditions.</w:t>
      </w:r>
      <w:r w:rsidR="00504B95" w:rsidRPr="004F49F1">
        <w:rPr>
          <w:rFonts w:ascii="Times New Roman" w:hAnsi="Times New Roman" w:cs="Times New Roman"/>
          <w:sz w:val="24"/>
          <w:szCs w:val="24"/>
          <w:vertAlign w:val="superscript"/>
        </w:rPr>
        <w:footnoteReference w:id="19"/>
      </w:r>
    </w:p>
    <w:p w:rsidR="00504B95" w:rsidRDefault="00504B95" w:rsidP="002C1223">
      <w:pPr>
        <w:pStyle w:val="CommentText"/>
        <w:spacing w:after="120"/>
        <w:jc w:val="both"/>
        <w:rPr>
          <w:rFonts w:ascii="Times New Roman" w:hAnsi="Times New Roman" w:cs="Times New Roman"/>
          <w:color w:val="000000"/>
          <w:sz w:val="24"/>
          <w:szCs w:val="24"/>
          <w:lang w:eastAsia="en-AU"/>
        </w:rPr>
      </w:pPr>
      <w:r w:rsidRPr="004F49F1">
        <w:rPr>
          <w:rFonts w:ascii="Times New Roman" w:hAnsi="Times New Roman" w:cs="Times New Roman"/>
          <w:color w:val="000000"/>
          <w:sz w:val="24"/>
          <w:szCs w:val="24"/>
          <w:lang w:eastAsia="en-AU"/>
        </w:rPr>
        <w:t>Relaxed labour and environmental regulations in some countries have created a context where some multinational corporations have engaged in a ‘race to the bottom’ in search for countries where the requirements to ensure safe, fair and decent conditions of work are less stringent.  Governments have also sought to provide cheap labour with little attention to safety and environmental standards to multi-national corporations in an effort to attract investments. A devastating example is the Rana Plaza factory collapse in 2013 which killed over 1000 people due to unsafe work conditions. While globalization will inevitably continue, with emerging shifts such the increasing outsourcing of the services sector to developing countries, a focus on decent work conditions with respect for labour and environmental standards will be critical for women’s enjoyment of human rights at work.</w:t>
      </w:r>
    </w:p>
    <w:p w:rsidR="00F77AA4" w:rsidRDefault="004D1212" w:rsidP="003D4D59">
      <w:pPr>
        <w:pStyle w:val="CommentText"/>
        <w:spacing w:after="120"/>
        <w:jc w:val="both"/>
        <w:rPr>
          <w:rFonts w:ascii="Times New Roman" w:hAnsi="Times New Roman" w:cs="Times New Roman"/>
          <w:color w:val="000000"/>
          <w:sz w:val="24"/>
          <w:szCs w:val="24"/>
          <w:lang w:eastAsia="en-AU"/>
        </w:rPr>
      </w:pPr>
      <w:r w:rsidRPr="004D1212">
        <w:rPr>
          <w:rFonts w:ascii="Times New Roman" w:hAnsi="Times New Roman" w:cs="Times New Roman"/>
          <w:b/>
          <w:color w:val="000000"/>
          <w:sz w:val="24"/>
          <w:szCs w:val="24"/>
          <w:lang w:eastAsia="en-AU"/>
        </w:rPr>
        <w:t>Sustainability</w:t>
      </w:r>
      <w:r w:rsidRPr="004D1212">
        <w:rPr>
          <w:rFonts w:ascii="Times New Roman" w:hAnsi="Times New Roman" w:cs="Times New Roman"/>
          <w:color w:val="000000"/>
          <w:sz w:val="24"/>
          <w:szCs w:val="24"/>
          <w:lang w:eastAsia="en-AU"/>
        </w:rPr>
        <w:t xml:space="preserve"> and just transitions are critical for the changing world of work. Unsustainable patterns of development and environmental degradation disproportionately affect low-income countries and vulnerable populations, while intensifying</w:t>
      </w:r>
      <w:r w:rsidR="00F77AA4">
        <w:rPr>
          <w:rFonts w:ascii="Times New Roman" w:hAnsi="Times New Roman" w:cs="Times New Roman"/>
          <w:color w:val="000000"/>
          <w:sz w:val="24"/>
          <w:szCs w:val="24"/>
          <w:lang w:eastAsia="en-AU"/>
        </w:rPr>
        <w:t xml:space="preserve"> </w:t>
      </w:r>
      <w:r w:rsidR="00F77AA4" w:rsidRPr="00F77AA4">
        <w:rPr>
          <w:rFonts w:ascii="Times New Roman" w:hAnsi="Times New Roman" w:cs="Times New Roman"/>
          <w:color w:val="000000"/>
          <w:sz w:val="24"/>
          <w:szCs w:val="24"/>
          <w:lang w:eastAsia="en-AU"/>
        </w:rPr>
        <w:t>gender inequalities because women and girls are often disproportionately affected by economic, social and environmental shocks and stresses. The future of work and livelihoods must be premised on inclusive patterns of development that reduce inequalities, deliver economic justice and are also environmentally sustainable.</w:t>
      </w:r>
      <w:r w:rsidR="00F77AA4" w:rsidRPr="00F77AA4">
        <w:rPr>
          <w:rFonts w:ascii="Times New Roman" w:hAnsi="Times New Roman" w:cs="Times New Roman"/>
          <w:color w:val="000000"/>
          <w:sz w:val="24"/>
          <w:szCs w:val="24"/>
          <w:vertAlign w:val="superscript"/>
          <w:lang w:eastAsia="en-AU"/>
        </w:rPr>
        <w:footnoteReference w:id="20"/>
      </w:r>
    </w:p>
    <w:p w:rsidR="00F77AA4" w:rsidRDefault="00F77AA4" w:rsidP="003D4D59">
      <w:pPr>
        <w:pStyle w:val="CommentText"/>
        <w:spacing w:after="120"/>
        <w:jc w:val="both"/>
        <w:rPr>
          <w:rFonts w:ascii="Times New Roman" w:hAnsi="Times New Roman" w:cs="Times New Roman"/>
          <w:color w:val="000000"/>
          <w:sz w:val="24"/>
          <w:szCs w:val="24"/>
          <w:lang w:eastAsia="en-AU"/>
        </w:rPr>
      </w:pPr>
      <w:r w:rsidRPr="00F77AA4">
        <w:rPr>
          <w:rFonts w:ascii="Times New Roman" w:hAnsi="Times New Roman" w:cs="Times New Roman"/>
          <w:color w:val="000000"/>
          <w:sz w:val="24"/>
          <w:szCs w:val="24"/>
          <w:lang w:eastAsia="en-AU"/>
        </w:rPr>
        <w:lastRenderedPageBreak/>
        <w:t>Women often play an important role, particularly in developing countries, in the conservation of the natural environment.</w:t>
      </w:r>
      <w:r w:rsidRPr="00F77AA4">
        <w:rPr>
          <w:rFonts w:ascii="Times New Roman" w:hAnsi="Times New Roman" w:cs="Times New Roman"/>
          <w:color w:val="000000"/>
          <w:sz w:val="24"/>
          <w:szCs w:val="24"/>
          <w:vertAlign w:val="superscript"/>
          <w:lang w:eastAsia="en-AU"/>
        </w:rPr>
        <w:footnoteReference w:id="21"/>
      </w:r>
      <w:r w:rsidRPr="00F77AA4">
        <w:rPr>
          <w:rFonts w:ascii="Times New Roman" w:hAnsi="Times New Roman" w:cs="Times New Roman"/>
          <w:color w:val="000000"/>
          <w:sz w:val="24"/>
          <w:szCs w:val="24"/>
          <w:lang w:eastAsia="en-AU"/>
        </w:rPr>
        <w:t xml:space="preserve"> The growth of movements around gender equality and environmental issues is an important development in recent decades. One example includes movements advancing the rights of women peasant farmers which are simultaneously focussed on promoting a vision of small-scale peasant farming based on ecological conservation and food sovereignty while also calling for women’s equal access to and control over land, agricultural inputs and natural resources.</w:t>
      </w:r>
      <w:r w:rsidRPr="00F77AA4">
        <w:rPr>
          <w:rFonts w:ascii="Times New Roman" w:hAnsi="Times New Roman" w:cs="Times New Roman"/>
          <w:color w:val="000000"/>
          <w:sz w:val="24"/>
          <w:szCs w:val="24"/>
          <w:vertAlign w:val="superscript"/>
          <w:lang w:eastAsia="en-AU"/>
        </w:rPr>
        <w:footnoteReference w:id="22"/>
      </w:r>
    </w:p>
    <w:p w:rsidR="002C1223" w:rsidRDefault="00F77AA4" w:rsidP="00DF5F6D">
      <w:pPr>
        <w:pStyle w:val="CommentText"/>
        <w:spacing w:after="360"/>
        <w:jc w:val="both"/>
        <w:rPr>
          <w:rFonts w:ascii="Times New Roman" w:hAnsi="Times New Roman" w:cs="Times New Roman"/>
          <w:color w:val="000000"/>
          <w:sz w:val="24"/>
          <w:szCs w:val="24"/>
          <w:lang w:eastAsia="en-AU"/>
        </w:rPr>
      </w:pPr>
      <w:r w:rsidRPr="00F77AA4">
        <w:rPr>
          <w:rFonts w:ascii="Times New Roman" w:hAnsi="Times New Roman" w:cs="Times New Roman"/>
          <w:color w:val="000000"/>
          <w:sz w:val="24"/>
          <w:szCs w:val="24"/>
          <w:lang w:eastAsia="en-AU"/>
        </w:rPr>
        <w:t>However, given the focus on the creation of new jobs in the green economy, there is limited evidence on the extent to which women will benefit from new jobs created, and the extent to which women are benefitting from skills development and education in these areas. In developing countries, women are</w:t>
      </w:r>
      <w:r w:rsidR="003D4D59">
        <w:rPr>
          <w:rFonts w:ascii="Times New Roman" w:hAnsi="Times New Roman" w:cs="Times New Roman"/>
          <w:color w:val="000000"/>
          <w:sz w:val="24"/>
          <w:szCs w:val="24"/>
          <w:lang w:eastAsia="en-AU"/>
        </w:rPr>
        <w:t xml:space="preserve"> </w:t>
      </w:r>
      <w:r w:rsidR="00CC058C" w:rsidRPr="00CC058C">
        <w:rPr>
          <w:rFonts w:ascii="Times New Roman" w:hAnsi="Times New Roman" w:cs="Times New Roman"/>
          <w:color w:val="000000"/>
          <w:sz w:val="24"/>
          <w:szCs w:val="24"/>
          <w:lang w:eastAsia="en-AU"/>
        </w:rPr>
        <w:t>highly concentrated in low-paid and insecure green jobs, for instance as informal workers in waste collection and recycling. Such jobs are often under risk due to technological advances. Furthermore, with continued investment in extractive industries, the consequences of exploitative extractive industries on local communities and their livelihoods including the increased risk of poverty and violence for women, as well as violence against women human rights defenders requires focus.</w:t>
      </w:r>
    </w:p>
    <w:p w:rsidR="00DF5F6D" w:rsidRPr="00F77AA4" w:rsidRDefault="00DF5F6D" w:rsidP="00DF5F6D">
      <w:pPr>
        <w:pStyle w:val="CommentText"/>
        <w:spacing w:after="360"/>
        <w:jc w:val="center"/>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___________________________________</w:t>
      </w:r>
    </w:p>
    <w:sectPr w:rsidR="00DF5F6D" w:rsidRPr="00F77AA4" w:rsidSect="00B51EA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D5" w:rsidRDefault="00BF77D5" w:rsidP="00A618F9">
      <w:pPr>
        <w:spacing w:after="0" w:line="240" w:lineRule="auto"/>
      </w:pPr>
      <w:r>
        <w:separator/>
      </w:r>
    </w:p>
  </w:endnote>
  <w:endnote w:type="continuationSeparator" w:id="0">
    <w:p w:rsidR="00BF77D5" w:rsidRDefault="00BF77D5" w:rsidP="00A6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545781"/>
      <w:docPartObj>
        <w:docPartGallery w:val="Page Numbers (Bottom of Page)"/>
        <w:docPartUnique/>
      </w:docPartObj>
    </w:sdtPr>
    <w:sdtEndPr>
      <w:rPr>
        <w:noProof/>
      </w:rPr>
    </w:sdtEndPr>
    <w:sdtContent>
      <w:p w:rsidR="00B51EA7" w:rsidRDefault="00B51EA7">
        <w:pPr>
          <w:pStyle w:val="Footer"/>
          <w:jc w:val="right"/>
        </w:pPr>
        <w:r>
          <w:fldChar w:fldCharType="begin"/>
        </w:r>
        <w:r>
          <w:instrText xml:space="preserve"> PAGE   \* MERGEFORMAT </w:instrText>
        </w:r>
        <w:r>
          <w:fldChar w:fldCharType="separate"/>
        </w:r>
        <w:r w:rsidR="00B179EC">
          <w:rPr>
            <w:noProof/>
          </w:rPr>
          <w:t>4</w:t>
        </w:r>
        <w:r>
          <w:rPr>
            <w:noProof/>
          </w:rPr>
          <w:fldChar w:fldCharType="end"/>
        </w:r>
      </w:p>
    </w:sdtContent>
  </w:sdt>
  <w:p w:rsidR="00B51EA7" w:rsidRDefault="00B51E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D5" w:rsidRDefault="00BF77D5" w:rsidP="00A618F9">
      <w:pPr>
        <w:spacing w:after="0" w:line="240" w:lineRule="auto"/>
      </w:pPr>
      <w:r>
        <w:separator/>
      </w:r>
    </w:p>
  </w:footnote>
  <w:footnote w:type="continuationSeparator" w:id="0">
    <w:p w:rsidR="00BF77D5" w:rsidRDefault="00BF77D5" w:rsidP="00A618F9">
      <w:pPr>
        <w:spacing w:after="0" w:line="240" w:lineRule="auto"/>
      </w:pPr>
      <w:r>
        <w:continuationSeparator/>
      </w:r>
    </w:p>
  </w:footnote>
  <w:footnote w:id="1">
    <w:p w:rsidR="00F0794B" w:rsidRPr="00F0794B" w:rsidRDefault="00F0794B">
      <w:pPr>
        <w:pStyle w:val="FootnoteText"/>
      </w:pPr>
      <w:r>
        <w:rPr>
          <w:rStyle w:val="FootnoteReference"/>
        </w:rPr>
        <w:footnoteRef/>
      </w:r>
      <w:r>
        <w:t xml:space="preserve"> </w:t>
      </w:r>
      <w:r w:rsidRPr="00F0794B">
        <w:rPr>
          <w:rFonts w:ascii="Times New Roman" w:hAnsi="Times New Roman" w:cs="Times New Roman"/>
        </w:rPr>
        <w:t xml:space="preserve">Women in Cyprus in numbers, 7 March 2017, </w:t>
      </w:r>
      <w:hyperlink r:id="rId1" w:history="1">
        <w:r>
          <w:rPr>
            <w:rStyle w:val="Hyperlink"/>
          </w:rPr>
          <w:t>https://www.mof.gov.cy/mof/cystat/statistics.nsf/All/087AAEB07D763D9FC22580D80037A480?OpenDocument&amp;sub=6&amp;sel=1&amp;e=&amp;print</w:t>
        </w:r>
      </w:hyperlink>
      <w:r>
        <w:t xml:space="preserve"> </w:t>
      </w:r>
    </w:p>
  </w:footnote>
  <w:footnote w:id="2">
    <w:p w:rsidR="00F01AD4" w:rsidRPr="00F01AD4" w:rsidRDefault="00F01AD4">
      <w:pPr>
        <w:pStyle w:val="FootnoteText"/>
      </w:pPr>
      <w:r>
        <w:rPr>
          <w:rStyle w:val="FootnoteReference"/>
        </w:rPr>
        <w:footnoteRef/>
      </w:r>
      <w:r>
        <w:t xml:space="preserve"> </w:t>
      </w:r>
      <w:hyperlink r:id="rId2" w:history="1">
        <w:r>
          <w:rPr>
            <w:rStyle w:val="Hyperlink"/>
          </w:rPr>
          <w:t>http://www.cystat.gov.cy/mof/cystat/statistics.nsf/All/5D0DC4F3C36ED5ABC2257DA20033BAEB/$file/LAB-LFS_ADHOC-2018-EL-140918.xls?OpenElement</w:t>
        </w:r>
      </w:hyperlink>
    </w:p>
  </w:footnote>
  <w:footnote w:id="3">
    <w:p w:rsidR="00A618F9" w:rsidRPr="009D7619" w:rsidRDefault="00A618F9" w:rsidP="00A618F9">
      <w:pPr>
        <w:pStyle w:val="FootnoteText"/>
        <w:jc w:val="both"/>
        <w:rPr>
          <w:rFonts w:ascii="Times New Roman" w:hAnsi="Times New Roman" w:cs="Times New Roman"/>
        </w:rPr>
      </w:pPr>
      <w:r>
        <w:rPr>
          <w:rStyle w:val="FootnoteReference"/>
        </w:rPr>
        <w:footnoteRef/>
      </w:r>
      <w:r>
        <w:t xml:space="preserve"> </w:t>
      </w:r>
      <w:r w:rsidRPr="009D7619">
        <w:rPr>
          <w:rFonts w:ascii="Times New Roman" w:hAnsi="Times New Roman" w:cs="Times New Roman"/>
        </w:rPr>
        <w:t>ILO (2018) World Employment and Social Outlook: Trends for Women 2018 – Global snapshot</w:t>
      </w:r>
    </w:p>
    <w:p w:rsidR="00A618F9" w:rsidRPr="00DF5DF7" w:rsidRDefault="00A618F9" w:rsidP="00A618F9">
      <w:pPr>
        <w:pStyle w:val="FootnoteText"/>
        <w:jc w:val="both"/>
        <w:rPr>
          <w:lang w:val="en-AU"/>
        </w:rPr>
      </w:pPr>
      <w:r w:rsidRPr="009D7619">
        <w:rPr>
          <w:rFonts w:ascii="Times New Roman" w:hAnsi="Times New Roman" w:cs="Times New Roman"/>
        </w:rPr>
        <w:t>International Labour Office – Geneva: ILO, 2018</w:t>
      </w:r>
      <w:r w:rsidR="009D7619">
        <w:rPr>
          <w:rFonts w:ascii="Times New Roman" w:hAnsi="Times New Roman" w:cs="Times New Roman"/>
        </w:rPr>
        <w:t>.</w:t>
      </w:r>
    </w:p>
  </w:footnote>
  <w:footnote w:id="4">
    <w:p w:rsidR="00A618F9" w:rsidRPr="00FA1841" w:rsidRDefault="00A618F9" w:rsidP="00A618F9">
      <w:pPr>
        <w:pStyle w:val="FootnoteText"/>
        <w:jc w:val="both"/>
        <w:rPr>
          <w:lang w:val="en-AU"/>
        </w:rPr>
      </w:pPr>
      <w:r>
        <w:rPr>
          <w:rStyle w:val="FootnoteReference"/>
        </w:rPr>
        <w:footnoteRef/>
      </w:r>
      <w:r>
        <w:t xml:space="preserve"> </w:t>
      </w:r>
      <w:r w:rsidRPr="009D7619">
        <w:rPr>
          <w:rFonts w:ascii="Times New Roman" w:hAnsi="Times New Roman" w:cs="Times New Roman"/>
        </w:rPr>
        <w:t>Ibid</w:t>
      </w:r>
      <w:r w:rsidRPr="0076393E">
        <w:t>.</w:t>
      </w:r>
    </w:p>
  </w:footnote>
  <w:footnote w:id="5">
    <w:p w:rsidR="004F58BD" w:rsidRDefault="004F58BD">
      <w:pPr>
        <w:pStyle w:val="FootnoteText"/>
      </w:pPr>
      <w:r>
        <w:rPr>
          <w:rStyle w:val="FootnoteReference"/>
        </w:rPr>
        <w:footnoteRef/>
      </w:r>
      <w:r>
        <w:t xml:space="preserve"> </w:t>
      </w:r>
      <w:r w:rsidRPr="004F58BD">
        <w:rPr>
          <w:rFonts w:ascii="Times New Roman" w:hAnsi="Times New Roman" w:cs="Times New Roman"/>
        </w:rPr>
        <w:t>ILO. 2018. Women and Men in the Informal Economy: A Statistical Picture. ILO, Geneva.</w:t>
      </w:r>
    </w:p>
  </w:footnote>
  <w:footnote w:id="6">
    <w:p w:rsidR="002D7C45" w:rsidRDefault="002D7C45">
      <w:pPr>
        <w:pStyle w:val="FootnoteText"/>
      </w:pPr>
      <w:r>
        <w:rPr>
          <w:rStyle w:val="FootnoteReference"/>
        </w:rPr>
        <w:footnoteRef/>
      </w:r>
      <w:r>
        <w:t xml:space="preserve"> </w:t>
      </w:r>
      <w:r w:rsidRPr="009D7619">
        <w:rPr>
          <w:rFonts w:ascii="Times New Roman" w:hAnsi="Times New Roman" w:cs="Times New Roman"/>
        </w:rPr>
        <w:t>Ibid</w:t>
      </w:r>
      <w:r w:rsidRPr="0076393E">
        <w:t>.</w:t>
      </w:r>
    </w:p>
  </w:footnote>
  <w:footnote w:id="7">
    <w:p w:rsidR="00E666EE" w:rsidRPr="00AC012F" w:rsidRDefault="00E666EE" w:rsidP="00AC012F">
      <w:pPr>
        <w:pStyle w:val="FootnoteText"/>
        <w:rPr>
          <w:rFonts w:ascii="Times New Roman" w:hAnsi="Times New Roman" w:cs="Times New Roman"/>
        </w:rPr>
      </w:pPr>
      <w:r>
        <w:rPr>
          <w:rStyle w:val="FootnoteReference"/>
        </w:rPr>
        <w:footnoteRef/>
      </w:r>
      <w:r>
        <w:t xml:space="preserve"> </w:t>
      </w:r>
      <w:r w:rsidRPr="00E666EE">
        <w:rPr>
          <w:rFonts w:ascii="Times New Roman" w:hAnsi="Times New Roman" w:cs="Times New Roman"/>
        </w:rPr>
        <w:t>ILO conventions recognize the central importance of both the right to work—to have full and productive employment—and rights at work—to non-discrimination and to fair, safe and</w:t>
      </w:r>
      <w:r w:rsidR="00AC012F">
        <w:rPr>
          <w:rFonts w:ascii="Times New Roman" w:hAnsi="Times New Roman" w:cs="Times New Roman"/>
        </w:rPr>
        <w:t xml:space="preserve"> </w:t>
      </w:r>
      <w:r w:rsidR="00AC012F" w:rsidRPr="00AC012F">
        <w:rPr>
          <w:rFonts w:ascii="Times New Roman" w:hAnsi="Times New Roman" w:cs="Times New Roman"/>
        </w:rPr>
        <w:t xml:space="preserve">just working conditions. For further </w:t>
      </w:r>
      <w:proofErr w:type="gramStart"/>
      <w:r w:rsidR="00AC012F" w:rsidRPr="00AC012F">
        <w:rPr>
          <w:rFonts w:ascii="Times New Roman" w:hAnsi="Times New Roman" w:cs="Times New Roman"/>
        </w:rPr>
        <w:t>details</w:t>
      </w:r>
      <w:proofErr w:type="gramEnd"/>
      <w:r w:rsidR="00AC012F" w:rsidRPr="00AC012F">
        <w:rPr>
          <w:rFonts w:ascii="Times New Roman" w:hAnsi="Times New Roman" w:cs="Times New Roman"/>
        </w:rPr>
        <w:t xml:space="preserve"> see UN Women (2016) Progress of the World’s Women, Chapter 2, pp. 70-71</w:t>
      </w:r>
      <w:r w:rsidR="00AC012F">
        <w:rPr>
          <w:rFonts w:ascii="Times New Roman" w:hAnsi="Times New Roman" w:cs="Times New Roman"/>
        </w:rPr>
        <w:t>.</w:t>
      </w:r>
    </w:p>
  </w:footnote>
  <w:footnote w:id="8">
    <w:p w:rsidR="002343A5" w:rsidRPr="002343A5" w:rsidRDefault="002343A5" w:rsidP="002343A5">
      <w:pPr>
        <w:pStyle w:val="FootnoteText"/>
      </w:pPr>
      <w:r>
        <w:rPr>
          <w:rStyle w:val="FootnoteReference"/>
        </w:rPr>
        <w:footnoteRef/>
      </w:r>
      <w:r>
        <w:t xml:space="preserve"> </w:t>
      </w:r>
      <w:r w:rsidRPr="002343A5">
        <w:rPr>
          <w:rFonts w:ascii="Times New Roman" w:hAnsi="Times New Roman" w:cs="Times New Roman"/>
        </w:rPr>
        <w:t>According to the ILO, decent work involves opportunities for work that is productive and delivers a fair income, security in the workplace and social protection for families, better prospects for personal development and social integration, freedom for people to express their concerns, organize and participate in the decisions that affect their lives and equality of opportunity and treatment for all women and men.</w:t>
      </w:r>
    </w:p>
  </w:footnote>
  <w:footnote w:id="9">
    <w:p w:rsidR="0072065A" w:rsidRDefault="0072065A">
      <w:pPr>
        <w:pStyle w:val="FootnoteText"/>
      </w:pPr>
      <w:r>
        <w:rPr>
          <w:rStyle w:val="FootnoteReference"/>
        </w:rPr>
        <w:footnoteRef/>
      </w:r>
      <w:r>
        <w:t xml:space="preserve"> </w:t>
      </w:r>
      <w:r w:rsidRPr="0072065A">
        <w:rPr>
          <w:rFonts w:ascii="Times New Roman" w:hAnsi="Times New Roman" w:cs="Times New Roman"/>
          <w:lang w:val="en-AU"/>
        </w:rPr>
        <w:t>ILO (2017) Inception Report for the Global Commission on the Future of Work</w:t>
      </w:r>
      <w:r>
        <w:rPr>
          <w:rFonts w:ascii="Times New Roman" w:hAnsi="Times New Roman" w:cs="Times New Roman"/>
          <w:lang w:val="en-AU"/>
        </w:rPr>
        <w:t>.</w:t>
      </w:r>
    </w:p>
  </w:footnote>
  <w:footnote w:id="10">
    <w:p w:rsidR="001C703D" w:rsidRPr="001C703D" w:rsidRDefault="001C703D">
      <w:pPr>
        <w:pStyle w:val="FootnoteText"/>
        <w:rPr>
          <w:rFonts w:ascii="Times New Roman" w:hAnsi="Times New Roman" w:cs="Times New Roman"/>
        </w:rPr>
      </w:pPr>
      <w:r>
        <w:rPr>
          <w:rStyle w:val="FootnoteReference"/>
        </w:rPr>
        <w:footnoteRef/>
      </w:r>
      <w:r>
        <w:t xml:space="preserve"> </w:t>
      </w:r>
      <w:r w:rsidRPr="001C703D">
        <w:rPr>
          <w:rFonts w:ascii="Times New Roman" w:hAnsi="Times New Roman" w:cs="Times New Roman"/>
        </w:rPr>
        <w:t>Ibid.</w:t>
      </w:r>
    </w:p>
  </w:footnote>
  <w:footnote w:id="11">
    <w:p w:rsidR="00232EAC" w:rsidRPr="00FA16B3" w:rsidRDefault="00232EAC" w:rsidP="00232EAC">
      <w:pPr>
        <w:pStyle w:val="NormalWeb"/>
        <w:spacing w:after="0"/>
        <w:rPr>
          <w:sz w:val="20"/>
          <w:szCs w:val="20"/>
        </w:rPr>
      </w:pPr>
      <w:r w:rsidRPr="00A26A01">
        <w:rPr>
          <w:rStyle w:val="FootnoteReference"/>
          <w:rFonts w:asciiTheme="minorHAnsi" w:hAnsiTheme="minorHAnsi" w:cstheme="minorHAnsi"/>
          <w:sz w:val="20"/>
          <w:szCs w:val="20"/>
        </w:rPr>
        <w:footnoteRef/>
      </w:r>
      <w:r w:rsidRPr="00A26A01">
        <w:rPr>
          <w:rFonts w:asciiTheme="minorHAnsi" w:hAnsiTheme="minorHAnsi" w:cstheme="minorHAnsi"/>
          <w:sz w:val="20"/>
          <w:szCs w:val="20"/>
        </w:rPr>
        <w:t xml:space="preserve"> </w:t>
      </w:r>
      <w:r w:rsidRPr="00FA16B3">
        <w:rPr>
          <w:sz w:val="20"/>
          <w:szCs w:val="20"/>
        </w:rPr>
        <w:t xml:space="preserve">WEF (2018) </w:t>
      </w:r>
      <w:r w:rsidRPr="00FA16B3">
        <w:rPr>
          <w:i/>
          <w:iCs/>
          <w:sz w:val="20"/>
          <w:szCs w:val="20"/>
        </w:rPr>
        <w:t xml:space="preserve">Towards a Reskilling Revolution. </w:t>
      </w:r>
      <w:r w:rsidRPr="00FA16B3">
        <w:rPr>
          <w:sz w:val="20"/>
          <w:szCs w:val="20"/>
        </w:rPr>
        <w:t>World Economic Forum</w:t>
      </w:r>
      <w:r w:rsidR="001C1FC6">
        <w:rPr>
          <w:sz w:val="20"/>
          <w:szCs w:val="20"/>
        </w:rPr>
        <w:t>.</w:t>
      </w:r>
    </w:p>
  </w:footnote>
  <w:footnote w:id="12">
    <w:p w:rsidR="00232EAC" w:rsidRPr="00FA16B3" w:rsidRDefault="00232EAC" w:rsidP="00232EAC">
      <w:pPr>
        <w:pStyle w:val="FootnoteText"/>
        <w:rPr>
          <w:rFonts w:ascii="Times New Roman" w:hAnsi="Times New Roman" w:cs="Times New Roman"/>
          <w:lang w:val="en-AU"/>
        </w:rPr>
      </w:pPr>
      <w:r w:rsidRPr="00FA16B3">
        <w:rPr>
          <w:rStyle w:val="FootnoteReference"/>
          <w:rFonts w:ascii="Times New Roman" w:hAnsi="Times New Roman" w:cs="Times New Roman"/>
        </w:rPr>
        <w:footnoteRef/>
      </w:r>
      <w:r w:rsidRPr="00FA16B3">
        <w:rPr>
          <w:rFonts w:ascii="Times New Roman" w:hAnsi="Times New Roman" w:cs="Times New Roman"/>
        </w:rPr>
        <w:t xml:space="preserve"> </w:t>
      </w:r>
      <w:r w:rsidRPr="00FA16B3">
        <w:rPr>
          <w:rFonts w:ascii="Times New Roman" w:hAnsi="Times New Roman" w:cs="Times New Roman"/>
          <w:lang w:val="en-AU"/>
        </w:rPr>
        <w:t>ILO (2018) Issue Brief: No.6 The impact of technology on the quality and quantity of jobs</w:t>
      </w:r>
      <w:r w:rsidR="001C1FC6">
        <w:rPr>
          <w:rFonts w:ascii="Times New Roman" w:hAnsi="Times New Roman" w:cs="Times New Roman"/>
          <w:lang w:val="en-AU"/>
        </w:rPr>
        <w:t>.</w:t>
      </w:r>
    </w:p>
  </w:footnote>
  <w:footnote w:id="13">
    <w:p w:rsidR="00232EAC" w:rsidRPr="00FA16B3" w:rsidRDefault="00232EAC" w:rsidP="00232EAC">
      <w:pPr>
        <w:pStyle w:val="FootnoteText"/>
        <w:rPr>
          <w:rFonts w:ascii="Times New Roman" w:hAnsi="Times New Roman" w:cs="Times New Roman"/>
          <w:lang w:val="en-AU"/>
        </w:rPr>
      </w:pPr>
      <w:r w:rsidRPr="00FA16B3">
        <w:rPr>
          <w:rStyle w:val="FootnoteReference"/>
          <w:rFonts w:ascii="Times New Roman" w:hAnsi="Times New Roman" w:cs="Times New Roman"/>
        </w:rPr>
        <w:footnoteRef/>
      </w:r>
      <w:r w:rsidRPr="00FA16B3">
        <w:rPr>
          <w:rFonts w:ascii="Times New Roman" w:hAnsi="Times New Roman" w:cs="Times New Roman"/>
        </w:rPr>
        <w:t xml:space="preserve"> </w:t>
      </w:r>
      <w:r w:rsidRPr="00FA16B3">
        <w:rPr>
          <w:rFonts w:ascii="Times New Roman" w:hAnsi="Times New Roman" w:cs="Times New Roman"/>
          <w:lang w:val="en-AU"/>
        </w:rPr>
        <w:t>Ibid.</w:t>
      </w:r>
    </w:p>
  </w:footnote>
  <w:footnote w:id="14">
    <w:p w:rsidR="00232EAC" w:rsidRPr="00FA16B3" w:rsidRDefault="00232EAC" w:rsidP="00232EAC">
      <w:pPr>
        <w:pStyle w:val="FootnoteText"/>
        <w:rPr>
          <w:rFonts w:ascii="Times New Roman" w:hAnsi="Times New Roman" w:cs="Times New Roman"/>
          <w:lang w:val="en-AU"/>
        </w:rPr>
      </w:pPr>
      <w:r w:rsidRPr="00FA16B3">
        <w:rPr>
          <w:rStyle w:val="FootnoteReference"/>
          <w:rFonts w:ascii="Times New Roman" w:hAnsi="Times New Roman" w:cs="Times New Roman"/>
        </w:rPr>
        <w:footnoteRef/>
      </w:r>
      <w:r w:rsidRPr="00FA16B3">
        <w:rPr>
          <w:rFonts w:ascii="Times New Roman" w:hAnsi="Times New Roman" w:cs="Times New Roman"/>
        </w:rPr>
        <w:t xml:space="preserve"> </w:t>
      </w:r>
      <w:r w:rsidRPr="00FA16B3">
        <w:rPr>
          <w:rFonts w:ascii="Times New Roman" w:hAnsi="Times New Roman" w:cs="Times New Roman"/>
          <w:lang w:val="en-AU"/>
        </w:rPr>
        <w:t>OECD (2017) Going Digital: The Future of Work for Women</w:t>
      </w:r>
      <w:r w:rsidR="001C1FC6">
        <w:rPr>
          <w:rFonts w:ascii="Times New Roman" w:hAnsi="Times New Roman" w:cs="Times New Roman"/>
          <w:lang w:val="en-AU"/>
        </w:rPr>
        <w:t>.</w:t>
      </w:r>
    </w:p>
  </w:footnote>
  <w:footnote w:id="15">
    <w:p w:rsidR="00232EAC" w:rsidRPr="00FA16B3" w:rsidRDefault="00232EAC" w:rsidP="00232EAC">
      <w:pPr>
        <w:pStyle w:val="FootnoteText"/>
        <w:rPr>
          <w:rFonts w:ascii="Times New Roman" w:hAnsi="Times New Roman" w:cs="Times New Roman"/>
        </w:rPr>
      </w:pPr>
      <w:r w:rsidRPr="00FA16B3">
        <w:rPr>
          <w:rStyle w:val="FootnoteReference"/>
          <w:rFonts w:ascii="Times New Roman" w:hAnsi="Times New Roman" w:cs="Times New Roman"/>
        </w:rPr>
        <w:footnoteRef/>
      </w:r>
      <w:r w:rsidRPr="00FA16B3">
        <w:rPr>
          <w:rFonts w:ascii="Times New Roman" w:hAnsi="Times New Roman" w:cs="Times New Roman"/>
        </w:rPr>
        <w:t xml:space="preserve"> De Stefano, Valerio. (2016) The rise of the "just-in-time workforce": on-demand work, crowd work and labour protection in the "gig-economy" International </w:t>
      </w:r>
      <w:proofErr w:type="gramStart"/>
      <w:r w:rsidRPr="00FA16B3">
        <w:rPr>
          <w:rFonts w:ascii="Times New Roman" w:hAnsi="Times New Roman" w:cs="Times New Roman"/>
        </w:rPr>
        <w:t>Labour  Office</w:t>
      </w:r>
      <w:proofErr w:type="gramEnd"/>
      <w:r w:rsidRPr="00FA16B3">
        <w:rPr>
          <w:rFonts w:ascii="Times New Roman" w:hAnsi="Times New Roman" w:cs="Times New Roman"/>
        </w:rPr>
        <w:t>,  Inclusive  Labour  Markets,  Labour Relations  and  Working  Conditions  Branch.  - Geneva: ILO, 2016 Conditions of work and employment series; No. 71</w:t>
      </w:r>
      <w:r w:rsidR="001C1FC6">
        <w:rPr>
          <w:rFonts w:ascii="Times New Roman" w:hAnsi="Times New Roman" w:cs="Times New Roman"/>
        </w:rPr>
        <w:t>.</w:t>
      </w:r>
    </w:p>
  </w:footnote>
  <w:footnote w:id="16">
    <w:p w:rsidR="00232EAC" w:rsidRPr="00FA16B3" w:rsidRDefault="00232EAC" w:rsidP="00232EAC">
      <w:pPr>
        <w:pStyle w:val="FootnoteText"/>
        <w:rPr>
          <w:rFonts w:ascii="Times New Roman" w:hAnsi="Times New Roman" w:cs="Times New Roman"/>
        </w:rPr>
      </w:pPr>
      <w:r w:rsidRPr="00FA16B3">
        <w:rPr>
          <w:rStyle w:val="FootnoteReference"/>
          <w:rFonts w:ascii="Times New Roman" w:hAnsi="Times New Roman" w:cs="Times New Roman"/>
        </w:rPr>
        <w:footnoteRef/>
      </w:r>
      <w:r w:rsidRPr="00FA16B3">
        <w:rPr>
          <w:rFonts w:ascii="Times New Roman" w:hAnsi="Times New Roman" w:cs="Times New Roman"/>
        </w:rPr>
        <w:t xml:space="preserve"> ILO (2018) Digital labour platforms and the future of work:  Towards decent work in the online world</w:t>
      </w:r>
    </w:p>
    <w:p w:rsidR="00232EAC" w:rsidRPr="00FA16B3" w:rsidRDefault="00232EAC" w:rsidP="00232EAC">
      <w:pPr>
        <w:pStyle w:val="FootnoteText"/>
        <w:rPr>
          <w:rFonts w:ascii="Times New Roman" w:hAnsi="Times New Roman" w:cs="Times New Roman"/>
          <w:lang w:val="en-AU"/>
        </w:rPr>
      </w:pPr>
      <w:r w:rsidRPr="00FA16B3">
        <w:rPr>
          <w:rFonts w:ascii="Times New Roman" w:hAnsi="Times New Roman" w:cs="Times New Roman"/>
        </w:rPr>
        <w:t>International Labour Office</w:t>
      </w:r>
      <w:r w:rsidR="001C1FC6">
        <w:rPr>
          <w:rFonts w:ascii="Times New Roman" w:hAnsi="Times New Roman" w:cs="Times New Roman"/>
        </w:rPr>
        <w:t>.</w:t>
      </w:r>
    </w:p>
  </w:footnote>
  <w:footnote w:id="17">
    <w:p w:rsidR="00E64C01" w:rsidRPr="00E64C01" w:rsidRDefault="00E64C01" w:rsidP="00E64C01">
      <w:pPr>
        <w:pStyle w:val="FootnoteText"/>
        <w:rPr>
          <w:rFonts w:ascii="Times New Roman" w:hAnsi="Times New Roman" w:cs="Times New Roman"/>
        </w:rPr>
      </w:pPr>
      <w:r>
        <w:rPr>
          <w:rStyle w:val="FootnoteReference"/>
        </w:rPr>
        <w:footnoteRef/>
      </w:r>
      <w:r>
        <w:t xml:space="preserve"> </w:t>
      </w:r>
      <w:r w:rsidRPr="00E64C01">
        <w:rPr>
          <w:rFonts w:ascii="Times New Roman" w:hAnsi="Times New Roman" w:cs="Times New Roman"/>
        </w:rPr>
        <w:t>United Nations Department of Economic and Social Affairs/Population Division (2017) World Population Prospects: The 2017 Revision, Key Findings and Advance Tables</w:t>
      </w:r>
      <w:r w:rsidR="00C66D0F">
        <w:rPr>
          <w:rFonts w:ascii="Times New Roman" w:hAnsi="Times New Roman" w:cs="Times New Roman"/>
        </w:rPr>
        <w:t>:</w:t>
      </w:r>
      <w:r w:rsidRPr="00E64C01">
        <w:rPr>
          <w:rFonts w:ascii="Times New Roman" w:hAnsi="Times New Roman" w:cs="Times New Roman"/>
        </w:rPr>
        <w:t xml:space="preserve"> </w:t>
      </w:r>
      <w:hyperlink r:id="rId3" w:history="1">
        <w:r w:rsidRPr="00E64C01">
          <w:rPr>
            <w:rStyle w:val="Hyperlink"/>
            <w:rFonts w:ascii="Times New Roman" w:hAnsi="Times New Roman" w:cs="Times New Roman"/>
          </w:rPr>
          <w:t>http://blogs.worldbank.org/developmenttalk/youth-bulge-a-demographic-dividend-or-a-demographic-bomb-in-developing-countries</w:t>
        </w:r>
      </w:hyperlink>
    </w:p>
  </w:footnote>
  <w:footnote w:id="18">
    <w:p w:rsidR="00E64C01" w:rsidRPr="00E64C01" w:rsidRDefault="00E64C01" w:rsidP="00E64C01">
      <w:pPr>
        <w:pStyle w:val="FootnoteText"/>
        <w:rPr>
          <w:rFonts w:ascii="Times New Roman" w:hAnsi="Times New Roman" w:cs="Times New Roman"/>
          <w:lang w:val="en-AU"/>
        </w:rPr>
      </w:pPr>
      <w:r w:rsidRPr="00E64C01">
        <w:rPr>
          <w:rStyle w:val="FootnoteReference"/>
          <w:rFonts w:ascii="Times New Roman" w:hAnsi="Times New Roman" w:cs="Times New Roman"/>
        </w:rPr>
        <w:footnoteRef/>
      </w:r>
      <w:r w:rsidRPr="00E64C01">
        <w:rPr>
          <w:rFonts w:ascii="Times New Roman" w:hAnsi="Times New Roman" w:cs="Times New Roman"/>
        </w:rPr>
        <w:t xml:space="preserve"> </w:t>
      </w:r>
      <w:r w:rsidRPr="00E64C01">
        <w:rPr>
          <w:rFonts w:ascii="Times New Roman" w:hAnsi="Times New Roman" w:cs="Times New Roman"/>
          <w:lang w:val="en-AU"/>
        </w:rPr>
        <w:t>ILO (2017) Care Work and Care Jobs for the Future of Decent Work. Geneva: ILO.</w:t>
      </w:r>
    </w:p>
  </w:footnote>
  <w:footnote w:id="19">
    <w:p w:rsidR="00504B95" w:rsidRPr="007D1FAB" w:rsidRDefault="00504B95" w:rsidP="00504B95">
      <w:pPr>
        <w:pStyle w:val="FootnoteText"/>
        <w:rPr>
          <w:rFonts w:ascii="Times New Roman" w:hAnsi="Times New Roman" w:cs="Times New Roman"/>
        </w:rPr>
      </w:pPr>
      <w:r w:rsidRPr="00447D3B">
        <w:rPr>
          <w:rStyle w:val="FootnoteReference"/>
        </w:rPr>
        <w:footnoteRef/>
      </w:r>
      <w:r w:rsidRPr="00447D3B">
        <w:t xml:space="preserve"> </w:t>
      </w:r>
      <w:r w:rsidRPr="007D1FAB">
        <w:rPr>
          <w:rFonts w:ascii="Times New Roman" w:hAnsi="Times New Roman" w:cs="Times New Roman"/>
        </w:rPr>
        <w:t xml:space="preserve">Matthew Amengual and William Milberg, </w:t>
      </w:r>
      <w:r w:rsidRPr="007D1FAB">
        <w:rPr>
          <w:rFonts w:ascii="Times New Roman" w:hAnsi="Times New Roman" w:cs="Times New Roman"/>
          <w:i/>
        </w:rPr>
        <w:t>Economic development and working conditions in export processing zones: A survey of trends</w:t>
      </w:r>
      <w:r w:rsidRPr="007D1FAB">
        <w:rPr>
          <w:rFonts w:ascii="Times New Roman" w:hAnsi="Times New Roman" w:cs="Times New Roman"/>
        </w:rPr>
        <w:t xml:space="preserve"> (Geneva, ILO, 2008).</w:t>
      </w:r>
    </w:p>
  </w:footnote>
  <w:footnote w:id="20">
    <w:p w:rsidR="00F77AA4" w:rsidRPr="00512F4C" w:rsidRDefault="00F77AA4" w:rsidP="00F77AA4">
      <w:pPr>
        <w:pStyle w:val="FootnoteText"/>
        <w:rPr>
          <w:rFonts w:ascii="Times New Roman" w:hAnsi="Times New Roman" w:cs="Times New Roman"/>
        </w:rPr>
      </w:pPr>
      <w:r w:rsidRPr="0048453E">
        <w:rPr>
          <w:rStyle w:val="FootnoteReference"/>
        </w:rPr>
        <w:footnoteRef/>
      </w:r>
      <w:r w:rsidRPr="0048453E">
        <w:t xml:space="preserve"> </w:t>
      </w:r>
      <w:r w:rsidRPr="00512F4C">
        <w:rPr>
          <w:rFonts w:ascii="Times New Roman" w:hAnsi="Times New Roman" w:cs="Times New Roman"/>
        </w:rPr>
        <w:t>ILO. 2019. Global Commission on the Future of Work. Work for a Brighter Future. ILO, Geneva.</w:t>
      </w:r>
    </w:p>
  </w:footnote>
  <w:footnote w:id="21">
    <w:p w:rsidR="00F77AA4" w:rsidRPr="00512F4C" w:rsidRDefault="00F77AA4" w:rsidP="00F77AA4">
      <w:pPr>
        <w:pStyle w:val="FootnoteText"/>
        <w:rPr>
          <w:rFonts w:ascii="Times New Roman" w:hAnsi="Times New Roman" w:cs="Times New Roman"/>
        </w:rPr>
      </w:pPr>
      <w:r w:rsidRPr="00512F4C">
        <w:rPr>
          <w:rStyle w:val="FootnoteReference"/>
          <w:rFonts w:ascii="Times New Roman" w:hAnsi="Times New Roman" w:cs="Times New Roman"/>
        </w:rPr>
        <w:footnoteRef/>
      </w:r>
      <w:r w:rsidRPr="00512F4C">
        <w:rPr>
          <w:rFonts w:ascii="Times New Roman" w:hAnsi="Times New Roman" w:cs="Times New Roman"/>
        </w:rPr>
        <w:t xml:space="preserve"> United Nations (2014) © The World Survey on the Role of Women in Development, on the theme of “gender equality and sustainable development”, Report of the Secretary-General, (A/69/156)</w:t>
      </w:r>
      <w:r w:rsidR="00DF767B">
        <w:rPr>
          <w:rFonts w:ascii="Times New Roman" w:hAnsi="Times New Roman" w:cs="Times New Roman"/>
        </w:rPr>
        <w:t>.</w:t>
      </w:r>
    </w:p>
  </w:footnote>
  <w:footnote w:id="22">
    <w:p w:rsidR="00F77AA4" w:rsidRPr="00512F4C" w:rsidRDefault="00F77AA4" w:rsidP="00F77AA4">
      <w:pPr>
        <w:pStyle w:val="FootnoteText"/>
        <w:rPr>
          <w:rFonts w:ascii="Times New Roman" w:hAnsi="Times New Roman" w:cs="Times New Roman"/>
          <w:lang w:val="en-AU"/>
        </w:rPr>
      </w:pPr>
      <w:r w:rsidRPr="00512F4C">
        <w:rPr>
          <w:rStyle w:val="FootnoteReference"/>
          <w:rFonts w:ascii="Times New Roman" w:hAnsi="Times New Roman" w:cs="Times New Roman"/>
        </w:rPr>
        <w:footnoteRef/>
      </w:r>
      <w:r w:rsidRPr="00512F4C">
        <w:rPr>
          <w:rFonts w:ascii="Times New Roman" w:hAnsi="Times New Roman" w:cs="Times New Roman"/>
        </w:rPr>
        <w:t xml:space="preserve"> </w:t>
      </w:r>
      <w:r w:rsidRPr="00512F4C">
        <w:rPr>
          <w:rFonts w:ascii="Times New Roman" w:hAnsi="Times New Roman" w:cs="Times New Roman"/>
          <w:lang w:val="en-AU"/>
        </w:rPr>
        <w:t xml:space="preserve">See for example: </w:t>
      </w:r>
      <w:hyperlink r:id="rId4" w:history="1">
        <w:r w:rsidRPr="00512F4C">
          <w:rPr>
            <w:rStyle w:val="Hyperlink"/>
            <w:rFonts w:ascii="Times New Roman" w:hAnsi="Times New Roman" w:cs="Times New Roman"/>
            <w:lang w:val="en-AU"/>
          </w:rPr>
          <w:t>https://viacampesina.org/en/information-note-un-declaration-on-rights-of-peasants-and-other-people-working-in-rural-areas/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073"/>
    <w:multiLevelType w:val="hybridMultilevel"/>
    <w:tmpl w:val="48A683B0"/>
    <w:lvl w:ilvl="0" w:tplc="0C9AAA22">
      <w:numFmt w:val="bullet"/>
      <w:lvlText w:val="-"/>
      <w:lvlJc w:val="left"/>
      <w:pPr>
        <w:ind w:left="720" w:hanging="360"/>
      </w:pPr>
      <w:rPr>
        <w:rFonts w:ascii="Tahoma" w:eastAsiaTheme="minorHAnsi" w:hAnsi="Tahoma" w:cs="Tahoma" w:hint="default"/>
        <w:i/>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53474"/>
    <w:multiLevelType w:val="hybridMultilevel"/>
    <w:tmpl w:val="E1EA91E2"/>
    <w:lvl w:ilvl="0" w:tplc="B010CB9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AE61CA4"/>
    <w:multiLevelType w:val="hybridMultilevel"/>
    <w:tmpl w:val="BF54826C"/>
    <w:lvl w:ilvl="0" w:tplc="B010CB9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 w15:restartNumberingAfterBreak="0">
    <w:nsid w:val="29927246"/>
    <w:multiLevelType w:val="hybridMultilevel"/>
    <w:tmpl w:val="2D9C249E"/>
    <w:lvl w:ilvl="0" w:tplc="B010CB9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3C5127CD"/>
    <w:multiLevelType w:val="hybridMultilevel"/>
    <w:tmpl w:val="9BC0A33A"/>
    <w:lvl w:ilvl="0" w:tplc="08090001">
      <w:start w:val="1"/>
      <w:numFmt w:val="bullet"/>
      <w:lvlText w:val=""/>
      <w:lvlJc w:val="left"/>
      <w:pPr>
        <w:ind w:left="720" w:hanging="360"/>
      </w:pPr>
      <w:rPr>
        <w:rFonts w:ascii="Symbol" w:hAnsi="Symbol" w:hint="default"/>
      </w:rPr>
    </w:lvl>
    <w:lvl w:ilvl="1" w:tplc="B010CB9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152AD"/>
    <w:multiLevelType w:val="hybridMultilevel"/>
    <w:tmpl w:val="2096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62BAA"/>
    <w:multiLevelType w:val="hybridMultilevel"/>
    <w:tmpl w:val="C106B14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61BF3A06"/>
    <w:multiLevelType w:val="hybridMultilevel"/>
    <w:tmpl w:val="681A0F48"/>
    <w:lvl w:ilvl="0" w:tplc="B010CB9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726E3074"/>
    <w:multiLevelType w:val="hybridMultilevel"/>
    <w:tmpl w:val="346C8E92"/>
    <w:lvl w:ilvl="0" w:tplc="187800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1E"/>
    <w:rsid w:val="00044128"/>
    <w:rsid w:val="00190C0B"/>
    <w:rsid w:val="001A05B4"/>
    <w:rsid w:val="001C1FC6"/>
    <w:rsid w:val="001C2923"/>
    <w:rsid w:val="001C703D"/>
    <w:rsid w:val="00232EAC"/>
    <w:rsid w:val="002343A5"/>
    <w:rsid w:val="002606BE"/>
    <w:rsid w:val="0027558B"/>
    <w:rsid w:val="00284521"/>
    <w:rsid w:val="0029245D"/>
    <w:rsid w:val="002B1D6E"/>
    <w:rsid w:val="002C1223"/>
    <w:rsid w:val="002D2DF6"/>
    <w:rsid w:val="002D7C45"/>
    <w:rsid w:val="002E2E52"/>
    <w:rsid w:val="002E628F"/>
    <w:rsid w:val="0030041E"/>
    <w:rsid w:val="00316B1E"/>
    <w:rsid w:val="00336FD8"/>
    <w:rsid w:val="00356708"/>
    <w:rsid w:val="003A6C1D"/>
    <w:rsid w:val="003D4D59"/>
    <w:rsid w:val="00446436"/>
    <w:rsid w:val="00494965"/>
    <w:rsid w:val="004A41F2"/>
    <w:rsid w:val="004D02D4"/>
    <w:rsid w:val="004D1212"/>
    <w:rsid w:val="004F58BD"/>
    <w:rsid w:val="00504B95"/>
    <w:rsid w:val="00512F4C"/>
    <w:rsid w:val="00527ED1"/>
    <w:rsid w:val="00532968"/>
    <w:rsid w:val="00574428"/>
    <w:rsid w:val="00576DE6"/>
    <w:rsid w:val="005A1D43"/>
    <w:rsid w:val="005B44D7"/>
    <w:rsid w:val="005D1A7C"/>
    <w:rsid w:val="0062289D"/>
    <w:rsid w:val="00665645"/>
    <w:rsid w:val="00691786"/>
    <w:rsid w:val="006B0C61"/>
    <w:rsid w:val="006D35B1"/>
    <w:rsid w:val="00701B30"/>
    <w:rsid w:val="007039F8"/>
    <w:rsid w:val="00705C09"/>
    <w:rsid w:val="00715E8C"/>
    <w:rsid w:val="0072065A"/>
    <w:rsid w:val="007608F5"/>
    <w:rsid w:val="007665A2"/>
    <w:rsid w:val="00786412"/>
    <w:rsid w:val="007A3169"/>
    <w:rsid w:val="007C408A"/>
    <w:rsid w:val="007D1FAB"/>
    <w:rsid w:val="007D24D1"/>
    <w:rsid w:val="007D4E5A"/>
    <w:rsid w:val="00852E02"/>
    <w:rsid w:val="008562AD"/>
    <w:rsid w:val="0086684B"/>
    <w:rsid w:val="00867CB5"/>
    <w:rsid w:val="008765A1"/>
    <w:rsid w:val="00883666"/>
    <w:rsid w:val="008B45AD"/>
    <w:rsid w:val="008E4792"/>
    <w:rsid w:val="008F7725"/>
    <w:rsid w:val="009230D4"/>
    <w:rsid w:val="00946CE2"/>
    <w:rsid w:val="0095146A"/>
    <w:rsid w:val="00985CD8"/>
    <w:rsid w:val="009A411B"/>
    <w:rsid w:val="009B48FA"/>
    <w:rsid w:val="009D7619"/>
    <w:rsid w:val="00A22D78"/>
    <w:rsid w:val="00A618F9"/>
    <w:rsid w:val="00A85EEB"/>
    <w:rsid w:val="00AA30F8"/>
    <w:rsid w:val="00AA570D"/>
    <w:rsid w:val="00AC012F"/>
    <w:rsid w:val="00B12364"/>
    <w:rsid w:val="00B179EC"/>
    <w:rsid w:val="00B51EA7"/>
    <w:rsid w:val="00B95512"/>
    <w:rsid w:val="00BE7A6F"/>
    <w:rsid w:val="00BF77D5"/>
    <w:rsid w:val="00C044C0"/>
    <w:rsid w:val="00C145AA"/>
    <w:rsid w:val="00C57F5D"/>
    <w:rsid w:val="00C66D0F"/>
    <w:rsid w:val="00CC058C"/>
    <w:rsid w:val="00D1500A"/>
    <w:rsid w:val="00D16317"/>
    <w:rsid w:val="00D61B40"/>
    <w:rsid w:val="00DE1C9F"/>
    <w:rsid w:val="00DF5F6D"/>
    <w:rsid w:val="00DF767B"/>
    <w:rsid w:val="00E24BA1"/>
    <w:rsid w:val="00E61922"/>
    <w:rsid w:val="00E64C01"/>
    <w:rsid w:val="00E666EE"/>
    <w:rsid w:val="00F01AD4"/>
    <w:rsid w:val="00F0794B"/>
    <w:rsid w:val="00F228C9"/>
    <w:rsid w:val="00F77AA4"/>
    <w:rsid w:val="00FA16B3"/>
    <w:rsid w:val="00FB004F"/>
    <w:rsid w:val="00FD0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C0AA"/>
  <w15:chartTrackingRefBased/>
  <w15:docId w15:val="{F0E742C4-7462-41C4-A4D8-D0C29305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04F"/>
    <w:rPr>
      <w:color w:val="0563C1" w:themeColor="hyperlink"/>
      <w:u w:val="single"/>
    </w:rPr>
  </w:style>
  <w:style w:type="paragraph" w:styleId="ListParagraph">
    <w:name w:val="List Paragraph"/>
    <w:basedOn w:val="Normal"/>
    <w:uiPriority w:val="34"/>
    <w:qFormat/>
    <w:rsid w:val="00576DE6"/>
    <w:pPr>
      <w:ind w:left="720"/>
      <w:contextualSpacing/>
    </w:pPr>
  </w:style>
  <w:style w:type="paragraph" w:styleId="FootnoteText">
    <w:name w:val="footnote text"/>
    <w:aliases w:val="fn,single space Char Char,single space Char,Char,Nbpage Moens,single space,Fußnote,ft,(NECG) Footnote Text,Footnote Text Char Char Char Char Char,Footnote Text Char Char Char Char Char Char,(NECG) Footnote Text Char Char Char Char Char,f"/>
    <w:basedOn w:val="Normal"/>
    <w:link w:val="FootnoteTextChar"/>
    <w:uiPriority w:val="99"/>
    <w:unhideWhenUsed/>
    <w:rsid w:val="00A618F9"/>
    <w:pPr>
      <w:spacing w:after="0" w:line="240" w:lineRule="auto"/>
    </w:pPr>
    <w:rPr>
      <w:sz w:val="20"/>
      <w:szCs w:val="20"/>
    </w:rPr>
  </w:style>
  <w:style w:type="character" w:customStyle="1" w:styleId="FootnoteTextChar">
    <w:name w:val="Footnote Text Char"/>
    <w:aliases w:val="fn Char,single space Char Char Char,single space Char Char1,Char Char,Nbpage Moens Char,single space Char1,Fußnote Char,ft Char,(NECG) Footnote Text Char,Footnote Text Char Char Char Char Char Char1,f Char"/>
    <w:basedOn w:val="DefaultParagraphFont"/>
    <w:link w:val="FootnoteText"/>
    <w:uiPriority w:val="99"/>
    <w:rsid w:val="00A618F9"/>
    <w:rPr>
      <w:sz w:val="20"/>
      <w:szCs w:val="20"/>
    </w:rPr>
  </w:style>
  <w:style w:type="character" w:styleId="FootnoteReference">
    <w:name w:val="footnote reference"/>
    <w:aliases w:val="ftref,16 Point,Superscript 6 Point,Footnote Reference Char Char Char,Carattere Char Carattere Carattere Char Carattere Char Carattere Char Char Char1 Char,Carattere Carattere Char Char Char Carattere Char,16 Poin,Carattere Char1,fr"/>
    <w:basedOn w:val="DefaultParagraphFont"/>
    <w:uiPriority w:val="99"/>
    <w:unhideWhenUsed/>
    <w:qFormat/>
    <w:rsid w:val="00A618F9"/>
    <w:rPr>
      <w:vertAlign w:val="superscript"/>
    </w:rPr>
  </w:style>
  <w:style w:type="paragraph" w:styleId="NormalWeb">
    <w:name w:val="Normal (Web)"/>
    <w:basedOn w:val="Normal"/>
    <w:uiPriority w:val="99"/>
    <w:semiHidden/>
    <w:unhideWhenUsed/>
    <w:rsid w:val="0072065A"/>
    <w:rPr>
      <w:rFonts w:ascii="Times New Roman" w:hAnsi="Times New Roman" w:cs="Times New Roman"/>
      <w:sz w:val="24"/>
      <w:szCs w:val="24"/>
    </w:rPr>
  </w:style>
  <w:style w:type="paragraph" w:styleId="CommentText">
    <w:name w:val="annotation text"/>
    <w:basedOn w:val="Normal"/>
    <w:link w:val="CommentTextChar"/>
    <w:uiPriority w:val="99"/>
    <w:unhideWhenUsed/>
    <w:rsid w:val="00E64C01"/>
    <w:pPr>
      <w:spacing w:after="0" w:line="240" w:lineRule="auto"/>
    </w:pPr>
    <w:rPr>
      <w:sz w:val="20"/>
      <w:szCs w:val="20"/>
    </w:rPr>
  </w:style>
  <w:style w:type="character" w:customStyle="1" w:styleId="CommentTextChar">
    <w:name w:val="Comment Text Char"/>
    <w:basedOn w:val="DefaultParagraphFont"/>
    <w:link w:val="CommentText"/>
    <w:uiPriority w:val="99"/>
    <w:rsid w:val="00E64C01"/>
    <w:rPr>
      <w:sz w:val="20"/>
      <w:szCs w:val="20"/>
    </w:rPr>
  </w:style>
  <w:style w:type="paragraph" w:styleId="Header">
    <w:name w:val="header"/>
    <w:basedOn w:val="Normal"/>
    <w:link w:val="HeaderChar"/>
    <w:uiPriority w:val="99"/>
    <w:unhideWhenUsed/>
    <w:rsid w:val="00B5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A7"/>
  </w:style>
  <w:style w:type="paragraph" w:styleId="Footer">
    <w:name w:val="footer"/>
    <w:basedOn w:val="Normal"/>
    <w:link w:val="FooterChar"/>
    <w:uiPriority w:val="99"/>
    <w:unhideWhenUsed/>
    <w:rsid w:val="00B5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discriminationwomen@ohchr.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blogs.worldbank.org/developmenttalk/youth-bulge-a-demographic-dividend-or-a-demographic-bomb-in-developing-countries" TargetMode="External"/><Relationship Id="rId2" Type="http://schemas.openxmlformats.org/officeDocument/2006/relationships/hyperlink" Target="http://www.cystat.gov.cy/mof/cystat/statistics.nsf/All/5D0DC4F3C36ED5ABC2257DA20033BAEB/$file/LAB-LFS_ADHOC-2018-EL-140918.xls?OpenElement" TargetMode="External"/><Relationship Id="rId1" Type="http://schemas.openxmlformats.org/officeDocument/2006/relationships/hyperlink" Target="https://www.mof.gov.cy/mof/cystat/statistics.nsf/All/087AAEB07D763D9FC22580D80037A480?OpenDocument&amp;sub=6&amp;sel=1&amp;e=&amp;print" TargetMode="External"/><Relationship Id="rId4" Type="http://schemas.openxmlformats.org/officeDocument/2006/relationships/hyperlink" Target="https://viacampesina.org/en/information-note-un-declaration-on-rights-of-peasants-and-other-people-working-in-rural-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9CB9F0-9600-4112-82E0-7051F09BC8A5}">
  <ds:schemaRefs>
    <ds:schemaRef ds:uri="http://schemas.openxmlformats.org/officeDocument/2006/bibliography"/>
  </ds:schemaRefs>
</ds:datastoreItem>
</file>

<file path=customXml/itemProps2.xml><?xml version="1.0" encoding="utf-8"?>
<ds:datastoreItem xmlns:ds="http://schemas.openxmlformats.org/officeDocument/2006/customXml" ds:itemID="{64FB3700-C984-4E3B-B8C0-703C00F837BF}"/>
</file>

<file path=customXml/itemProps3.xml><?xml version="1.0" encoding="utf-8"?>
<ds:datastoreItem xmlns:ds="http://schemas.openxmlformats.org/officeDocument/2006/customXml" ds:itemID="{7048AEC6-DD81-48C7-ADAB-999D32F134BD}"/>
</file>

<file path=customXml/itemProps4.xml><?xml version="1.0" encoding="utf-8"?>
<ds:datastoreItem xmlns:ds="http://schemas.openxmlformats.org/officeDocument/2006/customXml" ds:itemID="{271C5679-6DE3-401F-86B1-0337CEB4301C}"/>
</file>

<file path=docProps/app.xml><?xml version="1.0" encoding="utf-8"?>
<Properties xmlns="http://schemas.openxmlformats.org/officeDocument/2006/extended-properties" xmlns:vt="http://schemas.openxmlformats.org/officeDocument/2006/docPropsVTypes">
  <Template>Normal.dotm</Template>
  <TotalTime>1</TotalTime>
  <Pages>7</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Victoria</dc:creator>
  <cp:keywords/>
  <dc:description/>
  <cp:lastModifiedBy>NG</cp:lastModifiedBy>
  <cp:revision>3</cp:revision>
  <dcterms:created xsi:type="dcterms:W3CDTF">2019-08-26T11:01:00Z</dcterms:created>
  <dcterms:modified xsi:type="dcterms:W3CDTF">2019-08-27T08:55:00Z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