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18D63" w14:textId="74E2F6C4" w:rsidR="00010C2A" w:rsidRDefault="00522537" w:rsidP="00010C2A">
      <w:pPr>
        <w:jc w:val="center"/>
        <w:rPr>
          <w:rFonts w:eastAsia="Calibri"/>
          <w:b/>
          <w:sz w:val="28"/>
          <w:szCs w:val="28"/>
          <w:lang w:val="en-AU" w:eastAsia="en-US"/>
        </w:rPr>
      </w:pPr>
      <w:r>
        <w:rPr>
          <w:rFonts w:eastAsia="Calibri"/>
          <w:b/>
          <w:sz w:val="28"/>
          <w:szCs w:val="28"/>
          <w:lang w:val="en-AU" w:eastAsia="en-US"/>
        </w:rPr>
        <w:t>WRITTEN ANSWER OF PORTUGAL</w:t>
      </w:r>
    </w:p>
    <w:p w14:paraId="681125C5" w14:textId="77777777" w:rsidR="00522537" w:rsidRDefault="00522537" w:rsidP="00010C2A">
      <w:pPr>
        <w:jc w:val="center"/>
        <w:rPr>
          <w:rFonts w:eastAsia="Calibri"/>
          <w:b/>
          <w:sz w:val="28"/>
          <w:szCs w:val="28"/>
          <w:lang w:val="en-AU" w:eastAsia="en-US"/>
        </w:rPr>
      </w:pPr>
    </w:p>
    <w:p w14:paraId="4221B53D" w14:textId="77777777" w:rsidR="00522537" w:rsidRDefault="00522537" w:rsidP="00010C2A">
      <w:pPr>
        <w:jc w:val="center"/>
        <w:rPr>
          <w:rFonts w:eastAsia="Calibri"/>
          <w:b/>
          <w:sz w:val="28"/>
          <w:szCs w:val="28"/>
          <w:lang w:val="en-AU" w:eastAsia="en-US"/>
        </w:rPr>
      </w:pPr>
    </w:p>
    <w:p w14:paraId="7229D70B" w14:textId="1D94947C" w:rsidR="00010C2A" w:rsidRPr="00010C2A" w:rsidRDefault="00522537" w:rsidP="00010C2A">
      <w:pPr>
        <w:jc w:val="center"/>
        <w:rPr>
          <w:rFonts w:eastAsia="Calibri"/>
          <w:b/>
          <w:sz w:val="28"/>
          <w:szCs w:val="28"/>
          <w:lang w:val="en-AU" w:eastAsia="en-US"/>
        </w:rPr>
      </w:pPr>
      <w:r>
        <w:rPr>
          <w:rFonts w:eastAsia="Calibri"/>
          <w:b/>
          <w:sz w:val="28"/>
          <w:szCs w:val="28"/>
          <w:lang w:val="en-AU" w:eastAsia="en-US"/>
        </w:rPr>
        <w:t>Q</w:t>
      </w:r>
      <w:r w:rsidR="00010C2A" w:rsidRPr="00010C2A">
        <w:rPr>
          <w:rFonts w:eastAsia="Calibri"/>
          <w:b/>
          <w:sz w:val="28"/>
          <w:szCs w:val="28"/>
          <w:lang w:val="en-AU" w:eastAsia="en-US"/>
        </w:rPr>
        <w:t>uestionnaire on ‘Women’s Human Rights</w:t>
      </w:r>
    </w:p>
    <w:p w14:paraId="4A2BB728" w14:textId="77777777" w:rsidR="00010C2A" w:rsidRPr="00010C2A" w:rsidRDefault="00010C2A" w:rsidP="00010C2A">
      <w:pPr>
        <w:spacing w:after="240"/>
        <w:jc w:val="center"/>
        <w:rPr>
          <w:rFonts w:eastAsia="Calibri"/>
          <w:b/>
          <w:sz w:val="28"/>
          <w:szCs w:val="28"/>
          <w:lang w:val="en-AU" w:eastAsia="en-US"/>
        </w:rPr>
      </w:pPr>
      <w:r w:rsidRPr="00010C2A">
        <w:rPr>
          <w:rFonts w:eastAsia="Calibri"/>
          <w:b/>
          <w:sz w:val="28"/>
          <w:szCs w:val="28"/>
          <w:lang w:val="en-AU" w:eastAsia="en-US"/>
        </w:rPr>
        <w:t>in the Changing World of Work’</w:t>
      </w:r>
    </w:p>
    <w:p w14:paraId="4D554851" w14:textId="45D8A547" w:rsidR="00CD085A" w:rsidRPr="00522537" w:rsidRDefault="00083566" w:rsidP="00083566">
      <w:pPr>
        <w:widowControl w:val="0"/>
        <w:tabs>
          <w:tab w:val="left" w:pos="8280"/>
        </w:tabs>
        <w:autoSpaceDE w:val="0"/>
        <w:autoSpaceDN w:val="0"/>
        <w:adjustRightInd w:val="0"/>
        <w:spacing w:before="240"/>
        <w:jc w:val="both"/>
        <w:rPr>
          <w:rFonts w:ascii="Century Gothic" w:hAnsi="Century Gothic" w:cs="Arial"/>
          <w:sz w:val="16"/>
          <w:szCs w:val="16"/>
          <w:lang w:val="en-GB"/>
        </w:rPr>
      </w:pPr>
      <w:r w:rsidRPr="00522537">
        <w:rPr>
          <w:rFonts w:ascii="Century Gothic" w:hAnsi="Century Gothic" w:cs="Arial"/>
          <w:sz w:val="16"/>
          <w:szCs w:val="16"/>
          <w:lang w:val="en-GB"/>
        </w:rPr>
        <w:tab/>
      </w:r>
    </w:p>
    <w:p w14:paraId="5BC42317" w14:textId="77777777" w:rsidR="00010C2A" w:rsidRPr="00010C2A" w:rsidRDefault="00010C2A" w:rsidP="00010C2A">
      <w:pPr>
        <w:spacing w:after="120"/>
        <w:rPr>
          <w:rFonts w:eastAsia="Calibri"/>
          <w:b/>
          <w:lang w:val="en-GB" w:eastAsia="en-US"/>
        </w:rPr>
      </w:pPr>
      <w:r w:rsidRPr="00010C2A">
        <w:rPr>
          <w:rFonts w:eastAsia="Calibri"/>
          <w:b/>
          <w:lang w:val="en-GB" w:eastAsia="en-US"/>
        </w:rPr>
        <w:t>Core questions</w:t>
      </w:r>
    </w:p>
    <w:p w14:paraId="0E831721" w14:textId="77777777" w:rsidR="00010C2A" w:rsidRPr="00010C2A" w:rsidRDefault="00010C2A" w:rsidP="00967516">
      <w:pPr>
        <w:numPr>
          <w:ilvl w:val="0"/>
          <w:numId w:val="3"/>
        </w:numPr>
        <w:spacing w:after="120" w:line="259" w:lineRule="auto"/>
        <w:ind w:left="714" w:hanging="357"/>
        <w:contextualSpacing/>
        <w:jc w:val="both"/>
        <w:rPr>
          <w:rFonts w:eastAsia="Calibri"/>
          <w:lang w:val="en-GB" w:eastAsia="en-US"/>
        </w:rPr>
      </w:pPr>
      <w:r w:rsidRPr="00010C2A">
        <w:rPr>
          <w:rFonts w:eastAsia="Calibri"/>
          <w:lang w:val="en-GB" w:eastAsia="en-US"/>
        </w:rPr>
        <w:t>What are the main trends influencing women’s human rights in the world of work in your national context and their impact:</w:t>
      </w:r>
    </w:p>
    <w:p w14:paraId="561B046F" w14:textId="77777777" w:rsidR="00010C2A" w:rsidRPr="00010C2A" w:rsidRDefault="00010C2A" w:rsidP="00967516">
      <w:pPr>
        <w:numPr>
          <w:ilvl w:val="0"/>
          <w:numId w:val="4"/>
        </w:numPr>
        <w:spacing w:after="160" w:line="259" w:lineRule="auto"/>
        <w:ind w:left="1071" w:hanging="357"/>
        <w:contextualSpacing/>
        <w:jc w:val="both"/>
        <w:rPr>
          <w:rFonts w:eastAsia="Calibri"/>
          <w:lang w:val="en-GB" w:eastAsia="en-US"/>
        </w:rPr>
      </w:pPr>
      <w:r w:rsidRPr="00010C2A">
        <w:rPr>
          <w:rFonts w:eastAsia="Calibri"/>
          <w:lang w:val="en-GB" w:eastAsia="en-US"/>
        </w:rPr>
        <w:t>on the types of and quantity work available to women, and the quality and conditions of work (including access to social protection and equal pay)?</w:t>
      </w:r>
    </w:p>
    <w:p w14:paraId="6586000C" w14:textId="77777777" w:rsidR="00010C2A" w:rsidRPr="00010C2A" w:rsidRDefault="00010C2A" w:rsidP="00967516">
      <w:pPr>
        <w:numPr>
          <w:ilvl w:val="0"/>
          <w:numId w:val="4"/>
        </w:numPr>
        <w:spacing w:after="120" w:line="259" w:lineRule="auto"/>
        <w:ind w:left="1071" w:hanging="357"/>
        <w:contextualSpacing/>
        <w:jc w:val="both"/>
        <w:rPr>
          <w:rFonts w:eastAsia="Calibri"/>
          <w:lang w:val="en-GB" w:eastAsia="en-US"/>
        </w:rPr>
      </w:pPr>
      <w:r w:rsidRPr="00010C2A">
        <w:rPr>
          <w:rFonts w:eastAsia="Calibri"/>
          <w:lang w:val="en-GB" w:eastAsia="en-US"/>
        </w:rPr>
        <w:t>for women’s safety (including violence and sexual harassment) at work?</w:t>
      </w:r>
    </w:p>
    <w:p w14:paraId="60BCB183" w14:textId="77777777" w:rsidR="00010C2A" w:rsidRDefault="00010C2A" w:rsidP="00967516">
      <w:pPr>
        <w:numPr>
          <w:ilvl w:val="0"/>
          <w:numId w:val="4"/>
        </w:numPr>
        <w:spacing w:after="120" w:line="259" w:lineRule="auto"/>
        <w:ind w:left="1071" w:hanging="357"/>
        <w:contextualSpacing/>
        <w:jc w:val="both"/>
        <w:rPr>
          <w:rFonts w:eastAsia="Calibri"/>
          <w:lang w:val="en-GB" w:eastAsia="en-US"/>
        </w:rPr>
      </w:pPr>
      <w:r w:rsidRPr="00010C2A">
        <w:rPr>
          <w:rFonts w:eastAsia="Calibri"/>
          <w:lang w:val="en-GB" w:eastAsia="en-US"/>
        </w:rPr>
        <w:t>on women’s rights to organize and claim rights?</w:t>
      </w:r>
    </w:p>
    <w:p w14:paraId="41F2D0AC" w14:textId="77777777" w:rsidR="00191AAA" w:rsidRDefault="00191AAA" w:rsidP="00191AAA">
      <w:pPr>
        <w:spacing w:after="120" w:line="259" w:lineRule="auto"/>
        <w:ind w:left="1071"/>
        <w:contextualSpacing/>
        <w:rPr>
          <w:rFonts w:eastAsia="Calibri"/>
          <w:lang w:val="en-GB" w:eastAsia="en-US"/>
        </w:rPr>
      </w:pPr>
    </w:p>
    <w:p w14:paraId="1B3C2769" w14:textId="0843640A" w:rsidR="00605FEF" w:rsidRDefault="004D519F" w:rsidP="00162300">
      <w:pPr>
        <w:pStyle w:val="Default"/>
        <w:jc w:val="both"/>
        <w:rPr>
          <w:rFonts w:asciiTheme="minorHAnsi" w:hAnsiTheme="minorHAnsi" w:cs="Arial"/>
          <w:lang w:val="en-US"/>
        </w:rPr>
      </w:pPr>
      <w:r w:rsidRPr="004C5032">
        <w:rPr>
          <w:rFonts w:asciiTheme="minorHAnsi" w:hAnsiTheme="minorHAnsi" w:cs="Arial"/>
          <w:lang w:val="en-US"/>
        </w:rPr>
        <w:t xml:space="preserve">The first legal diplomas dealing with women’s human rights in the world of work in Portugal are from </w:t>
      </w:r>
      <w:r w:rsidR="00605FEF" w:rsidRPr="004C5032">
        <w:rPr>
          <w:rFonts w:asciiTheme="minorHAnsi" w:hAnsiTheme="minorHAnsi" w:cs="Arial"/>
          <w:lang w:val="en-US"/>
        </w:rPr>
        <w:t>1973</w:t>
      </w:r>
      <w:r w:rsidR="004C5032">
        <w:rPr>
          <w:rFonts w:asciiTheme="minorHAnsi" w:hAnsiTheme="minorHAnsi" w:cs="Arial"/>
          <w:lang w:val="en-US"/>
        </w:rPr>
        <w:t xml:space="preserve">. </w:t>
      </w:r>
      <w:r w:rsidR="004C5032" w:rsidRPr="0032143A">
        <w:rPr>
          <w:rFonts w:asciiTheme="minorHAnsi" w:hAnsiTheme="minorHAnsi" w:cs="Arial"/>
          <w:lang w:val="en-GB"/>
        </w:rPr>
        <w:t>T</w:t>
      </w:r>
      <w:r w:rsidR="00605FEF" w:rsidRPr="0032143A">
        <w:rPr>
          <w:rFonts w:asciiTheme="minorHAnsi" w:hAnsiTheme="minorHAnsi" w:cs="Arial"/>
          <w:lang w:val="en-GB"/>
        </w:rPr>
        <w:t>he Commission for Equality in Labo</w:t>
      </w:r>
      <w:r w:rsidR="004C5032" w:rsidRPr="0032143A">
        <w:rPr>
          <w:rFonts w:asciiTheme="minorHAnsi" w:hAnsiTheme="minorHAnsi" w:cs="Arial"/>
          <w:lang w:val="en-GB"/>
        </w:rPr>
        <w:t>u</w:t>
      </w:r>
      <w:r w:rsidR="00605FEF" w:rsidRPr="0032143A">
        <w:rPr>
          <w:rFonts w:asciiTheme="minorHAnsi" w:hAnsiTheme="minorHAnsi" w:cs="Arial"/>
          <w:lang w:val="en-GB"/>
        </w:rPr>
        <w:t>r and Employment</w:t>
      </w:r>
      <w:r w:rsidR="00291B5A" w:rsidRPr="0032143A">
        <w:rPr>
          <w:rFonts w:asciiTheme="minorHAnsi" w:hAnsiTheme="minorHAnsi" w:cs="Arial"/>
          <w:lang w:val="en-GB"/>
        </w:rPr>
        <w:t xml:space="preserve"> was established in 1979</w:t>
      </w:r>
      <w:r w:rsidR="00605FEF" w:rsidRPr="0032143A">
        <w:rPr>
          <w:rFonts w:asciiTheme="minorHAnsi" w:hAnsiTheme="minorHAnsi" w:cs="Arial"/>
          <w:lang w:val="en-GB"/>
        </w:rPr>
        <w:t xml:space="preserve">. </w:t>
      </w:r>
      <w:r w:rsidR="00605FEF" w:rsidRPr="004C5032">
        <w:rPr>
          <w:rFonts w:asciiTheme="minorHAnsi" w:hAnsiTheme="minorHAnsi" w:cs="Arial"/>
          <w:lang w:val="en-US"/>
        </w:rPr>
        <w:t xml:space="preserve">Since then, </w:t>
      </w:r>
      <w:r w:rsidR="004C5032">
        <w:rPr>
          <w:rFonts w:asciiTheme="minorHAnsi" w:hAnsiTheme="minorHAnsi" w:cs="Arial"/>
          <w:lang w:val="en-US"/>
        </w:rPr>
        <w:t>a significant amount of</w:t>
      </w:r>
      <w:r w:rsidR="00605FEF" w:rsidRPr="004C5032">
        <w:rPr>
          <w:rFonts w:asciiTheme="minorHAnsi" w:hAnsiTheme="minorHAnsi" w:cs="Arial"/>
          <w:lang w:val="en-US"/>
        </w:rPr>
        <w:t xml:space="preserve"> legislation </w:t>
      </w:r>
      <w:r w:rsidR="004C5032" w:rsidRPr="004C5032">
        <w:rPr>
          <w:rFonts w:asciiTheme="minorHAnsi" w:hAnsiTheme="minorHAnsi" w:cs="Arial"/>
          <w:lang w:val="en-US"/>
        </w:rPr>
        <w:t xml:space="preserve">has been approved </w:t>
      </w:r>
      <w:r w:rsidR="00605FEF" w:rsidRPr="004C5032">
        <w:rPr>
          <w:rFonts w:asciiTheme="minorHAnsi" w:hAnsiTheme="minorHAnsi" w:cs="Arial"/>
          <w:lang w:val="en-US"/>
        </w:rPr>
        <w:t xml:space="preserve">concerning </w:t>
      </w:r>
      <w:r w:rsidR="004C5032" w:rsidRPr="00162300">
        <w:rPr>
          <w:rFonts w:asciiTheme="minorHAnsi" w:hAnsiTheme="minorHAnsi" w:cs="Arial"/>
          <w:lang w:val="en-US"/>
        </w:rPr>
        <w:t>work-life balance</w:t>
      </w:r>
      <w:r w:rsidR="00162300">
        <w:rPr>
          <w:rFonts w:asciiTheme="minorHAnsi" w:hAnsiTheme="minorHAnsi" w:cs="Arial"/>
          <w:lang w:val="en-US"/>
        </w:rPr>
        <w:t>,</w:t>
      </w:r>
      <w:r w:rsidR="004C5032" w:rsidRPr="00162300">
        <w:rPr>
          <w:rFonts w:asciiTheme="minorHAnsi" w:hAnsiTheme="minorHAnsi" w:cs="Arial"/>
          <w:lang w:val="en-US"/>
        </w:rPr>
        <w:t xml:space="preserve"> </w:t>
      </w:r>
      <w:r w:rsidR="00605FEF" w:rsidRPr="004C5032">
        <w:rPr>
          <w:rFonts w:asciiTheme="minorHAnsi" w:hAnsiTheme="minorHAnsi" w:cs="Arial"/>
          <w:lang w:val="en-US"/>
        </w:rPr>
        <w:t>employment discrimination, parenting</w:t>
      </w:r>
      <w:r w:rsidR="00162300" w:rsidRPr="00162300">
        <w:rPr>
          <w:rFonts w:asciiTheme="minorHAnsi" w:hAnsiTheme="minorHAnsi" w:cs="Arial"/>
          <w:lang w:val="en-US"/>
        </w:rPr>
        <w:t xml:space="preserve"> </w:t>
      </w:r>
      <w:r w:rsidR="00162300">
        <w:rPr>
          <w:rFonts w:asciiTheme="minorHAnsi" w:hAnsiTheme="minorHAnsi" w:cs="Arial"/>
          <w:lang w:val="en-US"/>
        </w:rPr>
        <w:t>protection</w:t>
      </w:r>
      <w:r w:rsidR="00605FEF" w:rsidRPr="004C5032">
        <w:rPr>
          <w:rFonts w:asciiTheme="minorHAnsi" w:hAnsiTheme="minorHAnsi" w:cs="Arial"/>
          <w:lang w:val="en-US"/>
        </w:rPr>
        <w:t xml:space="preserve">, harassment at work, gender pay gap, balanced representation of women and men in the workplace, domestic violence </w:t>
      </w:r>
      <w:r w:rsidR="00162300" w:rsidRPr="004C5032">
        <w:rPr>
          <w:rFonts w:asciiTheme="minorHAnsi" w:hAnsiTheme="minorHAnsi" w:cs="Arial"/>
          <w:lang w:val="en-US"/>
        </w:rPr>
        <w:t xml:space="preserve">prevention </w:t>
      </w:r>
      <w:r w:rsidR="00162300">
        <w:rPr>
          <w:rFonts w:asciiTheme="minorHAnsi" w:hAnsiTheme="minorHAnsi" w:cs="Arial"/>
          <w:lang w:val="en-US"/>
        </w:rPr>
        <w:t xml:space="preserve">and </w:t>
      </w:r>
      <w:r w:rsidR="0032143A" w:rsidRPr="004C5032">
        <w:rPr>
          <w:rFonts w:asciiTheme="minorHAnsi" w:hAnsiTheme="minorHAnsi" w:cs="Arial"/>
          <w:lang w:val="en-US"/>
        </w:rPr>
        <w:t>victim’s</w:t>
      </w:r>
      <w:r w:rsidR="00162300">
        <w:rPr>
          <w:rFonts w:asciiTheme="minorHAnsi" w:hAnsiTheme="minorHAnsi" w:cs="Arial"/>
          <w:lang w:val="en-US"/>
        </w:rPr>
        <w:t xml:space="preserve"> protection</w:t>
      </w:r>
      <w:r w:rsidR="00605FEF" w:rsidRPr="004C5032">
        <w:rPr>
          <w:rFonts w:asciiTheme="minorHAnsi" w:hAnsiTheme="minorHAnsi" w:cs="Arial"/>
          <w:lang w:val="en-US"/>
        </w:rPr>
        <w:t>.</w:t>
      </w:r>
      <w:r w:rsidR="00EF635C">
        <w:rPr>
          <w:rFonts w:asciiTheme="minorHAnsi" w:hAnsiTheme="minorHAnsi" w:cs="Arial"/>
          <w:lang w:val="en-US"/>
        </w:rPr>
        <w:t xml:space="preserve"> </w:t>
      </w:r>
    </w:p>
    <w:p w14:paraId="087FD9AA" w14:textId="77777777" w:rsidR="00F7622F" w:rsidRDefault="00F7622F" w:rsidP="00AF1C61">
      <w:pPr>
        <w:pStyle w:val="Default"/>
        <w:jc w:val="both"/>
        <w:rPr>
          <w:rFonts w:asciiTheme="minorHAnsi" w:hAnsiTheme="minorHAnsi" w:cs="Arial"/>
          <w:lang w:val="en-US"/>
        </w:rPr>
      </w:pPr>
    </w:p>
    <w:p w14:paraId="4AFA7343" w14:textId="0CC8A573" w:rsidR="00F7622F" w:rsidRDefault="000411D8" w:rsidP="00AF1C61">
      <w:pPr>
        <w:pStyle w:val="Default"/>
        <w:jc w:val="both"/>
        <w:rPr>
          <w:rFonts w:asciiTheme="minorHAnsi" w:hAnsiTheme="minorHAnsi" w:cs="Arial"/>
          <w:lang w:val="en-US"/>
        </w:rPr>
      </w:pPr>
      <w:r w:rsidRPr="000411D8">
        <w:rPr>
          <w:rFonts w:asciiTheme="minorHAnsi" w:hAnsiTheme="minorHAnsi" w:cs="Arial"/>
          <w:lang w:val="en-US"/>
        </w:rPr>
        <w:t>The Commission for Citizenshi</w:t>
      </w:r>
      <w:r w:rsidRPr="00F7622F">
        <w:rPr>
          <w:rFonts w:asciiTheme="minorHAnsi" w:hAnsiTheme="minorHAnsi" w:cs="Arial"/>
          <w:lang w:val="en-US"/>
        </w:rPr>
        <w:t>p a</w:t>
      </w:r>
      <w:r w:rsidRPr="000411D8">
        <w:rPr>
          <w:rFonts w:asciiTheme="minorHAnsi" w:hAnsiTheme="minorHAnsi" w:cs="Arial"/>
          <w:lang w:val="en-US"/>
        </w:rPr>
        <w:t>n</w:t>
      </w:r>
      <w:r w:rsidRPr="00F7622F">
        <w:rPr>
          <w:rFonts w:asciiTheme="minorHAnsi" w:hAnsiTheme="minorHAnsi" w:cs="Arial"/>
          <w:lang w:val="en-US"/>
        </w:rPr>
        <w:t xml:space="preserve">d </w:t>
      </w:r>
      <w:r>
        <w:rPr>
          <w:rFonts w:asciiTheme="minorHAnsi" w:hAnsiTheme="minorHAnsi" w:cs="Arial"/>
          <w:lang w:val="en-US"/>
        </w:rPr>
        <w:t xml:space="preserve">Gender Equality (CIG) is the national body in charge of promoting and upholding </w:t>
      </w:r>
      <w:r w:rsidR="00E40030">
        <w:rPr>
          <w:rFonts w:asciiTheme="minorHAnsi" w:hAnsiTheme="minorHAnsi" w:cs="Arial"/>
          <w:lang w:val="en-US"/>
        </w:rPr>
        <w:t xml:space="preserve">the constitutional principle of equality between women and men. </w:t>
      </w:r>
      <w:r w:rsidR="00E40030" w:rsidRPr="00E40030">
        <w:rPr>
          <w:rFonts w:asciiTheme="minorHAnsi" w:hAnsiTheme="minorHAnsi" w:cs="Arial"/>
          <w:lang w:val="en-US"/>
        </w:rPr>
        <w:t>CIG is resp</w:t>
      </w:r>
      <w:r w:rsidR="00E40030" w:rsidRPr="00F7622F">
        <w:rPr>
          <w:rFonts w:asciiTheme="minorHAnsi" w:hAnsiTheme="minorHAnsi" w:cs="Arial"/>
          <w:lang w:val="en-US"/>
        </w:rPr>
        <w:t>onsible for</w:t>
      </w:r>
      <w:r w:rsidR="00304A17">
        <w:rPr>
          <w:rFonts w:asciiTheme="minorHAnsi" w:hAnsiTheme="minorHAnsi" w:cs="Arial"/>
          <w:lang w:val="en-US"/>
        </w:rPr>
        <w:t xml:space="preserve"> </w:t>
      </w:r>
      <w:r w:rsidR="00E40030" w:rsidRPr="00F52EF3">
        <w:rPr>
          <w:rFonts w:asciiTheme="minorHAnsi" w:hAnsiTheme="minorHAnsi" w:cs="Arial"/>
          <w:lang w:val="en-US"/>
        </w:rPr>
        <w:t>executing the public policies in t</w:t>
      </w:r>
      <w:r w:rsidR="00E40030">
        <w:rPr>
          <w:rFonts w:asciiTheme="minorHAnsi" w:hAnsiTheme="minorHAnsi" w:cs="Arial"/>
          <w:lang w:val="en-US"/>
        </w:rPr>
        <w:t xml:space="preserve">he areas of citizenship, promoting gender equality and and </w:t>
      </w:r>
      <w:r w:rsidR="003240F5">
        <w:rPr>
          <w:rFonts w:asciiTheme="minorHAnsi" w:hAnsiTheme="minorHAnsi" w:cs="Arial"/>
          <w:lang w:val="en-US"/>
        </w:rPr>
        <w:t xml:space="preserve">combatting violence against women and domestic violence, as well as trafficking in human beings. </w:t>
      </w:r>
    </w:p>
    <w:p w14:paraId="6B007D02" w14:textId="77777777" w:rsidR="00F7622F" w:rsidRDefault="00F7622F" w:rsidP="00AF1C61">
      <w:pPr>
        <w:pStyle w:val="Default"/>
        <w:jc w:val="both"/>
        <w:rPr>
          <w:rFonts w:asciiTheme="minorHAnsi" w:hAnsiTheme="minorHAnsi" w:cs="Arial"/>
          <w:lang w:val="en-US"/>
        </w:rPr>
      </w:pPr>
    </w:p>
    <w:p w14:paraId="22BC2BDF" w14:textId="4684AD7D" w:rsidR="00AF1C61" w:rsidRPr="00F52EF3" w:rsidRDefault="00F7622F" w:rsidP="00AF1C61">
      <w:pPr>
        <w:pStyle w:val="Default"/>
        <w:jc w:val="both"/>
        <w:rPr>
          <w:rFonts w:asciiTheme="minorHAnsi" w:hAnsiTheme="minorHAnsi" w:cs="Arial"/>
          <w:lang w:val="en-US"/>
        </w:rPr>
      </w:pPr>
      <w:r>
        <w:rPr>
          <w:rFonts w:asciiTheme="minorHAnsi" w:hAnsiTheme="minorHAnsi" w:cs="Arial"/>
          <w:lang w:val="en-US"/>
        </w:rPr>
        <w:t>I</w:t>
      </w:r>
      <w:r w:rsidR="00304A17" w:rsidRPr="00304A17">
        <w:rPr>
          <w:rFonts w:asciiTheme="minorHAnsi" w:hAnsiTheme="minorHAnsi" w:cs="Arial"/>
          <w:lang w:val="en-US"/>
        </w:rPr>
        <w:t>n this context, CIG c</w:t>
      </w:r>
      <w:r w:rsidR="00304A17" w:rsidRPr="00F52EF3">
        <w:rPr>
          <w:rFonts w:asciiTheme="minorHAnsi" w:hAnsiTheme="minorHAnsi" w:cs="Arial"/>
          <w:lang w:val="en-US"/>
        </w:rPr>
        <w:t xml:space="preserve">oordinates the implementation of the </w:t>
      </w:r>
      <w:r w:rsidR="00AF1C61" w:rsidRPr="00F52EF3">
        <w:rPr>
          <w:rFonts w:asciiTheme="minorHAnsi" w:hAnsiTheme="minorHAnsi" w:cs="Arial"/>
          <w:lang w:val="en-US"/>
        </w:rPr>
        <w:t xml:space="preserve">National Strategy for Equality and Non-Discrimination 2018-2030 “Portugal + Igual” (ENIND), </w:t>
      </w:r>
      <w:r w:rsidR="00AF1C61">
        <w:rPr>
          <w:rFonts w:asciiTheme="minorHAnsi" w:hAnsiTheme="minorHAnsi" w:cs="Arial"/>
          <w:lang w:val="en-US"/>
        </w:rPr>
        <w:t xml:space="preserve">which was </w:t>
      </w:r>
      <w:r w:rsidR="00AF1C61" w:rsidRPr="00F52EF3">
        <w:rPr>
          <w:rFonts w:asciiTheme="minorHAnsi" w:hAnsiTheme="minorHAnsi" w:cs="Arial"/>
          <w:lang w:val="en-US"/>
        </w:rPr>
        <w:t>approved in 2018 by a Resolution of the Council of Ministers. Aligned with the 2030 Agenda, ENIND started a new cycle in the promotion of women’s rights and in eliminating discrimination based on a systemic and comprehensive approach to public policy in three major areas: on a) promoting equality between women and men; b) preventing and combating violence against women and domestic violence (including harmful practices such as female genital mutilation (FGM) and forced and early marriages); c)  and combating discrimination on the basis of sexual orientation, gender identity and expression, and sex characteristics. These 3 areas correspond to ENIND’s three action plans 2018-2021. For the first time, Portugal has an umbrella long-term equality and non-discrimination national strategy, that brings together and articulates these three areas.</w:t>
      </w:r>
    </w:p>
    <w:p w14:paraId="11F58C0E" w14:textId="77777777" w:rsidR="00407E56" w:rsidRPr="003054BA" w:rsidRDefault="00407E56" w:rsidP="00605FEF">
      <w:pPr>
        <w:shd w:val="clear" w:color="auto" w:fill="FFFFFF"/>
        <w:jc w:val="both"/>
        <w:textAlignment w:val="top"/>
        <w:rPr>
          <w:rFonts w:asciiTheme="minorHAnsi" w:hAnsiTheme="minorHAnsi" w:cs="Arial"/>
          <w:lang w:val="en-US"/>
        </w:rPr>
      </w:pPr>
    </w:p>
    <w:p w14:paraId="140ABD3F" w14:textId="77777777" w:rsidR="00605FEF" w:rsidRPr="00703542" w:rsidRDefault="00605FEF" w:rsidP="00605FEF">
      <w:pPr>
        <w:shd w:val="clear" w:color="auto" w:fill="FFFFFF"/>
        <w:jc w:val="both"/>
        <w:textAlignment w:val="top"/>
        <w:rPr>
          <w:rFonts w:asciiTheme="minorHAnsi" w:hAnsiTheme="minorHAnsi" w:cs="Arial"/>
          <w:b/>
          <w:lang w:val="en-US"/>
        </w:rPr>
      </w:pPr>
      <w:r w:rsidRPr="00703542">
        <w:rPr>
          <w:rFonts w:asciiTheme="minorHAnsi" w:hAnsiTheme="minorHAnsi" w:cs="Arial"/>
          <w:b/>
          <w:lang w:val="en-US"/>
        </w:rPr>
        <w:t>Labour Market</w:t>
      </w:r>
      <w:r w:rsidR="00162300" w:rsidRPr="00703542">
        <w:rPr>
          <w:rFonts w:asciiTheme="minorHAnsi" w:hAnsiTheme="minorHAnsi" w:cs="Arial"/>
          <w:b/>
          <w:lang w:val="en-US"/>
        </w:rPr>
        <w:t xml:space="preserve"> Participation</w:t>
      </w:r>
    </w:p>
    <w:p w14:paraId="7B0ACA4A" w14:textId="77777777" w:rsidR="00605FEF" w:rsidRPr="00703542" w:rsidRDefault="00605FEF" w:rsidP="00605FEF">
      <w:pPr>
        <w:jc w:val="both"/>
        <w:rPr>
          <w:rFonts w:asciiTheme="minorHAnsi" w:hAnsiTheme="minorHAnsi"/>
          <w:lang w:val="en-US"/>
        </w:rPr>
      </w:pPr>
    </w:p>
    <w:p w14:paraId="67FF5FC2" w14:textId="77777777" w:rsidR="00605FEF" w:rsidRPr="00703542" w:rsidRDefault="00605FEF" w:rsidP="00605FEF">
      <w:pPr>
        <w:jc w:val="both"/>
        <w:rPr>
          <w:rFonts w:asciiTheme="minorHAnsi" w:hAnsiTheme="minorHAnsi"/>
          <w:lang w:val="en-US"/>
        </w:rPr>
      </w:pPr>
      <w:r w:rsidRPr="00703542">
        <w:rPr>
          <w:rFonts w:asciiTheme="minorHAnsi" w:hAnsiTheme="minorHAnsi"/>
          <w:lang w:val="en-US"/>
        </w:rPr>
        <w:t xml:space="preserve">In 2018, </w:t>
      </w:r>
      <w:r w:rsidR="00162300" w:rsidRPr="00703542">
        <w:rPr>
          <w:rFonts w:asciiTheme="minorHAnsi" w:hAnsiTheme="minorHAnsi"/>
          <w:lang w:val="en-US"/>
        </w:rPr>
        <w:t>Portugal´s active population was estimated at 5</w:t>
      </w:r>
      <w:r w:rsidR="00703542">
        <w:rPr>
          <w:rFonts w:asciiTheme="minorHAnsi" w:hAnsiTheme="minorHAnsi"/>
          <w:lang w:val="en-US"/>
        </w:rPr>
        <w:t>.</w:t>
      </w:r>
      <w:r w:rsidR="00407E56" w:rsidRPr="00703542">
        <w:rPr>
          <w:rFonts w:asciiTheme="minorHAnsi" w:hAnsiTheme="minorHAnsi"/>
          <w:lang w:val="en-US"/>
        </w:rPr>
        <w:t>2</w:t>
      </w:r>
      <w:r w:rsidR="00162300" w:rsidRPr="00703542">
        <w:rPr>
          <w:rFonts w:asciiTheme="minorHAnsi" w:hAnsiTheme="minorHAnsi"/>
          <w:lang w:val="en-US"/>
        </w:rPr>
        <w:t xml:space="preserve"> million</w:t>
      </w:r>
      <w:r w:rsidR="00407E56" w:rsidRPr="00703542">
        <w:rPr>
          <w:rFonts w:asciiTheme="minorHAnsi" w:hAnsiTheme="minorHAnsi"/>
          <w:lang w:val="en-US"/>
        </w:rPr>
        <w:t xml:space="preserve"> people approximately, of which 50.</w:t>
      </w:r>
      <w:r w:rsidRPr="00703542">
        <w:rPr>
          <w:rFonts w:asciiTheme="minorHAnsi" w:hAnsiTheme="minorHAnsi"/>
          <w:lang w:val="en-US"/>
        </w:rPr>
        <w:t>8% were men and 49</w:t>
      </w:r>
      <w:r w:rsidR="00407E56" w:rsidRPr="00703542">
        <w:rPr>
          <w:rFonts w:asciiTheme="minorHAnsi" w:hAnsiTheme="minorHAnsi"/>
          <w:lang w:val="en-US"/>
        </w:rPr>
        <w:t>.</w:t>
      </w:r>
      <w:r w:rsidRPr="00703542">
        <w:rPr>
          <w:rFonts w:asciiTheme="minorHAnsi" w:hAnsiTheme="minorHAnsi"/>
          <w:lang w:val="en-US"/>
        </w:rPr>
        <w:t>2% women. Compared to the previous year, there was an increase of 13.2 thousand people, as a result of the increase in the number of active women (+19.2 thousand) and the decrease in the number of active men (-6 thousand).</w:t>
      </w:r>
    </w:p>
    <w:p w14:paraId="4B097E73" w14:textId="77777777" w:rsidR="00605FEF" w:rsidRPr="00703542" w:rsidRDefault="00605FEF" w:rsidP="00605FEF">
      <w:pPr>
        <w:jc w:val="both"/>
        <w:rPr>
          <w:rFonts w:asciiTheme="minorHAnsi" w:hAnsiTheme="minorHAnsi"/>
          <w:lang w:val="en-US"/>
        </w:rPr>
      </w:pPr>
    </w:p>
    <w:p w14:paraId="4644EDF9" w14:textId="28272F84" w:rsidR="00605FEF" w:rsidRPr="00703542" w:rsidRDefault="00605FEF" w:rsidP="00605FEF">
      <w:pPr>
        <w:jc w:val="both"/>
        <w:rPr>
          <w:rFonts w:asciiTheme="minorHAnsi" w:hAnsiTheme="minorHAnsi"/>
          <w:lang w:val="en-US"/>
        </w:rPr>
      </w:pPr>
      <w:r w:rsidRPr="00703542">
        <w:rPr>
          <w:rFonts w:asciiTheme="minorHAnsi" w:hAnsiTheme="minorHAnsi"/>
          <w:lang w:val="en-US"/>
        </w:rPr>
        <w:t xml:space="preserve">The active population, between 2017 and 2018, presented a differentiation according to </w:t>
      </w:r>
      <w:r w:rsidR="005A1CD3">
        <w:rPr>
          <w:rFonts w:asciiTheme="minorHAnsi" w:hAnsiTheme="minorHAnsi"/>
          <w:lang w:val="en-US"/>
        </w:rPr>
        <w:t>sex</w:t>
      </w:r>
      <w:r w:rsidR="005A1CD3" w:rsidRPr="00703542">
        <w:rPr>
          <w:rFonts w:asciiTheme="minorHAnsi" w:hAnsiTheme="minorHAnsi"/>
          <w:lang w:val="en-US"/>
        </w:rPr>
        <w:t xml:space="preserve"> </w:t>
      </w:r>
      <w:r w:rsidRPr="00703542">
        <w:rPr>
          <w:rFonts w:asciiTheme="minorHAnsi" w:hAnsiTheme="minorHAnsi"/>
          <w:lang w:val="en-US"/>
        </w:rPr>
        <w:t xml:space="preserve">and age, </w:t>
      </w:r>
      <w:r w:rsidR="00703542" w:rsidRPr="00703542">
        <w:rPr>
          <w:rFonts w:asciiTheme="minorHAnsi" w:hAnsiTheme="minorHAnsi"/>
          <w:lang w:val="en-US"/>
        </w:rPr>
        <w:t>namely</w:t>
      </w:r>
      <w:r w:rsidRPr="00703542">
        <w:rPr>
          <w:rFonts w:asciiTheme="minorHAnsi" w:hAnsiTheme="minorHAnsi"/>
          <w:lang w:val="en-US"/>
        </w:rPr>
        <w:t>:</w:t>
      </w:r>
    </w:p>
    <w:p w14:paraId="5D6A4E62" w14:textId="77777777" w:rsidR="00605FEF" w:rsidRPr="00703542" w:rsidRDefault="00605FEF" w:rsidP="00605FEF">
      <w:pPr>
        <w:jc w:val="both"/>
        <w:rPr>
          <w:rFonts w:asciiTheme="minorHAnsi" w:hAnsiTheme="minorHAnsi"/>
          <w:lang w:val="en-US"/>
        </w:rPr>
      </w:pPr>
      <w:r w:rsidRPr="00703542">
        <w:rPr>
          <w:rFonts w:asciiTheme="minorHAnsi" w:hAnsiTheme="minorHAnsi"/>
          <w:lang w:val="en-US"/>
        </w:rPr>
        <w:t>• Increase in female active population (+ 0.8%) and decrease in male</w:t>
      </w:r>
      <w:r w:rsidR="00703542" w:rsidRPr="00703542">
        <w:rPr>
          <w:rFonts w:asciiTheme="minorHAnsi" w:hAnsiTheme="minorHAnsi"/>
          <w:lang w:val="en-US"/>
        </w:rPr>
        <w:t xml:space="preserve"> active population</w:t>
      </w:r>
      <w:r w:rsidRPr="00703542">
        <w:rPr>
          <w:rFonts w:asciiTheme="minorHAnsi" w:hAnsiTheme="minorHAnsi"/>
          <w:lang w:val="en-US"/>
        </w:rPr>
        <w:t xml:space="preserve"> (-0.2%);</w:t>
      </w:r>
    </w:p>
    <w:p w14:paraId="524DF924" w14:textId="77777777" w:rsidR="00605FEF" w:rsidRPr="00703542" w:rsidRDefault="00605FEF" w:rsidP="00605FEF">
      <w:pPr>
        <w:jc w:val="both"/>
        <w:rPr>
          <w:rFonts w:asciiTheme="minorHAnsi" w:hAnsiTheme="minorHAnsi"/>
          <w:lang w:val="en-US"/>
        </w:rPr>
      </w:pPr>
      <w:r w:rsidRPr="00703542">
        <w:rPr>
          <w:rFonts w:asciiTheme="minorHAnsi" w:hAnsiTheme="minorHAnsi"/>
          <w:lang w:val="en-US"/>
        </w:rPr>
        <w:lastRenderedPageBreak/>
        <w:t xml:space="preserve">• Higher increases in the 65 </w:t>
      </w:r>
      <w:r w:rsidR="00703542" w:rsidRPr="00703542">
        <w:rPr>
          <w:rFonts w:asciiTheme="minorHAnsi" w:hAnsiTheme="minorHAnsi"/>
          <w:lang w:val="en-US"/>
        </w:rPr>
        <w:t xml:space="preserve">years old </w:t>
      </w:r>
      <w:r w:rsidRPr="00703542">
        <w:rPr>
          <w:rFonts w:asciiTheme="minorHAnsi" w:hAnsiTheme="minorHAnsi"/>
          <w:lang w:val="en-US"/>
        </w:rPr>
        <w:t xml:space="preserve">and older segments (+ 3.7%) and from 45 to 64 </w:t>
      </w:r>
      <w:r w:rsidR="00703542" w:rsidRPr="00703542">
        <w:rPr>
          <w:rFonts w:asciiTheme="minorHAnsi" w:hAnsiTheme="minorHAnsi"/>
          <w:lang w:val="en-US"/>
        </w:rPr>
        <w:t xml:space="preserve">years old </w:t>
      </w:r>
      <w:r w:rsidRPr="00703542">
        <w:rPr>
          <w:rFonts w:asciiTheme="minorHAnsi" w:hAnsiTheme="minorHAnsi"/>
          <w:lang w:val="en-US"/>
        </w:rPr>
        <w:t xml:space="preserve">(+ 2.0%), while the youngest increased slightly (+ 0.2%) </w:t>
      </w:r>
      <w:r w:rsidR="0032143A" w:rsidRPr="00703542">
        <w:rPr>
          <w:rFonts w:asciiTheme="minorHAnsi" w:hAnsiTheme="minorHAnsi"/>
          <w:lang w:val="en-US"/>
        </w:rPr>
        <w:t>and between</w:t>
      </w:r>
      <w:r w:rsidRPr="00703542">
        <w:rPr>
          <w:rFonts w:asciiTheme="minorHAnsi" w:hAnsiTheme="minorHAnsi"/>
          <w:lang w:val="en-US"/>
        </w:rPr>
        <w:t xml:space="preserve"> 35 and 44 years old (-1.7%) and between 25 and 34 years old (-1.6%) decreased.</w:t>
      </w:r>
    </w:p>
    <w:p w14:paraId="145BB75E" w14:textId="77777777" w:rsidR="00605FEF" w:rsidRPr="00703542" w:rsidRDefault="00605FEF" w:rsidP="00605FEF">
      <w:pPr>
        <w:jc w:val="both"/>
        <w:rPr>
          <w:rFonts w:asciiTheme="minorHAnsi" w:hAnsiTheme="minorHAnsi"/>
          <w:lang w:val="en-US"/>
        </w:rPr>
      </w:pPr>
      <w:r w:rsidRPr="00703542">
        <w:rPr>
          <w:rFonts w:asciiTheme="minorHAnsi" w:hAnsiTheme="minorHAnsi"/>
          <w:lang w:val="en-US"/>
        </w:rPr>
        <w:t>• Significant increase in the female active population in the 65</w:t>
      </w:r>
      <w:r w:rsidR="00703542" w:rsidRPr="00703542">
        <w:rPr>
          <w:rFonts w:asciiTheme="minorHAnsi" w:hAnsiTheme="minorHAnsi"/>
          <w:lang w:val="en-US"/>
        </w:rPr>
        <w:t xml:space="preserve"> years old</w:t>
      </w:r>
      <w:r w:rsidRPr="00703542">
        <w:rPr>
          <w:rFonts w:asciiTheme="minorHAnsi" w:hAnsiTheme="minorHAnsi"/>
          <w:lang w:val="en-US"/>
        </w:rPr>
        <w:t xml:space="preserve"> and older segments (+ 9.7%), and from 45 to 64 </w:t>
      </w:r>
      <w:r w:rsidR="00703542" w:rsidRPr="00703542">
        <w:rPr>
          <w:rFonts w:asciiTheme="minorHAnsi" w:hAnsiTheme="minorHAnsi"/>
          <w:lang w:val="en-US"/>
        </w:rPr>
        <w:t xml:space="preserve">years old </w:t>
      </w:r>
      <w:r w:rsidRPr="00703542">
        <w:rPr>
          <w:rFonts w:asciiTheme="minorHAnsi" w:hAnsiTheme="minorHAnsi"/>
          <w:lang w:val="en-US"/>
        </w:rPr>
        <w:t>(+ 4.0%).</w:t>
      </w:r>
    </w:p>
    <w:p w14:paraId="1D964A19" w14:textId="77777777" w:rsidR="00605FEF" w:rsidRPr="004835DA" w:rsidRDefault="00605FEF" w:rsidP="00605FEF">
      <w:pPr>
        <w:shd w:val="clear" w:color="auto" w:fill="FFFFFF"/>
        <w:jc w:val="both"/>
        <w:textAlignment w:val="top"/>
        <w:rPr>
          <w:rFonts w:asciiTheme="minorHAnsi" w:hAnsiTheme="minorHAnsi" w:cs="Arial"/>
          <w:highlight w:val="yellow"/>
          <w:lang w:val="en-US"/>
        </w:rPr>
      </w:pPr>
    </w:p>
    <w:p w14:paraId="29A5565C" w14:textId="77777777" w:rsidR="00605FEF" w:rsidRPr="00703542" w:rsidRDefault="00605FEF" w:rsidP="00605FEF">
      <w:pPr>
        <w:pStyle w:val="Caption"/>
        <w:keepNext/>
        <w:spacing w:after="0" w:line="240" w:lineRule="auto"/>
        <w:rPr>
          <w:rFonts w:asciiTheme="minorHAnsi" w:hAnsiTheme="minorHAnsi"/>
          <w:sz w:val="24"/>
          <w:szCs w:val="24"/>
          <w:lang w:val="en-US"/>
        </w:rPr>
      </w:pPr>
      <w:bookmarkStart w:id="0" w:name="_Toc14697616"/>
      <w:r w:rsidRPr="00703542">
        <w:rPr>
          <w:rFonts w:asciiTheme="minorHAnsi" w:hAnsiTheme="minorHAnsi"/>
          <w:sz w:val="24"/>
          <w:szCs w:val="24"/>
          <w:lang w:val="en-US"/>
        </w:rPr>
        <w:t>Table 1 – Active population in Portugal, by sex, from 2012 to 2018 (</w:t>
      </w:r>
      <w:r w:rsidR="003033F0">
        <w:rPr>
          <w:rFonts w:asciiTheme="minorHAnsi" w:hAnsiTheme="minorHAnsi"/>
          <w:sz w:val="24"/>
          <w:szCs w:val="24"/>
          <w:lang w:val="en-US"/>
        </w:rPr>
        <w:t>thousands</w:t>
      </w:r>
      <w:r w:rsidRPr="00703542">
        <w:rPr>
          <w:rFonts w:asciiTheme="minorHAnsi" w:hAnsiTheme="minorHAnsi"/>
          <w:sz w:val="24"/>
          <w:szCs w:val="24"/>
          <w:lang w:val="en-US"/>
        </w:rPr>
        <w:t>)</w:t>
      </w:r>
      <w:bookmarkEnd w:id="0"/>
    </w:p>
    <w:p w14:paraId="46EEC084" w14:textId="77777777" w:rsidR="00703542" w:rsidRPr="0032143A" w:rsidRDefault="00605FEF" w:rsidP="00605FEF">
      <w:pPr>
        <w:jc w:val="both"/>
        <w:rPr>
          <w:rFonts w:asciiTheme="minorHAnsi" w:hAnsiTheme="minorHAnsi"/>
          <w:b/>
          <w:i/>
          <w:lang w:val="en-GB"/>
        </w:rPr>
      </w:pPr>
      <w:r w:rsidRPr="00703542">
        <w:rPr>
          <w:rFonts w:asciiTheme="minorHAnsi" w:hAnsiTheme="minorHAnsi"/>
          <w:noProof/>
          <w:lang w:val="en-GB" w:eastAsia="en-GB"/>
        </w:rPr>
        <w:drawing>
          <wp:inline distT="0" distB="0" distL="0" distR="0" wp14:anchorId="5534C254" wp14:editId="640FE33C">
            <wp:extent cx="5399903" cy="2594919"/>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05C7187" w14:textId="77777777" w:rsidR="00605FEF" w:rsidRPr="00703542" w:rsidRDefault="00605FEF" w:rsidP="00605FEF">
      <w:pPr>
        <w:jc w:val="both"/>
        <w:rPr>
          <w:rFonts w:asciiTheme="minorHAnsi" w:hAnsiTheme="minorHAnsi"/>
        </w:rPr>
      </w:pPr>
      <w:r w:rsidRPr="00473576">
        <w:rPr>
          <w:rFonts w:asciiTheme="minorHAnsi" w:hAnsiTheme="minorHAnsi"/>
          <w:b/>
          <w:i/>
        </w:rPr>
        <w:t>Source</w:t>
      </w:r>
      <w:r w:rsidRPr="00703542">
        <w:rPr>
          <w:rFonts w:asciiTheme="minorHAnsi" w:hAnsiTheme="minorHAnsi"/>
          <w:b/>
          <w:i/>
        </w:rPr>
        <w:t>:</w:t>
      </w:r>
      <w:r w:rsidRPr="00703542">
        <w:rPr>
          <w:rFonts w:asciiTheme="minorHAnsi" w:hAnsiTheme="minorHAnsi"/>
          <w:i/>
        </w:rPr>
        <w:t xml:space="preserve"> </w:t>
      </w:r>
      <w:r w:rsidRPr="00703542">
        <w:rPr>
          <w:rFonts w:asciiTheme="minorHAnsi" w:hAnsiTheme="minorHAnsi"/>
        </w:rPr>
        <w:t>INE, IP, Inquérito ao Emprego</w:t>
      </w:r>
    </w:p>
    <w:p w14:paraId="057C1F43" w14:textId="77777777" w:rsidR="004835DA" w:rsidRDefault="004835DA" w:rsidP="00605FEF">
      <w:pPr>
        <w:jc w:val="both"/>
        <w:rPr>
          <w:rFonts w:asciiTheme="minorHAnsi" w:hAnsiTheme="minorHAnsi"/>
          <w:highlight w:val="yellow"/>
        </w:rPr>
      </w:pPr>
    </w:p>
    <w:p w14:paraId="05C8114E" w14:textId="77777777" w:rsidR="00090B2A" w:rsidRPr="004D519F" w:rsidRDefault="00090B2A" w:rsidP="00605FEF">
      <w:pPr>
        <w:jc w:val="both"/>
        <w:rPr>
          <w:rFonts w:asciiTheme="minorHAnsi" w:hAnsiTheme="minorHAnsi"/>
          <w:highlight w:val="yellow"/>
        </w:rPr>
      </w:pPr>
    </w:p>
    <w:p w14:paraId="674C8725" w14:textId="77777777" w:rsidR="00605FEF" w:rsidRPr="003033F0" w:rsidRDefault="00605FEF" w:rsidP="00605FEF">
      <w:pPr>
        <w:jc w:val="both"/>
        <w:rPr>
          <w:rFonts w:asciiTheme="minorHAnsi" w:hAnsiTheme="minorHAnsi"/>
          <w:lang w:val="en-US"/>
        </w:rPr>
      </w:pPr>
      <w:r w:rsidRPr="003033F0">
        <w:rPr>
          <w:rFonts w:asciiTheme="minorHAnsi" w:hAnsiTheme="minorHAnsi"/>
          <w:lang w:val="en-US"/>
        </w:rPr>
        <w:t>The activity rate decre</w:t>
      </w:r>
      <w:r w:rsidR="0032143A">
        <w:rPr>
          <w:rFonts w:asciiTheme="minorHAnsi" w:hAnsiTheme="minorHAnsi"/>
          <w:lang w:val="en-US"/>
        </w:rPr>
        <w:t>ased by 1.1 pp between 2012 (60.</w:t>
      </w:r>
      <w:r w:rsidRPr="003033F0">
        <w:rPr>
          <w:rFonts w:asciiTheme="minorHAnsi" w:hAnsiTheme="minorHAnsi"/>
          <w:lang w:val="en-US"/>
        </w:rPr>
        <w:t xml:space="preserve"> 2%) and 2018 (59.1%), with the drop being </w:t>
      </w:r>
      <w:r w:rsidR="00703542" w:rsidRPr="003033F0">
        <w:rPr>
          <w:rFonts w:asciiTheme="minorHAnsi" w:hAnsiTheme="minorHAnsi"/>
          <w:lang w:val="en-US"/>
        </w:rPr>
        <w:t>bigger</w:t>
      </w:r>
      <w:r w:rsidRPr="003033F0">
        <w:rPr>
          <w:rFonts w:asciiTheme="minorHAnsi" w:hAnsiTheme="minorHAnsi"/>
          <w:lang w:val="en-US"/>
        </w:rPr>
        <w:t xml:space="preserve"> for men (-1.9 pp), from 66.3%. to 64.4%</w:t>
      </w:r>
      <w:r w:rsidR="00703542" w:rsidRPr="003033F0">
        <w:rPr>
          <w:rFonts w:asciiTheme="minorHAnsi" w:hAnsiTheme="minorHAnsi"/>
          <w:lang w:val="en-US"/>
        </w:rPr>
        <w:t>, than for women which had</w:t>
      </w:r>
      <w:r w:rsidRPr="003033F0">
        <w:rPr>
          <w:rFonts w:asciiTheme="minorHAnsi" w:hAnsiTheme="minorHAnsi"/>
          <w:lang w:val="en-US"/>
        </w:rPr>
        <w:t xml:space="preserve"> a decrease of 0.2 pp in the same period. Over the past year, the activity rate has increased by 0.1 pp compared to 2017, increasing by 0.4 pp for women and decreasing by 0.1 pp for men.</w:t>
      </w:r>
    </w:p>
    <w:p w14:paraId="7DE97DEA" w14:textId="77777777" w:rsidR="00605FEF" w:rsidRPr="003033F0" w:rsidRDefault="00605FEF" w:rsidP="00605FEF">
      <w:pPr>
        <w:jc w:val="both"/>
        <w:rPr>
          <w:rFonts w:asciiTheme="minorHAnsi" w:hAnsiTheme="minorHAnsi"/>
          <w:lang w:val="en-US"/>
        </w:rPr>
      </w:pPr>
    </w:p>
    <w:p w14:paraId="0190744B" w14:textId="77777777" w:rsidR="00605FEF" w:rsidRPr="003033F0" w:rsidRDefault="00605FEF" w:rsidP="00605FEF">
      <w:pPr>
        <w:jc w:val="both"/>
        <w:rPr>
          <w:rFonts w:asciiTheme="minorHAnsi" w:hAnsiTheme="minorHAnsi"/>
          <w:lang w:val="en-US"/>
        </w:rPr>
      </w:pPr>
      <w:r w:rsidRPr="003033F0">
        <w:rPr>
          <w:rFonts w:asciiTheme="minorHAnsi" w:hAnsiTheme="minorHAnsi"/>
          <w:lang w:val="en-US"/>
        </w:rPr>
        <w:t>The inactive population (aged 15 and over) increased in the period between 2012 and 2017 (+ 1.9%, +68.8 thousand people), having decreased in 2018 (-0.4%) with 14.5 thousand fewer people.</w:t>
      </w:r>
    </w:p>
    <w:p w14:paraId="1DCA2582" w14:textId="77777777" w:rsidR="00605FEF" w:rsidRPr="003033F0" w:rsidRDefault="00605FEF" w:rsidP="00605FEF">
      <w:pPr>
        <w:jc w:val="both"/>
        <w:rPr>
          <w:rFonts w:asciiTheme="minorHAnsi" w:hAnsiTheme="minorHAnsi"/>
          <w:lang w:val="en-US"/>
        </w:rPr>
      </w:pPr>
    </w:p>
    <w:p w14:paraId="6F0DB1E9" w14:textId="77777777" w:rsidR="00605FEF" w:rsidRPr="003033F0" w:rsidRDefault="00605FEF" w:rsidP="00605FEF">
      <w:pPr>
        <w:jc w:val="both"/>
        <w:rPr>
          <w:rFonts w:asciiTheme="minorHAnsi" w:hAnsiTheme="minorHAnsi"/>
          <w:lang w:val="en-US"/>
        </w:rPr>
      </w:pPr>
      <w:r w:rsidRPr="003033F0">
        <w:rPr>
          <w:rFonts w:asciiTheme="minorHAnsi" w:hAnsiTheme="minorHAnsi"/>
          <w:lang w:val="en-US"/>
        </w:rPr>
        <w:t>It is also worth highlighting:</w:t>
      </w:r>
    </w:p>
    <w:p w14:paraId="7B6F1A22" w14:textId="77777777" w:rsidR="00605FEF" w:rsidRPr="003033F0" w:rsidRDefault="00605FEF" w:rsidP="00605FEF">
      <w:pPr>
        <w:jc w:val="both"/>
        <w:rPr>
          <w:rFonts w:asciiTheme="minorHAnsi" w:hAnsiTheme="minorHAnsi"/>
          <w:lang w:val="en-US"/>
        </w:rPr>
      </w:pPr>
      <w:r w:rsidRPr="003033F0">
        <w:rPr>
          <w:rFonts w:asciiTheme="minorHAnsi" w:hAnsiTheme="minorHAnsi"/>
          <w:lang w:val="en-US"/>
        </w:rPr>
        <w:t>• A more pronounced increase in inactivity among men than among women, although the inactive population is still mostly female (59.4%);</w:t>
      </w:r>
    </w:p>
    <w:p w14:paraId="704A94E4" w14:textId="77777777" w:rsidR="00605FEF" w:rsidRPr="003033F0" w:rsidRDefault="00605FEF" w:rsidP="00605FEF">
      <w:pPr>
        <w:jc w:val="both"/>
        <w:rPr>
          <w:rFonts w:asciiTheme="minorHAnsi" w:hAnsiTheme="minorHAnsi"/>
          <w:lang w:val="en-US"/>
        </w:rPr>
      </w:pPr>
      <w:r w:rsidRPr="003033F0">
        <w:rPr>
          <w:rFonts w:asciiTheme="minorHAnsi" w:hAnsiTheme="minorHAnsi"/>
          <w:lang w:val="en-US"/>
        </w:rPr>
        <w:t>• A rise (0.8 pp) of the inactive population in the “65 and older” group compared to 2017;</w:t>
      </w:r>
    </w:p>
    <w:p w14:paraId="783EE97C" w14:textId="77777777" w:rsidR="00605FEF" w:rsidRPr="003033F0" w:rsidRDefault="00605FEF" w:rsidP="00605FEF">
      <w:pPr>
        <w:jc w:val="both"/>
        <w:rPr>
          <w:rFonts w:asciiTheme="minorHAnsi" w:hAnsiTheme="minorHAnsi"/>
          <w:lang w:val="en-US"/>
        </w:rPr>
      </w:pPr>
      <w:r w:rsidRPr="003033F0">
        <w:rPr>
          <w:rFonts w:asciiTheme="minorHAnsi" w:hAnsiTheme="minorHAnsi"/>
          <w:lang w:val="en-US"/>
        </w:rPr>
        <w:t>• A decrease between 2017 and 2018 of inactivity in most other age groups, most notably in the “45 to 64 years” (minus 0.4 pp).</w:t>
      </w:r>
    </w:p>
    <w:p w14:paraId="2090213A" w14:textId="77777777" w:rsidR="00605FEF" w:rsidRPr="004835DA" w:rsidRDefault="00605FEF" w:rsidP="00605FEF">
      <w:pPr>
        <w:jc w:val="both"/>
        <w:rPr>
          <w:rFonts w:asciiTheme="minorHAnsi" w:hAnsiTheme="minorHAnsi"/>
          <w:highlight w:val="yellow"/>
          <w:lang w:val="en-US"/>
        </w:rPr>
      </w:pPr>
    </w:p>
    <w:p w14:paraId="54576631" w14:textId="77777777" w:rsidR="00605FEF" w:rsidRPr="004835DA" w:rsidRDefault="00605FEF" w:rsidP="00605FEF">
      <w:pPr>
        <w:jc w:val="both"/>
        <w:rPr>
          <w:rFonts w:asciiTheme="minorHAnsi" w:hAnsiTheme="minorHAnsi"/>
          <w:highlight w:val="yellow"/>
          <w:lang w:val="en-US"/>
        </w:rPr>
      </w:pPr>
    </w:p>
    <w:p w14:paraId="37F84184" w14:textId="77777777" w:rsidR="00605FEF" w:rsidRPr="003033F0" w:rsidRDefault="00605FEF" w:rsidP="00605FEF">
      <w:pPr>
        <w:jc w:val="both"/>
        <w:rPr>
          <w:rFonts w:asciiTheme="minorHAnsi" w:hAnsiTheme="minorHAnsi"/>
          <w:b/>
          <w:lang w:val="en-US"/>
        </w:rPr>
      </w:pPr>
      <w:r w:rsidRPr="003033F0">
        <w:rPr>
          <w:rFonts w:asciiTheme="minorHAnsi" w:hAnsiTheme="minorHAnsi"/>
          <w:b/>
          <w:lang w:val="en-US"/>
        </w:rPr>
        <w:t>Employment and unemployment</w:t>
      </w:r>
    </w:p>
    <w:p w14:paraId="49F62504" w14:textId="77777777" w:rsidR="00605FEF" w:rsidRPr="004835DA" w:rsidRDefault="00605FEF" w:rsidP="00605FEF">
      <w:pPr>
        <w:jc w:val="both"/>
        <w:rPr>
          <w:rFonts w:asciiTheme="minorHAnsi" w:hAnsiTheme="minorHAnsi"/>
          <w:b/>
          <w:highlight w:val="yellow"/>
          <w:lang w:val="en-US"/>
        </w:rPr>
      </w:pPr>
    </w:p>
    <w:p w14:paraId="02F6EFE9" w14:textId="77777777" w:rsidR="00605FEF" w:rsidRPr="003033F0" w:rsidRDefault="00605FEF" w:rsidP="00605FEF">
      <w:pPr>
        <w:jc w:val="both"/>
        <w:rPr>
          <w:rFonts w:asciiTheme="minorHAnsi" w:hAnsiTheme="minorHAnsi"/>
          <w:lang w:val="en-US"/>
        </w:rPr>
      </w:pPr>
      <w:r w:rsidRPr="003033F0">
        <w:rPr>
          <w:rFonts w:asciiTheme="minorHAnsi" w:hAnsiTheme="minorHAnsi"/>
          <w:lang w:val="en-US"/>
        </w:rPr>
        <w:t xml:space="preserve">The employed population (15 years and over), in 2018, was estimated at 4,866.7 thousand people, of which 51.1% men and 48.9% women. After a period of contraction observed between 2011 and 2013, the employed population in Portugal started to face successive records, with an estimated 9.9% growth of that population between 2013 and 2018, around 437.3 </w:t>
      </w:r>
      <w:r w:rsidR="00090B2A">
        <w:rPr>
          <w:rFonts w:asciiTheme="minorHAnsi" w:hAnsiTheme="minorHAnsi"/>
          <w:lang w:val="en-US"/>
        </w:rPr>
        <w:t>thousand</w:t>
      </w:r>
      <w:r w:rsidRPr="003033F0">
        <w:rPr>
          <w:rFonts w:asciiTheme="minorHAnsi" w:hAnsiTheme="minorHAnsi"/>
          <w:lang w:val="en-US"/>
        </w:rPr>
        <w:t xml:space="preserve"> people, including mostly over women (11.2%).</w:t>
      </w:r>
    </w:p>
    <w:p w14:paraId="45077D69" w14:textId="77777777" w:rsidR="00090B2A" w:rsidRPr="003033F0" w:rsidRDefault="00090B2A" w:rsidP="00605FEF">
      <w:pPr>
        <w:jc w:val="both"/>
        <w:rPr>
          <w:rFonts w:asciiTheme="minorHAnsi" w:hAnsiTheme="minorHAnsi"/>
          <w:lang w:val="en-US"/>
        </w:rPr>
      </w:pPr>
    </w:p>
    <w:p w14:paraId="4B631037" w14:textId="77777777" w:rsidR="00090B2A" w:rsidRPr="00090B2A" w:rsidRDefault="00090B2A" w:rsidP="00090B2A">
      <w:pPr>
        <w:pStyle w:val="Caption"/>
        <w:keepNext/>
        <w:rPr>
          <w:rFonts w:asciiTheme="minorHAnsi" w:hAnsiTheme="minorHAnsi"/>
          <w:lang w:val="en-US"/>
        </w:rPr>
      </w:pPr>
      <w:bookmarkStart w:id="1" w:name="_Toc14697618"/>
      <w:r>
        <w:rPr>
          <w:rFonts w:asciiTheme="minorHAnsi" w:hAnsiTheme="minorHAnsi"/>
          <w:lang w:val="en-US"/>
        </w:rPr>
        <w:lastRenderedPageBreak/>
        <w:t>Table 2</w:t>
      </w:r>
      <w:r w:rsidR="00605FEF" w:rsidRPr="00090B2A">
        <w:rPr>
          <w:rFonts w:asciiTheme="minorHAnsi" w:hAnsiTheme="minorHAnsi"/>
          <w:lang w:val="en-US"/>
        </w:rPr>
        <w:t xml:space="preserve">- Employed population (15 and more) in Portugal by sex, 2012-2018 </w:t>
      </w:r>
      <w:bookmarkEnd w:id="1"/>
    </w:p>
    <w:p w14:paraId="3271FD7A" w14:textId="77777777" w:rsidR="00090B2A" w:rsidRDefault="00090B2A" w:rsidP="00605FEF">
      <w:pPr>
        <w:spacing w:line="0" w:lineRule="atLeast"/>
        <w:ind w:right="20"/>
        <w:jc w:val="both"/>
        <w:rPr>
          <w:rFonts w:asciiTheme="minorHAnsi" w:hAnsiTheme="minorHAnsi"/>
          <w:sz w:val="18"/>
        </w:rPr>
      </w:pPr>
      <w:r>
        <w:rPr>
          <w:noProof/>
          <w:lang w:val="en-GB" w:eastAsia="en-GB"/>
        </w:rPr>
        <w:drawing>
          <wp:inline distT="0" distB="0" distL="0" distR="0" wp14:anchorId="180BF3EB" wp14:editId="18E945B5">
            <wp:extent cx="5629275" cy="4143376"/>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15EF96" w14:textId="77777777" w:rsidR="00090B2A" w:rsidRPr="0032143A" w:rsidRDefault="00090B2A" w:rsidP="00605FEF">
      <w:pPr>
        <w:spacing w:line="0" w:lineRule="atLeast"/>
        <w:ind w:right="20"/>
        <w:jc w:val="both"/>
        <w:rPr>
          <w:rFonts w:asciiTheme="minorHAnsi" w:hAnsiTheme="minorHAnsi"/>
          <w:sz w:val="18"/>
          <w:lang w:val="en-GB"/>
        </w:rPr>
      </w:pPr>
    </w:p>
    <w:p w14:paraId="16952529" w14:textId="77777777" w:rsidR="00605FEF" w:rsidRPr="00090B2A" w:rsidRDefault="00605FEF" w:rsidP="00605FEF">
      <w:pPr>
        <w:spacing w:line="0" w:lineRule="atLeast"/>
        <w:ind w:right="20"/>
        <w:jc w:val="both"/>
        <w:rPr>
          <w:rFonts w:asciiTheme="minorHAnsi" w:hAnsiTheme="minorHAnsi"/>
          <w:i/>
          <w:sz w:val="18"/>
        </w:rPr>
      </w:pPr>
      <w:r w:rsidRPr="00473576">
        <w:rPr>
          <w:rFonts w:asciiTheme="minorHAnsi" w:hAnsiTheme="minorHAnsi"/>
          <w:b/>
          <w:i/>
          <w:sz w:val="18"/>
        </w:rPr>
        <w:t>Source</w:t>
      </w:r>
      <w:r w:rsidRPr="00090B2A">
        <w:rPr>
          <w:rFonts w:asciiTheme="minorHAnsi" w:hAnsiTheme="minorHAnsi"/>
          <w:b/>
          <w:i/>
          <w:sz w:val="18"/>
        </w:rPr>
        <w:t>:</w:t>
      </w:r>
      <w:r w:rsidRPr="00090B2A">
        <w:rPr>
          <w:rFonts w:asciiTheme="minorHAnsi" w:hAnsiTheme="minorHAnsi"/>
          <w:i/>
          <w:sz w:val="18"/>
        </w:rPr>
        <w:t xml:space="preserve"> </w:t>
      </w:r>
      <w:r w:rsidRPr="00090B2A">
        <w:rPr>
          <w:rFonts w:asciiTheme="minorHAnsi" w:hAnsiTheme="minorHAnsi"/>
          <w:sz w:val="18"/>
        </w:rPr>
        <w:t>INE, IP, Inquérito ao Emprego</w:t>
      </w:r>
    </w:p>
    <w:p w14:paraId="72BF5D4C" w14:textId="77777777" w:rsidR="00605FEF" w:rsidRPr="00090B2A" w:rsidRDefault="00605FEF" w:rsidP="00605FEF">
      <w:pPr>
        <w:jc w:val="both"/>
        <w:rPr>
          <w:rFonts w:asciiTheme="minorHAnsi" w:hAnsiTheme="minorHAnsi"/>
        </w:rPr>
      </w:pPr>
    </w:p>
    <w:p w14:paraId="326B30C9" w14:textId="77777777" w:rsidR="00605FEF" w:rsidRPr="00090B2A" w:rsidRDefault="00605FEF" w:rsidP="00605FEF">
      <w:pPr>
        <w:jc w:val="both"/>
        <w:rPr>
          <w:rFonts w:asciiTheme="minorHAnsi" w:hAnsiTheme="minorHAnsi"/>
          <w:lang w:val="en-US"/>
        </w:rPr>
      </w:pPr>
      <w:r w:rsidRPr="00090B2A">
        <w:rPr>
          <w:rFonts w:asciiTheme="minorHAnsi" w:hAnsiTheme="minorHAnsi"/>
          <w:lang w:val="en-US"/>
        </w:rPr>
        <w:t>Since 2013 the employment rate has maintained a rising trend. The employment rate for the 15-64 age group in 2018 was 69.7%, corresponding to 66.9% for women and 72.7% for men. Compared to 2017, there was an increase of 1.9 pp, higher in women (2.1 pp) than in men (1.6 pp). The ra</w:t>
      </w:r>
      <w:r w:rsidR="00090B2A" w:rsidRPr="00090B2A">
        <w:rPr>
          <w:rFonts w:asciiTheme="minorHAnsi" w:hAnsiTheme="minorHAnsi"/>
          <w:lang w:val="en-US"/>
        </w:rPr>
        <w:t xml:space="preserve">te differential between </w:t>
      </w:r>
      <w:r w:rsidR="0032143A" w:rsidRPr="00090B2A">
        <w:rPr>
          <w:rFonts w:asciiTheme="minorHAnsi" w:hAnsiTheme="minorHAnsi"/>
          <w:lang w:val="en-US"/>
        </w:rPr>
        <w:t>sexes</w:t>
      </w:r>
      <w:r w:rsidRPr="00090B2A">
        <w:rPr>
          <w:rFonts w:asciiTheme="minorHAnsi" w:hAnsiTheme="minorHAnsi"/>
          <w:lang w:val="en-US"/>
        </w:rPr>
        <w:t xml:space="preserve"> decreased from 6.3 pp in 2017 to 5.8 pp in 2018.</w:t>
      </w:r>
    </w:p>
    <w:p w14:paraId="553B5261" w14:textId="77777777" w:rsidR="00605FEF" w:rsidRPr="00090B2A" w:rsidRDefault="00605FEF" w:rsidP="00605FEF">
      <w:pPr>
        <w:jc w:val="both"/>
        <w:rPr>
          <w:rFonts w:asciiTheme="minorHAnsi" w:hAnsiTheme="minorHAnsi"/>
          <w:lang w:val="en-US"/>
        </w:rPr>
      </w:pPr>
    </w:p>
    <w:p w14:paraId="5FD43864" w14:textId="77777777" w:rsidR="00605FEF" w:rsidRPr="00090B2A" w:rsidRDefault="00605FEF" w:rsidP="00605FEF">
      <w:pPr>
        <w:jc w:val="both"/>
        <w:rPr>
          <w:rFonts w:asciiTheme="minorHAnsi" w:hAnsiTheme="minorHAnsi" w:cstheme="minorHAnsi"/>
          <w:lang w:val="en-GB"/>
        </w:rPr>
      </w:pPr>
      <w:r w:rsidRPr="00090B2A">
        <w:rPr>
          <w:rFonts w:asciiTheme="minorHAnsi" w:hAnsiTheme="minorHAnsi"/>
          <w:lang w:val="en-US"/>
        </w:rPr>
        <w:t>Comparing the last two decades, data shows an increase in the feminization</w:t>
      </w:r>
      <w:r w:rsidRPr="00090B2A">
        <w:rPr>
          <w:rFonts w:asciiTheme="minorHAnsi" w:hAnsiTheme="minorHAnsi" w:cstheme="minorHAnsi"/>
          <w:lang w:val="en-GB"/>
        </w:rPr>
        <w:t xml:space="preserve"> of employment in Portugal (15-64), from 54.31% in 1995 to 61.6% in 2005, 61, 1% in 2015 (due to economic and financial crisis there was a decrease from 2009 to 2013, from 61,5% to 57,9%) and as stated above to 66.9% in 2016. However, patterns of sexual segregation of employment continue to exist, with male-dominated occupations and female-predominant occupations (Eurostat).</w:t>
      </w:r>
    </w:p>
    <w:p w14:paraId="6B843668" w14:textId="77777777" w:rsidR="00605FEF" w:rsidRPr="004835DA" w:rsidRDefault="00605FEF" w:rsidP="00605FEF">
      <w:pPr>
        <w:jc w:val="both"/>
        <w:rPr>
          <w:rFonts w:asciiTheme="minorHAnsi" w:hAnsiTheme="minorHAnsi"/>
          <w:highlight w:val="yellow"/>
          <w:lang w:val="en-GB"/>
        </w:rPr>
      </w:pPr>
    </w:p>
    <w:p w14:paraId="4A282B11" w14:textId="77777777" w:rsidR="00605FEF" w:rsidRPr="00090B2A" w:rsidRDefault="00605FEF" w:rsidP="00605FEF">
      <w:pPr>
        <w:jc w:val="both"/>
        <w:rPr>
          <w:rFonts w:asciiTheme="minorHAnsi" w:hAnsiTheme="minorHAnsi" w:cstheme="minorHAnsi"/>
          <w:lang w:val="en-GB"/>
        </w:rPr>
      </w:pPr>
      <w:r w:rsidRPr="00090B2A">
        <w:rPr>
          <w:rFonts w:asciiTheme="minorHAnsi" w:hAnsiTheme="minorHAnsi" w:cstheme="minorHAnsi"/>
          <w:lang w:val="en-GB"/>
        </w:rPr>
        <w:t>Among the professions of male preponderance stand out those associated with economic and political decision, and that of specialists in information and communication technologies (ICT). In the feminized professions, those related to care and social reproduction stand out.</w:t>
      </w:r>
    </w:p>
    <w:p w14:paraId="02090B9D" w14:textId="77777777" w:rsidR="00605FEF" w:rsidRPr="004835DA" w:rsidRDefault="00605FEF" w:rsidP="00605FEF">
      <w:pPr>
        <w:jc w:val="both"/>
        <w:rPr>
          <w:rFonts w:asciiTheme="minorHAnsi" w:hAnsiTheme="minorHAnsi" w:cstheme="minorHAnsi"/>
          <w:highlight w:val="yellow"/>
          <w:lang w:val="en-GB"/>
        </w:rPr>
      </w:pPr>
    </w:p>
    <w:p w14:paraId="300F30BF" w14:textId="02569507" w:rsidR="00605FEF" w:rsidRPr="00090B2A" w:rsidRDefault="00605FEF" w:rsidP="00605FEF">
      <w:pPr>
        <w:jc w:val="both"/>
        <w:rPr>
          <w:rFonts w:asciiTheme="minorHAnsi" w:hAnsiTheme="minorHAnsi" w:cstheme="minorHAnsi"/>
          <w:lang w:val="en-GB"/>
        </w:rPr>
      </w:pPr>
      <w:r w:rsidRPr="00090B2A">
        <w:rPr>
          <w:rFonts w:asciiTheme="minorHAnsi" w:hAnsiTheme="minorHAnsi" w:cstheme="minorHAnsi"/>
          <w:lang w:val="en-GB"/>
        </w:rPr>
        <w:t xml:space="preserve">These trends are reflected in lower wages and pensions for women than men (wage inequality between women and men in 2017 was 14.8% for base salary and 18.2% for </w:t>
      </w:r>
      <w:r w:rsidR="008670C5">
        <w:rPr>
          <w:rFonts w:asciiTheme="minorHAnsi" w:hAnsiTheme="minorHAnsi" w:cstheme="minorHAnsi"/>
          <w:lang w:val="en-GB"/>
        </w:rPr>
        <w:t>gross salary</w:t>
      </w:r>
      <w:r w:rsidRPr="00090B2A">
        <w:rPr>
          <w:rFonts w:asciiTheme="minorHAnsi" w:hAnsiTheme="minorHAnsi" w:cstheme="minorHAnsi"/>
          <w:lang w:val="en-GB"/>
        </w:rPr>
        <w:t>) and the level of social protection, as part of the care work is still carried out in an informal setting.</w:t>
      </w:r>
    </w:p>
    <w:p w14:paraId="51CDD765" w14:textId="77777777" w:rsidR="00605FEF" w:rsidRPr="004835DA" w:rsidRDefault="00605FEF" w:rsidP="00605FEF">
      <w:pPr>
        <w:jc w:val="both"/>
        <w:rPr>
          <w:rFonts w:asciiTheme="minorHAnsi" w:hAnsiTheme="minorHAnsi"/>
          <w:highlight w:val="yellow"/>
          <w:lang w:val="en-US"/>
        </w:rPr>
      </w:pPr>
    </w:p>
    <w:p w14:paraId="60CD1D86" w14:textId="77777777" w:rsidR="00605FEF" w:rsidRPr="00090B2A" w:rsidRDefault="00605FEF" w:rsidP="00605FEF">
      <w:pPr>
        <w:jc w:val="both"/>
        <w:rPr>
          <w:rFonts w:asciiTheme="minorHAnsi" w:hAnsiTheme="minorHAnsi"/>
          <w:lang w:val="en-US"/>
        </w:rPr>
      </w:pPr>
      <w:r w:rsidRPr="00090B2A">
        <w:rPr>
          <w:rFonts w:asciiTheme="minorHAnsi" w:hAnsiTheme="minorHAnsi"/>
          <w:lang w:val="en-US"/>
        </w:rPr>
        <w:t xml:space="preserve">It is also important to underline that the employment rate by levels of education shows that, with the increase in education, the differences between the employment rates of men and women decrease. Between 2017 and 2018, the employment rate differential between men and women in the most educated segment (ISCED 5-8) remained unchanged from last year's (1.4 pp), but </w:t>
      </w:r>
      <w:r w:rsidRPr="00090B2A">
        <w:rPr>
          <w:rFonts w:asciiTheme="minorHAnsi" w:hAnsiTheme="minorHAnsi"/>
          <w:lang w:val="en-US"/>
        </w:rPr>
        <w:lastRenderedPageBreak/>
        <w:t>narrowed in the lower education segment (ISCED 0-2) from 13.3 pp to 13.0 pp, due to the increase in the female employment rate (1.6 pp), which surpassed that of men (1.3 pp).</w:t>
      </w:r>
    </w:p>
    <w:p w14:paraId="37F283BC" w14:textId="77777777" w:rsidR="00605FEF" w:rsidRPr="004835DA" w:rsidRDefault="00605FEF" w:rsidP="00605FEF">
      <w:pPr>
        <w:jc w:val="both"/>
        <w:rPr>
          <w:rFonts w:asciiTheme="minorHAnsi" w:hAnsiTheme="minorHAnsi"/>
          <w:highlight w:val="yellow"/>
          <w:lang w:val="en-US"/>
        </w:rPr>
      </w:pPr>
    </w:p>
    <w:p w14:paraId="6DB485E8" w14:textId="77777777" w:rsidR="00605FEF" w:rsidRPr="00090B2A" w:rsidRDefault="00605FEF" w:rsidP="00605FEF">
      <w:pPr>
        <w:jc w:val="both"/>
        <w:rPr>
          <w:rFonts w:asciiTheme="minorHAnsi" w:hAnsiTheme="minorHAnsi"/>
          <w:lang w:val="en-US"/>
        </w:rPr>
      </w:pPr>
      <w:r w:rsidRPr="00090B2A">
        <w:rPr>
          <w:rFonts w:asciiTheme="minorHAnsi" w:hAnsiTheme="minorHAnsi"/>
          <w:lang w:val="en-US"/>
        </w:rPr>
        <w:t>On the other hand, there is an increase in the differential in the secondary and post-secondary education segment (ISCED 3-4), from 4.9 pp in 2017 to 5.1 pp in 2018.</w:t>
      </w:r>
    </w:p>
    <w:p w14:paraId="4182017A" w14:textId="77777777" w:rsidR="00605FEF" w:rsidRDefault="00605FEF" w:rsidP="00605FEF">
      <w:pPr>
        <w:jc w:val="both"/>
        <w:rPr>
          <w:rFonts w:asciiTheme="minorHAnsi" w:hAnsiTheme="minorHAnsi"/>
          <w:highlight w:val="yellow"/>
          <w:lang w:val="en-US"/>
        </w:rPr>
      </w:pPr>
    </w:p>
    <w:p w14:paraId="337F8A40" w14:textId="77777777" w:rsidR="00933F07" w:rsidRPr="004835DA" w:rsidRDefault="00933F07" w:rsidP="00605FEF">
      <w:pPr>
        <w:jc w:val="both"/>
        <w:rPr>
          <w:rFonts w:asciiTheme="minorHAnsi" w:hAnsiTheme="minorHAnsi"/>
          <w:highlight w:val="yellow"/>
          <w:lang w:val="en-US"/>
        </w:rPr>
      </w:pPr>
    </w:p>
    <w:p w14:paraId="3EE7866D" w14:textId="77777777" w:rsidR="00605FEF" w:rsidRDefault="00F84743" w:rsidP="00605FEF">
      <w:pPr>
        <w:pStyle w:val="Caption"/>
        <w:keepNext/>
        <w:spacing w:after="0"/>
        <w:rPr>
          <w:rFonts w:asciiTheme="minorHAnsi" w:hAnsiTheme="minorHAnsi"/>
          <w:lang w:val="en-US"/>
        </w:rPr>
      </w:pPr>
      <w:bookmarkStart w:id="2" w:name="_Toc14697563"/>
      <w:r>
        <w:rPr>
          <w:rFonts w:asciiTheme="minorHAnsi" w:hAnsiTheme="minorHAnsi"/>
          <w:lang w:val="en-US"/>
        </w:rPr>
        <w:t>Table 3</w:t>
      </w:r>
      <w:r w:rsidR="00605FEF" w:rsidRPr="00090B2A">
        <w:rPr>
          <w:rFonts w:asciiTheme="minorHAnsi" w:hAnsiTheme="minorHAnsi"/>
          <w:lang w:val="en-US"/>
        </w:rPr>
        <w:t xml:space="preserve"> – Employment rates (15-64 years) </w:t>
      </w:r>
      <w:r w:rsidR="0032143A" w:rsidRPr="00090B2A">
        <w:rPr>
          <w:rFonts w:asciiTheme="minorHAnsi" w:hAnsiTheme="minorHAnsi"/>
          <w:lang w:val="en-US"/>
        </w:rPr>
        <w:t>by education</w:t>
      </w:r>
      <w:r w:rsidR="00605FEF" w:rsidRPr="00090B2A">
        <w:rPr>
          <w:rFonts w:asciiTheme="minorHAnsi" w:hAnsiTheme="minorHAnsi"/>
          <w:lang w:val="en-US"/>
        </w:rPr>
        <w:t xml:space="preserve"> levels and sex, 2012-2018</w:t>
      </w:r>
      <w:bookmarkEnd w:id="2"/>
    </w:p>
    <w:p w14:paraId="531CE0E2" w14:textId="77777777" w:rsidR="00933F07" w:rsidRDefault="00933F07" w:rsidP="00933F07">
      <w:pPr>
        <w:rPr>
          <w:lang w:val="en-US"/>
        </w:rPr>
      </w:pPr>
    </w:p>
    <w:p w14:paraId="15EC1D6A" w14:textId="77777777" w:rsidR="00933F07" w:rsidRPr="00933F07" w:rsidRDefault="00933F07" w:rsidP="00933F07">
      <w:pPr>
        <w:rPr>
          <w:lang w:val="en-US"/>
        </w:rPr>
      </w:pPr>
    </w:p>
    <w:tbl>
      <w:tblPr>
        <w:tblW w:w="8535" w:type="dxa"/>
        <w:jc w:val="center"/>
        <w:tblCellMar>
          <w:left w:w="70" w:type="dxa"/>
          <w:right w:w="70" w:type="dxa"/>
        </w:tblCellMar>
        <w:tblLook w:val="04A0" w:firstRow="1" w:lastRow="0" w:firstColumn="1" w:lastColumn="0" w:noHBand="0" w:noVBand="1"/>
      </w:tblPr>
      <w:tblGrid>
        <w:gridCol w:w="1272"/>
        <w:gridCol w:w="883"/>
        <w:gridCol w:w="1063"/>
        <w:gridCol w:w="1063"/>
        <w:gridCol w:w="1063"/>
        <w:gridCol w:w="1063"/>
        <w:gridCol w:w="1063"/>
        <w:gridCol w:w="1065"/>
      </w:tblGrid>
      <w:tr w:rsidR="00605FEF" w:rsidRPr="00090B2A" w14:paraId="72B1BC55" w14:textId="77777777" w:rsidTr="0032143A">
        <w:trPr>
          <w:trHeight w:val="274"/>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noWrap/>
            <w:vAlign w:val="center"/>
            <w:hideMark/>
          </w:tcPr>
          <w:p w14:paraId="1E3120C9" w14:textId="77777777" w:rsidR="00605FEF" w:rsidRPr="00090B2A" w:rsidRDefault="00605FEF" w:rsidP="00605FEF">
            <w:pPr>
              <w:jc w:val="both"/>
              <w:rPr>
                <w:rFonts w:asciiTheme="minorHAnsi" w:hAnsiTheme="minorHAnsi" w:cstheme="minorHAnsi"/>
                <w:b/>
                <w:color w:val="FFFFFF"/>
                <w:sz w:val="20"/>
                <w:lang w:val="en-US"/>
              </w:rPr>
            </w:pPr>
            <w:r w:rsidRPr="00090B2A">
              <w:rPr>
                <w:rFonts w:asciiTheme="minorHAnsi" w:hAnsiTheme="minorHAnsi" w:cstheme="minorHAnsi"/>
                <w:b/>
                <w:color w:val="FFFFFF"/>
                <w:sz w:val="20"/>
                <w:lang w:val="en-US"/>
              </w:rPr>
              <w:t> </w:t>
            </w:r>
          </w:p>
        </w:tc>
        <w:tc>
          <w:tcPr>
            <w:tcW w:w="883" w:type="dxa"/>
            <w:tcBorders>
              <w:top w:val="single" w:sz="4" w:space="0" w:color="000000"/>
              <w:left w:val="nil"/>
              <w:bottom w:val="single" w:sz="4" w:space="0" w:color="000000"/>
              <w:right w:val="single" w:sz="4" w:space="0" w:color="000000"/>
            </w:tcBorders>
            <w:shd w:val="clear" w:color="auto" w:fill="365F91" w:themeFill="accent1" w:themeFillShade="BF"/>
            <w:noWrap/>
            <w:vAlign w:val="center"/>
            <w:hideMark/>
          </w:tcPr>
          <w:p w14:paraId="5DC3781D"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2012</w:t>
            </w:r>
          </w:p>
        </w:tc>
        <w:tc>
          <w:tcPr>
            <w:tcW w:w="1063" w:type="dxa"/>
            <w:tcBorders>
              <w:top w:val="single" w:sz="4" w:space="0" w:color="000000"/>
              <w:left w:val="nil"/>
              <w:bottom w:val="single" w:sz="4" w:space="0" w:color="000000"/>
              <w:right w:val="single" w:sz="4" w:space="0" w:color="000000"/>
            </w:tcBorders>
            <w:shd w:val="clear" w:color="auto" w:fill="365F91" w:themeFill="accent1" w:themeFillShade="BF"/>
            <w:noWrap/>
            <w:vAlign w:val="center"/>
            <w:hideMark/>
          </w:tcPr>
          <w:p w14:paraId="2EE3DA1C"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2013</w:t>
            </w:r>
          </w:p>
        </w:tc>
        <w:tc>
          <w:tcPr>
            <w:tcW w:w="1063" w:type="dxa"/>
            <w:tcBorders>
              <w:top w:val="single" w:sz="4" w:space="0" w:color="000000"/>
              <w:left w:val="nil"/>
              <w:bottom w:val="single" w:sz="4" w:space="0" w:color="000000"/>
              <w:right w:val="single" w:sz="4" w:space="0" w:color="000000"/>
            </w:tcBorders>
            <w:shd w:val="clear" w:color="auto" w:fill="365F91" w:themeFill="accent1" w:themeFillShade="BF"/>
            <w:noWrap/>
            <w:vAlign w:val="center"/>
            <w:hideMark/>
          </w:tcPr>
          <w:p w14:paraId="76333B63"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2014</w:t>
            </w:r>
          </w:p>
        </w:tc>
        <w:tc>
          <w:tcPr>
            <w:tcW w:w="1063" w:type="dxa"/>
            <w:tcBorders>
              <w:top w:val="single" w:sz="4" w:space="0" w:color="000000"/>
              <w:left w:val="nil"/>
              <w:bottom w:val="single" w:sz="4" w:space="0" w:color="000000"/>
              <w:right w:val="single" w:sz="4" w:space="0" w:color="000000"/>
            </w:tcBorders>
            <w:shd w:val="clear" w:color="auto" w:fill="365F91" w:themeFill="accent1" w:themeFillShade="BF"/>
            <w:noWrap/>
            <w:vAlign w:val="center"/>
            <w:hideMark/>
          </w:tcPr>
          <w:p w14:paraId="267A2F4A"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2015</w:t>
            </w:r>
          </w:p>
        </w:tc>
        <w:tc>
          <w:tcPr>
            <w:tcW w:w="1063" w:type="dxa"/>
            <w:tcBorders>
              <w:top w:val="single" w:sz="4" w:space="0" w:color="000000"/>
              <w:left w:val="nil"/>
              <w:bottom w:val="single" w:sz="4" w:space="0" w:color="000000"/>
              <w:right w:val="single" w:sz="4" w:space="0" w:color="000000"/>
            </w:tcBorders>
            <w:shd w:val="clear" w:color="auto" w:fill="365F91" w:themeFill="accent1" w:themeFillShade="BF"/>
            <w:noWrap/>
            <w:vAlign w:val="center"/>
            <w:hideMark/>
          </w:tcPr>
          <w:p w14:paraId="3874FA22"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2016</w:t>
            </w:r>
          </w:p>
        </w:tc>
        <w:tc>
          <w:tcPr>
            <w:tcW w:w="1063" w:type="dxa"/>
            <w:tcBorders>
              <w:top w:val="single" w:sz="4" w:space="0" w:color="000000"/>
              <w:left w:val="nil"/>
              <w:bottom w:val="single" w:sz="4" w:space="0" w:color="000000"/>
              <w:right w:val="single" w:sz="4" w:space="0" w:color="000000"/>
            </w:tcBorders>
            <w:shd w:val="clear" w:color="auto" w:fill="365F91" w:themeFill="accent1" w:themeFillShade="BF"/>
            <w:noWrap/>
            <w:vAlign w:val="center"/>
            <w:hideMark/>
          </w:tcPr>
          <w:p w14:paraId="7AACB26E"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2017</w:t>
            </w:r>
          </w:p>
        </w:tc>
        <w:tc>
          <w:tcPr>
            <w:tcW w:w="1065" w:type="dxa"/>
            <w:tcBorders>
              <w:top w:val="single" w:sz="4" w:space="0" w:color="000000"/>
              <w:left w:val="nil"/>
              <w:bottom w:val="single" w:sz="4" w:space="0" w:color="000000"/>
              <w:right w:val="single" w:sz="4" w:space="0" w:color="000000"/>
            </w:tcBorders>
            <w:shd w:val="clear" w:color="auto" w:fill="365F91" w:themeFill="accent1" w:themeFillShade="BF"/>
            <w:noWrap/>
            <w:vAlign w:val="center"/>
            <w:hideMark/>
          </w:tcPr>
          <w:p w14:paraId="4E461C1F"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2018</w:t>
            </w:r>
          </w:p>
        </w:tc>
      </w:tr>
      <w:tr w:rsidR="00605FEF" w:rsidRPr="00090B2A" w14:paraId="4C4F3924" w14:textId="77777777" w:rsidTr="0032143A">
        <w:trPr>
          <w:trHeight w:val="274"/>
          <w:jc w:val="center"/>
        </w:trPr>
        <w:tc>
          <w:tcPr>
            <w:tcW w:w="8535" w:type="dxa"/>
            <w:gridSpan w:val="8"/>
            <w:tcBorders>
              <w:top w:val="single" w:sz="4" w:space="0" w:color="000000"/>
              <w:left w:val="single" w:sz="4" w:space="0" w:color="000000"/>
              <w:bottom w:val="single" w:sz="4" w:space="0" w:color="000000"/>
              <w:right w:val="single" w:sz="4" w:space="0" w:color="000000"/>
            </w:tcBorders>
            <w:shd w:val="clear" w:color="auto" w:fill="365F91" w:themeFill="accent1" w:themeFillShade="BF"/>
            <w:noWrap/>
            <w:vAlign w:val="center"/>
            <w:hideMark/>
          </w:tcPr>
          <w:p w14:paraId="2792F860"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Total</w:t>
            </w:r>
          </w:p>
        </w:tc>
      </w:tr>
      <w:tr w:rsidR="00605FEF" w:rsidRPr="00090B2A" w14:paraId="75415264" w14:textId="77777777" w:rsidTr="0032143A">
        <w:trPr>
          <w:trHeight w:val="274"/>
          <w:jc w:val="center"/>
        </w:trPr>
        <w:tc>
          <w:tcPr>
            <w:tcW w:w="1272" w:type="dxa"/>
            <w:tcBorders>
              <w:top w:val="nil"/>
              <w:left w:val="single" w:sz="4" w:space="0" w:color="000000"/>
              <w:bottom w:val="single" w:sz="4" w:space="0" w:color="000000"/>
              <w:right w:val="single" w:sz="4" w:space="0" w:color="000000"/>
            </w:tcBorders>
            <w:shd w:val="clear" w:color="auto" w:fill="365F91" w:themeFill="accent1" w:themeFillShade="BF"/>
            <w:noWrap/>
            <w:vAlign w:val="bottom"/>
            <w:hideMark/>
          </w:tcPr>
          <w:p w14:paraId="164FF1BF"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ISCED 0-2</w:t>
            </w:r>
          </w:p>
        </w:tc>
        <w:tc>
          <w:tcPr>
            <w:tcW w:w="883" w:type="dxa"/>
            <w:tcBorders>
              <w:top w:val="nil"/>
              <w:left w:val="nil"/>
              <w:bottom w:val="single" w:sz="4" w:space="0" w:color="000000"/>
              <w:right w:val="single" w:sz="4" w:space="0" w:color="000000"/>
            </w:tcBorders>
            <w:shd w:val="clear" w:color="auto" w:fill="auto"/>
            <w:noWrap/>
            <w:vAlign w:val="bottom"/>
            <w:hideMark/>
          </w:tcPr>
          <w:p w14:paraId="13F9F3CC"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56,2</w:t>
            </w:r>
          </w:p>
        </w:tc>
        <w:tc>
          <w:tcPr>
            <w:tcW w:w="1063" w:type="dxa"/>
            <w:tcBorders>
              <w:top w:val="nil"/>
              <w:left w:val="nil"/>
              <w:bottom w:val="single" w:sz="4" w:space="0" w:color="000000"/>
              <w:right w:val="single" w:sz="4" w:space="0" w:color="000000"/>
            </w:tcBorders>
            <w:shd w:val="clear" w:color="auto" w:fill="auto"/>
            <w:noWrap/>
            <w:vAlign w:val="bottom"/>
            <w:hideMark/>
          </w:tcPr>
          <w:p w14:paraId="770A908E"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54,7</w:t>
            </w:r>
          </w:p>
        </w:tc>
        <w:tc>
          <w:tcPr>
            <w:tcW w:w="1063" w:type="dxa"/>
            <w:tcBorders>
              <w:top w:val="nil"/>
              <w:left w:val="nil"/>
              <w:bottom w:val="single" w:sz="4" w:space="0" w:color="000000"/>
              <w:right w:val="single" w:sz="4" w:space="0" w:color="000000"/>
            </w:tcBorders>
            <w:shd w:val="clear" w:color="auto" w:fill="auto"/>
            <w:noWrap/>
            <w:vAlign w:val="bottom"/>
            <w:hideMark/>
          </w:tcPr>
          <w:p w14:paraId="6B58814F"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55,4</w:t>
            </w:r>
          </w:p>
        </w:tc>
        <w:tc>
          <w:tcPr>
            <w:tcW w:w="1063" w:type="dxa"/>
            <w:tcBorders>
              <w:top w:val="nil"/>
              <w:left w:val="nil"/>
              <w:bottom w:val="single" w:sz="4" w:space="0" w:color="000000"/>
              <w:right w:val="single" w:sz="4" w:space="0" w:color="000000"/>
            </w:tcBorders>
            <w:shd w:val="clear" w:color="auto" w:fill="auto"/>
            <w:noWrap/>
            <w:vAlign w:val="bottom"/>
            <w:hideMark/>
          </w:tcPr>
          <w:p w14:paraId="3D6598EE"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56,3</w:t>
            </w:r>
          </w:p>
        </w:tc>
        <w:tc>
          <w:tcPr>
            <w:tcW w:w="1063" w:type="dxa"/>
            <w:tcBorders>
              <w:top w:val="nil"/>
              <w:left w:val="nil"/>
              <w:bottom w:val="single" w:sz="4" w:space="0" w:color="000000"/>
              <w:right w:val="single" w:sz="4" w:space="0" w:color="000000"/>
            </w:tcBorders>
            <w:shd w:val="clear" w:color="auto" w:fill="auto"/>
            <w:noWrap/>
            <w:vAlign w:val="bottom"/>
            <w:hideMark/>
          </w:tcPr>
          <w:p w14:paraId="7DA8A538"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57,0</w:t>
            </w:r>
          </w:p>
        </w:tc>
        <w:tc>
          <w:tcPr>
            <w:tcW w:w="1063" w:type="dxa"/>
            <w:tcBorders>
              <w:top w:val="nil"/>
              <w:left w:val="nil"/>
              <w:bottom w:val="single" w:sz="4" w:space="0" w:color="000000"/>
              <w:right w:val="single" w:sz="4" w:space="0" w:color="000000"/>
            </w:tcBorders>
            <w:shd w:val="clear" w:color="auto" w:fill="auto"/>
            <w:noWrap/>
            <w:vAlign w:val="bottom"/>
            <w:hideMark/>
          </w:tcPr>
          <w:p w14:paraId="49D74F7A"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59,8</w:t>
            </w:r>
          </w:p>
        </w:tc>
        <w:tc>
          <w:tcPr>
            <w:tcW w:w="1065" w:type="dxa"/>
            <w:tcBorders>
              <w:top w:val="nil"/>
              <w:left w:val="nil"/>
              <w:bottom w:val="single" w:sz="4" w:space="0" w:color="000000"/>
              <w:right w:val="single" w:sz="4" w:space="0" w:color="000000"/>
            </w:tcBorders>
            <w:shd w:val="clear" w:color="auto" w:fill="auto"/>
            <w:noWrap/>
            <w:vAlign w:val="bottom"/>
            <w:hideMark/>
          </w:tcPr>
          <w:p w14:paraId="6410D828"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61,3</w:t>
            </w:r>
          </w:p>
        </w:tc>
      </w:tr>
      <w:tr w:rsidR="00605FEF" w:rsidRPr="00090B2A" w14:paraId="2C4E38D3" w14:textId="77777777" w:rsidTr="0032143A">
        <w:trPr>
          <w:trHeight w:val="274"/>
          <w:jc w:val="center"/>
        </w:trPr>
        <w:tc>
          <w:tcPr>
            <w:tcW w:w="1272" w:type="dxa"/>
            <w:tcBorders>
              <w:top w:val="nil"/>
              <w:left w:val="single" w:sz="4" w:space="0" w:color="000000"/>
              <w:bottom w:val="single" w:sz="4" w:space="0" w:color="000000"/>
              <w:right w:val="single" w:sz="4" w:space="0" w:color="000000"/>
            </w:tcBorders>
            <w:shd w:val="clear" w:color="auto" w:fill="365F91" w:themeFill="accent1" w:themeFillShade="BF"/>
            <w:noWrap/>
            <w:vAlign w:val="bottom"/>
            <w:hideMark/>
          </w:tcPr>
          <w:p w14:paraId="6602BAB1"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ISCED 3-4</w:t>
            </w:r>
          </w:p>
        </w:tc>
        <w:tc>
          <w:tcPr>
            <w:tcW w:w="883" w:type="dxa"/>
            <w:tcBorders>
              <w:top w:val="nil"/>
              <w:left w:val="nil"/>
              <w:bottom w:val="single" w:sz="4" w:space="0" w:color="000000"/>
              <w:right w:val="single" w:sz="4" w:space="0" w:color="000000"/>
            </w:tcBorders>
            <w:shd w:val="clear" w:color="auto" w:fill="auto"/>
            <w:noWrap/>
            <w:vAlign w:val="bottom"/>
            <w:hideMark/>
          </w:tcPr>
          <w:p w14:paraId="11C0F597"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62,9</w:t>
            </w:r>
          </w:p>
        </w:tc>
        <w:tc>
          <w:tcPr>
            <w:tcW w:w="1063" w:type="dxa"/>
            <w:tcBorders>
              <w:top w:val="nil"/>
              <w:left w:val="nil"/>
              <w:bottom w:val="single" w:sz="4" w:space="0" w:color="000000"/>
              <w:right w:val="single" w:sz="4" w:space="0" w:color="000000"/>
            </w:tcBorders>
            <w:shd w:val="clear" w:color="auto" w:fill="auto"/>
            <w:noWrap/>
            <w:vAlign w:val="bottom"/>
            <w:hideMark/>
          </w:tcPr>
          <w:p w14:paraId="329A5ACD"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63,5</w:t>
            </w:r>
          </w:p>
        </w:tc>
        <w:tc>
          <w:tcPr>
            <w:tcW w:w="1063" w:type="dxa"/>
            <w:tcBorders>
              <w:top w:val="nil"/>
              <w:left w:val="nil"/>
              <w:bottom w:val="single" w:sz="4" w:space="0" w:color="000000"/>
              <w:right w:val="single" w:sz="4" w:space="0" w:color="000000"/>
            </w:tcBorders>
            <w:shd w:val="clear" w:color="auto" w:fill="auto"/>
            <w:noWrap/>
            <w:vAlign w:val="bottom"/>
            <w:hideMark/>
          </w:tcPr>
          <w:p w14:paraId="669A461C"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65,9</w:t>
            </w:r>
          </w:p>
        </w:tc>
        <w:tc>
          <w:tcPr>
            <w:tcW w:w="1063" w:type="dxa"/>
            <w:tcBorders>
              <w:top w:val="nil"/>
              <w:left w:val="nil"/>
              <w:bottom w:val="single" w:sz="4" w:space="0" w:color="000000"/>
              <w:right w:val="single" w:sz="4" w:space="0" w:color="000000"/>
            </w:tcBorders>
            <w:shd w:val="clear" w:color="auto" w:fill="auto"/>
            <w:noWrap/>
            <w:vAlign w:val="bottom"/>
            <w:hideMark/>
          </w:tcPr>
          <w:p w14:paraId="47807FA1"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66,9</w:t>
            </w:r>
          </w:p>
        </w:tc>
        <w:tc>
          <w:tcPr>
            <w:tcW w:w="1063" w:type="dxa"/>
            <w:tcBorders>
              <w:top w:val="nil"/>
              <w:left w:val="nil"/>
              <w:bottom w:val="single" w:sz="4" w:space="0" w:color="000000"/>
              <w:right w:val="single" w:sz="4" w:space="0" w:color="000000"/>
            </w:tcBorders>
            <w:shd w:val="clear" w:color="auto" w:fill="auto"/>
            <w:noWrap/>
            <w:vAlign w:val="bottom"/>
            <w:hideMark/>
          </w:tcPr>
          <w:p w14:paraId="27AD2D10"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68,3</w:t>
            </w:r>
          </w:p>
        </w:tc>
        <w:tc>
          <w:tcPr>
            <w:tcW w:w="1063" w:type="dxa"/>
            <w:tcBorders>
              <w:top w:val="nil"/>
              <w:left w:val="nil"/>
              <w:bottom w:val="single" w:sz="4" w:space="0" w:color="000000"/>
              <w:right w:val="single" w:sz="4" w:space="0" w:color="000000"/>
            </w:tcBorders>
            <w:shd w:val="clear" w:color="auto" w:fill="auto"/>
            <w:noWrap/>
            <w:vAlign w:val="bottom"/>
            <w:hideMark/>
          </w:tcPr>
          <w:p w14:paraId="39A69608"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70,5</w:t>
            </w:r>
          </w:p>
        </w:tc>
        <w:tc>
          <w:tcPr>
            <w:tcW w:w="1065" w:type="dxa"/>
            <w:tcBorders>
              <w:top w:val="nil"/>
              <w:left w:val="nil"/>
              <w:bottom w:val="single" w:sz="4" w:space="0" w:color="000000"/>
              <w:right w:val="single" w:sz="4" w:space="0" w:color="000000"/>
            </w:tcBorders>
            <w:shd w:val="clear" w:color="auto" w:fill="auto"/>
            <w:noWrap/>
            <w:vAlign w:val="bottom"/>
            <w:hideMark/>
          </w:tcPr>
          <w:p w14:paraId="46D674DE"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72,0</w:t>
            </w:r>
          </w:p>
        </w:tc>
      </w:tr>
      <w:tr w:rsidR="00605FEF" w:rsidRPr="00090B2A" w14:paraId="442BFA62" w14:textId="77777777" w:rsidTr="0032143A">
        <w:trPr>
          <w:trHeight w:val="274"/>
          <w:jc w:val="center"/>
        </w:trPr>
        <w:tc>
          <w:tcPr>
            <w:tcW w:w="1272" w:type="dxa"/>
            <w:tcBorders>
              <w:top w:val="nil"/>
              <w:left w:val="single" w:sz="4" w:space="0" w:color="000000"/>
              <w:bottom w:val="single" w:sz="4" w:space="0" w:color="auto"/>
              <w:right w:val="single" w:sz="4" w:space="0" w:color="000000"/>
            </w:tcBorders>
            <w:shd w:val="clear" w:color="auto" w:fill="365F91" w:themeFill="accent1" w:themeFillShade="BF"/>
            <w:noWrap/>
            <w:vAlign w:val="bottom"/>
            <w:hideMark/>
          </w:tcPr>
          <w:p w14:paraId="4FE6B7C4"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ISCED 5-8</w:t>
            </w:r>
          </w:p>
        </w:tc>
        <w:tc>
          <w:tcPr>
            <w:tcW w:w="883" w:type="dxa"/>
            <w:tcBorders>
              <w:top w:val="nil"/>
              <w:left w:val="nil"/>
              <w:bottom w:val="single" w:sz="4" w:space="0" w:color="auto"/>
              <w:right w:val="single" w:sz="4" w:space="0" w:color="000000"/>
            </w:tcBorders>
            <w:shd w:val="clear" w:color="auto" w:fill="auto"/>
            <w:noWrap/>
            <w:vAlign w:val="bottom"/>
            <w:hideMark/>
          </w:tcPr>
          <w:p w14:paraId="6124AE1F"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78,7</w:t>
            </w:r>
          </w:p>
        </w:tc>
        <w:tc>
          <w:tcPr>
            <w:tcW w:w="1063" w:type="dxa"/>
            <w:tcBorders>
              <w:top w:val="nil"/>
              <w:left w:val="nil"/>
              <w:bottom w:val="single" w:sz="4" w:space="0" w:color="auto"/>
              <w:right w:val="single" w:sz="4" w:space="0" w:color="000000"/>
            </w:tcBorders>
            <w:shd w:val="clear" w:color="auto" w:fill="auto"/>
            <w:noWrap/>
            <w:vAlign w:val="bottom"/>
            <w:hideMark/>
          </w:tcPr>
          <w:p w14:paraId="5738C5E2"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76,9</w:t>
            </w:r>
          </w:p>
        </w:tc>
        <w:tc>
          <w:tcPr>
            <w:tcW w:w="1063" w:type="dxa"/>
            <w:tcBorders>
              <w:top w:val="nil"/>
              <w:left w:val="nil"/>
              <w:bottom w:val="single" w:sz="4" w:space="0" w:color="auto"/>
              <w:right w:val="single" w:sz="4" w:space="0" w:color="000000"/>
            </w:tcBorders>
            <w:shd w:val="clear" w:color="auto" w:fill="auto"/>
            <w:noWrap/>
            <w:vAlign w:val="bottom"/>
            <w:hideMark/>
          </w:tcPr>
          <w:p w14:paraId="380C5B26"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79,4</w:t>
            </w:r>
          </w:p>
        </w:tc>
        <w:tc>
          <w:tcPr>
            <w:tcW w:w="1063" w:type="dxa"/>
            <w:tcBorders>
              <w:top w:val="nil"/>
              <w:left w:val="nil"/>
              <w:bottom w:val="single" w:sz="4" w:space="0" w:color="auto"/>
              <w:right w:val="single" w:sz="4" w:space="0" w:color="000000"/>
            </w:tcBorders>
            <w:shd w:val="clear" w:color="auto" w:fill="auto"/>
            <w:noWrap/>
            <w:vAlign w:val="bottom"/>
            <w:hideMark/>
          </w:tcPr>
          <w:p w14:paraId="4D1197CC"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80,4</w:t>
            </w:r>
          </w:p>
        </w:tc>
        <w:tc>
          <w:tcPr>
            <w:tcW w:w="1063" w:type="dxa"/>
            <w:tcBorders>
              <w:top w:val="nil"/>
              <w:left w:val="nil"/>
              <w:bottom w:val="single" w:sz="4" w:space="0" w:color="auto"/>
              <w:right w:val="single" w:sz="4" w:space="0" w:color="000000"/>
            </w:tcBorders>
            <w:shd w:val="clear" w:color="auto" w:fill="auto"/>
            <w:noWrap/>
            <w:vAlign w:val="bottom"/>
            <w:hideMark/>
          </w:tcPr>
          <w:p w14:paraId="36F94287"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81,8</w:t>
            </w:r>
          </w:p>
        </w:tc>
        <w:tc>
          <w:tcPr>
            <w:tcW w:w="1063" w:type="dxa"/>
            <w:tcBorders>
              <w:top w:val="nil"/>
              <w:left w:val="nil"/>
              <w:bottom w:val="single" w:sz="4" w:space="0" w:color="auto"/>
              <w:right w:val="single" w:sz="4" w:space="0" w:color="000000"/>
            </w:tcBorders>
            <w:shd w:val="clear" w:color="auto" w:fill="auto"/>
            <w:noWrap/>
            <w:vAlign w:val="bottom"/>
            <w:hideMark/>
          </w:tcPr>
          <w:p w14:paraId="137A1195"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83,5</w:t>
            </w:r>
          </w:p>
        </w:tc>
        <w:tc>
          <w:tcPr>
            <w:tcW w:w="1065" w:type="dxa"/>
            <w:tcBorders>
              <w:top w:val="nil"/>
              <w:left w:val="nil"/>
              <w:bottom w:val="single" w:sz="4" w:space="0" w:color="auto"/>
              <w:right w:val="single" w:sz="4" w:space="0" w:color="000000"/>
            </w:tcBorders>
            <w:shd w:val="clear" w:color="auto" w:fill="auto"/>
            <w:noWrap/>
            <w:vAlign w:val="bottom"/>
            <w:hideMark/>
          </w:tcPr>
          <w:p w14:paraId="4D01411E"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85,5</w:t>
            </w:r>
          </w:p>
        </w:tc>
      </w:tr>
      <w:tr w:rsidR="00605FEF" w:rsidRPr="00090B2A" w14:paraId="0ED5AC7E" w14:textId="77777777" w:rsidTr="0032143A">
        <w:trPr>
          <w:trHeight w:val="274"/>
          <w:jc w:val="center"/>
        </w:trPr>
        <w:tc>
          <w:tcPr>
            <w:tcW w:w="8535" w:type="dxa"/>
            <w:gridSpan w:val="8"/>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66315D50"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Homens</w:t>
            </w:r>
          </w:p>
        </w:tc>
      </w:tr>
      <w:tr w:rsidR="00605FEF" w:rsidRPr="00090B2A" w14:paraId="06C9C057" w14:textId="77777777" w:rsidTr="0032143A">
        <w:trPr>
          <w:trHeight w:val="274"/>
          <w:jc w:val="center"/>
        </w:trPr>
        <w:tc>
          <w:tcPr>
            <w:tcW w:w="1272" w:type="dxa"/>
            <w:tcBorders>
              <w:top w:val="single" w:sz="4" w:space="0" w:color="auto"/>
              <w:left w:val="single" w:sz="4" w:space="0" w:color="000000"/>
              <w:bottom w:val="single" w:sz="4" w:space="0" w:color="000000"/>
              <w:right w:val="single" w:sz="4" w:space="0" w:color="000000"/>
            </w:tcBorders>
            <w:shd w:val="clear" w:color="auto" w:fill="365F91" w:themeFill="accent1" w:themeFillShade="BF"/>
            <w:noWrap/>
            <w:vAlign w:val="bottom"/>
            <w:hideMark/>
          </w:tcPr>
          <w:p w14:paraId="36471CDD"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ISCED 0-2</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612B21E0"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61,2</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4EBF752D"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59,4</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21FF2148"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60,6</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53AC8A24"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61,6</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1D3C6FC1"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62,4</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32980F70"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66,1</w:t>
            </w:r>
          </w:p>
        </w:tc>
        <w:tc>
          <w:tcPr>
            <w:tcW w:w="1065" w:type="dxa"/>
            <w:tcBorders>
              <w:top w:val="single" w:sz="4" w:space="0" w:color="auto"/>
              <w:left w:val="nil"/>
              <w:bottom w:val="single" w:sz="4" w:space="0" w:color="000000"/>
              <w:right w:val="single" w:sz="4" w:space="0" w:color="000000"/>
            </w:tcBorders>
            <w:shd w:val="clear" w:color="auto" w:fill="auto"/>
            <w:noWrap/>
            <w:vAlign w:val="bottom"/>
            <w:hideMark/>
          </w:tcPr>
          <w:p w14:paraId="0E950ABD"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67,4</w:t>
            </w:r>
          </w:p>
        </w:tc>
      </w:tr>
      <w:tr w:rsidR="00605FEF" w:rsidRPr="00090B2A" w14:paraId="177E3353" w14:textId="77777777" w:rsidTr="0032143A">
        <w:trPr>
          <w:trHeight w:val="274"/>
          <w:jc w:val="center"/>
        </w:trPr>
        <w:tc>
          <w:tcPr>
            <w:tcW w:w="1272" w:type="dxa"/>
            <w:tcBorders>
              <w:top w:val="nil"/>
              <w:left w:val="single" w:sz="4" w:space="0" w:color="000000"/>
              <w:bottom w:val="single" w:sz="4" w:space="0" w:color="000000"/>
              <w:right w:val="single" w:sz="4" w:space="0" w:color="000000"/>
            </w:tcBorders>
            <w:shd w:val="clear" w:color="auto" w:fill="365F91" w:themeFill="accent1" w:themeFillShade="BF"/>
            <w:noWrap/>
            <w:vAlign w:val="bottom"/>
            <w:hideMark/>
          </w:tcPr>
          <w:p w14:paraId="04E48E9E"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ISCED 3-4</w:t>
            </w:r>
          </w:p>
        </w:tc>
        <w:tc>
          <w:tcPr>
            <w:tcW w:w="883" w:type="dxa"/>
            <w:tcBorders>
              <w:top w:val="nil"/>
              <w:left w:val="nil"/>
              <w:bottom w:val="single" w:sz="4" w:space="0" w:color="000000"/>
              <w:right w:val="single" w:sz="4" w:space="0" w:color="000000"/>
            </w:tcBorders>
            <w:shd w:val="clear" w:color="auto" w:fill="auto"/>
            <w:noWrap/>
            <w:vAlign w:val="bottom"/>
            <w:hideMark/>
          </w:tcPr>
          <w:p w14:paraId="4F40020A"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65,2</w:t>
            </w:r>
          </w:p>
        </w:tc>
        <w:tc>
          <w:tcPr>
            <w:tcW w:w="1063" w:type="dxa"/>
            <w:tcBorders>
              <w:top w:val="nil"/>
              <w:left w:val="nil"/>
              <w:bottom w:val="single" w:sz="4" w:space="0" w:color="000000"/>
              <w:right w:val="single" w:sz="4" w:space="0" w:color="000000"/>
            </w:tcBorders>
            <w:shd w:val="clear" w:color="auto" w:fill="auto"/>
            <w:noWrap/>
            <w:vAlign w:val="bottom"/>
            <w:hideMark/>
          </w:tcPr>
          <w:p w14:paraId="659B0DC6"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65,7</w:t>
            </w:r>
          </w:p>
        </w:tc>
        <w:tc>
          <w:tcPr>
            <w:tcW w:w="1063" w:type="dxa"/>
            <w:tcBorders>
              <w:top w:val="nil"/>
              <w:left w:val="nil"/>
              <w:bottom w:val="single" w:sz="4" w:space="0" w:color="000000"/>
              <w:right w:val="single" w:sz="4" w:space="0" w:color="000000"/>
            </w:tcBorders>
            <w:shd w:val="clear" w:color="auto" w:fill="auto"/>
            <w:noWrap/>
            <w:vAlign w:val="bottom"/>
            <w:hideMark/>
          </w:tcPr>
          <w:p w14:paraId="086C6476"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68,5</w:t>
            </w:r>
          </w:p>
        </w:tc>
        <w:tc>
          <w:tcPr>
            <w:tcW w:w="1063" w:type="dxa"/>
            <w:tcBorders>
              <w:top w:val="nil"/>
              <w:left w:val="nil"/>
              <w:bottom w:val="single" w:sz="4" w:space="0" w:color="000000"/>
              <w:right w:val="single" w:sz="4" w:space="0" w:color="000000"/>
            </w:tcBorders>
            <w:shd w:val="clear" w:color="auto" w:fill="auto"/>
            <w:noWrap/>
            <w:vAlign w:val="bottom"/>
            <w:hideMark/>
          </w:tcPr>
          <w:p w14:paraId="4156BC30"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69,6</w:t>
            </w:r>
          </w:p>
        </w:tc>
        <w:tc>
          <w:tcPr>
            <w:tcW w:w="1063" w:type="dxa"/>
            <w:tcBorders>
              <w:top w:val="nil"/>
              <w:left w:val="nil"/>
              <w:bottom w:val="single" w:sz="4" w:space="0" w:color="000000"/>
              <w:right w:val="single" w:sz="4" w:space="0" w:color="000000"/>
            </w:tcBorders>
            <w:shd w:val="clear" w:color="auto" w:fill="auto"/>
            <w:noWrap/>
            <w:vAlign w:val="bottom"/>
            <w:hideMark/>
          </w:tcPr>
          <w:p w14:paraId="377E558E"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71,3</w:t>
            </w:r>
          </w:p>
        </w:tc>
        <w:tc>
          <w:tcPr>
            <w:tcW w:w="1063" w:type="dxa"/>
            <w:tcBorders>
              <w:top w:val="nil"/>
              <w:left w:val="nil"/>
              <w:bottom w:val="single" w:sz="4" w:space="0" w:color="000000"/>
              <w:right w:val="single" w:sz="4" w:space="0" w:color="000000"/>
            </w:tcBorders>
            <w:shd w:val="clear" w:color="auto" w:fill="auto"/>
            <w:noWrap/>
            <w:vAlign w:val="bottom"/>
            <w:hideMark/>
          </w:tcPr>
          <w:p w14:paraId="04A4F371"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73,0</w:t>
            </w:r>
          </w:p>
        </w:tc>
        <w:tc>
          <w:tcPr>
            <w:tcW w:w="1065" w:type="dxa"/>
            <w:tcBorders>
              <w:top w:val="nil"/>
              <w:left w:val="nil"/>
              <w:bottom w:val="single" w:sz="4" w:space="0" w:color="000000"/>
              <w:right w:val="single" w:sz="4" w:space="0" w:color="000000"/>
            </w:tcBorders>
            <w:shd w:val="clear" w:color="auto" w:fill="auto"/>
            <w:noWrap/>
            <w:vAlign w:val="bottom"/>
            <w:hideMark/>
          </w:tcPr>
          <w:p w14:paraId="471BFB22"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74,6</w:t>
            </w:r>
          </w:p>
        </w:tc>
      </w:tr>
      <w:tr w:rsidR="00605FEF" w:rsidRPr="00090B2A" w14:paraId="2B0BECA7" w14:textId="77777777" w:rsidTr="0032143A">
        <w:trPr>
          <w:trHeight w:val="274"/>
          <w:jc w:val="center"/>
        </w:trPr>
        <w:tc>
          <w:tcPr>
            <w:tcW w:w="1272" w:type="dxa"/>
            <w:tcBorders>
              <w:top w:val="nil"/>
              <w:left w:val="single" w:sz="4" w:space="0" w:color="000000"/>
              <w:bottom w:val="single" w:sz="4" w:space="0" w:color="auto"/>
              <w:right w:val="single" w:sz="4" w:space="0" w:color="000000"/>
            </w:tcBorders>
            <w:shd w:val="clear" w:color="auto" w:fill="365F91" w:themeFill="accent1" w:themeFillShade="BF"/>
            <w:noWrap/>
            <w:vAlign w:val="bottom"/>
            <w:hideMark/>
          </w:tcPr>
          <w:p w14:paraId="5F83C72D"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ISCED 5-8</w:t>
            </w:r>
          </w:p>
        </w:tc>
        <w:tc>
          <w:tcPr>
            <w:tcW w:w="883" w:type="dxa"/>
            <w:tcBorders>
              <w:top w:val="nil"/>
              <w:left w:val="nil"/>
              <w:bottom w:val="single" w:sz="4" w:space="0" w:color="auto"/>
              <w:right w:val="single" w:sz="4" w:space="0" w:color="000000"/>
            </w:tcBorders>
            <w:shd w:val="clear" w:color="auto" w:fill="auto"/>
            <w:noWrap/>
            <w:vAlign w:val="bottom"/>
            <w:hideMark/>
          </w:tcPr>
          <w:p w14:paraId="5D7CE2E3"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79,0</w:t>
            </w:r>
          </w:p>
        </w:tc>
        <w:tc>
          <w:tcPr>
            <w:tcW w:w="1063" w:type="dxa"/>
            <w:tcBorders>
              <w:top w:val="nil"/>
              <w:left w:val="nil"/>
              <w:bottom w:val="single" w:sz="4" w:space="0" w:color="auto"/>
              <w:right w:val="single" w:sz="4" w:space="0" w:color="000000"/>
            </w:tcBorders>
            <w:shd w:val="clear" w:color="auto" w:fill="auto"/>
            <w:noWrap/>
            <w:vAlign w:val="bottom"/>
            <w:hideMark/>
          </w:tcPr>
          <w:p w14:paraId="1B18FAA1"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78,7</w:t>
            </w:r>
          </w:p>
        </w:tc>
        <w:tc>
          <w:tcPr>
            <w:tcW w:w="1063" w:type="dxa"/>
            <w:tcBorders>
              <w:top w:val="nil"/>
              <w:left w:val="nil"/>
              <w:bottom w:val="single" w:sz="4" w:space="0" w:color="auto"/>
              <w:right w:val="single" w:sz="4" w:space="0" w:color="000000"/>
            </w:tcBorders>
            <w:shd w:val="clear" w:color="auto" w:fill="auto"/>
            <w:noWrap/>
            <w:vAlign w:val="bottom"/>
            <w:hideMark/>
          </w:tcPr>
          <w:p w14:paraId="2853B600"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81,9</w:t>
            </w:r>
          </w:p>
        </w:tc>
        <w:tc>
          <w:tcPr>
            <w:tcW w:w="1063" w:type="dxa"/>
            <w:tcBorders>
              <w:top w:val="nil"/>
              <w:left w:val="nil"/>
              <w:bottom w:val="single" w:sz="4" w:space="0" w:color="auto"/>
              <w:right w:val="single" w:sz="4" w:space="0" w:color="000000"/>
            </w:tcBorders>
            <w:shd w:val="clear" w:color="auto" w:fill="auto"/>
            <w:noWrap/>
            <w:vAlign w:val="bottom"/>
            <w:hideMark/>
          </w:tcPr>
          <w:p w14:paraId="2E79EABA"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81,2</w:t>
            </w:r>
          </w:p>
        </w:tc>
        <w:tc>
          <w:tcPr>
            <w:tcW w:w="1063" w:type="dxa"/>
            <w:tcBorders>
              <w:top w:val="nil"/>
              <w:left w:val="nil"/>
              <w:bottom w:val="single" w:sz="4" w:space="0" w:color="auto"/>
              <w:right w:val="single" w:sz="4" w:space="0" w:color="000000"/>
            </w:tcBorders>
            <w:shd w:val="clear" w:color="auto" w:fill="auto"/>
            <w:noWrap/>
            <w:vAlign w:val="bottom"/>
            <w:hideMark/>
          </w:tcPr>
          <w:p w14:paraId="162EBB6A"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83,1</w:t>
            </w:r>
          </w:p>
        </w:tc>
        <w:tc>
          <w:tcPr>
            <w:tcW w:w="1063" w:type="dxa"/>
            <w:tcBorders>
              <w:top w:val="nil"/>
              <w:left w:val="nil"/>
              <w:bottom w:val="single" w:sz="4" w:space="0" w:color="auto"/>
              <w:right w:val="single" w:sz="4" w:space="0" w:color="000000"/>
            </w:tcBorders>
            <w:shd w:val="clear" w:color="auto" w:fill="auto"/>
            <w:noWrap/>
            <w:vAlign w:val="bottom"/>
            <w:hideMark/>
          </w:tcPr>
          <w:p w14:paraId="19D87CD2"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84,4</w:t>
            </w:r>
          </w:p>
        </w:tc>
        <w:tc>
          <w:tcPr>
            <w:tcW w:w="1065" w:type="dxa"/>
            <w:tcBorders>
              <w:top w:val="nil"/>
              <w:left w:val="nil"/>
              <w:bottom w:val="single" w:sz="4" w:space="0" w:color="auto"/>
              <w:right w:val="single" w:sz="4" w:space="0" w:color="000000"/>
            </w:tcBorders>
            <w:shd w:val="clear" w:color="auto" w:fill="auto"/>
            <w:noWrap/>
            <w:vAlign w:val="bottom"/>
            <w:hideMark/>
          </w:tcPr>
          <w:p w14:paraId="21393751"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86,4</w:t>
            </w:r>
          </w:p>
        </w:tc>
      </w:tr>
      <w:tr w:rsidR="00605FEF" w:rsidRPr="00090B2A" w14:paraId="429E9136" w14:textId="77777777" w:rsidTr="0032143A">
        <w:trPr>
          <w:trHeight w:val="274"/>
          <w:jc w:val="center"/>
        </w:trPr>
        <w:tc>
          <w:tcPr>
            <w:tcW w:w="8535" w:type="dxa"/>
            <w:gridSpan w:val="8"/>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03828E6D"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Mulheres</w:t>
            </w:r>
          </w:p>
        </w:tc>
      </w:tr>
      <w:tr w:rsidR="00605FEF" w:rsidRPr="00090B2A" w14:paraId="593F8500" w14:textId="77777777" w:rsidTr="0032143A">
        <w:trPr>
          <w:trHeight w:val="274"/>
          <w:jc w:val="center"/>
        </w:trPr>
        <w:tc>
          <w:tcPr>
            <w:tcW w:w="1272" w:type="dxa"/>
            <w:tcBorders>
              <w:top w:val="single" w:sz="4" w:space="0" w:color="auto"/>
              <w:left w:val="single" w:sz="4" w:space="0" w:color="000000"/>
              <w:bottom w:val="single" w:sz="4" w:space="0" w:color="000000"/>
              <w:right w:val="single" w:sz="4" w:space="0" w:color="000000"/>
            </w:tcBorders>
            <w:shd w:val="clear" w:color="auto" w:fill="365F91" w:themeFill="accent1" w:themeFillShade="BF"/>
            <w:noWrap/>
            <w:vAlign w:val="bottom"/>
            <w:hideMark/>
          </w:tcPr>
          <w:p w14:paraId="5835A580"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ISCED 0-2</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1D1AF406"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50,7</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2E103976"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49,5</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3F792EF2"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49,6</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270AD3E8"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50,5</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65702486"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51,3</w:t>
            </w:r>
          </w:p>
        </w:tc>
        <w:tc>
          <w:tcPr>
            <w:tcW w:w="1063" w:type="dxa"/>
            <w:tcBorders>
              <w:top w:val="single" w:sz="4" w:space="0" w:color="auto"/>
              <w:left w:val="nil"/>
              <w:bottom w:val="single" w:sz="4" w:space="0" w:color="000000"/>
              <w:right w:val="single" w:sz="4" w:space="0" w:color="000000"/>
            </w:tcBorders>
            <w:shd w:val="clear" w:color="auto" w:fill="auto"/>
            <w:noWrap/>
            <w:vAlign w:val="bottom"/>
            <w:hideMark/>
          </w:tcPr>
          <w:p w14:paraId="1A362031"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52,8</w:t>
            </w:r>
          </w:p>
        </w:tc>
        <w:tc>
          <w:tcPr>
            <w:tcW w:w="1065" w:type="dxa"/>
            <w:tcBorders>
              <w:top w:val="single" w:sz="4" w:space="0" w:color="auto"/>
              <w:left w:val="nil"/>
              <w:bottom w:val="single" w:sz="4" w:space="0" w:color="000000"/>
              <w:right w:val="single" w:sz="4" w:space="0" w:color="000000"/>
            </w:tcBorders>
            <w:shd w:val="clear" w:color="auto" w:fill="auto"/>
            <w:noWrap/>
            <w:vAlign w:val="bottom"/>
            <w:hideMark/>
          </w:tcPr>
          <w:p w14:paraId="297DC6C7"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54,4</w:t>
            </w:r>
          </w:p>
        </w:tc>
      </w:tr>
      <w:tr w:rsidR="00605FEF" w:rsidRPr="00090B2A" w14:paraId="4B9C495E" w14:textId="77777777" w:rsidTr="0032143A">
        <w:trPr>
          <w:trHeight w:val="274"/>
          <w:jc w:val="center"/>
        </w:trPr>
        <w:tc>
          <w:tcPr>
            <w:tcW w:w="1272" w:type="dxa"/>
            <w:tcBorders>
              <w:top w:val="nil"/>
              <w:left w:val="single" w:sz="4" w:space="0" w:color="000000"/>
              <w:bottom w:val="single" w:sz="4" w:space="0" w:color="000000"/>
              <w:right w:val="single" w:sz="4" w:space="0" w:color="000000"/>
            </w:tcBorders>
            <w:shd w:val="clear" w:color="auto" w:fill="365F91" w:themeFill="accent1" w:themeFillShade="BF"/>
            <w:noWrap/>
            <w:vAlign w:val="bottom"/>
            <w:hideMark/>
          </w:tcPr>
          <w:p w14:paraId="74DE407E" w14:textId="77777777" w:rsidR="00605FEF" w:rsidRPr="00090B2A" w:rsidRDefault="00605FEF" w:rsidP="00605FEF">
            <w:pPr>
              <w:jc w:val="both"/>
              <w:rPr>
                <w:rFonts w:asciiTheme="minorHAnsi" w:hAnsiTheme="minorHAnsi" w:cstheme="minorHAnsi"/>
                <w:b/>
                <w:sz w:val="20"/>
              </w:rPr>
            </w:pPr>
            <w:r w:rsidRPr="00090B2A">
              <w:rPr>
                <w:rFonts w:asciiTheme="minorHAnsi" w:hAnsiTheme="minorHAnsi" w:cstheme="minorHAnsi"/>
                <w:b/>
                <w:sz w:val="20"/>
              </w:rPr>
              <w:t>ISCED 3-4</w:t>
            </w:r>
          </w:p>
        </w:tc>
        <w:tc>
          <w:tcPr>
            <w:tcW w:w="883" w:type="dxa"/>
            <w:tcBorders>
              <w:top w:val="nil"/>
              <w:left w:val="nil"/>
              <w:bottom w:val="single" w:sz="4" w:space="0" w:color="000000"/>
              <w:right w:val="single" w:sz="4" w:space="0" w:color="000000"/>
            </w:tcBorders>
            <w:shd w:val="clear" w:color="auto" w:fill="auto"/>
            <w:noWrap/>
            <w:vAlign w:val="bottom"/>
            <w:hideMark/>
          </w:tcPr>
          <w:p w14:paraId="0D5D0668"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61,0</w:t>
            </w:r>
          </w:p>
        </w:tc>
        <w:tc>
          <w:tcPr>
            <w:tcW w:w="1063" w:type="dxa"/>
            <w:tcBorders>
              <w:top w:val="nil"/>
              <w:left w:val="nil"/>
              <w:bottom w:val="single" w:sz="4" w:space="0" w:color="000000"/>
              <w:right w:val="single" w:sz="4" w:space="0" w:color="000000"/>
            </w:tcBorders>
            <w:shd w:val="clear" w:color="auto" w:fill="auto"/>
            <w:noWrap/>
            <w:vAlign w:val="bottom"/>
            <w:hideMark/>
          </w:tcPr>
          <w:p w14:paraId="44CB7529"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61,5</w:t>
            </w:r>
          </w:p>
        </w:tc>
        <w:tc>
          <w:tcPr>
            <w:tcW w:w="1063" w:type="dxa"/>
            <w:tcBorders>
              <w:top w:val="nil"/>
              <w:left w:val="nil"/>
              <w:bottom w:val="single" w:sz="4" w:space="0" w:color="000000"/>
              <w:right w:val="single" w:sz="4" w:space="0" w:color="000000"/>
            </w:tcBorders>
            <w:shd w:val="clear" w:color="auto" w:fill="auto"/>
            <w:noWrap/>
            <w:vAlign w:val="bottom"/>
            <w:hideMark/>
          </w:tcPr>
          <w:p w14:paraId="4C5A7445"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63,4</w:t>
            </w:r>
          </w:p>
        </w:tc>
        <w:tc>
          <w:tcPr>
            <w:tcW w:w="1063" w:type="dxa"/>
            <w:tcBorders>
              <w:top w:val="nil"/>
              <w:left w:val="nil"/>
              <w:bottom w:val="single" w:sz="4" w:space="0" w:color="000000"/>
              <w:right w:val="single" w:sz="4" w:space="0" w:color="000000"/>
            </w:tcBorders>
            <w:shd w:val="clear" w:color="auto" w:fill="auto"/>
            <w:noWrap/>
            <w:vAlign w:val="bottom"/>
            <w:hideMark/>
          </w:tcPr>
          <w:p w14:paraId="452B54C1"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64,4</w:t>
            </w:r>
          </w:p>
        </w:tc>
        <w:tc>
          <w:tcPr>
            <w:tcW w:w="1063" w:type="dxa"/>
            <w:tcBorders>
              <w:top w:val="nil"/>
              <w:left w:val="nil"/>
              <w:bottom w:val="single" w:sz="4" w:space="0" w:color="000000"/>
              <w:right w:val="single" w:sz="4" w:space="0" w:color="000000"/>
            </w:tcBorders>
            <w:shd w:val="clear" w:color="auto" w:fill="auto"/>
            <w:noWrap/>
            <w:vAlign w:val="bottom"/>
            <w:hideMark/>
          </w:tcPr>
          <w:p w14:paraId="2A5F5A37"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65,5</w:t>
            </w:r>
          </w:p>
        </w:tc>
        <w:tc>
          <w:tcPr>
            <w:tcW w:w="1063" w:type="dxa"/>
            <w:tcBorders>
              <w:top w:val="nil"/>
              <w:left w:val="nil"/>
              <w:bottom w:val="single" w:sz="4" w:space="0" w:color="000000"/>
              <w:right w:val="single" w:sz="4" w:space="0" w:color="000000"/>
            </w:tcBorders>
            <w:shd w:val="clear" w:color="auto" w:fill="auto"/>
            <w:noWrap/>
            <w:vAlign w:val="bottom"/>
            <w:hideMark/>
          </w:tcPr>
          <w:p w14:paraId="2714AB40"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68,1</w:t>
            </w:r>
          </w:p>
        </w:tc>
        <w:tc>
          <w:tcPr>
            <w:tcW w:w="1065" w:type="dxa"/>
            <w:tcBorders>
              <w:top w:val="nil"/>
              <w:left w:val="nil"/>
              <w:bottom w:val="single" w:sz="4" w:space="0" w:color="000000"/>
              <w:right w:val="single" w:sz="4" w:space="0" w:color="000000"/>
            </w:tcBorders>
            <w:shd w:val="clear" w:color="auto" w:fill="auto"/>
            <w:noWrap/>
            <w:vAlign w:val="bottom"/>
            <w:hideMark/>
          </w:tcPr>
          <w:p w14:paraId="5EFA83B9"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69,5</w:t>
            </w:r>
          </w:p>
        </w:tc>
      </w:tr>
      <w:tr w:rsidR="00605FEF" w:rsidRPr="0032143A" w14:paraId="695EB2A0" w14:textId="77777777" w:rsidTr="0032143A">
        <w:trPr>
          <w:trHeight w:val="274"/>
          <w:jc w:val="center"/>
        </w:trPr>
        <w:tc>
          <w:tcPr>
            <w:tcW w:w="1272" w:type="dxa"/>
            <w:tcBorders>
              <w:top w:val="nil"/>
              <w:left w:val="single" w:sz="4" w:space="0" w:color="000000"/>
              <w:bottom w:val="single" w:sz="4" w:space="0" w:color="000000"/>
              <w:right w:val="single" w:sz="4" w:space="0" w:color="000000"/>
            </w:tcBorders>
            <w:shd w:val="clear" w:color="auto" w:fill="365F91" w:themeFill="accent1" w:themeFillShade="BF"/>
            <w:noWrap/>
            <w:vAlign w:val="bottom"/>
            <w:hideMark/>
          </w:tcPr>
          <w:p w14:paraId="45B769F9"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ISCED 5-8</w:t>
            </w:r>
          </w:p>
        </w:tc>
        <w:tc>
          <w:tcPr>
            <w:tcW w:w="883" w:type="dxa"/>
            <w:tcBorders>
              <w:top w:val="nil"/>
              <w:left w:val="nil"/>
              <w:bottom w:val="single" w:sz="4" w:space="0" w:color="000000"/>
              <w:right w:val="single" w:sz="4" w:space="0" w:color="000000"/>
            </w:tcBorders>
            <w:shd w:val="clear" w:color="auto" w:fill="auto"/>
            <w:noWrap/>
            <w:vAlign w:val="bottom"/>
            <w:hideMark/>
          </w:tcPr>
          <w:p w14:paraId="28695298"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78,4</w:t>
            </w:r>
          </w:p>
        </w:tc>
        <w:tc>
          <w:tcPr>
            <w:tcW w:w="1063" w:type="dxa"/>
            <w:tcBorders>
              <w:top w:val="nil"/>
              <w:left w:val="nil"/>
              <w:bottom w:val="single" w:sz="4" w:space="0" w:color="000000"/>
              <w:right w:val="single" w:sz="4" w:space="0" w:color="000000"/>
            </w:tcBorders>
            <w:shd w:val="clear" w:color="auto" w:fill="auto"/>
            <w:noWrap/>
            <w:vAlign w:val="bottom"/>
            <w:hideMark/>
          </w:tcPr>
          <w:p w14:paraId="6B926297"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75,8</w:t>
            </w:r>
          </w:p>
        </w:tc>
        <w:tc>
          <w:tcPr>
            <w:tcW w:w="1063" w:type="dxa"/>
            <w:tcBorders>
              <w:top w:val="nil"/>
              <w:left w:val="nil"/>
              <w:bottom w:val="single" w:sz="4" w:space="0" w:color="000000"/>
              <w:right w:val="single" w:sz="4" w:space="0" w:color="000000"/>
            </w:tcBorders>
            <w:shd w:val="clear" w:color="auto" w:fill="auto"/>
            <w:noWrap/>
            <w:vAlign w:val="bottom"/>
            <w:hideMark/>
          </w:tcPr>
          <w:p w14:paraId="69DD1EBC"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77,9</w:t>
            </w:r>
          </w:p>
        </w:tc>
        <w:tc>
          <w:tcPr>
            <w:tcW w:w="1063" w:type="dxa"/>
            <w:tcBorders>
              <w:top w:val="nil"/>
              <w:left w:val="nil"/>
              <w:bottom w:val="single" w:sz="4" w:space="0" w:color="000000"/>
              <w:right w:val="single" w:sz="4" w:space="0" w:color="000000"/>
            </w:tcBorders>
            <w:shd w:val="clear" w:color="auto" w:fill="auto"/>
            <w:noWrap/>
            <w:vAlign w:val="bottom"/>
            <w:hideMark/>
          </w:tcPr>
          <w:p w14:paraId="62F0F114"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79,9</w:t>
            </w:r>
          </w:p>
        </w:tc>
        <w:tc>
          <w:tcPr>
            <w:tcW w:w="1063" w:type="dxa"/>
            <w:tcBorders>
              <w:top w:val="nil"/>
              <w:left w:val="nil"/>
              <w:bottom w:val="single" w:sz="4" w:space="0" w:color="000000"/>
              <w:right w:val="single" w:sz="4" w:space="0" w:color="000000"/>
            </w:tcBorders>
            <w:shd w:val="clear" w:color="auto" w:fill="auto"/>
            <w:noWrap/>
            <w:vAlign w:val="bottom"/>
            <w:hideMark/>
          </w:tcPr>
          <w:p w14:paraId="505D83DA"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81,0</w:t>
            </w:r>
          </w:p>
        </w:tc>
        <w:tc>
          <w:tcPr>
            <w:tcW w:w="1063" w:type="dxa"/>
            <w:tcBorders>
              <w:top w:val="nil"/>
              <w:left w:val="nil"/>
              <w:bottom w:val="single" w:sz="4" w:space="0" w:color="000000"/>
              <w:right w:val="single" w:sz="4" w:space="0" w:color="000000"/>
            </w:tcBorders>
            <w:shd w:val="clear" w:color="auto" w:fill="auto"/>
            <w:noWrap/>
            <w:vAlign w:val="bottom"/>
            <w:hideMark/>
          </w:tcPr>
          <w:p w14:paraId="2E981824"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83,0</w:t>
            </w:r>
          </w:p>
        </w:tc>
        <w:tc>
          <w:tcPr>
            <w:tcW w:w="1065" w:type="dxa"/>
            <w:tcBorders>
              <w:top w:val="nil"/>
              <w:left w:val="nil"/>
              <w:bottom w:val="single" w:sz="4" w:space="0" w:color="000000"/>
              <w:right w:val="single" w:sz="4" w:space="0" w:color="000000"/>
            </w:tcBorders>
            <w:shd w:val="clear" w:color="auto" w:fill="auto"/>
            <w:noWrap/>
            <w:vAlign w:val="bottom"/>
            <w:hideMark/>
          </w:tcPr>
          <w:p w14:paraId="1BE2DDAB" w14:textId="77777777" w:rsidR="00605FEF" w:rsidRPr="00090B2A" w:rsidRDefault="00605FEF" w:rsidP="00605FEF">
            <w:pPr>
              <w:jc w:val="both"/>
              <w:rPr>
                <w:rFonts w:asciiTheme="minorHAnsi" w:hAnsiTheme="minorHAnsi" w:cstheme="minorHAnsi"/>
                <w:sz w:val="20"/>
              </w:rPr>
            </w:pPr>
            <w:r w:rsidRPr="00090B2A">
              <w:rPr>
                <w:rFonts w:asciiTheme="minorHAnsi" w:hAnsiTheme="minorHAnsi" w:cstheme="minorHAnsi"/>
                <w:sz w:val="20"/>
              </w:rPr>
              <w:t>85,0</w:t>
            </w:r>
          </w:p>
        </w:tc>
      </w:tr>
    </w:tbl>
    <w:p w14:paraId="70F7853B" w14:textId="77777777" w:rsidR="00605FEF" w:rsidRPr="00090B2A" w:rsidRDefault="00605FEF" w:rsidP="00605FEF">
      <w:pPr>
        <w:jc w:val="both"/>
        <w:rPr>
          <w:rFonts w:asciiTheme="minorHAnsi" w:hAnsiTheme="minorHAnsi"/>
          <w:sz w:val="18"/>
        </w:rPr>
      </w:pPr>
      <w:r w:rsidRPr="0032143A">
        <w:rPr>
          <w:rFonts w:asciiTheme="minorHAnsi" w:hAnsiTheme="minorHAnsi"/>
          <w:b/>
          <w:sz w:val="18"/>
          <w:lang w:val="en-GB"/>
        </w:rPr>
        <w:t>Source</w:t>
      </w:r>
      <w:r w:rsidRPr="00090B2A">
        <w:rPr>
          <w:rFonts w:asciiTheme="minorHAnsi" w:hAnsiTheme="minorHAnsi"/>
          <w:b/>
          <w:sz w:val="18"/>
        </w:rPr>
        <w:t>:</w:t>
      </w:r>
      <w:r w:rsidRPr="00090B2A">
        <w:rPr>
          <w:rFonts w:asciiTheme="minorHAnsi" w:hAnsiTheme="minorHAnsi"/>
          <w:sz w:val="18"/>
        </w:rPr>
        <w:t xml:space="preserve"> EUROSTAT (30/4/2019)</w:t>
      </w:r>
    </w:p>
    <w:p w14:paraId="62BF11DB" w14:textId="77777777" w:rsidR="00605FEF" w:rsidRPr="004835DA" w:rsidRDefault="00605FEF" w:rsidP="00605FEF">
      <w:pPr>
        <w:jc w:val="both"/>
        <w:rPr>
          <w:rFonts w:asciiTheme="minorHAnsi" w:hAnsiTheme="minorHAnsi"/>
          <w:highlight w:val="yellow"/>
          <w:lang w:val="en-US"/>
        </w:rPr>
      </w:pPr>
    </w:p>
    <w:p w14:paraId="571CEE47" w14:textId="77777777" w:rsidR="00605FEF" w:rsidRPr="00090B2A" w:rsidRDefault="00605FEF" w:rsidP="00605FEF">
      <w:pPr>
        <w:jc w:val="both"/>
        <w:rPr>
          <w:rFonts w:asciiTheme="minorHAnsi" w:hAnsiTheme="minorHAnsi"/>
          <w:lang w:val="en-US"/>
        </w:rPr>
      </w:pPr>
      <w:r w:rsidRPr="00090B2A">
        <w:rPr>
          <w:rFonts w:asciiTheme="minorHAnsi" w:hAnsiTheme="minorHAnsi"/>
          <w:lang w:val="en-US"/>
        </w:rPr>
        <w:t>Discrepancies were most visible in people with the lowest and highest levels of education. Thus, in 2018, in the 3rd cycle of basic education, men presented a difference of 14.0 pp above women, while in higher education, women presented a variation of 13.5 pp in their favor (plus 0.5 pp than in 2017).</w:t>
      </w:r>
    </w:p>
    <w:p w14:paraId="0BEDECF8" w14:textId="77777777" w:rsidR="00605FEF" w:rsidRPr="004835DA" w:rsidRDefault="00605FEF" w:rsidP="00605FEF">
      <w:pPr>
        <w:jc w:val="both"/>
        <w:rPr>
          <w:rFonts w:asciiTheme="minorHAnsi" w:hAnsiTheme="minorHAnsi"/>
          <w:highlight w:val="yellow"/>
          <w:lang w:val="en-US"/>
        </w:rPr>
      </w:pPr>
    </w:p>
    <w:p w14:paraId="41A88B09" w14:textId="77777777" w:rsidR="00605FEF" w:rsidRDefault="00605FEF" w:rsidP="00605FEF">
      <w:pPr>
        <w:jc w:val="both"/>
        <w:rPr>
          <w:rFonts w:asciiTheme="minorHAnsi" w:hAnsiTheme="minorHAnsi"/>
          <w:lang w:val="en-US"/>
        </w:rPr>
      </w:pPr>
      <w:r w:rsidRPr="00090B2A">
        <w:rPr>
          <w:rFonts w:asciiTheme="minorHAnsi" w:hAnsiTheme="minorHAnsi"/>
          <w:lang w:val="en-US"/>
        </w:rPr>
        <w:t>Between 2017 and 2018, the highlight is the 6.3% (1.3 pp more than men) employment growth of female graduates, as well as the 1.6% reduction in female employment with qualifications up to the 3rd. cycle of primary education (0.4 pp more than men)</w:t>
      </w:r>
      <w:r w:rsidR="0032143A">
        <w:rPr>
          <w:rFonts w:asciiTheme="minorHAnsi" w:hAnsiTheme="minorHAnsi"/>
          <w:lang w:val="en-US"/>
        </w:rPr>
        <w:t>. A</w:t>
      </w:r>
      <w:r w:rsidRPr="00090B2A">
        <w:rPr>
          <w:rFonts w:asciiTheme="minorHAnsi" w:hAnsiTheme="minorHAnsi"/>
          <w:lang w:val="en-US"/>
        </w:rPr>
        <w:t>lso the growth in employment in the secondary education segment, both for men (5.5%) and for women (5.4%).</w:t>
      </w:r>
    </w:p>
    <w:p w14:paraId="79EAA0CC" w14:textId="77777777" w:rsidR="00933F07" w:rsidRDefault="00933F07" w:rsidP="00605FEF">
      <w:pPr>
        <w:jc w:val="both"/>
        <w:rPr>
          <w:rFonts w:asciiTheme="minorHAnsi" w:hAnsiTheme="minorHAnsi"/>
          <w:lang w:val="en-US"/>
        </w:rPr>
      </w:pPr>
    </w:p>
    <w:p w14:paraId="3927ABB8" w14:textId="77777777" w:rsidR="00933F07" w:rsidRDefault="00933F07" w:rsidP="00605FEF">
      <w:pPr>
        <w:jc w:val="both"/>
        <w:rPr>
          <w:rFonts w:asciiTheme="minorHAnsi" w:hAnsiTheme="minorHAnsi"/>
          <w:lang w:val="en-US"/>
        </w:rPr>
      </w:pPr>
    </w:p>
    <w:p w14:paraId="41F38431" w14:textId="77777777" w:rsidR="00933F07" w:rsidRDefault="00933F07" w:rsidP="00605FEF">
      <w:pPr>
        <w:jc w:val="both"/>
        <w:rPr>
          <w:rFonts w:asciiTheme="minorHAnsi" w:hAnsiTheme="minorHAnsi"/>
          <w:lang w:val="en-US"/>
        </w:rPr>
      </w:pPr>
    </w:p>
    <w:p w14:paraId="3623172E" w14:textId="77777777" w:rsidR="00933F07" w:rsidRDefault="00933F07" w:rsidP="00605FEF">
      <w:pPr>
        <w:jc w:val="both"/>
        <w:rPr>
          <w:rFonts w:asciiTheme="minorHAnsi" w:hAnsiTheme="minorHAnsi"/>
          <w:lang w:val="en-US"/>
        </w:rPr>
      </w:pPr>
    </w:p>
    <w:p w14:paraId="7B3D0F35" w14:textId="77777777" w:rsidR="00933F07" w:rsidRDefault="00933F07" w:rsidP="00605FEF">
      <w:pPr>
        <w:jc w:val="both"/>
        <w:rPr>
          <w:rFonts w:asciiTheme="minorHAnsi" w:hAnsiTheme="minorHAnsi"/>
          <w:lang w:val="en-US"/>
        </w:rPr>
      </w:pPr>
    </w:p>
    <w:p w14:paraId="707D59BD" w14:textId="77777777" w:rsidR="00933F07" w:rsidRDefault="00933F07" w:rsidP="00605FEF">
      <w:pPr>
        <w:jc w:val="both"/>
        <w:rPr>
          <w:rFonts w:asciiTheme="minorHAnsi" w:hAnsiTheme="minorHAnsi"/>
          <w:lang w:val="en-US"/>
        </w:rPr>
      </w:pPr>
    </w:p>
    <w:p w14:paraId="13E8A0AC" w14:textId="77777777" w:rsidR="00933F07" w:rsidRDefault="00933F07" w:rsidP="00605FEF">
      <w:pPr>
        <w:jc w:val="both"/>
        <w:rPr>
          <w:rFonts w:asciiTheme="minorHAnsi" w:hAnsiTheme="minorHAnsi"/>
          <w:lang w:val="en-US"/>
        </w:rPr>
      </w:pPr>
    </w:p>
    <w:p w14:paraId="5E68A772" w14:textId="77777777" w:rsidR="00933F07" w:rsidRDefault="00933F07" w:rsidP="00605FEF">
      <w:pPr>
        <w:jc w:val="both"/>
        <w:rPr>
          <w:rFonts w:asciiTheme="minorHAnsi" w:hAnsiTheme="minorHAnsi"/>
          <w:lang w:val="en-US"/>
        </w:rPr>
      </w:pPr>
    </w:p>
    <w:p w14:paraId="6FECACC2" w14:textId="77777777" w:rsidR="00933F07" w:rsidRDefault="00933F07" w:rsidP="00605FEF">
      <w:pPr>
        <w:jc w:val="both"/>
        <w:rPr>
          <w:rFonts w:asciiTheme="minorHAnsi" w:hAnsiTheme="minorHAnsi"/>
          <w:lang w:val="en-US"/>
        </w:rPr>
      </w:pPr>
    </w:p>
    <w:p w14:paraId="65AC8157" w14:textId="77777777" w:rsidR="00933F07" w:rsidRDefault="00933F07" w:rsidP="00605FEF">
      <w:pPr>
        <w:jc w:val="both"/>
        <w:rPr>
          <w:rFonts w:asciiTheme="minorHAnsi" w:hAnsiTheme="minorHAnsi"/>
          <w:lang w:val="en-US"/>
        </w:rPr>
      </w:pPr>
    </w:p>
    <w:p w14:paraId="25EAD1FB" w14:textId="77777777" w:rsidR="00933F07" w:rsidRDefault="00933F07" w:rsidP="00605FEF">
      <w:pPr>
        <w:jc w:val="both"/>
        <w:rPr>
          <w:rFonts w:asciiTheme="minorHAnsi" w:hAnsiTheme="minorHAnsi"/>
          <w:lang w:val="en-US"/>
        </w:rPr>
      </w:pPr>
    </w:p>
    <w:p w14:paraId="3C8648D3" w14:textId="77777777" w:rsidR="00933F07" w:rsidRPr="00090B2A" w:rsidRDefault="00933F07" w:rsidP="00605FEF">
      <w:pPr>
        <w:jc w:val="both"/>
        <w:rPr>
          <w:rFonts w:asciiTheme="minorHAnsi" w:hAnsiTheme="minorHAnsi"/>
          <w:lang w:val="en-US"/>
        </w:rPr>
      </w:pPr>
    </w:p>
    <w:p w14:paraId="06A49ACD" w14:textId="77777777" w:rsidR="00605FEF" w:rsidRPr="00933F07" w:rsidRDefault="00F84743" w:rsidP="00933F07">
      <w:pPr>
        <w:pStyle w:val="Caption"/>
        <w:keepNext/>
        <w:spacing w:after="0" w:line="240" w:lineRule="auto"/>
        <w:rPr>
          <w:rFonts w:asciiTheme="minorHAnsi" w:hAnsiTheme="minorHAnsi"/>
          <w:lang w:val="en-US"/>
        </w:rPr>
      </w:pPr>
      <w:bookmarkStart w:id="3" w:name="_Toc14697622"/>
      <w:r>
        <w:rPr>
          <w:rFonts w:asciiTheme="minorHAnsi" w:hAnsiTheme="minorHAnsi"/>
          <w:lang w:val="en-US"/>
        </w:rPr>
        <w:t>Table 4</w:t>
      </w:r>
      <w:r w:rsidR="00605FEF" w:rsidRPr="00090B2A">
        <w:rPr>
          <w:rFonts w:asciiTheme="minorHAnsi" w:hAnsiTheme="minorHAnsi"/>
          <w:lang w:val="en-US"/>
        </w:rPr>
        <w:t>- Employed population with 15 and more years</w:t>
      </w:r>
      <w:r w:rsidR="00090B2A">
        <w:rPr>
          <w:rFonts w:asciiTheme="minorHAnsi" w:hAnsiTheme="minorHAnsi"/>
          <w:lang w:val="en-US"/>
        </w:rPr>
        <w:t xml:space="preserve"> old</w:t>
      </w:r>
      <w:r w:rsidR="00605FEF" w:rsidRPr="00090B2A">
        <w:rPr>
          <w:rFonts w:asciiTheme="minorHAnsi" w:hAnsiTheme="minorHAnsi"/>
          <w:lang w:val="en-US"/>
        </w:rPr>
        <w:t>, by level of education and sex, 2012-2018 (thousands)</w:t>
      </w:r>
      <w:bookmarkEnd w:id="3"/>
    </w:p>
    <w:p w14:paraId="73D35D45" w14:textId="77777777" w:rsidR="00F84743" w:rsidRDefault="00F84743" w:rsidP="00605FEF">
      <w:pPr>
        <w:jc w:val="both"/>
        <w:rPr>
          <w:rFonts w:asciiTheme="minorHAnsi" w:hAnsiTheme="minorHAnsi"/>
          <w:highlight w:val="yellow"/>
          <w:lang w:val="en-US"/>
        </w:rPr>
      </w:pPr>
      <w:r>
        <w:rPr>
          <w:noProof/>
          <w:lang w:val="en-GB" w:eastAsia="en-GB"/>
        </w:rPr>
        <w:drawing>
          <wp:inline distT="0" distB="0" distL="0" distR="0" wp14:anchorId="6E7877B9" wp14:editId="753F2665">
            <wp:extent cx="5248276" cy="4314826"/>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EAE261E" w14:textId="77777777" w:rsidR="00933F07" w:rsidRPr="00F84743" w:rsidRDefault="00933F07" w:rsidP="00933F07">
      <w:pPr>
        <w:jc w:val="both"/>
        <w:rPr>
          <w:rFonts w:asciiTheme="minorHAnsi" w:hAnsiTheme="minorHAnsi"/>
          <w:sz w:val="18"/>
          <w:lang w:val="en-US"/>
        </w:rPr>
      </w:pPr>
      <w:r w:rsidRPr="00F84743">
        <w:rPr>
          <w:rFonts w:asciiTheme="minorHAnsi" w:hAnsiTheme="minorHAnsi"/>
          <w:b/>
          <w:i/>
          <w:sz w:val="18"/>
          <w:lang w:val="en-US"/>
        </w:rPr>
        <w:t>Source:</w:t>
      </w:r>
      <w:r w:rsidRPr="00F84743">
        <w:rPr>
          <w:rFonts w:asciiTheme="minorHAnsi" w:hAnsiTheme="minorHAnsi"/>
          <w:sz w:val="18"/>
          <w:lang w:val="en-US"/>
        </w:rPr>
        <w:t xml:space="preserve"> INE, IP, </w:t>
      </w:r>
      <w:r w:rsidR="00473576">
        <w:rPr>
          <w:rFonts w:asciiTheme="minorHAnsi" w:hAnsiTheme="minorHAnsi"/>
          <w:sz w:val="18"/>
          <w:lang w:val="en-US"/>
        </w:rPr>
        <w:t xml:space="preserve">Labour Force </w:t>
      </w:r>
      <w:r w:rsidRPr="00F84743">
        <w:rPr>
          <w:rFonts w:asciiTheme="minorHAnsi" w:hAnsiTheme="minorHAnsi"/>
          <w:sz w:val="18"/>
          <w:lang w:val="en-US"/>
        </w:rPr>
        <w:t>Survey</w:t>
      </w:r>
    </w:p>
    <w:p w14:paraId="49F8FEBA" w14:textId="77777777" w:rsidR="00F84743" w:rsidRPr="004835DA" w:rsidRDefault="00F84743" w:rsidP="00605FEF">
      <w:pPr>
        <w:jc w:val="both"/>
        <w:rPr>
          <w:rFonts w:asciiTheme="minorHAnsi" w:hAnsiTheme="minorHAnsi"/>
          <w:highlight w:val="yellow"/>
          <w:lang w:val="en-US"/>
        </w:rPr>
      </w:pPr>
    </w:p>
    <w:p w14:paraId="7050F764" w14:textId="77777777" w:rsidR="00605FEF" w:rsidRPr="00F84743" w:rsidRDefault="00605FEF" w:rsidP="00605FEF">
      <w:pPr>
        <w:jc w:val="both"/>
        <w:rPr>
          <w:rFonts w:asciiTheme="minorHAnsi" w:hAnsiTheme="minorHAnsi"/>
          <w:lang w:val="en-US"/>
        </w:rPr>
      </w:pPr>
      <w:r w:rsidRPr="00F84743">
        <w:rPr>
          <w:rFonts w:asciiTheme="minorHAnsi" w:hAnsiTheme="minorHAnsi"/>
          <w:lang w:val="en-US"/>
        </w:rPr>
        <w:t>Regarding self-employed persons and according to the 2017</w:t>
      </w:r>
      <w:r w:rsidRPr="0032143A">
        <w:rPr>
          <w:rFonts w:asciiTheme="minorHAnsi" w:hAnsiTheme="minorHAnsi"/>
          <w:lang w:val="en-GB"/>
        </w:rPr>
        <w:t xml:space="preserve"> </w:t>
      </w:r>
      <w:r w:rsidR="00F84743" w:rsidRPr="0032143A">
        <w:rPr>
          <w:rFonts w:asciiTheme="minorHAnsi" w:hAnsiTheme="minorHAnsi"/>
          <w:lang w:val="en-GB"/>
        </w:rPr>
        <w:t>Quadros</w:t>
      </w:r>
      <w:r w:rsidR="00F84743">
        <w:rPr>
          <w:rFonts w:asciiTheme="minorHAnsi" w:hAnsiTheme="minorHAnsi"/>
          <w:lang w:val="en-US"/>
        </w:rPr>
        <w:t xml:space="preserve"> </w:t>
      </w:r>
      <w:r w:rsidR="00933F07">
        <w:rPr>
          <w:rFonts w:asciiTheme="minorHAnsi" w:hAnsiTheme="minorHAnsi"/>
          <w:lang w:val="en-US"/>
        </w:rPr>
        <w:t>de Pessoal</w:t>
      </w:r>
      <w:r w:rsidR="00933F07">
        <w:rPr>
          <w:rStyle w:val="FootnoteReference"/>
          <w:rFonts w:asciiTheme="minorHAnsi" w:hAnsiTheme="minorHAnsi"/>
          <w:lang w:val="en-US"/>
        </w:rPr>
        <w:footnoteReference w:id="1"/>
      </w:r>
      <w:r w:rsidR="00933F07">
        <w:rPr>
          <w:rFonts w:asciiTheme="minorHAnsi" w:hAnsiTheme="minorHAnsi"/>
          <w:lang w:val="en-US"/>
        </w:rPr>
        <w:t xml:space="preserve"> </w:t>
      </w:r>
      <w:r w:rsidRPr="00F84743">
        <w:rPr>
          <w:rFonts w:asciiTheme="minorHAnsi" w:hAnsiTheme="minorHAnsi"/>
          <w:lang w:val="en-US"/>
        </w:rPr>
        <w:t xml:space="preserve">(GEP / MTSSS), the feminization rate decreased slightly, from 46.1% to 45.8%, between 2016 and 2017. However, there was an increase in the feminization rate from 40.9% to 41.8% in Qualified Professionals; from 37.2% to 37.8% in Managers, Masters, Team Leaders and Senior Management from 45.7% to 45.9%. </w:t>
      </w:r>
    </w:p>
    <w:p w14:paraId="5DF49AE6" w14:textId="77777777" w:rsidR="00605FEF" w:rsidRPr="004835DA" w:rsidRDefault="00605FEF" w:rsidP="00605FEF">
      <w:pPr>
        <w:jc w:val="both"/>
        <w:rPr>
          <w:rFonts w:asciiTheme="minorHAnsi" w:hAnsiTheme="minorHAnsi"/>
          <w:highlight w:val="yellow"/>
          <w:lang w:val="en-US"/>
        </w:rPr>
      </w:pPr>
    </w:p>
    <w:p w14:paraId="0BE757B4" w14:textId="77777777" w:rsidR="004835DA" w:rsidRPr="00933F07" w:rsidRDefault="00605FEF" w:rsidP="00605FEF">
      <w:pPr>
        <w:jc w:val="both"/>
        <w:rPr>
          <w:rFonts w:asciiTheme="minorHAnsi" w:hAnsiTheme="minorHAnsi"/>
          <w:lang w:val="en-US"/>
        </w:rPr>
      </w:pPr>
      <w:r w:rsidRPr="00933F07">
        <w:rPr>
          <w:rFonts w:asciiTheme="minorHAnsi" w:hAnsiTheme="minorHAnsi"/>
          <w:lang w:val="en-US"/>
        </w:rPr>
        <w:t>On the other hand, female representation decreased more significantly in non-qualified professionals, from 49.2% to 47.1%; in semi-qualified professionals, from 55.1% to 53.7%; among Interns, Practitioners and Apprentices, from 48.0% to 47.3% and Highly Qualified Professionals, from 49.7% to 49.4%.</w:t>
      </w:r>
      <w:r w:rsidR="004835DA" w:rsidRPr="00933F07">
        <w:rPr>
          <w:rFonts w:asciiTheme="minorHAnsi" w:hAnsiTheme="minorHAnsi"/>
          <w:lang w:val="en-US"/>
        </w:rPr>
        <w:t xml:space="preserve"> </w:t>
      </w:r>
    </w:p>
    <w:p w14:paraId="451C4851" w14:textId="77777777" w:rsidR="004835DA" w:rsidRPr="00933F07" w:rsidRDefault="004835DA" w:rsidP="00605FEF">
      <w:pPr>
        <w:jc w:val="both"/>
        <w:rPr>
          <w:rFonts w:asciiTheme="minorHAnsi" w:hAnsiTheme="minorHAnsi"/>
          <w:lang w:val="en-US"/>
        </w:rPr>
      </w:pPr>
    </w:p>
    <w:p w14:paraId="690F208B" w14:textId="77777777" w:rsidR="00605FEF" w:rsidRPr="00933F07" w:rsidRDefault="00605FEF" w:rsidP="00605FEF">
      <w:pPr>
        <w:jc w:val="both"/>
        <w:rPr>
          <w:rFonts w:asciiTheme="minorHAnsi" w:hAnsiTheme="minorHAnsi"/>
          <w:lang w:val="en-US"/>
        </w:rPr>
      </w:pPr>
      <w:r w:rsidRPr="00933F07">
        <w:rPr>
          <w:rFonts w:asciiTheme="minorHAnsi" w:hAnsiTheme="minorHAnsi"/>
          <w:lang w:val="en-US"/>
        </w:rPr>
        <w:t xml:space="preserve">From this analysis, it appears that although women have higher levels of educational attainment, the feminization rate </w:t>
      </w:r>
      <w:r w:rsidR="00933F07">
        <w:rPr>
          <w:rFonts w:asciiTheme="minorHAnsi" w:hAnsiTheme="minorHAnsi"/>
          <w:lang w:val="en-US"/>
        </w:rPr>
        <w:t xml:space="preserve">of employment </w:t>
      </w:r>
      <w:r w:rsidRPr="00933F07">
        <w:rPr>
          <w:rFonts w:asciiTheme="minorHAnsi" w:hAnsiTheme="minorHAnsi"/>
          <w:lang w:val="en-US"/>
        </w:rPr>
        <w:t xml:space="preserve">still does not </w:t>
      </w:r>
      <w:r w:rsidR="00933F07">
        <w:rPr>
          <w:rFonts w:asciiTheme="minorHAnsi" w:hAnsiTheme="minorHAnsi"/>
          <w:lang w:val="en-US"/>
        </w:rPr>
        <w:t>reflect it</w:t>
      </w:r>
      <w:r w:rsidRPr="00933F07">
        <w:rPr>
          <w:rFonts w:asciiTheme="minorHAnsi" w:hAnsiTheme="minorHAnsi"/>
          <w:lang w:val="en-US"/>
        </w:rPr>
        <w:t>.</w:t>
      </w:r>
    </w:p>
    <w:p w14:paraId="04605B87" w14:textId="77777777" w:rsidR="00605FEF" w:rsidRPr="004835DA" w:rsidRDefault="00605FEF" w:rsidP="00605FEF">
      <w:pPr>
        <w:jc w:val="both"/>
        <w:rPr>
          <w:rFonts w:asciiTheme="minorHAnsi" w:hAnsiTheme="minorHAnsi"/>
          <w:highlight w:val="yellow"/>
          <w:lang w:val="en-US"/>
        </w:rPr>
      </w:pPr>
    </w:p>
    <w:p w14:paraId="7FA3F426" w14:textId="77777777" w:rsidR="00605FEF" w:rsidRPr="00933F07" w:rsidRDefault="0032143A" w:rsidP="00605FEF">
      <w:pPr>
        <w:jc w:val="both"/>
        <w:rPr>
          <w:rFonts w:asciiTheme="minorHAnsi" w:hAnsiTheme="minorHAnsi"/>
          <w:lang w:val="en-US"/>
        </w:rPr>
      </w:pPr>
      <w:r>
        <w:rPr>
          <w:rFonts w:asciiTheme="minorHAnsi" w:hAnsiTheme="minorHAnsi"/>
          <w:lang w:val="en-US"/>
        </w:rPr>
        <w:t>In addition</w:t>
      </w:r>
      <w:r w:rsidR="00605FEF" w:rsidRPr="00933F07">
        <w:rPr>
          <w:rFonts w:asciiTheme="minorHAnsi" w:hAnsiTheme="minorHAnsi"/>
          <w:lang w:val="en-US"/>
        </w:rPr>
        <w:t xml:space="preserve">, the </w:t>
      </w:r>
      <w:r w:rsidR="00473576">
        <w:rPr>
          <w:rFonts w:asciiTheme="minorHAnsi" w:hAnsiTheme="minorHAnsi"/>
          <w:lang w:val="en-US"/>
        </w:rPr>
        <w:t xml:space="preserve">Labour Force </w:t>
      </w:r>
      <w:r w:rsidR="00605FEF" w:rsidRPr="00933F07">
        <w:rPr>
          <w:rFonts w:asciiTheme="minorHAnsi" w:hAnsiTheme="minorHAnsi"/>
          <w:lang w:val="en-US"/>
        </w:rPr>
        <w:t>Survey 2018 show</w:t>
      </w:r>
      <w:r w:rsidR="00933F07">
        <w:rPr>
          <w:rFonts w:asciiTheme="minorHAnsi" w:hAnsiTheme="minorHAnsi"/>
          <w:lang w:val="en-US"/>
        </w:rPr>
        <w:t>s</w:t>
      </w:r>
      <w:r w:rsidR="00605FEF" w:rsidRPr="00933F07">
        <w:rPr>
          <w:rFonts w:asciiTheme="minorHAnsi" w:hAnsiTheme="minorHAnsi"/>
          <w:lang w:val="en-US"/>
        </w:rPr>
        <w:t xml:space="preserve"> a trend towards continuity in differences between man and women in the distribution by skill level of occupations and economic activities.</w:t>
      </w:r>
    </w:p>
    <w:p w14:paraId="4FDA5927" w14:textId="77777777" w:rsidR="00605FEF" w:rsidRPr="00933F07" w:rsidRDefault="00605FEF" w:rsidP="00605FEF">
      <w:pPr>
        <w:jc w:val="both"/>
        <w:rPr>
          <w:rFonts w:asciiTheme="minorHAnsi" w:hAnsiTheme="minorHAnsi"/>
          <w:lang w:val="en-US"/>
        </w:rPr>
      </w:pPr>
    </w:p>
    <w:p w14:paraId="069B170C" w14:textId="77777777" w:rsidR="00605FEF" w:rsidRPr="00933F07" w:rsidRDefault="00605FEF" w:rsidP="00605FEF">
      <w:pPr>
        <w:jc w:val="both"/>
        <w:rPr>
          <w:rFonts w:asciiTheme="minorHAnsi" w:hAnsiTheme="minorHAnsi"/>
          <w:lang w:val="en-US"/>
        </w:rPr>
      </w:pPr>
      <w:r w:rsidRPr="00933F07">
        <w:rPr>
          <w:rFonts w:asciiTheme="minorHAnsi" w:hAnsiTheme="minorHAnsi"/>
          <w:lang w:val="en-US"/>
        </w:rPr>
        <w:t>Women (35.1%) continue to be better represented than men in non-manual skilled occupations which</w:t>
      </w:r>
      <w:r w:rsidR="0036351D">
        <w:rPr>
          <w:rFonts w:asciiTheme="minorHAnsi" w:hAnsiTheme="minorHAnsi"/>
          <w:lang w:val="en-US"/>
        </w:rPr>
        <w:t>,</w:t>
      </w:r>
      <w:r w:rsidRPr="00933F07">
        <w:rPr>
          <w:rFonts w:asciiTheme="minorHAnsi" w:hAnsiTheme="minorHAnsi"/>
          <w:lang w:val="en-US"/>
        </w:rPr>
        <w:t xml:space="preserve"> compared to 2017</w:t>
      </w:r>
      <w:r w:rsidR="0036351D">
        <w:rPr>
          <w:rFonts w:asciiTheme="minorHAnsi" w:hAnsiTheme="minorHAnsi"/>
          <w:lang w:val="en-US"/>
        </w:rPr>
        <w:t>,</w:t>
      </w:r>
      <w:r w:rsidRPr="00933F07">
        <w:rPr>
          <w:rFonts w:asciiTheme="minorHAnsi" w:hAnsiTheme="minorHAnsi"/>
          <w:lang w:val="en-US"/>
        </w:rPr>
        <w:t xml:space="preserve"> means an increase in the feminization rate of 1.7 pp. </w:t>
      </w:r>
      <w:r w:rsidRPr="00933F07">
        <w:rPr>
          <w:rFonts w:asciiTheme="minorHAnsi" w:hAnsiTheme="minorHAnsi"/>
          <w:lang w:val="en-GB"/>
        </w:rPr>
        <w:t xml:space="preserve">In </w:t>
      </w:r>
      <w:r w:rsidR="0036351D">
        <w:rPr>
          <w:rFonts w:asciiTheme="minorHAnsi" w:hAnsiTheme="minorHAnsi"/>
          <w:lang w:val="en-GB"/>
        </w:rPr>
        <w:t>elementary professions</w:t>
      </w:r>
      <w:r w:rsidR="00933F07">
        <w:rPr>
          <w:rFonts w:asciiTheme="minorHAnsi" w:hAnsiTheme="minorHAnsi"/>
          <w:lang w:val="en-GB"/>
        </w:rPr>
        <w:t xml:space="preserve"> women (</w:t>
      </w:r>
      <w:r w:rsidRPr="00933F07">
        <w:rPr>
          <w:rFonts w:asciiTheme="minorHAnsi" w:hAnsiTheme="minorHAnsi"/>
          <w:lang w:val="en-GB"/>
        </w:rPr>
        <w:t xml:space="preserve">4.0%) decreased 1.2 pp compared to 2017, with men (6.1%) following the same trend </w:t>
      </w:r>
      <w:r w:rsidR="0036351D">
        <w:rPr>
          <w:rFonts w:asciiTheme="minorHAnsi" w:hAnsiTheme="minorHAnsi"/>
          <w:lang w:val="en-GB"/>
        </w:rPr>
        <w:t>by</w:t>
      </w:r>
      <w:r w:rsidRPr="00933F07">
        <w:rPr>
          <w:rFonts w:asciiTheme="minorHAnsi" w:hAnsiTheme="minorHAnsi"/>
          <w:lang w:val="en-GB"/>
        </w:rPr>
        <w:t xml:space="preserve"> decreasing 0.4 pp. </w:t>
      </w:r>
    </w:p>
    <w:p w14:paraId="06CFCDBA" w14:textId="77777777" w:rsidR="00605FEF" w:rsidRPr="004835DA" w:rsidRDefault="00605FEF" w:rsidP="00605FEF">
      <w:pPr>
        <w:jc w:val="both"/>
        <w:rPr>
          <w:rFonts w:asciiTheme="minorHAnsi" w:hAnsiTheme="minorHAnsi"/>
          <w:highlight w:val="yellow"/>
          <w:lang w:val="en-US"/>
        </w:rPr>
      </w:pPr>
    </w:p>
    <w:p w14:paraId="6D140C0B" w14:textId="77777777" w:rsidR="00605FEF" w:rsidRPr="0036351D" w:rsidRDefault="00605FEF" w:rsidP="00605FEF">
      <w:pPr>
        <w:jc w:val="both"/>
        <w:rPr>
          <w:rFonts w:asciiTheme="minorHAnsi" w:hAnsiTheme="minorHAnsi"/>
          <w:lang w:val="en-US"/>
        </w:rPr>
      </w:pPr>
      <w:r w:rsidRPr="0036351D">
        <w:rPr>
          <w:rFonts w:asciiTheme="minorHAnsi" w:hAnsiTheme="minorHAnsi"/>
          <w:lang w:val="en-US"/>
        </w:rPr>
        <w:t>In the so-called manual skilled professions, men (40.8%) are overrepresented, while women (13.2%) decreased by 0.2 pp from the previous year.</w:t>
      </w:r>
    </w:p>
    <w:p w14:paraId="351EFA08" w14:textId="77777777" w:rsidR="00605FEF" w:rsidRPr="004835DA" w:rsidRDefault="00605FEF" w:rsidP="00605FEF">
      <w:pPr>
        <w:jc w:val="both"/>
        <w:rPr>
          <w:rFonts w:asciiTheme="minorHAnsi" w:hAnsiTheme="minorHAnsi"/>
          <w:highlight w:val="yellow"/>
          <w:lang w:val="en-US"/>
        </w:rPr>
      </w:pPr>
    </w:p>
    <w:p w14:paraId="006ADE73" w14:textId="77777777" w:rsidR="00605FEF" w:rsidRPr="0036351D" w:rsidRDefault="00605FEF" w:rsidP="00605FEF">
      <w:pPr>
        <w:jc w:val="both"/>
        <w:rPr>
          <w:rFonts w:asciiTheme="minorHAnsi" w:hAnsiTheme="minorHAnsi"/>
          <w:lang w:val="en-US"/>
        </w:rPr>
      </w:pPr>
      <w:r w:rsidRPr="0036351D">
        <w:rPr>
          <w:rFonts w:asciiTheme="minorHAnsi" w:hAnsiTheme="minorHAnsi"/>
          <w:lang w:val="en-US"/>
        </w:rPr>
        <w:t>It should also be noted that between 2017 and 2018, and observing the trend of previous years, the growth of the employed population in the highly qualified professions (+ 1.5%) was more significant in females (2.2%) than in males. (0.8%).</w:t>
      </w:r>
    </w:p>
    <w:p w14:paraId="1EE49794" w14:textId="77777777" w:rsidR="00605FEF" w:rsidRPr="004835DA" w:rsidRDefault="00605FEF" w:rsidP="00605FEF">
      <w:pPr>
        <w:jc w:val="both"/>
        <w:rPr>
          <w:rFonts w:asciiTheme="minorHAnsi" w:hAnsiTheme="minorHAnsi"/>
          <w:highlight w:val="yellow"/>
          <w:lang w:val="en-US"/>
        </w:rPr>
      </w:pPr>
    </w:p>
    <w:p w14:paraId="4297CC47" w14:textId="77777777" w:rsidR="00605FEF" w:rsidRDefault="0036351D" w:rsidP="00605FEF">
      <w:pPr>
        <w:pStyle w:val="Caption"/>
        <w:keepNext/>
        <w:spacing w:after="0" w:line="240" w:lineRule="auto"/>
        <w:rPr>
          <w:rFonts w:asciiTheme="minorHAnsi" w:hAnsiTheme="minorHAnsi"/>
          <w:lang w:val="en-US"/>
        </w:rPr>
      </w:pPr>
      <w:r>
        <w:rPr>
          <w:rFonts w:asciiTheme="minorHAnsi" w:hAnsiTheme="minorHAnsi"/>
          <w:lang w:val="en-US"/>
        </w:rPr>
        <w:t>Table 5</w:t>
      </w:r>
      <w:r w:rsidR="00605FEF" w:rsidRPr="0036351D">
        <w:rPr>
          <w:rFonts w:asciiTheme="minorHAnsi" w:hAnsiTheme="minorHAnsi"/>
          <w:lang w:val="en-US"/>
        </w:rPr>
        <w:t xml:space="preserve"> – Employed </w:t>
      </w:r>
      <w:r w:rsidR="0032143A" w:rsidRPr="0036351D">
        <w:rPr>
          <w:rFonts w:asciiTheme="minorHAnsi" w:hAnsiTheme="minorHAnsi"/>
          <w:lang w:val="en-US"/>
        </w:rPr>
        <w:t>population by</w:t>
      </w:r>
      <w:r w:rsidR="00605FEF" w:rsidRPr="0036351D">
        <w:rPr>
          <w:rFonts w:asciiTheme="minorHAnsi" w:hAnsiTheme="minorHAnsi"/>
          <w:lang w:val="en-US"/>
        </w:rPr>
        <w:t xml:space="preserve"> level of qualification by sex 2013-2018 (</w:t>
      </w:r>
      <w:r w:rsidR="0032143A" w:rsidRPr="0036351D">
        <w:rPr>
          <w:rFonts w:asciiTheme="minorHAnsi" w:hAnsiTheme="minorHAnsi"/>
          <w:lang w:val="en-US"/>
        </w:rPr>
        <w:t>percentage</w:t>
      </w:r>
      <w:r w:rsidR="00605FEF" w:rsidRPr="0036351D">
        <w:rPr>
          <w:rFonts w:asciiTheme="minorHAnsi" w:hAnsiTheme="minorHAnsi"/>
          <w:lang w:val="en-US"/>
        </w:rPr>
        <w:t>)</w:t>
      </w:r>
    </w:p>
    <w:p w14:paraId="54849805" w14:textId="77777777" w:rsidR="0036351D" w:rsidRDefault="0036351D" w:rsidP="0036351D">
      <w:pPr>
        <w:rPr>
          <w:lang w:val="en-US"/>
        </w:rPr>
      </w:pPr>
    </w:p>
    <w:p w14:paraId="7DC8E043" w14:textId="77777777" w:rsidR="0036351D" w:rsidRPr="0036351D" w:rsidRDefault="0036351D" w:rsidP="0036351D">
      <w:pPr>
        <w:rPr>
          <w:lang w:val="en-US"/>
        </w:rPr>
      </w:pPr>
      <w:r>
        <w:rPr>
          <w:noProof/>
          <w:lang w:val="en-GB" w:eastAsia="en-GB"/>
        </w:rPr>
        <w:drawing>
          <wp:inline distT="0" distB="0" distL="0" distR="0" wp14:anchorId="5EAD4A13" wp14:editId="40C97CAD">
            <wp:extent cx="6126480" cy="3950970"/>
            <wp:effectExtent l="0" t="0" r="7620" b="1143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50727D" w14:textId="77777777" w:rsidR="00605FEF" w:rsidRPr="004835DA" w:rsidRDefault="00605FEF" w:rsidP="00605FEF">
      <w:pPr>
        <w:jc w:val="both"/>
        <w:rPr>
          <w:rFonts w:asciiTheme="minorHAnsi" w:hAnsiTheme="minorHAnsi"/>
          <w:highlight w:val="yellow"/>
          <w:lang w:eastAsia="en-US"/>
        </w:rPr>
      </w:pPr>
    </w:p>
    <w:p w14:paraId="0F44DA8A" w14:textId="77777777" w:rsidR="00605FEF" w:rsidRPr="007F7EEA" w:rsidRDefault="00605FEF" w:rsidP="00605FEF">
      <w:pPr>
        <w:jc w:val="both"/>
        <w:rPr>
          <w:rFonts w:asciiTheme="minorHAnsi" w:hAnsiTheme="minorHAnsi"/>
          <w:sz w:val="18"/>
          <w:szCs w:val="18"/>
          <w:lang w:val="en-US"/>
        </w:rPr>
      </w:pPr>
      <w:r w:rsidRPr="007F7EEA">
        <w:rPr>
          <w:rFonts w:asciiTheme="minorHAnsi" w:hAnsiTheme="minorHAnsi"/>
          <w:b/>
          <w:i/>
          <w:sz w:val="18"/>
          <w:szCs w:val="18"/>
          <w:lang w:val="en-US"/>
        </w:rPr>
        <w:t>Source:</w:t>
      </w:r>
      <w:r w:rsidRPr="007F7EEA">
        <w:rPr>
          <w:rFonts w:asciiTheme="minorHAnsi" w:hAnsiTheme="minorHAnsi"/>
          <w:sz w:val="18"/>
          <w:szCs w:val="18"/>
          <w:lang w:val="en-US"/>
        </w:rPr>
        <w:t xml:space="preserve"> INE, IP, </w:t>
      </w:r>
      <w:r w:rsidR="00264DC1">
        <w:rPr>
          <w:rFonts w:asciiTheme="minorHAnsi" w:hAnsiTheme="minorHAnsi"/>
          <w:sz w:val="18"/>
          <w:szCs w:val="18"/>
          <w:lang w:val="en-US"/>
        </w:rPr>
        <w:t xml:space="preserve">Labour Force </w:t>
      </w:r>
      <w:r w:rsidRPr="007F7EEA">
        <w:rPr>
          <w:rFonts w:asciiTheme="minorHAnsi" w:hAnsiTheme="minorHAnsi"/>
          <w:sz w:val="18"/>
          <w:szCs w:val="18"/>
          <w:lang w:val="en-US"/>
        </w:rPr>
        <w:t>Survey</w:t>
      </w:r>
    </w:p>
    <w:p w14:paraId="5F808B4A" w14:textId="77777777" w:rsidR="00605FEF" w:rsidRPr="004835DA" w:rsidRDefault="00605FEF" w:rsidP="00605FEF">
      <w:pPr>
        <w:jc w:val="both"/>
        <w:rPr>
          <w:rFonts w:asciiTheme="minorHAnsi" w:hAnsiTheme="minorHAnsi"/>
          <w:highlight w:val="yellow"/>
          <w:lang w:val="en-US"/>
        </w:rPr>
      </w:pPr>
    </w:p>
    <w:p w14:paraId="616C87B2" w14:textId="77777777" w:rsidR="00605FEF" w:rsidRPr="007F7EEA" w:rsidRDefault="00605FEF" w:rsidP="00605FEF">
      <w:pPr>
        <w:jc w:val="both"/>
        <w:rPr>
          <w:rFonts w:asciiTheme="minorHAnsi" w:hAnsiTheme="minorHAnsi"/>
          <w:lang w:val="en-US"/>
        </w:rPr>
      </w:pPr>
      <w:r w:rsidRPr="007F7EEA">
        <w:rPr>
          <w:rFonts w:asciiTheme="minorHAnsi" w:hAnsiTheme="minorHAnsi"/>
          <w:lang w:val="en-US"/>
        </w:rPr>
        <w:t>It is worth highlighting the growth of female employment in the group of workers of personal services, protection and security and salesmen (55.5 thousand people), in the group of specialists of intellectual and scientific activities (24,5 thousand) and the group of skilled workers from industry, construction and craftsmen (7,7 thousand).</w:t>
      </w:r>
    </w:p>
    <w:p w14:paraId="1B9EB47F" w14:textId="77777777" w:rsidR="00605FEF" w:rsidRPr="007F7EEA" w:rsidRDefault="00605FEF" w:rsidP="00605FEF">
      <w:pPr>
        <w:jc w:val="both"/>
        <w:rPr>
          <w:rFonts w:asciiTheme="minorHAnsi" w:hAnsiTheme="minorHAnsi"/>
          <w:lang w:val="en-US"/>
        </w:rPr>
      </w:pPr>
    </w:p>
    <w:p w14:paraId="327F3724" w14:textId="77777777" w:rsidR="00605FEF" w:rsidRPr="007F7EEA" w:rsidRDefault="00605FEF" w:rsidP="00605FEF">
      <w:pPr>
        <w:jc w:val="both"/>
        <w:rPr>
          <w:rFonts w:asciiTheme="minorHAnsi" w:hAnsiTheme="minorHAnsi"/>
          <w:lang w:val="en-US"/>
        </w:rPr>
      </w:pPr>
      <w:r w:rsidRPr="007F7EEA">
        <w:rPr>
          <w:rFonts w:asciiTheme="minorHAnsi" w:hAnsiTheme="minorHAnsi"/>
          <w:lang w:val="en-US"/>
        </w:rPr>
        <w:t xml:space="preserve">With regard to the distribution of employment by sector of economic activity, there is still evidence of segregation of the </w:t>
      </w:r>
      <w:r w:rsidR="0032143A">
        <w:rPr>
          <w:rFonts w:asciiTheme="minorHAnsi" w:hAnsiTheme="minorHAnsi"/>
          <w:lang w:val="en-US"/>
        </w:rPr>
        <w:t>L</w:t>
      </w:r>
      <w:r w:rsidR="0032143A" w:rsidRPr="007F7EEA">
        <w:rPr>
          <w:rFonts w:asciiTheme="minorHAnsi" w:hAnsiTheme="minorHAnsi"/>
          <w:lang w:val="en-US"/>
        </w:rPr>
        <w:t>abour</w:t>
      </w:r>
      <w:r w:rsidRPr="007F7EEA">
        <w:rPr>
          <w:rFonts w:asciiTheme="minorHAnsi" w:hAnsiTheme="minorHAnsi"/>
          <w:lang w:val="en-US"/>
        </w:rPr>
        <w:t xml:space="preserve"> market. As such, in 2018, and according to data from the </w:t>
      </w:r>
      <w:r w:rsidR="00264DC1">
        <w:rPr>
          <w:rFonts w:asciiTheme="minorHAnsi" w:hAnsiTheme="minorHAnsi"/>
          <w:lang w:val="en-US"/>
        </w:rPr>
        <w:t>Labour Force</w:t>
      </w:r>
      <w:r w:rsidRPr="007F7EEA">
        <w:rPr>
          <w:rFonts w:asciiTheme="minorHAnsi" w:hAnsiTheme="minorHAnsi"/>
          <w:lang w:val="en-US"/>
        </w:rPr>
        <w:t xml:space="preserve"> Survey, women were more represented than men in the “Human health and social support activities” (83.3%, plus 0.5 pp). than in 2017), in “Education” with 78.5% of employment (+1.3 pp compared to 2017), in the “Other service activities” sector (70.2%, 1.4 pp less than 2017); “Accommodation, catering and similar” (58.1%, 0.5 pp more than in 2017) and also “Consulting, scientific, technical and similar activities” (55.2%, 4.6 pp less than in 2017). </w:t>
      </w:r>
    </w:p>
    <w:p w14:paraId="55733319" w14:textId="77777777" w:rsidR="00605FEF" w:rsidRPr="004835DA" w:rsidRDefault="00605FEF" w:rsidP="00605FEF">
      <w:pPr>
        <w:jc w:val="both"/>
        <w:rPr>
          <w:rFonts w:asciiTheme="minorHAnsi" w:hAnsiTheme="minorHAnsi"/>
          <w:highlight w:val="yellow"/>
          <w:lang w:val="en-US"/>
        </w:rPr>
      </w:pPr>
    </w:p>
    <w:p w14:paraId="3F7C29D0" w14:textId="77777777" w:rsidR="00605FEF" w:rsidRPr="004835DA" w:rsidRDefault="00605FEF" w:rsidP="00605FEF">
      <w:pPr>
        <w:jc w:val="both"/>
        <w:rPr>
          <w:rFonts w:asciiTheme="minorHAnsi" w:hAnsiTheme="minorHAnsi"/>
          <w:highlight w:val="yellow"/>
          <w:lang w:val="en-US"/>
        </w:rPr>
      </w:pPr>
    </w:p>
    <w:p w14:paraId="67AC0538" w14:textId="77777777" w:rsidR="00A4037E" w:rsidRDefault="00A4037E" w:rsidP="00605FEF">
      <w:pPr>
        <w:jc w:val="both"/>
        <w:rPr>
          <w:rFonts w:asciiTheme="minorHAnsi" w:hAnsiTheme="minorHAnsi"/>
          <w:b/>
          <w:lang w:val="en-US"/>
        </w:rPr>
      </w:pPr>
    </w:p>
    <w:p w14:paraId="65223EC7" w14:textId="77777777" w:rsidR="00A4037E" w:rsidRDefault="00A4037E" w:rsidP="00605FEF">
      <w:pPr>
        <w:jc w:val="both"/>
        <w:rPr>
          <w:rFonts w:asciiTheme="minorHAnsi" w:hAnsiTheme="minorHAnsi"/>
          <w:b/>
          <w:lang w:val="en-US"/>
        </w:rPr>
      </w:pPr>
    </w:p>
    <w:p w14:paraId="6D97ACCE" w14:textId="77777777" w:rsidR="00A4037E" w:rsidRDefault="00A4037E" w:rsidP="00605FEF">
      <w:pPr>
        <w:jc w:val="both"/>
        <w:rPr>
          <w:rFonts w:asciiTheme="minorHAnsi" w:hAnsiTheme="minorHAnsi"/>
          <w:b/>
          <w:lang w:val="en-US"/>
        </w:rPr>
      </w:pPr>
    </w:p>
    <w:p w14:paraId="195CE156" w14:textId="2AF3FF58" w:rsidR="00605FEF" w:rsidRPr="007F7EEA" w:rsidRDefault="00605FEF" w:rsidP="00605FEF">
      <w:pPr>
        <w:jc w:val="both"/>
        <w:rPr>
          <w:rFonts w:asciiTheme="minorHAnsi" w:hAnsiTheme="minorHAnsi"/>
          <w:b/>
          <w:lang w:val="en-US"/>
        </w:rPr>
      </w:pPr>
      <w:r w:rsidRPr="007F7EEA">
        <w:rPr>
          <w:rFonts w:asciiTheme="minorHAnsi" w:hAnsiTheme="minorHAnsi"/>
          <w:b/>
          <w:lang w:val="en-US"/>
        </w:rPr>
        <w:t>Work Remuneration</w:t>
      </w:r>
    </w:p>
    <w:p w14:paraId="1B3D72BE" w14:textId="77777777" w:rsidR="00605FEF" w:rsidRPr="004835DA" w:rsidRDefault="00605FEF" w:rsidP="00605FEF">
      <w:pPr>
        <w:jc w:val="both"/>
        <w:rPr>
          <w:rFonts w:asciiTheme="minorHAnsi" w:hAnsiTheme="minorHAnsi"/>
          <w:b/>
          <w:highlight w:val="yellow"/>
          <w:lang w:val="en-US"/>
        </w:rPr>
      </w:pPr>
    </w:p>
    <w:p w14:paraId="5976B8F7" w14:textId="77777777" w:rsidR="00473B75" w:rsidRDefault="00605FEF" w:rsidP="00605FEF">
      <w:pPr>
        <w:jc w:val="both"/>
        <w:rPr>
          <w:rFonts w:asciiTheme="minorHAnsi" w:hAnsiTheme="minorHAnsi"/>
          <w:lang w:val="en-US"/>
        </w:rPr>
      </w:pPr>
      <w:r w:rsidRPr="007F7EEA">
        <w:rPr>
          <w:rFonts w:asciiTheme="minorHAnsi" w:hAnsiTheme="minorHAnsi"/>
          <w:lang w:val="en-US"/>
        </w:rPr>
        <w:t>These trends are reflected in lower wages and consequently in lower pensions for women than men.</w:t>
      </w:r>
    </w:p>
    <w:p w14:paraId="11FC529B" w14:textId="17F9CA85" w:rsidR="00473B75" w:rsidRDefault="00473B75" w:rsidP="00605FEF">
      <w:pPr>
        <w:jc w:val="both"/>
        <w:rPr>
          <w:rFonts w:asciiTheme="minorHAnsi" w:hAnsiTheme="minorHAnsi"/>
          <w:lang w:val="en-US"/>
        </w:rPr>
      </w:pPr>
    </w:p>
    <w:p w14:paraId="64DB0B5C" w14:textId="151B9B2A" w:rsidR="00473B75" w:rsidRDefault="00473B75" w:rsidP="00473B75">
      <w:pPr>
        <w:jc w:val="both"/>
        <w:rPr>
          <w:rFonts w:asciiTheme="minorHAnsi" w:hAnsiTheme="minorHAnsi"/>
          <w:lang w:val="en-US"/>
        </w:rPr>
      </w:pPr>
      <w:r w:rsidRPr="00607E3C">
        <w:rPr>
          <w:rFonts w:asciiTheme="minorHAnsi" w:hAnsiTheme="minorHAnsi"/>
          <w:lang w:val="en-US"/>
        </w:rPr>
        <w:t>According to national data collected by the Ministry of Labour</w:t>
      </w:r>
      <w:r>
        <w:rPr>
          <w:rFonts w:asciiTheme="minorHAnsi" w:hAnsiTheme="minorHAnsi"/>
          <w:lang w:val="en-US"/>
        </w:rPr>
        <w:t xml:space="preserve"> (Quadros d</w:t>
      </w:r>
      <w:r w:rsidR="00CD6F7D">
        <w:rPr>
          <w:rFonts w:asciiTheme="minorHAnsi" w:hAnsiTheme="minorHAnsi"/>
          <w:lang w:val="en-US"/>
        </w:rPr>
        <w:t>e</w:t>
      </w:r>
      <w:r>
        <w:rPr>
          <w:rFonts w:asciiTheme="minorHAnsi" w:hAnsiTheme="minorHAnsi"/>
          <w:lang w:val="en-US"/>
        </w:rPr>
        <w:t xml:space="preserve"> Pessoal)</w:t>
      </w:r>
      <w:r w:rsidRPr="00CA60EE">
        <w:rPr>
          <w:rFonts w:asciiTheme="minorHAnsi" w:hAnsiTheme="minorHAnsi"/>
          <w:lang w:val="en-US"/>
        </w:rPr>
        <w:t>, between 2012 (18.5%) and 2017 (14.9%), the average gender pay gap decreased 3.6pp in basic salary. The 1.8pp decrease from 2015 and 2017 was mainly due to the improvement of women’s salaries which grew more than men’s.</w:t>
      </w:r>
    </w:p>
    <w:p w14:paraId="6407FFB0" w14:textId="77777777" w:rsidR="00B53154" w:rsidRDefault="00B53154" w:rsidP="00B53154">
      <w:pPr>
        <w:autoSpaceDE w:val="0"/>
        <w:autoSpaceDN w:val="0"/>
        <w:rPr>
          <w:rFonts w:asciiTheme="minorHAnsi" w:hAnsiTheme="minorHAnsi"/>
          <w:lang w:val="en-US"/>
        </w:rPr>
      </w:pPr>
    </w:p>
    <w:p w14:paraId="715E8E62" w14:textId="44D36631" w:rsidR="00B53154" w:rsidRPr="00607E3C" w:rsidRDefault="00B53154" w:rsidP="00B53154">
      <w:pPr>
        <w:autoSpaceDE w:val="0"/>
        <w:autoSpaceDN w:val="0"/>
        <w:rPr>
          <w:rFonts w:asciiTheme="minorHAnsi" w:hAnsiTheme="minorHAnsi"/>
          <w:lang w:val="en-US"/>
        </w:rPr>
      </w:pPr>
      <w:r w:rsidRPr="00607E3C">
        <w:rPr>
          <w:rFonts w:asciiTheme="minorHAnsi" w:hAnsiTheme="minorHAnsi"/>
          <w:lang w:val="en-US"/>
        </w:rPr>
        <w:t>In</w:t>
      </w:r>
      <w:r w:rsidRPr="00CA60EE">
        <w:rPr>
          <w:rFonts w:asciiTheme="minorHAnsi" w:hAnsiTheme="minorHAnsi"/>
          <w:lang w:val="en-US"/>
        </w:rPr>
        <w:t xml:space="preserve"> this context, the </w:t>
      </w:r>
      <w:hyperlink r:id="rId12" w:history="1">
        <w:r w:rsidRPr="00CA60EE">
          <w:rPr>
            <w:rFonts w:asciiTheme="minorHAnsi" w:hAnsiTheme="minorHAnsi"/>
            <w:lang w:val="en-US"/>
          </w:rPr>
          <w:t xml:space="preserve">Barometer of </w:t>
        </w:r>
        <w:r w:rsidR="00FC1CAD" w:rsidRPr="00CA60EE">
          <w:rPr>
            <w:rFonts w:asciiTheme="minorHAnsi" w:hAnsiTheme="minorHAnsi"/>
            <w:lang w:val="en-US"/>
          </w:rPr>
          <w:t>Pay Differences between Women and Men</w:t>
        </w:r>
      </w:hyperlink>
      <w:r w:rsidR="00FC1CAD" w:rsidRPr="00CA60EE">
        <w:rPr>
          <w:rFonts w:asciiTheme="minorHAnsi" w:hAnsiTheme="minorHAnsi"/>
          <w:lang w:val="en-US"/>
        </w:rPr>
        <w:t xml:space="preserve"> (issued for the first time in June 201</w:t>
      </w:r>
      <w:r w:rsidR="00020419" w:rsidRPr="00607E3C">
        <w:rPr>
          <w:rFonts w:asciiTheme="minorHAnsi" w:hAnsiTheme="minorHAnsi"/>
          <w:lang w:val="en-US"/>
        </w:rPr>
        <w:t>9</w:t>
      </w:r>
      <w:r w:rsidR="00FC1CAD" w:rsidRPr="00CA60EE">
        <w:rPr>
          <w:rFonts w:asciiTheme="minorHAnsi" w:hAnsiTheme="minorHAnsi"/>
          <w:lang w:val="en-US"/>
        </w:rPr>
        <w:t xml:space="preserve"> </w:t>
      </w:r>
      <w:r w:rsidR="00B46EA2" w:rsidRPr="00CA60EE">
        <w:rPr>
          <w:rFonts w:asciiTheme="minorHAnsi" w:hAnsiTheme="minorHAnsi"/>
          <w:lang w:val="en-US"/>
        </w:rPr>
        <w:t xml:space="preserve">by the Ministry of Labour - </w:t>
      </w:r>
      <w:hyperlink r:id="rId13" w:history="1">
        <w:r w:rsidRPr="00CA60EE">
          <w:rPr>
            <w:rFonts w:asciiTheme="minorHAnsi" w:hAnsiTheme="minorHAnsi"/>
            <w:lang w:val="en-US"/>
          </w:rPr>
          <w:t>www.gep.mtsss.gov.pt</w:t>
        </w:r>
      </w:hyperlink>
      <w:r w:rsidRPr="00CA60EE">
        <w:rPr>
          <w:rFonts w:asciiTheme="minorHAnsi" w:hAnsiTheme="minorHAnsi"/>
          <w:lang w:val="en-US"/>
        </w:rPr>
        <w:t xml:space="preserve">), </w:t>
      </w:r>
      <w:r w:rsidR="00B46EA2" w:rsidRPr="00CA60EE">
        <w:rPr>
          <w:rFonts w:asciiTheme="minorHAnsi" w:hAnsiTheme="minorHAnsi"/>
          <w:lang w:val="en-US"/>
        </w:rPr>
        <w:t>shows that, according ot national data collected in the Quadros de Pessoal 2017</w:t>
      </w:r>
      <w:r w:rsidRPr="00CA60EE">
        <w:rPr>
          <w:rFonts w:asciiTheme="minorHAnsi" w:hAnsiTheme="minorHAnsi"/>
          <w:lang w:val="en-US"/>
        </w:rPr>
        <w:t>:</w:t>
      </w:r>
    </w:p>
    <w:p w14:paraId="7D044F26" w14:textId="1A403206" w:rsidR="00020419" w:rsidRPr="00CA60EE" w:rsidRDefault="00020419" w:rsidP="00607E3C">
      <w:pPr>
        <w:pStyle w:val="ListParagraph"/>
        <w:numPr>
          <w:ilvl w:val="0"/>
          <w:numId w:val="12"/>
        </w:numPr>
        <w:autoSpaceDE w:val="0"/>
        <w:autoSpaceDN w:val="0"/>
        <w:jc w:val="both"/>
        <w:rPr>
          <w:rFonts w:asciiTheme="minorHAnsi" w:hAnsiTheme="minorHAnsi"/>
          <w:lang w:val="en-US"/>
        </w:rPr>
      </w:pPr>
      <w:r w:rsidRPr="00CA60EE">
        <w:rPr>
          <w:rFonts w:asciiTheme="minorHAnsi" w:hAnsiTheme="minorHAnsi"/>
          <w:lang w:val="en-US"/>
        </w:rPr>
        <w:t>the gender pay gap in 2017 was 14.8% for base salary and 18.2% for gross salary</w:t>
      </w:r>
    </w:p>
    <w:p w14:paraId="30F6C6A0" w14:textId="09150C72" w:rsidR="00473B75" w:rsidRDefault="00980991" w:rsidP="00607E3C">
      <w:pPr>
        <w:pStyle w:val="ListParagraph"/>
        <w:numPr>
          <w:ilvl w:val="0"/>
          <w:numId w:val="12"/>
        </w:numPr>
        <w:autoSpaceDE w:val="0"/>
        <w:autoSpaceDN w:val="0"/>
        <w:jc w:val="both"/>
        <w:rPr>
          <w:rFonts w:asciiTheme="minorHAnsi" w:hAnsiTheme="minorHAnsi"/>
          <w:lang w:val="en-US"/>
        </w:rPr>
      </w:pPr>
      <w:r w:rsidRPr="00CA60EE">
        <w:rPr>
          <w:rFonts w:asciiTheme="minorHAnsi" w:hAnsiTheme="minorHAnsi"/>
          <w:lang w:val="en-US"/>
        </w:rPr>
        <w:t>the adjusted gender pay gap</w:t>
      </w:r>
      <w:r w:rsidR="000B6BD2" w:rsidRPr="00CA60EE">
        <w:rPr>
          <w:rFonts w:asciiTheme="minorHAnsi" w:hAnsiTheme="minorHAnsi"/>
          <w:lang w:val="en-US"/>
        </w:rPr>
        <w:t xml:space="preserve"> (</w:t>
      </w:r>
      <w:r w:rsidR="00CA60EE">
        <w:rPr>
          <w:rFonts w:asciiTheme="minorHAnsi" w:hAnsiTheme="minorHAnsi"/>
          <w:lang w:val="en-US"/>
        </w:rPr>
        <w:t xml:space="preserve">pay </w:t>
      </w:r>
      <w:r w:rsidR="008744BA" w:rsidRPr="00CA60EE">
        <w:rPr>
          <w:rFonts w:asciiTheme="minorHAnsi" w:hAnsiTheme="minorHAnsi"/>
          <w:lang w:val="en-US"/>
        </w:rPr>
        <w:t>gap that does not derive from diferences in the distr</w:t>
      </w:r>
      <w:r w:rsidR="00607E3C">
        <w:rPr>
          <w:rFonts w:asciiTheme="minorHAnsi" w:hAnsiTheme="minorHAnsi"/>
          <w:lang w:val="en-US"/>
        </w:rPr>
        <w:t xml:space="preserve">ibution </w:t>
      </w:r>
      <w:r w:rsidR="008744BA" w:rsidRPr="00CA60EE">
        <w:rPr>
          <w:rFonts w:asciiTheme="minorHAnsi" w:hAnsiTheme="minorHAnsi"/>
          <w:lang w:val="en-US"/>
        </w:rPr>
        <w:t>of wome</w:t>
      </w:r>
      <w:r w:rsidR="00607E3C">
        <w:rPr>
          <w:rFonts w:asciiTheme="minorHAnsi" w:hAnsiTheme="minorHAnsi"/>
          <w:lang w:val="en-US"/>
        </w:rPr>
        <w:t>n</w:t>
      </w:r>
      <w:r w:rsidR="008744BA" w:rsidRPr="00CA60EE">
        <w:rPr>
          <w:rFonts w:asciiTheme="minorHAnsi" w:hAnsiTheme="minorHAnsi"/>
          <w:lang w:val="en-US"/>
        </w:rPr>
        <w:t xml:space="preserve"> and men by sector of economic activity, </w:t>
      </w:r>
      <w:r w:rsidR="00607E3C">
        <w:rPr>
          <w:rFonts w:asciiTheme="minorHAnsi" w:hAnsiTheme="minorHAnsi"/>
          <w:lang w:val="en-US"/>
        </w:rPr>
        <w:t>profession</w:t>
      </w:r>
      <w:r w:rsidR="008744BA" w:rsidRPr="00CA60EE">
        <w:rPr>
          <w:rFonts w:asciiTheme="minorHAnsi" w:hAnsiTheme="minorHAnsi"/>
          <w:lang w:val="en-US"/>
        </w:rPr>
        <w:t xml:space="preserve">, level of professional qualification, </w:t>
      </w:r>
      <w:r w:rsidR="00CA60EE" w:rsidRPr="00CA60EE">
        <w:rPr>
          <w:rFonts w:asciiTheme="minorHAnsi" w:hAnsiTheme="minorHAnsi"/>
          <w:lang w:val="en-US"/>
        </w:rPr>
        <w:t>educational level, and senitority</w:t>
      </w:r>
      <w:r w:rsidR="00607E3C">
        <w:rPr>
          <w:rFonts w:asciiTheme="minorHAnsi" w:hAnsiTheme="minorHAnsi"/>
          <w:lang w:val="en-US"/>
        </w:rPr>
        <w:t>)</w:t>
      </w:r>
      <w:r w:rsidR="00CA60EE" w:rsidRPr="00CA60EE">
        <w:rPr>
          <w:rFonts w:asciiTheme="minorHAnsi" w:hAnsiTheme="minorHAnsi"/>
          <w:lang w:val="en-US"/>
        </w:rPr>
        <w:t>.</w:t>
      </w:r>
    </w:p>
    <w:p w14:paraId="03C41170" w14:textId="77777777" w:rsidR="00CA60EE" w:rsidRPr="00CA60EE" w:rsidRDefault="00CA60EE" w:rsidP="00CA60EE">
      <w:pPr>
        <w:pStyle w:val="ListParagraph"/>
        <w:autoSpaceDE w:val="0"/>
        <w:autoSpaceDN w:val="0"/>
        <w:rPr>
          <w:rFonts w:asciiTheme="minorHAnsi" w:hAnsiTheme="minorHAnsi"/>
          <w:lang w:val="en-US"/>
        </w:rPr>
      </w:pPr>
    </w:p>
    <w:p w14:paraId="1F6795FA" w14:textId="2E261AAA" w:rsidR="00605FEF" w:rsidRPr="007F7EEA" w:rsidRDefault="00605FEF" w:rsidP="00605FEF">
      <w:pPr>
        <w:jc w:val="both"/>
        <w:rPr>
          <w:rFonts w:asciiTheme="minorHAnsi" w:hAnsiTheme="minorHAnsi"/>
          <w:lang w:val="en-US"/>
        </w:rPr>
      </w:pPr>
      <w:r w:rsidRPr="00CA60EE">
        <w:rPr>
          <w:rFonts w:asciiTheme="minorHAnsi" w:hAnsiTheme="minorHAnsi"/>
          <w:lang w:val="en-US"/>
        </w:rPr>
        <w:t xml:space="preserve"> </w:t>
      </w:r>
      <w:r w:rsidR="00BB110A">
        <w:rPr>
          <w:rFonts w:asciiTheme="minorHAnsi" w:hAnsiTheme="minorHAnsi"/>
          <w:lang w:val="en-US"/>
        </w:rPr>
        <w:t xml:space="preserve">According to </w:t>
      </w:r>
      <w:r w:rsidRPr="007F7EEA">
        <w:rPr>
          <w:rFonts w:asciiTheme="minorHAnsi" w:hAnsiTheme="minorHAnsi"/>
          <w:lang w:val="en-US"/>
        </w:rPr>
        <w:t>the latest Eurostat data, the gender pay gap in Portugal in 2017 was 16.3% (1.2 pp less than 2016 and 1.5 pp less than 2015), making Portugal the first country with values just above the EU average, with just over 0.3 pp.</w:t>
      </w:r>
    </w:p>
    <w:p w14:paraId="63F15F13" w14:textId="77777777" w:rsidR="00605FEF" w:rsidRPr="004835DA" w:rsidRDefault="00605FEF" w:rsidP="00605FEF">
      <w:pPr>
        <w:jc w:val="both"/>
        <w:rPr>
          <w:rFonts w:asciiTheme="minorHAnsi" w:hAnsiTheme="minorHAnsi"/>
          <w:highlight w:val="yellow"/>
          <w:lang w:val="en-US"/>
        </w:rPr>
      </w:pPr>
    </w:p>
    <w:p w14:paraId="3DD95224" w14:textId="77777777" w:rsidR="00605FEF" w:rsidRPr="004835DA" w:rsidRDefault="00605FEF" w:rsidP="00605FEF">
      <w:pPr>
        <w:jc w:val="both"/>
        <w:rPr>
          <w:rFonts w:asciiTheme="minorHAnsi" w:hAnsiTheme="minorHAnsi"/>
          <w:highlight w:val="yellow"/>
          <w:lang w:val="en-US"/>
        </w:rPr>
      </w:pPr>
    </w:p>
    <w:p w14:paraId="5530FAAE" w14:textId="77777777" w:rsidR="00605FEF" w:rsidRPr="007F7EEA" w:rsidRDefault="00605FEF" w:rsidP="00605FEF">
      <w:pPr>
        <w:jc w:val="both"/>
        <w:rPr>
          <w:rFonts w:asciiTheme="minorHAnsi" w:hAnsiTheme="minorHAnsi"/>
          <w:b/>
          <w:lang w:val="en-US"/>
        </w:rPr>
      </w:pPr>
      <w:r w:rsidRPr="007F7EEA">
        <w:rPr>
          <w:rFonts w:asciiTheme="minorHAnsi" w:hAnsiTheme="minorHAnsi"/>
          <w:b/>
          <w:lang w:val="en-US"/>
        </w:rPr>
        <w:t>Collective bargaining</w:t>
      </w:r>
    </w:p>
    <w:p w14:paraId="530DC99D" w14:textId="77777777" w:rsidR="00605FEF" w:rsidRPr="007F7EEA" w:rsidRDefault="00605FEF" w:rsidP="00605FEF">
      <w:pPr>
        <w:jc w:val="both"/>
        <w:rPr>
          <w:rFonts w:asciiTheme="minorHAnsi" w:hAnsiTheme="minorHAnsi"/>
          <w:b/>
          <w:lang w:val="en-US"/>
        </w:rPr>
      </w:pPr>
    </w:p>
    <w:p w14:paraId="52FC7529" w14:textId="77777777" w:rsidR="00605FEF" w:rsidRPr="007F7EEA" w:rsidRDefault="00605FEF" w:rsidP="00605FEF">
      <w:pPr>
        <w:jc w:val="both"/>
        <w:rPr>
          <w:rFonts w:asciiTheme="minorHAnsi" w:hAnsiTheme="minorHAnsi"/>
          <w:lang w:val="en-US"/>
        </w:rPr>
      </w:pPr>
      <w:r w:rsidRPr="007F7EEA">
        <w:rPr>
          <w:rFonts w:asciiTheme="minorHAnsi" w:hAnsiTheme="minorHAnsi"/>
          <w:lang w:val="en-US"/>
        </w:rPr>
        <w:t xml:space="preserve">The principle of equality and non-discrimination is </w:t>
      </w:r>
      <w:r w:rsidR="007F7EEA" w:rsidRPr="007F7EEA">
        <w:rPr>
          <w:rFonts w:asciiTheme="minorHAnsi" w:hAnsiTheme="minorHAnsi"/>
          <w:lang w:val="en-US"/>
        </w:rPr>
        <w:t xml:space="preserve">enshrined in </w:t>
      </w:r>
      <w:r w:rsidRPr="007F7EEA">
        <w:rPr>
          <w:rFonts w:asciiTheme="minorHAnsi" w:hAnsiTheme="minorHAnsi"/>
          <w:lang w:val="en-US"/>
        </w:rPr>
        <w:t xml:space="preserve">the Constitution </w:t>
      </w:r>
      <w:r w:rsidR="007F7EEA">
        <w:rPr>
          <w:rFonts w:asciiTheme="minorHAnsi" w:hAnsiTheme="minorHAnsi"/>
          <w:lang w:val="en-US"/>
        </w:rPr>
        <w:t xml:space="preserve">Law </w:t>
      </w:r>
      <w:r w:rsidRPr="007F7EEA">
        <w:rPr>
          <w:rFonts w:asciiTheme="minorHAnsi" w:hAnsiTheme="minorHAnsi"/>
          <w:lang w:val="en-US"/>
        </w:rPr>
        <w:t xml:space="preserve">of the Portuguese Republic, </w:t>
      </w:r>
      <w:r w:rsidR="007F7EEA" w:rsidRPr="007F7EEA">
        <w:rPr>
          <w:rFonts w:asciiTheme="minorHAnsi" w:hAnsiTheme="minorHAnsi"/>
          <w:lang w:val="en-US"/>
        </w:rPr>
        <w:t>namely in the</w:t>
      </w:r>
      <w:r w:rsidRPr="007F7EEA">
        <w:rPr>
          <w:rFonts w:asciiTheme="minorHAnsi" w:hAnsiTheme="minorHAnsi"/>
          <w:lang w:val="en-US"/>
        </w:rPr>
        <w:t xml:space="preserve"> general p</w:t>
      </w:r>
      <w:r w:rsidR="007F7EEA" w:rsidRPr="007F7EEA">
        <w:rPr>
          <w:rFonts w:asciiTheme="minorHAnsi" w:hAnsiTheme="minorHAnsi"/>
          <w:lang w:val="en-US"/>
        </w:rPr>
        <w:t>rinciple set out in Article 13 and by Articles 59, 63, 67 and 68</w:t>
      </w:r>
      <w:r w:rsidRPr="007F7EEA">
        <w:rPr>
          <w:rFonts w:asciiTheme="minorHAnsi" w:hAnsiTheme="minorHAnsi"/>
          <w:lang w:val="en-US"/>
        </w:rPr>
        <w:t xml:space="preserve"> that were </w:t>
      </w:r>
      <w:r w:rsidR="007F7EEA" w:rsidRPr="007F7EEA">
        <w:rPr>
          <w:rFonts w:asciiTheme="minorHAnsi" w:hAnsiTheme="minorHAnsi"/>
          <w:lang w:val="en-US"/>
        </w:rPr>
        <w:t xml:space="preserve">later </w:t>
      </w:r>
      <w:r w:rsidRPr="007F7EEA">
        <w:rPr>
          <w:rFonts w:asciiTheme="minorHAnsi" w:hAnsiTheme="minorHAnsi"/>
          <w:lang w:val="en-US"/>
        </w:rPr>
        <w:t xml:space="preserve">developed </w:t>
      </w:r>
      <w:r w:rsidR="007F7EEA" w:rsidRPr="007F7EEA">
        <w:rPr>
          <w:rFonts w:asciiTheme="minorHAnsi" w:hAnsiTheme="minorHAnsi"/>
          <w:lang w:val="en-US"/>
        </w:rPr>
        <w:t>through</w:t>
      </w:r>
      <w:r w:rsidRPr="007F7EEA">
        <w:rPr>
          <w:rFonts w:asciiTheme="minorHAnsi" w:hAnsiTheme="minorHAnsi"/>
          <w:lang w:val="en-US"/>
        </w:rPr>
        <w:t xml:space="preserve"> </w:t>
      </w:r>
      <w:r w:rsidR="00594AD3" w:rsidRPr="007F7EEA">
        <w:rPr>
          <w:rFonts w:asciiTheme="minorHAnsi" w:hAnsiTheme="minorHAnsi"/>
          <w:lang w:val="en-US"/>
        </w:rPr>
        <w:t>Labour</w:t>
      </w:r>
      <w:r w:rsidRPr="007F7EEA">
        <w:rPr>
          <w:rFonts w:asciiTheme="minorHAnsi" w:hAnsiTheme="minorHAnsi"/>
          <w:lang w:val="en-US"/>
        </w:rPr>
        <w:t xml:space="preserve"> legislation.</w:t>
      </w:r>
    </w:p>
    <w:p w14:paraId="3A2779AA" w14:textId="77777777" w:rsidR="00605FEF" w:rsidRPr="004835DA" w:rsidRDefault="00605FEF" w:rsidP="00605FEF">
      <w:pPr>
        <w:jc w:val="both"/>
        <w:rPr>
          <w:rFonts w:asciiTheme="minorHAnsi" w:hAnsiTheme="minorHAnsi"/>
          <w:highlight w:val="yellow"/>
          <w:lang w:val="en-US"/>
        </w:rPr>
      </w:pPr>
    </w:p>
    <w:p w14:paraId="17734B72" w14:textId="77777777" w:rsidR="00605FEF" w:rsidRPr="007F7EEA" w:rsidRDefault="00605FEF" w:rsidP="00605FEF">
      <w:pPr>
        <w:jc w:val="both"/>
        <w:rPr>
          <w:rFonts w:asciiTheme="minorHAnsi" w:hAnsiTheme="minorHAnsi"/>
          <w:lang w:val="en-US"/>
        </w:rPr>
      </w:pPr>
      <w:r w:rsidRPr="007F7EEA">
        <w:rPr>
          <w:rFonts w:asciiTheme="minorHAnsi" w:hAnsiTheme="minorHAnsi"/>
          <w:lang w:val="en-US"/>
        </w:rPr>
        <w:t xml:space="preserve">Within this </w:t>
      </w:r>
      <w:r w:rsidR="007F7EEA" w:rsidRPr="007F7EEA">
        <w:rPr>
          <w:rFonts w:asciiTheme="minorHAnsi" w:hAnsiTheme="minorHAnsi"/>
          <w:lang w:val="en-US"/>
        </w:rPr>
        <w:t>framework</w:t>
      </w:r>
      <w:r w:rsidRPr="007F7EEA">
        <w:rPr>
          <w:rFonts w:asciiTheme="minorHAnsi" w:hAnsiTheme="minorHAnsi"/>
          <w:lang w:val="en-US"/>
        </w:rPr>
        <w:t xml:space="preserve"> there are 3 main issues addressed in collective agreements:</w:t>
      </w:r>
    </w:p>
    <w:p w14:paraId="3D222257" w14:textId="77777777" w:rsidR="007F7EEA" w:rsidRPr="004835DA" w:rsidRDefault="007F7EEA" w:rsidP="00605FEF">
      <w:pPr>
        <w:jc w:val="both"/>
        <w:rPr>
          <w:rFonts w:asciiTheme="minorHAnsi" w:hAnsiTheme="minorHAnsi"/>
          <w:highlight w:val="yellow"/>
          <w:lang w:val="en-US"/>
        </w:rPr>
      </w:pPr>
    </w:p>
    <w:p w14:paraId="618C39D9" w14:textId="77777777" w:rsidR="00605FEF" w:rsidRDefault="00605FEF" w:rsidP="00605FEF">
      <w:pPr>
        <w:jc w:val="both"/>
        <w:rPr>
          <w:rFonts w:asciiTheme="minorHAnsi" w:hAnsiTheme="minorHAnsi"/>
          <w:lang w:val="en-US"/>
        </w:rPr>
      </w:pPr>
      <w:r w:rsidRPr="007F7EEA">
        <w:rPr>
          <w:rFonts w:asciiTheme="minorHAnsi" w:hAnsiTheme="minorHAnsi"/>
          <w:lang w:val="en-US"/>
        </w:rPr>
        <w:t xml:space="preserve">• </w:t>
      </w:r>
      <w:bookmarkStart w:id="4" w:name="_GoBack"/>
      <w:r w:rsidRPr="007F7EEA">
        <w:rPr>
          <w:rFonts w:asciiTheme="minorHAnsi" w:hAnsiTheme="minorHAnsi"/>
          <w:lang w:val="en-US"/>
        </w:rPr>
        <w:t>Harassment</w:t>
      </w:r>
      <w:bookmarkEnd w:id="4"/>
      <w:r w:rsidRPr="007F7EEA">
        <w:rPr>
          <w:rFonts w:asciiTheme="minorHAnsi" w:hAnsiTheme="minorHAnsi"/>
          <w:lang w:val="en-US"/>
        </w:rPr>
        <w:t xml:space="preserve"> in the workplace, </w:t>
      </w:r>
      <w:r w:rsidR="007F7EEA">
        <w:rPr>
          <w:rFonts w:asciiTheme="minorHAnsi" w:hAnsiTheme="minorHAnsi"/>
          <w:lang w:val="en-US"/>
        </w:rPr>
        <w:t xml:space="preserve">addressed by </w:t>
      </w:r>
      <w:r w:rsidRPr="007F7EEA">
        <w:rPr>
          <w:rFonts w:asciiTheme="minorHAnsi" w:hAnsiTheme="minorHAnsi"/>
          <w:lang w:val="en-US"/>
        </w:rPr>
        <w:t>Articles 29 and 127 (1) (k) and (l) of the Labo</w:t>
      </w:r>
      <w:r w:rsidR="007F7EEA" w:rsidRPr="007F7EEA">
        <w:rPr>
          <w:rFonts w:asciiTheme="minorHAnsi" w:hAnsiTheme="minorHAnsi"/>
          <w:lang w:val="en-US"/>
        </w:rPr>
        <w:t>u</w:t>
      </w:r>
      <w:r w:rsidRPr="007F7EEA">
        <w:rPr>
          <w:rFonts w:asciiTheme="minorHAnsi" w:hAnsiTheme="minorHAnsi"/>
          <w:lang w:val="en-US"/>
        </w:rPr>
        <w:t>r Code</w:t>
      </w:r>
      <w:r w:rsidR="00C95A9D">
        <w:rPr>
          <w:rFonts w:asciiTheme="minorHAnsi" w:hAnsiTheme="minorHAnsi"/>
          <w:lang w:val="en-US"/>
        </w:rPr>
        <w:t xml:space="preserve">. The </w:t>
      </w:r>
      <w:r w:rsidR="00594AD3">
        <w:rPr>
          <w:rFonts w:asciiTheme="minorHAnsi" w:hAnsiTheme="minorHAnsi"/>
          <w:lang w:val="en-US"/>
        </w:rPr>
        <w:t>prevalence</w:t>
      </w:r>
      <w:r w:rsidR="00C95A9D">
        <w:rPr>
          <w:rFonts w:asciiTheme="minorHAnsi" w:hAnsiTheme="minorHAnsi"/>
          <w:lang w:val="en-US"/>
        </w:rPr>
        <w:t xml:space="preserve"> of s</w:t>
      </w:r>
      <w:r w:rsidRPr="007F7EEA">
        <w:rPr>
          <w:rFonts w:asciiTheme="minorHAnsi" w:hAnsiTheme="minorHAnsi"/>
          <w:lang w:val="en-US"/>
        </w:rPr>
        <w:t xml:space="preserve">ectoral or group of </w:t>
      </w:r>
      <w:r w:rsidR="00594AD3">
        <w:rPr>
          <w:rFonts w:asciiTheme="minorHAnsi" w:hAnsiTheme="minorHAnsi"/>
          <w:lang w:val="en-US"/>
        </w:rPr>
        <w:t>companie</w:t>
      </w:r>
      <w:r w:rsidR="00594AD3" w:rsidRPr="007F7EEA">
        <w:rPr>
          <w:rFonts w:asciiTheme="minorHAnsi" w:hAnsiTheme="minorHAnsi"/>
          <w:lang w:val="en-US"/>
        </w:rPr>
        <w:t>s’</w:t>
      </w:r>
      <w:r w:rsidRPr="007F7EEA">
        <w:rPr>
          <w:rFonts w:asciiTheme="minorHAnsi" w:hAnsiTheme="minorHAnsi"/>
          <w:lang w:val="en-US"/>
        </w:rPr>
        <w:t xml:space="preserve"> negotiation</w:t>
      </w:r>
      <w:r w:rsidR="007F7EEA">
        <w:rPr>
          <w:rFonts w:asciiTheme="minorHAnsi" w:hAnsiTheme="minorHAnsi"/>
          <w:lang w:val="en-US"/>
        </w:rPr>
        <w:t>s</w:t>
      </w:r>
      <w:r w:rsidRPr="007F7EEA">
        <w:rPr>
          <w:rFonts w:asciiTheme="minorHAnsi" w:hAnsiTheme="minorHAnsi"/>
          <w:lang w:val="en-US"/>
        </w:rPr>
        <w:t xml:space="preserve"> </w:t>
      </w:r>
      <w:r w:rsidR="00C95A9D">
        <w:rPr>
          <w:rFonts w:asciiTheme="minorHAnsi" w:hAnsiTheme="minorHAnsi"/>
          <w:lang w:val="en-US"/>
        </w:rPr>
        <w:t xml:space="preserve">gives the issue more visibility. In </w:t>
      </w:r>
      <w:r w:rsidR="00594AD3">
        <w:rPr>
          <w:rFonts w:asciiTheme="minorHAnsi" w:hAnsiTheme="minorHAnsi"/>
          <w:lang w:val="en-US"/>
        </w:rPr>
        <w:t>2018,</w:t>
      </w:r>
      <w:r w:rsidRPr="007F7EEA">
        <w:rPr>
          <w:rFonts w:asciiTheme="minorHAnsi" w:hAnsiTheme="minorHAnsi"/>
          <w:lang w:val="en-US"/>
        </w:rPr>
        <w:t xml:space="preserve"> </w:t>
      </w:r>
      <w:r w:rsidR="00C95A9D">
        <w:rPr>
          <w:rFonts w:asciiTheme="minorHAnsi" w:hAnsiTheme="minorHAnsi"/>
          <w:lang w:val="en-US"/>
        </w:rPr>
        <w:t xml:space="preserve">a </w:t>
      </w:r>
      <w:r w:rsidR="00C95A9D" w:rsidRPr="007F7EEA">
        <w:rPr>
          <w:rFonts w:asciiTheme="minorHAnsi" w:hAnsiTheme="minorHAnsi"/>
          <w:lang w:val="en-US"/>
        </w:rPr>
        <w:t xml:space="preserve">compulsory arbitration </w:t>
      </w:r>
      <w:r w:rsidR="00C95A9D">
        <w:rPr>
          <w:rFonts w:asciiTheme="minorHAnsi" w:hAnsiTheme="minorHAnsi"/>
          <w:lang w:val="en-US"/>
        </w:rPr>
        <w:t xml:space="preserve">addressed a specific case. </w:t>
      </w:r>
    </w:p>
    <w:p w14:paraId="5B94164B" w14:textId="77777777" w:rsidR="00C95A9D" w:rsidRPr="00C95A9D" w:rsidRDefault="00C95A9D" w:rsidP="00605FEF">
      <w:pPr>
        <w:jc w:val="both"/>
        <w:rPr>
          <w:rFonts w:asciiTheme="minorHAnsi" w:hAnsiTheme="minorHAnsi"/>
          <w:lang w:val="en-US"/>
        </w:rPr>
      </w:pPr>
    </w:p>
    <w:p w14:paraId="5B281AA1" w14:textId="77777777" w:rsidR="00605FEF" w:rsidRPr="00C95A9D" w:rsidRDefault="00605FEF" w:rsidP="00605FEF">
      <w:pPr>
        <w:jc w:val="both"/>
        <w:rPr>
          <w:rFonts w:asciiTheme="minorHAnsi" w:hAnsiTheme="minorHAnsi"/>
          <w:lang w:val="en-US"/>
        </w:rPr>
      </w:pPr>
      <w:r w:rsidRPr="00C95A9D">
        <w:rPr>
          <w:rFonts w:asciiTheme="minorHAnsi" w:hAnsiTheme="minorHAnsi"/>
          <w:lang w:val="en-US"/>
        </w:rPr>
        <w:t xml:space="preserve">• </w:t>
      </w:r>
      <w:r w:rsidR="007F7EEA" w:rsidRPr="00C95A9D">
        <w:rPr>
          <w:rFonts w:asciiTheme="minorHAnsi" w:hAnsiTheme="minorHAnsi"/>
          <w:lang w:val="en-US"/>
        </w:rPr>
        <w:t>Balance b</w:t>
      </w:r>
      <w:r w:rsidRPr="00C95A9D">
        <w:rPr>
          <w:rFonts w:asciiTheme="minorHAnsi" w:hAnsiTheme="minorHAnsi"/>
          <w:lang w:val="en-US"/>
        </w:rPr>
        <w:t xml:space="preserve">etween </w:t>
      </w:r>
      <w:r w:rsidR="00C95A9D">
        <w:rPr>
          <w:rFonts w:asciiTheme="minorHAnsi" w:hAnsiTheme="minorHAnsi"/>
          <w:lang w:val="en-US"/>
        </w:rPr>
        <w:t xml:space="preserve">work, personal and family life, addressed by </w:t>
      </w:r>
      <w:r w:rsidRPr="00C95A9D">
        <w:rPr>
          <w:rFonts w:asciiTheme="minorHAnsi" w:hAnsiTheme="minorHAnsi"/>
          <w:lang w:val="en-US"/>
        </w:rPr>
        <w:t xml:space="preserve">Articles 33 </w:t>
      </w:r>
      <w:r w:rsidR="00C95A9D">
        <w:rPr>
          <w:rFonts w:asciiTheme="minorHAnsi" w:hAnsiTheme="minorHAnsi"/>
          <w:lang w:val="en-US"/>
        </w:rPr>
        <w:t>and following of the Labour Code,</w:t>
      </w:r>
      <w:r w:rsidRPr="00C95A9D">
        <w:rPr>
          <w:rFonts w:asciiTheme="minorHAnsi" w:hAnsiTheme="minorHAnsi"/>
          <w:lang w:val="en-US"/>
        </w:rPr>
        <w:t xml:space="preserve"> with effects in a variety of </w:t>
      </w:r>
      <w:r w:rsidR="007F7EEA" w:rsidRPr="00C95A9D">
        <w:rPr>
          <w:rFonts w:asciiTheme="minorHAnsi" w:hAnsiTheme="minorHAnsi"/>
          <w:lang w:val="en-US"/>
        </w:rPr>
        <w:t xml:space="preserve">work </w:t>
      </w:r>
      <w:r w:rsidRPr="00C95A9D">
        <w:rPr>
          <w:rFonts w:asciiTheme="minorHAnsi" w:hAnsiTheme="minorHAnsi"/>
          <w:lang w:val="en-US"/>
        </w:rPr>
        <w:t>schemes: from working time arrangements to holidays, overtime work, part-time work, vocational training and occupational safety and health</w:t>
      </w:r>
      <w:r w:rsidR="00C95A9D">
        <w:rPr>
          <w:rFonts w:asciiTheme="minorHAnsi" w:hAnsiTheme="minorHAnsi"/>
          <w:lang w:val="en-US"/>
        </w:rPr>
        <w:t xml:space="preserve"> conditions</w:t>
      </w:r>
      <w:r w:rsidRPr="00C95A9D">
        <w:rPr>
          <w:rFonts w:asciiTheme="minorHAnsi" w:hAnsiTheme="minorHAnsi"/>
          <w:lang w:val="en-US"/>
        </w:rPr>
        <w:t>;</w:t>
      </w:r>
    </w:p>
    <w:p w14:paraId="2C927518" w14:textId="77777777" w:rsidR="00605FEF" w:rsidRPr="004835DA" w:rsidRDefault="00605FEF" w:rsidP="00605FEF">
      <w:pPr>
        <w:jc w:val="both"/>
        <w:rPr>
          <w:rFonts w:asciiTheme="minorHAnsi" w:hAnsiTheme="minorHAnsi"/>
          <w:highlight w:val="yellow"/>
          <w:lang w:val="en-US"/>
        </w:rPr>
      </w:pPr>
    </w:p>
    <w:p w14:paraId="09A2F50F" w14:textId="77777777" w:rsidR="00605FEF" w:rsidRPr="00C95A9D" w:rsidRDefault="00605FEF" w:rsidP="00605FEF">
      <w:pPr>
        <w:jc w:val="both"/>
        <w:rPr>
          <w:rFonts w:asciiTheme="minorHAnsi" w:hAnsiTheme="minorHAnsi"/>
          <w:lang w:val="en-US"/>
        </w:rPr>
      </w:pPr>
      <w:r w:rsidRPr="00C95A9D">
        <w:rPr>
          <w:rFonts w:asciiTheme="minorHAnsi" w:hAnsiTheme="minorHAnsi"/>
          <w:lang w:val="en-US"/>
        </w:rPr>
        <w:t>• Equality of working conditions in general, gender equality and positive discriminatio</w:t>
      </w:r>
      <w:r w:rsidR="00C95A9D">
        <w:rPr>
          <w:rFonts w:asciiTheme="minorHAnsi" w:hAnsiTheme="minorHAnsi"/>
          <w:lang w:val="en-US"/>
        </w:rPr>
        <w:t xml:space="preserve">n measures for disabled workers, addressed by </w:t>
      </w:r>
      <w:r w:rsidRPr="00C95A9D">
        <w:rPr>
          <w:rFonts w:asciiTheme="minorHAnsi" w:hAnsiTheme="minorHAnsi"/>
          <w:lang w:val="en-US"/>
        </w:rPr>
        <w:t xml:space="preserve">Articles 23 </w:t>
      </w:r>
      <w:r w:rsidR="00C95A9D">
        <w:rPr>
          <w:rFonts w:asciiTheme="minorHAnsi" w:hAnsiTheme="minorHAnsi"/>
          <w:lang w:val="en-US"/>
        </w:rPr>
        <w:t>and following,</w:t>
      </w:r>
      <w:r w:rsidRPr="00C95A9D">
        <w:rPr>
          <w:rFonts w:asciiTheme="minorHAnsi" w:hAnsiTheme="minorHAnsi"/>
          <w:lang w:val="en-US"/>
        </w:rPr>
        <w:t xml:space="preserve"> and </w:t>
      </w:r>
      <w:r w:rsidR="00C95A9D">
        <w:rPr>
          <w:rFonts w:asciiTheme="minorHAnsi" w:hAnsiTheme="minorHAnsi"/>
          <w:lang w:val="en-US"/>
        </w:rPr>
        <w:t xml:space="preserve">Article </w:t>
      </w:r>
      <w:r w:rsidRPr="00C95A9D">
        <w:rPr>
          <w:rFonts w:asciiTheme="minorHAnsi" w:hAnsiTheme="minorHAnsi"/>
          <w:lang w:val="en-US"/>
        </w:rPr>
        <w:t xml:space="preserve">85 and </w:t>
      </w:r>
      <w:r w:rsidR="00C95A9D">
        <w:rPr>
          <w:rFonts w:asciiTheme="minorHAnsi" w:hAnsiTheme="minorHAnsi"/>
          <w:lang w:val="en-US"/>
        </w:rPr>
        <w:t>following of the Labour Code</w:t>
      </w:r>
      <w:r w:rsidRPr="00C95A9D">
        <w:rPr>
          <w:rFonts w:asciiTheme="minorHAnsi" w:hAnsiTheme="minorHAnsi"/>
          <w:lang w:val="en-US"/>
        </w:rPr>
        <w:t>.</w:t>
      </w:r>
    </w:p>
    <w:p w14:paraId="4BA00409" w14:textId="77777777" w:rsidR="00605FEF" w:rsidRPr="004835DA" w:rsidRDefault="00605FEF" w:rsidP="00605FEF">
      <w:pPr>
        <w:jc w:val="both"/>
        <w:rPr>
          <w:rFonts w:asciiTheme="minorHAnsi" w:hAnsiTheme="minorHAnsi"/>
          <w:highlight w:val="yellow"/>
          <w:lang w:val="en-US"/>
        </w:rPr>
      </w:pPr>
    </w:p>
    <w:p w14:paraId="54C7A0F7" w14:textId="77777777" w:rsidR="00291B5A" w:rsidRDefault="00C95A9D" w:rsidP="00605FEF">
      <w:pPr>
        <w:jc w:val="both"/>
        <w:rPr>
          <w:rFonts w:asciiTheme="minorHAnsi" w:hAnsiTheme="minorHAnsi"/>
          <w:lang w:val="en-US"/>
        </w:rPr>
      </w:pPr>
      <w:r>
        <w:rPr>
          <w:rFonts w:asciiTheme="minorHAnsi" w:hAnsiTheme="minorHAnsi"/>
          <w:lang w:val="en-US"/>
        </w:rPr>
        <w:t xml:space="preserve">The existence of </w:t>
      </w:r>
      <w:r w:rsidR="00291B5A">
        <w:rPr>
          <w:rFonts w:asciiTheme="minorHAnsi" w:hAnsiTheme="minorHAnsi"/>
          <w:lang w:val="en-US"/>
        </w:rPr>
        <w:t xml:space="preserve">a </w:t>
      </w:r>
      <w:r w:rsidR="00605FEF" w:rsidRPr="00C95A9D">
        <w:rPr>
          <w:rFonts w:asciiTheme="minorHAnsi" w:hAnsiTheme="minorHAnsi"/>
          <w:lang w:val="en-US"/>
        </w:rPr>
        <w:t xml:space="preserve">legal regime </w:t>
      </w:r>
      <w:r>
        <w:rPr>
          <w:rFonts w:asciiTheme="minorHAnsi" w:hAnsiTheme="minorHAnsi"/>
          <w:lang w:val="en-US"/>
        </w:rPr>
        <w:t xml:space="preserve">positively influenced </w:t>
      </w:r>
      <w:r w:rsidR="00594AD3" w:rsidRPr="00C95A9D">
        <w:rPr>
          <w:rFonts w:asciiTheme="minorHAnsi" w:hAnsiTheme="minorHAnsi"/>
          <w:lang w:val="en-US"/>
        </w:rPr>
        <w:t>Labour</w:t>
      </w:r>
      <w:r w:rsidR="00605FEF" w:rsidRPr="00C95A9D">
        <w:rPr>
          <w:rFonts w:asciiTheme="minorHAnsi" w:hAnsiTheme="minorHAnsi"/>
          <w:lang w:val="en-US"/>
        </w:rPr>
        <w:t xml:space="preserve"> conventions </w:t>
      </w:r>
      <w:r>
        <w:rPr>
          <w:rFonts w:asciiTheme="minorHAnsi" w:hAnsiTheme="minorHAnsi"/>
          <w:lang w:val="en-US"/>
        </w:rPr>
        <w:t xml:space="preserve">over </w:t>
      </w:r>
      <w:r w:rsidR="00605FEF" w:rsidRPr="00C95A9D">
        <w:rPr>
          <w:rFonts w:asciiTheme="minorHAnsi" w:hAnsiTheme="minorHAnsi"/>
          <w:lang w:val="en-US"/>
        </w:rPr>
        <w:t>the last three years.</w:t>
      </w:r>
    </w:p>
    <w:p w14:paraId="0976F974" w14:textId="77777777" w:rsidR="00291B5A" w:rsidRDefault="00291B5A" w:rsidP="00605FEF">
      <w:pPr>
        <w:jc w:val="both"/>
        <w:rPr>
          <w:rFonts w:asciiTheme="minorHAnsi" w:hAnsiTheme="minorHAnsi"/>
          <w:lang w:val="en-US"/>
        </w:rPr>
      </w:pPr>
    </w:p>
    <w:p w14:paraId="344C82D3" w14:textId="77777777" w:rsidR="00605FEF" w:rsidRPr="00C95A9D" w:rsidRDefault="00291B5A" w:rsidP="00605FEF">
      <w:pPr>
        <w:jc w:val="both"/>
        <w:rPr>
          <w:rFonts w:asciiTheme="minorHAnsi" w:hAnsiTheme="minorHAnsi"/>
          <w:lang w:val="en-US"/>
        </w:rPr>
      </w:pPr>
      <w:r>
        <w:rPr>
          <w:rFonts w:asciiTheme="minorHAnsi" w:hAnsiTheme="minorHAnsi"/>
          <w:lang w:val="en-US"/>
        </w:rPr>
        <w:t>The most recent legislation being:</w:t>
      </w:r>
    </w:p>
    <w:p w14:paraId="7643AE84" w14:textId="77777777" w:rsidR="00605FEF" w:rsidRPr="00291B5A" w:rsidRDefault="00605FEF" w:rsidP="00605FEF">
      <w:pPr>
        <w:pStyle w:val="ListParagraph"/>
        <w:numPr>
          <w:ilvl w:val="0"/>
          <w:numId w:val="8"/>
        </w:numPr>
        <w:jc w:val="both"/>
        <w:rPr>
          <w:rFonts w:asciiTheme="minorHAnsi" w:hAnsiTheme="minorHAnsi"/>
          <w:lang w:val="en-US"/>
        </w:rPr>
      </w:pPr>
      <w:r w:rsidRPr="00291B5A">
        <w:rPr>
          <w:rFonts w:asciiTheme="minorHAnsi" w:hAnsiTheme="minorHAnsi"/>
          <w:lang w:val="en-US"/>
        </w:rPr>
        <w:t>Labo</w:t>
      </w:r>
      <w:r w:rsidR="00C95A9D" w:rsidRPr="00291B5A">
        <w:rPr>
          <w:rFonts w:asciiTheme="minorHAnsi" w:hAnsiTheme="minorHAnsi"/>
          <w:lang w:val="en-US"/>
        </w:rPr>
        <w:t>u</w:t>
      </w:r>
      <w:r w:rsidRPr="00291B5A">
        <w:rPr>
          <w:rFonts w:asciiTheme="minorHAnsi" w:hAnsiTheme="minorHAnsi"/>
          <w:lang w:val="en-US"/>
        </w:rPr>
        <w:t>r Code amendment by Law No. 73/2017, 16 August, on the regime of protection against workplace harassment;</w:t>
      </w:r>
    </w:p>
    <w:p w14:paraId="1D8B044D" w14:textId="77777777" w:rsidR="00605FEF" w:rsidRPr="00291B5A" w:rsidRDefault="00605FEF" w:rsidP="00605FEF">
      <w:pPr>
        <w:pStyle w:val="ListParagraph"/>
        <w:numPr>
          <w:ilvl w:val="0"/>
          <w:numId w:val="8"/>
        </w:numPr>
        <w:jc w:val="both"/>
        <w:rPr>
          <w:rFonts w:asciiTheme="minorHAnsi" w:hAnsiTheme="minorHAnsi"/>
          <w:lang w:val="en-US"/>
        </w:rPr>
      </w:pPr>
      <w:r w:rsidRPr="00291B5A">
        <w:rPr>
          <w:rFonts w:asciiTheme="minorHAnsi" w:hAnsiTheme="minorHAnsi"/>
          <w:lang w:val="en-US"/>
        </w:rPr>
        <w:t>Law 120/2015, of September 1, on the extension of maternity and paternity rights;</w:t>
      </w:r>
    </w:p>
    <w:p w14:paraId="7930CBAC" w14:textId="77777777" w:rsidR="00605FEF" w:rsidRPr="00291B5A" w:rsidRDefault="00605FEF" w:rsidP="00605FEF">
      <w:pPr>
        <w:pStyle w:val="ListParagraph"/>
        <w:numPr>
          <w:ilvl w:val="0"/>
          <w:numId w:val="8"/>
        </w:numPr>
        <w:jc w:val="both"/>
        <w:rPr>
          <w:rFonts w:asciiTheme="minorHAnsi" w:hAnsiTheme="minorHAnsi"/>
          <w:lang w:val="en-US"/>
        </w:rPr>
      </w:pPr>
      <w:r w:rsidRPr="00291B5A">
        <w:rPr>
          <w:rFonts w:asciiTheme="minorHAnsi" w:hAnsiTheme="minorHAnsi"/>
          <w:lang w:val="en-US"/>
        </w:rPr>
        <w:t xml:space="preserve">Law 62/2017 of 1 August followed more recently by Assembly of the Republic Resolution 72/2018 of 20 March, </w:t>
      </w:r>
      <w:r w:rsidR="00291B5A">
        <w:rPr>
          <w:rFonts w:asciiTheme="minorHAnsi" w:hAnsiTheme="minorHAnsi"/>
          <w:lang w:val="en-US"/>
        </w:rPr>
        <w:t>on</w:t>
      </w:r>
      <w:r w:rsidRPr="00291B5A">
        <w:rPr>
          <w:rFonts w:asciiTheme="minorHAnsi" w:hAnsiTheme="minorHAnsi"/>
          <w:lang w:val="en-US"/>
        </w:rPr>
        <w:t xml:space="preserve"> the promotion of equal pay between women and men.</w:t>
      </w:r>
    </w:p>
    <w:p w14:paraId="60026D2F" w14:textId="77777777" w:rsidR="00605FEF" w:rsidRPr="004835DA" w:rsidRDefault="00605FEF" w:rsidP="00605FEF">
      <w:pPr>
        <w:jc w:val="both"/>
        <w:rPr>
          <w:rFonts w:asciiTheme="minorHAnsi" w:hAnsiTheme="minorHAnsi"/>
          <w:highlight w:val="yellow"/>
          <w:lang w:val="en-US"/>
        </w:rPr>
      </w:pPr>
    </w:p>
    <w:p w14:paraId="58238CE6" w14:textId="77777777" w:rsidR="00605FEF" w:rsidRDefault="00605FEF" w:rsidP="00605FEF">
      <w:pPr>
        <w:jc w:val="both"/>
        <w:rPr>
          <w:rFonts w:asciiTheme="minorHAnsi" w:hAnsiTheme="minorHAnsi"/>
          <w:highlight w:val="yellow"/>
          <w:lang w:val="en-US"/>
        </w:rPr>
      </w:pPr>
    </w:p>
    <w:p w14:paraId="66E131D0" w14:textId="77777777" w:rsidR="00291B5A" w:rsidRDefault="00291B5A" w:rsidP="00605FEF">
      <w:pPr>
        <w:jc w:val="both"/>
        <w:rPr>
          <w:rFonts w:asciiTheme="minorHAnsi" w:hAnsiTheme="minorHAnsi"/>
          <w:highlight w:val="yellow"/>
          <w:lang w:val="en-US"/>
        </w:rPr>
      </w:pPr>
    </w:p>
    <w:p w14:paraId="6840E5BB" w14:textId="77777777" w:rsidR="00291B5A" w:rsidRDefault="00291B5A" w:rsidP="00605FEF">
      <w:pPr>
        <w:jc w:val="both"/>
        <w:rPr>
          <w:rFonts w:asciiTheme="minorHAnsi" w:hAnsiTheme="minorHAnsi"/>
          <w:highlight w:val="yellow"/>
          <w:lang w:val="en-US"/>
        </w:rPr>
      </w:pPr>
    </w:p>
    <w:p w14:paraId="1CBA29BA" w14:textId="77777777" w:rsidR="00291B5A" w:rsidRDefault="00291B5A" w:rsidP="00605FEF">
      <w:pPr>
        <w:jc w:val="both"/>
        <w:rPr>
          <w:rFonts w:asciiTheme="minorHAnsi" w:hAnsiTheme="minorHAnsi"/>
          <w:highlight w:val="yellow"/>
          <w:lang w:val="en-US"/>
        </w:rPr>
      </w:pPr>
    </w:p>
    <w:p w14:paraId="2CDF828A" w14:textId="77777777" w:rsidR="00291B5A" w:rsidRPr="004835DA" w:rsidRDefault="00291B5A" w:rsidP="00605FEF">
      <w:pPr>
        <w:jc w:val="both"/>
        <w:rPr>
          <w:rFonts w:asciiTheme="minorHAnsi" w:hAnsiTheme="minorHAnsi"/>
          <w:highlight w:val="yellow"/>
          <w:lang w:val="en-US"/>
        </w:rPr>
      </w:pPr>
    </w:p>
    <w:p w14:paraId="159FA3EE" w14:textId="77777777" w:rsidR="00605FEF" w:rsidRPr="00291B5A" w:rsidRDefault="00605FEF" w:rsidP="00605FEF">
      <w:pPr>
        <w:jc w:val="both"/>
        <w:rPr>
          <w:rFonts w:asciiTheme="minorHAnsi" w:hAnsiTheme="minorHAnsi"/>
          <w:b/>
          <w:lang w:val="en-US"/>
        </w:rPr>
      </w:pPr>
      <w:r w:rsidRPr="00291B5A">
        <w:rPr>
          <w:rFonts w:asciiTheme="minorHAnsi" w:hAnsiTheme="minorHAnsi"/>
          <w:b/>
          <w:lang w:val="en-US"/>
        </w:rPr>
        <w:t>Participation in structures of collective representation of work</w:t>
      </w:r>
    </w:p>
    <w:p w14:paraId="286092FE" w14:textId="77777777" w:rsidR="00605FEF" w:rsidRPr="004835DA" w:rsidRDefault="00605FEF" w:rsidP="00605FEF">
      <w:pPr>
        <w:jc w:val="both"/>
        <w:rPr>
          <w:rFonts w:asciiTheme="minorHAnsi" w:hAnsiTheme="minorHAnsi"/>
          <w:b/>
          <w:highlight w:val="yellow"/>
          <w:lang w:val="en-US"/>
        </w:rPr>
      </w:pPr>
    </w:p>
    <w:p w14:paraId="1BF3D039" w14:textId="77777777" w:rsidR="00605FEF" w:rsidRPr="00291B5A" w:rsidRDefault="00605FEF" w:rsidP="00605FEF">
      <w:pPr>
        <w:jc w:val="both"/>
        <w:rPr>
          <w:rFonts w:asciiTheme="minorHAnsi" w:hAnsiTheme="minorHAnsi"/>
          <w:lang w:val="en-US"/>
        </w:rPr>
      </w:pPr>
      <w:r w:rsidRPr="00291B5A">
        <w:rPr>
          <w:rFonts w:asciiTheme="minorHAnsi" w:hAnsiTheme="minorHAnsi"/>
          <w:lang w:val="en-US"/>
        </w:rPr>
        <w:t xml:space="preserve">Pursuant to Article 404 of the Labour Code, workers may, for the collective defense and prosecution of their rights and interests, form trade unions, committees and subcommittees of workers, and elect representatives for occupational safety and health </w:t>
      </w:r>
      <w:r w:rsidR="00291B5A" w:rsidRPr="00291B5A">
        <w:rPr>
          <w:rFonts w:asciiTheme="minorHAnsi" w:hAnsiTheme="minorHAnsi"/>
          <w:lang w:val="en-US"/>
        </w:rPr>
        <w:t xml:space="preserve">conditions </w:t>
      </w:r>
      <w:r w:rsidRPr="00291B5A">
        <w:rPr>
          <w:rFonts w:asciiTheme="minorHAnsi" w:hAnsiTheme="minorHAnsi"/>
          <w:lang w:val="en-US"/>
        </w:rPr>
        <w:t>at work or other structures provided for by specific law, such as European Works Councils.</w:t>
      </w:r>
    </w:p>
    <w:p w14:paraId="7387EC27" w14:textId="77777777" w:rsidR="00605FEF" w:rsidRPr="004835DA" w:rsidRDefault="00605FEF" w:rsidP="00605FEF">
      <w:pPr>
        <w:jc w:val="both"/>
        <w:rPr>
          <w:rFonts w:asciiTheme="minorHAnsi" w:hAnsiTheme="minorHAnsi"/>
          <w:highlight w:val="yellow"/>
          <w:lang w:val="en-US"/>
        </w:rPr>
      </w:pPr>
    </w:p>
    <w:p w14:paraId="407B7F04" w14:textId="77777777" w:rsidR="00605FEF" w:rsidRPr="004835DA" w:rsidRDefault="00605FEF" w:rsidP="00605FEF">
      <w:pPr>
        <w:jc w:val="both"/>
        <w:rPr>
          <w:rFonts w:asciiTheme="minorHAnsi" w:hAnsiTheme="minorHAnsi"/>
          <w:highlight w:val="yellow"/>
          <w:lang w:val="en-US"/>
        </w:rPr>
      </w:pPr>
    </w:p>
    <w:p w14:paraId="5CC49731" w14:textId="77777777" w:rsidR="00605FEF" w:rsidRPr="00291B5A" w:rsidRDefault="00605FEF" w:rsidP="00605FEF">
      <w:pPr>
        <w:jc w:val="both"/>
        <w:rPr>
          <w:rFonts w:asciiTheme="minorHAnsi" w:hAnsiTheme="minorHAnsi"/>
          <w:b/>
          <w:lang w:val="en-US"/>
        </w:rPr>
      </w:pPr>
      <w:r w:rsidRPr="00291B5A">
        <w:rPr>
          <w:rFonts w:asciiTheme="minorHAnsi" w:hAnsiTheme="minorHAnsi"/>
          <w:b/>
          <w:lang w:val="en-US"/>
        </w:rPr>
        <w:t>Compliance with Legislation</w:t>
      </w:r>
    </w:p>
    <w:p w14:paraId="7CE90B5D" w14:textId="77777777" w:rsidR="00605FEF" w:rsidRPr="004835DA" w:rsidRDefault="00605FEF" w:rsidP="00605FEF">
      <w:pPr>
        <w:jc w:val="both"/>
        <w:rPr>
          <w:rFonts w:asciiTheme="minorHAnsi" w:hAnsiTheme="minorHAnsi"/>
          <w:b/>
          <w:highlight w:val="yellow"/>
          <w:lang w:val="en-US"/>
        </w:rPr>
      </w:pPr>
    </w:p>
    <w:p w14:paraId="1365E374" w14:textId="77777777" w:rsidR="00605FEF" w:rsidRPr="00926F17" w:rsidRDefault="00605FEF" w:rsidP="00291B5A">
      <w:pPr>
        <w:pStyle w:val="ListParagraph"/>
        <w:ind w:left="0"/>
        <w:jc w:val="both"/>
        <w:rPr>
          <w:rFonts w:asciiTheme="minorHAnsi" w:hAnsiTheme="minorHAnsi"/>
          <w:lang w:val="en-US"/>
        </w:rPr>
      </w:pPr>
      <w:r w:rsidRPr="00926F17">
        <w:rPr>
          <w:rFonts w:asciiTheme="minorHAnsi" w:hAnsiTheme="minorHAnsi"/>
          <w:lang w:val="en-US"/>
        </w:rPr>
        <w:t>The Commission for Equality in Labo</w:t>
      </w:r>
      <w:r w:rsidR="00291B5A" w:rsidRPr="00926F17">
        <w:rPr>
          <w:rFonts w:asciiTheme="minorHAnsi" w:hAnsiTheme="minorHAnsi"/>
          <w:lang w:val="en-US"/>
        </w:rPr>
        <w:t>u</w:t>
      </w:r>
      <w:r w:rsidRPr="00926F17">
        <w:rPr>
          <w:rFonts w:asciiTheme="minorHAnsi" w:hAnsiTheme="minorHAnsi"/>
          <w:lang w:val="en-US"/>
        </w:rPr>
        <w:t>r and Employment is the national mechanism for equality between men and women at work and empl</w:t>
      </w:r>
      <w:r w:rsidR="00291B5A" w:rsidRPr="00926F17">
        <w:rPr>
          <w:rFonts w:asciiTheme="minorHAnsi" w:hAnsiTheme="minorHAnsi"/>
          <w:lang w:val="en-US"/>
        </w:rPr>
        <w:t>oyment, created by Decree-Law 3</w:t>
      </w:r>
      <w:r w:rsidRPr="00926F17">
        <w:rPr>
          <w:rFonts w:asciiTheme="minorHAnsi" w:hAnsiTheme="minorHAnsi"/>
          <w:lang w:val="en-US"/>
        </w:rPr>
        <w:t>9</w:t>
      </w:r>
      <w:r w:rsidR="00291B5A" w:rsidRPr="00926F17">
        <w:rPr>
          <w:rFonts w:asciiTheme="minorHAnsi" w:hAnsiTheme="minorHAnsi"/>
          <w:lang w:val="en-US"/>
        </w:rPr>
        <w:t>2</w:t>
      </w:r>
      <w:r w:rsidR="00926F17" w:rsidRPr="00926F17">
        <w:rPr>
          <w:rFonts w:asciiTheme="minorHAnsi" w:hAnsiTheme="minorHAnsi"/>
          <w:lang w:val="en-US"/>
        </w:rPr>
        <w:t xml:space="preserve">/79 of 20 September. </w:t>
      </w:r>
      <w:r w:rsidRPr="00926F17">
        <w:rPr>
          <w:rFonts w:asciiTheme="minorHAnsi" w:hAnsiTheme="minorHAnsi"/>
          <w:lang w:val="en-US"/>
        </w:rPr>
        <w:t>Decree-Law No. 124/2010 of 17 November and, more recently, by Decree-Law No. 76/2012 of 26 March, as amended by La</w:t>
      </w:r>
      <w:r w:rsidR="00926F17" w:rsidRPr="00926F17">
        <w:rPr>
          <w:rFonts w:asciiTheme="minorHAnsi" w:hAnsiTheme="minorHAnsi"/>
          <w:lang w:val="en-US"/>
        </w:rPr>
        <w:t xml:space="preserve">w No. 60/2018, August 21, </w:t>
      </w:r>
      <w:r w:rsidRPr="00926F17">
        <w:rPr>
          <w:rFonts w:asciiTheme="minorHAnsi" w:hAnsiTheme="minorHAnsi"/>
          <w:lang w:val="en-US"/>
        </w:rPr>
        <w:t>strengthened its competences as a promoter of social dialogue on gender issues in the workplace.</w:t>
      </w:r>
    </w:p>
    <w:p w14:paraId="46D38593" w14:textId="77777777" w:rsidR="00605FEF" w:rsidRPr="00926F17" w:rsidRDefault="00605FEF" w:rsidP="00605FEF">
      <w:pPr>
        <w:ind w:hanging="11"/>
        <w:jc w:val="both"/>
        <w:rPr>
          <w:rFonts w:asciiTheme="minorHAnsi" w:hAnsiTheme="minorHAnsi"/>
          <w:lang w:val="en-US"/>
        </w:rPr>
      </w:pPr>
    </w:p>
    <w:p w14:paraId="3BB8273A" w14:textId="77777777" w:rsidR="00605FEF" w:rsidRPr="00926F17" w:rsidRDefault="00605FEF" w:rsidP="00605FEF">
      <w:pPr>
        <w:jc w:val="both"/>
        <w:rPr>
          <w:rFonts w:asciiTheme="minorHAnsi" w:hAnsiTheme="minorHAnsi"/>
          <w:lang w:val="en-US"/>
        </w:rPr>
      </w:pPr>
      <w:r w:rsidRPr="00926F17">
        <w:rPr>
          <w:rFonts w:asciiTheme="minorHAnsi" w:hAnsiTheme="minorHAnsi"/>
          <w:lang w:val="en-US"/>
        </w:rPr>
        <w:t xml:space="preserve">The Commission is a tripartite body with administrative autonomy and legal personality. </w:t>
      </w:r>
      <w:r w:rsidR="00926F17" w:rsidRPr="00926F17">
        <w:rPr>
          <w:rFonts w:asciiTheme="minorHAnsi" w:hAnsiTheme="minorHAnsi"/>
          <w:lang w:val="en-US"/>
        </w:rPr>
        <w:t xml:space="preserve">It is composed of </w:t>
      </w:r>
      <w:r w:rsidR="00594AD3" w:rsidRPr="00926F17">
        <w:rPr>
          <w:rFonts w:asciiTheme="minorHAnsi" w:hAnsiTheme="minorHAnsi"/>
          <w:lang w:val="en-US"/>
        </w:rPr>
        <w:t>four</w:t>
      </w:r>
      <w:r w:rsidR="00926F17" w:rsidRPr="00926F17">
        <w:rPr>
          <w:rFonts w:asciiTheme="minorHAnsi" w:hAnsiTheme="minorHAnsi"/>
          <w:lang w:val="en-US"/>
        </w:rPr>
        <w:t xml:space="preserve"> State representatives, 4 Union representatives and </w:t>
      </w:r>
      <w:r w:rsidR="00594AD3" w:rsidRPr="00926F17">
        <w:rPr>
          <w:rFonts w:asciiTheme="minorHAnsi" w:hAnsiTheme="minorHAnsi"/>
          <w:lang w:val="en-US"/>
        </w:rPr>
        <w:t>four</w:t>
      </w:r>
      <w:r w:rsidR="00926F17" w:rsidRPr="00926F17">
        <w:rPr>
          <w:rFonts w:asciiTheme="minorHAnsi" w:hAnsiTheme="minorHAnsi"/>
          <w:lang w:val="en-US"/>
        </w:rPr>
        <w:t xml:space="preserve"> E</w:t>
      </w:r>
      <w:r w:rsidRPr="00926F17">
        <w:rPr>
          <w:rFonts w:asciiTheme="minorHAnsi" w:hAnsiTheme="minorHAnsi"/>
          <w:lang w:val="en-US"/>
        </w:rPr>
        <w:t>mployers</w:t>
      </w:r>
      <w:r w:rsidR="00926F17" w:rsidRPr="00926F17">
        <w:rPr>
          <w:rFonts w:asciiTheme="minorHAnsi" w:hAnsiTheme="minorHAnsi"/>
          <w:lang w:val="en-US"/>
        </w:rPr>
        <w:t xml:space="preserve"> </w:t>
      </w:r>
      <w:r w:rsidR="00594AD3" w:rsidRPr="00926F17">
        <w:rPr>
          <w:rFonts w:asciiTheme="minorHAnsi" w:hAnsiTheme="minorHAnsi"/>
          <w:lang w:val="en-US"/>
        </w:rPr>
        <w:t>organization’s</w:t>
      </w:r>
      <w:r w:rsidRPr="00926F17">
        <w:rPr>
          <w:rFonts w:asciiTheme="minorHAnsi" w:hAnsiTheme="minorHAnsi"/>
          <w:lang w:val="en-US"/>
        </w:rPr>
        <w:t xml:space="preserve"> representatives. Decisions </w:t>
      </w:r>
      <w:r w:rsidR="00926F17" w:rsidRPr="00926F17">
        <w:rPr>
          <w:rFonts w:asciiTheme="minorHAnsi" w:hAnsiTheme="minorHAnsi"/>
          <w:lang w:val="en-US"/>
        </w:rPr>
        <w:t>are</w:t>
      </w:r>
      <w:r w:rsidRPr="00926F17">
        <w:rPr>
          <w:rFonts w:asciiTheme="minorHAnsi" w:hAnsiTheme="minorHAnsi"/>
          <w:lang w:val="en-US"/>
        </w:rPr>
        <w:t xml:space="preserve"> taken by majority vote of the members that attend the plenary meetings, </w:t>
      </w:r>
      <w:r w:rsidR="00594AD3" w:rsidRPr="00926F17">
        <w:rPr>
          <w:rFonts w:asciiTheme="minorHAnsi" w:hAnsiTheme="minorHAnsi"/>
          <w:lang w:val="en-US"/>
        </w:rPr>
        <w:t>if</w:t>
      </w:r>
      <w:r w:rsidRPr="00926F17">
        <w:rPr>
          <w:rFonts w:asciiTheme="minorHAnsi" w:hAnsiTheme="minorHAnsi"/>
          <w:lang w:val="en-US"/>
        </w:rPr>
        <w:t xml:space="preserve"> a quorum is met.</w:t>
      </w:r>
    </w:p>
    <w:p w14:paraId="22C5B935" w14:textId="77777777" w:rsidR="00605FEF" w:rsidRPr="00926F17" w:rsidRDefault="00605FEF" w:rsidP="00605FEF">
      <w:pPr>
        <w:jc w:val="both"/>
        <w:rPr>
          <w:rFonts w:asciiTheme="minorHAnsi" w:hAnsiTheme="minorHAnsi"/>
          <w:lang w:val="en-US"/>
        </w:rPr>
      </w:pPr>
    </w:p>
    <w:p w14:paraId="165EF7A1" w14:textId="77777777" w:rsidR="00605FEF" w:rsidRPr="00926F17" w:rsidRDefault="00926F17" w:rsidP="00605FEF">
      <w:pPr>
        <w:jc w:val="both"/>
        <w:rPr>
          <w:rFonts w:asciiTheme="minorHAnsi" w:hAnsiTheme="minorHAnsi"/>
          <w:lang w:val="en-US"/>
        </w:rPr>
      </w:pPr>
      <w:r w:rsidRPr="00926F17">
        <w:rPr>
          <w:rFonts w:asciiTheme="minorHAnsi" w:hAnsiTheme="minorHAnsi"/>
          <w:lang w:val="en-US"/>
        </w:rPr>
        <w:t xml:space="preserve">The purpose of </w:t>
      </w:r>
      <w:r w:rsidR="00605FEF" w:rsidRPr="00926F17">
        <w:rPr>
          <w:rFonts w:asciiTheme="minorHAnsi" w:hAnsiTheme="minorHAnsi"/>
          <w:lang w:val="en-US"/>
        </w:rPr>
        <w:t>the Commission is to pursue equality and non-discrimination between men and women at work, employment and vocational training and to assist in the application of relevant legal and conventional provisions, as well as in the protection of parenting and the reconciliation of work, personal and family life in the private, public and cooperative sectors.</w:t>
      </w:r>
    </w:p>
    <w:p w14:paraId="544E9901" w14:textId="77777777" w:rsidR="00605FEF" w:rsidRPr="00926F17" w:rsidRDefault="00605FEF" w:rsidP="00605FEF">
      <w:pPr>
        <w:jc w:val="both"/>
        <w:rPr>
          <w:rFonts w:asciiTheme="minorHAnsi" w:hAnsiTheme="minorHAnsi"/>
          <w:lang w:val="en-US"/>
        </w:rPr>
      </w:pPr>
    </w:p>
    <w:p w14:paraId="66509A12" w14:textId="77777777" w:rsidR="00605FEF" w:rsidRPr="00926F17" w:rsidRDefault="00605FEF" w:rsidP="00605FEF">
      <w:pPr>
        <w:jc w:val="both"/>
        <w:rPr>
          <w:rFonts w:asciiTheme="minorHAnsi" w:hAnsiTheme="minorHAnsi"/>
          <w:lang w:val="en-US"/>
        </w:rPr>
      </w:pPr>
      <w:r w:rsidRPr="00926F17">
        <w:rPr>
          <w:rFonts w:asciiTheme="minorHAnsi" w:hAnsiTheme="minorHAnsi"/>
          <w:lang w:val="en-US"/>
        </w:rPr>
        <w:t xml:space="preserve">Among other things, the Commission has been empowered to give a reasoned assessment of the legality of </w:t>
      </w:r>
      <w:r w:rsidR="00594AD3" w:rsidRPr="00926F17">
        <w:rPr>
          <w:rFonts w:asciiTheme="minorHAnsi" w:hAnsiTheme="minorHAnsi"/>
          <w:lang w:val="en-US"/>
        </w:rPr>
        <w:t>Labo</w:t>
      </w:r>
      <w:r w:rsidR="00594AD3">
        <w:rPr>
          <w:rFonts w:asciiTheme="minorHAnsi" w:hAnsiTheme="minorHAnsi"/>
          <w:lang w:val="en-US"/>
        </w:rPr>
        <w:t>u</w:t>
      </w:r>
      <w:r w:rsidR="00594AD3" w:rsidRPr="00926F17">
        <w:rPr>
          <w:rFonts w:asciiTheme="minorHAnsi" w:hAnsiTheme="minorHAnsi"/>
          <w:lang w:val="en-US"/>
        </w:rPr>
        <w:t>r</w:t>
      </w:r>
      <w:r w:rsidRPr="00926F17">
        <w:rPr>
          <w:rFonts w:asciiTheme="minorHAnsi" w:hAnsiTheme="minorHAnsi"/>
          <w:lang w:val="en-US"/>
        </w:rPr>
        <w:t xml:space="preserve"> provisions as regards their compliance with the requirements of respect for equality and prohibition of discrimination, as provided for in the Labour Code</w:t>
      </w:r>
    </w:p>
    <w:p w14:paraId="3D339528" w14:textId="77777777" w:rsidR="00605FEF" w:rsidRPr="004835DA" w:rsidRDefault="00605FEF" w:rsidP="00605FEF">
      <w:pPr>
        <w:jc w:val="both"/>
        <w:rPr>
          <w:rFonts w:asciiTheme="minorHAnsi" w:hAnsiTheme="minorHAnsi"/>
          <w:highlight w:val="yellow"/>
          <w:lang w:val="en-US"/>
        </w:rPr>
      </w:pPr>
    </w:p>
    <w:p w14:paraId="7EEDF997" w14:textId="77777777" w:rsidR="00605FEF" w:rsidRPr="00926F17" w:rsidRDefault="00594AD3" w:rsidP="00926F17">
      <w:pPr>
        <w:pStyle w:val="ListParagraph"/>
        <w:ind w:left="0"/>
        <w:jc w:val="both"/>
        <w:rPr>
          <w:rFonts w:asciiTheme="minorHAnsi" w:hAnsiTheme="minorHAnsi"/>
          <w:lang w:val="en-US"/>
        </w:rPr>
      </w:pPr>
      <w:r w:rsidRPr="00926F17">
        <w:rPr>
          <w:rFonts w:asciiTheme="minorHAnsi" w:hAnsiTheme="minorHAnsi"/>
          <w:lang w:val="en-US"/>
        </w:rPr>
        <w:t>In addition</w:t>
      </w:r>
      <w:r w:rsidR="00605FEF" w:rsidRPr="00926F17">
        <w:rPr>
          <w:rFonts w:asciiTheme="minorHAnsi" w:hAnsiTheme="minorHAnsi"/>
          <w:lang w:val="en-US"/>
        </w:rPr>
        <w:t xml:space="preserve">, the Authority </w:t>
      </w:r>
      <w:r w:rsidR="00926F17" w:rsidRPr="00926F17">
        <w:rPr>
          <w:rFonts w:asciiTheme="minorHAnsi" w:hAnsiTheme="minorHAnsi"/>
          <w:lang w:val="en-US"/>
        </w:rPr>
        <w:t>of</w:t>
      </w:r>
      <w:r w:rsidR="00605FEF" w:rsidRPr="00926F17">
        <w:rPr>
          <w:rFonts w:asciiTheme="minorHAnsi" w:hAnsiTheme="minorHAnsi"/>
          <w:lang w:val="en-US"/>
        </w:rPr>
        <w:t xml:space="preserve"> Working Conditions (ACT) is responsible for verifying </w:t>
      </w:r>
      <w:r w:rsidR="00926F17" w:rsidRPr="00926F17">
        <w:rPr>
          <w:rFonts w:asciiTheme="minorHAnsi" w:hAnsiTheme="minorHAnsi"/>
          <w:lang w:val="en-US"/>
        </w:rPr>
        <w:t xml:space="preserve">the </w:t>
      </w:r>
      <w:r w:rsidR="00605FEF" w:rsidRPr="00926F17">
        <w:rPr>
          <w:rFonts w:asciiTheme="minorHAnsi" w:hAnsiTheme="minorHAnsi"/>
          <w:lang w:val="en-US"/>
        </w:rPr>
        <w:t xml:space="preserve">compliance with the rules regarding equality at work and access to employment, in particular the legal provisions contained in the </w:t>
      </w:r>
      <w:r w:rsidR="00926F17" w:rsidRPr="00926F17">
        <w:rPr>
          <w:rFonts w:asciiTheme="minorHAnsi" w:hAnsiTheme="minorHAnsi"/>
          <w:lang w:val="en-US"/>
        </w:rPr>
        <w:t xml:space="preserve">Labour Code and its </w:t>
      </w:r>
      <w:r w:rsidRPr="00926F17">
        <w:rPr>
          <w:rFonts w:asciiTheme="minorHAnsi" w:hAnsiTheme="minorHAnsi"/>
          <w:lang w:val="en-US"/>
        </w:rPr>
        <w:t>Regulations that</w:t>
      </w:r>
      <w:r w:rsidR="00605FEF" w:rsidRPr="00926F17">
        <w:rPr>
          <w:rFonts w:asciiTheme="minorHAnsi" w:hAnsiTheme="minorHAnsi"/>
          <w:lang w:val="en-US"/>
        </w:rPr>
        <w:t xml:space="preserve"> embody the principle of equal treatment and establish a legal framework for combating discrimination.</w:t>
      </w:r>
    </w:p>
    <w:p w14:paraId="0A8D22CD" w14:textId="77777777" w:rsidR="00605FEF" w:rsidRPr="00926F17" w:rsidRDefault="00605FEF" w:rsidP="00605FEF">
      <w:pPr>
        <w:pStyle w:val="ListParagraph"/>
        <w:ind w:left="0"/>
        <w:jc w:val="both"/>
        <w:rPr>
          <w:rFonts w:asciiTheme="minorHAnsi" w:hAnsiTheme="minorHAnsi"/>
          <w:lang w:val="en-US"/>
        </w:rPr>
      </w:pPr>
    </w:p>
    <w:p w14:paraId="637CB935" w14:textId="77777777" w:rsidR="00605FEF" w:rsidRPr="00926F17" w:rsidRDefault="00605FEF" w:rsidP="00605FEF">
      <w:pPr>
        <w:pStyle w:val="ListParagraph"/>
        <w:ind w:left="0"/>
        <w:jc w:val="both"/>
        <w:rPr>
          <w:rFonts w:asciiTheme="minorHAnsi" w:hAnsiTheme="minorHAnsi"/>
          <w:lang w:val="en-US"/>
        </w:rPr>
      </w:pPr>
      <w:r w:rsidRPr="00926F17">
        <w:rPr>
          <w:rFonts w:asciiTheme="minorHAnsi" w:hAnsiTheme="minorHAnsi"/>
          <w:lang w:val="en-US"/>
        </w:rPr>
        <w:t>In this domain, control and enforcement actions result, on the one hand, from a proactive</w:t>
      </w:r>
      <w:r w:rsidR="00926F17" w:rsidRPr="00926F17">
        <w:rPr>
          <w:rFonts w:asciiTheme="minorHAnsi" w:hAnsiTheme="minorHAnsi"/>
          <w:lang w:val="en-US"/>
        </w:rPr>
        <w:t xml:space="preserve"> and </w:t>
      </w:r>
      <w:r w:rsidRPr="00926F17">
        <w:rPr>
          <w:rFonts w:asciiTheme="minorHAnsi" w:hAnsiTheme="minorHAnsi"/>
          <w:lang w:val="en-US"/>
        </w:rPr>
        <w:t>essentially preventive action, as defined in the ACT Inspective Action Plan, and, on the other hand, from a reactive action resulting from complaints.</w:t>
      </w:r>
    </w:p>
    <w:p w14:paraId="42DA22EF" w14:textId="77777777" w:rsidR="00605FEF" w:rsidRPr="00926F17" w:rsidRDefault="00605FEF" w:rsidP="00605FEF">
      <w:pPr>
        <w:pStyle w:val="ListParagraph"/>
        <w:ind w:left="0"/>
        <w:jc w:val="both"/>
        <w:rPr>
          <w:rFonts w:asciiTheme="minorHAnsi" w:hAnsiTheme="minorHAnsi"/>
          <w:lang w:val="en-US"/>
        </w:rPr>
      </w:pPr>
    </w:p>
    <w:p w14:paraId="457B0E41" w14:textId="77777777" w:rsidR="00605FEF" w:rsidRPr="00926F17" w:rsidRDefault="00605FEF" w:rsidP="00605FEF">
      <w:pPr>
        <w:pStyle w:val="ListParagraph"/>
        <w:ind w:left="0"/>
        <w:jc w:val="both"/>
        <w:rPr>
          <w:rFonts w:asciiTheme="minorHAnsi" w:hAnsiTheme="minorHAnsi"/>
          <w:lang w:val="en-US"/>
        </w:rPr>
      </w:pPr>
      <w:r w:rsidRPr="00926F17">
        <w:rPr>
          <w:rFonts w:asciiTheme="minorHAnsi" w:hAnsiTheme="minorHAnsi"/>
          <w:lang w:val="en-US"/>
        </w:rPr>
        <w:t>Inspection action</w:t>
      </w:r>
      <w:r w:rsidR="00926F17" w:rsidRPr="00926F17">
        <w:rPr>
          <w:rFonts w:asciiTheme="minorHAnsi" w:hAnsiTheme="minorHAnsi"/>
          <w:lang w:val="en-US"/>
        </w:rPr>
        <w:t>s are</w:t>
      </w:r>
      <w:r w:rsidRPr="00926F17">
        <w:rPr>
          <w:rFonts w:asciiTheme="minorHAnsi" w:hAnsiTheme="minorHAnsi"/>
          <w:lang w:val="en-US"/>
        </w:rPr>
        <w:t xml:space="preserve"> carried out with the purpose of promoting the im</w:t>
      </w:r>
      <w:r w:rsidR="00926F17" w:rsidRPr="00926F17">
        <w:rPr>
          <w:rFonts w:asciiTheme="minorHAnsi" w:hAnsiTheme="minorHAnsi"/>
          <w:lang w:val="en-US"/>
        </w:rPr>
        <w:t>provement of working conditions</w:t>
      </w:r>
      <w:r w:rsidRPr="00926F17">
        <w:rPr>
          <w:rFonts w:asciiTheme="minorHAnsi" w:hAnsiTheme="minorHAnsi"/>
          <w:lang w:val="en-US"/>
        </w:rPr>
        <w:t>. In the course of the inspection activity, information, technical advice or recommendations are provided to employers and workers.</w:t>
      </w:r>
    </w:p>
    <w:p w14:paraId="1CDEAEE1" w14:textId="77777777" w:rsidR="00605FEF" w:rsidRPr="00926F17" w:rsidRDefault="00605FEF" w:rsidP="00605FEF">
      <w:pPr>
        <w:pStyle w:val="ListParagraph"/>
        <w:ind w:left="0"/>
        <w:jc w:val="both"/>
        <w:rPr>
          <w:rFonts w:asciiTheme="minorHAnsi" w:hAnsiTheme="minorHAnsi"/>
          <w:lang w:val="en-US"/>
        </w:rPr>
      </w:pPr>
    </w:p>
    <w:p w14:paraId="25E7AA5B" w14:textId="77777777" w:rsidR="00605FEF" w:rsidRDefault="00605FEF" w:rsidP="00605FEF">
      <w:pPr>
        <w:pStyle w:val="ListParagraph"/>
        <w:ind w:left="0"/>
        <w:jc w:val="both"/>
        <w:rPr>
          <w:rFonts w:asciiTheme="minorHAnsi" w:hAnsiTheme="minorHAnsi"/>
          <w:lang w:val="en-US"/>
        </w:rPr>
      </w:pPr>
      <w:r w:rsidRPr="00926F17">
        <w:rPr>
          <w:rFonts w:asciiTheme="minorHAnsi" w:hAnsiTheme="minorHAnsi"/>
          <w:lang w:val="en-US"/>
        </w:rPr>
        <w:t>The purpose of providing information and control in the context of gender equality and non-discrimination at work and employment is to protect the guarantees associated with parenting, the prevention of discrimination at work and employment based on sex and to guarantee equal pay for men and women for equal work.</w:t>
      </w:r>
      <w:r w:rsidRPr="00605FEF">
        <w:rPr>
          <w:rFonts w:asciiTheme="minorHAnsi" w:hAnsiTheme="minorHAnsi"/>
          <w:lang w:val="en-US"/>
        </w:rPr>
        <w:t xml:space="preserve"> </w:t>
      </w:r>
    </w:p>
    <w:p w14:paraId="437F3CE0" w14:textId="77777777" w:rsidR="00605FEF" w:rsidRDefault="00605FEF" w:rsidP="00605FEF">
      <w:pPr>
        <w:pStyle w:val="ListParagraph"/>
        <w:ind w:left="0"/>
        <w:jc w:val="both"/>
        <w:rPr>
          <w:rFonts w:asciiTheme="minorHAnsi" w:hAnsiTheme="minorHAnsi"/>
          <w:lang w:val="en-US"/>
        </w:rPr>
      </w:pPr>
    </w:p>
    <w:p w14:paraId="553D2CA2" w14:textId="77777777" w:rsidR="007359AB" w:rsidRDefault="007359AB" w:rsidP="007359AB">
      <w:pPr>
        <w:pStyle w:val="Default"/>
        <w:jc w:val="both"/>
        <w:rPr>
          <w:rFonts w:asciiTheme="minorHAnsi" w:hAnsiTheme="minorHAnsi" w:cs="Arial"/>
          <w:lang w:val="en-US"/>
        </w:rPr>
      </w:pPr>
      <w:r w:rsidRPr="000411D8">
        <w:rPr>
          <w:rFonts w:asciiTheme="minorHAnsi" w:hAnsiTheme="minorHAnsi" w:cs="Arial"/>
          <w:lang w:val="en-US"/>
        </w:rPr>
        <w:t>The Commission for Citizenshi</w:t>
      </w:r>
      <w:r w:rsidRPr="00F7622F">
        <w:rPr>
          <w:rFonts w:asciiTheme="minorHAnsi" w:hAnsiTheme="minorHAnsi" w:cs="Arial"/>
          <w:lang w:val="en-US"/>
        </w:rPr>
        <w:t>p a</w:t>
      </w:r>
      <w:r w:rsidRPr="000411D8">
        <w:rPr>
          <w:rFonts w:asciiTheme="minorHAnsi" w:hAnsiTheme="minorHAnsi" w:cs="Arial"/>
          <w:lang w:val="en-US"/>
        </w:rPr>
        <w:t>n</w:t>
      </w:r>
      <w:r w:rsidRPr="00F7622F">
        <w:rPr>
          <w:rFonts w:asciiTheme="minorHAnsi" w:hAnsiTheme="minorHAnsi" w:cs="Arial"/>
          <w:lang w:val="en-US"/>
        </w:rPr>
        <w:t xml:space="preserve">d </w:t>
      </w:r>
      <w:r>
        <w:rPr>
          <w:rFonts w:asciiTheme="minorHAnsi" w:hAnsiTheme="minorHAnsi" w:cs="Arial"/>
          <w:lang w:val="en-US"/>
        </w:rPr>
        <w:t xml:space="preserve">Gender Equality (CIG) is the national body in charge of promoting and upholding the constitutional principle of equality between women and men. </w:t>
      </w:r>
      <w:r w:rsidRPr="00E40030">
        <w:rPr>
          <w:rFonts w:asciiTheme="minorHAnsi" w:hAnsiTheme="minorHAnsi" w:cs="Arial"/>
          <w:lang w:val="en-US"/>
        </w:rPr>
        <w:t>CIG is resp</w:t>
      </w:r>
      <w:r w:rsidRPr="00F7622F">
        <w:rPr>
          <w:rFonts w:asciiTheme="minorHAnsi" w:hAnsiTheme="minorHAnsi" w:cs="Arial"/>
          <w:lang w:val="en-US"/>
        </w:rPr>
        <w:t>onsible for</w:t>
      </w:r>
      <w:r>
        <w:rPr>
          <w:rFonts w:asciiTheme="minorHAnsi" w:hAnsiTheme="minorHAnsi" w:cs="Arial"/>
          <w:lang w:val="en-US"/>
        </w:rPr>
        <w:t xml:space="preserve"> </w:t>
      </w:r>
      <w:r w:rsidRPr="00F52EF3">
        <w:rPr>
          <w:rFonts w:asciiTheme="minorHAnsi" w:hAnsiTheme="minorHAnsi" w:cs="Arial"/>
          <w:lang w:val="en-US"/>
        </w:rPr>
        <w:t>executing the public policies in t</w:t>
      </w:r>
      <w:r>
        <w:rPr>
          <w:rFonts w:asciiTheme="minorHAnsi" w:hAnsiTheme="minorHAnsi" w:cs="Arial"/>
          <w:lang w:val="en-US"/>
        </w:rPr>
        <w:t xml:space="preserve">he areas of citizenship, promoting gender equality and and combatting violence against women and domestic violence, as well as trafficking in human beings. </w:t>
      </w:r>
    </w:p>
    <w:p w14:paraId="26E61679" w14:textId="77777777" w:rsidR="007359AB" w:rsidRDefault="007359AB" w:rsidP="007359AB">
      <w:pPr>
        <w:pStyle w:val="Default"/>
        <w:jc w:val="both"/>
        <w:rPr>
          <w:rFonts w:asciiTheme="minorHAnsi" w:hAnsiTheme="minorHAnsi" w:cs="Arial"/>
          <w:lang w:val="en-US"/>
        </w:rPr>
      </w:pPr>
    </w:p>
    <w:p w14:paraId="63F8EEB4" w14:textId="77777777" w:rsidR="007359AB" w:rsidRPr="00F52EF3" w:rsidRDefault="007359AB" w:rsidP="007359AB">
      <w:pPr>
        <w:pStyle w:val="Default"/>
        <w:jc w:val="both"/>
        <w:rPr>
          <w:rFonts w:asciiTheme="minorHAnsi" w:hAnsiTheme="minorHAnsi" w:cs="Arial"/>
          <w:lang w:val="en-US"/>
        </w:rPr>
      </w:pPr>
      <w:r>
        <w:rPr>
          <w:rFonts w:asciiTheme="minorHAnsi" w:hAnsiTheme="minorHAnsi" w:cs="Arial"/>
          <w:lang w:val="en-US"/>
        </w:rPr>
        <w:t>I</w:t>
      </w:r>
      <w:r w:rsidRPr="00304A17">
        <w:rPr>
          <w:rFonts w:asciiTheme="minorHAnsi" w:hAnsiTheme="minorHAnsi" w:cs="Arial"/>
          <w:lang w:val="en-US"/>
        </w:rPr>
        <w:t>n this context, CIG c</w:t>
      </w:r>
      <w:r w:rsidRPr="00F52EF3">
        <w:rPr>
          <w:rFonts w:asciiTheme="minorHAnsi" w:hAnsiTheme="minorHAnsi" w:cs="Arial"/>
          <w:lang w:val="en-US"/>
        </w:rPr>
        <w:t xml:space="preserve">oordinates the implementation of the National Strategy for Equality and Non-Discrimination 2018-2030 “Portugal + Igual” (ENIND), </w:t>
      </w:r>
      <w:r>
        <w:rPr>
          <w:rFonts w:asciiTheme="minorHAnsi" w:hAnsiTheme="minorHAnsi" w:cs="Arial"/>
          <w:lang w:val="en-US"/>
        </w:rPr>
        <w:t xml:space="preserve">which was </w:t>
      </w:r>
      <w:r w:rsidRPr="00F52EF3">
        <w:rPr>
          <w:rFonts w:asciiTheme="minorHAnsi" w:hAnsiTheme="minorHAnsi" w:cs="Arial"/>
          <w:lang w:val="en-US"/>
        </w:rPr>
        <w:t>approved in 2018 by a Resolution of the Council of Ministers. Aligned with the 2030 Agenda, ENIND started a new cycle in the promotion of women’s rights and in eliminating discrimination based on a systemic and comprehensive approach to public policy in three major areas: on a) promoting equality between women and men; b) preventing and combating violence against women and domestic violence (including harmful practices such as female genital mutilation (FGM) and forced and early marriages); c)  and combating discrimination on the basis of sexual orientation, gender identity and expression, and sex characteristics. These 3 areas correspond to ENIND’s three action plans 2018-2021. For the first time, Portugal has an umbrella long-term equality and non-discrimination national strategy, that brings together and articulates these three areas.</w:t>
      </w:r>
    </w:p>
    <w:p w14:paraId="034F32B9" w14:textId="77777777" w:rsidR="00605FEF" w:rsidRPr="00605FEF" w:rsidRDefault="00605FEF" w:rsidP="00605FEF">
      <w:pPr>
        <w:pStyle w:val="ListParagraph"/>
        <w:ind w:left="0"/>
        <w:jc w:val="both"/>
        <w:rPr>
          <w:rFonts w:asciiTheme="minorHAnsi" w:hAnsiTheme="minorHAnsi"/>
          <w:lang w:val="en-US"/>
        </w:rPr>
      </w:pPr>
    </w:p>
    <w:p w14:paraId="1059926A" w14:textId="77777777" w:rsidR="00010C2A" w:rsidRPr="00926F17" w:rsidRDefault="00010C2A" w:rsidP="00926F17">
      <w:pPr>
        <w:numPr>
          <w:ilvl w:val="0"/>
          <w:numId w:val="3"/>
        </w:numPr>
        <w:spacing w:after="120" w:line="259" w:lineRule="auto"/>
        <w:ind w:left="714" w:hanging="357"/>
        <w:contextualSpacing/>
        <w:jc w:val="both"/>
        <w:rPr>
          <w:rFonts w:eastAsia="Calibri"/>
          <w:lang w:val="en-GB" w:eastAsia="en-US"/>
        </w:rPr>
      </w:pPr>
      <w:r w:rsidRPr="00926F17">
        <w:rPr>
          <w:rFonts w:eastAsia="Calibri"/>
          <w:lang w:val="en-GB" w:eastAsia="en-US"/>
        </w:rPr>
        <w:t>What are the promising practices emerging from your country to ensure the realization of women’s rights to work and women’s rights at work, in the context of technological and demographic change, as well as continuing globalization and the shift towards sustainability? (</w:t>
      </w:r>
      <w:r w:rsidR="00594AD3" w:rsidRPr="00926F17">
        <w:rPr>
          <w:rFonts w:eastAsia="Calibri"/>
          <w:lang w:val="en-GB" w:eastAsia="en-US"/>
        </w:rPr>
        <w:t>Laws</w:t>
      </w:r>
      <w:r w:rsidRPr="00926F17">
        <w:rPr>
          <w:rFonts w:eastAsia="Calibri"/>
          <w:lang w:val="en-GB" w:eastAsia="en-US"/>
        </w:rPr>
        <w:t>; economic, labour market and social policies; programmes).</w:t>
      </w:r>
    </w:p>
    <w:p w14:paraId="5752B09E" w14:textId="77777777" w:rsidR="00967516" w:rsidRPr="00915A35" w:rsidRDefault="00967516" w:rsidP="001B2F87">
      <w:pPr>
        <w:spacing w:after="120" w:line="312" w:lineRule="auto"/>
        <w:jc w:val="both"/>
        <w:rPr>
          <w:rFonts w:asciiTheme="minorHAnsi" w:hAnsiTheme="minorHAnsi"/>
          <w:lang w:val="en-US"/>
        </w:rPr>
      </w:pPr>
    </w:p>
    <w:p w14:paraId="1A4E9284" w14:textId="06D9BA5D" w:rsidR="00C939CA" w:rsidRPr="00915A35" w:rsidRDefault="00915A35" w:rsidP="00605FEF">
      <w:pPr>
        <w:pStyle w:val="ListParagraph"/>
        <w:ind w:left="0"/>
        <w:jc w:val="both"/>
        <w:rPr>
          <w:rFonts w:asciiTheme="minorHAnsi" w:hAnsiTheme="minorHAnsi"/>
          <w:lang w:val="en-US"/>
        </w:rPr>
      </w:pPr>
      <w:r>
        <w:rPr>
          <w:rFonts w:asciiTheme="minorHAnsi" w:hAnsiTheme="minorHAnsi"/>
          <w:lang w:val="en-US"/>
        </w:rPr>
        <w:t>Concerning</w:t>
      </w:r>
      <w:r w:rsidR="00605FEF" w:rsidRPr="00915A35">
        <w:rPr>
          <w:rFonts w:asciiTheme="minorHAnsi" w:hAnsiTheme="minorHAnsi"/>
          <w:lang w:val="en-US"/>
        </w:rPr>
        <w:t xml:space="preserve"> Public Policies</w:t>
      </w:r>
      <w:r>
        <w:rPr>
          <w:rFonts w:asciiTheme="minorHAnsi" w:hAnsiTheme="minorHAnsi"/>
          <w:lang w:val="en-US"/>
        </w:rPr>
        <w:t xml:space="preserve">, </w:t>
      </w:r>
      <w:r w:rsidR="00605FEF" w:rsidRPr="00915A35">
        <w:rPr>
          <w:rFonts w:asciiTheme="minorHAnsi" w:hAnsiTheme="minorHAnsi"/>
          <w:lang w:val="en-US"/>
        </w:rPr>
        <w:t xml:space="preserve">we highlight the adoption of the following measures </w:t>
      </w:r>
      <w:r w:rsidR="00C939CA" w:rsidRPr="00915A35">
        <w:rPr>
          <w:rFonts w:asciiTheme="minorHAnsi" w:hAnsiTheme="minorHAnsi"/>
          <w:lang w:val="en-US"/>
        </w:rPr>
        <w:t>aimed at ensuring the realization of women's right</w:t>
      </w:r>
      <w:r w:rsidR="00921E2E">
        <w:rPr>
          <w:rFonts w:asciiTheme="minorHAnsi" w:hAnsiTheme="minorHAnsi"/>
          <w:lang w:val="en-US"/>
        </w:rPr>
        <w:t xml:space="preserve">s at work </w:t>
      </w:r>
      <w:r w:rsidR="00285BAA">
        <w:rPr>
          <w:rFonts w:asciiTheme="minorHAnsi" w:hAnsiTheme="minorHAnsi"/>
          <w:lang w:val="en-US"/>
        </w:rPr>
        <w:t xml:space="preserve">based on a systemic approach to </w:t>
      </w:r>
      <w:r w:rsidR="00921E2E">
        <w:rPr>
          <w:rFonts w:asciiTheme="minorHAnsi" w:hAnsiTheme="minorHAnsi"/>
          <w:lang w:val="en-US"/>
        </w:rPr>
        <w:t xml:space="preserve">the promotion </w:t>
      </w:r>
      <w:r w:rsidR="00285BAA">
        <w:rPr>
          <w:rFonts w:asciiTheme="minorHAnsi" w:hAnsiTheme="minorHAnsi"/>
          <w:lang w:val="en-US"/>
        </w:rPr>
        <w:t>of equality and non discrimination</w:t>
      </w:r>
      <w:r w:rsidR="00C939CA" w:rsidRPr="00915A35">
        <w:rPr>
          <w:rFonts w:asciiTheme="minorHAnsi" w:hAnsiTheme="minorHAnsi"/>
          <w:lang w:val="en-US"/>
        </w:rPr>
        <w:t>:</w:t>
      </w:r>
    </w:p>
    <w:p w14:paraId="535781C2" w14:textId="77777777" w:rsidR="00A955E1" w:rsidRPr="00915A35" w:rsidRDefault="00A955E1" w:rsidP="00605FEF">
      <w:pPr>
        <w:pStyle w:val="ListParagraph"/>
        <w:ind w:left="0"/>
        <w:jc w:val="both"/>
        <w:rPr>
          <w:rFonts w:asciiTheme="minorHAnsi" w:hAnsiTheme="minorHAnsi"/>
          <w:lang w:val="en-US"/>
        </w:rPr>
      </w:pPr>
    </w:p>
    <w:p w14:paraId="5F19C4F8" w14:textId="5D270BAE" w:rsidR="00A955E1" w:rsidRPr="00915A35" w:rsidRDefault="00095F1B" w:rsidP="00915A35">
      <w:pPr>
        <w:pStyle w:val="ListParagraph"/>
        <w:numPr>
          <w:ilvl w:val="0"/>
          <w:numId w:val="8"/>
        </w:numPr>
        <w:jc w:val="both"/>
        <w:rPr>
          <w:rFonts w:asciiTheme="minorHAnsi" w:hAnsiTheme="minorHAnsi"/>
          <w:b/>
          <w:lang w:val="en-US"/>
        </w:rPr>
      </w:pPr>
      <w:r>
        <w:rPr>
          <w:rFonts w:asciiTheme="minorHAnsi" w:hAnsiTheme="minorHAnsi"/>
          <w:lang w:val="en-US"/>
        </w:rPr>
        <w:t>A</w:t>
      </w:r>
      <w:r w:rsidR="00A955E1" w:rsidRPr="00915A35">
        <w:rPr>
          <w:rFonts w:asciiTheme="minorHAnsi" w:hAnsiTheme="minorHAnsi"/>
          <w:lang w:val="en-US"/>
        </w:rPr>
        <w:t xml:space="preserve">doption of the </w:t>
      </w:r>
      <w:r w:rsidR="00A955E1" w:rsidRPr="00915A35">
        <w:rPr>
          <w:rFonts w:asciiTheme="minorHAnsi" w:hAnsiTheme="minorHAnsi"/>
          <w:b/>
          <w:lang w:val="en-US"/>
        </w:rPr>
        <w:t>National Strategy for Equality and Non-Discrimination - Portugal + Equal (2018-2030)</w:t>
      </w:r>
    </w:p>
    <w:p w14:paraId="7AA64198" w14:textId="29DC7E2B" w:rsidR="00A955E1" w:rsidRDefault="00A955E1" w:rsidP="00A955E1">
      <w:pPr>
        <w:pStyle w:val="ListParagraph"/>
        <w:ind w:hanging="11"/>
        <w:jc w:val="both"/>
        <w:rPr>
          <w:rFonts w:asciiTheme="minorHAnsi" w:hAnsiTheme="minorHAnsi"/>
          <w:lang w:val="en-US"/>
        </w:rPr>
      </w:pPr>
    </w:p>
    <w:p w14:paraId="774DCEB3" w14:textId="594D92E2" w:rsidR="004A53CA" w:rsidRPr="00F52EF3" w:rsidRDefault="00465ECC" w:rsidP="004A53CA">
      <w:pPr>
        <w:pStyle w:val="Default"/>
        <w:jc w:val="both"/>
        <w:rPr>
          <w:rFonts w:asciiTheme="minorHAnsi" w:hAnsiTheme="minorHAnsi" w:cs="Arial"/>
          <w:lang w:val="en-US"/>
        </w:rPr>
      </w:pPr>
      <w:r>
        <w:rPr>
          <w:rFonts w:asciiTheme="minorHAnsi" w:hAnsiTheme="minorHAnsi" w:cs="Arial"/>
          <w:lang w:val="en-US"/>
        </w:rPr>
        <w:t>The</w:t>
      </w:r>
      <w:r w:rsidR="004A53CA" w:rsidRPr="00F52EF3">
        <w:rPr>
          <w:rFonts w:asciiTheme="minorHAnsi" w:hAnsiTheme="minorHAnsi" w:cs="Arial"/>
          <w:lang w:val="en-US"/>
        </w:rPr>
        <w:t xml:space="preserve"> National Strategy for Equality and Non-Discrimination 2018-2030 “Portugal + Igual” (ENIND), </w:t>
      </w:r>
      <w:r w:rsidR="004A53CA">
        <w:rPr>
          <w:rFonts w:asciiTheme="minorHAnsi" w:hAnsiTheme="minorHAnsi" w:cs="Arial"/>
          <w:lang w:val="en-US"/>
        </w:rPr>
        <w:t xml:space="preserve">which was </w:t>
      </w:r>
      <w:r w:rsidR="004A53CA" w:rsidRPr="00F52EF3">
        <w:rPr>
          <w:rFonts w:asciiTheme="minorHAnsi" w:hAnsiTheme="minorHAnsi" w:cs="Arial"/>
          <w:lang w:val="en-US"/>
        </w:rPr>
        <w:t>approved in 2018 by a Resolution of the Council of Ministers. Aligned with the 2030 Agenda, ENIND started a new cycle in the promotion of women’s rights and in eliminating discrimination based on a systemic and comprehensive approach to public policy in three major areas: on a) promoting equality between women and men; b) preventing and combating violence against women and domestic violence (including harmful practices such as female genital mutilation (FGM) and forced and early marriages); c)  and combating discrimination on the basis of sexual orientation, gender identity and expression, and sex characteristics. These 3 areas correspond to ENIND’s three action plans 2018-2021. For the first time, Portugal has an umbrella long-term equality and non-discrimination national strategy, that brings together and articulates these three areas.</w:t>
      </w:r>
    </w:p>
    <w:p w14:paraId="7EFFA781" w14:textId="77777777" w:rsidR="004A53CA" w:rsidRPr="00F52EF3" w:rsidRDefault="004A53CA" w:rsidP="004A53CA">
      <w:pPr>
        <w:pStyle w:val="Default"/>
        <w:jc w:val="both"/>
        <w:rPr>
          <w:rFonts w:asciiTheme="minorHAnsi" w:hAnsiTheme="minorHAnsi" w:cs="Arial"/>
          <w:lang w:val="en-US"/>
        </w:rPr>
      </w:pPr>
    </w:p>
    <w:p w14:paraId="30C9F115" w14:textId="77777777" w:rsidR="004A53CA" w:rsidRPr="00F52EF3" w:rsidRDefault="004A53CA" w:rsidP="004A53CA">
      <w:pPr>
        <w:pStyle w:val="Default"/>
        <w:jc w:val="both"/>
        <w:rPr>
          <w:rFonts w:asciiTheme="minorHAnsi" w:hAnsiTheme="minorHAnsi" w:cs="Arial"/>
          <w:lang w:val="en-US"/>
        </w:rPr>
      </w:pPr>
      <w:r w:rsidRPr="00F52EF3">
        <w:rPr>
          <w:rFonts w:asciiTheme="minorHAnsi" w:hAnsiTheme="minorHAnsi" w:cs="Arial"/>
          <w:lang w:val="en-US"/>
        </w:rPr>
        <w:t>These three action plans are based on the definition of strategic objectives that translate into a total of 131 very concrete measures for the first four years of ENIND’s implementation (2018-2021), to be followed by a revision exercise for the following four years. In turn, these measures translate into indicators with measurable yearly targets, following an approach that is more action-based and operational.</w:t>
      </w:r>
    </w:p>
    <w:p w14:paraId="4E3277CA" w14:textId="77777777" w:rsidR="004A53CA" w:rsidRPr="00F52EF3" w:rsidRDefault="004A53CA" w:rsidP="004A53CA">
      <w:pPr>
        <w:pStyle w:val="Default"/>
        <w:jc w:val="both"/>
        <w:rPr>
          <w:rFonts w:asciiTheme="minorHAnsi" w:hAnsiTheme="minorHAnsi" w:cs="Arial"/>
          <w:lang w:val="en-US"/>
        </w:rPr>
      </w:pPr>
    </w:p>
    <w:p w14:paraId="4ED74545" w14:textId="2F8F6A49" w:rsidR="004A53CA" w:rsidRDefault="004A53CA" w:rsidP="00DA7BBE">
      <w:pPr>
        <w:pStyle w:val="Default"/>
        <w:jc w:val="both"/>
        <w:rPr>
          <w:rFonts w:asciiTheme="minorHAnsi" w:hAnsiTheme="minorHAnsi" w:cs="Arial"/>
          <w:lang w:val="en-US"/>
        </w:rPr>
      </w:pPr>
      <w:r w:rsidRPr="00F52EF3">
        <w:rPr>
          <w:rFonts w:asciiTheme="minorHAnsi" w:hAnsiTheme="minorHAnsi" w:cs="Arial"/>
          <w:lang w:val="en-US"/>
        </w:rPr>
        <w:t xml:space="preserve">Also, for the first time, ENIND emphasizes the multidimensional nature of disadvantage stemming from the intersection of various discrimination factors, such as sex with age, disability, race and national or ethnic origin. As such, it expressly mainstreams intersecionality as a transversal approach to all three plans, creating specific actions that recognize the specific intersectional needs of women and girls. </w:t>
      </w:r>
    </w:p>
    <w:p w14:paraId="2BED4D8F" w14:textId="49C53506" w:rsidR="00DA7BBE" w:rsidRDefault="00DA7BBE" w:rsidP="00DA7BBE">
      <w:pPr>
        <w:pStyle w:val="Default"/>
        <w:jc w:val="both"/>
        <w:rPr>
          <w:rFonts w:asciiTheme="minorHAnsi" w:hAnsiTheme="minorHAnsi" w:cs="Arial"/>
          <w:lang w:val="en-US"/>
        </w:rPr>
      </w:pPr>
    </w:p>
    <w:p w14:paraId="4AD4DD32" w14:textId="59E8A92E" w:rsidR="00DA7BBE" w:rsidRDefault="00DA7BBE" w:rsidP="00DA7BBE">
      <w:pPr>
        <w:ind w:right="82"/>
        <w:jc w:val="both"/>
        <w:rPr>
          <w:rFonts w:ascii="Calibri" w:eastAsia="Calibri" w:hAnsi="Calibri" w:cs="Calibri"/>
          <w:lang w:val="en-US"/>
        </w:rPr>
      </w:pPr>
      <w:r w:rsidRPr="00332009">
        <w:rPr>
          <w:rFonts w:ascii="Calibri" w:eastAsia="Calibri" w:hAnsi="Calibri" w:cs="Calibri"/>
          <w:lang w:val="en-US"/>
        </w:rPr>
        <w:t xml:space="preserve">Under ENIND, several strategic areas have been pursued, with tangible results, namely at legislative level.  </w:t>
      </w:r>
    </w:p>
    <w:p w14:paraId="4DAF29EB" w14:textId="77777777" w:rsidR="00332009" w:rsidRPr="00332009" w:rsidRDefault="00332009" w:rsidP="00332009">
      <w:pPr>
        <w:ind w:right="82"/>
        <w:jc w:val="both"/>
        <w:rPr>
          <w:rFonts w:ascii="Calibri" w:eastAsia="Calibri" w:hAnsi="Calibri" w:cs="Calibri"/>
          <w:lang w:val="en-US"/>
        </w:rPr>
      </w:pPr>
    </w:p>
    <w:p w14:paraId="63369E27" w14:textId="77777777" w:rsidR="00DA7BBE" w:rsidRPr="00332009" w:rsidRDefault="00DA7BBE" w:rsidP="00332009">
      <w:pPr>
        <w:ind w:right="82"/>
        <w:jc w:val="both"/>
        <w:rPr>
          <w:rFonts w:ascii="Calibri" w:eastAsia="Calibri" w:hAnsi="Calibri" w:cs="Calibri"/>
          <w:lang w:val="en-US"/>
        </w:rPr>
      </w:pPr>
      <w:r w:rsidRPr="00332009">
        <w:rPr>
          <w:rFonts w:ascii="Calibri" w:eastAsia="Calibri" w:hAnsi="Calibri" w:cs="Calibri"/>
          <w:lang w:val="en-US"/>
        </w:rPr>
        <w:t>In the area of equality between women and men:</w:t>
      </w:r>
    </w:p>
    <w:p w14:paraId="415E39F3" w14:textId="77777777" w:rsidR="00DA7BBE" w:rsidRPr="00332009" w:rsidRDefault="00DA7BBE" w:rsidP="00332009">
      <w:pPr>
        <w:pStyle w:val="ListParagraph"/>
        <w:numPr>
          <w:ilvl w:val="0"/>
          <w:numId w:val="11"/>
        </w:numPr>
        <w:ind w:right="82"/>
        <w:jc w:val="both"/>
        <w:rPr>
          <w:rFonts w:ascii="Calibri" w:eastAsia="Calibri" w:hAnsi="Calibri" w:cs="Calibri"/>
          <w:lang w:val="en-US"/>
        </w:rPr>
      </w:pPr>
      <w:r w:rsidRPr="00332009">
        <w:rPr>
          <w:rFonts w:ascii="Calibri" w:eastAsia="Calibri" w:hAnsi="Calibri" w:cs="Calibri"/>
          <w:lang w:val="en-US"/>
        </w:rPr>
        <w:t xml:space="preserve">Concerning balanced representation of women and men in decision-making: </w:t>
      </w:r>
    </w:p>
    <w:p w14:paraId="368640EA" w14:textId="77777777" w:rsidR="00DA7BBE" w:rsidRPr="00332009" w:rsidRDefault="00DA7BBE" w:rsidP="00332009">
      <w:pPr>
        <w:pStyle w:val="ListParagraph"/>
        <w:numPr>
          <w:ilvl w:val="1"/>
          <w:numId w:val="11"/>
        </w:numPr>
        <w:ind w:right="82"/>
        <w:jc w:val="both"/>
        <w:rPr>
          <w:rFonts w:ascii="Calibri" w:eastAsia="Calibri" w:hAnsi="Calibri" w:cs="Calibri"/>
          <w:lang w:val="en-US"/>
        </w:rPr>
      </w:pPr>
      <w:r w:rsidRPr="00332009">
        <w:rPr>
          <w:rFonts w:ascii="Calibri" w:eastAsia="Calibri" w:hAnsi="Calibri" w:cs="Calibri"/>
          <w:lang w:val="en-US"/>
        </w:rPr>
        <w:t xml:space="preserve">In  terms of political participation, </w:t>
      </w:r>
      <w:hyperlink r:id="rId14" w:history="1">
        <w:r w:rsidRPr="00332009">
          <w:rPr>
            <w:rStyle w:val="Hyperlink"/>
            <w:rFonts w:ascii="Calibri" w:eastAsia="Calibri" w:hAnsi="Calibri" w:cs="Calibri"/>
            <w:lang w:val="en-US"/>
          </w:rPr>
          <w:t>Law 1/2019</w:t>
        </w:r>
      </w:hyperlink>
      <w:r w:rsidRPr="00332009">
        <w:rPr>
          <w:rFonts w:ascii="Calibri" w:eastAsia="Calibri" w:hAnsi="Calibri" w:cs="Calibri"/>
          <w:lang w:val="en-US"/>
        </w:rPr>
        <w:t>, of march 29, raising from 33% to 40% the minimum threshold of women and men in the electoral lists to national and European parliament, elective bodies of municipalities, and members of the Parish Councils</w:t>
      </w:r>
    </w:p>
    <w:p w14:paraId="57752F7E" w14:textId="21C13926" w:rsidR="00DA7BBE" w:rsidRDefault="00DA7BBE" w:rsidP="00332009">
      <w:pPr>
        <w:pStyle w:val="ListParagraph"/>
        <w:numPr>
          <w:ilvl w:val="1"/>
          <w:numId w:val="11"/>
        </w:numPr>
        <w:ind w:right="82"/>
        <w:jc w:val="both"/>
        <w:rPr>
          <w:rFonts w:ascii="Calibri" w:eastAsia="Calibri" w:hAnsi="Calibri" w:cs="Calibri"/>
          <w:lang w:val="en-US"/>
        </w:rPr>
      </w:pPr>
      <w:r w:rsidRPr="00332009">
        <w:rPr>
          <w:rFonts w:ascii="Calibri" w:eastAsia="Calibri" w:hAnsi="Calibri" w:cs="Calibri"/>
          <w:lang w:val="en-US"/>
        </w:rPr>
        <w:t xml:space="preserve">Law 26/2019, of March 28, which defines a minimum 40% threshold of women and men among top civil servants in public administration, and in public higher education institutions and </w:t>
      </w:r>
      <w:r w:rsidR="00855490">
        <w:rPr>
          <w:rFonts w:ascii="Calibri" w:eastAsia="Calibri" w:hAnsi="Calibri" w:cs="Calibri"/>
          <w:lang w:val="en-US"/>
        </w:rPr>
        <w:t xml:space="preserve">public </w:t>
      </w:r>
      <w:r w:rsidRPr="00332009">
        <w:rPr>
          <w:rFonts w:ascii="Calibri" w:eastAsia="Calibri" w:hAnsi="Calibri" w:cs="Calibri"/>
          <w:lang w:val="en-US"/>
        </w:rPr>
        <w:t>associations.</w:t>
      </w:r>
    </w:p>
    <w:p w14:paraId="53C151C1" w14:textId="4F15DB5D" w:rsidR="00541062" w:rsidRPr="00332009" w:rsidRDefault="00541062" w:rsidP="00541062">
      <w:pPr>
        <w:pStyle w:val="ListParagraph"/>
        <w:numPr>
          <w:ilvl w:val="1"/>
          <w:numId w:val="11"/>
        </w:numPr>
        <w:ind w:right="82"/>
        <w:jc w:val="both"/>
        <w:rPr>
          <w:rFonts w:ascii="Calibri" w:eastAsia="Calibri" w:hAnsi="Calibri" w:cs="Calibri"/>
          <w:lang w:val="en-US"/>
        </w:rPr>
      </w:pPr>
      <w:r>
        <w:rPr>
          <w:rFonts w:ascii="Calibri" w:eastAsia="Calibri" w:hAnsi="Calibri" w:cs="Calibri"/>
          <w:lang w:val="en-US"/>
        </w:rPr>
        <w:t xml:space="preserve">These laws followed the adoption, in 2017, of </w:t>
      </w:r>
      <w:hyperlink r:id="rId15" w:history="1">
        <w:r w:rsidRPr="00332009">
          <w:rPr>
            <w:rStyle w:val="Hyperlink"/>
            <w:rFonts w:ascii="Calibri" w:eastAsia="Calibri" w:hAnsi="Calibri" w:cs="Calibri"/>
            <w:lang w:val="en-US"/>
          </w:rPr>
          <w:t>Law 62/2017</w:t>
        </w:r>
      </w:hyperlink>
      <w:r w:rsidRPr="00332009">
        <w:rPr>
          <w:rFonts w:ascii="Calibri" w:eastAsia="Calibri" w:hAnsi="Calibri" w:cs="Calibri"/>
          <w:lang w:val="en-US"/>
        </w:rPr>
        <w:t>, of august 1, which defines minimum thresholds of women and men in boards of public companies (33% as of 1 January 2018) and listed companies (20% as of 1 January 2018; 33% as of 1 January 2020). This law has already produced very positive impacts in 1,5 years of implementation, raising the number of women in the boards of listed companies from 12 to 18%, in State companies from 28 to 32% and in local public companies from 20 to 32%.</w:t>
      </w:r>
    </w:p>
    <w:p w14:paraId="247D9CF8" w14:textId="717294BF" w:rsidR="00541062" w:rsidRPr="00332009" w:rsidRDefault="00541062" w:rsidP="00541062">
      <w:pPr>
        <w:pStyle w:val="ListParagraph"/>
        <w:ind w:left="1080" w:right="82"/>
        <w:jc w:val="both"/>
        <w:rPr>
          <w:rFonts w:ascii="Calibri" w:eastAsia="Calibri" w:hAnsi="Calibri" w:cs="Calibri"/>
          <w:lang w:val="en-US"/>
        </w:rPr>
      </w:pPr>
    </w:p>
    <w:p w14:paraId="45ABD07C" w14:textId="77777777" w:rsidR="00DA7BBE" w:rsidRPr="00332009" w:rsidRDefault="00DA7BBE" w:rsidP="00332009">
      <w:pPr>
        <w:pStyle w:val="ListParagraph"/>
        <w:numPr>
          <w:ilvl w:val="0"/>
          <w:numId w:val="11"/>
        </w:numPr>
        <w:ind w:right="82"/>
        <w:jc w:val="both"/>
        <w:rPr>
          <w:rFonts w:ascii="Calibri" w:eastAsia="Calibri" w:hAnsi="Calibri" w:cs="Calibri"/>
          <w:lang w:val="en-US"/>
        </w:rPr>
      </w:pPr>
      <w:r w:rsidRPr="00332009">
        <w:rPr>
          <w:rFonts w:ascii="Calibri" w:eastAsia="Calibri" w:hAnsi="Calibri" w:cs="Calibri"/>
          <w:lang w:val="en-US"/>
        </w:rPr>
        <w:t xml:space="preserve">Concerning equal pay for women and men: </w:t>
      </w:r>
    </w:p>
    <w:p w14:paraId="2A67C70D" w14:textId="167943AC" w:rsidR="004F13D6" w:rsidRPr="00915A35" w:rsidRDefault="00DA7BBE" w:rsidP="006F0847">
      <w:pPr>
        <w:pStyle w:val="ListParagraph"/>
        <w:numPr>
          <w:ilvl w:val="1"/>
          <w:numId w:val="11"/>
        </w:numPr>
        <w:ind w:right="82"/>
        <w:jc w:val="both"/>
        <w:rPr>
          <w:rFonts w:asciiTheme="minorHAnsi" w:hAnsiTheme="minorHAnsi" w:cstheme="minorHAnsi"/>
          <w:lang w:val="en-GB"/>
        </w:rPr>
      </w:pPr>
      <w:r w:rsidRPr="00332009">
        <w:rPr>
          <w:rFonts w:ascii="Calibri" w:eastAsia="Calibri" w:hAnsi="Calibri" w:cs="Calibri"/>
          <w:lang w:val="en-US"/>
        </w:rPr>
        <w:t xml:space="preserve">Law 60/2018, of August 21, which creates mechanisms to promote equal pay between women and men for equal work and work of equal value. </w:t>
      </w:r>
      <w:r w:rsidR="004F13D6" w:rsidRPr="00915A35">
        <w:rPr>
          <w:rFonts w:asciiTheme="minorHAnsi" w:hAnsiTheme="minorHAnsi" w:cstheme="minorHAnsi"/>
          <w:lang w:val="en-GB"/>
        </w:rPr>
        <w:t xml:space="preserve">This law contains four types of mechanisms that reinforce the principle of equal pay for equal work and work of equal value. First, the annual availability of statistical information on the differences in remuneration by company (balance sheet) and by sector of activity (barometer); Secondly, </w:t>
      </w:r>
      <w:r w:rsidR="006F0847" w:rsidRPr="00332009">
        <w:rPr>
          <w:rFonts w:ascii="Calibri" w:eastAsia="Calibri" w:hAnsi="Calibri" w:cs="Calibri"/>
          <w:lang w:val="en-US"/>
        </w:rPr>
        <w:t>This law creates a duty for companies to have transparent pay policies based on the application of gender-neutral job evaluations</w:t>
      </w:r>
      <w:r w:rsidR="004F13D6" w:rsidRPr="00915A35">
        <w:rPr>
          <w:rFonts w:asciiTheme="minorHAnsi" w:hAnsiTheme="minorHAnsi" w:cstheme="minorHAnsi"/>
          <w:lang w:val="en-GB"/>
        </w:rPr>
        <w:t>; Third, once differences are identified, companies must submit to the Working Conditions Authority (ACT) a plan to assess these differences, to be i</w:t>
      </w:r>
      <w:r w:rsidR="004F13D6">
        <w:rPr>
          <w:rFonts w:asciiTheme="minorHAnsi" w:hAnsiTheme="minorHAnsi" w:cstheme="minorHAnsi"/>
          <w:lang w:val="en-GB"/>
        </w:rPr>
        <w:t>mplemented over a year; Finally;</w:t>
      </w:r>
      <w:r w:rsidR="004F13D6" w:rsidRPr="00915A35">
        <w:rPr>
          <w:rFonts w:asciiTheme="minorHAnsi" w:hAnsiTheme="minorHAnsi" w:cstheme="minorHAnsi"/>
          <w:lang w:val="en-GB"/>
        </w:rPr>
        <w:t xml:space="preserve"> fourth, any worker may ask the Committee on Equality at Work for an opinion on the existence of gender-based pay discrimination.</w:t>
      </w:r>
    </w:p>
    <w:p w14:paraId="0D5C564F" w14:textId="77777777" w:rsidR="004F13D6" w:rsidRPr="00332009" w:rsidRDefault="004F13D6" w:rsidP="006F0847">
      <w:pPr>
        <w:pStyle w:val="ListParagraph"/>
        <w:ind w:left="1080" w:right="82"/>
        <w:jc w:val="both"/>
        <w:rPr>
          <w:rFonts w:ascii="Calibri" w:eastAsia="Calibri" w:hAnsi="Calibri" w:cs="Calibri"/>
          <w:lang w:val="en-US"/>
        </w:rPr>
      </w:pPr>
    </w:p>
    <w:p w14:paraId="5E470669" w14:textId="77777777" w:rsidR="00DA7BBE" w:rsidRPr="00332009" w:rsidRDefault="00DA7BBE" w:rsidP="00332009">
      <w:pPr>
        <w:pStyle w:val="ListParagraph"/>
        <w:numPr>
          <w:ilvl w:val="1"/>
          <w:numId w:val="11"/>
        </w:numPr>
        <w:ind w:right="82"/>
        <w:jc w:val="both"/>
        <w:rPr>
          <w:rFonts w:ascii="Calibri" w:eastAsia="Calibri" w:hAnsi="Calibri" w:cs="Calibri"/>
          <w:lang w:val="en-US"/>
        </w:rPr>
      </w:pPr>
      <w:r w:rsidRPr="00332009">
        <w:rPr>
          <w:rFonts w:ascii="Calibri" w:eastAsia="Calibri" w:hAnsi="Calibri" w:cs="Calibri"/>
          <w:lang w:val="en-US"/>
        </w:rPr>
        <w:t>Raising the minimum income over the years from 505€ in 2015 to 600€ in 2019.</w:t>
      </w:r>
    </w:p>
    <w:p w14:paraId="62D18439" w14:textId="77777777" w:rsidR="003C0F67" w:rsidRPr="00332009" w:rsidRDefault="003C0F67" w:rsidP="00332009">
      <w:pPr>
        <w:ind w:left="720" w:right="82"/>
        <w:jc w:val="both"/>
        <w:rPr>
          <w:rFonts w:ascii="Calibri" w:eastAsia="Calibri" w:hAnsi="Calibri" w:cs="Calibri"/>
          <w:lang w:val="en-US"/>
        </w:rPr>
      </w:pPr>
    </w:p>
    <w:p w14:paraId="2193EFD8" w14:textId="1ACA6151" w:rsidR="00DA7BBE" w:rsidRDefault="00DA7BBE" w:rsidP="00332009">
      <w:pPr>
        <w:pStyle w:val="ListParagraph"/>
        <w:numPr>
          <w:ilvl w:val="0"/>
          <w:numId w:val="11"/>
        </w:numPr>
        <w:ind w:right="82"/>
        <w:jc w:val="both"/>
        <w:rPr>
          <w:rFonts w:ascii="Calibri" w:eastAsia="Calibri" w:hAnsi="Calibri" w:cs="Calibri"/>
          <w:lang w:val="en-US"/>
        </w:rPr>
      </w:pPr>
      <w:r w:rsidRPr="00332009">
        <w:rPr>
          <w:rFonts w:ascii="Calibri" w:eastAsia="Calibri" w:hAnsi="Calibri" w:cs="Calibri"/>
          <w:lang w:val="en-US"/>
        </w:rPr>
        <w:t xml:space="preserve">Concerning the desegregation of education and professions, the Government has been implementing, since 2017/18 school year (started as a pilot), the project “Engineers for a day” across the country, that works directly with lower secondary and secondary students to challenge stereotypes in the areas of engineering and ICT, through practical exercises, mentoring and work experiences, to incentivize more girls to choose these areas. Altogether, the project has already involved around 3520 students, 37 schools across the country, 28 companies, 12 higher education institutions, and several others stakeholders such as municipalities, foundations and associations. </w:t>
      </w:r>
    </w:p>
    <w:p w14:paraId="61041566" w14:textId="77777777" w:rsidR="003C0F67" w:rsidRPr="00332009" w:rsidRDefault="003C0F67" w:rsidP="003C0F67">
      <w:pPr>
        <w:pStyle w:val="ListParagraph"/>
        <w:ind w:left="360" w:right="82"/>
        <w:jc w:val="both"/>
        <w:rPr>
          <w:rFonts w:ascii="Calibri" w:eastAsia="Calibri" w:hAnsi="Calibri" w:cs="Calibri"/>
          <w:lang w:val="en-US"/>
        </w:rPr>
      </w:pPr>
    </w:p>
    <w:p w14:paraId="4364E4CB" w14:textId="3202B789" w:rsidR="00DA7BBE" w:rsidRDefault="00DA7BBE" w:rsidP="00332009">
      <w:pPr>
        <w:pStyle w:val="ListParagraph"/>
        <w:numPr>
          <w:ilvl w:val="0"/>
          <w:numId w:val="11"/>
        </w:numPr>
        <w:ind w:right="82"/>
        <w:jc w:val="both"/>
        <w:rPr>
          <w:rFonts w:ascii="Calibri" w:eastAsia="Calibri" w:hAnsi="Calibri" w:cs="Calibri"/>
          <w:lang w:val="en-US"/>
        </w:rPr>
      </w:pPr>
      <w:r w:rsidRPr="00332009">
        <w:rPr>
          <w:rFonts w:ascii="Calibri" w:eastAsia="Calibri" w:hAnsi="Calibri" w:cs="Calibri"/>
          <w:lang w:val="en-US"/>
        </w:rPr>
        <w:t xml:space="preserve">Concerning work-life balance, in December 2018, the Government launched an innovative </w:t>
      </w:r>
      <w:hyperlink r:id="rId16" w:history="1">
        <w:r w:rsidRPr="00332009">
          <w:rPr>
            <w:rStyle w:val="Hyperlink"/>
            <w:rFonts w:ascii="Calibri" w:eastAsia="Calibri" w:hAnsi="Calibri" w:cs="Calibri"/>
            <w:lang w:val="en-US"/>
          </w:rPr>
          <w:t>work-life balance (WLB) programme</w:t>
        </w:r>
      </w:hyperlink>
      <w:r w:rsidRPr="00332009">
        <w:rPr>
          <w:rStyle w:val="Hyperlink"/>
          <w:rFonts w:ascii="Calibri" w:eastAsia="Calibri" w:hAnsi="Calibri" w:cs="Calibri"/>
          <w:lang w:val="en-US"/>
        </w:rPr>
        <w:t xml:space="preserve"> (</w:t>
      </w:r>
      <w:r w:rsidRPr="00332009">
        <w:rPr>
          <w:rStyle w:val="Hyperlink"/>
          <w:rFonts w:ascii="Calibri" w:eastAsia="Calibri" w:hAnsi="Calibri" w:cs="Calibri"/>
          <w:i/>
          <w:lang w:val="en-US"/>
        </w:rPr>
        <w:t>3 em Linha – Programa para a Conciliação da Vida Profissional, Pessoal e Familiar 2018-2019)</w:t>
      </w:r>
      <w:r w:rsidRPr="00332009">
        <w:rPr>
          <w:rFonts w:ascii="Calibri" w:eastAsia="Calibri" w:hAnsi="Calibri" w:cs="Calibri"/>
          <w:lang w:val="en-US"/>
        </w:rPr>
        <w:t>, to foster conditions for women and men to be able to balance professional, personal and family life. Its 4 axes (with a total of 33 actions) are intersectoral and range from promoting WLB practices in private and public organizations, including through dialogue with social partners; developing specific action measures in the public administration; improvement of infrastructures, services and incentives in the care, education, transport and health sectors; and producing knowledge.</w:t>
      </w:r>
    </w:p>
    <w:p w14:paraId="36BF372D" w14:textId="77777777" w:rsidR="0020291D" w:rsidRPr="00965847" w:rsidRDefault="0020291D" w:rsidP="00965847">
      <w:pPr>
        <w:pStyle w:val="ListParagraph"/>
        <w:rPr>
          <w:rFonts w:ascii="Calibri" w:eastAsia="Calibri" w:hAnsi="Calibri" w:cs="Calibri"/>
          <w:lang w:val="en-US"/>
        </w:rPr>
      </w:pPr>
    </w:p>
    <w:p w14:paraId="3B4F4478" w14:textId="320950C3" w:rsidR="0020291D" w:rsidRPr="00965847" w:rsidRDefault="0020291D" w:rsidP="00965847">
      <w:pPr>
        <w:jc w:val="both"/>
        <w:rPr>
          <w:rFonts w:asciiTheme="minorHAnsi" w:hAnsiTheme="minorHAnsi"/>
          <w:u w:val="single"/>
          <w:lang w:val="en-GB"/>
        </w:rPr>
      </w:pPr>
      <w:r w:rsidRPr="00965847">
        <w:rPr>
          <w:rFonts w:asciiTheme="minorHAnsi" w:hAnsiTheme="minorHAnsi"/>
          <w:u w:val="single"/>
          <w:lang w:val="en-GB"/>
        </w:rPr>
        <w:t>This programme involves public and private actors</w:t>
      </w:r>
      <w:r w:rsidR="0046168C">
        <w:rPr>
          <w:rFonts w:asciiTheme="minorHAnsi" w:hAnsiTheme="minorHAnsi"/>
          <w:u w:val="single"/>
          <w:lang w:val="en-GB"/>
        </w:rPr>
        <w:t xml:space="preserve"> in the implementation of </w:t>
      </w:r>
      <w:r w:rsidRPr="00965847">
        <w:rPr>
          <w:rFonts w:asciiTheme="minorHAnsi" w:hAnsiTheme="minorHAnsi"/>
          <w:u w:val="single"/>
          <w:lang w:val="en-GB"/>
        </w:rPr>
        <w:t xml:space="preserve">very concrete actions. The following can be highlighted: </w:t>
      </w:r>
    </w:p>
    <w:p w14:paraId="6B028C47" w14:textId="3F381F19" w:rsidR="0020291D" w:rsidRPr="00965847" w:rsidRDefault="0020291D" w:rsidP="003054BA">
      <w:pPr>
        <w:pStyle w:val="ListParagraph"/>
        <w:numPr>
          <w:ilvl w:val="0"/>
          <w:numId w:val="13"/>
        </w:numPr>
        <w:jc w:val="both"/>
        <w:rPr>
          <w:rFonts w:asciiTheme="minorHAnsi" w:hAnsiTheme="minorHAnsi"/>
          <w:u w:val="single"/>
          <w:lang w:val="en-GB"/>
        </w:rPr>
      </w:pPr>
      <w:r w:rsidRPr="00965847">
        <w:rPr>
          <w:rFonts w:asciiTheme="minorHAnsi" w:hAnsiTheme="minorHAnsi"/>
          <w:u w:val="single"/>
          <w:lang w:val="en-GB"/>
        </w:rPr>
        <w:t>Project call</w:t>
      </w:r>
      <w:r w:rsidR="0046168C">
        <w:rPr>
          <w:rFonts w:asciiTheme="minorHAnsi" w:hAnsiTheme="minorHAnsi"/>
          <w:u w:val="single"/>
          <w:lang w:val="en-GB"/>
        </w:rPr>
        <w:t>ed</w:t>
      </w:r>
      <w:r w:rsidRPr="00965847">
        <w:rPr>
          <w:rFonts w:asciiTheme="minorHAnsi" w:hAnsiTheme="minorHAnsi"/>
          <w:u w:val="single"/>
          <w:lang w:val="en-GB"/>
        </w:rPr>
        <w:t xml:space="preserve"> </w:t>
      </w:r>
      <w:r w:rsidRPr="00965847">
        <w:rPr>
          <w:rFonts w:asciiTheme="minorHAnsi" w:hAnsiTheme="minorHAnsi"/>
          <w:i/>
          <w:u w:val="single"/>
          <w:lang w:val="en-GB"/>
        </w:rPr>
        <w:t>Pacto para a conciliação</w:t>
      </w:r>
      <w:r w:rsidRPr="00965847">
        <w:rPr>
          <w:rFonts w:asciiTheme="minorHAnsi" w:hAnsiTheme="minorHAnsi"/>
          <w:u w:val="single"/>
          <w:lang w:val="en-GB"/>
        </w:rPr>
        <w:t xml:space="preserve"> (WLB Pact) that brings together public and private organistations (currently 5</w:t>
      </w:r>
      <w:r w:rsidR="0046168C">
        <w:rPr>
          <w:rFonts w:asciiTheme="minorHAnsi" w:hAnsiTheme="minorHAnsi"/>
          <w:u w:val="single"/>
          <w:lang w:val="en-GB"/>
        </w:rPr>
        <w:t>8</w:t>
      </w:r>
      <w:r w:rsidRPr="00965847">
        <w:rPr>
          <w:rFonts w:asciiTheme="minorHAnsi" w:hAnsiTheme="minorHAnsi"/>
          <w:u w:val="single"/>
          <w:lang w:val="en-GB"/>
        </w:rPr>
        <w:t xml:space="preserve"> and increasing) that voluntarily commit to implementar and certify a WLB management system according to the Portuguese standard NP NP4552:2016. This includes central and local public administration organizations, public companies and private companies. </w:t>
      </w:r>
      <w:r w:rsidR="00965847">
        <w:rPr>
          <w:rFonts w:asciiTheme="minorHAnsi" w:hAnsiTheme="minorHAnsi"/>
          <w:u w:val="single"/>
          <w:lang w:val="en-GB"/>
        </w:rPr>
        <w:t>5 organizatins have already been certified.</w:t>
      </w:r>
    </w:p>
    <w:p w14:paraId="5BCC7415" w14:textId="02AC24EA" w:rsidR="0020291D" w:rsidRPr="00965847" w:rsidRDefault="00031FE0" w:rsidP="003054BA">
      <w:pPr>
        <w:pStyle w:val="ListParagraph"/>
        <w:numPr>
          <w:ilvl w:val="0"/>
          <w:numId w:val="13"/>
        </w:numPr>
        <w:jc w:val="both"/>
        <w:rPr>
          <w:rFonts w:asciiTheme="minorHAnsi" w:hAnsiTheme="minorHAnsi"/>
          <w:u w:val="single"/>
          <w:lang w:val="en-GB"/>
        </w:rPr>
      </w:pPr>
      <w:r>
        <w:rPr>
          <w:rFonts w:asciiTheme="minorHAnsi" w:hAnsiTheme="minorHAnsi"/>
          <w:u w:val="single"/>
          <w:lang w:val="en-GB"/>
        </w:rPr>
        <w:t>I</w:t>
      </w:r>
      <w:r w:rsidR="0020291D" w:rsidRPr="00965847">
        <w:rPr>
          <w:rFonts w:asciiTheme="minorHAnsi" w:hAnsiTheme="minorHAnsi"/>
          <w:u w:val="single"/>
          <w:lang w:val="en-GB"/>
        </w:rPr>
        <w:t>n 2019 the Government launched two funding lines to support SME and public administration organizations in implementing and certifying this WLB management system, in a total of 31.5M€.</w:t>
      </w:r>
    </w:p>
    <w:p w14:paraId="4D8E1FDF" w14:textId="7A07A0CD" w:rsidR="0020291D" w:rsidRPr="00965847" w:rsidRDefault="0020291D" w:rsidP="003054BA">
      <w:pPr>
        <w:pStyle w:val="ListParagraph"/>
        <w:numPr>
          <w:ilvl w:val="0"/>
          <w:numId w:val="13"/>
        </w:numPr>
        <w:jc w:val="both"/>
        <w:rPr>
          <w:rFonts w:asciiTheme="minorHAnsi" w:hAnsiTheme="minorHAnsi"/>
          <w:u w:val="single"/>
          <w:lang w:val="en-GB"/>
        </w:rPr>
      </w:pPr>
      <w:r w:rsidRPr="00965847">
        <w:rPr>
          <w:rFonts w:asciiTheme="minorHAnsi" w:hAnsiTheme="minorHAnsi"/>
          <w:u w:val="single"/>
          <w:lang w:val="en-GB"/>
        </w:rPr>
        <w:t>Upon a proposal by the Government, social partners agreed to create a working group to develop WLB measures throughout 2019 and 2020</w:t>
      </w:r>
      <w:r w:rsidR="00031FE0">
        <w:rPr>
          <w:rFonts w:asciiTheme="minorHAnsi" w:hAnsiTheme="minorHAnsi"/>
          <w:u w:val="single"/>
          <w:lang w:val="en-GB"/>
        </w:rPr>
        <w:t>, starting in september 2019.</w:t>
      </w:r>
    </w:p>
    <w:p w14:paraId="60698A79" w14:textId="66A3123D" w:rsidR="0020291D" w:rsidRPr="00B07545" w:rsidRDefault="00B07545" w:rsidP="00B07545">
      <w:pPr>
        <w:pStyle w:val="ListParagraph"/>
        <w:numPr>
          <w:ilvl w:val="0"/>
          <w:numId w:val="13"/>
        </w:numPr>
        <w:rPr>
          <w:rFonts w:asciiTheme="minorHAnsi" w:hAnsiTheme="minorHAnsi"/>
          <w:u w:val="single"/>
          <w:lang w:val="en-GB"/>
        </w:rPr>
      </w:pPr>
      <w:r w:rsidRPr="00B07545">
        <w:rPr>
          <w:rFonts w:asciiTheme="minorHAnsi" w:hAnsiTheme="minorHAnsi"/>
          <w:u w:val="single"/>
          <w:lang w:val="en-GB"/>
        </w:rPr>
        <w:t>In May 2019, the National Parliament approved several changes to the Labour Code, namely: increasing to 20 compulsory days the leave for fathers; in cases of hospitalisation of the newborn, parental leave is extended for the period of hospitalisation up to a maximum of 30 days or for the whole period of hospitalisation if the birth occurs before or at 33 weeks; in all cases where birth occurs before or at 33 weeks, parental leave is extended for 30 days more.</w:t>
      </w:r>
    </w:p>
    <w:p w14:paraId="4BF22357" w14:textId="77777777" w:rsidR="0020291D" w:rsidRPr="00965847" w:rsidRDefault="0020291D" w:rsidP="00B07545">
      <w:pPr>
        <w:pStyle w:val="ListParagraph"/>
        <w:numPr>
          <w:ilvl w:val="0"/>
          <w:numId w:val="13"/>
        </w:numPr>
        <w:jc w:val="both"/>
        <w:rPr>
          <w:rFonts w:asciiTheme="minorHAnsi" w:hAnsiTheme="minorHAnsi"/>
          <w:u w:val="single"/>
          <w:lang w:val="en-GB"/>
        </w:rPr>
      </w:pPr>
      <w:r w:rsidRPr="00965847">
        <w:rPr>
          <w:rFonts w:asciiTheme="minorHAnsi" w:hAnsiTheme="minorHAnsi"/>
          <w:u w:val="single"/>
          <w:lang w:val="en-GB"/>
        </w:rPr>
        <w:t>Granting of a new right to public administration workers to a justified absence of up to three hours to accompany their children up to 12 years of age in their first school day of the academic year- approved by Decree law in June 2019</w:t>
      </w:r>
    </w:p>
    <w:p w14:paraId="2342A337" w14:textId="77777777" w:rsidR="0020291D" w:rsidRPr="00965847" w:rsidRDefault="0020291D" w:rsidP="00B07545">
      <w:pPr>
        <w:pStyle w:val="ListParagraph"/>
        <w:numPr>
          <w:ilvl w:val="0"/>
          <w:numId w:val="13"/>
        </w:numPr>
        <w:jc w:val="both"/>
        <w:rPr>
          <w:rFonts w:asciiTheme="minorHAnsi" w:hAnsiTheme="minorHAnsi"/>
          <w:u w:val="single"/>
          <w:lang w:val="en-GB"/>
        </w:rPr>
      </w:pPr>
      <w:r w:rsidRPr="00965847">
        <w:rPr>
          <w:rFonts w:asciiTheme="minorHAnsi" w:hAnsiTheme="minorHAnsi"/>
          <w:u w:val="single"/>
          <w:lang w:val="en-GB"/>
        </w:rPr>
        <w:t xml:space="preserve">Introduction of WLB KPI for public administration services </w:t>
      </w:r>
    </w:p>
    <w:p w14:paraId="4E7C29F4" w14:textId="19BE29CA" w:rsidR="0020291D" w:rsidRPr="00965847" w:rsidRDefault="0020291D" w:rsidP="00B07545">
      <w:pPr>
        <w:pStyle w:val="ListParagraph"/>
        <w:numPr>
          <w:ilvl w:val="0"/>
          <w:numId w:val="13"/>
        </w:numPr>
        <w:jc w:val="both"/>
        <w:rPr>
          <w:rFonts w:asciiTheme="minorHAnsi" w:hAnsiTheme="minorHAnsi"/>
          <w:u w:val="single"/>
          <w:lang w:val="en-GB"/>
        </w:rPr>
      </w:pPr>
      <w:r w:rsidRPr="00965847">
        <w:rPr>
          <w:rFonts w:asciiTheme="minorHAnsi" w:hAnsiTheme="minorHAnsi"/>
          <w:u w:val="single"/>
          <w:lang w:val="en-GB"/>
        </w:rPr>
        <w:t>Creation of a WLB training module for top civil servant</w:t>
      </w:r>
      <w:r w:rsidR="00BB0F8F">
        <w:rPr>
          <w:rFonts w:asciiTheme="minorHAnsi" w:hAnsiTheme="minorHAnsi"/>
          <w:u w:val="single"/>
          <w:lang w:val="en-GB"/>
        </w:rPr>
        <w:t>s</w:t>
      </w:r>
      <w:r w:rsidRPr="00965847">
        <w:rPr>
          <w:rFonts w:asciiTheme="minorHAnsi" w:hAnsiTheme="minorHAnsi"/>
          <w:u w:val="single"/>
          <w:lang w:val="en-GB"/>
        </w:rPr>
        <w:t xml:space="preserve">  </w:t>
      </w:r>
    </w:p>
    <w:p w14:paraId="0C625F98" w14:textId="5EE7129B" w:rsidR="0020291D" w:rsidRDefault="0020291D" w:rsidP="00B07545">
      <w:pPr>
        <w:pStyle w:val="ListParagraph"/>
        <w:numPr>
          <w:ilvl w:val="0"/>
          <w:numId w:val="13"/>
        </w:numPr>
        <w:jc w:val="both"/>
        <w:rPr>
          <w:rFonts w:asciiTheme="minorHAnsi" w:hAnsiTheme="minorHAnsi"/>
          <w:u w:val="single"/>
          <w:lang w:val="en-GB"/>
        </w:rPr>
      </w:pPr>
      <w:r w:rsidRPr="00965847">
        <w:rPr>
          <w:rFonts w:asciiTheme="minorHAnsi" w:hAnsiTheme="minorHAnsi"/>
          <w:u w:val="single"/>
          <w:lang w:val="en-GB"/>
        </w:rPr>
        <w:t xml:space="preserve">Increase of cash benefits for children </w:t>
      </w:r>
    </w:p>
    <w:p w14:paraId="61C1BE11" w14:textId="2C8E13F9" w:rsidR="00665FA8" w:rsidRPr="00965847" w:rsidRDefault="007A54CB" w:rsidP="00B07545">
      <w:pPr>
        <w:pStyle w:val="ListParagraph"/>
        <w:numPr>
          <w:ilvl w:val="0"/>
          <w:numId w:val="13"/>
        </w:numPr>
        <w:jc w:val="both"/>
        <w:rPr>
          <w:rFonts w:asciiTheme="minorHAnsi" w:hAnsiTheme="minorHAnsi"/>
          <w:u w:val="single"/>
          <w:lang w:val="en-GB"/>
        </w:rPr>
      </w:pPr>
      <w:r>
        <w:rPr>
          <w:rFonts w:asciiTheme="minorHAnsi" w:hAnsiTheme="minorHAnsi"/>
          <w:u w:val="single"/>
          <w:lang w:val="en-GB"/>
        </w:rPr>
        <w:t>Public i</w:t>
      </w:r>
      <w:r w:rsidR="00665FA8">
        <w:rPr>
          <w:rFonts w:asciiTheme="minorHAnsi" w:hAnsiTheme="minorHAnsi"/>
          <w:u w:val="single"/>
          <w:lang w:val="en-GB"/>
        </w:rPr>
        <w:t xml:space="preserve">nvestment </w:t>
      </w:r>
      <w:r w:rsidR="00F430D4">
        <w:rPr>
          <w:rFonts w:asciiTheme="minorHAnsi" w:hAnsiTheme="minorHAnsi"/>
          <w:u w:val="single"/>
          <w:lang w:val="en-GB"/>
        </w:rPr>
        <w:t xml:space="preserve">to reinforce </w:t>
      </w:r>
      <w:r>
        <w:rPr>
          <w:rFonts w:asciiTheme="minorHAnsi" w:hAnsiTheme="minorHAnsi"/>
          <w:u w:val="single"/>
          <w:lang w:val="en-GB"/>
        </w:rPr>
        <w:t xml:space="preserve">coverage </w:t>
      </w:r>
      <w:r w:rsidR="00727F9D">
        <w:rPr>
          <w:rFonts w:asciiTheme="minorHAnsi" w:hAnsiTheme="minorHAnsi"/>
          <w:u w:val="single"/>
          <w:lang w:val="en-GB"/>
        </w:rPr>
        <w:t>of day cares</w:t>
      </w:r>
      <w:r w:rsidR="00B54F70">
        <w:rPr>
          <w:rFonts w:asciiTheme="minorHAnsi" w:hAnsiTheme="minorHAnsi"/>
          <w:u w:val="single"/>
          <w:lang w:val="en-GB"/>
        </w:rPr>
        <w:t>.</w:t>
      </w:r>
    </w:p>
    <w:p w14:paraId="34F9F78D" w14:textId="77777777" w:rsidR="0020291D" w:rsidRPr="00965847" w:rsidRDefault="0020291D" w:rsidP="00B07545">
      <w:pPr>
        <w:pStyle w:val="ListParagraph"/>
        <w:numPr>
          <w:ilvl w:val="0"/>
          <w:numId w:val="13"/>
        </w:numPr>
        <w:jc w:val="both"/>
        <w:rPr>
          <w:rFonts w:asciiTheme="minorHAnsi" w:hAnsiTheme="minorHAnsi"/>
          <w:u w:val="single"/>
          <w:lang w:val="en-GB"/>
        </w:rPr>
      </w:pPr>
      <w:r w:rsidRPr="00965847">
        <w:rPr>
          <w:rFonts w:asciiTheme="minorHAnsi" w:hAnsiTheme="minorHAnsi"/>
          <w:u w:val="single"/>
          <w:lang w:val="en-GB"/>
        </w:rPr>
        <w:t>Preparation of a new fertility survey to be launched at the end of 2019 (last survey was done in 2013)</w:t>
      </w:r>
    </w:p>
    <w:p w14:paraId="749AB1F0" w14:textId="77777777" w:rsidR="0020291D" w:rsidRPr="00BB0F8F" w:rsidRDefault="0020291D" w:rsidP="00B07545">
      <w:pPr>
        <w:pStyle w:val="ListParagraph"/>
        <w:numPr>
          <w:ilvl w:val="0"/>
          <w:numId w:val="13"/>
        </w:numPr>
        <w:jc w:val="both"/>
        <w:rPr>
          <w:rFonts w:asciiTheme="minorHAnsi" w:hAnsiTheme="minorHAnsi"/>
          <w:u w:val="single"/>
          <w:lang w:val="en-GB"/>
        </w:rPr>
      </w:pPr>
      <w:r w:rsidRPr="00965847">
        <w:rPr>
          <w:rFonts w:asciiTheme="minorHAnsi" w:hAnsiTheme="minorHAnsi"/>
          <w:u w:val="single"/>
          <w:lang w:val="en-GB"/>
        </w:rPr>
        <w:t xml:space="preserve">Launch of specific funding for the production of studies to </w:t>
      </w:r>
      <w:r w:rsidRPr="00BB0F8F">
        <w:rPr>
          <w:rFonts w:ascii="Calibri" w:eastAsia="Calibri" w:hAnsi="Calibri" w:cs="Calibri"/>
          <w:lang w:val="en-US"/>
        </w:rPr>
        <w:t>evaluate the economic impact of inequalities in the segregation of professions, in pay, and in unpaid work.</w:t>
      </w:r>
    </w:p>
    <w:p w14:paraId="2D47CE39" w14:textId="77777777" w:rsidR="0020291D" w:rsidRPr="00BB0F8F" w:rsidRDefault="0020291D" w:rsidP="00BB0F8F">
      <w:pPr>
        <w:ind w:right="82"/>
        <w:jc w:val="both"/>
        <w:rPr>
          <w:rFonts w:ascii="Calibri" w:eastAsia="Calibri" w:hAnsi="Calibri" w:cs="Calibri"/>
          <w:lang w:val="en-US"/>
        </w:rPr>
      </w:pPr>
    </w:p>
    <w:p w14:paraId="68295B3D" w14:textId="77777777" w:rsidR="003C0F67" w:rsidRPr="003C0F67" w:rsidRDefault="003C0F67" w:rsidP="003C0F67">
      <w:pPr>
        <w:ind w:right="82"/>
        <w:jc w:val="both"/>
        <w:rPr>
          <w:rFonts w:ascii="Calibri" w:eastAsia="Calibri" w:hAnsi="Calibri" w:cs="Calibri"/>
          <w:lang w:val="en-US"/>
        </w:rPr>
      </w:pPr>
    </w:p>
    <w:p w14:paraId="10AA29D9" w14:textId="69A77225" w:rsidR="00DA7BBE" w:rsidRDefault="00DA7BBE" w:rsidP="00332009">
      <w:pPr>
        <w:pStyle w:val="ListParagraph"/>
        <w:numPr>
          <w:ilvl w:val="0"/>
          <w:numId w:val="11"/>
        </w:numPr>
        <w:ind w:right="82"/>
        <w:jc w:val="both"/>
        <w:rPr>
          <w:rFonts w:ascii="Calibri" w:eastAsia="Calibri" w:hAnsi="Calibri" w:cs="Calibri"/>
          <w:lang w:val="en-US"/>
        </w:rPr>
      </w:pPr>
      <w:r w:rsidRPr="00332009">
        <w:rPr>
          <w:rFonts w:ascii="Calibri" w:eastAsia="Calibri" w:hAnsi="Calibri" w:cs="Calibri"/>
          <w:lang w:val="en-US"/>
        </w:rPr>
        <w:t>Also, the 2019 State Budget establishes that Government develops support measures for informal carers and cared persons, namely by strengthening their social protection, providing training opportunities for carers, and preventing poverty and social exclusion. A pilot project is being prepared to study and implement a public support network for informal carers and cared persons, namely in terms of house support, counselling, support and training, psychosocial support, support networks, and carers’ right to rest.</w:t>
      </w:r>
    </w:p>
    <w:p w14:paraId="57D2DF50" w14:textId="3E2C041B" w:rsidR="008A33E7" w:rsidRDefault="008A33E7" w:rsidP="003054BA">
      <w:pPr>
        <w:pStyle w:val="ListParagraph"/>
        <w:ind w:left="360" w:right="82"/>
        <w:jc w:val="both"/>
        <w:rPr>
          <w:rFonts w:ascii="Calibri" w:eastAsia="Calibri" w:hAnsi="Calibri" w:cs="Calibri"/>
          <w:lang w:val="en-US"/>
        </w:rPr>
      </w:pPr>
      <w:r>
        <w:rPr>
          <w:rFonts w:ascii="Calibri" w:eastAsia="Calibri" w:hAnsi="Calibri" w:cs="Calibri"/>
          <w:lang w:val="en-US"/>
        </w:rPr>
        <w:t xml:space="preserve">In this context, the National Parliament recently approved a </w:t>
      </w:r>
      <w:r w:rsidR="00326E9B">
        <w:rPr>
          <w:rFonts w:ascii="Calibri" w:eastAsia="Calibri" w:hAnsi="Calibri" w:cs="Calibri"/>
          <w:lang w:val="en-US"/>
        </w:rPr>
        <w:t>Law establishing the status of the informal carer</w:t>
      </w:r>
      <w:r w:rsidR="00B1104B">
        <w:rPr>
          <w:rFonts w:ascii="Calibri" w:eastAsia="Calibri" w:hAnsi="Calibri" w:cs="Calibri"/>
          <w:lang w:val="en-US"/>
        </w:rPr>
        <w:t>.</w:t>
      </w:r>
    </w:p>
    <w:p w14:paraId="3C1655D2" w14:textId="77777777" w:rsidR="003C0F67" w:rsidRPr="003C0F67" w:rsidRDefault="003C0F67" w:rsidP="003C0F67">
      <w:pPr>
        <w:ind w:right="82"/>
        <w:jc w:val="both"/>
        <w:rPr>
          <w:rFonts w:ascii="Calibri" w:eastAsia="Calibri" w:hAnsi="Calibri" w:cs="Calibri"/>
          <w:lang w:val="en-US"/>
        </w:rPr>
      </w:pPr>
    </w:p>
    <w:p w14:paraId="4C2288EE" w14:textId="7A2F4E14" w:rsidR="003C0F67" w:rsidRPr="003C0F67" w:rsidRDefault="00DA7BBE" w:rsidP="003C0F67">
      <w:pPr>
        <w:pStyle w:val="ListParagraph"/>
        <w:numPr>
          <w:ilvl w:val="0"/>
          <w:numId w:val="11"/>
        </w:numPr>
        <w:ind w:right="82"/>
        <w:jc w:val="both"/>
        <w:rPr>
          <w:rFonts w:ascii="Calibri" w:eastAsia="Calibri" w:hAnsi="Calibri" w:cs="Calibri"/>
          <w:lang w:val="en-US"/>
        </w:rPr>
      </w:pPr>
      <w:r w:rsidRPr="00332009">
        <w:rPr>
          <w:rFonts w:ascii="Calibri" w:eastAsia="Calibri" w:hAnsi="Calibri" w:cs="Calibri"/>
          <w:lang w:val="en-US"/>
        </w:rPr>
        <w:t xml:space="preserve">Concerning education, the Government approved a National Strategy for Citizenship Education. Launched in 2017, this strategy aims to give students the tools to understand, value and practice equality in interpersonal relationships, human rights and democratic citizenship. This Strategy develops students’ knowledge and skills regarding themes such as human rights; gender equality (including the issues of violence against women and domestic violence); interculturalism; sustainable development; environmental education; health education; sex education; media education; institutions and democratic participation; financial literacy and consumer education; road safety and risk; entrepreneurship; security, defense and peace; animal welfare; and volunteering. </w:t>
      </w:r>
    </w:p>
    <w:p w14:paraId="2652A8CD" w14:textId="77777777" w:rsidR="003C0F67" w:rsidRPr="00332009" w:rsidRDefault="003C0F67" w:rsidP="003C0F67">
      <w:pPr>
        <w:pStyle w:val="ListParagraph"/>
        <w:ind w:left="360" w:right="82"/>
        <w:jc w:val="both"/>
        <w:rPr>
          <w:rFonts w:ascii="Calibri" w:eastAsia="Calibri" w:hAnsi="Calibri" w:cs="Calibri"/>
          <w:lang w:val="en-US"/>
        </w:rPr>
      </w:pPr>
    </w:p>
    <w:p w14:paraId="7EE023EB" w14:textId="5D07DC73" w:rsidR="00DA7BBE" w:rsidRPr="00332009" w:rsidRDefault="00273654" w:rsidP="00332009">
      <w:pPr>
        <w:pStyle w:val="ListParagraph"/>
        <w:ind w:left="360" w:right="82"/>
        <w:jc w:val="both"/>
        <w:rPr>
          <w:rFonts w:ascii="Calibri" w:eastAsia="Calibri" w:hAnsi="Calibri" w:cs="Calibri"/>
          <w:lang w:val="en-US"/>
        </w:rPr>
      </w:pPr>
      <w:r>
        <w:rPr>
          <w:rFonts w:ascii="Calibri" w:eastAsia="Calibri" w:hAnsi="Calibri" w:cs="Calibri"/>
          <w:lang w:val="en-US"/>
        </w:rPr>
        <w:t xml:space="preserve">According to </w:t>
      </w:r>
      <w:r w:rsidR="00DA7BBE" w:rsidRPr="00332009">
        <w:rPr>
          <w:rFonts w:ascii="Calibri" w:eastAsia="Calibri" w:hAnsi="Calibri" w:cs="Calibri"/>
          <w:lang w:val="en-US"/>
        </w:rPr>
        <w:t xml:space="preserve">Decree-Law nr 55/2018, of July 6, Citizenship Education </w:t>
      </w:r>
      <w:r>
        <w:rPr>
          <w:rFonts w:ascii="Calibri" w:eastAsia="Calibri" w:hAnsi="Calibri" w:cs="Calibri"/>
          <w:lang w:val="en-US"/>
        </w:rPr>
        <w:t xml:space="preserve">is now generalized for </w:t>
      </w:r>
      <w:r w:rsidR="00DA7BBE" w:rsidRPr="00332009">
        <w:rPr>
          <w:rFonts w:ascii="Calibri" w:eastAsia="Calibri" w:hAnsi="Calibri" w:cs="Calibri"/>
          <w:lang w:val="en-US"/>
        </w:rPr>
        <w:t xml:space="preserve">all compulsory education levels and vocational education courses. Each school sets a School Strategy for Citizenship Education, defining which themes and projects will be developed by the school community. Several tools have been developed to support schools, including teaching and non-teaching staff, in the implementation of this Strategy, namely: </w:t>
      </w:r>
    </w:p>
    <w:p w14:paraId="77CEE7AD" w14:textId="77777777" w:rsidR="00DA7BBE" w:rsidRPr="00332009" w:rsidRDefault="00DA7BBE" w:rsidP="00332009">
      <w:pPr>
        <w:pStyle w:val="ListParagraph"/>
        <w:numPr>
          <w:ilvl w:val="1"/>
          <w:numId w:val="11"/>
        </w:numPr>
        <w:ind w:right="82"/>
        <w:jc w:val="both"/>
        <w:rPr>
          <w:rFonts w:ascii="Calibri" w:eastAsia="Calibri" w:hAnsi="Calibri" w:cs="Calibri"/>
          <w:lang w:val="en-US"/>
        </w:rPr>
      </w:pPr>
      <w:r w:rsidRPr="00332009">
        <w:rPr>
          <w:rFonts w:ascii="Calibri" w:eastAsia="Calibri" w:hAnsi="Calibri" w:cs="Calibri"/>
          <w:lang w:val="en-US"/>
        </w:rPr>
        <w:t xml:space="preserve">In March 2018, Citizenship Education e-learning training activities for the 235 schools involved in a pilot project on autonomy and curricular flexibility, which were the first to implement the Strategy. </w:t>
      </w:r>
    </w:p>
    <w:p w14:paraId="579ADB0C" w14:textId="77777777" w:rsidR="00DA7BBE" w:rsidRPr="00332009" w:rsidRDefault="00DA7BBE" w:rsidP="00332009">
      <w:pPr>
        <w:pStyle w:val="ListParagraph"/>
        <w:numPr>
          <w:ilvl w:val="1"/>
          <w:numId w:val="11"/>
        </w:numPr>
        <w:ind w:right="82"/>
        <w:jc w:val="both"/>
        <w:rPr>
          <w:rFonts w:ascii="Calibri" w:eastAsia="Calibri" w:hAnsi="Calibri" w:cs="Calibri"/>
          <w:lang w:val="en-US"/>
        </w:rPr>
      </w:pPr>
      <w:r w:rsidRPr="00332009">
        <w:rPr>
          <w:rFonts w:ascii="Calibri" w:eastAsia="Calibri" w:hAnsi="Calibri" w:cs="Calibri"/>
          <w:lang w:val="en-US"/>
        </w:rPr>
        <w:t xml:space="preserve">In July 2018, a new card game “Agora Falo Eu” (“Now It’s My Turn”) aimed to assess which Citizenship Education themes interest 6-11 year old children more. </w:t>
      </w:r>
    </w:p>
    <w:p w14:paraId="6AD2374B" w14:textId="158394A4" w:rsidR="00DA7BBE" w:rsidRPr="00332009" w:rsidRDefault="00DA7BBE" w:rsidP="00332009">
      <w:pPr>
        <w:pStyle w:val="ListParagraph"/>
        <w:numPr>
          <w:ilvl w:val="1"/>
          <w:numId w:val="11"/>
        </w:numPr>
        <w:ind w:right="82"/>
        <w:jc w:val="both"/>
        <w:rPr>
          <w:rFonts w:ascii="Calibri" w:eastAsia="Calibri" w:hAnsi="Calibri" w:cs="Calibri"/>
          <w:lang w:val="en-US"/>
        </w:rPr>
      </w:pPr>
      <w:r w:rsidRPr="00332009">
        <w:rPr>
          <w:rFonts w:ascii="Calibri" w:eastAsia="Calibri" w:hAnsi="Calibri" w:cs="Calibri"/>
          <w:lang w:val="en-US"/>
        </w:rPr>
        <w:t>In September 2018, training courses for the 936 teachers responsible for citizenship education in all public schools</w:t>
      </w:r>
      <w:r w:rsidR="00273654">
        <w:rPr>
          <w:rFonts w:ascii="Calibri" w:eastAsia="Calibri" w:hAnsi="Calibri" w:cs="Calibri"/>
          <w:lang w:val="en-US"/>
        </w:rPr>
        <w:t>.</w:t>
      </w:r>
    </w:p>
    <w:p w14:paraId="1DA03395" w14:textId="77777777" w:rsidR="00DA7BBE" w:rsidRPr="00332009" w:rsidRDefault="00DA7BBE" w:rsidP="00332009">
      <w:pPr>
        <w:pStyle w:val="ListParagraph"/>
        <w:numPr>
          <w:ilvl w:val="1"/>
          <w:numId w:val="11"/>
        </w:numPr>
        <w:ind w:right="82"/>
        <w:jc w:val="both"/>
        <w:rPr>
          <w:rFonts w:ascii="Calibri" w:eastAsia="Calibri" w:hAnsi="Calibri" w:cs="Calibri"/>
          <w:lang w:val="en-US"/>
        </w:rPr>
      </w:pPr>
      <w:r w:rsidRPr="00332009">
        <w:rPr>
          <w:rFonts w:ascii="Calibri" w:eastAsia="Calibri" w:hAnsi="Calibri" w:cs="Calibri"/>
          <w:lang w:val="en-US"/>
        </w:rPr>
        <w:t>In November 2018, a new smartphone app to be used inside or outside the classroom to help students learn about the strategy’s contents and stimulate collaborative projects with the community.</w:t>
      </w:r>
    </w:p>
    <w:p w14:paraId="25E78E02" w14:textId="03D35120" w:rsidR="00DA7BBE" w:rsidRDefault="00DA7BBE" w:rsidP="00332009">
      <w:pPr>
        <w:pStyle w:val="ListParagraph"/>
        <w:numPr>
          <w:ilvl w:val="1"/>
          <w:numId w:val="11"/>
        </w:numPr>
        <w:ind w:right="82"/>
        <w:jc w:val="both"/>
        <w:rPr>
          <w:rFonts w:ascii="Calibri" w:eastAsia="Calibri" w:hAnsi="Calibri" w:cs="Calibri"/>
          <w:lang w:val="en-US"/>
        </w:rPr>
      </w:pPr>
      <w:r w:rsidRPr="00332009">
        <w:rPr>
          <w:rFonts w:ascii="Calibri" w:eastAsia="Calibri" w:hAnsi="Calibri" w:cs="Calibri"/>
          <w:lang w:val="en-US"/>
        </w:rPr>
        <w:t>Since December 2018, preparation of a set of projects and resources for each of the Strategy’s themes, as well as diverse learning methodologies for schools, to be made available online.</w:t>
      </w:r>
    </w:p>
    <w:p w14:paraId="3945D979" w14:textId="77777777" w:rsidR="003F72B2" w:rsidRPr="00EF76D5" w:rsidRDefault="003F72B2" w:rsidP="00EF76D5">
      <w:pPr>
        <w:ind w:right="82"/>
        <w:jc w:val="both"/>
        <w:rPr>
          <w:rFonts w:ascii="Calibri" w:eastAsia="Calibri" w:hAnsi="Calibri" w:cs="Calibri"/>
          <w:lang w:val="en-GB"/>
        </w:rPr>
      </w:pPr>
    </w:p>
    <w:p w14:paraId="491E8F0A" w14:textId="77777777" w:rsidR="00A815BD" w:rsidRDefault="00DA7BBE" w:rsidP="00332009">
      <w:pPr>
        <w:pStyle w:val="ListParagraph"/>
        <w:numPr>
          <w:ilvl w:val="0"/>
          <w:numId w:val="11"/>
        </w:numPr>
        <w:ind w:right="82"/>
        <w:jc w:val="both"/>
        <w:rPr>
          <w:rFonts w:ascii="Calibri" w:eastAsia="Calibri" w:hAnsi="Calibri" w:cs="Calibri"/>
          <w:lang w:val="en-US"/>
        </w:rPr>
      </w:pPr>
      <w:r w:rsidRPr="00332009">
        <w:rPr>
          <w:rFonts w:ascii="Calibri" w:eastAsia="Calibri" w:hAnsi="Calibri" w:cs="Calibri"/>
          <w:lang w:val="en-US"/>
        </w:rPr>
        <w:t>In terms of funding, Portugal has been set on channeling public funding to develop specific actions under ENIND’s strategic objectives. For example, in the first semester of 2019</w:t>
      </w:r>
      <w:r w:rsidR="00273654">
        <w:rPr>
          <w:rFonts w:ascii="Calibri" w:eastAsia="Calibri" w:hAnsi="Calibri" w:cs="Calibri"/>
          <w:lang w:val="en-US"/>
        </w:rPr>
        <w:t xml:space="preserve"> alone</w:t>
      </w:r>
      <w:r w:rsidRPr="00332009">
        <w:rPr>
          <w:rFonts w:ascii="Calibri" w:eastAsia="Calibri" w:hAnsi="Calibri" w:cs="Calibri"/>
          <w:lang w:val="en-US"/>
        </w:rPr>
        <w:t>, this has translated into the opening of lines of funding totaling 51.9M€, namely to: a) train professionals; support civil society organizations; support projects that combat discrimination in workplaces through tools to eliminate pay discrimaintion and to self assess inequalities; support projects at local level to develop sectoral policies that promote gender equality and to enhance political and civil participation of women and girls; evaluate the economic impact of inequalities in the segregation of professions, in pay, and in unpaid work; to support public and private organizations in implementing and certifying WLB management systems under a national standard; support projects to prevent and eliminate violence against women and domestic violence (VAWDV); to support structures that are part of the national support network for domestic violence victims, namely for support and shelter.</w:t>
      </w:r>
    </w:p>
    <w:p w14:paraId="37A9EBD3" w14:textId="77777777" w:rsidR="00A815BD" w:rsidRDefault="00A815BD" w:rsidP="00A815BD">
      <w:pPr>
        <w:pStyle w:val="ListParagraph"/>
        <w:ind w:left="360" w:right="82"/>
        <w:jc w:val="both"/>
        <w:rPr>
          <w:rFonts w:ascii="Calibri" w:eastAsia="Calibri" w:hAnsi="Calibri" w:cs="Calibri"/>
          <w:lang w:val="en-US"/>
        </w:rPr>
      </w:pPr>
    </w:p>
    <w:p w14:paraId="3F3FA304" w14:textId="34623C23" w:rsidR="00DA7BBE" w:rsidRPr="00332009" w:rsidRDefault="00DA7BBE" w:rsidP="00332009">
      <w:pPr>
        <w:pStyle w:val="ListParagraph"/>
        <w:numPr>
          <w:ilvl w:val="0"/>
          <w:numId w:val="11"/>
        </w:numPr>
        <w:ind w:right="82"/>
        <w:jc w:val="both"/>
        <w:rPr>
          <w:rFonts w:ascii="Calibri" w:eastAsia="Calibri" w:hAnsi="Calibri" w:cs="Calibri"/>
          <w:lang w:val="en-US"/>
        </w:rPr>
      </w:pPr>
      <w:r w:rsidRPr="00332009">
        <w:rPr>
          <w:rFonts w:ascii="Calibri" w:eastAsia="Calibri" w:hAnsi="Calibri" w:cs="Calibri"/>
          <w:lang w:val="en-US"/>
        </w:rPr>
        <w:t xml:space="preserve">Government has been gradually implementing gender budgeting. The 2019 State Budget establishes that all public administration services and bodies’ budgets integrate a gender perspective, and should identify which programs, activities or measures will be subject to gender impact analysis in 2019. In 2018 this process has translated into training of relevant public administration and ministerial staff (including on the job training) in a number of sectors, and the production of the corresponding sectoral and global gender budgeting reports.  </w:t>
      </w:r>
    </w:p>
    <w:p w14:paraId="2D900B5C" w14:textId="77777777" w:rsidR="00DA7BBE" w:rsidRPr="00F52EF3" w:rsidRDefault="00DA7BBE" w:rsidP="00DA7BBE">
      <w:pPr>
        <w:pStyle w:val="Default"/>
        <w:jc w:val="both"/>
        <w:rPr>
          <w:rFonts w:asciiTheme="minorHAnsi" w:hAnsiTheme="minorHAnsi" w:cs="Arial"/>
          <w:lang w:val="en-US"/>
        </w:rPr>
      </w:pPr>
    </w:p>
    <w:p w14:paraId="0AE110CA" w14:textId="77777777" w:rsidR="004A53CA" w:rsidRPr="00915A35" w:rsidRDefault="004A53CA" w:rsidP="00A955E1">
      <w:pPr>
        <w:pStyle w:val="ListParagraph"/>
        <w:ind w:hanging="11"/>
        <w:jc w:val="both"/>
        <w:rPr>
          <w:rFonts w:asciiTheme="minorHAnsi" w:hAnsiTheme="minorHAnsi"/>
          <w:lang w:val="en-US"/>
        </w:rPr>
      </w:pPr>
    </w:p>
    <w:p w14:paraId="4ABC8780" w14:textId="77777777" w:rsidR="00A955E1" w:rsidRPr="00915A35" w:rsidRDefault="00A955E1" w:rsidP="00A955E1">
      <w:pPr>
        <w:pStyle w:val="ListParagraph"/>
        <w:ind w:left="0"/>
        <w:rPr>
          <w:rFonts w:asciiTheme="minorHAnsi" w:hAnsiTheme="minorHAnsi" w:cstheme="minorHAnsi"/>
          <w:lang w:val="en-GB"/>
        </w:rPr>
      </w:pPr>
    </w:p>
    <w:p w14:paraId="3DA715D0" w14:textId="77777777" w:rsidR="00915A35" w:rsidRPr="00915A35" w:rsidRDefault="00915A35" w:rsidP="00A955E1">
      <w:pPr>
        <w:pStyle w:val="ListParagraph"/>
        <w:ind w:left="0"/>
        <w:rPr>
          <w:rFonts w:asciiTheme="minorHAnsi" w:hAnsiTheme="minorHAnsi" w:cstheme="minorHAnsi"/>
          <w:lang w:val="en-GB"/>
        </w:rPr>
      </w:pPr>
    </w:p>
    <w:p w14:paraId="1D00E1BC" w14:textId="77777777" w:rsidR="00C939CA" w:rsidRPr="00915A35" w:rsidRDefault="00C939CA" w:rsidP="00A955E1">
      <w:pPr>
        <w:pStyle w:val="ListParagraph"/>
        <w:numPr>
          <w:ilvl w:val="0"/>
          <w:numId w:val="10"/>
        </w:numPr>
        <w:spacing w:after="120" w:line="312" w:lineRule="auto"/>
        <w:ind w:left="0" w:hanging="11"/>
        <w:jc w:val="both"/>
        <w:rPr>
          <w:rFonts w:asciiTheme="minorHAnsi" w:hAnsiTheme="minorHAnsi" w:cstheme="minorHAnsi"/>
          <w:lang w:val="en-GB"/>
        </w:rPr>
      </w:pPr>
      <w:r w:rsidRPr="00915A35">
        <w:rPr>
          <w:rFonts w:asciiTheme="minorHAnsi" w:hAnsiTheme="minorHAnsi" w:cstheme="minorHAnsi"/>
          <w:lang w:val="en-GB"/>
        </w:rPr>
        <w:t>Other examples of recent legislation that address</w:t>
      </w:r>
      <w:r w:rsidR="00732364" w:rsidRPr="00915A35">
        <w:rPr>
          <w:rFonts w:asciiTheme="minorHAnsi" w:hAnsiTheme="minorHAnsi" w:cstheme="minorHAnsi"/>
          <w:lang w:val="en-GB"/>
        </w:rPr>
        <w:t>es</w:t>
      </w:r>
      <w:r w:rsidRPr="00915A35">
        <w:rPr>
          <w:rFonts w:asciiTheme="minorHAnsi" w:hAnsiTheme="minorHAnsi" w:cstheme="minorHAnsi"/>
          <w:lang w:val="en-GB"/>
        </w:rPr>
        <w:t xml:space="preserve"> different aspects of the objectives referred to in the question are:</w:t>
      </w:r>
    </w:p>
    <w:p w14:paraId="45E0AF81"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Resolution of the Council of Ministers no. 114-A / 2018, of 4 of September</w:t>
      </w:r>
      <w:r w:rsidR="00F54A9E" w:rsidRPr="00915A35">
        <w:rPr>
          <w:rFonts w:asciiTheme="minorHAnsi" w:hAnsiTheme="minorHAnsi" w:cstheme="minorHAnsi"/>
          <w:lang w:val="en-GB"/>
        </w:rPr>
        <w:t>, a</w:t>
      </w:r>
      <w:r w:rsidRPr="00915A35">
        <w:rPr>
          <w:rFonts w:asciiTheme="minorHAnsi" w:hAnsiTheme="minorHAnsi" w:cstheme="minorHAnsi"/>
          <w:lang w:val="en-GB"/>
        </w:rPr>
        <w:t>pproves the National Youth Plan</w:t>
      </w:r>
      <w:r w:rsidR="00F54A9E" w:rsidRPr="00915A35">
        <w:rPr>
          <w:rFonts w:asciiTheme="minorHAnsi" w:hAnsiTheme="minorHAnsi" w:cstheme="minorHAnsi"/>
          <w:lang w:val="en-GB"/>
        </w:rPr>
        <w:t>;</w:t>
      </w:r>
    </w:p>
    <w:p w14:paraId="57B9C945" w14:textId="77777777" w:rsidR="00C939CA" w:rsidRPr="00915A35" w:rsidRDefault="00C939CA" w:rsidP="00C939CA">
      <w:pPr>
        <w:rPr>
          <w:rFonts w:asciiTheme="minorHAnsi" w:hAnsiTheme="minorHAnsi" w:cstheme="minorHAnsi"/>
          <w:lang w:val="en-GB"/>
        </w:rPr>
      </w:pPr>
    </w:p>
    <w:p w14:paraId="0D6B3B01"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Ordinance No. 235/2018 of August 23</w:t>
      </w:r>
      <w:r w:rsidR="00F54A9E" w:rsidRPr="00915A35">
        <w:rPr>
          <w:rFonts w:asciiTheme="minorHAnsi" w:hAnsiTheme="minorHAnsi" w:cstheme="minorHAnsi"/>
          <w:lang w:val="en-GB"/>
        </w:rPr>
        <w:t>, f</w:t>
      </w:r>
      <w:r w:rsidRPr="00915A35">
        <w:rPr>
          <w:rFonts w:asciiTheme="minorHAnsi" w:hAnsiTheme="minorHAnsi" w:cstheme="minorHAnsi"/>
          <w:lang w:val="en-GB"/>
        </w:rPr>
        <w:t>ourth amendment to the Specific Regulation in the field of Social Inclusion and Employment, approved in an annex to Ordinance No. 97-A / 2015 of 30 March</w:t>
      </w:r>
      <w:r w:rsidR="00F54A9E" w:rsidRPr="00915A35">
        <w:rPr>
          <w:rFonts w:asciiTheme="minorHAnsi" w:hAnsiTheme="minorHAnsi" w:cstheme="minorHAnsi"/>
          <w:lang w:val="en-GB"/>
        </w:rPr>
        <w:t>;</w:t>
      </w:r>
    </w:p>
    <w:p w14:paraId="65C34E28" w14:textId="77777777" w:rsidR="00C939CA" w:rsidRPr="00915A35" w:rsidRDefault="00C939CA" w:rsidP="00C939CA">
      <w:pPr>
        <w:rPr>
          <w:rFonts w:asciiTheme="minorHAnsi" w:hAnsiTheme="minorHAnsi" w:cstheme="minorHAnsi"/>
          <w:lang w:val="en-GB"/>
        </w:rPr>
      </w:pPr>
    </w:p>
    <w:p w14:paraId="109A4899"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Decree-Law No. 53/2018, of July 2</w:t>
      </w:r>
      <w:r w:rsidR="00F54A9E" w:rsidRPr="00915A35">
        <w:rPr>
          <w:rFonts w:asciiTheme="minorHAnsi" w:hAnsiTheme="minorHAnsi" w:cstheme="minorHAnsi"/>
          <w:lang w:val="en-GB"/>
        </w:rPr>
        <w:t>, a</w:t>
      </w:r>
      <w:r w:rsidRPr="00915A35">
        <w:rPr>
          <w:rFonts w:asciiTheme="minorHAnsi" w:hAnsiTheme="minorHAnsi" w:cstheme="minorHAnsi"/>
          <w:lang w:val="en-GB"/>
        </w:rPr>
        <w:t>mends legal social protection schemes in the event of sickness, unemployment and parenting</w:t>
      </w:r>
      <w:r w:rsidR="00F54A9E" w:rsidRPr="00915A35">
        <w:rPr>
          <w:rFonts w:asciiTheme="minorHAnsi" w:hAnsiTheme="minorHAnsi" w:cstheme="minorHAnsi"/>
          <w:lang w:val="en-GB"/>
        </w:rPr>
        <w:t>;</w:t>
      </w:r>
    </w:p>
    <w:p w14:paraId="09DFD6EC" w14:textId="77777777" w:rsidR="00C939CA" w:rsidRPr="00915A35" w:rsidRDefault="00C939CA" w:rsidP="00C939CA">
      <w:pPr>
        <w:rPr>
          <w:rFonts w:asciiTheme="minorHAnsi" w:hAnsiTheme="minorHAnsi" w:cstheme="minorHAnsi"/>
          <w:lang w:val="en-GB"/>
        </w:rPr>
      </w:pPr>
    </w:p>
    <w:p w14:paraId="6B44DE32"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Resolution of the Assembly of the Republic No. 244/2018, of August 8</w:t>
      </w:r>
      <w:r w:rsidR="00F54A9E" w:rsidRPr="00915A35">
        <w:rPr>
          <w:rFonts w:asciiTheme="minorHAnsi" w:hAnsiTheme="minorHAnsi" w:cstheme="minorHAnsi"/>
          <w:lang w:val="en-GB"/>
        </w:rPr>
        <w:t>, r</w:t>
      </w:r>
      <w:r w:rsidRPr="00915A35">
        <w:rPr>
          <w:rFonts w:asciiTheme="minorHAnsi" w:hAnsiTheme="minorHAnsi" w:cstheme="minorHAnsi"/>
          <w:lang w:val="en-GB"/>
        </w:rPr>
        <w:t>ecommends to the Government to combat discrimination against women and to promote gender equality within security forces and services</w:t>
      </w:r>
      <w:r w:rsidR="00F54A9E" w:rsidRPr="00915A35">
        <w:rPr>
          <w:rFonts w:asciiTheme="minorHAnsi" w:hAnsiTheme="minorHAnsi" w:cstheme="minorHAnsi"/>
          <w:lang w:val="en-GB"/>
        </w:rPr>
        <w:t>;</w:t>
      </w:r>
    </w:p>
    <w:p w14:paraId="4C0D026C" w14:textId="77777777" w:rsidR="00C939CA" w:rsidRPr="00915A35" w:rsidRDefault="00C939CA" w:rsidP="00C939CA">
      <w:pPr>
        <w:rPr>
          <w:rFonts w:asciiTheme="minorHAnsi" w:hAnsiTheme="minorHAnsi" w:cstheme="minorHAnsi"/>
          <w:lang w:val="en-GB"/>
        </w:rPr>
      </w:pPr>
    </w:p>
    <w:p w14:paraId="2A22D68E"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Ordinance No. 197/2018, of July 6</w:t>
      </w:r>
      <w:r w:rsidR="00F54A9E" w:rsidRPr="00915A35">
        <w:rPr>
          <w:rFonts w:asciiTheme="minorHAnsi" w:hAnsiTheme="minorHAnsi" w:cstheme="minorHAnsi"/>
          <w:lang w:val="en-GB"/>
        </w:rPr>
        <w:t>, r</w:t>
      </w:r>
      <w:r w:rsidRPr="00915A35">
        <w:rPr>
          <w:rFonts w:asciiTheme="minorHAnsi" w:hAnsiTheme="minorHAnsi" w:cstheme="minorHAnsi"/>
          <w:lang w:val="en-GB"/>
        </w:rPr>
        <w:t>egulates Regulatory Decree No. 2/2018, of January 24, a diploma that regulates the conditions of organization and operation of care structures, emergency reception responses and shelters that are part of the national support network for women. victims of domestic violence, as provided for in Law No. 112/2009 of 16 September, as amended</w:t>
      </w:r>
      <w:r w:rsidR="00F54A9E" w:rsidRPr="00915A35">
        <w:rPr>
          <w:rFonts w:asciiTheme="minorHAnsi" w:hAnsiTheme="minorHAnsi" w:cstheme="minorHAnsi"/>
          <w:lang w:val="en-GB"/>
        </w:rPr>
        <w:t>;</w:t>
      </w:r>
    </w:p>
    <w:p w14:paraId="158DDFF4" w14:textId="77777777" w:rsidR="00C939CA" w:rsidRPr="00915A35" w:rsidRDefault="00C939CA" w:rsidP="00C939CA">
      <w:pPr>
        <w:rPr>
          <w:rFonts w:asciiTheme="minorHAnsi" w:hAnsiTheme="minorHAnsi" w:cstheme="minorHAnsi"/>
          <w:lang w:val="en-GB"/>
        </w:rPr>
      </w:pPr>
    </w:p>
    <w:p w14:paraId="7ED5495C" w14:textId="77777777" w:rsidR="00C939CA" w:rsidRPr="00915A35" w:rsidRDefault="00F54A9E" w:rsidP="00C939CA">
      <w:pPr>
        <w:rPr>
          <w:rFonts w:asciiTheme="minorHAnsi" w:hAnsiTheme="minorHAnsi" w:cstheme="minorHAnsi"/>
          <w:lang w:val="en-GB"/>
        </w:rPr>
      </w:pPr>
      <w:r w:rsidRPr="00915A35">
        <w:rPr>
          <w:rFonts w:asciiTheme="minorHAnsi" w:hAnsiTheme="minorHAnsi" w:cstheme="minorHAnsi"/>
          <w:lang w:val="en-GB"/>
        </w:rPr>
        <w:t>R</w:t>
      </w:r>
      <w:r w:rsidR="00C939CA" w:rsidRPr="00915A35">
        <w:rPr>
          <w:rFonts w:asciiTheme="minorHAnsi" w:hAnsiTheme="minorHAnsi" w:cstheme="minorHAnsi"/>
          <w:lang w:val="en-GB"/>
        </w:rPr>
        <w:t>esolution of the Council of Ministers no. 80/2018, of 19 of June</w:t>
      </w:r>
      <w:r w:rsidRPr="00915A35">
        <w:rPr>
          <w:rFonts w:asciiTheme="minorHAnsi" w:hAnsiTheme="minorHAnsi" w:cstheme="minorHAnsi"/>
          <w:lang w:val="en-GB"/>
        </w:rPr>
        <w:t>, a</w:t>
      </w:r>
      <w:r w:rsidR="00C939CA" w:rsidRPr="00915A35">
        <w:rPr>
          <w:rFonts w:asciiTheme="minorHAnsi" w:hAnsiTheme="minorHAnsi" w:cstheme="minorHAnsi"/>
          <w:lang w:val="en-GB"/>
        </w:rPr>
        <w:t>pproves the IV Plan of Action to Prevent and Combat Trafficking in Human Beings 2018-2021</w:t>
      </w:r>
      <w:r w:rsidRPr="00915A35">
        <w:rPr>
          <w:rFonts w:asciiTheme="minorHAnsi" w:hAnsiTheme="minorHAnsi" w:cstheme="minorHAnsi"/>
          <w:lang w:val="en-GB"/>
        </w:rPr>
        <w:t>;</w:t>
      </w:r>
    </w:p>
    <w:p w14:paraId="576C57B0" w14:textId="77777777" w:rsidR="00C939CA" w:rsidRPr="00915A35" w:rsidRDefault="00C939CA" w:rsidP="00C939CA">
      <w:pPr>
        <w:rPr>
          <w:rFonts w:asciiTheme="minorHAnsi" w:hAnsiTheme="minorHAnsi" w:cstheme="minorHAnsi"/>
          <w:lang w:val="en-GB"/>
        </w:rPr>
      </w:pPr>
    </w:p>
    <w:p w14:paraId="726CF225"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Resolution of the Council of Ministers no. 72/2018, of 6 of June</w:t>
      </w:r>
      <w:r w:rsidR="00F54A9E" w:rsidRPr="00915A35">
        <w:rPr>
          <w:rFonts w:asciiTheme="minorHAnsi" w:hAnsiTheme="minorHAnsi" w:cstheme="minorHAnsi"/>
          <w:lang w:val="en-GB"/>
        </w:rPr>
        <w:t>, a</w:t>
      </w:r>
      <w:r w:rsidRPr="00915A35">
        <w:rPr>
          <w:rFonts w:asciiTheme="minorHAnsi" w:hAnsiTheme="minorHAnsi" w:cstheme="minorHAnsi"/>
          <w:lang w:val="en-GB"/>
        </w:rPr>
        <w:t>pproves the Program of Action to Combat Precariousness and Promote Collective Bargaining</w:t>
      </w:r>
      <w:r w:rsidR="00F54A9E" w:rsidRPr="00915A35">
        <w:rPr>
          <w:rFonts w:asciiTheme="minorHAnsi" w:hAnsiTheme="minorHAnsi" w:cstheme="minorHAnsi"/>
          <w:lang w:val="en-GB"/>
        </w:rPr>
        <w:t>;</w:t>
      </w:r>
    </w:p>
    <w:p w14:paraId="58927545" w14:textId="77777777" w:rsidR="00C939CA" w:rsidRPr="00915A35" w:rsidRDefault="00C939CA" w:rsidP="00C939CA">
      <w:pPr>
        <w:rPr>
          <w:rFonts w:asciiTheme="minorHAnsi" w:hAnsiTheme="minorHAnsi" w:cstheme="minorHAnsi"/>
          <w:lang w:val="en-GB"/>
        </w:rPr>
      </w:pPr>
    </w:p>
    <w:p w14:paraId="05A9AD6A"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Resolution of the Council of Ministers no. 61/2018, of 21 of May</w:t>
      </w:r>
      <w:r w:rsidR="00F54A9E" w:rsidRPr="00915A35">
        <w:rPr>
          <w:rFonts w:asciiTheme="minorHAnsi" w:hAnsiTheme="minorHAnsi" w:cstheme="minorHAnsi"/>
          <w:lang w:val="en-GB"/>
        </w:rPr>
        <w:t>, a</w:t>
      </w:r>
      <w:r w:rsidRPr="00915A35">
        <w:rPr>
          <w:rFonts w:asciiTheme="minorHAnsi" w:hAnsiTheme="minorHAnsi" w:cstheme="minorHAnsi"/>
          <w:lang w:val="en-GB"/>
        </w:rPr>
        <w:t>pproves the National Equality and Non-Discrimination Strategy - Portugal + Equal (ENIND) and its Action Plans</w:t>
      </w:r>
      <w:r w:rsidR="00F54A9E" w:rsidRPr="00915A35">
        <w:rPr>
          <w:rFonts w:asciiTheme="minorHAnsi" w:hAnsiTheme="minorHAnsi" w:cstheme="minorHAnsi"/>
          <w:lang w:val="en-GB"/>
        </w:rPr>
        <w:t>;</w:t>
      </w:r>
    </w:p>
    <w:p w14:paraId="596E6AB6" w14:textId="77777777" w:rsidR="00C939CA" w:rsidRPr="00915A35" w:rsidRDefault="00C939CA" w:rsidP="00C939CA">
      <w:pPr>
        <w:rPr>
          <w:rFonts w:asciiTheme="minorHAnsi" w:hAnsiTheme="minorHAnsi" w:cstheme="minorHAnsi"/>
          <w:lang w:val="en-GB"/>
        </w:rPr>
      </w:pPr>
    </w:p>
    <w:p w14:paraId="7C00B296"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Decree-Law No. 23/2018, of April 10</w:t>
      </w:r>
      <w:r w:rsidR="00F54A9E" w:rsidRPr="00915A35">
        <w:rPr>
          <w:rFonts w:asciiTheme="minorHAnsi" w:hAnsiTheme="minorHAnsi" w:cstheme="minorHAnsi"/>
          <w:lang w:val="en-GB"/>
        </w:rPr>
        <w:t>, c</w:t>
      </w:r>
      <w:r w:rsidRPr="00915A35">
        <w:rPr>
          <w:rFonts w:asciiTheme="minorHAnsi" w:hAnsiTheme="minorHAnsi" w:cstheme="minorHAnsi"/>
          <w:lang w:val="en-GB"/>
        </w:rPr>
        <w:t>hanges the distribution of net results of social games operated by Santa Casa da Misericórdia in Lisbon</w:t>
      </w:r>
      <w:r w:rsidR="00F54A9E" w:rsidRPr="00915A35">
        <w:rPr>
          <w:rFonts w:asciiTheme="minorHAnsi" w:hAnsiTheme="minorHAnsi" w:cstheme="minorHAnsi"/>
          <w:lang w:val="en-GB"/>
        </w:rPr>
        <w:t>;</w:t>
      </w:r>
    </w:p>
    <w:p w14:paraId="41D028F7" w14:textId="77777777" w:rsidR="00C939CA" w:rsidRPr="00915A35" w:rsidRDefault="00C939CA" w:rsidP="00C939CA">
      <w:pPr>
        <w:rPr>
          <w:rFonts w:asciiTheme="minorHAnsi" w:hAnsiTheme="minorHAnsi" w:cstheme="minorHAnsi"/>
          <w:lang w:val="en-GB"/>
        </w:rPr>
      </w:pPr>
    </w:p>
    <w:p w14:paraId="69C06AF6"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Law No. 4/2018 - Official Gazette No. 29/2018, of February 9</w:t>
      </w:r>
      <w:r w:rsidR="00F54A9E" w:rsidRPr="00915A35">
        <w:rPr>
          <w:rFonts w:asciiTheme="minorHAnsi" w:hAnsiTheme="minorHAnsi" w:cstheme="minorHAnsi"/>
          <w:lang w:val="en-GB"/>
        </w:rPr>
        <w:t>, g</w:t>
      </w:r>
      <w:r w:rsidRPr="00915A35">
        <w:rPr>
          <w:rFonts w:asciiTheme="minorHAnsi" w:hAnsiTheme="minorHAnsi" w:cstheme="minorHAnsi"/>
          <w:lang w:val="en-GB"/>
        </w:rPr>
        <w:t>ender impact assessment legal framework of normative acts</w:t>
      </w:r>
      <w:r w:rsidR="00F54A9E" w:rsidRPr="00915A35">
        <w:rPr>
          <w:rFonts w:asciiTheme="minorHAnsi" w:hAnsiTheme="minorHAnsi" w:cstheme="minorHAnsi"/>
          <w:lang w:val="en-GB"/>
        </w:rPr>
        <w:t>;</w:t>
      </w:r>
    </w:p>
    <w:p w14:paraId="15D45A67" w14:textId="77777777" w:rsidR="00C939CA" w:rsidRPr="00915A35" w:rsidRDefault="00C939CA" w:rsidP="00C939CA">
      <w:pPr>
        <w:rPr>
          <w:rFonts w:asciiTheme="minorHAnsi" w:hAnsiTheme="minorHAnsi" w:cstheme="minorHAnsi"/>
          <w:lang w:val="en-GB"/>
        </w:rPr>
      </w:pPr>
    </w:p>
    <w:p w14:paraId="0E9CDEA3"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Ordinance No. 41/2018, of February 1</w:t>
      </w:r>
      <w:r w:rsidRPr="00915A35">
        <w:rPr>
          <w:rFonts w:asciiTheme="minorHAnsi" w:hAnsiTheme="minorHAnsi" w:cstheme="minorHAnsi"/>
          <w:vertAlign w:val="superscript"/>
          <w:lang w:val="en-GB"/>
        </w:rPr>
        <w:t>st</w:t>
      </w:r>
      <w:r w:rsidR="00F54A9E" w:rsidRPr="00915A35">
        <w:rPr>
          <w:rFonts w:asciiTheme="minorHAnsi" w:hAnsiTheme="minorHAnsi" w:cstheme="minorHAnsi"/>
          <w:lang w:val="en-GB"/>
        </w:rPr>
        <w:t>, t</w:t>
      </w:r>
      <w:r w:rsidRPr="00915A35">
        <w:rPr>
          <w:rFonts w:asciiTheme="minorHAnsi" w:hAnsiTheme="minorHAnsi" w:cstheme="minorHAnsi"/>
          <w:lang w:val="en-GB"/>
        </w:rPr>
        <w:t>hird amendment to the Specific Regulation in the field of Social Inclusion and Employment, approved as an annex to Ordinance No. 97-A / 2015 of 30 March</w:t>
      </w:r>
      <w:r w:rsidR="00F54A9E" w:rsidRPr="00915A35">
        <w:rPr>
          <w:rFonts w:asciiTheme="minorHAnsi" w:hAnsiTheme="minorHAnsi" w:cstheme="minorHAnsi"/>
          <w:lang w:val="en-GB"/>
        </w:rPr>
        <w:t>;</w:t>
      </w:r>
    </w:p>
    <w:p w14:paraId="3315D60D" w14:textId="77777777" w:rsidR="00C939CA" w:rsidRPr="00915A35" w:rsidRDefault="00C939CA" w:rsidP="00C939CA">
      <w:pPr>
        <w:rPr>
          <w:rFonts w:asciiTheme="minorHAnsi" w:hAnsiTheme="minorHAnsi" w:cstheme="minorHAnsi"/>
          <w:lang w:val="en-GB"/>
        </w:rPr>
      </w:pPr>
    </w:p>
    <w:p w14:paraId="67C18B75" w14:textId="77777777" w:rsidR="00C939CA" w:rsidRPr="00915A35" w:rsidRDefault="00C939CA" w:rsidP="00C939CA">
      <w:pPr>
        <w:rPr>
          <w:rFonts w:asciiTheme="minorHAnsi" w:hAnsiTheme="minorHAnsi" w:cstheme="minorHAnsi"/>
          <w:lang w:val="en-GB"/>
        </w:rPr>
      </w:pPr>
      <w:r w:rsidRPr="00915A35">
        <w:rPr>
          <w:rFonts w:asciiTheme="minorHAnsi" w:hAnsiTheme="minorHAnsi" w:cstheme="minorHAnsi"/>
          <w:lang w:val="en-GB"/>
        </w:rPr>
        <w:t>Regulatory Decree No. 2/2018, of January 24</w:t>
      </w:r>
      <w:r w:rsidR="00F54A9E" w:rsidRPr="00915A35">
        <w:rPr>
          <w:rFonts w:asciiTheme="minorHAnsi" w:hAnsiTheme="minorHAnsi" w:cstheme="minorHAnsi"/>
          <w:lang w:val="en-GB"/>
        </w:rPr>
        <w:t>, r</w:t>
      </w:r>
      <w:r w:rsidRPr="00915A35">
        <w:rPr>
          <w:rFonts w:asciiTheme="minorHAnsi" w:hAnsiTheme="minorHAnsi" w:cstheme="minorHAnsi"/>
          <w:lang w:val="en-GB"/>
        </w:rPr>
        <w:t>egulates the conditions for the organization and operation of care facilities, emergency response and shelters within the national support network for victims of domestic violence.</w:t>
      </w:r>
    </w:p>
    <w:p w14:paraId="07100670" w14:textId="77777777" w:rsidR="00C939CA" w:rsidRPr="00C939CA" w:rsidRDefault="00C939CA" w:rsidP="00C939CA">
      <w:pPr>
        <w:spacing w:after="120" w:line="312" w:lineRule="auto"/>
        <w:jc w:val="both"/>
        <w:rPr>
          <w:rFonts w:asciiTheme="minorHAnsi" w:hAnsiTheme="minorHAnsi" w:cstheme="minorHAnsi"/>
          <w:sz w:val="22"/>
          <w:szCs w:val="22"/>
          <w:lang w:val="en-GB"/>
        </w:rPr>
      </w:pPr>
    </w:p>
    <w:p w14:paraId="0CD39EA1" w14:textId="77777777" w:rsidR="00010C2A" w:rsidRPr="00010C2A" w:rsidRDefault="00010C2A" w:rsidP="00010C2A">
      <w:pPr>
        <w:spacing w:after="120"/>
        <w:rPr>
          <w:rFonts w:eastAsia="Calibri"/>
          <w:b/>
          <w:u w:val="single"/>
          <w:lang w:val="en-AU" w:eastAsia="en-US"/>
        </w:rPr>
      </w:pPr>
      <w:r w:rsidRPr="00010C2A">
        <w:rPr>
          <w:rFonts w:eastAsia="Calibri"/>
          <w:b/>
          <w:u w:val="single"/>
          <w:lang w:val="en-AU" w:eastAsia="en-US"/>
        </w:rPr>
        <w:t>Specific questions</w:t>
      </w:r>
    </w:p>
    <w:p w14:paraId="2D7932D9" w14:textId="77777777" w:rsidR="00010C2A" w:rsidRPr="00010C2A" w:rsidRDefault="00010C2A" w:rsidP="00010C2A">
      <w:pPr>
        <w:spacing w:after="120"/>
        <w:rPr>
          <w:rFonts w:eastAsia="Calibri"/>
          <w:i/>
          <w:lang w:val="en-AU" w:eastAsia="en-US"/>
        </w:rPr>
      </w:pPr>
      <w:r w:rsidRPr="00010C2A">
        <w:rPr>
          <w:rFonts w:eastAsia="Calibri"/>
          <w:i/>
          <w:lang w:val="en-AU" w:eastAsia="en-US"/>
        </w:rPr>
        <w:t>Technology</w:t>
      </w:r>
    </w:p>
    <w:p w14:paraId="1DA076B1" w14:textId="77777777" w:rsidR="00010C2A" w:rsidRPr="00010C2A" w:rsidRDefault="00010C2A" w:rsidP="00DB6EC3">
      <w:pPr>
        <w:numPr>
          <w:ilvl w:val="0"/>
          <w:numId w:val="7"/>
        </w:numPr>
        <w:spacing w:after="120" w:line="259" w:lineRule="auto"/>
        <w:ind w:left="714" w:hanging="357"/>
        <w:contextualSpacing/>
        <w:jc w:val="both"/>
        <w:rPr>
          <w:rFonts w:eastAsia="Calibri"/>
          <w:lang w:val="en-AU" w:eastAsia="en-US"/>
        </w:rPr>
      </w:pPr>
      <w:r w:rsidRPr="00010C2A">
        <w:rPr>
          <w:rFonts w:eastAsia="Calibri"/>
          <w:lang w:val="en-AU" w:eastAsia="en-US"/>
        </w:rPr>
        <w:t>How is technological change impacting on women’s experiences of work in your national context? (e.g. increasing access to ICTs, robotics, machine learning, automation)</w:t>
      </w:r>
    </w:p>
    <w:p w14:paraId="2FF61F32" w14:textId="77777777" w:rsidR="00010C2A" w:rsidRPr="001B2F87" w:rsidRDefault="00010C2A" w:rsidP="00DB6EC3">
      <w:pPr>
        <w:numPr>
          <w:ilvl w:val="1"/>
          <w:numId w:val="3"/>
        </w:numPr>
        <w:spacing w:after="120" w:line="259" w:lineRule="auto"/>
        <w:ind w:left="993" w:hanging="284"/>
        <w:contextualSpacing/>
        <w:jc w:val="both"/>
        <w:rPr>
          <w:rFonts w:eastAsia="Calibri"/>
          <w:lang w:val="en-AU" w:eastAsia="en-US"/>
        </w:rPr>
      </w:pPr>
      <w:r w:rsidRPr="00010C2A">
        <w:rPr>
          <w:rFonts w:eastAsia="Calibri"/>
          <w:lang w:val="en-AU" w:eastAsia="en-US"/>
        </w:rPr>
        <w:t xml:space="preserve">What are some of the good practices for supporting women to benefit equally from technological advances? </w:t>
      </w:r>
      <w:r w:rsidRPr="00010C2A">
        <w:rPr>
          <w:rFonts w:eastAsia="Calibri"/>
          <w:i/>
          <w:lang w:val="en-AU" w:eastAsia="en-US"/>
        </w:rPr>
        <w:t>(laws, economic and social policies, institutional measures, regulation, actions by employers)</w:t>
      </w:r>
    </w:p>
    <w:p w14:paraId="1017922A" w14:textId="77777777" w:rsidR="001B2F87" w:rsidRPr="00010C2A" w:rsidRDefault="001B2F87" w:rsidP="00DB6EC3">
      <w:pPr>
        <w:spacing w:after="120" w:line="259" w:lineRule="auto"/>
        <w:ind w:left="993"/>
        <w:contextualSpacing/>
        <w:jc w:val="both"/>
        <w:rPr>
          <w:rFonts w:eastAsia="Calibri"/>
          <w:lang w:val="en-AU" w:eastAsia="en-US"/>
        </w:rPr>
      </w:pPr>
    </w:p>
    <w:p w14:paraId="734F164B" w14:textId="77777777" w:rsidR="00010C2A" w:rsidRPr="00010C2A" w:rsidRDefault="00010C2A" w:rsidP="00DB6EC3">
      <w:pPr>
        <w:spacing w:after="120"/>
        <w:jc w:val="both"/>
        <w:rPr>
          <w:rFonts w:eastAsia="Calibri"/>
          <w:lang w:val="en-AU" w:eastAsia="en-US"/>
        </w:rPr>
      </w:pPr>
      <w:r w:rsidRPr="00010C2A">
        <w:rPr>
          <w:rFonts w:eastAsia="Calibri"/>
          <w:i/>
          <w:lang w:val="en-AU" w:eastAsia="en-US"/>
        </w:rPr>
        <w:t>‘Gig’ and ‘On Demand’ Economy</w:t>
      </w:r>
    </w:p>
    <w:p w14:paraId="3C172E90" w14:textId="77777777" w:rsidR="00010C2A" w:rsidRPr="00010C2A" w:rsidRDefault="00010C2A" w:rsidP="00DB6EC3">
      <w:pPr>
        <w:numPr>
          <w:ilvl w:val="0"/>
          <w:numId w:val="3"/>
        </w:numPr>
        <w:spacing w:after="120" w:line="259" w:lineRule="auto"/>
        <w:ind w:left="714" w:hanging="357"/>
        <w:contextualSpacing/>
        <w:jc w:val="both"/>
        <w:rPr>
          <w:rFonts w:eastAsia="Calibri"/>
          <w:lang w:val="en-AU" w:eastAsia="en-US"/>
        </w:rPr>
      </w:pPr>
      <w:r w:rsidRPr="00010C2A">
        <w:rPr>
          <w:rFonts w:eastAsia="Calibri"/>
          <w:lang w:val="en-AU" w:eastAsia="en-US"/>
        </w:rPr>
        <w:t>How is the rise of more flexible forms of labour, including the ‘gig’ and ‘on demand’ economy impacting on women’s experiences of work in your national context?</w:t>
      </w:r>
    </w:p>
    <w:p w14:paraId="606212C4" w14:textId="77777777" w:rsidR="00010C2A" w:rsidRPr="00010C2A" w:rsidRDefault="00010C2A" w:rsidP="00DB6EC3">
      <w:pPr>
        <w:numPr>
          <w:ilvl w:val="0"/>
          <w:numId w:val="5"/>
        </w:numPr>
        <w:spacing w:after="160" w:line="259" w:lineRule="auto"/>
        <w:ind w:left="1071" w:hanging="357"/>
        <w:contextualSpacing/>
        <w:jc w:val="both"/>
        <w:rPr>
          <w:rFonts w:eastAsia="Calibri"/>
          <w:lang w:val="en-AU" w:eastAsia="en-US"/>
        </w:rPr>
      </w:pPr>
      <w:r w:rsidRPr="00010C2A">
        <w:rPr>
          <w:rFonts w:eastAsia="Calibri"/>
          <w:lang w:val="en-AU" w:eastAsia="en-US"/>
        </w:rPr>
        <w:t>What are the implications for job security for increased flexibility and women’s caring responsibilities, and for harassment and violence?</w:t>
      </w:r>
    </w:p>
    <w:p w14:paraId="2D76DBD8" w14:textId="77777777" w:rsidR="00010C2A" w:rsidRPr="00010C2A" w:rsidRDefault="00010C2A" w:rsidP="00DB6EC3">
      <w:pPr>
        <w:numPr>
          <w:ilvl w:val="0"/>
          <w:numId w:val="5"/>
        </w:numPr>
        <w:spacing w:after="160" w:line="259" w:lineRule="auto"/>
        <w:ind w:left="1071" w:hanging="357"/>
        <w:contextualSpacing/>
        <w:jc w:val="both"/>
        <w:rPr>
          <w:rFonts w:eastAsia="Calibri"/>
          <w:lang w:val="en-AU" w:eastAsia="en-US"/>
        </w:rPr>
      </w:pPr>
      <w:r w:rsidRPr="00010C2A">
        <w:rPr>
          <w:rFonts w:eastAsia="Calibri"/>
          <w:lang w:val="en-AU" w:eastAsia="en-US"/>
        </w:rPr>
        <w:t>Which groups of women are most likely to be impacted by this type of work?</w:t>
      </w:r>
    </w:p>
    <w:p w14:paraId="43DCC3DC" w14:textId="77777777" w:rsidR="00010C2A" w:rsidRPr="00010C2A" w:rsidRDefault="00010C2A" w:rsidP="00DB6EC3">
      <w:pPr>
        <w:numPr>
          <w:ilvl w:val="0"/>
          <w:numId w:val="5"/>
        </w:numPr>
        <w:spacing w:after="160" w:line="259" w:lineRule="auto"/>
        <w:ind w:left="1071" w:hanging="357"/>
        <w:contextualSpacing/>
        <w:jc w:val="both"/>
        <w:rPr>
          <w:rFonts w:eastAsia="Calibri"/>
          <w:lang w:val="en-AU" w:eastAsia="en-US"/>
        </w:rPr>
      </w:pPr>
      <w:r w:rsidRPr="00010C2A">
        <w:rPr>
          <w:rFonts w:eastAsia="Calibri"/>
          <w:lang w:val="en-AU" w:eastAsia="en-US"/>
        </w:rPr>
        <w:t xml:space="preserve">What are some of the good practices for ensuring access to social protection for women in informal and ‘on demand’ work? </w:t>
      </w:r>
      <w:r w:rsidRPr="00010C2A">
        <w:rPr>
          <w:rFonts w:eastAsia="Calibri"/>
          <w:i/>
          <w:lang w:val="en-AU" w:eastAsia="en-US"/>
        </w:rPr>
        <w:t>(laws, economic and social policies, institutional measures, regulation, actions by employers)</w:t>
      </w:r>
    </w:p>
    <w:p w14:paraId="0752B953" w14:textId="77777777" w:rsidR="00010C2A" w:rsidRPr="00010C2A" w:rsidRDefault="00010C2A" w:rsidP="00DB6EC3">
      <w:pPr>
        <w:numPr>
          <w:ilvl w:val="0"/>
          <w:numId w:val="5"/>
        </w:numPr>
        <w:spacing w:after="120" w:line="259" w:lineRule="auto"/>
        <w:ind w:left="1071" w:hanging="357"/>
        <w:contextualSpacing/>
        <w:jc w:val="both"/>
        <w:rPr>
          <w:rFonts w:eastAsia="Calibri"/>
          <w:lang w:val="en-AU" w:eastAsia="en-US"/>
        </w:rPr>
      </w:pPr>
      <w:r w:rsidRPr="00010C2A">
        <w:rPr>
          <w:rFonts w:eastAsia="Calibri"/>
          <w:lang w:val="en-AU" w:eastAsia="en-US"/>
        </w:rPr>
        <w:t>What are the good practices for women’s collective organising in the context of more flexible forms of labour?</w:t>
      </w:r>
    </w:p>
    <w:p w14:paraId="0B9C55EF" w14:textId="77777777" w:rsidR="00010C2A" w:rsidRPr="00D06EF0" w:rsidRDefault="00010C2A" w:rsidP="00010C2A">
      <w:pPr>
        <w:spacing w:after="120"/>
        <w:rPr>
          <w:rFonts w:asciiTheme="minorHAnsi" w:eastAsia="Calibri" w:hAnsiTheme="minorHAnsi" w:cstheme="minorHAnsi"/>
          <w:i/>
          <w:lang w:val="en-AU" w:eastAsia="en-US"/>
        </w:rPr>
      </w:pPr>
    </w:p>
    <w:p w14:paraId="07996ED2" w14:textId="77777777" w:rsidR="005118D1" w:rsidRPr="00D06EF0" w:rsidRDefault="005118D1" w:rsidP="005118D1">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New forms of work as well as more flexible work patterns and organization create new challenges for gender equality. In fact, crowd-work, gig economy, platform work, etc. and their impact on employment and working conditions, in particular in relation to place and time of work, can bring benefits but also harm to work, particularly to women's work.</w:t>
      </w:r>
      <w:r w:rsidR="00701C27" w:rsidRPr="00D06EF0">
        <w:rPr>
          <w:rFonts w:asciiTheme="minorHAnsi" w:hAnsiTheme="minorHAnsi" w:cstheme="minorHAnsi"/>
          <w:lang w:val="en-GB"/>
        </w:rPr>
        <w:t xml:space="preserve"> </w:t>
      </w:r>
    </w:p>
    <w:p w14:paraId="243D1C39" w14:textId="77777777" w:rsidR="00701C27" w:rsidRPr="00D06EF0" w:rsidRDefault="00701C27" w:rsidP="00701C27">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If there is a risk that is profoundly real to the ongoing changes in industrial relations, it is to break the link that has been created in recent decades between w</w:t>
      </w:r>
      <w:r w:rsidR="00594AD3">
        <w:rPr>
          <w:rFonts w:asciiTheme="minorHAnsi" w:hAnsiTheme="minorHAnsi" w:cstheme="minorHAnsi"/>
          <w:lang w:val="en-GB"/>
        </w:rPr>
        <w:t>ork and social protection. S</w:t>
      </w:r>
      <w:r w:rsidRPr="00D06EF0">
        <w:rPr>
          <w:rFonts w:asciiTheme="minorHAnsi" w:hAnsiTheme="minorHAnsi" w:cstheme="minorHAnsi"/>
          <w:lang w:val="en-GB"/>
        </w:rPr>
        <w:t>ocial protection systems must ensure the necessary adjustments to change labo</w:t>
      </w:r>
      <w:r w:rsidR="00D06EF0">
        <w:rPr>
          <w:rFonts w:asciiTheme="minorHAnsi" w:hAnsiTheme="minorHAnsi" w:cstheme="minorHAnsi"/>
          <w:lang w:val="en-GB"/>
        </w:rPr>
        <w:t>u</w:t>
      </w:r>
      <w:r w:rsidRPr="00D06EF0">
        <w:rPr>
          <w:rFonts w:asciiTheme="minorHAnsi" w:hAnsiTheme="minorHAnsi" w:cstheme="minorHAnsi"/>
          <w:lang w:val="en-GB"/>
        </w:rPr>
        <w:t xml:space="preserve">r relations standards in order to effectively protect all eventualities arising from new and atypical forms of employment. Indeed, ensuring access to social protection is also </w:t>
      </w:r>
      <w:r w:rsidR="00D06EF0" w:rsidRPr="00D06EF0">
        <w:rPr>
          <w:rFonts w:asciiTheme="minorHAnsi" w:hAnsiTheme="minorHAnsi" w:cstheme="minorHAnsi"/>
          <w:lang w:val="en-GB"/>
        </w:rPr>
        <w:t>responding</w:t>
      </w:r>
      <w:r w:rsidRPr="00D06EF0">
        <w:rPr>
          <w:rFonts w:asciiTheme="minorHAnsi" w:hAnsiTheme="minorHAnsi" w:cstheme="minorHAnsi"/>
          <w:lang w:val="en-GB"/>
        </w:rPr>
        <w:t xml:space="preserve"> </w:t>
      </w:r>
      <w:r w:rsidR="00D06EF0">
        <w:rPr>
          <w:rFonts w:asciiTheme="minorHAnsi" w:hAnsiTheme="minorHAnsi" w:cstheme="minorHAnsi"/>
          <w:lang w:val="en-GB"/>
        </w:rPr>
        <w:t xml:space="preserve">to </w:t>
      </w:r>
      <w:r w:rsidRPr="00D06EF0">
        <w:rPr>
          <w:rFonts w:asciiTheme="minorHAnsi" w:hAnsiTheme="minorHAnsi" w:cstheme="minorHAnsi"/>
          <w:lang w:val="en-GB"/>
        </w:rPr>
        <w:t>new models of informality in labo</w:t>
      </w:r>
      <w:r w:rsidR="00D06EF0">
        <w:rPr>
          <w:rFonts w:asciiTheme="minorHAnsi" w:hAnsiTheme="minorHAnsi" w:cstheme="minorHAnsi"/>
          <w:lang w:val="en-GB"/>
        </w:rPr>
        <w:t>u</w:t>
      </w:r>
      <w:r w:rsidRPr="00D06EF0">
        <w:rPr>
          <w:rFonts w:asciiTheme="minorHAnsi" w:hAnsiTheme="minorHAnsi" w:cstheme="minorHAnsi"/>
          <w:lang w:val="en-GB"/>
        </w:rPr>
        <w:t>r relations that tend to increase with technological progress. This is why it is essential to strengthen and reinvent this link between labo</w:t>
      </w:r>
      <w:r w:rsidR="00D06EF0">
        <w:rPr>
          <w:rFonts w:asciiTheme="minorHAnsi" w:hAnsiTheme="minorHAnsi" w:cstheme="minorHAnsi"/>
          <w:lang w:val="en-GB"/>
        </w:rPr>
        <w:t>u</w:t>
      </w:r>
      <w:r w:rsidRPr="00D06EF0">
        <w:rPr>
          <w:rFonts w:asciiTheme="minorHAnsi" w:hAnsiTheme="minorHAnsi" w:cstheme="minorHAnsi"/>
          <w:lang w:val="en-GB"/>
        </w:rPr>
        <w:t xml:space="preserve">r relations and social protection, with particular attention to self-employed workers in jobs not associated with conventional employment contracts.  In </w:t>
      </w:r>
      <w:r w:rsidR="00594AD3" w:rsidRPr="00D06EF0">
        <w:rPr>
          <w:rFonts w:asciiTheme="minorHAnsi" w:hAnsiTheme="minorHAnsi" w:cstheme="minorHAnsi"/>
          <w:lang w:val="en-GB"/>
        </w:rPr>
        <w:t>Portugal,</w:t>
      </w:r>
      <w:r w:rsidRPr="00D06EF0">
        <w:rPr>
          <w:rFonts w:asciiTheme="minorHAnsi" w:hAnsiTheme="minorHAnsi" w:cstheme="minorHAnsi"/>
          <w:lang w:val="en-GB"/>
        </w:rPr>
        <w:t xml:space="preserve"> we have already taken a step in this direction. A new self-employed contributory scheme has recently entered into force based on a structural change in the contributory relationship between these workers and the social security </w:t>
      </w:r>
      <w:r w:rsidR="00594AD3" w:rsidRPr="00D06EF0">
        <w:rPr>
          <w:rFonts w:asciiTheme="minorHAnsi" w:hAnsiTheme="minorHAnsi" w:cstheme="minorHAnsi"/>
          <w:lang w:val="en-GB"/>
        </w:rPr>
        <w:t>system, which will enable them to form higher-paying contributory career and thus have access to decent social protection,</w:t>
      </w:r>
      <w:r w:rsidRPr="00D06EF0">
        <w:rPr>
          <w:rFonts w:asciiTheme="minorHAnsi" w:hAnsiTheme="minorHAnsi" w:cstheme="minorHAnsi"/>
          <w:lang w:val="en-GB"/>
        </w:rPr>
        <w:t xml:space="preserve"> by the end of their contributory career (Decree-Law nº 2/2018)</w:t>
      </w:r>
    </w:p>
    <w:p w14:paraId="57707772" w14:textId="77777777" w:rsidR="001365AD" w:rsidRPr="00D06EF0" w:rsidRDefault="005118D1" w:rsidP="005118D1">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 xml:space="preserve">The challenges to gender equality in this new </w:t>
      </w:r>
      <w:r w:rsidR="005F050F" w:rsidRPr="00D06EF0">
        <w:rPr>
          <w:rFonts w:asciiTheme="minorHAnsi" w:hAnsiTheme="minorHAnsi" w:cstheme="minorHAnsi"/>
          <w:lang w:val="en-GB"/>
        </w:rPr>
        <w:t>reality</w:t>
      </w:r>
      <w:r w:rsidR="003F5A9F" w:rsidRPr="00D06EF0">
        <w:rPr>
          <w:rFonts w:asciiTheme="minorHAnsi" w:hAnsiTheme="minorHAnsi" w:cstheme="minorHAnsi"/>
          <w:lang w:val="en-GB"/>
        </w:rPr>
        <w:t xml:space="preserve"> c</w:t>
      </w:r>
      <w:r w:rsidRPr="00D06EF0">
        <w:rPr>
          <w:rFonts w:asciiTheme="minorHAnsi" w:hAnsiTheme="minorHAnsi" w:cstheme="minorHAnsi"/>
          <w:lang w:val="en-GB"/>
        </w:rPr>
        <w:t xml:space="preserve">ould be </w:t>
      </w:r>
      <w:r w:rsidR="00D06EF0">
        <w:rPr>
          <w:rFonts w:asciiTheme="minorHAnsi" w:hAnsiTheme="minorHAnsi" w:cstheme="minorHAnsi"/>
          <w:lang w:val="en-GB"/>
        </w:rPr>
        <w:t xml:space="preserve">further </w:t>
      </w:r>
      <w:r w:rsidR="00594AD3">
        <w:rPr>
          <w:rFonts w:asciiTheme="minorHAnsi" w:hAnsiTheme="minorHAnsi" w:cstheme="minorHAnsi"/>
          <w:lang w:val="en-GB"/>
        </w:rPr>
        <w:t>a</w:t>
      </w:r>
      <w:r w:rsidR="00594AD3" w:rsidRPr="00D06EF0">
        <w:rPr>
          <w:rFonts w:asciiTheme="minorHAnsi" w:hAnsiTheme="minorHAnsi" w:cstheme="minorHAnsi"/>
          <w:lang w:val="en-GB"/>
        </w:rPr>
        <w:t>ddres</w:t>
      </w:r>
      <w:r w:rsidR="00594AD3">
        <w:rPr>
          <w:rFonts w:asciiTheme="minorHAnsi" w:hAnsiTheme="minorHAnsi" w:cstheme="minorHAnsi"/>
          <w:lang w:val="en-GB"/>
        </w:rPr>
        <w:t>sed</w:t>
      </w:r>
      <w:r w:rsidR="003F5A9F" w:rsidRPr="00D06EF0">
        <w:rPr>
          <w:rFonts w:asciiTheme="minorHAnsi" w:hAnsiTheme="minorHAnsi" w:cstheme="minorHAnsi"/>
          <w:lang w:val="en-GB"/>
        </w:rPr>
        <w:t xml:space="preserve"> </w:t>
      </w:r>
      <w:r w:rsidR="001365AD" w:rsidRPr="00D06EF0">
        <w:rPr>
          <w:rFonts w:asciiTheme="minorHAnsi" w:hAnsiTheme="minorHAnsi" w:cstheme="minorHAnsi"/>
          <w:lang w:val="en-GB"/>
        </w:rPr>
        <w:t xml:space="preserve">having in mind that: </w:t>
      </w:r>
    </w:p>
    <w:p w14:paraId="10A327DC" w14:textId="77777777" w:rsidR="005118D1" w:rsidRPr="00D06EF0" w:rsidRDefault="005118D1" w:rsidP="005118D1">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 xml:space="preserve">• New, more flexible individual work patterns can </w:t>
      </w:r>
      <w:r w:rsidR="005F050F" w:rsidRPr="00D06EF0">
        <w:rPr>
          <w:rFonts w:asciiTheme="minorHAnsi" w:hAnsiTheme="minorHAnsi" w:cstheme="minorHAnsi"/>
          <w:lang w:val="en-GB"/>
        </w:rPr>
        <w:t>influence</w:t>
      </w:r>
      <w:r w:rsidRPr="00D06EF0">
        <w:rPr>
          <w:rFonts w:asciiTheme="minorHAnsi" w:hAnsiTheme="minorHAnsi" w:cstheme="minorHAnsi"/>
          <w:lang w:val="en-GB"/>
        </w:rPr>
        <w:t xml:space="preserve"> work and personal and family life reconciliation, both positively and negatively.</w:t>
      </w:r>
    </w:p>
    <w:p w14:paraId="5E3CD56C" w14:textId="77777777" w:rsidR="005118D1" w:rsidRPr="00D06EF0" w:rsidRDefault="005118D1" w:rsidP="005118D1">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 xml:space="preserve">These new work patterns may give workers more freedom to adapt their work patterns to their needs or preferences. However, these flexible forms of work can also blur the line between work and personal and family life, thus making it more difficult to ensure a healthy balance between work and family life, particularly for women, who still ensure </w:t>
      </w:r>
      <w:r w:rsidR="001365AD" w:rsidRPr="00D06EF0">
        <w:rPr>
          <w:rFonts w:asciiTheme="minorHAnsi" w:hAnsiTheme="minorHAnsi" w:cstheme="minorHAnsi"/>
          <w:lang w:val="en-GB"/>
        </w:rPr>
        <w:t xml:space="preserve">the </w:t>
      </w:r>
      <w:r w:rsidRPr="00D06EF0">
        <w:rPr>
          <w:rFonts w:asciiTheme="minorHAnsi" w:hAnsiTheme="minorHAnsi" w:cstheme="minorHAnsi"/>
          <w:lang w:val="en-GB"/>
        </w:rPr>
        <w:t>largest share of housework and care work;</w:t>
      </w:r>
    </w:p>
    <w:p w14:paraId="5ED47A68" w14:textId="77777777" w:rsidR="005118D1" w:rsidRPr="00D06EF0" w:rsidRDefault="005118D1" w:rsidP="005118D1">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 xml:space="preserve">• These new forms of work can also </w:t>
      </w:r>
      <w:r w:rsidR="005F050F" w:rsidRPr="00D06EF0">
        <w:rPr>
          <w:rFonts w:asciiTheme="minorHAnsi" w:hAnsiTheme="minorHAnsi" w:cstheme="minorHAnsi"/>
          <w:lang w:val="en-GB"/>
        </w:rPr>
        <w:t>influence</w:t>
      </w:r>
      <w:r w:rsidRPr="00D06EF0">
        <w:rPr>
          <w:rFonts w:asciiTheme="minorHAnsi" w:hAnsiTheme="minorHAnsi" w:cstheme="minorHAnsi"/>
          <w:lang w:val="en-GB"/>
        </w:rPr>
        <w:t xml:space="preserve"> gender pay gaps and pension disparities.</w:t>
      </w:r>
    </w:p>
    <w:p w14:paraId="1868D062" w14:textId="77777777" w:rsidR="005118D1" w:rsidRPr="00D06EF0" w:rsidRDefault="005118D1" w:rsidP="005118D1">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Some short- and long-term consequences for men and women may be smaller or less predictable gains, as well as a lack of lifelong social protection rights, which may increase gender inequalities and potentially poverty in retirement age. Hence the importance of reflecting on the adaptation of our social models to new forms of work, especially from the point of view of gender equality.</w:t>
      </w:r>
      <w:r w:rsidR="00760F2E" w:rsidRPr="00D06EF0">
        <w:rPr>
          <w:rFonts w:asciiTheme="minorHAnsi" w:hAnsiTheme="minorHAnsi" w:cstheme="minorHAnsi"/>
          <w:lang w:val="en-GB"/>
        </w:rPr>
        <w:t xml:space="preserve"> </w:t>
      </w:r>
    </w:p>
    <w:p w14:paraId="7518BC67" w14:textId="77777777" w:rsidR="008546E1" w:rsidRPr="008546E1" w:rsidRDefault="008546E1" w:rsidP="008546E1">
      <w:pPr>
        <w:spacing w:after="120"/>
        <w:jc w:val="both"/>
        <w:rPr>
          <w:rFonts w:asciiTheme="minorHAnsi" w:hAnsiTheme="minorHAnsi" w:cstheme="minorHAnsi"/>
          <w:lang w:val="en-GB"/>
        </w:rPr>
      </w:pPr>
      <w:r w:rsidRPr="008546E1">
        <w:rPr>
          <w:rFonts w:asciiTheme="minorHAnsi" w:hAnsiTheme="minorHAnsi" w:cstheme="minorHAnsi"/>
          <w:lang w:val="en-GB"/>
        </w:rPr>
        <w:t xml:space="preserve">Regarding national policy to </w:t>
      </w:r>
      <w:r w:rsidR="00AC3F9D" w:rsidRPr="008546E1">
        <w:rPr>
          <w:rFonts w:asciiTheme="minorHAnsi" w:hAnsiTheme="minorHAnsi" w:cstheme="minorHAnsi"/>
          <w:lang w:val="en-GB"/>
        </w:rPr>
        <w:t>increase the participation of women in engineer and ICT educational and professional areas, through the deconstruction of associated gender stereotypes, see the above reference to the national project</w:t>
      </w:r>
      <w:r w:rsidRPr="008546E1">
        <w:rPr>
          <w:rFonts w:asciiTheme="minorHAnsi" w:hAnsiTheme="minorHAnsi" w:cstheme="minorHAnsi"/>
          <w:lang w:val="en-GB"/>
        </w:rPr>
        <w:t xml:space="preserve"> “Engineers for a Day”.</w:t>
      </w:r>
    </w:p>
    <w:p w14:paraId="080F08F6" w14:textId="7AE9C432" w:rsidR="00010C2A" w:rsidRPr="008546E1" w:rsidRDefault="00AC3F9D" w:rsidP="00010C2A">
      <w:pPr>
        <w:spacing w:after="120"/>
        <w:rPr>
          <w:rFonts w:eastAsia="Calibri"/>
          <w:lang w:val="en-GB" w:eastAsia="en-US"/>
        </w:rPr>
      </w:pPr>
      <w:r w:rsidRPr="008546E1">
        <w:rPr>
          <w:rFonts w:eastAsia="Calibri"/>
          <w:lang w:val="en-GB" w:eastAsia="en-US"/>
        </w:rPr>
        <w:t xml:space="preserve">  </w:t>
      </w:r>
    </w:p>
    <w:p w14:paraId="43D7722D" w14:textId="77777777" w:rsidR="00010C2A" w:rsidRPr="00010C2A" w:rsidRDefault="00010C2A" w:rsidP="00010C2A">
      <w:pPr>
        <w:spacing w:after="120"/>
        <w:rPr>
          <w:rFonts w:eastAsia="Calibri"/>
          <w:lang w:val="en-AU" w:eastAsia="en-US"/>
        </w:rPr>
      </w:pPr>
      <w:r w:rsidRPr="00010C2A">
        <w:rPr>
          <w:rFonts w:eastAsia="Calibri"/>
          <w:i/>
          <w:lang w:val="en-AU" w:eastAsia="en-US"/>
        </w:rPr>
        <w:t>Demographic change</w:t>
      </w:r>
    </w:p>
    <w:p w14:paraId="3B43F3A7" w14:textId="77777777" w:rsidR="00010C2A" w:rsidRPr="00010C2A" w:rsidRDefault="00010C2A" w:rsidP="00010C2A">
      <w:pPr>
        <w:numPr>
          <w:ilvl w:val="0"/>
          <w:numId w:val="3"/>
        </w:numPr>
        <w:spacing w:after="120" w:line="259" w:lineRule="auto"/>
        <w:ind w:left="714" w:hanging="357"/>
        <w:contextualSpacing/>
        <w:rPr>
          <w:rFonts w:eastAsia="Calibri"/>
          <w:lang w:val="en-AU" w:eastAsia="en-US"/>
        </w:rPr>
      </w:pPr>
      <w:r w:rsidRPr="00010C2A">
        <w:rPr>
          <w:rFonts w:eastAsia="Calibri"/>
          <w:lang w:val="en-AU" w:eastAsia="en-US"/>
        </w:rPr>
        <w:t>How is demographic change in your national context impacting on women’s experience of work?</w:t>
      </w:r>
    </w:p>
    <w:p w14:paraId="38E71633" w14:textId="77777777" w:rsidR="00010C2A" w:rsidRPr="00010C2A" w:rsidRDefault="00010C2A" w:rsidP="00010C2A">
      <w:pPr>
        <w:numPr>
          <w:ilvl w:val="0"/>
          <w:numId w:val="6"/>
        </w:numPr>
        <w:spacing w:after="120" w:line="259" w:lineRule="auto"/>
        <w:contextualSpacing/>
        <w:rPr>
          <w:rFonts w:eastAsia="Calibri"/>
          <w:lang w:val="en-AU" w:eastAsia="en-US"/>
        </w:rPr>
      </w:pPr>
      <w:r w:rsidRPr="00010C2A">
        <w:rPr>
          <w:rFonts w:eastAsia="Calibri"/>
          <w:lang w:val="en-AU" w:eastAsia="en-US"/>
        </w:rPr>
        <w:t>What are the implications of an ageing population and of the ‘youth bulge’?</w:t>
      </w:r>
    </w:p>
    <w:p w14:paraId="144B75C7" w14:textId="77777777" w:rsidR="00010C2A" w:rsidRPr="00010C2A" w:rsidRDefault="00010C2A" w:rsidP="00010C2A">
      <w:pPr>
        <w:numPr>
          <w:ilvl w:val="0"/>
          <w:numId w:val="6"/>
        </w:numPr>
        <w:spacing w:after="120" w:line="259" w:lineRule="auto"/>
        <w:ind w:left="1071" w:hanging="357"/>
        <w:contextualSpacing/>
        <w:rPr>
          <w:rFonts w:eastAsia="Calibri"/>
          <w:lang w:val="en-AU" w:eastAsia="en-US"/>
        </w:rPr>
      </w:pPr>
      <w:r w:rsidRPr="00010C2A">
        <w:rPr>
          <w:rFonts w:eastAsia="Calibri"/>
          <w:lang w:val="en-AU" w:eastAsia="en-US"/>
        </w:rPr>
        <w:t xml:space="preserve">What economic and social policies are needed to ensure that the growth in the care sector creates decent work opportunities for women? What are some emerging promising practices? </w:t>
      </w:r>
      <w:r w:rsidRPr="00010C2A">
        <w:rPr>
          <w:rFonts w:eastAsia="Calibri"/>
          <w:i/>
          <w:lang w:val="en-AU" w:eastAsia="en-US"/>
        </w:rPr>
        <w:t>(laws, economic and social policies, institutional measures, regulation, actions by employers).</w:t>
      </w:r>
    </w:p>
    <w:p w14:paraId="2DF1FF34" w14:textId="77777777" w:rsidR="00191AAA" w:rsidRPr="00CD085A" w:rsidRDefault="00191AAA" w:rsidP="00010C2A">
      <w:pPr>
        <w:spacing w:after="120"/>
        <w:rPr>
          <w:rFonts w:asciiTheme="minorHAnsi" w:eastAsia="Calibri" w:hAnsiTheme="minorHAnsi" w:cstheme="minorHAnsi"/>
          <w:i/>
          <w:lang w:val="en-AU" w:eastAsia="en-US"/>
        </w:rPr>
      </w:pPr>
    </w:p>
    <w:p w14:paraId="37D8324D" w14:textId="77777777" w:rsidR="001365AD" w:rsidRPr="00D06EF0" w:rsidRDefault="001365AD" w:rsidP="00E12DAF">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Responsibilities and unpaid care work are a major obstacle for women to gain access to the labour market and to advance their careers. To counteract thi</w:t>
      </w:r>
      <w:r w:rsidR="00D06EF0">
        <w:rPr>
          <w:rFonts w:asciiTheme="minorHAnsi" w:hAnsiTheme="minorHAnsi" w:cstheme="minorHAnsi"/>
          <w:lang w:val="en-GB"/>
        </w:rPr>
        <w:t>s</w:t>
      </w:r>
      <w:r w:rsidRPr="00D06EF0">
        <w:rPr>
          <w:rFonts w:asciiTheme="minorHAnsi" w:hAnsiTheme="minorHAnsi" w:cstheme="minorHAnsi"/>
          <w:lang w:val="en-GB"/>
        </w:rPr>
        <w:t xml:space="preserve"> it is important, on </w:t>
      </w:r>
      <w:r w:rsidR="00D06EF0">
        <w:rPr>
          <w:rFonts w:asciiTheme="minorHAnsi" w:hAnsiTheme="minorHAnsi" w:cstheme="minorHAnsi"/>
          <w:lang w:val="en-GB"/>
        </w:rPr>
        <w:t xml:space="preserve">the </w:t>
      </w:r>
      <w:r w:rsidRPr="00D06EF0">
        <w:rPr>
          <w:rFonts w:asciiTheme="minorHAnsi" w:hAnsiTheme="minorHAnsi" w:cstheme="minorHAnsi"/>
          <w:lang w:val="en-GB"/>
        </w:rPr>
        <w:t>one hand, that men are encouraged to take up their share of unpaid care responsibilities and work, and that employers allow them to assume and benefit from this caregiving role. On the other hand, it is important to value paid care work, which is underpaid and undervalued because the skills required are often considered “natural” female characteristics</w:t>
      </w:r>
      <w:r w:rsidR="006D049B" w:rsidRPr="00D06EF0">
        <w:rPr>
          <w:rFonts w:asciiTheme="minorHAnsi" w:hAnsiTheme="minorHAnsi" w:cstheme="minorHAnsi"/>
          <w:lang w:val="en-GB"/>
        </w:rPr>
        <w:t>.</w:t>
      </w:r>
    </w:p>
    <w:p w14:paraId="7C0E8797" w14:textId="77777777" w:rsidR="006D049B" w:rsidRPr="00D06EF0" w:rsidRDefault="006D049B" w:rsidP="006D049B">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There is a potential for employment in caregiving work in Portugal, as with an increasingly aging population the demand for care work will grow, but it must be ensured that it is accessible, of quality and developed in a decent work environment.</w:t>
      </w:r>
    </w:p>
    <w:p w14:paraId="5474A0F8" w14:textId="77777777" w:rsidR="006D049B" w:rsidRPr="00D06EF0" w:rsidRDefault="005F050F" w:rsidP="006D049B">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Therefore,</w:t>
      </w:r>
      <w:r w:rsidR="006D049B" w:rsidRPr="00D06EF0">
        <w:rPr>
          <w:rFonts w:asciiTheme="minorHAnsi" w:hAnsiTheme="minorHAnsi" w:cstheme="minorHAnsi"/>
          <w:lang w:val="en-GB"/>
        </w:rPr>
        <w:t xml:space="preserve"> it seems fundamental:</w:t>
      </w:r>
    </w:p>
    <w:p w14:paraId="19502057" w14:textId="77777777" w:rsidR="00C053D7" w:rsidRPr="00D06EF0" w:rsidRDefault="006D049B" w:rsidP="00C053D7">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 xml:space="preserve">- To promote the professionalization of care and caregivers by providing them with personalized vocational training and regular updates on specific topics and ensuring that they enjoy their full </w:t>
      </w:r>
      <w:r w:rsidR="00D06EF0">
        <w:rPr>
          <w:rFonts w:asciiTheme="minorHAnsi" w:hAnsiTheme="minorHAnsi" w:cstheme="minorHAnsi"/>
          <w:lang w:val="en-GB"/>
        </w:rPr>
        <w:t>employment rights.</w:t>
      </w:r>
      <w:r w:rsidR="005F050F">
        <w:rPr>
          <w:rFonts w:asciiTheme="minorHAnsi" w:hAnsiTheme="minorHAnsi" w:cstheme="minorHAnsi"/>
          <w:lang w:val="en-GB"/>
        </w:rPr>
        <w:t xml:space="preserve"> </w:t>
      </w:r>
      <w:r w:rsidR="00C053D7" w:rsidRPr="00D06EF0">
        <w:rPr>
          <w:rFonts w:asciiTheme="minorHAnsi" w:hAnsiTheme="minorHAnsi" w:cstheme="minorHAnsi"/>
          <w:lang w:val="en-GB"/>
        </w:rPr>
        <w:t xml:space="preserve">Portugal </w:t>
      </w:r>
      <w:r w:rsidR="005F050F">
        <w:rPr>
          <w:rFonts w:asciiTheme="minorHAnsi" w:hAnsiTheme="minorHAnsi" w:cstheme="minorHAnsi"/>
          <w:lang w:val="en-GB"/>
        </w:rPr>
        <w:t>has</w:t>
      </w:r>
      <w:r w:rsidR="00C053D7" w:rsidRPr="00D06EF0">
        <w:rPr>
          <w:rFonts w:asciiTheme="minorHAnsi" w:hAnsiTheme="minorHAnsi" w:cstheme="minorHAnsi"/>
          <w:lang w:val="en-GB"/>
        </w:rPr>
        <w:t xml:space="preserve"> recently</w:t>
      </w:r>
      <w:r w:rsidR="004D519F" w:rsidRPr="00D06EF0">
        <w:rPr>
          <w:rFonts w:asciiTheme="minorHAnsi" w:hAnsiTheme="minorHAnsi" w:cstheme="minorHAnsi"/>
          <w:lang w:val="en-GB"/>
        </w:rPr>
        <w:t xml:space="preserve"> approved </w:t>
      </w:r>
      <w:r w:rsidR="005F050F" w:rsidRPr="00D06EF0">
        <w:rPr>
          <w:rFonts w:asciiTheme="minorHAnsi" w:hAnsiTheme="minorHAnsi" w:cstheme="minorHAnsi"/>
          <w:lang w:val="en-GB"/>
        </w:rPr>
        <w:t>the Statute</w:t>
      </w:r>
      <w:r w:rsidR="004D519F" w:rsidRPr="00D06EF0">
        <w:rPr>
          <w:rFonts w:asciiTheme="minorHAnsi" w:hAnsiTheme="minorHAnsi" w:cstheme="minorHAnsi"/>
          <w:lang w:val="en-GB"/>
        </w:rPr>
        <w:t xml:space="preserve"> of the Info</w:t>
      </w:r>
      <w:r w:rsidR="00C053D7" w:rsidRPr="00D06EF0">
        <w:rPr>
          <w:rFonts w:asciiTheme="minorHAnsi" w:hAnsiTheme="minorHAnsi" w:cstheme="minorHAnsi"/>
          <w:lang w:val="en-GB"/>
        </w:rPr>
        <w:t>rmal Caregiver, which establishes the rights and duties of caregivers, and strengthens support measures for dependent per</w:t>
      </w:r>
      <w:r w:rsidR="00D06EF0">
        <w:rPr>
          <w:rFonts w:asciiTheme="minorHAnsi" w:hAnsiTheme="minorHAnsi" w:cstheme="minorHAnsi"/>
          <w:lang w:val="en-GB"/>
        </w:rPr>
        <w:t xml:space="preserve">sons. </w:t>
      </w:r>
    </w:p>
    <w:p w14:paraId="31F55FB4" w14:textId="77777777" w:rsidR="006D049B" w:rsidRPr="00D06EF0" w:rsidRDefault="006D049B" w:rsidP="006D049B">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 To invest in the “care economy” and setting common minimum standards on the rights and social protection of people working in the care sector</w:t>
      </w:r>
      <w:r w:rsidR="00D06EF0">
        <w:rPr>
          <w:rFonts w:asciiTheme="minorHAnsi" w:hAnsiTheme="minorHAnsi" w:cstheme="minorHAnsi"/>
          <w:lang w:val="en-GB"/>
        </w:rPr>
        <w:t xml:space="preserve">. That </w:t>
      </w:r>
      <w:r w:rsidRPr="00D06EF0">
        <w:rPr>
          <w:rFonts w:asciiTheme="minorHAnsi" w:hAnsiTheme="minorHAnsi" w:cstheme="minorHAnsi"/>
          <w:lang w:val="en-GB"/>
        </w:rPr>
        <w:t>would help to bring visibility and value to this work and better address the demographic challenges associated with the rapid aging of the population;</w:t>
      </w:r>
    </w:p>
    <w:p w14:paraId="2D655BC7" w14:textId="77777777" w:rsidR="006D049B" w:rsidRPr="00D06EF0" w:rsidRDefault="006D049B" w:rsidP="006D049B">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 To formalize the informal care, namely by the professionalization of the role of informal caregivers;</w:t>
      </w:r>
    </w:p>
    <w:p w14:paraId="247E9D8A" w14:textId="77777777" w:rsidR="006D049B" w:rsidRPr="00D06EF0" w:rsidRDefault="006D049B" w:rsidP="006D049B">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 To establish adequate working conditions and wages and promote measures to combat undeclared work;</w:t>
      </w:r>
    </w:p>
    <w:p w14:paraId="286E6C1C" w14:textId="77777777" w:rsidR="006D049B" w:rsidRPr="00D06EF0" w:rsidRDefault="006D049B" w:rsidP="006D049B">
      <w:pPr>
        <w:widowControl w:val="0"/>
        <w:autoSpaceDE w:val="0"/>
        <w:autoSpaceDN w:val="0"/>
        <w:adjustRightInd w:val="0"/>
        <w:spacing w:before="240" w:after="120" w:line="312" w:lineRule="auto"/>
        <w:jc w:val="both"/>
        <w:rPr>
          <w:rFonts w:asciiTheme="minorHAnsi" w:hAnsiTheme="minorHAnsi" w:cstheme="minorHAnsi"/>
          <w:lang w:val="en-GB"/>
        </w:rPr>
      </w:pPr>
      <w:r w:rsidRPr="00D06EF0">
        <w:rPr>
          <w:rFonts w:asciiTheme="minorHAnsi" w:hAnsiTheme="minorHAnsi" w:cstheme="minorHAnsi"/>
          <w:lang w:val="en-GB"/>
        </w:rPr>
        <w:t>- To better monitor legislation to ensure decent work and the rights of women and men to equal pay for equal or equivalent work.</w:t>
      </w:r>
    </w:p>
    <w:p w14:paraId="2F3631C2" w14:textId="4D8FF4AB" w:rsidR="006D049B" w:rsidRDefault="00EA2F8A" w:rsidP="00826DF5">
      <w:pPr>
        <w:spacing w:after="120" w:line="312" w:lineRule="auto"/>
        <w:jc w:val="both"/>
        <w:rPr>
          <w:rFonts w:asciiTheme="minorHAnsi" w:hAnsiTheme="minorHAnsi" w:cstheme="minorHAnsi"/>
          <w:lang w:val="en-GB"/>
        </w:rPr>
      </w:pPr>
      <w:r w:rsidRPr="00826DF5">
        <w:rPr>
          <w:rFonts w:asciiTheme="minorHAnsi" w:hAnsiTheme="minorHAnsi" w:cstheme="minorHAnsi"/>
          <w:lang w:val="en-GB"/>
        </w:rPr>
        <w:t xml:space="preserve">Regarding national policy in this area see above references to </w:t>
      </w:r>
      <w:r w:rsidR="00BA1751" w:rsidRPr="00826DF5">
        <w:rPr>
          <w:rFonts w:asciiTheme="minorHAnsi" w:hAnsiTheme="minorHAnsi" w:cstheme="minorHAnsi"/>
          <w:lang w:val="en-GB"/>
        </w:rPr>
        <w:t xml:space="preserve">the new national programme on work-life balance which follows an objective of promoting equality between women and men and </w:t>
      </w:r>
      <w:r w:rsidR="00213522">
        <w:rPr>
          <w:rFonts w:asciiTheme="minorHAnsi" w:hAnsiTheme="minorHAnsi" w:cstheme="minorHAnsi"/>
          <w:lang w:val="en-GB"/>
        </w:rPr>
        <w:t>the</w:t>
      </w:r>
      <w:r w:rsidR="00826DF5" w:rsidRPr="00826DF5">
        <w:rPr>
          <w:rFonts w:asciiTheme="minorHAnsi" w:hAnsiTheme="minorHAnsi" w:cstheme="minorHAnsi"/>
          <w:lang w:val="en-GB"/>
        </w:rPr>
        <w:t xml:space="preserve"> equal division of care work, as well as references to recent policy on informal carers. </w:t>
      </w:r>
    </w:p>
    <w:p w14:paraId="65B530C1" w14:textId="77777777" w:rsidR="00826DF5" w:rsidRPr="00826DF5" w:rsidRDefault="00826DF5" w:rsidP="00826DF5">
      <w:pPr>
        <w:spacing w:after="120" w:line="312" w:lineRule="auto"/>
        <w:jc w:val="both"/>
        <w:rPr>
          <w:rFonts w:asciiTheme="minorHAnsi" w:hAnsiTheme="minorHAnsi" w:cstheme="minorHAnsi"/>
          <w:lang w:val="en-GB"/>
        </w:rPr>
      </w:pPr>
    </w:p>
    <w:p w14:paraId="4D1FB32C" w14:textId="77777777" w:rsidR="00010C2A" w:rsidRPr="00010C2A" w:rsidRDefault="00010C2A" w:rsidP="00010C2A">
      <w:pPr>
        <w:spacing w:after="120"/>
        <w:rPr>
          <w:rFonts w:eastAsia="Calibri"/>
          <w:lang w:val="en-AU" w:eastAsia="en-US"/>
        </w:rPr>
      </w:pPr>
      <w:r w:rsidRPr="00010C2A">
        <w:rPr>
          <w:rFonts w:eastAsia="Calibri"/>
          <w:i/>
          <w:lang w:val="en-AU" w:eastAsia="en-US"/>
        </w:rPr>
        <w:t>Transition to sustainability</w:t>
      </w:r>
    </w:p>
    <w:p w14:paraId="542974B4" w14:textId="77777777" w:rsidR="006F2A7E" w:rsidRPr="006D049B" w:rsidRDefault="00010C2A" w:rsidP="006D049B">
      <w:pPr>
        <w:numPr>
          <w:ilvl w:val="0"/>
          <w:numId w:val="3"/>
        </w:numPr>
        <w:spacing w:after="120" w:line="259" w:lineRule="auto"/>
        <w:ind w:left="714" w:hanging="357"/>
        <w:contextualSpacing/>
        <w:jc w:val="both"/>
        <w:rPr>
          <w:rFonts w:eastAsia="Calibri"/>
          <w:lang w:val="en-GB" w:eastAsia="en-US"/>
        </w:rPr>
      </w:pPr>
      <w:r w:rsidRPr="00010C2A">
        <w:rPr>
          <w:rFonts w:eastAsia="Calibri"/>
          <w:lang w:val="en-AU" w:eastAsia="en-US"/>
        </w:rPr>
        <w:t xml:space="preserve">What measures are necessary to ensure that women benefit equally from the transition to sustainability in your national context? What are some of the promising practices to ensure that green jobs do not replicate existing </w:t>
      </w:r>
      <w:r w:rsidRPr="00010C2A">
        <w:rPr>
          <w:rFonts w:eastAsia="Calibri"/>
          <w:lang w:val="en-GB" w:eastAsia="en-US"/>
        </w:rPr>
        <w:t>gender inequalities in other sectors (e.g. occupational segregation, gender pay gap)?</w:t>
      </w:r>
    </w:p>
    <w:sectPr w:rsidR="006F2A7E" w:rsidRPr="006D049B" w:rsidSect="00735EE4">
      <w:headerReference w:type="even" r:id="rId17"/>
      <w:headerReference w:type="default" r:id="rId18"/>
      <w:footerReference w:type="even" r:id="rId19"/>
      <w:footerReference w:type="default" r:id="rId20"/>
      <w:headerReference w:type="first" r:id="rId21"/>
      <w:type w:val="continuous"/>
      <w:pgSz w:w="11916" w:h="16800" w:code="9"/>
      <w:pgMar w:top="567" w:right="1134" w:bottom="567" w:left="1134" w:header="460" w:footer="71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21E24" w14:textId="77777777" w:rsidR="00B567C2" w:rsidRDefault="00B567C2">
      <w:r>
        <w:separator/>
      </w:r>
    </w:p>
  </w:endnote>
  <w:endnote w:type="continuationSeparator" w:id="0">
    <w:p w14:paraId="5D9E67B4" w14:textId="77777777" w:rsidR="00B567C2" w:rsidRDefault="00B5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68022"/>
      <w:docPartObj>
        <w:docPartGallery w:val="Page Numbers (Bottom of Page)"/>
        <w:docPartUnique/>
      </w:docPartObj>
    </w:sdtPr>
    <w:sdtEndPr/>
    <w:sdtContent>
      <w:sdt>
        <w:sdtPr>
          <w:id w:val="860082579"/>
          <w:docPartObj>
            <w:docPartGallery w:val="Page Numbers (Top of Page)"/>
            <w:docPartUnique/>
          </w:docPartObj>
        </w:sdtPr>
        <w:sdtEndPr/>
        <w:sdtContent>
          <w:p w14:paraId="21C20CF2" w14:textId="77777777" w:rsidR="0032143A" w:rsidRDefault="0032143A">
            <w:pPr>
              <w:pStyle w:val="Footer"/>
              <w:jc w:val="right"/>
            </w:pPr>
            <w:r>
              <w:t xml:space="preserve">Página </w:t>
            </w:r>
            <w:r>
              <w:rPr>
                <w:b/>
                <w:bCs/>
              </w:rPr>
              <w:fldChar w:fldCharType="begin"/>
            </w:r>
            <w:r>
              <w:rPr>
                <w:b/>
                <w:bCs/>
              </w:rPr>
              <w:instrText>PAGE</w:instrText>
            </w:r>
            <w:r>
              <w:rPr>
                <w:b/>
                <w:bCs/>
              </w:rPr>
              <w:fldChar w:fldCharType="separate"/>
            </w:r>
            <w:r>
              <w:rPr>
                <w:b/>
                <w:bCs/>
                <w:noProof/>
              </w:rPr>
              <w:t>2</w:t>
            </w:r>
            <w:r>
              <w:rPr>
                <w:b/>
                <w:bCs/>
              </w:rPr>
              <w:fldChar w:fldCharType="end"/>
            </w:r>
            <w:r>
              <w:t xml:space="preserve"> de </w:t>
            </w:r>
            <w:r>
              <w:rPr>
                <w:b/>
                <w:bCs/>
              </w:rPr>
              <w:fldChar w:fldCharType="begin"/>
            </w:r>
            <w:r>
              <w:rPr>
                <w:b/>
                <w:bCs/>
              </w:rPr>
              <w:instrText>NUMPAGES</w:instrText>
            </w:r>
            <w:r>
              <w:rPr>
                <w:b/>
                <w:bCs/>
              </w:rPr>
              <w:fldChar w:fldCharType="separate"/>
            </w:r>
            <w:r w:rsidR="00522537">
              <w:rPr>
                <w:b/>
                <w:bCs/>
                <w:noProof/>
              </w:rPr>
              <w:t>16</w:t>
            </w:r>
            <w:r>
              <w:rPr>
                <w:b/>
                <w:bCs/>
              </w:rPr>
              <w:fldChar w:fldCharType="end"/>
            </w:r>
          </w:p>
        </w:sdtContent>
      </w:sdt>
    </w:sdtContent>
  </w:sdt>
  <w:p w14:paraId="2C776A3F" w14:textId="77777777" w:rsidR="0032143A" w:rsidRPr="00230086" w:rsidRDefault="0032143A" w:rsidP="00230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217294"/>
      <w:docPartObj>
        <w:docPartGallery w:val="Page Numbers (Bottom of Page)"/>
        <w:docPartUnique/>
      </w:docPartObj>
    </w:sdtPr>
    <w:sdtEndPr/>
    <w:sdtContent>
      <w:sdt>
        <w:sdtPr>
          <w:id w:val="-469594494"/>
          <w:docPartObj>
            <w:docPartGallery w:val="Page Numbers (Top of Page)"/>
            <w:docPartUnique/>
          </w:docPartObj>
        </w:sdtPr>
        <w:sdtEndPr/>
        <w:sdtContent>
          <w:p w14:paraId="6596030A" w14:textId="44D68182" w:rsidR="0032143A" w:rsidRDefault="0032143A" w:rsidP="0060020F">
            <w:pPr>
              <w:pStyle w:val="Footer"/>
              <w:spacing w:before="120"/>
              <w:jc w:val="right"/>
            </w:pPr>
            <w:r w:rsidRPr="00735EE4">
              <w:rPr>
                <w:rFonts w:ascii="Century Gothic" w:hAnsi="Century Gothic"/>
                <w:sz w:val="16"/>
                <w:szCs w:val="16"/>
              </w:rPr>
              <w:t xml:space="preserve">Página </w:t>
            </w:r>
            <w:r w:rsidRPr="00735EE4">
              <w:rPr>
                <w:rFonts w:ascii="Century Gothic" w:hAnsi="Century Gothic"/>
                <w:b/>
                <w:bCs/>
                <w:sz w:val="16"/>
                <w:szCs w:val="16"/>
              </w:rPr>
              <w:fldChar w:fldCharType="begin"/>
            </w:r>
            <w:r w:rsidRPr="00735EE4">
              <w:rPr>
                <w:rFonts w:ascii="Century Gothic" w:hAnsi="Century Gothic"/>
                <w:b/>
                <w:bCs/>
                <w:sz w:val="16"/>
                <w:szCs w:val="16"/>
              </w:rPr>
              <w:instrText>PAGE</w:instrText>
            </w:r>
            <w:r w:rsidRPr="00735EE4">
              <w:rPr>
                <w:rFonts w:ascii="Century Gothic" w:hAnsi="Century Gothic"/>
                <w:b/>
                <w:bCs/>
                <w:sz w:val="16"/>
                <w:szCs w:val="16"/>
              </w:rPr>
              <w:fldChar w:fldCharType="separate"/>
            </w:r>
            <w:r w:rsidR="00D75408">
              <w:rPr>
                <w:rFonts w:ascii="Century Gothic" w:hAnsi="Century Gothic"/>
                <w:b/>
                <w:bCs/>
                <w:noProof/>
                <w:sz w:val="16"/>
                <w:szCs w:val="16"/>
              </w:rPr>
              <w:t>16</w:t>
            </w:r>
            <w:r w:rsidRPr="00735EE4">
              <w:rPr>
                <w:rFonts w:ascii="Century Gothic" w:hAnsi="Century Gothic"/>
                <w:b/>
                <w:bCs/>
                <w:sz w:val="16"/>
                <w:szCs w:val="16"/>
              </w:rPr>
              <w:fldChar w:fldCharType="end"/>
            </w:r>
            <w:r w:rsidRPr="00735EE4">
              <w:rPr>
                <w:rFonts w:ascii="Century Gothic" w:hAnsi="Century Gothic"/>
                <w:sz w:val="16"/>
                <w:szCs w:val="16"/>
              </w:rPr>
              <w:t xml:space="preserve"> de </w:t>
            </w:r>
            <w:r w:rsidRPr="00735EE4">
              <w:rPr>
                <w:rFonts w:ascii="Century Gothic" w:hAnsi="Century Gothic"/>
                <w:b/>
                <w:bCs/>
                <w:sz w:val="16"/>
                <w:szCs w:val="16"/>
              </w:rPr>
              <w:fldChar w:fldCharType="begin"/>
            </w:r>
            <w:r w:rsidRPr="00735EE4">
              <w:rPr>
                <w:rFonts w:ascii="Century Gothic" w:hAnsi="Century Gothic"/>
                <w:b/>
                <w:bCs/>
                <w:sz w:val="16"/>
                <w:szCs w:val="16"/>
              </w:rPr>
              <w:instrText>NUMPAGES</w:instrText>
            </w:r>
            <w:r w:rsidRPr="00735EE4">
              <w:rPr>
                <w:rFonts w:ascii="Century Gothic" w:hAnsi="Century Gothic"/>
                <w:b/>
                <w:bCs/>
                <w:sz w:val="16"/>
                <w:szCs w:val="16"/>
              </w:rPr>
              <w:fldChar w:fldCharType="separate"/>
            </w:r>
            <w:r w:rsidR="00D75408">
              <w:rPr>
                <w:rFonts w:ascii="Century Gothic" w:hAnsi="Century Gothic"/>
                <w:b/>
                <w:bCs/>
                <w:noProof/>
                <w:sz w:val="16"/>
                <w:szCs w:val="16"/>
              </w:rPr>
              <w:t>16</w:t>
            </w:r>
            <w:r w:rsidRPr="00735EE4">
              <w:rPr>
                <w:rFonts w:ascii="Century Gothic" w:hAnsi="Century Gothic"/>
                <w:b/>
                <w:bCs/>
                <w:sz w:val="16"/>
                <w:szCs w:val="16"/>
              </w:rPr>
              <w:fldChar w:fldCharType="end"/>
            </w:r>
          </w:p>
        </w:sdtContent>
      </w:sdt>
    </w:sdtContent>
  </w:sdt>
  <w:p w14:paraId="46FF8A8C" w14:textId="77777777" w:rsidR="0032143A" w:rsidRDefault="0032143A" w:rsidP="00546C2D">
    <w:pPr>
      <w:widowControl w:val="0"/>
      <w:autoSpaceDE w:val="0"/>
      <w:autoSpaceDN w:val="0"/>
      <w:adjustRightInd w:val="0"/>
      <w:jc w:val="center"/>
      <w:rPr>
        <w:rFonts w:ascii="Arial Narrow" w:hAnsi="Arial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BBA21" w14:textId="77777777" w:rsidR="00B567C2" w:rsidRDefault="00B567C2">
      <w:r>
        <w:separator/>
      </w:r>
    </w:p>
  </w:footnote>
  <w:footnote w:type="continuationSeparator" w:id="0">
    <w:p w14:paraId="19BD2CF0" w14:textId="77777777" w:rsidR="00B567C2" w:rsidRDefault="00B567C2">
      <w:r>
        <w:continuationSeparator/>
      </w:r>
    </w:p>
  </w:footnote>
  <w:footnote w:id="1">
    <w:p w14:paraId="44B0E477" w14:textId="77777777" w:rsidR="0032143A" w:rsidRPr="00264DC1" w:rsidRDefault="0032143A">
      <w:pPr>
        <w:pStyle w:val="FootnoteText"/>
        <w:rPr>
          <w:lang w:val="en-GB"/>
        </w:rPr>
      </w:pPr>
      <w:r>
        <w:rPr>
          <w:rStyle w:val="FootnoteReference"/>
        </w:rPr>
        <w:footnoteRef/>
      </w:r>
      <w:r w:rsidRPr="00264DC1">
        <w:rPr>
          <w:lang w:val="en-GB"/>
        </w:rPr>
        <w:t xml:space="preserve"> A</w:t>
      </w:r>
      <w:r>
        <w:rPr>
          <w:lang w:val="en-GB"/>
        </w:rPr>
        <w:t xml:space="preserve">n </w:t>
      </w:r>
      <w:r w:rsidR="005F050F">
        <w:rPr>
          <w:lang w:val="en-GB"/>
        </w:rPr>
        <w:t>annually</w:t>
      </w:r>
      <w:r w:rsidRPr="00264DC1">
        <w:rPr>
          <w:lang w:val="en-GB"/>
        </w:rPr>
        <w:t xml:space="preserve"> compulsory survey to firms </w:t>
      </w:r>
      <w:r>
        <w:rPr>
          <w:lang w:val="en-GB"/>
        </w:rPr>
        <w:t>on e</w:t>
      </w:r>
      <w:r w:rsidRPr="00264DC1">
        <w:rPr>
          <w:lang w:val="en-GB"/>
        </w:rPr>
        <w:t>mployees</w:t>
      </w:r>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4718F" w14:textId="77777777" w:rsidR="0032143A" w:rsidRPr="00907937" w:rsidRDefault="0032143A" w:rsidP="008F5DAC">
    <w:pPr>
      <w:pStyle w:val="Header"/>
      <w:tabs>
        <w:tab w:val="clear" w:pos="4252"/>
      </w:tabs>
      <w:ind w:right="108"/>
      <w:rPr>
        <w:szCs w:val="20"/>
      </w:rPr>
    </w:pPr>
    <w:r>
      <w:rPr>
        <w:rFonts w:ascii="Arial" w:hAnsi="Arial" w:cs="Arial"/>
        <w:noProof/>
        <w:sz w:val="20"/>
        <w:szCs w:val="20"/>
        <w:lang w:val="en-GB" w:eastAsia="en-GB"/>
      </w:rPr>
      <w:drawing>
        <wp:inline distT="0" distB="0" distL="0" distR="0" wp14:anchorId="768679EF" wp14:editId="2000B8EB">
          <wp:extent cx="1790700" cy="581025"/>
          <wp:effectExtent l="0" t="0" r="0" b="0"/>
          <wp:docPr id="8" name="Imagem 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a:ln>
                    <a:noFill/>
                  </a:ln>
                </pic:spPr>
              </pic:pic>
            </a:graphicData>
          </a:graphic>
        </wp:inline>
      </w:drawing>
    </w:r>
    <w:r>
      <w:rPr>
        <w:noProof/>
        <w:szCs w:val="20"/>
        <w:lang w:val="en-GB" w:eastAsia="en-GB"/>
      </w:rPr>
      <w:drawing>
        <wp:inline distT="0" distB="0" distL="0" distR="0" wp14:anchorId="56C2C2D9" wp14:editId="08B9D082">
          <wp:extent cx="2152650" cy="971550"/>
          <wp:effectExtent l="0" t="0" r="0" b="0"/>
          <wp:docPr id="9" name="Imagem 9" descr="CITE_Logo s_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E_Logo s_ 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650" cy="971550"/>
                  </a:xfrm>
                  <a:prstGeom prst="rect">
                    <a:avLst/>
                  </a:prstGeom>
                  <a:noFill/>
                  <a:ln>
                    <a:noFill/>
                  </a:ln>
                </pic:spPr>
              </pic:pic>
            </a:graphicData>
          </a:graphic>
        </wp:inline>
      </w:drawing>
    </w:r>
  </w:p>
  <w:p w14:paraId="25E53492" w14:textId="77777777" w:rsidR="0032143A" w:rsidRPr="008F5DAC" w:rsidRDefault="0032143A" w:rsidP="008F5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D647D" w14:textId="6A7FD9EF" w:rsidR="0032143A" w:rsidRPr="00907937" w:rsidRDefault="0032143A" w:rsidP="00CD085A">
    <w:pPr>
      <w:pStyle w:val="Header"/>
      <w:tabs>
        <w:tab w:val="clear" w:pos="4252"/>
      </w:tabs>
      <w:ind w:right="108"/>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C22D4" w14:textId="34DD5F67" w:rsidR="0032143A" w:rsidRDefault="0032143A" w:rsidP="00CD085A">
    <w:pPr>
      <w:pStyle w:val="Header"/>
      <w:tabs>
        <w:tab w:val="clear" w:pos="4252"/>
        <w:tab w:val="center" w:pos="4770"/>
      </w:tabs>
      <w:ind w:right="10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377D8"/>
    <w:multiLevelType w:val="hybridMultilevel"/>
    <w:tmpl w:val="88582D8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2853474"/>
    <w:multiLevelType w:val="hybridMultilevel"/>
    <w:tmpl w:val="E1EA91E2"/>
    <w:lvl w:ilvl="0" w:tplc="B010CB92">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 w15:restartNumberingAfterBreak="0">
    <w:nsid w:val="13240B0B"/>
    <w:multiLevelType w:val="hybridMultilevel"/>
    <w:tmpl w:val="9EACC266"/>
    <w:lvl w:ilvl="0" w:tplc="0816000D">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1AE61CA4"/>
    <w:multiLevelType w:val="hybridMultilevel"/>
    <w:tmpl w:val="BF54826C"/>
    <w:lvl w:ilvl="0" w:tplc="B010CB92">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4" w15:restartNumberingAfterBreak="0">
    <w:nsid w:val="295C7B71"/>
    <w:multiLevelType w:val="hybridMultilevel"/>
    <w:tmpl w:val="CFBAAE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3C5127CD"/>
    <w:multiLevelType w:val="hybridMultilevel"/>
    <w:tmpl w:val="9BC0A33A"/>
    <w:lvl w:ilvl="0" w:tplc="08090001">
      <w:start w:val="1"/>
      <w:numFmt w:val="bullet"/>
      <w:lvlText w:val=""/>
      <w:lvlJc w:val="left"/>
      <w:pPr>
        <w:ind w:left="720" w:hanging="360"/>
      </w:pPr>
      <w:rPr>
        <w:rFonts w:ascii="Symbol" w:hAnsi="Symbol" w:hint="default"/>
      </w:rPr>
    </w:lvl>
    <w:lvl w:ilvl="1" w:tplc="B010CB9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2255EB"/>
    <w:multiLevelType w:val="hybridMultilevel"/>
    <w:tmpl w:val="81A4000E"/>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4F262BAA"/>
    <w:multiLevelType w:val="hybridMultilevel"/>
    <w:tmpl w:val="C106B144"/>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4FA52C17"/>
    <w:multiLevelType w:val="hybridMultilevel"/>
    <w:tmpl w:val="3B3E28B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5A680D61"/>
    <w:multiLevelType w:val="hybridMultilevel"/>
    <w:tmpl w:val="3FFC039A"/>
    <w:lvl w:ilvl="0" w:tplc="DF9285D8">
      <w:start w:val="4"/>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5F36670A"/>
    <w:multiLevelType w:val="hybridMultilevel"/>
    <w:tmpl w:val="732825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61BF3A06"/>
    <w:multiLevelType w:val="hybridMultilevel"/>
    <w:tmpl w:val="681A0F48"/>
    <w:lvl w:ilvl="0" w:tplc="B010CB92">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76C94333"/>
    <w:multiLevelType w:val="hybridMultilevel"/>
    <w:tmpl w:val="60003C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5"/>
  </w:num>
  <w:num w:numId="4">
    <w:abstractNumId w:val="11"/>
  </w:num>
  <w:num w:numId="5">
    <w:abstractNumId w:val="3"/>
  </w:num>
  <w:num w:numId="6">
    <w:abstractNumId w:val="1"/>
  </w:num>
  <w:num w:numId="7">
    <w:abstractNumId w:val="7"/>
  </w:num>
  <w:num w:numId="8">
    <w:abstractNumId w:val="9"/>
  </w:num>
  <w:num w:numId="9">
    <w:abstractNumId w:val="8"/>
  </w:num>
  <w:num w:numId="10">
    <w:abstractNumId w:val="0"/>
  </w:num>
  <w:num w:numId="11">
    <w:abstractNumId w:val="6"/>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90"/>
  <w:drawingGridVerticalSpacing w:val="245"/>
  <w:displayHorizontalDrawingGridEvery w:val="0"/>
  <w:doNotShadeFormData/>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A30"/>
    <w:rsid w:val="0000399C"/>
    <w:rsid w:val="000051D0"/>
    <w:rsid w:val="00010C2A"/>
    <w:rsid w:val="00020419"/>
    <w:rsid w:val="00024425"/>
    <w:rsid w:val="00031734"/>
    <w:rsid w:val="00031FE0"/>
    <w:rsid w:val="00036652"/>
    <w:rsid w:val="000400AC"/>
    <w:rsid w:val="000411D8"/>
    <w:rsid w:val="000412C9"/>
    <w:rsid w:val="00047C1B"/>
    <w:rsid w:val="00051697"/>
    <w:rsid w:val="0005222F"/>
    <w:rsid w:val="000635E4"/>
    <w:rsid w:val="00070FEB"/>
    <w:rsid w:val="00071013"/>
    <w:rsid w:val="00072504"/>
    <w:rsid w:val="000813A3"/>
    <w:rsid w:val="00083566"/>
    <w:rsid w:val="000864CD"/>
    <w:rsid w:val="000903C1"/>
    <w:rsid w:val="00090B2A"/>
    <w:rsid w:val="0009339B"/>
    <w:rsid w:val="00095F1B"/>
    <w:rsid w:val="000B2C8A"/>
    <w:rsid w:val="000B6BD2"/>
    <w:rsid w:val="000C1A7A"/>
    <w:rsid w:val="000C503A"/>
    <w:rsid w:val="000E799D"/>
    <w:rsid w:val="000F08DA"/>
    <w:rsid w:val="000F5F3D"/>
    <w:rsid w:val="0010716C"/>
    <w:rsid w:val="001072D2"/>
    <w:rsid w:val="001365AD"/>
    <w:rsid w:val="00141E18"/>
    <w:rsid w:val="00142DFA"/>
    <w:rsid w:val="00144AB3"/>
    <w:rsid w:val="001473A7"/>
    <w:rsid w:val="00162300"/>
    <w:rsid w:val="0018425F"/>
    <w:rsid w:val="00185806"/>
    <w:rsid w:val="00187B69"/>
    <w:rsid w:val="00191AAA"/>
    <w:rsid w:val="00192270"/>
    <w:rsid w:val="00196424"/>
    <w:rsid w:val="00196B87"/>
    <w:rsid w:val="001A4241"/>
    <w:rsid w:val="001A4AD7"/>
    <w:rsid w:val="001B2F87"/>
    <w:rsid w:val="001B7D2F"/>
    <w:rsid w:val="001C3CE1"/>
    <w:rsid w:val="001D5AD1"/>
    <w:rsid w:val="001D707C"/>
    <w:rsid w:val="001E39E0"/>
    <w:rsid w:val="001E4E36"/>
    <w:rsid w:val="001E79A6"/>
    <w:rsid w:val="001F0F03"/>
    <w:rsid w:val="00201193"/>
    <w:rsid w:val="0020291D"/>
    <w:rsid w:val="00213522"/>
    <w:rsid w:val="00223E1A"/>
    <w:rsid w:val="00230086"/>
    <w:rsid w:val="0024022D"/>
    <w:rsid w:val="00242028"/>
    <w:rsid w:val="00242A30"/>
    <w:rsid w:val="00244612"/>
    <w:rsid w:val="0024609B"/>
    <w:rsid w:val="002636A0"/>
    <w:rsid w:val="002648D1"/>
    <w:rsid w:val="00264DC1"/>
    <w:rsid w:val="00265DC7"/>
    <w:rsid w:val="00267BA2"/>
    <w:rsid w:val="002724B9"/>
    <w:rsid w:val="00273654"/>
    <w:rsid w:val="00276996"/>
    <w:rsid w:val="00285BAA"/>
    <w:rsid w:val="00291B5A"/>
    <w:rsid w:val="00295D66"/>
    <w:rsid w:val="00297FFE"/>
    <w:rsid w:val="002B296D"/>
    <w:rsid w:val="002C439C"/>
    <w:rsid w:val="002C45A0"/>
    <w:rsid w:val="002C6D81"/>
    <w:rsid w:val="002E0111"/>
    <w:rsid w:val="002E5278"/>
    <w:rsid w:val="002E64CC"/>
    <w:rsid w:val="002F6222"/>
    <w:rsid w:val="003033F0"/>
    <w:rsid w:val="00303D83"/>
    <w:rsid w:val="00304A17"/>
    <w:rsid w:val="003054BA"/>
    <w:rsid w:val="003072C4"/>
    <w:rsid w:val="0032143A"/>
    <w:rsid w:val="003240F5"/>
    <w:rsid w:val="00326307"/>
    <w:rsid w:val="00326E9B"/>
    <w:rsid w:val="00332009"/>
    <w:rsid w:val="00332DAE"/>
    <w:rsid w:val="00336778"/>
    <w:rsid w:val="00351627"/>
    <w:rsid w:val="0035681F"/>
    <w:rsid w:val="00361B40"/>
    <w:rsid w:val="0036351D"/>
    <w:rsid w:val="00365F47"/>
    <w:rsid w:val="00367C24"/>
    <w:rsid w:val="003709FC"/>
    <w:rsid w:val="003730D0"/>
    <w:rsid w:val="00376D15"/>
    <w:rsid w:val="00380082"/>
    <w:rsid w:val="00391D7F"/>
    <w:rsid w:val="003944B5"/>
    <w:rsid w:val="003A0B73"/>
    <w:rsid w:val="003B288B"/>
    <w:rsid w:val="003C0F67"/>
    <w:rsid w:val="003C2116"/>
    <w:rsid w:val="003D0892"/>
    <w:rsid w:val="003D5CF9"/>
    <w:rsid w:val="003E66FE"/>
    <w:rsid w:val="003F05EF"/>
    <w:rsid w:val="003F4C68"/>
    <w:rsid w:val="003F58C9"/>
    <w:rsid w:val="003F5A9F"/>
    <w:rsid w:val="003F72B2"/>
    <w:rsid w:val="004057BB"/>
    <w:rsid w:val="00407E56"/>
    <w:rsid w:val="00411746"/>
    <w:rsid w:val="004240EC"/>
    <w:rsid w:val="004251E6"/>
    <w:rsid w:val="00441DA7"/>
    <w:rsid w:val="004472CD"/>
    <w:rsid w:val="004478FD"/>
    <w:rsid w:val="00454274"/>
    <w:rsid w:val="004562E8"/>
    <w:rsid w:val="0046168C"/>
    <w:rsid w:val="00462E5A"/>
    <w:rsid w:val="00462F92"/>
    <w:rsid w:val="0046358C"/>
    <w:rsid w:val="00465713"/>
    <w:rsid w:val="00465ECC"/>
    <w:rsid w:val="00467978"/>
    <w:rsid w:val="0047312E"/>
    <w:rsid w:val="00473576"/>
    <w:rsid w:val="00473B75"/>
    <w:rsid w:val="004835DA"/>
    <w:rsid w:val="004964A3"/>
    <w:rsid w:val="004A2E85"/>
    <w:rsid w:val="004A53CA"/>
    <w:rsid w:val="004A5B01"/>
    <w:rsid w:val="004C5032"/>
    <w:rsid w:val="004D0D68"/>
    <w:rsid w:val="004D3A7F"/>
    <w:rsid w:val="004D519F"/>
    <w:rsid w:val="004E3E38"/>
    <w:rsid w:val="004E4AC7"/>
    <w:rsid w:val="004E4EA6"/>
    <w:rsid w:val="004F00E6"/>
    <w:rsid w:val="004F13D6"/>
    <w:rsid w:val="004F5C4E"/>
    <w:rsid w:val="005118D1"/>
    <w:rsid w:val="005144E7"/>
    <w:rsid w:val="00521BBC"/>
    <w:rsid w:val="00522537"/>
    <w:rsid w:val="00523111"/>
    <w:rsid w:val="005263E3"/>
    <w:rsid w:val="00527C9A"/>
    <w:rsid w:val="005345F7"/>
    <w:rsid w:val="00541062"/>
    <w:rsid w:val="005434B2"/>
    <w:rsid w:val="00546C2D"/>
    <w:rsid w:val="00551B7C"/>
    <w:rsid w:val="00552CE8"/>
    <w:rsid w:val="0056003D"/>
    <w:rsid w:val="005613D9"/>
    <w:rsid w:val="00561F8F"/>
    <w:rsid w:val="005624A8"/>
    <w:rsid w:val="00563C13"/>
    <w:rsid w:val="0057169E"/>
    <w:rsid w:val="00592C55"/>
    <w:rsid w:val="00594AD3"/>
    <w:rsid w:val="005959B6"/>
    <w:rsid w:val="005A0A84"/>
    <w:rsid w:val="005A1CD3"/>
    <w:rsid w:val="005A6B7E"/>
    <w:rsid w:val="005D3E76"/>
    <w:rsid w:val="005E1D80"/>
    <w:rsid w:val="005E2622"/>
    <w:rsid w:val="005E42CA"/>
    <w:rsid w:val="005F050F"/>
    <w:rsid w:val="005F0584"/>
    <w:rsid w:val="005F1FD7"/>
    <w:rsid w:val="005F25A1"/>
    <w:rsid w:val="005F344D"/>
    <w:rsid w:val="005F7EFC"/>
    <w:rsid w:val="0060020F"/>
    <w:rsid w:val="00602326"/>
    <w:rsid w:val="00603744"/>
    <w:rsid w:val="0060574F"/>
    <w:rsid w:val="00605DF3"/>
    <w:rsid w:val="00605FEF"/>
    <w:rsid w:val="00607E07"/>
    <w:rsid w:val="00607E3C"/>
    <w:rsid w:val="00612333"/>
    <w:rsid w:val="00616614"/>
    <w:rsid w:val="006230C0"/>
    <w:rsid w:val="00624659"/>
    <w:rsid w:val="0063117D"/>
    <w:rsid w:val="00633602"/>
    <w:rsid w:val="006347FA"/>
    <w:rsid w:val="006420CD"/>
    <w:rsid w:val="0064242A"/>
    <w:rsid w:val="006475BD"/>
    <w:rsid w:val="00657047"/>
    <w:rsid w:val="00661518"/>
    <w:rsid w:val="00665FA8"/>
    <w:rsid w:val="0068158C"/>
    <w:rsid w:val="0068292E"/>
    <w:rsid w:val="006A3887"/>
    <w:rsid w:val="006A65F1"/>
    <w:rsid w:val="006C02B1"/>
    <w:rsid w:val="006C339A"/>
    <w:rsid w:val="006C49D6"/>
    <w:rsid w:val="006D049B"/>
    <w:rsid w:val="006D39BF"/>
    <w:rsid w:val="006E25D4"/>
    <w:rsid w:val="006F0847"/>
    <w:rsid w:val="006F2855"/>
    <w:rsid w:val="006F2A7E"/>
    <w:rsid w:val="006F668A"/>
    <w:rsid w:val="00701C27"/>
    <w:rsid w:val="00703542"/>
    <w:rsid w:val="00710991"/>
    <w:rsid w:val="0072126B"/>
    <w:rsid w:val="00727F9D"/>
    <w:rsid w:val="00732364"/>
    <w:rsid w:val="007349F3"/>
    <w:rsid w:val="007359AB"/>
    <w:rsid w:val="00735EE4"/>
    <w:rsid w:val="007409E2"/>
    <w:rsid w:val="007467E9"/>
    <w:rsid w:val="007531E0"/>
    <w:rsid w:val="0076089F"/>
    <w:rsid w:val="00760F2E"/>
    <w:rsid w:val="007612A9"/>
    <w:rsid w:val="00765F7B"/>
    <w:rsid w:val="00775C6F"/>
    <w:rsid w:val="00776EAB"/>
    <w:rsid w:val="0077712C"/>
    <w:rsid w:val="0078185A"/>
    <w:rsid w:val="007910FF"/>
    <w:rsid w:val="00794611"/>
    <w:rsid w:val="007964AE"/>
    <w:rsid w:val="007967E5"/>
    <w:rsid w:val="007A3330"/>
    <w:rsid w:val="007A54CB"/>
    <w:rsid w:val="007A5E53"/>
    <w:rsid w:val="007B2F46"/>
    <w:rsid w:val="007B33CC"/>
    <w:rsid w:val="007C033B"/>
    <w:rsid w:val="007C459E"/>
    <w:rsid w:val="007F3E83"/>
    <w:rsid w:val="007F7EEA"/>
    <w:rsid w:val="0080422E"/>
    <w:rsid w:val="00805A01"/>
    <w:rsid w:val="0080705F"/>
    <w:rsid w:val="0081238B"/>
    <w:rsid w:val="00815703"/>
    <w:rsid w:val="00816141"/>
    <w:rsid w:val="00820C90"/>
    <w:rsid w:val="00822C25"/>
    <w:rsid w:val="00826DF5"/>
    <w:rsid w:val="008368C5"/>
    <w:rsid w:val="00837932"/>
    <w:rsid w:val="00837A97"/>
    <w:rsid w:val="00841EF9"/>
    <w:rsid w:val="00851118"/>
    <w:rsid w:val="008546E1"/>
    <w:rsid w:val="00855490"/>
    <w:rsid w:val="008607F4"/>
    <w:rsid w:val="008670C5"/>
    <w:rsid w:val="00870564"/>
    <w:rsid w:val="008744BA"/>
    <w:rsid w:val="008810A4"/>
    <w:rsid w:val="0088601C"/>
    <w:rsid w:val="00887973"/>
    <w:rsid w:val="008936E4"/>
    <w:rsid w:val="00894FF0"/>
    <w:rsid w:val="00897A20"/>
    <w:rsid w:val="008A33E7"/>
    <w:rsid w:val="008C5A7C"/>
    <w:rsid w:val="008C7E2B"/>
    <w:rsid w:val="008F5DAC"/>
    <w:rsid w:val="009054D1"/>
    <w:rsid w:val="00915A35"/>
    <w:rsid w:val="00916FCE"/>
    <w:rsid w:val="00921E2E"/>
    <w:rsid w:val="00926F17"/>
    <w:rsid w:val="0093163C"/>
    <w:rsid w:val="00933F07"/>
    <w:rsid w:val="00942437"/>
    <w:rsid w:val="00945776"/>
    <w:rsid w:val="00945D60"/>
    <w:rsid w:val="00950EAB"/>
    <w:rsid w:val="00951ED5"/>
    <w:rsid w:val="00954B2F"/>
    <w:rsid w:val="00965847"/>
    <w:rsid w:val="00966E04"/>
    <w:rsid w:val="00967516"/>
    <w:rsid w:val="00967AA6"/>
    <w:rsid w:val="00977AD1"/>
    <w:rsid w:val="00980991"/>
    <w:rsid w:val="0098293B"/>
    <w:rsid w:val="00986635"/>
    <w:rsid w:val="00995117"/>
    <w:rsid w:val="009B6373"/>
    <w:rsid w:val="009C425A"/>
    <w:rsid w:val="009C69BE"/>
    <w:rsid w:val="009C6B5E"/>
    <w:rsid w:val="009D46F1"/>
    <w:rsid w:val="009D573F"/>
    <w:rsid w:val="009E19E9"/>
    <w:rsid w:val="009E2E0B"/>
    <w:rsid w:val="009E4474"/>
    <w:rsid w:val="00A06675"/>
    <w:rsid w:val="00A2442A"/>
    <w:rsid w:val="00A4037E"/>
    <w:rsid w:val="00A45E53"/>
    <w:rsid w:val="00A50CAA"/>
    <w:rsid w:val="00A56F6E"/>
    <w:rsid w:val="00A5718B"/>
    <w:rsid w:val="00A63C3B"/>
    <w:rsid w:val="00A71A48"/>
    <w:rsid w:val="00A743FC"/>
    <w:rsid w:val="00A815BD"/>
    <w:rsid w:val="00A90178"/>
    <w:rsid w:val="00A93540"/>
    <w:rsid w:val="00A955E1"/>
    <w:rsid w:val="00A971BF"/>
    <w:rsid w:val="00A97C92"/>
    <w:rsid w:val="00AA130F"/>
    <w:rsid w:val="00AA161D"/>
    <w:rsid w:val="00AA72E4"/>
    <w:rsid w:val="00AB010B"/>
    <w:rsid w:val="00AB763F"/>
    <w:rsid w:val="00AC0C9C"/>
    <w:rsid w:val="00AC13EE"/>
    <w:rsid w:val="00AC2452"/>
    <w:rsid w:val="00AC3F9D"/>
    <w:rsid w:val="00AD02E9"/>
    <w:rsid w:val="00AD0F56"/>
    <w:rsid w:val="00AD7217"/>
    <w:rsid w:val="00AE5861"/>
    <w:rsid w:val="00AF1C61"/>
    <w:rsid w:val="00AF3760"/>
    <w:rsid w:val="00AF45BA"/>
    <w:rsid w:val="00AF7354"/>
    <w:rsid w:val="00B06E6E"/>
    <w:rsid w:val="00B07545"/>
    <w:rsid w:val="00B101C7"/>
    <w:rsid w:val="00B1104B"/>
    <w:rsid w:val="00B13987"/>
    <w:rsid w:val="00B17118"/>
    <w:rsid w:val="00B24B66"/>
    <w:rsid w:val="00B2760B"/>
    <w:rsid w:val="00B30B4E"/>
    <w:rsid w:val="00B310C4"/>
    <w:rsid w:val="00B332F3"/>
    <w:rsid w:val="00B34D33"/>
    <w:rsid w:val="00B46EA2"/>
    <w:rsid w:val="00B53154"/>
    <w:rsid w:val="00B54F70"/>
    <w:rsid w:val="00B567C2"/>
    <w:rsid w:val="00B62DAB"/>
    <w:rsid w:val="00B779DF"/>
    <w:rsid w:val="00B91089"/>
    <w:rsid w:val="00B9501D"/>
    <w:rsid w:val="00BA1751"/>
    <w:rsid w:val="00BB0F8F"/>
    <w:rsid w:val="00BB110A"/>
    <w:rsid w:val="00BB12E7"/>
    <w:rsid w:val="00BB2509"/>
    <w:rsid w:val="00BB2EFF"/>
    <w:rsid w:val="00BB4155"/>
    <w:rsid w:val="00BC01D2"/>
    <w:rsid w:val="00BC2A5E"/>
    <w:rsid w:val="00BC6492"/>
    <w:rsid w:val="00BC77D6"/>
    <w:rsid w:val="00BD6161"/>
    <w:rsid w:val="00BF162A"/>
    <w:rsid w:val="00BF5D3C"/>
    <w:rsid w:val="00C053D7"/>
    <w:rsid w:val="00C25441"/>
    <w:rsid w:val="00C31B79"/>
    <w:rsid w:val="00C44084"/>
    <w:rsid w:val="00C44535"/>
    <w:rsid w:val="00C451A0"/>
    <w:rsid w:val="00C4544C"/>
    <w:rsid w:val="00C55244"/>
    <w:rsid w:val="00C74499"/>
    <w:rsid w:val="00C74C49"/>
    <w:rsid w:val="00C74DF0"/>
    <w:rsid w:val="00C7774E"/>
    <w:rsid w:val="00C80C04"/>
    <w:rsid w:val="00C84455"/>
    <w:rsid w:val="00C904DC"/>
    <w:rsid w:val="00C939CA"/>
    <w:rsid w:val="00C95A9D"/>
    <w:rsid w:val="00CA1CCF"/>
    <w:rsid w:val="00CA4323"/>
    <w:rsid w:val="00CA60EE"/>
    <w:rsid w:val="00CB673B"/>
    <w:rsid w:val="00CC14E1"/>
    <w:rsid w:val="00CC1F7B"/>
    <w:rsid w:val="00CC372F"/>
    <w:rsid w:val="00CC47B2"/>
    <w:rsid w:val="00CD085A"/>
    <w:rsid w:val="00CD6F7D"/>
    <w:rsid w:val="00CD7FC2"/>
    <w:rsid w:val="00CE55D6"/>
    <w:rsid w:val="00CF14E2"/>
    <w:rsid w:val="00CF210C"/>
    <w:rsid w:val="00CF4D7E"/>
    <w:rsid w:val="00D06EF0"/>
    <w:rsid w:val="00D23569"/>
    <w:rsid w:val="00D33D2B"/>
    <w:rsid w:val="00D354B5"/>
    <w:rsid w:val="00D425CB"/>
    <w:rsid w:val="00D571D3"/>
    <w:rsid w:val="00D6020C"/>
    <w:rsid w:val="00D60A08"/>
    <w:rsid w:val="00D63BC4"/>
    <w:rsid w:val="00D75408"/>
    <w:rsid w:val="00D80D55"/>
    <w:rsid w:val="00D81BAF"/>
    <w:rsid w:val="00D83BE7"/>
    <w:rsid w:val="00D8567C"/>
    <w:rsid w:val="00D92237"/>
    <w:rsid w:val="00DA2D1D"/>
    <w:rsid w:val="00DA7BBE"/>
    <w:rsid w:val="00DB1362"/>
    <w:rsid w:val="00DB351D"/>
    <w:rsid w:val="00DB6430"/>
    <w:rsid w:val="00DB6AA7"/>
    <w:rsid w:val="00DB6EC3"/>
    <w:rsid w:val="00DC3D01"/>
    <w:rsid w:val="00DC6C2E"/>
    <w:rsid w:val="00DE294E"/>
    <w:rsid w:val="00DF437C"/>
    <w:rsid w:val="00DF6B90"/>
    <w:rsid w:val="00DF7AEA"/>
    <w:rsid w:val="00E06BDB"/>
    <w:rsid w:val="00E12DAF"/>
    <w:rsid w:val="00E342FA"/>
    <w:rsid w:val="00E40030"/>
    <w:rsid w:val="00E438E9"/>
    <w:rsid w:val="00E5414D"/>
    <w:rsid w:val="00E5589A"/>
    <w:rsid w:val="00E55C3E"/>
    <w:rsid w:val="00E56B14"/>
    <w:rsid w:val="00E66360"/>
    <w:rsid w:val="00E67B13"/>
    <w:rsid w:val="00E71EE0"/>
    <w:rsid w:val="00E80636"/>
    <w:rsid w:val="00E93561"/>
    <w:rsid w:val="00EA2F8A"/>
    <w:rsid w:val="00EA3FE7"/>
    <w:rsid w:val="00EA4E1A"/>
    <w:rsid w:val="00EA769A"/>
    <w:rsid w:val="00EC50CE"/>
    <w:rsid w:val="00ED46D8"/>
    <w:rsid w:val="00ED6E39"/>
    <w:rsid w:val="00EF635C"/>
    <w:rsid w:val="00EF76D5"/>
    <w:rsid w:val="00F06419"/>
    <w:rsid w:val="00F13C4B"/>
    <w:rsid w:val="00F15CD0"/>
    <w:rsid w:val="00F253DB"/>
    <w:rsid w:val="00F258E6"/>
    <w:rsid w:val="00F33D5F"/>
    <w:rsid w:val="00F343C2"/>
    <w:rsid w:val="00F4009E"/>
    <w:rsid w:val="00F430D4"/>
    <w:rsid w:val="00F51981"/>
    <w:rsid w:val="00F52EF3"/>
    <w:rsid w:val="00F53A63"/>
    <w:rsid w:val="00F54A9E"/>
    <w:rsid w:val="00F646A0"/>
    <w:rsid w:val="00F751FE"/>
    <w:rsid w:val="00F7521F"/>
    <w:rsid w:val="00F7622F"/>
    <w:rsid w:val="00F76598"/>
    <w:rsid w:val="00F80972"/>
    <w:rsid w:val="00F84277"/>
    <w:rsid w:val="00F84743"/>
    <w:rsid w:val="00F85CAB"/>
    <w:rsid w:val="00F875AE"/>
    <w:rsid w:val="00F95921"/>
    <w:rsid w:val="00FA2879"/>
    <w:rsid w:val="00FB5853"/>
    <w:rsid w:val="00FB7762"/>
    <w:rsid w:val="00FC1CAD"/>
    <w:rsid w:val="00FC2ACC"/>
    <w:rsid w:val="00FD0D09"/>
    <w:rsid w:val="00FD3DFA"/>
    <w:rsid w:val="00FF1B58"/>
    <w:rsid w:val="00FF3DC7"/>
    <w:rsid w:val="00FF43B8"/>
    <w:rsid w:val="00FF5342"/>
    <w:rsid w:val="00FF65F9"/>
    <w:rsid w:val="00FF6D7D"/>
  </w:rsids>
  <m:mathPr>
    <m:mathFont m:val="Cambria Math"/>
    <m:brkBin m:val="before"/>
    <m:brkBinSub m:val="--"/>
    <m:smallFrac m:val="0"/>
    <m:dispDef/>
    <m:lMargin m:val="0"/>
    <m:rMargin m:val="0"/>
    <m:defJc m:val="centerGroup"/>
    <m:wrapIndent m:val="1440"/>
    <m:intLim m:val="subSup"/>
    <m:naryLim m:val="undOvr"/>
  </m:mathPr>
  <w:themeFontLang w:val="pt-PT"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7AA3F7"/>
  <w15:docId w15:val="{A5858DA3-60EF-4ECB-9DAE-D0B85BE8A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link w:val="Heading2Char"/>
    <w:uiPriority w:val="9"/>
    <w:qFormat/>
    <w:rsid w:val="000411D8"/>
    <w:pPr>
      <w:spacing w:after="240"/>
      <w:outlineLvl w:val="1"/>
    </w:pPr>
    <w:rPr>
      <w:color w:val="333333"/>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pPr>
      <w:tabs>
        <w:tab w:val="center" w:pos="4252"/>
        <w:tab w:val="right" w:pos="8504"/>
      </w:tabs>
    </w:pPr>
  </w:style>
  <w:style w:type="paragraph" w:styleId="Footer">
    <w:name w:val="footer"/>
    <w:basedOn w:val="Normal"/>
    <w:link w:val="FooterChar"/>
    <w:uiPriority w:val="99"/>
    <w:pPr>
      <w:tabs>
        <w:tab w:val="center" w:pos="4252"/>
        <w:tab w:val="right" w:pos="8504"/>
      </w:tabs>
    </w:pPr>
  </w:style>
  <w:style w:type="character" w:styleId="PageNumber">
    <w:name w:val="page number"/>
    <w:basedOn w:val="DefaultParagraphFont"/>
  </w:style>
  <w:style w:type="paragraph" w:styleId="BodyTextIndent">
    <w:name w:val="Body Text Indent"/>
    <w:basedOn w:val="Normal"/>
    <w:pPr>
      <w:widowControl w:val="0"/>
      <w:autoSpaceDE w:val="0"/>
      <w:autoSpaceDN w:val="0"/>
      <w:adjustRightInd w:val="0"/>
      <w:ind w:left="709"/>
      <w:jc w:val="both"/>
    </w:pPr>
    <w:rPr>
      <w:rFonts w:ascii="Arial" w:hAnsi="Arial" w:cs="Arial"/>
      <w:szCs w:val="20"/>
    </w:rPr>
  </w:style>
  <w:style w:type="character" w:styleId="Hyperlink">
    <w:name w:val="Hyperlink"/>
    <w:rPr>
      <w:color w:val="0000FF"/>
      <w:u w:val="single"/>
    </w:rPr>
  </w:style>
  <w:style w:type="paragraph" w:styleId="BalloonText">
    <w:name w:val="Balloon Text"/>
    <w:basedOn w:val="Normal"/>
    <w:semiHidden/>
    <w:rsid w:val="0046358C"/>
    <w:rPr>
      <w:rFonts w:ascii="Tahoma" w:hAnsi="Tahoma" w:cs="Tahoma"/>
      <w:sz w:val="16"/>
      <w:szCs w:val="16"/>
    </w:rPr>
  </w:style>
  <w:style w:type="character" w:customStyle="1" w:styleId="contact-address1">
    <w:name w:val="contact-address1"/>
    <w:rsid w:val="007467E9"/>
    <w:rPr>
      <w:sz w:val="17"/>
      <w:szCs w:val="17"/>
    </w:rPr>
  </w:style>
  <w:style w:type="character" w:customStyle="1" w:styleId="HeaderChar">
    <w:name w:val="Header Char"/>
    <w:aliases w:val="Header1 Char"/>
    <w:link w:val="Header"/>
    <w:rsid w:val="00187B69"/>
    <w:rPr>
      <w:sz w:val="24"/>
      <w:szCs w:val="24"/>
      <w:lang w:val="pt-PT" w:eastAsia="pt-PT" w:bidi="ar-SA"/>
    </w:rPr>
  </w:style>
  <w:style w:type="character" w:customStyle="1" w:styleId="FooterChar">
    <w:name w:val="Footer Char"/>
    <w:basedOn w:val="DefaultParagraphFont"/>
    <w:link w:val="Footer"/>
    <w:uiPriority w:val="99"/>
    <w:rsid w:val="00735EE4"/>
    <w:rPr>
      <w:sz w:val="24"/>
      <w:szCs w:val="24"/>
    </w:rPr>
  </w:style>
  <w:style w:type="paragraph" w:styleId="ListParagraph">
    <w:name w:val="List Paragraph"/>
    <w:aliases w:val="Heading3,body,Odsek zoznamu2,Lista 1,Dot pt,F5 List Paragraph,List Paragraph1,No Spacing1,List Paragraph Char Char Char,Indicator Text,Numbered Para 1,Colorful List - Accent 11,Bullet 1,Bullet Points,List Paragraph2,MAIN CONTENT"/>
    <w:basedOn w:val="Normal"/>
    <w:link w:val="ListParagraphChar"/>
    <w:uiPriority w:val="34"/>
    <w:qFormat/>
    <w:rsid w:val="00816141"/>
    <w:pPr>
      <w:ind w:left="720"/>
      <w:contextualSpacing/>
    </w:pPr>
  </w:style>
  <w:style w:type="paragraph" w:styleId="FootnoteText">
    <w:name w:val="footnote text"/>
    <w:basedOn w:val="Normal"/>
    <w:link w:val="FootnoteTextChar"/>
    <w:uiPriority w:val="99"/>
    <w:semiHidden/>
    <w:unhideWhenUsed/>
    <w:rsid w:val="00CD085A"/>
    <w:rPr>
      <w:sz w:val="20"/>
      <w:szCs w:val="20"/>
    </w:rPr>
  </w:style>
  <w:style w:type="character" w:customStyle="1" w:styleId="FootnoteTextChar">
    <w:name w:val="Footnote Text Char"/>
    <w:basedOn w:val="DefaultParagraphFont"/>
    <w:link w:val="FootnoteText"/>
    <w:uiPriority w:val="99"/>
    <w:semiHidden/>
    <w:rsid w:val="00CD085A"/>
  </w:style>
  <w:style w:type="character" w:styleId="FootnoteReference">
    <w:name w:val="footnote reference"/>
    <w:basedOn w:val="DefaultParagraphFont"/>
    <w:uiPriority w:val="99"/>
    <w:semiHidden/>
    <w:unhideWhenUsed/>
    <w:rsid w:val="00CD085A"/>
    <w:rPr>
      <w:vertAlign w:val="superscript"/>
    </w:rPr>
  </w:style>
  <w:style w:type="character" w:customStyle="1" w:styleId="ListParagraphChar">
    <w:name w:val="List Paragraph Char"/>
    <w:aliases w:val="Heading3 Char,body Char,Odsek zoznamu2 Char,Lista 1 Char,Dot pt Char,F5 List Paragraph Char,List Paragraph1 Char,No Spacing1 Char,List Paragraph Char Char Char Char,Indicator Text Char,Numbered Para 1 Char,Bullet 1 Char"/>
    <w:link w:val="ListParagraph"/>
    <w:uiPriority w:val="34"/>
    <w:qFormat/>
    <w:locked/>
    <w:rsid w:val="00605FEF"/>
    <w:rPr>
      <w:sz w:val="24"/>
      <w:szCs w:val="24"/>
    </w:rPr>
  </w:style>
  <w:style w:type="paragraph" w:styleId="Caption">
    <w:name w:val="caption"/>
    <w:basedOn w:val="Normal"/>
    <w:next w:val="Normal"/>
    <w:uiPriority w:val="99"/>
    <w:unhideWhenUsed/>
    <w:qFormat/>
    <w:rsid w:val="00605FEF"/>
    <w:pPr>
      <w:spacing w:after="200" w:line="276" w:lineRule="auto"/>
      <w:jc w:val="both"/>
    </w:pPr>
    <w:rPr>
      <w:rFonts w:ascii="Calibri" w:eastAsia="Calibri" w:hAnsi="Calibri" w:cs="Arial"/>
      <w:b/>
      <w:bCs/>
      <w:color w:val="4F81BD" w:themeColor="accent1"/>
      <w:sz w:val="20"/>
      <w:szCs w:val="18"/>
    </w:rPr>
  </w:style>
  <w:style w:type="paragraph" w:customStyle="1" w:styleId="Default">
    <w:name w:val="Default"/>
    <w:rsid w:val="004C5032"/>
    <w:pPr>
      <w:autoSpaceDE w:val="0"/>
      <w:autoSpaceDN w:val="0"/>
      <w:adjustRightInd w:val="0"/>
    </w:pPr>
    <w:rPr>
      <w:rFonts w:ascii="EUAlbertina" w:hAnsi="EUAlbertina" w:cs="EUAlbertina"/>
      <w:color w:val="000000"/>
      <w:sz w:val="24"/>
      <w:szCs w:val="24"/>
    </w:rPr>
  </w:style>
  <w:style w:type="character" w:customStyle="1" w:styleId="Heading2Char">
    <w:name w:val="Heading 2 Char"/>
    <w:basedOn w:val="DefaultParagraphFont"/>
    <w:link w:val="Heading2"/>
    <w:uiPriority w:val="9"/>
    <w:rsid w:val="000411D8"/>
    <w:rPr>
      <w:color w:val="333333"/>
      <w:sz w:val="36"/>
      <w:szCs w:val="36"/>
    </w:rPr>
  </w:style>
  <w:style w:type="character" w:styleId="FollowedHyperlink">
    <w:name w:val="FollowedHyperlink"/>
    <w:basedOn w:val="DefaultParagraphFont"/>
    <w:semiHidden/>
    <w:unhideWhenUsed/>
    <w:rsid w:val="00020419"/>
    <w:rPr>
      <w:color w:val="800080" w:themeColor="followedHyperlink"/>
      <w:u w:val="single"/>
    </w:rPr>
  </w:style>
  <w:style w:type="character" w:customStyle="1" w:styleId="UnresolvedMention">
    <w:name w:val="Unresolved Mention"/>
    <w:basedOn w:val="DefaultParagraphFont"/>
    <w:uiPriority w:val="99"/>
    <w:semiHidden/>
    <w:unhideWhenUsed/>
    <w:rsid w:val="000204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861180">
      <w:bodyDiv w:val="1"/>
      <w:marLeft w:val="0"/>
      <w:marRight w:val="0"/>
      <w:marTop w:val="0"/>
      <w:marBottom w:val="0"/>
      <w:divBdr>
        <w:top w:val="none" w:sz="0" w:space="0" w:color="auto"/>
        <w:left w:val="none" w:sz="0" w:space="0" w:color="auto"/>
        <w:bottom w:val="none" w:sz="0" w:space="0" w:color="auto"/>
        <w:right w:val="none" w:sz="0" w:space="0" w:color="auto"/>
      </w:divBdr>
      <w:divsChild>
        <w:div w:id="1405490992">
          <w:marLeft w:val="0"/>
          <w:marRight w:val="0"/>
          <w:marTop w:val="480"/>
          <w:marBottom w:val="480"/>
          <w:divBdr>
            <w:top w:val="none" w:sz="0" w:space="0" w:color="auto"/>
            <w:left w:val="none" w:sz="0" w:space="0" w:color="auto"/>
            <w:bottom w:val="none" w:sz="0" w:space="0" w:color="auto"/>
            <w:right w:val="none" w:sz="0" w:space="0" w:color="auto"/>
          </w:divBdr>
          <w:divsChild>
            <w:div w:id="876937545">
              <w:marLeft w:val="0"/>
              <w:marRight w:val="0"/>
              <w:marTop w:val="0"/>
              <w:marBottom w:val="0"/>
              <w:divBdr>
                <w:top w:val="none" w:sz="0" w:space="0" w:color="auto"/>
                <w:left w:val="none" w:sz="0" w:space="0" w:color="auto"/>
                <w:bottom w:val="none" w:sz="0" w:space="0" w:color="auto"/>
                <w:right w:val="none" w:sz="0" w:space="0" w:color="auto"/>
              </w:divBdr>
              <w:divsChild>
                <w:div w:id="374355136">
                  <w:marLeft w:val="0"/>
                  <w:marRight w:val="0"/>
                  <w:marTop w:val="0"/>
                  <w:marBottom w:val="0"/>
                  <w:divBdr>
                    <w:top w:val="none" w:sz="0" w:space="0" w:color="auto"/>
                    <w:left w:val="none" w:sz="0" w:space="0" w:color="auto"/>
                    <w:bottom w:val="none" w:sz="0" w:space="0" w:color="auto"/>
                    <w:right w:val="none" w:sz="0" w:space="0" w:color="auto"/>
                  </w:divBdr>
                  <w:divsChild>
                    <w:div w:id="9004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8265">
      <w:bodyDiv w:val="1"/>
      <w:marLeft w:val="0"/>
      <w:marRight w:val="0"/>
      <w:marTop w:val="0"/>
      <w:marBottom w:val="0"/>
      <w:divBdr>
        <w:top w:val="none" w:sz="0" w:space="0" w:color="auto"/>
        <w:left w:val="none" w:sz="0" w:space="0" w:color="auto"/>
        <w:bottom w:val="none" w:sz="0" w:space="0" w:color="auto"/>
        <w:right w:val="none" w:sz="0" w:space="0" w:color="auto"/>
      </w:divBdr>
    </w:div>
    <w:div w:id="1724056859">
      <w:bodyDiv w:val="1"/>
      <w:marLeft w:val="0"/>
      <w:marRight w:val="0"/>
      <w:marTop w:val="0"/>
      <w:marBottom w:val="0"/>
      <w:divBdr>
        <w:top w:val="none" w:sz="0" w:space="0" w:color="auto"/>
        <w:left w:val="none" w:sz="0" w:space="0" w:color="auto"/>
        <w:bottom w:val="none" w:sz="0" w:space="0" w:color="auto"/>
        <w:right w:val="none" w:sz="0" w:space="0" w:color="auto"/>
      </w:divBdr>
    </w:div>
    <w:div w:id="20294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gep.mtsss.gov.pt/" TargetMode="External"/><Relationship Id="rId18" Type="http://schemas.openxmlformats.org/officeDocument/2006/relationships/header" Target="header2.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gep.mtsss.gov.pt/trabalho" TargetMode="External"/><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portugal.gov.pt/pt/gc21/comunicacao/documento?i=3-em-linha-programa-para-a-conciliacao-da-vida-profissional-pessoal-e-familiar-2018-201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dre.pt/home/-/dre/107791612/details/maximized" TargetMode="Externa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re.pt/web/guest/pesquisa/-/search/121712770/details/normal?q=Lei+Org%C3%A2nica+n.%C2%BA%201%2F2019"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79430743745878"/>
          <c:y val="0.10173260257361455"/>
          <c:w val="0.65750278677094287"/>
          <c:h val="0.7444810416047668"/>
        </c:manualLayout>
      </c:layout>
      <c:barChart>
        <c:barDir val="col"/>
        <c:grouping val="clustered"/>
        <c:varyColors val="0"/>
        <c:ser>
          <c:idx val="1"/>
          <c:order val="0"/>
          <c:tx>
            <c:strRef>
              <c:f>'G1'!$L$7</c:f>
              <c:strCache>
                <c:ptCount val="1"/>
                <c:pt idx="0">
                  <c:v>Total </c:v>
                </c:pt>
              </c:strCache>
            </c:strRef>
          </c:tx>
          <c:spPr>
            <a:solidFill>
              <a:schemeClr val="bg1">
                <a:lumMod val="85000"/>
              </a:schemeClr>
            </a:solidFill>
            <a:ln>
              <a:noFill/>
            </a:ln>
          </c:spPr>
          <c:invertIfNegative val="0"/>
          <c:cat>
            <c:numRef>
              <c:f>'G1'!$M$5:$S$5</c:f>
              <c:numCache>
                <c:formatCode>General</c:formatCode>
                <c:ptCount val="7"/>
                <c:pt idx="0">
                  <c:v>2012</c:v>
                </c:pt>
                <c:pt idx="1">
                  <c:v>2013</c:v>
                </c:pt>
                <c:pt idx="2">
                  <c:v>2014</c:v>
                </c:pt>
                <c:pt idx="3">
                  <c:v>2015</c:v>
                </c:pt>
                <c:pt idx="4">
                  <c:v>2016</c:v>
                </c:pt>
                <c:pt idx="5">
                  <c:v>2017</c:v>
                </c:pt>
                <c:pt idx="6">
                  <c:v>2018</c:v>
                </c:pt>
              </c:numCache>
            </c:numRef>
          </c:cat>
          <c:val>
            <c:numRef>
              <c:f>'G1'!$M$7:$S$7</c:f>
              <c:numCache>
                <c:formatCode>0.0</c:formatCode>
                <c:ptCount val="7"/>
                <c:pt idx="0" formatCode="General">
                  <c:v>5382.6</c:v>
                </c:pt>
                <c:pt idx="1">
                  <c:v>5284.6</c:v>
                </c:pt>
                <c:pt idx="2">
                  <c:v>5225.5679883825724</c:v>
                </c:pt>
                <c:pt idx="3">
                  <c:v>5195.2</c:v>
                </c:pt>
                <c:pt idx="4">
                  <c:v>5178.3</c:v>
                </c:pt>
                <c:pt idx="5">
                  <c:v>5219.4000000000005</c:v>
                </c:pt>
                <c:pt idx="6" formatCode="General">
                  <c:v>5232.6000000000004</c:v>
                </c:pt>
              </c:numCache>
            </c:numRef>
          </c:val>
          <c:extLst>
            <c:ext xmlns:c16="http://schemas.microsoft.com/office/drawing/2014/chart" uri="{C3380CC4-5D6E-409C-BE32-E72D297353CC}">
              <c16:uniqueId val="{00000000-3F82-42B6-8AD6-3DD5DCE9F621}"/>
            </c:ext>
          </c:extLst>
        </c:ser>
        <c:dLbls>
          <c:showLegendKey val="0"/>
          <c:showVal val="0"/>
          <c:showCatName val="0"/>
          <c:showSerName val="0"/>
          <c:showPercent val="0"/>
          <c:showBubbleSize val="0"/>
        </c:dLbls>
        <c:gapWidth val="150"/>
        <c:axId val="24867968"/>
        <c:axId val="24869504"/>
      </c:barChart>
      <c:lineChart>
        <c:grouping val="standard"/>
        <c:varyColors val="0"/>
        <c:ser>
          <c:idx val="2"/>
          <c:order val="1"/>
          <c:tx>
            <c:strRef>
              <c:f>'G1'!$L$8</c:f>
              <c:strCache>
                <c:ptCount val="1"/>
                <c:pt idx="0">
                  <c:v>Homens </c:v>
                </c:pt>
              </c:strCache>
            </c:strRef>
          </c:tx>
          <c:spPr>
            <a:ln w="25400" cap="flat" cmpd="sng" algn="ctr">
              <a:solidFill>
                <a:schemeClr val="accent1"/>
              </a:solidFill>
              <a:prstDash val="solid"/>
            </a:ln>
            <a:effectLst/>
          </c:spPr>
          <c:marker>
            <c:symbol val="none"/>
          </c:marker>
          <c:cat>
            <c:numRef>
              <c:f>'G1'!$M$5:$S$5</c:f>
              <c:numCache>
                <c:formatCode>General</c:formatCode>
                <c:ptCount val="7"/>
                <c:pt idx="0">
                  <c:v>2012</c:v>
                </c:pt>
                <c:pt idx="1">
                  <c:v>2013</c:v>
                </c:pt>
                <c:pt idx="2">
                  <c:v>2014</c:v>
                </c:pt>
                <c:pt idx="3">
                  <c:v>2015</c:v>
                </c:pt>
                <c:pt idx="4">
                  <c:v>2016</c:v>
                </c:pt>
                <c:pt idx="5">
                  <c:v>2017</c:v>
                </c:pt>
                <c:pt idx="6">
                  <c:v>2018</c:v>
                </c:pt>
              </c:numCache>
            </c:numRef>
          </c:cat>
          <c:val>
            <c:numRef>
              <c:f>'G1'!$M$8:$S$8</c:f>
              <c:numCache>
                <c:formatCode>0.0</c:formatCode>
                <c:ptCount val="7"/>
                <c:pt idx="0" formatCode="General">
                  <c:v>2791.5</c:v>
                </c:pt>
                <c:pt idx="1">
                  <c:v>2724.6</c:v>
                </c:pt>
                <c:pt idx="2">
                  <c:v>2681.0140522149982</c:v>
                </c:pt>
                <c:pt idx="3">
                  <c:v>2657.3</c:v>
                </c:pt>
                <c:pt idx="4">
                  <c:v>2652.4</c:v>
                </c:pt>
                <c:pt idx="5">
                  <c:v>2666.5</c:v>
                </c:pt>
                <c:pt idx="6" formatCode="General">
                  <c:v>2660.5</c:v>
                </c:pt>
              </c:numCache>
            </c:numRef>
          </c:val>
          <c:smooth val="0"/>
          <c:extLst>
            <c:ext xmlns:c16="http://schemas.microsoft.com/office/drawing/2014/chart" uri="{C3380CC4-5D6E-409C-BE32-E72D297353CC}">
              <c16:uniqueId val="{00000001-3F82-42B6-8AD6-3DD5DCE9F621}"/>
            </c:ext>
          </c:extLst>
        </c:ser>
        <c:ser>
          <c:idx val="3"/>
          <c:order val="2"/>
          <c:tx>
            <c:strRef>
              <c:f>'G1'!$L$9</c:f>
              <c:strCache>
                <c:ptCount val="1"/>
                <c:pt idx="0">
                  <c:v>Mulheres </c:v>
                </c:pt>
              </c:strCache>
            </c:strRef>
          </c:tx>
          <c:spPr>
            <a:ln>
              <a:solidFill>
                <a:schemeClr val="accent3">
                  <a:lumMod val="75000"/>
                </a:schemeClr>
              </a:solidFill>
            </a:ln>
          </c:spPr>
          <c:marker>
            <c:symbol val="none"/>
          </c:marker>
          <c:cat>
            <c:numRef>
              <c:f>'G1'!$M$5:$S$5</c:f>
              <c:numCache>
                <c:formatCode>General</c:formatCode>
                <c:ptCount val="7"/>
                <c:pt idx="0">
                  <c:v>2012</c:v>
                </c:pt>
                <c:pt idx="1">
                  <c:v>2013</c:v>
                </c:pt>
                <c:pt idx="2">
                  <c:v>2014</c:v>
                </c:pt>
                <c:pt idx="3">
                  <c:v>2015</c:v>
                </c:pt>
                <c:pt idx="4">
                  <c:v>2016</c:v>
                </c:pt>
                <c:pt idx="5">
                  <c:v>2017</c:v>
                </c:pt>
                <c:pt idx="6">
                  <c:v>2018</c:v>
                </c:pt>
              </c:numCache>
            </c:numRef>
          </c:cat>
          <c:val>
            <c:numRef>
              <c:f>'G1'!$M$9:$S$9</c:f>
              <c:numCache>
                <c:formatCode>0.0</c:formatCode>
                <c:ptCount val="7"/>
                <c:pt idx="0" formatCode="General">
                  <c:v>2591.1</c:v>
                </c:pt>
                <c:pt idx="1">
                  <c:v>2560</c:v>
                </c:pt>
                <c:pt idx="2">
                  <c:v>2544.5539361675069</c:v>
                </c:pt>
                <c:pt idx="3">
                  <c:v>2537.8000000000002</c:v>
                </c:pt>
                <c:pt idx="4">
                  <c:v>2525.9</c:v>
                </c:pt>
                <c:pt idx="5">
                  <c:v>2552.9</c:v>
                </c:pt>
                <c:pt idx="6" formatCode="General">
                  <c:v>2572.1</c:v>
                </c:pt>
              </c:numCache>
            </c:numRef>
          </c:val>
          <c:smooth val="0"/>
          <c:extLst>
            <c:ext xmlns:c16="http://schemas.microsoft.com/office/drawing/2014/chart" uri="{C3380CC4-5D6E-409C-BE32-E72D297353CC}">
              <c16:uniqueId val="{00000002-3F82-42B6-8AD6-3DD5DCE9F621}"/>
            </c:ext>
          </c:extLst>
        </c:ser>
        <c:dLbls>
          <c:showLegendKey val="0"/>
          <c:showVal val="0"/>
          <c:showCatName val="0"/>
          <c:showSerName val="0"/>
          <c:showPercent val="0"/>
          <c:showBubbleSize val="0"/>
        </c:dLbls>
        <c:marker val="1"/>
        <c:smooth val="0"/>
        <c:axId val="24873216"/>
        <c:axId val="24871680"/>
      </c:lineChart>
      <c:catAx>
        <c:axId val="24867968"/>
        <c:scaling>
          <c:orientation val="minMax"/>
        </c:scaling>
        <c:delete val="0"/>
        <c:axPos val="b"/>
        <c:numFmt formatCode="General" sourceLinked="1"/>
        <c:majorTickMark val="out"/>
        <c:minorTickMark val="none"/>
        <c:tickLblPos val="nextTo"/>
        <c:crossAx val="24869504"/>
        <c:crosses val="autoZero"/>
        <c:auto val="1"/>
        <c:lblAlgn val="ctr"/>
        <c:lblOffset val="100"/>
        <c:noMultiLvlLbl val="0"/>
      </c:catAx>
      <c:valAx>
        <c:axId val="24869504"/>
        <c:scaling>
          <c:orientation val="minMax"/>
        </c:scaling>
        <c:delete val="0"/>
        <c:axPos val="l"/>
        <c:majorGridlines/>
        <c:title>
          <c:tx>
            <c:rich>
              <a:bodyPr rot="0" vert="horz"/>
              <a:lstStyle/>
              <a:p>
                <a:pPr>
                  <a:defRPr/>
                </a:pPr>
                <a:r>
                  <a:rPr lang="pt-PT"/>
                  <a:t>(Total)</a:t>
                </a:r>
              </a:p>
            </c:rich>
          </c:tx>
          <c:layout>
            <c:manualLayout>
              <c:xMode val="edge"/>
              <c:yMode val="edge"/>
              <c:x val="6.8204928866314823E-2"/>
              <c:y val="0.88353663941787031"/>
            </c:manualLayout>
          </c:layout>
          <c:overlay val="0"/>
        </c:title>
        <c:numFmt formatCode="#\ ##0.0" sourceLinked="0"/>
        <c:majorTickMark val="out"/>
        <c:minorTickMark val="none"/>
        <c:tickLblPos val="nextTo"/>
        <c:crossAx val="24867968"/>
        <c:crosses val="autoZero"/>
        <c:crossBetween val="between"/>
      </c:valAx>
      <c:valAx>
        <c:axId val="24871680"/>
        <c:scaling>
          <c:orientation val="minMax"/>
          <c:max val="2900"/>
        </c:scaling>
        <c:delete val="0"/>
        <c:axPos val="r"/>
        <c:numFmt formatCode="#\ ##0.0" sourceLinked="0"/>
        <c:majorTickMark val="out"/>
        <c:minorTickMark val="none"/>
        <c:tickLblPos val="nextTo"/>
        <c:txPr>
          <a:bodyPr rot="0" anchor="b" anchorCtr="1"/>
          <a:lstStyle/>
          <a:p>
            <a:pPr>
              <a:defRPr/>
            </a:pPr>
            <a:endParaRPr lang="en-US"/>
          </a:p>
        </c:txPr>
        <c:crossAx val="24873216"/>
        <c:crosses val="max"/>
        <c:crossBetween val="between"/>
      </c:valAx>
      <c:catAx>
        <c:axId val="24873216"/>
        <c:scaling>
          <c:orientation val="minMax"/>
        </c:scaling>
        <c:delete val="1"/>
        <c:axPos val="b"/>
        <c:numFmt formatCode="General" sourceLinked="1"/>
        <c:majorTickMark val="out"/>
        <c:minorTickMark val="none"/>
        <c:tickLblPos val="none"/>
        <c:crossAx val="24871680"/>
        <c:crossesAt val="2300"/>
        <c:auto val="1"/>
        <c:lblAlgn val="ctr"/>
        <c:lblOffset val="100"/>
        <c:noMultiLvlLbl val="0"/>
      </c:catAx>
    </c:plotArea>
    <c:legend>
      <c:legendPos val="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79430743745865"/>
          <c:y val="0.10173260257361447"/>
          <c:w val="0.65750278677094309"/>
          <c:h val="0.68574713291028433"/>
        </c:manualLayout>
      </c:layout>
      <c:barChart>
        <c:barDir val="col"/>
        <c:grouping val="clustered"/>
        <c:varyColors val="0"/>
        <c:ser>
          <c:idx val="1"/>
          <c:order val="0"/>
          <c:tx>
            <c:strRef>
              <c:f>'G3'!$L$7</c:f>
              <c:strCache>
                <c:ptCount val="1"/>
                <c:pt idx="0">
                  <c:v>Total</c:v>
                </c:pt>
              </c:strCache>
            </c:strRef>
          </c:tx>
          <c:spPr>
            <a:solidFill>
              <a:schemeClr val="bg1">
                <a:lumMod val="85000"/>
              </a:schemeClr>
            </a:solidFill>
            <a:ln>
              <a:noFill/>
            </a:ln>
          </c:spPr>
          <c:invertIfNegative val="0"/>
          <c:cat>
            <c:numRef>
              <c:f>'G3'!$M$5:$S$5</c:f>
              <c:numCache>
                <c:formatCode>General</c:formatCode>
                <c:ptCount val="7"/>
                <c:pt idx="0">
                  <c:v>2012</c:v>
                </c:pt>
                <c:pt idx="1">
                  <c:v>2013</c:v>
                </c:pt>
                <c:pt idx="2">
                  <c:v>2014</c:v>
                </c:pt>
                <c:pt idx="3">
                  <c:v>2015</c:v>
                </c:pt>
                <c:pt idx="4">
                  <c:v>2016</c:v>
                </c:pt>
                <c:pt idx="5">
                  <c:v>2017</c:v>
                </c:pt>
                <c:pt idx="6">
                  <c:v>2018</c:v>
                </c:pt>
              </c:numCache>
            </c:numRef>
          </c:cat>
          <c:val>
            <c:numRef>
              <c:f>'G3'!$M$7:$S$7</c:f>
              <c:numCache>
                <c:formatCode>#\ ##0.0</c:formatCode>
                <c:ptCount val="7"/>
                <c:pt idx="0">
                  <c:v>4546.8999999999996</c:v>
                </c:pt>
                <c:pt idx="1">
                  <c:v>4429.3999999999996</c:v>
                </c:pt>
                <c:pt idx="2">
                  <c:v>4499.5</c:v>
                </c:pt>
                <c:pt idx="3">
                  <c:v>4548.7</c:v>
                </c:pt>
                <c:pt idx="4">
                  <c:v>4605.2</c:v>
                </c:pt>
                <c:pt idx="5">
                  <c:v>4756.6000000000004</c:v>
                </c:pt>
                <c:pt idx="6">
                  <c:v>4866.7</c:v>
                </c:pt>
              </c:numCache>
            </c:numRef>
          </c:val>
          <c:extLst>
            <c:ext xmlns:c16="http://schemas.microsoft.com/office/drawing/2014/chart" uri="{C3380CC4-5D6E-409C-BE32-E72D297353CC}">
              <c16:uniqueId val="{00000000-89EB-4532-A1A9-322EA70F27B9}"/>
            </c:ext>
          </c:extLst>
        </c:ser>
        <c:dLbls>
          <c:showLegendKey val="0"/>
          <c:showVal val="0"/>
          <c:showCatName val="0"/>
          <c:showSerName val="0"/>
          <c:showPercent val="0"/>
          <c:showBubbleSize val="0"/>
        </c:dLbls>
        <c:gapWidth val="150"/>
        <c:axId val="26796032"/>
        <c:axId val="26797568"/>
      </c:barChart>
      <c:lineChart>
        <c:grouping val="standard"/>
        <c:varyColors val="0"/>
        <c:ser>
          <c:idx val="2"/>
          <c:order val="1"/>
          <c:tx>
            <c:strRef>
              <c:f>'G3'!$L$8</c:f>
              <c:strCache>
                <c:ptCount val="1"/>
                <c:pt idx="0">
                  <c:v>Men</c:v>
                </c:pt>
              </c:strCache>
            </c:strRef>
          </c:tx>
          <c:spPr>
            <a:ln>
              <a:solidFill>
                <a:schemeClr val="accent3">
                  <a:lumMod val="75000"/>
                </a:schemeClr>
              </a:solidFill>
            </a:ln>
          </c:spPr>
          <c:marker>
            <c:symbol val="none"/>
          </c:marker>
          <c:cat>
            <c:numRef>
              <c:f>'G3'!$M$5:$S$5</c:f>
              <c:numCache>
                <c:formatCode>General</c:formatCode>
                <c:ptCount val="7"/>
                <c:pt idx="0">
                  <c:v>2012</c:v>
                </c:pt>
                <c:pt idx="1">
                  <c:v>2013</c:v>
                </c:pt>
                <c:pt idx="2">
                  <c:v>2014</c:v>
                </c:pt>
                <c:pt idx="3">
                  <c:v>2015</c:v>
                </c:pt>
                <c:pt idx="4">
                  <c:v>2016</c:v>
                </c:pt>
                <c:pt idx="5">
                  <c:v>2017</c:v>
                </c:pt>
                <c:pt idx="6">
                  <c:v>2018</c:v>
                </c:pt>
              </c:numCache>
            </c:numRef>
          </c:cat>
          <c:val>
            <c:numRef>
              <c:f>'G3'!$M$8:$S$8</c:f>
              <c:numCache>
                <c:formatCode>#\ ##0.0</c:formatCode>
                <c:ptCount val="7"/>
                <c:pt idx="0">
                  <c:v>2357.3000000000002</c:v>
                </c:pt>
                <c:pt idx="1">
                  <c:v>2288.4</c:v>
                </c:pt>
                <c:pt idx="2">
                  <c:v>2319.5</c:v>
                </c:pt>
                <c:pt idx="3">
                  <c:v>2334.3000000000002</c:v>
                </c:pt>
                <c:pt idx="4">
                  <c:v>2361.4</c:v>
                </c:pt>
                <c:pt idx="5">
                  <c:v>2442.3000000000002</c:v>
                </c:pt>
                <c:pt idx="6">
                  <c:v>2485.8000000000002</c:v>
                </c:pt>
              </c:numCache>
            </c:numRef>
          </c:val>
          <c:smooth val="0"/>
          <c:extLst>
            <c:ext xmlns:c16="http://schemas.microsoft.com/office/drawing/2014/chart" uri="{C3380CC4-5D6E-409C-BE32-E72D297353CC}">
              <c16:uniqueId val="{00000001-89EB-4532-A1A9-322EA70F27B9}"/>
            </c:ext>
          </c:extLst>
        </c:ser>
        <c:ser>
          <c:idx val="3"/>
          <c:order val="2"/>
          <c:tx>
            <c:strRef>
              <c:f>'G3'!$L$9</c:f>
              <c:strCache>
                <c:ptCount val="1"/>
                <c:pt idx="0">
                  <c:v>Women</c:v>
                </c:pt>
              </c:strCache>
            </c:strRef>
          </c:tx>
          <c:spPr>
            <a:ln>
              <a:solidFill>
                <a:schemeClr val="tx2">
                  <a:lumMod val="60000"/>
                  <a:lumOff val="40000"/>
                </a:schemeClr>
              </a:solidFill>
            </a:ln>
          </c:spPr>
          <c:marker>
            <c:symbol val="none"/>
          </c:marker>
          <c:cat>
            <c:numRef>
              <c:f>'G3'!$M$5:$S$5</c:f>
              <c:numCache>
                <c:formatCode>General</c:formatCode>
                <c:ptCount val="7"/>
                <c:pt idx="0">
                  <c:v>2012</c:v>
                </c:pt>
                <c:pt idx="1">
                  <c:v>2013</c:v>
                </c:pt>
                <c:pt idx="2">
                  <c:v>2014</c:v>
                </c:pt>
                <c:pt idx="3">
                  <c:v>2015</c:v>
                </c:pt>
                <c:pt idx="4">
                  <c:v>2016</c:v>
                </c:pt>
                <c:pt idx="5">
                  <c:v>2017</c:v>
                </c:pt>
                <c:pt idx="6">
                  <c:v>2018</c:v>
                </c:pt>
              </c:numCache>
            </c:numRef>
          </c:cat>
          <c:val>
            <c:numRef>
              <c:f>'G3'!$M$9:$S$9</c:f>
              <c:numCache>
                <c:formatCode>#\ ##0.0</c:formatCode>
                <c:ptCount val="7"/>
                <c:pt idx="0">
                  <c:v>2189.6</c:v>
                </c:pt>
                <c:pt idx="1">
                  <c:v>2141</c:v>
                </c:pt>
                <c:pt idx="2">
                  <c:v>2180</c:v>
                </c:pt>
                <c:pt idx="3">
                  <c:v>2214.4</c:v>
                </c:pt>
                <c:pt idx="4">
                  <c:v>2243.8000000000002</c:v>
                </c:pt>
                <c:pt idx="5">
                  <c:v>2314.3000000000002</c:v>
                </c:pt>
                <c:pt idx="6">
                  <c:v>2380.8000000000002</c:v>
                </c:pt>
              </c:numCache>
            </c:numRef>
          </c:val>
          <c:smooth val="0"/>
          <c:extLst>
            <c:ext xmlns:c16="http://schemas.microsoft.com/office/drawing/2014/chart" uri="{C3380CC4-5D6E-409C-BE32-E72D297353CC}">
              <c16:uniqueId val="{00000002-89EB-4532-A1A9-322EA70F27B9}"/>
            </c:ext>
          </c:extLst>
        </c:ser>
        <c:dLbls>
          <c:showLegendKey val="0"/>
          <c:showVal val="0"/>
          <c:showCatName val="0"/>
          <c:showSerName val="0"/>
          <c:showPercent val="0"/>
          <c:showBubbleSize val="0"/>
        </c:dLbls>
        <c:marker val="1"/>
        <c:smooth val="0"/>
        <c:axId val="26801280"/>
        <c:axId val="26799488"/>
      </c:lineChart>
      <c:catAx>
        <c:axId val="26796032"/>
        <c:scaling>
          <c:orientation val="minMax"/>
        </c:scaling>
        <c:delete val="0"/>
        <c:axPos val="b"/>
        <c:numFmt formatCode="General" sourceLinked="1"/>
        <c:majorTickMark val="out"/>
        <c:minorTickMark val="none"/>
        <c:tickLblPos val="nextTo"/>
        <c:crossAx val="26797568"/>
        <c:crosses val="autoZero"/>
        <c:auto val="1"/>
        <c:lblAlgn val="ctr"/>
        <c:lblOffset val="100"/>
        <c:noMultiLvlLbl val="0"/>
      </c:catAx>
      <c:valAx>
        <c:axId val="26797568"/>
        <c:scaling>
          <c:orientation val="minMax"/>
          <c:max val="5000"/>
          <c:min val="4000"/>
        </c:scaling>
        <c:delete val="0"/>
        <c:axPos val="l"/>
        <c:title>
          <c:tx>
            <c:rich>
              <a:bodyPr rot="-5400000" vert="horz"/>
              <a:lstStyle/>
              <a:p>
                <a:pPr>
                  <a:defRPr sz="700"/>
                </a:pPr>
                <a:r>
                  <a:rPr lang="en-US" sz="700"/>
                  <a:t>thousands</a:t>
                </a:r>
              </a:p>
            </c:rich>
          </c:tx>
          <c:layout/>
          <c:overlay val="0"/>
        </c:title>
        <c:numFmt formatCode="#\ ##0.0" sourceLinked="1"/>
        <c:majorTickMark val="out"/>
        <c:minorTickMark val="none"/>
        <c:tickLblPos val="nextTo"/>
        <c:crossAx val="26796032"/>
        <c:crosses val="autoZero"/>
        <c:crossBetween val="between"/>
        <c:majorUnit val="200"/>
      </c:valAx>
      <c:valAx>
        <c:axId val="26799488"/>
        <c:scaling>
          <c:orientation val="minMax"/>
          <c:max val="2500"/>
          <c:min val="1900"/>
        </c:scaling>
        <c:delete val="0"/>
        <c:axPos val="r"/>
        <c:numFmt formatCode="#\ ##0.0" sourceLinked="1"/>
        <c:majorTickMark val="out"/>
        <c:minorTickMark val="none"/>
        <c:tickLblPos val="nextTo"/>
        <c:crossAx val="26801280"/>
        <c:crosses val="max"/>
        <c:crossBetween val="between"/>
        <c:majorUnit val="100"/>
      </c:valAx>
      <c:catAx>
        <c:axId val="26801280"/>
        <c:scaling>
          <c:orientation val="minMax"/>
        </c:scaling>
        <c:delete val="1"/>
        <c:axPos val="b"/>
        <c:numFmt formatCode="General" sourceLinked="1"/>
        <c:majorTickMark val="out"/>
        <c:minorTickMark val="none"/>
        <c:tickLblPos val="nextTo"/>
        <c:crossAx val="2679948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7260540413652"/>
          <c:y val="0.1335224080596483"/>
          <c:w val="0.80335275812476326"/>
          <c:h val="0.40981959222310327"/>
        </c:manualLayout>
      </c:layout>
      <c:barChart>
        <c:barDir val="col"/>
        <c:grouping val="clustered"/>
        <c:varyColors val="0"/>
        <c:ser>
          <c:idx val="0"/>
          <c:order val="0"/>
          <c:tx>
            <c:strRef>
              <c:f>'G7'!$D$6</c:f>
              <c:strCache>
                <c:ptCount val="1"/>
                <c:pt idx="0">
                  <c:v>2012</c:v>
                </c:pt>
              </c:strCache>
            </c:strRef>
          </c:tx>
          <c:spPr>
            <a:solidFill>
              <a:schemeClr val="accent1"/>
            </a:solidFill>
            <a:ln>
              <a:noFill/>
            </a:ln>
            <a:effectLst/>
          </c:spPr>
          <c:invertIfNegative val="0"/>
          <c:cat>
            <c:multiLvlStrRef>
              <c:f>'G7'!$B$7:$C$12</c:f>
              <c:multiLvlStrCache>
                <c:ptCount val="6"/>
                <c:lvl>
                  <c:pt idx="0">
                    <c:v>H</c:v>
                  </c:pt>
                  <c:pt idx="1">
                    <c:v>M</c:v>
                  </c:pt>
                  <c:pt idx="2">
                    <c:v>H</c:v>
                  </c:pt>
                  <c:pt idx="3">
                    <c:v>M</c:v>
                  </c:pt>
                  <c:pt idx="4">
                    <c:v>H</c:v>
                  </c:pt>
                  <c:pt idx="5">
                    <c:v>M</c:v>
                  </c:pt>
                </c:lvl>
                <c:lvl>
                  <c:pt idx="0">
                    <c:v>Up to basic education  (3.º cycle)</c:v>
                  </c:pt>
                  <c:pt idx="2">
                    <c:v>Secondary and post secondary </c:v>
                  </c:pt>
                  <c:pt idx="4">
                    <c:v>Higher education</c:v>
                  </c:pt>
                </c:lvl>
              </c:multiLvlStrCache>
            </c:multiLvlStrRef>
          </c:cat>
          <c:val>
            <c:numRef>
              <c:f>'G7'!$D$7:$D$12</c:f>
              <c:numCache>
                <c:formatCode>#\ ##0.0</c:formatCode>
                <c:ptCount val="6"/>
                <c:pt idx="0">
                  <c:v>1522.9</c:v>
                </c:pt>
                <c:pt idx="1">
                  <c:v>1148.0999999999999</c:v>
                </c:pt>
                <c:pt idx="2">
                  <c:v>459.2</c:v>
                </c:pt>
                <c:pt idx="3">
                  <c:v>490.7</c:v>
                </c:pt>
                <c:pt idx="4">
                  <c:v>375.2</c:v>
                </c:pt>
                <c:pt idx="5">
                  <c:v>550.79999999999995</c:v>
                </c:pt>
              </c:numCache>
            </c:numRef>
          </c:val>
          <c:extLst>
            <c:ext xmlns:c16="http://schemas.microsoft.com/office/drawing/2014/chart" uri="{C3380CC4-5D6E-409C-BE32-E72D297353CC}">
              <c16:uniqueId val="{00000000-D844-4BA2-A131-B57032EF8523}"/>
            </c:ext>
          </c:extLst>
        </c:ser>
        <c:ser>
          <c:idx val="1"/>
          <c:order val="1"/>
          <c:tx>
            <c:strRef>
              <c:f>'G7'!$E$6</c:f>
              <c:strCache>
                <c:ptCount val="1"/>
                <c:pt idx="0">
                  <c:v>2013</c:v>
                </c:pt>
              </c:strCache>
            </c:strRef>
          </c:tx>
          <c:spPr>
            <a:solidFill>
              <a:schemeClr val="accent2"/>
            </a:solidFill>
            <a:ln>
              <a:noFill/>
            </a:ln>
            <a:effectLst/>
          </c:spPr>
          <c:invertIfNegative val="0"/>
          <c:cat>
            <c:multiLvlStrRef>
              <c:f>'G7'!$B$7:$C$12</c:f>
              <c:multiLvlStrCache>
                <c:ptCount val="6"/>
                <c:lvl>
                  <c:pt idx="0">
                    <c:v>H</c:v>
                  </c:pt>
                  <c:pt idx="1">
                    <c:v>M</c:v>
                  </c:pt>
                  <c:pt idx="2">
                    <c:v>H</c:v>
                  </c:pt>
                  <c:pt idx="3">
                    <c:v>M</c:v>
                  </c:pt>
                  <c:pt idx="4">
                    <c:v>H</c:v>
                  </c:pt>
                  <c:pt idx="5">
                    <c:v>M</c:v>
                  </c:pt>
                </c:lvl>
                <c:lvl>
                  <c:pt idx="0">
                    <c:v>Up to basic education  (3.º cycle)</c:v>
                  </c:pt>
                  <c:pt idx="2">
                    <c:v>Secondary and post secondary </c:v>
                  </c:pt>
                  <c:pt idx="4">
                    <c:v>Higher education</c:v>
                  </c:pt>
                </c:lvl>
              </c:multiLvlStrCache>
            </c:multiLvlStrRef>
          </c:cat>
          <c:val>
            <c:numRef>
              <c:f>'G7'!$E$7:$E$12</c:f>
              <c:numCache>
                <c:formatCode>#\ ##0.0</c:formatCode>
                <c:ptCount val="6"/>
                <c:pt idx="0">
                  <c:v>1415.3</c:v>
                </c:pt>
                <c:pt idx="1">
                  <c:v>1058.9000000000001</c:v>
                </c:pt>
                <c:pt idx="2">
                  <c:v>499.9</c:v>
                </c:pt>
                <c:pt idx="3">
                  <c:v>510.1</c:v>
                </c:pt>
                <c:pt idx="4">
                  <c:v>373.2</c:v>
                </c:pt>
                <c:pt idx="5">
                  <c:v>571.9</c:v>
                </c:pt>
              </c:numCache>
            </c:numRef>
          </c:val>
          <c:extLst>
            <c:ext xmlns:c16="http://schemas.microsoft.com/office/drawing/2014/chart" uri="{C3380CC4-5D6E-409C-BE32-E72D297353CC}">
              <c16:uniqueId val="{00000001-D844-4BA2-A131-B57032EF8523}"/>
            </c:ext>
          </c:extLst>
        </c:ser>
        <c:ser>
          <c:idx val="2"/>
          <c:order val="2"/>
          <c:tx>
            <c:strRef>
              <c:f>'G7'!$F$6</c:f>
              <c:strCache>
                <c:ptCount val="1"/>
                <c:pt idx="0">
                  <c:v>2014</c:v>
                </c:pt>
              </c:strCache>
            </c:strRef>
          </c:tx>
          <c:spPr>
            <a:solidFill>
              <a:schemeClr val="accent3"/>
            </a:solidFill>
            <a:ln>
              <a:noFill/>
            </a:ln>
            <a:effectLst/>
          </c:spPr>
          <c:invertIfNegative val="0"/>
          <c:cat>
            <c:multiLvlStrRef>
              <c:f>'G7'!$B$7:$C$12</c:f>
              <c:multiLvlStrCache>
                <c:ptCount val="6"/>
                <c:lvl>
                  <c:pt idx="0">
                    <c:v>H</c:v>
                  </c:pt>
                  <c:pt idx="1">
                    <c:v>M</c:v>
                  </c:pt>
                  <c:pt idx="2">
                    <c:v>H</c:v>
                  </c:pt>
                  <c:pt idx="3">
                    <c:v>M</c:v>
                  </c:pt>
                  <c:pt idx="4">
                    <c:v>H</c:v>
                  </c:pt>
                  <c:pt idx="5">
                    <c:v>M</c:v>
                  </c:pt>
                </c:lvl>
                <c:lvl>
                  <c:pt idx="0">
                    <c:v>Up to basic education  (3.º cycle)</c:v>
                  </c:pt>
                  <c:pt idx="2">
                    <c:v>Secondary and post secondary </c:v>
                  </c:pt>
                  <c:pt idx="4">
                    <c:v>Higher education</c:v>
                  </c:pt>
                </c:lvl>
              </c:multiLvlStrCache>
            </c:multiLvlStrRef>
          </c:cat>
          <c:val>
            <c:numRef>
              <c:f>'G7'!$F$7:$F$12</c:f>
              <c:numCache>
                <c:formatCode>#\ ##0.0</c:formatCode>
                <c:ptCount val="6"/>
                <c:pt idx="0">
                  <c:v>1350.9</c:v>
                </c:pt>
                <c:pt idx="1">
                  <c:v>991.5</c:v>
                </c:pt>
                <c:pt idx="2">
                  <c:v>543.79999999999995</c:v>
                </c:pt>
                <c:pt idx="3">
                  <c:v>537</c:v>
                </c:pt>
                <c:pt idx="4">
                  <c:v>424.8</c:v>
                </c:pt>
                <c:pt idx="5">
                  <c:v>651.5</c:v>
                </c:pt>
              </c:numCache>
            </c:numRef>
          </c:val>
          <c:extLst>
            <c:ext xmlns:c16="http://schemas.microsoft.com/office/drawing/2014/chart" uri="{C3380CC4-5D6E-409C-BE32-E72D297353CC}">
              <c16:uniqueId val="{00000002-D844-4BA2-A131-B57032EF8523}"/>
            </c:ext>
          </c:extLst>
        </c:ser>
        <c:ser>
          <c:idx val="3"/>
          <c:order val="3"/>
          <c:tx>
            <c:strRef>
              <c:f>'G7'!$G$6</c:f>
              <c:strCache>
                <c:ptCount val="1"/>
                <c:pt idx="0">
                  <c:v>2015</c:v>
                </c:pt>
              </c:strCache>
            </c:strRef>
          </c:tx>
          <c:spPr>
            <a:solidFill>
              <a:schemeClr val="accent4"/>
            </a:solidFill>
            <a:ln>
              <a:noFill/>
            </a:ln>
            <a:effectLst/>
          </c:spPr>
          <c:invertIfNegative val="0"/>
          <c:cat>
            <c:multiLvlStrRef>
              <c:f>'G7'!$B$7:$C$12</c:f>
              <c:multiLvlStrCache>
                <c:ptCount val="6"/>
                <c:lvl>
                  <c:pt idx="0">
                    <c:v>H</c:v>
                  </c:pt>
                  <c:pt idx="1">
                    <c:v>M</c:v>
                  </c:pt>
                  <c:pt idx="2">
                    <c:v>H</c:v>
                  </c:pt>
                  <c:pt idx="3">
                    <c:v>M</c:v>
                  </c:pt>
                  <c:pt idx="4">
                    <c:v>H</c:v>
                  </c:pt>
                  <c:pt idx="5">
                    <c:v>M</c:v>
                  </c:pt>
                </c:lvl>
                <c:lvl>
                  <c:pt idx="0">
                    <c:v>Up to basic education  (3.º cycle)</c:v>
                  </c:pt>
                  <c:pt idx="2">
                    <c:v>Secondary and post secondary </c:v>
                  </c:pt>
                  <c:pt idx="4">
                    <c:v>Higher education</c:v>
                  </c:pt>
                </c:lvl>
              </c:multiLvlStrCache>
            </c:multiLvlStrRef>
          </c:cat>
          <c:val>
            <c:numRef>
              <c:f>'G7'!$G$7:$G$12</c:f>
              <c:numCache>
                <c:formatCode>#\ ##0.0</c:formatCode>
                <c:ptCount val="6"/>
                <c:pt idx="0">
                  <c:v>1307.3</c:v>
                </c:pt>
                <c:pt idx="1">
                  <c:v>974.9</c:v>
                </c:pt>
                <c:pt idx="2">
                  <c:v>580.1</c:v>
                </c:pt>
                <c:pt idx="3">
                  <c:v>553.1</c:v>
                </c:pt>
                <c:pt idx="4">
                  <c:v>446.9</c:v>
                </c:pt>
                <c:pt idx="5">
                  <c:v>686.4</c:v>
                </c:pt>
              </c:numCache>
            </c:numRef>
          </c:val>
          <c:extLst>
            <c:ext xmlns:c16="http://schemas.microsoft.com/office/drawing/2014/chart" uri="{C3380CC4-5D6E-409C-BE32-E72D297353CC}">
              <c16:uniqueId val="{00000003-D844-4BA2-A131-B57032EF8523}"/>
            </c:ext>
          </c:extLst>
        </c:ser>
        <c:ser>
          <c:idx val="4"/>
          <c:order val="4"/>
          <c:tx>
            <c:strRef>
              <c:f>'G7'!$H$6</c:f>
              <c:strCache>
                <c:ptCount val="1"/>
                <c:pt idx="0">
                  <c:v>2016</c:v>
                </c:pt>
              </c:strCache>
            </c:strRef>
          </c:tx>
          <c:spPr>
            <a:solidFill>
              <a:schemeClr val="accent5"/>
            </a:solidFill>
            <a:ln>
              <a:noFill/>
            </a:ln>
            <a:effectLst/>
          </c:spPr>
          <c:invertIfNegative val="0"/>
          <c:cat>
            <c:multiLvlStrRef>
              <c:f>'G7'!$B$7:$C$12</c:f>
              <c:multiLvlStrCache>
                <c:ptCount val="6"/>
                <c:lvl>
                  <c:pt idx="0">
                    <c:v>H</c:v>
                  </c:pt>
                  <c:pt idx="1">
                    <c:v>M</c:v>
                  </c:pt>
                  <c:pt idx="2">
                    <c:v>H</c:v>
                  </c:pt>
                  <c:pt idx="3">
                    <c:v>M</c:v>
                  </c:pt>
                  <c:pt idx="4">
                    <c:v>H</c:v>
                  </c:pt>
                  <c:pt idx="5">
                    <c:v>M</c:v>
                  </c:pt>
                </c:lvl>
                <c:lvl>
                  <c:pt idx="0">
                    <c:v>Up to basic education  (3.º cycle)</c:v>
                  </c:pt>
                  <c:pt idx="2">
                    <c:v>Secondary and post secondary </c:v>
                  </c:pt>
                  <c:pt idx="4">
                    <c:v>Higher education</c:v>
                  </c:pt>
                </c:lvl>
              </c:multiLvlStrCache>
            </c:multiLvlStrRef>
          </c:cat>
          <c:val>
            <c:numRef>
              <c:f>'G7'!$H$7:$H$12</c:f>
              <c:numCache>
                <c:formatCode>#\ ##0.0</c:formatCode>
                <c:ptCount val="6"/>
                <c:pt idx="0">
                  <c:v>1278.0999999999999</c:v>
                </c:pt>
                <c:pt idx="1">
                  <c:v>949.3</c:v>
                </c:pt>
                <c:pt idx="2">
                  <c:v>606.9</c:v>
                </c:pt>
                <c:pt idx="3">
                  <c:v>575.20000000000005</c:v>
                </c:pt>
                <c:pt idx="4">
                  <c:v>476.5</c:v>
                </c:pt>
                <c:pt idx="5">
                  <c:v>719.3</c:v>
                </c:pt>
              </c:numCache>
            </c:numRef>
          </c:val>
          <c:extLst>
            <c:ext xmlns:c16="http://schemas.microsoft.com/office/drawing/2014/chart" uri="{C3380CC4-5D6E-409C-BE32-E72D297353CC}">
              <c16:uniqueId val="{00000004-D844-4BA2-A131-B57032EF8523}"/>
            </c:ext>
          </c:extLst>
        </c:ser>
        <c:ser>
          <c:idx val="5"/>
          <c:order val="5"/>
          <c:tx>
            <c:strRef>
              <c:f>'G7'!$I$6</c:f>
              <c:strCache>
                <c:ptCount val="1"/>
                <c:pt idx="0">
                  <c:v>2017</c:v>
                </c:pt>
              </c:strCache>
            </c:strRef>
          </c:tx>
          <c:spPr>
            <a:solidFill>
              <a:schemeClr val="accent6"/>
            </a:solidFill>
            <a:ln>
              <a:noFill/>
            </a:ln>
            <a:effectLst/>
          </c:spPr>
          <c:invertIfNegative val="0"/>
          <c:cat>
            <c:multiLvlStrRef>
              <c:f>'G7'!$B$7:$C$12</c:f>
              <c:multiLvlStrCache>
                <c:ptCount val="6"/>
                <c:lvl>
                  <c:pt idx="0">
                    <c:v>H</c:v>
                  </c:pt>
                  <c:pt idx="1">
                    <c:v>M</c:v>
                  </c:pt>
                  <c:pt idx="2">
                    <c:v>H</c:v>
                  </c:pt>
                  <c:pt idx="3">
                    <c:v>M</c:v>
                  </c:pt>
                  <c:pt idx="4">
                    <c:v>H</c:v>
                  </c:pt>
                  <c:pt idx="5">
                    <c:v>M</c:v>
                  </c:pt>
                </c:lvl>
                <c:lvl>
                  <c:pt idx="0">
                    <c:v>Up to basic education  (3.º cycle)</c:v>
                  </c:pt>
                  <c:pt idx="2">
                    <c:v>Secondary and post secondary </c:v>
                  </c:pt>
                  <c:pt idx="4">
                    <c:v>Higher education</c:v>
                  </c:pt>
                </c:lvl>
              </c:multiLvlStrCache>
            </c:multiLvlStrRef>
          </c:cat>
          <c:val>
            <c:numRef>
              <c:f>'G7'!$I$7:$I$12</c:f>
              <c:numCache>
                <c:formatCode>#\ ##0.0</c:formatCode>
                <c:ptCount val="6"/>
                <c:pt idx="0">
                  <c:v>1326.3</c:v>
                </c:pt>
                <c:pt idx="1">
                  <c:v>937.6</c:v>
                </c:pt>
                <c:pt idx="2">
                  <c:v>637.9</c:v>
                </c:pt>
                <c:pt idx="3">
                  <c:v>622.4</c:v>
                </c:pt>
                <c:pt idx="4">
                  <c:v>478.1</c:v>
                </c:pt>
                <c:pt idx="5">
                  <c:v>754.3</c:v>
                </c:pt>
              </c:numCache>
            </c:numRef>
          </c:val>
          <c:extLst>
            <c:ext xmlns:c16="http://schemas.microsoft.com/office/drawing/2014/chart" uri="{C3380CC4-5D6E-409C-BE32-E72D297353CC}">
              <c16:uniqueId val="{00000005-D844-4BA2-A131-B57032EF8523}"/>
            </c:ext>
          </c:extLst>
        </c:ser>
        <c:ser>
          <c:idx val="6"/>
          <c:order val="6"/>
          <c:tx>
            <c:strRef>
              <c:f>'G7'!$J$6</c:f>
              <c:strCache>
                <c:ptCount val="1"/>
                <c:pt idx="0">
                  <c:v>2018</c:v>
                </c:pt>
              </c:strCache>
            </c:strRef>
          </c:tx>
          <c:spPr>
            <a:solidFill>
              <a:schemeClr val="accent1">
                <a:lumMod val="60000"/>
              </a:schemeClr>
            </a:solidFill>
            <a:ln>
              <a:noFill/>
            </a:ln>
            <a:effectLst/>
          </c:spPr>
          <c:invertIfNegative val="0"/>
          <c:cat>
            <c:multiLvlStrRef>
              <c:f>'G7'!$B$7:$C$12</c:f>
              <c:multiLvlStrCache>
                <c:ptCount val="6"/>
                <c:lvl>
                  <c:pt idx="0">
                    <c:v>H</c:v>
                  </c:pt>
                  <c:pt idx="1">
                    <c:v>M</c:v>
                  </c:pt>
                  <c:pt idx="2">
                    <c:v>H</c:v>
                  </c:pt>
                  <c:pt idx="3">
                    <c:v>M</c:v>
                  </c:pt>
                  <c:pt idx="4">
                    <c:v>H</c:v>
                  </c:pt>
                  <c:pt idx="5">
                    <c:v>M</c:v>
                  </c:pt>
                </c:lvl>
                <c:lvl>
                  <c:pt idx="0">
                    <c:v>Up to basic education  (3.º cycle)</c:v>
                  </c:pt>
                  <c:pt idx="2">
                    <c:v>Secondary and post secondary </c:v>
                  </c:pt>
                  <c:pt idx="4">
                    <c:v>Higher education</c:v>
                  </c:pt>
                </c:lvl>
              </c:multiLvlStrCache>
            </c:multiLvlStrRef>
          </c:cat>
          <c:val>
            <c:numRef>
              <c:f>'G7'!$J$7:$J$12</c:f>
              <c:numCache>
                <c:formatCode>#\ ##0.0</c:formatCode>
                <c:ptCount val="6"/>
                <c:pt idx="0">
                  <c:v>1310.9</c:v>
                </c:pt>
                <c:pt idx="1">
                  <c:v>922.8</c:v>
                </c:pt>
                <c:pt idx="2">
                  <c:v>673.1</c:v>
                </c:pt>
                <c:pt idx="3">
                  <c:v>655.9</c:v>
                </c:pt>
                <c:pt idx="4">
                  <c:v>501.8</c:v>
                </c:pt>
                <c:pt idx="5">
                  <c:v>802.2</c:v>
                </c:pt>
              </c:numCache>
            </c:numRef>
          </c:val>
          <c:extLst>
            <c:ext xmlns:c16="http://schemas.microsoft.com/office/drawing/2014/chart" uri="{C3380CC4-5D6E-409C-BE32-E72D297353CC}">
              <c16:uniqueId val="{00000006-D844-4BA2-A131-B57032EF8523}"/>
            </c:ext>
          </c:extLst>
        </c:ser>
        <c:dLbls>
          <c:showLegendKey val="0"/>
          <c:showVal val="0"/>
          <c:showCatName val="0"/>
          <c:showSerName val="0"/>
          <c:showPercent val="0"/>
          <c:showBubbleSize val="0"/>
        </c:dLbls>
        <c:gapWidth val="150"/>
        <c:axId val="122426880"/>
        <c:axId val="122428416"/>
      </c:barChart>
      <c:catAx>
        <c:axId val="12242688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2428416"/>
        <c:crosses val="autoZero"/>
        <c:auto val="1"/>
        <c:lblAlgn val="ctr"/>
        <c:lblOffset val="100"/>
        <c:noMultiLvlLbl val="0"/>
      </c:catAx>
      <c:valAx>
        <c:axId val="1224284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0"/>
                  <a:t>milhares</a:t>
                </a:r>
              </a:p>
            </c:rich>
          </c:tx>
          <c:layout/>
          <c:overlay val="0"/>
          <c:spPr>
            <a:noFill/>
            <a:ln>
              <a:noFill/>
            </a:ln>
            <a:effectLst/>
          </c:spPr>
        </c:title>
        <c:numFmt formatCode="#\ ##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2426880"/>
        <c:crosses val="autoZero"/>
        <c:crossBetween val="between"/>
        <c:majorUnit val="400"/>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'G9'!$B$9:$D$9</c:f>
              <c:strCache>
                <c:ptCount val="3"/>
                <c:pt idx="0">
                  <c:v>Highly skilled non-manual professions  (groups 1-2-3)</c:v>
                </c:pt>
              </c:strCache>
            </c:strRef>
          </c:tx>
          <c:spPr>
            <a:solidFill>
              <a:schemeClr val="accent1"/>
            </a:solidFill>
            <a:ln w="9525" cap="flat" cmpd="sng" algn="ctr">
              <a:solidFill>
                <a:schemeClr val="accent1">
                  <a:shade val="50000"/>
                  <a:shade val="95000"/>
                  <a:satMod val="105000"/>
                </a:schemeClr>
              </a:solidFill>
              <a:prstDash val="solid"/>
              <a:round/>
            </a:ln>
            <a:effectLst/>
          </c:spPr>
          <c:invertIfNegative val="0"/>
          <c:cat>
            <c:multiLvlStrRef>
              <c:f>'G9'!$E$7:$P$8</c:f>
              <c:multiLvlStrCache>
                <c:ptCount val="12"/>
                <c:lvl>
                  <c:pt idx="0">
                    <c:v>H</c:v>
                  </c:pt>
                  <c:pt idx="1">
                    <c:v>M</c:v>
                  </c:pt>
                  <c:pt idx="2">
                    <c:v>H</c:v>
                  </c:pt>
                  <c:pt idx="3">
                    <c:v>M</c:v>
                  </c:pt>
                  <c:pt idx="4">
                    <c:v>H</c:v>
                  </c:pt>
                  <c:pt idx="5">
                    <c:v>M</c:v>
                  </c:pt>
                  <c:pt idx="6">
                    <c:v>H</c:v>
                  </c:pt>
                  <c:pt idx="7">
                    <c:v>M</c:v>
                  </c:pt>
                  <c:pt idx="8">
                    <c:v>H</c:v>
                  </c:pt>
                  <c:pt idx="9">
                    <c:v>M</c:v>
                  </c:pt>
                  <c:pt idx="10">
                    <c:v>H</c:v>
                  </c:pt>
                  <c:pt idx="11">
                    <c:v>M</c:v>
                  </c:pt>
                </c:lvl>
                <c:lvl>
                  <c:pt idx="0">
                    <c:v>2013</c:v>
                  </c:pt>
                  <c:pt idx="2">
                    <c:v>2014</c:v>
                  </c:pt>
                  <c:pt idx="4">
                    <c:v>2015</c:v>
                  </c:pt>
                  <c:pt idx="6">
                    <c:v>2016</c:v>
                  </c:pt>
                  <c:pt idx="8">
                    <c:v>2017</c:v>
                  </c:pt>
                  <c:pt idx="10">
                    <c:v>2018</c:v>
                  </c:pt>
                </c:lvl>
              </c:multiLvlStrCache>
            </c:multiLvlStrRef>
          </c:cat>
          <c:val>
            <c:numRef>
              <c:f>'G9'!$E$9:$P$9</c:f>
              <c:numCache>
                <c:formatCode>0.0</c:formatCode>
                <c:ptCount val="12"/>
                <c:pt idx="0">
                  <c:v>32</c:v>
                </c:pt>
                <c:pt idx="1">
                  <c:v>33.299999999999997</c:v>
                </c:pt>
                <c:pt idx="2">
                  <c:v>34</c:v>
                </c:pt>
                <c:pt idx="3">
                  <c:v>35.799999999999997</c:v>
                </c:pt>
                <c:pt idx="4" formatCode="General">
                  <c:v>34.799999999999997</c:v>
                </c:pt>
                <c:pt idx="5" formatCode="General">
                  <c:v>36.799999999999997</c:v>
                </c:pt>
                <c:pt idx="6" formatCode="General">
                  <c:v>35.4</c:v>
                </c:pt>
                <c:pt idx="7" formatCode="General">
                  <c:v>37.6</c:v>
                </c:pt>
                <c:pt idx="8" formatCode="General">
                  <c:v>34.4</c:v>
                </c:pt>
                <c:pt idx="9" formatCode="General">
                  <c:v>37.9</c:v>
                </c:pt>
                <c:pt idx="10">
                  <c:v>34.077560543889284</c:v>
                </c:pt>
                <c:pt idx="11">
                  <c:v>37.642809139784944</c:v>
                </c:pt>
              </c:numCache>
            </c:numRef>
          </c:val>
          <c:extLst>
            <c:ext xmlns:c16="http://schemas.microsoft.com/office/drawing/2014/chart" uri="{C3380CC4-5D6E-409C-BE32-E72D297353CC}">
              <c16:uniqueId val="{00000000-3358-42E7-B3CB-20FEC9BEBDDC}"/>
            </c:ext>
          </c:extLst>
        </c:ser>
        <c:ser>
          <c:idx val="2"/>
          <c:order val="1"/>
          <c:tx>
            <c:strRef>
              <c:f>'G9'!$B$11:$D$11</c:f>
              <c:strCache>
                <c:ptCount val="3"/>
                <c:pt idx="0">
                  <c:v>Skilled non manual professions  (groups 4-5)</c:v>
                </c:pt>
              </c:strCache>
            </c:strRef>
          </c:tx>
          <c:spPr>
            <a:solidFill>
              <a:schemeClr val="accent3"/>
            </a:solidFill>
            <a:ln w="9525" cap="flat" cmpd="sng" algn="ctr">
              <a:solidFill>
                <a:schemeClr val="accent1">
                  <a:shade val="50000"/>
                  <a:shade val="95000"/>
                  <a:satMod val="105000"/>
                </a:schemeClr>
              </a:solidFill>
              <a:prstDash val="solid"/>
              <a:round/>
            </a:ln>
            <a:effectLst/>
          </c:spPr>
          <c:invertIfNegative val="0"/>
          <c:cat>
            <c:multiLvlStrRef>
              <c:f>'G9'!$E$7:$P$8</c:f>
              <c:multiLvlStrCache>
                <c:ptCount val="12"/>
                <c:lvl>
                  <c:pt idx="0">
                    <c:v>H</c:v>
                  </c:pt>
                  <c:pt idx="1">
                    <c:v>M</c:v>
                  </c:pt>
                  <c:pt idx="2">
                    <c:v>H</c:v>
                  </c:pt>
                  <c:pt idx="3">
                    <c:v>M</c:v>
                  </c:pt>
                  <c:pt idx="4">
                    <c:v>H</c:v>
                  </c:pt>
                  <c:pt idx="5">
                    <c:v>M</c:v>
                  </c:pt>
                  <c:pt idx="6">
                    <c:v>H</c:v>
                  </c:pt>
                  <c:pt idx="7">
                    <c:v>M</c:v>
                  </c:pt>
                  <c:pt idx="8">
                    <c:v>H</c:v>
                  </c:pt>
                  <c:pt idx="9">
                    <c:v>M</c:v>
                  </c:pt>
                  <c:pt idx="10">
                    <c:v>H</c:v>
                  </c:pt>
                  <c:pt idx="11">
                    <c:v>M</c:v>
                  </c:pt>
                </c:lvl>
                <c:lvl>
                  <c:pt idx="0">
                    <c:v>2013</c:v>
                  </c:pt>
                  <c:pt idx="2">
                    <c:v>2014</c:v>
                  </c:pt>
                  <c:pt idx="4">
                    <c:v>2015</c:v>
                  </c:pt>
                  <c:pt idx="6">
                    <c:v>2016</c:v>
                  </c:pt>
                  <c:pt idx="8">
                    <c:v>2017</c:v>
                  </c:pt>
                  <c:pt idx="10">
                    <c:v>2018</c:v>
                  </c:pt>
                </c:lvl>
              </c:multiLvlStrCache>
            </c:multiLvlStrRef>
          </c:cat>
          <c:val>
            <c:numRef>
              <c:f>'G9'!$E$11:$P$11</c:f>
              <c:numCache>
                <c:formatCode>0.0</c:formatCode>
                <c:ptCount val="12"/>
                <c:pt idx="0" formatCode="General">
                  <c:v>17.3</c:v>
                </c:pt>
                <c:pt idx="1">
                  <c:v>31.8</c:v>
                </c:pt>
                <c:pt idx="2" formatCode="General">
                  <c:v>16.899999999999999</c:v>
                </c:pt>
                <c:pt idx="3">
                  <c:v>32</c:v>
                </c:pt>
                <c:pt idx="4">
                  <c:v>17.2</c:v>
                </c:pt>
                <c:pt idx="5" formatCode="General">
                  <c:v>32.700000000000003</c:v>
                </c:pt>
                <c:pt idx="6">
                  <c:v>17.3</c:v>
                </c:pt>
                <c:pt idx="7" formatCode="General">
                  <c:v>33.299999999999997</c:v>
                </c:pt>
                <c:pt idx="8" formatCode="General">
                  <c:v>17.7</c:v>
                </c:pt>
                <c:pt idx="9" formatCode="General">
                  <c:v>33.4</c:v>
                </c:pt>
                <c:pt idx="10">
                  <c:v>18.22350953415399</c:v>
                </c:pt>
                <c:pt idx="11">
                  <c:v>35.072244623655912</c:v>
                </c:pt>
              </c:numCache>
            </c:numRef>
          </c:val>
          <c:extLst>
            <c:ext xmlns:c16="http://schemas.microsoft.com/office/drawing/2014/chart" uri="{C3380CC4-5D6E-409C-BE32-E72D297353CC}">
              <c16:uniqueId val="{00000001-3358-42E7-B3CB-20FEC9BEBDDC}"/>
            </c:ext>
          </c:extLst>
        </c:ser>
        <c:ser>
          <c:idx val="4"/>
          <c:order val="2"/>
          <c:tx>
            <c:strRef>
              <c:f>'G9'!$B$13:$D$13</c:f>
              <c:strCache>
                <c:ptCount val="3"/>
                <c:pt idx="0">
                  <c:v>Skilled manual professions  (groups 6-7-8)</c:v>
                </c:pt>
              </c:strCache>
            </c:strRef>
          </c:tx>
          <c:spPr>
            <a:solidFill>
              <a:schemeClr val="accent5"/>
            </a:solidFill>
            <a:ln w="9525" cap="flat" cmpd="sng" algn="ctr">
              <a:solidFill>
                <a:schemeClr val="accent1">
                  <a:shade val="50000"/>
                  <a:shade val="95000"/>
                  <a:satMod val="105000"/>
                </a:schemeClr>
              </a:solidFill>
              <a:prstDash val="solid"/>
              <a:round/>
            </a:ln>
            <a:effectLst/>
          </c:spPr>
          <c:invertIfNegative val="0"/>
          <c:cat>
            <c:multiLvlStrRef>
              <c:f>'G9'!$E$7:$P$8</c:f>
              <c:multiLvlStrCache>
                <c:ptCount val="12"/>
                <c:lvl>
                  <c:pt idx="0">
                    <c:v>H</c:v>
                  </c:pt>
                  <c:pt idx="1">
                    <c:v>M</c:v>
                  </c:pt>
                  <c:pt idx="2">
                    <c:v>H</c:v>
                  </c:pt>
                  <c:pt idx="3">
                    <c:v>M</c:v>
                  </c:pt>
                  <c:pt idx="4">
                    <c:v>H</c:v>
                  </c:pt>
                  <c:pt idx="5">
                    <c:v>M</c:v>
                  </c:pt>
                  <c:pt idx="6">
                    <c:v>H</c:v>
                  </c:pt>
                  <c:pt idx="7">
                    <c:v>M</c:v>
                  </c:pt>
                  <c:pt idx="8">
                    <c:v>H</c:v>
                  </c:pt>
                  <c:pt idx="9">
                    <c:v>M</c:v>
                  </c:pt>
                  <c:pt idx="10">
                    <c:v>H</c:v>
                  </c:pt>
                  <c:pt idx="11">
                    <c:v>M</c:v>
                  </c:pt>
                </c:lvl>
                <c:lvl>
                  <c:pt idx="0">
                    <c:v>2013</c:v>
                  </c:pt>
                  <c:pt idx="2">
                    <c:v>2014</c:v>
                  </c:pt>
                  <c:pt idx="4">
                    <c:v>2015</c:v>
                  </c:pt>
                  <c:pt idx="6">
                    <c:v>2016</c:v>
                  </c:pt>
                  <c:pt idx="8">
                    <c:v>2017</c:v>
                  </c:pt>
                  <c:pt idx="10">
                    <c:v>2018</c:v>
                  </c:pt>
                </c:lvl>
              </c:multiLvlStrCache>
            </c:multiLvlStrRef>
          </c:cat>
          <c:val>
            <c:numRef>
              <c:f>'G9'!$E$13:$P$13</c:f>
              <c:numCache>
                <c:formatCode>General</c:formatCode>
                <c:ptCount val="12"/>
                <c:pt idx="0">
                  <c:v>43.2</c:v>
                </c:pt>
                <c:pt idx="1">
                  <c:v>17.100000000000001</c:v>
                </c:pt>
                <c:pt idx="2">
                  <c:v>41.8</c:v>
                </c:pt>
                <c:pt idx="3">
                  <c:v>15.7</c:v>
                </c:pt>
                <c:pt idx="4">
                  <c:v>41.6</c:v>
                </c:pt>
                <c:pt idx="5">
                  <c:v>14.7</c:v>
                </c:pt>
                <c:pt idx="6">
                  <c:v>40.9</c:v>
                </c:pt>
                <c:pt idx="7">
                  <c:v>13.9</c:v>
                </c:pt>
                <c:pt idx="8">
                  <c:v>40.700000000000003</c:v>
                </c:pt>
                <c:pt idx="9">
                  <c:v>13.4</c:v>
                </c:pt>
                <c:pt idx="10" formatCode="0.0">
                  <c:v>40.791696838040068</c:v>
                </c:pt>
                <c:pt idx="11" formatCode="0.0">
                  <c:v>13.180443548387094</c:v>
                </c:pt>
              </c:numCache>
            </c:numRef>
          </c:val>
          <c:extLst>
            <c:ext xmlns:c16="http://schemas.microsoft.com/office/drawing/2014/chart" uri="{C3380CC4-5D6E-409C-BE32-E72D297353CC}">
              <c16:uniqueId val="{00000002-3358-42E7-B3CB-20FEC9BEBDDC}"/>
            </c:ext>
          </c:extLst>
        </c:ser>
        <c:ser>
          <c:idx val="6"/>
          <c:order val="3"/>
          <c:tx>
            <c:strRef>
              <c:f>'G9'!$B$15:$D$15</c:f>
              <c:strCache>
                <c:ptCount val="3"/>
                <c:pt idx="0">
                  <c:v>Non-skilled professions  (grupo 9)</c:v>
                </c:pt>
              </c:strCache>
            </c:strRef>
          </c:tx>
          <c:spPr>
            <a:solidFill>
              <a:schemeClr val="accent1">
                <a:lumMod val="60000"/>
              </a:schemeClr>
            </a:solidFill>
            <a:ln w="9525" cap="flat" cmpd="sng" algn="ctr">
              <a:solidFill>
                <a:schemeClr val="accent1">
                  <a:shade val="50000"/>
                  <a:shade val="95000"/>
                  <a:satMod val="105000"/>
                </a:schemeClr>
              </a:solidFill>
              <a:prstDash val="solid"/>
              <a:round/>
            </a:ln>
            <a:effectLst/>
          </c:spPr>
          <c:invertIfNegative val="0"/>
          <c:cat>
            <c:multiLvlStrRef>
              <c:f>'G9'!$E$7:$P$8</c:f>
              <c:multiLvlStrCache>
                <c:ptCount val="12"/>
                <c:lvl>
                  <c:pt idx="0">
                    <c:v>H</c:v>
                  </c:pt>
                  <c:pt idx="1">
                    <c:v>M</c:v>
                  </c:pt>
                  <c:pt idx="2">
                    <c:v>H</c:v>
                  </c:pt>
                  <c:pt idx="3">
                    <c:v>M</c:v>
                  </c:pt>
                  <c:pt idx="4">
                    <c:v>H</c:v>
                  </c:pt>
                  <c:pt idx="5">
                    <c:v>M</c:v>
                  </c:pt>
                  <c:pt idx="6">
                    <c:v>H</c:v>
                  </c:pt>
                  <c:pt idx="7">
                    <c:v>M</c:v>
                  </c:pt>
                  <c:pt idx="8">
                    <c:v>H</c:v>
                  </c:pt>
                  <c:pt idx="9">
                    <c:v>M</c:v>
                  </c:pt>
                  <c:pt idx="10">
                    <c:v>H</c:v>
                  </c:pt>
                  <c:pt idx="11">
                    <c:v>M</c:v>
                  </c:pt>
                </c:lvl>
                <c:lvl>
                  <c:pt idx="0">
                    <c:v>2013</c:v>
                  </c:pt>
                  <c:pt idx="2">
                    <c:v>2014</c:v>
                  </c:pt>
                  <c:pt idx="4">
                    <c:v>2015</c:v>
                  </c:pt>
                  <c:pt idx="6">
                    <c:v>2016</c:v>
                  </c:pt>
                  <c:pt idx="8">
                    <c:v>2017</c:v>
                  </c:pt>
                  <c:pt idx="10">
                    <c:v>2018</c:v>
                  </c:pt>
                </c:lvl>
              </c:multiLvlStrCache>
            </c:multiLvlStrRef>
          </c:cat>
          <c:val>
            <c:numRef>
              <c:f>'G9'!$E$15:$P$15</c:f>
              <c:numCache>
                <c:formatCode>General</c:formatCode>
                <c:ptCount val="12"/>
                <c:pt idx="0">
                  <c:v>6.5</c:v>
                </c:pt>
                <c:pt idx="1">
                  <c:v>17.8</c:v>
                </c:pt>
                <c:pt idx="2">
                  <c:v>6.3</c:v>
                </c:pt>
                <c:pt idx="3">
                  <c:v>16.5</c:v>
                </c:pt>
                <c:pt idx="4">
                  <c:v>6.4</c:v>
                </c:pt>
                <c:pt idx="5">
                  <c:v>15.8</c:v>
                </c:pt>
                <c:pt idx="6">
                  <c:v>6.4</c:v>
                </c:pt>
                <c:pt idx="7">
                  <c:v>15.2</c:v>
                </c:pt>
                <c:pt idx="8">
                  <c:v>6.5</c:v>
                </c:pt>
                <c:pt idx="9">
                  <c:v>15.2</c:v>
                </c:pt>
                <c:pt idx="10" formatCode="0.0">
                  <c:v>6.0584117789041745</c:v>
                </c:pt>
                <c:pt idx="11" formatCode="0.0">
                  <c:v>13.97429435483871</c:v>
                </c:pt>
              </c:numCache>
            </c:numRef>
          </c:val>
          <c:extLst>
            <c:ext xmlns:c16="http://schemas.microsoft.com/office/drawing/2014/chart" uri="{C3380CC4-5D6E-409C-BE32-E72D297353CC}">
              <c16:uniqueId val="{00000003-3358-42E7-B3CB-20FEC9BEBDDC}"/>
            </c:ext>
          </c:extLst>
        </c:ser>
        <c:dLbls>
          <c:showLegendKey val="0"/>
          <c:showVal val="0"/>
          <c:showCatName val="0"/>
          <c:showSerName val="0"/>
          <c:showPercent val="0"/>
          <c:showBubbleSize val="0"/>
        </c:dLbls>
        <c:gapWidth val="150"/>
        <c:axId val="160137600"/>
        <c:axId val="160139136"/>
      </c:barChart>
      <c:catAx>
        <c:axId val="160137600"/>
        <c:scaling>
          <c:orientation val="minMax"/>
        </c:scaling>
        <c:delete val="0"/>
        <c:axPos val="b"/>
        <c:numFmt formatCode="General" sourceLinked="1"/>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160139136"/>
        <c:crosses val="autoZero"/>
        <c:auto val="1"/>
        <c:lblAlgn val="ctr"/>
        <c:lblOffset val="100"/>
        <c:noMultiLvlLbl val="0"/>
      </c:catAx>
      <c:valAx>
        <c:axId val="160139136"/>
        <c:scaling>
          <c:orientation val="minMax"/>
          <c:max val="45"/>
        </c:scaling>
        <c:delete val="0"/>
        <c:axPos val="l"/>
        <c:majorGridlines>
          <c:spPr>
            <a:ln w="9525"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round/>
            </a:ln>
            <a:effectLst/>
          </c:spPr>
        </c:majorGridlines>
        <c:title>
          <c:tx>
            <c:rich>
              <a:bodyPr rot="0" spcFirstLastPara="1" vertOverflow="ellipsis" vert="wordArtVert" wrap="square" anchor="b" anchorCtr="0"/>
              <a:lstStyle/>
              <a:p>
                <a:pPr>
                  <a:defRPr sz="1000" b="1" i="0" u="none" strike="noStrike" kern="1200" baseline="0">
                    <a:solidFill>
                      <a:schemeClr val="dk1"/>
                    </a:solidFill>
                    <a:latin typeface="+mn-lt"/>
                    <a:ea typeface="+mn-ea"/>
                    <a:cs typeface="+mn-cs"/>
                  </a:defRPr>
                </a:pPr>
                <a:r>
                  <a:rPr lang="pt-PT"/>
                  <a:t>%</a:t>
                </a:r>
              </a:p>
            </c:rich>
          </c:tx>
          <c:layout>
            <c:manualLayout>
              <c:xMode val="edge"/>
              <c:yMode val="edge"/>
              <c:x val="0.2761340794026807"/>
              <c:y val="0.3100665342451141"/>
            </c:manualLayout>
          </c:layout>
          <c:overlay val="0"/>
          <c:spPr>
            <a:noFill/>
            <a:ln>
              <a:noFill/>
            </a:ln>
            <a:effectLst/>
          </c:spPr>
        </c:title>
        <c:numFmt formatCode="0.0" sourceLinked="1"/>
        <c:majorTickMark val="none"/>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n-US"/>
          </a:p>
        </c:txPr>
        <c:crossAx val="160137600"/>
        <c:crosses val="autoZero"/>
        <c:crossBetween val="between"/>
      </c:valAx>
      <c:dTable>
        <c:showHorzBorder val="1"/>
        <c:showVertBorder val="1"/>
        <c:showOutline val="1"/>
        <c:showKeys val="1"/>
        <c:spPr>
          <a:noFill/>
          <a:ln w="9525" cap="flat" cmpd="sng" algn="ctr">
            <a:solidFill>
              <a:schemeClr val="dk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dk1"/>
                </a:solidFill>
                <a:latin typeface="+mn-lt"/>
                <a:ea typeface="+mn-ea"/>
                <a:cs typeface="+mn-cs"/>
              </a:defRPr>
            </a:pPr>
            <a:endParaRPr lang="en-US"/>
          </a:p>
        </c:txPr>
      </c:dTable>
      <c:spPr>
        <a:solidFill>
          <a:schemeClr val="accent1">
            <a:tint val="20000"/>
          </a:schemeClr>
        </a:solidFill>
        <a:ln>
          <a:noFill/>
        </a:ln>
        <a:effectLst/>
      </c:spPr>
    </c:plotArea>
    <c:plotVisOnly val="1"/>
    <c:dispBlanksAs val="gap"/>
    <c:showDLblsOverMax val="0"/>
  </c:chart>
  <c:spPr>
    <a:solidFill>
      <a:schemeClr val="lt1"/>
    </a:solidFill>
    <a:ln w="9525" cap="flat" cmpd="sng" algn="ctr">
      <a:solidFill>
        <a:schemeClr val="bg1"/>
      </a:solidFill>
      <a:prstDash val="solid"/>
      <a:round/>
    </a:ln>
    <a:effectLst>
      <a:glow>
        <a:schemeClr val="bg1"/>
      </a:glow>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0.82447</cdr:x>
      <cdr:y>0.86987</cdr:y>
    </cdr:from>
    <cdr:to>
      <cdr:x>0.93345</cdr:x>
      <cdr:y>0.93685</cdr:y>
    </cdr:to>
    <cdr:sp macro="" textlink="">
      <cdr:nvSpPr>
        <cdr:cNvPr id="2" name="CaixaDeTexto 2"/>
        <cdr:cNvSpPr txBox="1"/>
      </cdr:nvSpPr>
      <cdr:spPr>
        <a:xfrm xmlns:a="http://schemas.openxmlformats.org/drawingml/2006/main">
          <a:off x="4451633" y="2256967"/>
          <a:ext cx="588452" cy="17378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t-PT" sz="1000" b="1"/>
            <a:t>(H</a:t>
          </a:r>
          <a:r>
            <a:rPr lang="pt-PT" sz="1000" b="1" baseline="0"/>
            <a:t> e </a:t>
          </a:r>
          <a:r>
            <a:rPr lang="pt-PT" sz="1000" b="1"/>
            <a:t>M)</a:t>
          </a:r>
        </a:p>
      </cdr:txBody>
    </cdr:sp>
  </cdr:relSizeAnchor>
  <cdr:relSizeAnchor xmlns:cdr="http://schemas.openxmlformats.org/drawingml/2006/chartDrawing">
    <cdr:from>
      <cdr:x>0.14003</cdr:x>
      <cdr:y>0.80973</cdr:y>
    </cdr:from>
    <cdr:to>
      <cdr:x>0.17303</cdr:x>
      <cdr:y>0.87686</cdr:y>
    </cdr:to>
    <cdr:grpSp>
      <cdr:nvGrpSpPr>
        <cdr:cNvPr id="7" name="Grupo 6"/>
        <cdr:cNvGrpSpPr/>
      </cdr:nvGrpSpPr>
      <cdr:grpSpPr>
        <a:xfrm xmlns:a="http://schemas.openxmlformats.org/drawingml/2006/main">
          <a:off x="756060" y="2100942"/>
          <a:ext cx="178212" cy="174172"/>
          <a:chOff x="4283031" y="2057400"/>
          <a:chExt cx="178212" cy="174172"/>
        </a:xfrm>
      </cdr:grpSpPr>
      <cdr:cxnSp macro="">
        <cdr:nvCxnSpPr>
          <cdr:cNvPr id="3" name="Conexão recta 2"/>
          <cdr:cNvCxnSpPr/>
        </cdr:nvCxnSpPr>
        <cdr:spPr>
          <a:xfrm xmlns:a="http://schemas.openxmlformats.org/drawingml/2006/main" flipV="1">
            <a:off x="4332514" y="2154073"/>
            <a:ext cx="128729" cy="7749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4" name="Conexão recta 3"/>
          <cdr:cNvCxnSpPr/>
        </cdr:nvCxnSpPr>
        <cdr:spPr>
          <a:xfrm xmlns:a="http://schemas.openxmlformats.org/drawingml/2006/main" flipV="1">
            <a:off x="4283031" y="2057400"/>
            <a:ext cx="169226" cy="1092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0.79636</cdr:x>
      <cdr:y>0.80414</cdr:y>
    </cdr:from>
    <cdr:to>
      <cdr:x>0.83198</cdr:x>
      <cdr:y>0.87267</cdr:y>
    </cdr:to>
    <cdr:grpSp>
      <cdr:nvGrpSpPr>
        <cdr:cNvPr id="11" name="Grupo 10"/>
        <cdr:cNvGrpSpPr/>
      </cdr:nvGrpSpPr>
      <cdr:grpSpPr>
        <a:xfrm xmlns:a="http://schemas.openxmlformats.org/drawingml/2006/main">
          <a:off x="4299857" y="2086430"/>
          <a:ext cx="192314" cy="177800"/>
          <a:chOff x="794657" y="2053772"/>
          <a:chExt cx="192314" cy="177800"/>
        </a:xfrm>
      </cdr:grpSpPr>
      <cdr:cxnSp macro="">
        <cdr:nvCxnSpPr>
          <cdr:cNvPr id="9" name="Conexão recta 8"/>
          <cdr:cNvCxnSpPr/>
        </cdr:nvCxnSpPr>
        <cdr:spPr>
          <a:xfrm xmlns:a="http://schemas.openxmlformats.org/drawingml/2006/main">
            <a:off x="794657" y="2111829"/>
            <a:ext cx="174171" cy="11974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0" name="Conexão recta 9"/>
          <cdr:cNvCxnSpPr/>
        </cdr:nvCxnSpPr>
        <cdr:spPr>
          <a:xfrm xmlns:a="http://schemas.openxmlformats.org/drawingml/2006/main">
            <a:off x="812800" y="2053772"/>
            <a:ext cx="174171" cy="11974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0988FD-E72E-4496-BD2B-0EF7966287E5}">
  <ds:schemaRefs>
    <ds:schemaRef ds:uri="http://schemas.openxmlformats.org/officeDocument/2006/bibliography"/>
  </ds:schemaRefs>
</ds:datastoreItem>
</file>

<file path=customXml/itemProps2.xml><?xml version="1.0" encoding="utf-8"?>
<ds:datastoreItem xmlns:ds="http://schemas.openxmlformats.org/officeDocument/2006/customXml" ds:itemID="{AA1E8273-5097-4529-8958-E8B94CFBFFB2}"/>
</file>

<file path=customXml/itemProps3.xml><?xml version="1.0" encoding="utf-8"?>
<ds:datastoreItem xmlns:ds="http://schemas.openxmlformats.org/officeDocument/2006/customXml" ds:itemID="{981FDDD3-AD7B-4F1F-9B6A-62C3DA440E14}"/>
</file>

<file path=customXml/itemProps4.xml><?xml version="1.0" encoding="utf-8"?>
<ds:datastoreItem xmlns:ds="http://schemas.openxmlformats.org/officeDocument/2006/customXml" ds:itemID="{4A45576E-869B-456C-840B-6FF73D112C6C}"/>
</file>

<file path=docProps/app.xml><?xml version="1.0" encoding="utf-8"?>
<Properties xmlns="http://schemas.openxmlformats.org/officeDocument/2006/extended-properties" xmlns:vt="http://schemas.openxmlformats.org/officeDocument/2006/docPropsVTypes">
  <Template>Normal.dotm</Template>
  <TotalTime>134</TotalTime>
  <Pages>16</Pages>
  <Words>6077</Words>
  <Characters>34640</Characters>
  <Application>Microsoft Office Word</Application>
  <DocSecurity>0</DocSecurity>
  <Lines>288</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CITE</Company>
  <LinksUpToDate>false</LinksUpToDate>
  <CharactersWithSpaces>40636</CharactersWithSpaces>
  <SharedDoc>false</SharedDoc>
  <HLinks>
    <vt:vector size="6" baseType="variant">
      <vt:variant>
        <vt:i4>5767230</vt:i4>
      </vt:variant>
      <vt:variant>
        <vt:i4>3</vt:i4>
      </vt:variant>
      <vt:variant>
        <vt:i4>0</vt:i4>
      </vt:variant>
      <vt:variant>
        <vt:i4>5</vt:i4>
      </vt:variant>
      <vt:variant>
        <vt:lpwstr>mailto:cite@cite.gov.pt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Anabela Domingues</dc:creator>
  <cp:lastModifiedBy>NAMINDRANASOA Haja</cp:lastModifiedBy>
  <cp:revision>5</cp:revision>
  <cp:lastPrinted>2019-09-04T15:25:00Z</cp:lastPrinted>
  <dcterms:created xsi:type="dcterms:W3CDTF">2019-09-04T09:14:00Z</dcterms:created>
  <dcterms:modified xsi:type="dcterms:W3CDTF">2019-10-17T16:12:00Z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