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68D76" w14:textId="5ACF95B9" w:rsidR="00825922" w:rsidRPr="00FD0663" w:rsidRDefault="00825922" w:rsidP="00B441E1">
      <w:pPr>
        <w:spacing w:after="0" w:line="240" w:lineRule="auto"/>
        <w:jc w:val="center"/>
        <w:rPr>
          <w:rFonts w:ascii="Times New Roman" w:hAnsi="Times New Roman" w:cs="Times New Roman"/>
          <w:b/>
          <w:sz w:val="24"/>
          <w:szCs w:val="24"/>
          <w:lang w:val="fr-CH"/>
        </w:rPr>
      </w:pPr>
      <w:bookmarkStart w:id="0" w:name="_GoBack"/>
      <w:bookmarkEnd w:id="0"/>
      <w:r w:rsidRPr="00FD0663">
        <w:rPr>
          <w:rFonts w:ascii="Times New Roman" w:hAnsi="Times New Roman" w:cs="Times New Roman"/>
          <w:b/>
          <w:sz w:val="24"/>
          <w:szCs w:val="24"/>
          <w:lang w:val="fr-CH"/>
        </w:rPr>
        <w:t xml:space="preserve">Appel </w:t>
      </w:r>
      <w:r w:rsidR="00DC17B2" w:rsidRPr="00FD0663">
        <w:rPr>
          <w:rFonts w:ascii="Times New Roman" w:hAnsi="Times New Roman" w:cs="Times New Roman"/>
          <w:b/>
          <w:sz w:val="24"/>
          <w:szCs w:val="24"/>
          <w:lang w:val="fr-CH"/>
        </w:rPr>
        <w:t>à contributions pour le</w:t>
      </w:r>
      <w:r w:rsidRPr="00FD0663">
        <w:rPr>
          <w:rFonts w:ascii="Times New Roman" w:hAnsi="Times New Roman" w:cs="Times New Roman"/>
          <w:b/>
          <w:sz w:val="24"/>
          <w:szCs w:val="24"/>
          <w:lang w:val="fr-CH"/>
        </w:rPr>
        <w:t xml:space="preserve"> rapport thématique de la R</w:t>
      </w:r>
      <w:r w:rsidR="00DE242F" w:rsidRPr="00FD0663">
        <w:rPr>
          <w:rFonts w:ascii="Times New Roman" w:hAnsi="Times New Roman" w:cs="Times New Roman"/>
          <w:b/>
          <w:sz w:val="24"/>
          <w:szCs w:val="24"/>
          <w:lang w:val="fr-CH"/>
        </w:rPr>
        <w:t>S</w:t>
      </w:r>
      <w:r w:rsidRPr="00FD0663">
        <w:rPr>
          <w:rFonts w:ascii="Times New Roman" w:hAnsi="Times New Roman" w:cs="Times New Roman"/>
          <w:b/>
          <w:sz w:val="24"/>
          <w:szCs w:val="24"/>
          <w:lang w:val="fr-CH"/>
        </w:rPr>
        <w:t xml:space="preserve">ONU </w:t>
      </w:r>
      <w:r w:rsidR="003E059E" w:rsidRPr="00FD0663">
        <w:rPr>
          <w:rFonts w:ascii="Times New Roman" w:hAnsi="Times New Roman" w:cs="Times New Roman"/>
          <w:b/>
          <w:sz w:val="24"/>
          <w:szCs w:val="24"/>
          <w:lang w:val="fr-CH"/>
        </w:rPr>
        <w:t>VCF</w:t>
      </w:r>
      <w:r w:rsidRPr="00FD0663">
        <w:rPr>
          <w:rFonts w:ascii="Times New Roman" w:hAnsi="Times New Roman" w:cs="Times New Roman"/>
          <w:b/>
          <w:sz w:val="24"/>
          <w:szCs w:val="24"/>
          <w:lang w:val="fr-CH"/>
        </w:rPr>
        <w:t xml:space="preserve"> sur le viol en tant que violation grave et systématique des droits humains et</w:t>
      </w:r>
      <w:r w:rsidR="009812D4" w:rsidRPr="00FD0663">
        <w:rPr>
          <w:rFonts w:ascii="Times New Roman" w:hAnsi="Times New Roman" w:cs="Times New Roman"/>
          <w:b/>
          <w:sz w:val="24"/>
          <w:szCs w:val="24"/>
          <w:lang w:val="fr-CH"/>
        </w:rPr>
        <w:t xml:space="preserve"> en tant que type de </w:t>
      </w:r>
      <w:r w:rsidRPr="00FD0663">
        <w:rPr>
          <w:rFonts w:ascii="Times New Roman" w:hAnsi="Times New Roman" w:cs="Times New Roman"/>
          <w:b/>
          <w:sz w:val="24"/>
          <w:szCs w:val="24"/>
          <w:lang w:val="fr-CH"/>
        </w:rPr>
        <w:t>violence s</w:t>
      </w:r>
      <w:r w:rsidR="00246638" w:rsidRPr="00FD0663">
        <w:rPr>
          <w:rFonts w:ascii="Times New Roman" w:hAnsi="Times New Roman" w:cs="Times New Roman"/>
          <w:b/>
          <w:sz w:val="24"/>
          <w:szCs w:val="24"/>
          <w:lang w:val="fr-CH"/>
        </w:rPr>
        <w:t>ex</w:t>
      </w:r>
      <w:r w:rsidR="009812D4" w:rsidRPr="00FD0663">
        <w:rPr>
          <w:rFonts w:ascii="Times New Roman" w:hAnsi="Times New Roman" w:cs="Times New Roman"/>
          <w:b/>
          <w:sz w:val="24"/>
          <w:szCs w:val="24"/>
          <w:lang w:val="fr-CH"/>
        </w:rPr>
        <w:t>iste</w:t>
      </w:r>
      <w:r w:rsidRPr="00FD0663">
        <w:rPr>
          <w:rFonts w:ascii="Times New Roman" w:hAnsi="Times New Roman" w:cs="Times New Roman"/>
          <w:b/>
          <w:sz w:val="24"/>
          <w:szCs w:val="24"/>
          <w:lang w:val="fr-CH"/>
        </w:rPr>
        <w:t xml:space="preserve"> à l'égard des femmes</w:t>
      </w:r>
    </w:p>
    <w:p w14:paraId="687B1C77" w14:textId="32D32C92" w:rsidR="009812D4" w:rsidRPr="00FD0663" w:rsidRDefault="009812D4" w:rsidP="00B441E1">
      <w:pPr>
        <w:spacing w:after="0" w:line="240" w:lineRule="auto"/>
        <w:jc w:val="both"/>
        <w:rPr>
          <w:rFonts w:ascii="Times New Roman" w:hAnsi="Times New Roman" w:cs="Times New Roman"/>
          <w:sz w:val="24"/>
          <w:szCs w:val="24"/>
          <w:lang w:val="fr-CH"/>
        </w:rPr>
      </w:pPr>
    </w:p>
    <w:p w14:paraId="3FFCBB11" w14:textId="77777777" w:rsidR="00B441E1" w:rsidRPr="00FD0663" w:rsidRDefault="00B441E1" w:rsidP="00B441E1">
      <w:pPr>
        <w:spacing w:after="0" w:line="240" w:lineRule="auto"/>
        <w:jc w:val="both"/>
        <w:rPr>
          <w:rFonts w:ascii="Times New Roman" w:hAnsi="Times New Roman" w:cs="Times New Roman"/>
          <w:sz w:val="24"/>
          <w:szCs w:val="24"/>
          <w:lang w:val="fr-CH"/>
        </w:rPr>
      </w:pPr>
      <w:r w:rsidRPr="00FD0663">
        <w:rPr>
          <w:rFonts w:ascii="Times New Roman" w:hAnsi="Times New Roman" w:cs="Times New Roman"/>
          <w:sz w:val="24"/>
          <w:szCs w:val="24"/>
          <w:lang w:val="fr-CH"/>
        </w:rPr>
        <w:t xml:space="preserve">Toutes les contributions doivent être envoyées à </w:t>
      </w:r>
      <w:hyperlink r:id="rId8" w:history="1">
        <w:r w:rsidRPr="00FD0663">
          <w:rPr>
            <w:rStyle w:val="Hyperlink"/>
            <w:rFonts w:ascii="Times New Roman" w:hAnsi="Times New Roman" w:cs="Times New Roman"/>
            <w:sz w:val="24"/>
            <w:szCs w:val="24"/>
            <w:lang w:val="fr-CH"/>
          </w:rPr>
          <w:t>vaw@ohchr.org</w:t>
        </w:r>
      </w:hyperlink>
      <w:r w:rsidRPr="00FD0663">
        <w:rPr>
          <w:rFonts w:ascii="Times New Roman" w:hAnsi="Times New Roman" w:cs="Times New Roman"/>
          <w:sz w:val="24"/>
          <w:szCs w:val="24"/>
          <w:lang w:val="fr-CH"/>
        </w:rPr>
        <w:t xml:space="preserve"> avant le 20 mai 2020. Nous vous prions de bien vouloir indiquer si vous NE SOUHAITEZ PAS que votre contribution soit rendue publique.</w:t>
      </w:r>
    </w:p>
    <w:p w14:paraId="1318F72D" w14:textId="77777777" w:rsidR="00B441E1" w:rsidRPr="00FD0663" w:rsidRDefault="00B441E1" w:rsidP="00B441E1">
      <w:pPr>
        <w:spacing w:after="0" w:line="240" w:lineRule="auto"/>
        <w:jc w:val="both"/>
        <w:rPr>
          <w:rFonts w:ascii="Times New Roman" w:hAnsi="Times New Roman" w:cs="Times New Roman"/>
          <w:b/>
          <w:sz w:val="24"/>
          <w:szCs w:val="24"/>
          <w:lang w:val="fr-CH"/>
        </w:rPr>
      </w:pPr>
    </w:p>
    <w:p w14:paraId="55FFF2F9" w14:textId="69960E16" w:rsidR="009812D4" w:rsidRPr="00FD0663" w:rsidRDefault="009812D4" w:rsidP="00B441E1">
      <w:pPr>
        <w:spacing w:after="0" w:line="240" w:lineRule="auto"/>
        <w:jc w:val="both"/>
        <w:rPr>
          <w:rFonts w:ascii="Times New Roman" w:hAnsi="Times New Roman" w:cs="Times New Roman"/>
          <w:b/>
          <w:sz w:val="24"/>
          <w:szCs w:val="24"/>
          <w:lang w:val="fr-CH"/>
        </w:rPr>
      </w:pPr>
      <w:r w:rsidRPr="00FD0663">
        <w:rPr>
          <w:rFonts w:ascii="Times New Roman" w:hAnsi="Times New Roman" w:cs="Times New Roman"/>
          <w:b/>
          <w:sz w:val="24"/>
          <w:szCs w:val="24"/>
          <w:lang w:val="fr-CH"/>
        </w:rPr>
        <w:t>Questionnaire sur la criminalisation et les poursuites pour viol</w:t>
      </w:r>
    </w:p>
    <w:p w14:paraId="3CA75C80" w14:textId="77777777" w:rsidR="00B441E1" w:rsidRPr="00FD0663" w:rsidRDefault="00B441E1" w:rsidP="00B441E1">
      <w:pPr>
        <w:spacing w:after="0" w:line="240" w:lineRule="auto"/>
        <w:jc w:val="both"/>
        <w:rPr>
          <w:rFonts w:ascii="Times New Roman" w:hAnsi="Times New Roman" w:cs="Times New Roman"/>
          <w:b/>
          <w:sz w:val="24"/>
          <w:szCs w:val="24"/>
          <w:lang w:val="fr-CH"/>
        </w:rPr>
      </w:pPr>
    </w:p>
    <w:p w14:paraId="29B18012" w14:textId="09262072" w:rsidR="009812D4" w:rsidRPr="00405BDA" w:rsidRDefault="009812D4" w:rsidP="00B441E1">
      <w:pPr>
        <w:spacing w:after="0" w:line="240" w:lineRule="auto"/>
        <w:jc w:val="both"/>
        <w:rPr>
          <w:rFonts w:ascii="Times New Roman" w:hAnsi="Times New Roman" w:cs="Times New Roman"/>
          <w:b/>
          <w:sz w:val="24"/>
          <w:szCs w:val="24"/>
          <w:lang w:val="fr-CH"/>
        </w:rPr>
      </w:pPr>
      <w:r w:rsidRPr="00405BDA">
        <w:rPr>
          <w:rFonts w:ascii="Times New Roman" w:hAnsi="Times New Roman" w:cs="Times New Roman"/>
          <w:b/>
          <w:sz w:val="24"/>
          <w:szCs w:val="24"/>
          <w:lang w:val="fr-CH"/>
        </w:rPr>
        <w:t>Définition et portée des dispositions de droit pénal</w:t>
      </w:r>
    </w:p>
    <w:p w14:paraId="6F5D93E8" w14:textId="67F1AE6A" w:rsidR="00B441E1" w:rsidRPr="00405BDA" w:rsidRDefault="009812D4" w:rsidP="00B441E1">
      <w:pPr>
        <w:pStyle w:val="BodyA"/>
        <w:numPr>
          <w:ilvl w:val="0"/>
          <w:numId w:val="1"/>
        </w:numPr>
        <w:shd w:val="clear" w:color="auto" w:fill="FFFFFF"/>
        <w:jc w:val="both"/>
        <w:rPr>
          <w:rFonts w:cs="Times New Roman"/>
          <w:color w:val="auto"/>
          <w:lang w:val="fr-CH"/>
        </w:rPr>
      </w:pPr>
      <w:r w:rsidRPr="00405BDA">
        <w:rPr>
          <w:rFonts w:cs="Times New Roman"/>
          <w:color w:val="auto"/>
          <w:lang w:val="fr-CH"/>
        </w:rPr>
        <w:t xml:space="preserve">Veuillez fournir des informations sur les dispositions du droit pénal concernant le viol (ou les formes analogues de violence sexuelle grave pour les juridictions qui n'ont pas de classification de viol) en fournissant une transcription </w:t>
      </w:r>
      <w:r w:rsidR="00381A62" w:rsidRPr="00405BDA">
        <w:rPr>
          <w:rFonts w:cs="Times New Roman"/>
          <w:color w:val="auto"/>
          <w:lang w:val="fr-CH"/>
        </w:rPr>
        <w:t xml:space="preserve">et traduction </w:t>
      </w:r>
      <w:r w:rsidRPr="00405BDA">
        <w:rPr>
          <w:rFonts w:cs="Times New Roman"/>
          <w:color w:val="auto"/>
          <w:lang w:val="fr-CH"/>
        </w:rPr>
        <w:t>complète</w:t>
      </w:r>
      <w:r w:rsidR="00381A62" w:rsidRPr="00405BDA">
        <w:rPr>
          <w:rFonts w:cs="Times New Roman"/>
          <w:color w:val="auto"/>
          <w:lang w:val="fr-CH"/>
        </w:rPr>
        <w:t>s</w:t>
      </w:r>
      <w:r w:rsidRPr="00405BDA">
        <w:rPr>
          <w:rFonts w:cs="Times New Roman"/>
          <w:color w:val="auto"/>
          <w:lang w:val="fr-CH"/>
        </w:rPr>
        <w:t xml:space="preserve"> des articles pertinents du Code pénal et du Code de procédure pénal.</w:t>
      </w:r>
      <w:r w:rsidR="008E6CD2" w:rsidRPr="00405BDA">
        <w:rPr>
          <w:rFonts w:cs="Times New Roman"/>
          <w:color w:val="auto"/>
          <w:lang w:val="fr-CH"/>
        </w:rPr>
        <w:t xml:space="preserve"> </w:t>
      </w:r>
    </w:p>
    <w:p w14:paraId="3DBD0A79" w14:textId="1847A85D" w:rsidR="00E10FB0" w:rsidRPr="00FD0663" w:rsidRDefault="00E10FB0" w:rsidP="00E10FB0">
      <w:pPr>
        <w:pStyle w:val="BodyA"/>
        <w:shd w:val="clear" w:color="auto" w:fill="FFFFFF"/>
        <w:jc w:val="both"/>
        <w:rPr>
          <w:rFonts w:cs="Times New Roman"/>
          <w:color w:val="5B9BD5" w:themeColor="accent1"/>
          <w:lang w:val="fr-CH"/>
        </w:rPr>
      </w:pPr>
    </w:p>
    <w:p w14:paraId="1012BA8D" w14:textId="6FDC9D1E" w:rsidR="00E10FB0" w:rsidRPr="00FD0663" w:rsidRDefault="00E10FB0" w:rsidP="00A01748">
      <w:pPr>
        <w:pStyle w:val="BodyA"/>
        <w:shd w:val="clear" w:color="auto" w:fill="FFFFFF"/>
        <w:ind w:firstLine="360"/>
        <w:jc w:val="both"/>
        <w:rPr>
          <w:rFonts w:cs="Times New Roman"/>
          <w:lang w:val="fr-CH"/>
        </w:rPr>
      </w:pPr>
      <w:r w:rsidRPr="00FD0663">
        <w:rPr>
          <w:rFonts w:cs="Times New Roman"/>
          <w:lang w:val="fr-CH"/>
        </w:rPr>
        <w:t>A Madagascar le viol est prévu et puni par les articles 332 et suivant du code pénal.</w:t>
      </w:r>
    </w:p>
    <w:p w14:paraId="2D60F176" w14:textId="5C58F2C2" w:rsidR="00E10FB0" w:rsidRPr="00FD0663" w:rsidRDefault="00E10FB0" w:rsidP="00E10FB0">
      <w:pPr>
        <w:pStyle w:val="BodyA"/>
        <w:shd w:val="clear" w:color="auto" w:fill="FFFFFF"/>
        <w:jc w:val="both"/>
        <w:rPr>
          <w:rFonts w:cs="Times New Roman"/>
          <w:lang w:val="fr-CH"/>
        </w:rPr>
      </w:pPr>
      <w:r w:rsidRPr="00FD0663">
        <w:rPr>
          <w:rFonts w:cs="Times New Roman"/>
          <w:lang w:val="fr-CH"/>
        </w:rPr>
        <w:t>L’article 332 définit le viol comme tout acte de pénétration sexuelle de quelque nature que ce soit, commis sur la personne d’autrui par violence, contrainte, menace ou surprise</w:t>
      </w:r>
      <w:r w:rsidR="00405BDA">
        <w:rPr>
          <w:rStyle w:val="FootnoteReference"/>
          <w:rFonts w:cs="Times New Roman"/>
          <w:lang w:val="fr-CH"/>
        </w:rPr>
        <w:footnoteReference w:id="1"/>
      </w:r>
      <w:r w:rsidRPr="00FD0663">
        <w:rPr>
          <w:rFonts w:cs="Times New Roman"/>
          <w:lang w:val="fr-CH"/>
        </w:rPr>
        <w:t>.</w:t>
      </w:r>
    </w:p>
    <w:p w14:paraId="38794082" w14:textId="4755122B" w:rsidR="00E10FB0" w:rsidRPr="00FD0663" w:rsidRDefault="00E10FB0" w:rsidP="00A01748">
      <w:pPr>
        <w:pStyle w:val="BodyA"/>
        <w:shd w:val="clear" w:color="auto" w:fill="FFFFFF"/>
        <w:ind w:firstLine="720"/>
        <w:jc w:val="both"/>
        <w:rPr>
          <w:rFonts w:cs="Times New Roman"/>
          <w:lang w:val="fr-CH"/>
        </w:rPr>
      </w:pPr>
      <w:r w:rsidRPr="00FD0663">
        <w:rPr>
          <w:rFonts w:cs="Times New Roman"/>
          <w:lang w:val="fr-CH"/>
        </w:rPr>
        <w:t xml:space="preserve">La définition du viol est alors très large car </w:t>
      </w:r>
      <w:r w:rsidR="00CA35EB">
        <w:rPr>
          <w:rFonts w:cs="Times New Roman"/>
          <w:lang w:val="fr-CH"/>
        </w:rPr>
        <w:t>elle</w:t>
      </w:r>
      <w:r w:rsidRPr="00FD0663">
        <w:rPr>
          <w:rFonts w:cs="Times New Roman"/>
          <w:lang w:val="fr-CH"/>
        </w:rPr>
        <w:t xml:space="preserve"> ne recouvre pas uniquement un acte de pénétration par le sexe par son auteur (il peut s’agir ainsi d’un acte de pénétration à l’aide d’un objet ou d’un doigt, etc…) et ne définit pas spécifiquement la femme ou la fille comme étant la victime. </w:t>
      </w:r>
    </w:p>
    <w:p w14:paraId="0F4E70CD" w14:textId="2DFE04C0" w:rsidR="005F4816" w:rsidRPr="00FD0663" w:rsidRDefault="00CA35EB" w:rsidP="00A01748">
      <w:pPr>
        <w:pStyle w:val="BodyA"/>
        <w:shd w:val="clear" w:color="auto" w:fill="FFFFFF"/>
        <w:ind w:firstLine="720"/>
        <w:jc w:val="both"/>
        <w:rPr>
          <w:rFonts w:cs="Times New Roman"/>
          <w:lang w:val="fr-CH"/>
        </w:rPr>
      </w:pPr>
      <w:r>
        <w:rPr>
          <w:rFonts w:cs="Times New Roman"/>
          <w:lang w:val="fr-CH"/>
        </w:rPr>
        <w:t xml:space="preserve">Ainsi, le viol </w:t>
      </w:r>
      <w:r w:rsidR="00E10FB0" w:rsidRPr="00FD0663">
        <w:rPr>
          <w:rFonts w:cs="Times New Roman"/>
          <w:lang w:val="fr-CH"/>
        </w:rPr>
        <w:t>se caractérise par l’absence de consentement de la victime</w:t>
      </w:r>
      <w:r w:rsidR="0093471F" w:rsidRPr="00FD0663">
        <w:rPr>
          <w:rFonts w:cs="Times New Roman"/>
          <w:lang w:val="fr-CH"/>
        </w:rPr>
        <w:t xml:space="preserve"> qui se manifeste soit par la violence, la contrainte, la menace ou la surprise.</w:t>
      </w:r>
      <w:r w:rsidR="00A01748">
        <w:rPr>
          <w:rFonts w:cs="Times New Roman"/>
          <w:lang w:val="fr-CH"/>
        </w:rPr>
        <w:t xml:space="preserve"> </w:t>
      </w:r>
      <w:r w:rsidR="0093471F" w:rsidRPr="00FD0663">
        <w:rPr>
          <w:rFonts w:cs="Times New Roman"/>
          <w:lang w:val="fr-CH"/>
        </w:rPr>
        <w:t xml:space="preserve">Par ailleurs, la tentative est punissable dans les conditions des articles 2 et 3 du code pénal malagasy. A savoir, lorsqu’il y a eu un commencement d’exécution de l’acte, </w:t>
      </w:r>
      <w:r w:rsidR="001E5943" w:rsidRPr="00FD0663">
        <w:rPr>
          <w:rFonts w:cs="Times New Roman"/>
          <w:lang w:val="fr-CH"/>
        </w:rPr>
        <w:t>que celui-ci</w:t>
      </w:r>
      <w:r w:rsidR="005F4816" w:rsidRPr="00FD0663">
        <w:rPr>
          <w:rFonts w:cs="Times New Roman"/>
          <w:lang w:val="fr-CH"/>
        </w:rPr>
        <w:t xml:space="preserve"> a été suspendu ou</w:t>
      </w:r>
      <w:r w:rsidR="001E5943" w:rsidRPr="00FD0663">
        <w:rPr>
          <w:rFonts w:cs="Times New Roman"/>
          <w:lang w:val="fr-CH"/>
        </w:rPr>
        <w:t xml:space="preserve"> n’a manqué son effet que par des circ</w:t>
      </w:r>
      <w:r w:rsidR="005F4816" w:rsidRPr="00FD0663">
        <w:rPr>
          <w:rFonts w:cs="Times New Roman"/>
          <w:lang w:val="fr-CH"/>
        </w:rPr>
        <w:t>onstances indépendantes de la volonté de son auteur</w:t>
      </w:r>
      <w:r w:rsidR="00405BDA">
        <w:rPr>
          <w:rStyle w:val="FootnoteReference"/>
          <w:rFonts w:cs="Times New Roman"/>
          <w:lang w:val="fr-CH"/>
        </w:rPr>
        <w:footnoteReference w:id="2"/>
      </w:r>
      <w:r w:rsidR="005F4816" w:rsidRPr="00FD0663">
        <w:rPr>
          <w:rFonts w:cs="Times New Roman"/>
          <w:lang w:val="fr-CH"/>
        </w:rPr>
        <w:t xml:space="preserve">. </w:t>
      </w:r>
    </w:p>
    <w:p w14:paraId="15F1342E" w14:textId="050BA94D" w:rsidR="0093471F" w:rsidRPr="00FD0663" w:rsidRDefault="0093471F" w:rsidP="00E10FB0">
      <w:pPr>
        <w:pStyle w:val="BodyA"/>
        <w:shd w:val="clear" w:color="auto" w:fill="FFFFFF"/>
        <w:jc w:val="both"/>
        <w:rPr>
          <w:rFonts w:cs="Times New Roman"/>
          <w:lang w:val="fr-CH"/>
        </w:rPr>
      </w:pPr>
    </w:p>
    <w:p w14:paraId="2B6A92B7" w14:textId="3F227117" w:rsidR="005F4816" w:rsidRPr="00FD0663" w:rsidRDefault="001114C7" w:rsidP="00A01748">
      <w:pPr>
        <w:pStyle w:val="BodyA"/>
        <w:shd w:val="clear" w:color="auto" w:fill="FFFFFF"/>
        <w:ind w:firstLine="720"/>
        <w:jc w:val="both"/>
        <w:rPr>
          <w:rFonts w:cs="Times New Roman"/>
          <w:lang w:val="fr-CH"/>
        </w:rPr>
      </w:pPr>
      <w:r w:rsidRPr="00FD0663">
        <w:rPr>
          <w:rFonts w:cs="Times New Roman"/>
          <w:lang w:val="fr-CH"/>
        </w:rPr>
        <w:t>L</w:t>
      </w:r>
      <w:r w:rsidR="005F4816" w:rsidRPr="00FD0663">
        <w:rPr>
          <w:rFonts w:cs="Times New Roman"/>
          <w:lang w:val="fr-CH"/>
        </w:rPr>
        <w:t>e code pénal malagasy fait une distinction du viol selon qu’il s’agit d’un délit ou d’un crime.</w:t>
      </w:r>
    </w:p>
    <w:p w14:paraId="7348B2D8" w14:textId="48443966" w:rsidR="005F4816" w:rsidRPr="00FD0663" w:rsidRDefault="005F4816" w:rsidP="00A01748">
      <w:pPr>
        <w:pStyle w:val="BodyA"/>
        <w:shd w:val="clear" w:color="auto" w:fill="FFFFFF"/>
        <w:ind w:firstLine="720"/>
        <w:jc w:val="both"/>
        <w:rPr>
          <w:rFonts w:cs="Times New Roman"/>
          <w:lang w:val="fr-CH"/>
        </w:rPr>
      </w:pPr>
      <w:r w:rsidRPr="00FD0663">
        <w:rPr>
          <w:rFonts w:cs="Times New Roman"/>
          <w:lang w:val="fr-CH"/>
        </w:rPr>
        <w:lastRenderedPageBreak/>
        <w:t xml:space="preserve">D’une manière générale, celui-ci est puni de cinq à dix ans d’emprisonnement (article 332 alinéa </w:t>
      </w:r>
      <w:r w:rsidR="003B3714" w:rsidRPr="00FD0663">
        <w:rPr>
          <w:rFonts w:cs="Times New Roman"/>
          <w:lang w:val="fr-CH"/>
        </w:rPr>
        <w:t>2</w:t>
      </w:r>
      <w:r w:rsidRPr="00FD0663">
        <w:rPr>
          <w:rFonts w:cs="Times New Roman"/>
          <w:lang w:val="fr-CH"/>
        </w:rPr>
        <w:t>)</w:t>
      </w:r>
      <w:r w:rsidR="00405BDA">
        <w:rPr>
          <w:rStyle w:val="FootnoteReference"/>
          <w:rFonts w:cs="Times New Roman"/>
          <w:lang w:val="fr-CH"/>
        </w:rPr>
        <w:footnoteReference w:id="3"/>
      </w:r>
      <w:r w:rsidRPr="00FD0663">
        <w:rPr>
          <w:rFonts w:cs="Times New Roman"/>
          <w:lang w:val="fr-CH"/>
        </w:rPr>
        <w:t>.</w:t>
      </w:r>
      <w:r w:rsidR="00A01748">
        <w:rPr>
          <w:rFonts w:cs="Times New Roman"/>
          <w:lang w:val="fr-CH"/>
        </w:rPr>
        <w:t xml:space="preserve"> </w:t>
      </w:r>
      <w:r w:rsidR="00F51ED9" w:rsidRPr="00FD0663">
        <w:rPr>
          <w:rFonts w:cs="Times New Roman"/>
          <w:lang w:val="fr-CH"/>
        </w:rPr>
        <w:t>Dans les autres cas, le viol est considéré comme étant un crime en présence des circonstances aggravantes suivantes :</w:t>
      </w:r>
    </w:p>
    <w:p w14:paraId="22BE3114" w14:textId="48AD8BA5" w:rsidR="00F51ED9" w:rsidRPr="00FD0663" w:rsidRDefault="00F51ED9" w:rsidP="00F51ED9">
      <w:pPr>
        <w:pStyle w:val="BodyA"/>
        <w:numPr>
          <w:ilvl w:val="0"/>
          <w:numId w:val="2"/>
        </w:numPr>
        <w:shd w:val="clear" w:color="auto" w:fill="FFFFFF"/>
        <w:jc w:val="both"/>
        <w:rPr>
          <w:rFonts w:cs="Times New Roman"/>
          <w:lang w:val="fr-CH"/>
        </w:rPr>
      </w:pPr>
      <w:r w:rsidRPr="00FD0663">
        <w:rPr>
          <w:rFonts w:cs="Times New Roman"/>
          <w:lang w:val="fr-CH"/>
        </w:rPr>
        <w:t xml:space="preserve">Lorsque la victime est un enfant en dessous de l’âge de 15 ans ou une femme en état de grossesse apparente ou connue de son auteur. La peine est alors celle des travaux forcés </w:t>
      </w:r>
      <w:r w:rsidR="00321DE0" w:rsidRPr="00FD0663">
        <w:rPr>
          <w:rFonts w:cs="Times New Roman"/>
          <w:lang w:val="fr-CH"/>
        </w:rPr>
        <w:t>à temps</w:t>
      </w:r>
      <w:r w:rsidR="003B3714" w:rsidRPr="00FD0663">
        <w:rPr>
          <w:rFonts w:cs="Times New Roman"/>
          <w:lang w:val="fr-CH"/>
        </w:rPr>
        <w:t xml:space="preserve"> (article 332 alinéa 1</w:t>
      </w:r>
      <w:r w:rsidR="00405BDA">
        <w:rPr>
          <w:rStyle w:val="FootnoteReference"/>
          <w:rFonts w:cs="Times New Roman"/>
          <w:lang w:val="fr-CH"/>
        </w:rPr>
        <w:footnoteReference w:id="4"/>
      </w:r>
      <w:r w:rsidR="003B3714" w:rsidRPr="00FD0663">
        <w:rPr>
          <w:rFonts w:cs="Times New Roman"/>
          <w:lang w:val="fr-CH"/>
        </w:rPr>
        <w:t>).</w:t>
      </w:r>
      <w:r w:rsidR="00321DE0" w:rsidRPr="00FD0663">
        <w:rPr>
          <w:rFonts w:cs="Times New Roman"/>
          <w:lang w:val="fr-CH"/>
        </w:rPr>
        <w:t xml:space="preserve"> </w:t>
      </w:r>
    </w:p>
    <w:p w14:paraId="14FBC4A5" w14:textId="508968B2" w:rsidR="00E10FB0" w:rsidRPr="00FD0663" w:rsidRDefault="00321DE0" w:rsidP="00E10FB0">
      <w:pPr>
        <w:pStyle w:val="BodyA"/>
        <w:numPr>
          <w:ilvl w:val="0"/>
          <w:numId w:val="2"/>
        </w:numPr>
        <w:shd w:val="clear" w:color="auto" w:fill="FFFFFF"/>
        <w:jc w:val="both"/>
        <w:rPr>
          <w:rFonts w:cs="Times New Roman"/>
          <w:lang w:val="fr-CH"/>
        </w:rPr>
      </w:pPr>
      <w:bookmarkStart w:id="1" w:name="_Hlk39738182"/>
      <w:bookmarkStart w:id="2" w:name="_Hlk39570287"/>
      <w:r w:rsidRPr="00FD0663">
        <w:rPr>
          <w:rFonts w:cs="Times New Roman"/>
          <w:lang w:val="fr-CH"/>
        </w:rPr>
        <w:t xml:space="preserve">Lorsqu’il a été commis par un ascendant de la victime, par celui qui avait autorité sur celle-ci, ses instituteurs ou ses serviteurs à gages, ou serviteurs à gages de ces derniers. </w:t>
      </w:r>
      <w:r w:rsidR="008C1F9A" w:rsidRPr="00FD0663">
        <w:rPr>
          <w:rFonts w:cs="Times New Roman"/>
          <w:lang w:val="fr-CH"/>
        </w:rPr>
        <w:t>Lorsque l’auteur du viol est un fonctionnaire ou un Ministre de culte, ou lorsque celui-ci a été aidé par une</w:t>
      </w:r>
      <w:r w:rsidR="001114C7" w:rsidRPr="00FD0663">
        <w:rPr>
          <w:rFonts w:cs="Times New Roman"/>
          <w:lang w:val="fr-CH"/>
        </w:rPr>
        <w:t xml:space="preserve"> ou</w:t>
      </w:r>
      <w:r w:rsidR="008C1F9A" w:rsidRPr="00FD0663">
        <w:rPr>
          <w:rFonts w:cs="Times New Roman"/>
          <w:lang w:val="fr-CH"/>
        </w:rPr>
        <w:t xml:space="preserve"> plusieurs personnes</w:t>
      </w:r>
      <w:r w:rsidR="003B3714" w:rsidRPr="00FD0663">
        <w:rPr>
          <w:rFonts w:cs="Times New Roman"/>
          <w:lang w:val="fr-CH"/>
        </w:rPr>
        <w:t>. L</w:t>
      </w:r>
      <w:r w:rsidR="008C1F9A" w:rsidRPr="00FD0663">
        <w:rPr>
          <w:rFonts w:cs="Times New Roman"/>
          <w:lang w:val="fr-CH"/>
        </w:rPr>
        <w:t xml:space="preserve">a peine </w:t>
      </w:r>
      <w:r w:rsidR="003B3714" w:rsidRPr="00FD0663">
        <w:rPr>
          <w:rFonts w:cs="Times New Roman"/>
          <w:lang w:val="fr-CH"/>
        </w:rPr>
        <w:t>se transforme alors en une peine des travaux forcés à perpétuité lorsque l’on se trouve dans le cas prévu à l’article 332 alinéa 1 ci-dessus énoncé, c’est-à-dire, lorsque le viol a été commis sur un enfant de moins de 15 ans ou sur une femme en état de grossesse apparente ou connue de son auteur</w:t>
      </w:r>
      <w:r w:rsidR="00CA35EB">
        <w:rPr>
          <w:rFonts w:cs="Times New Roman"/>
          <w:lang w:val="fr-CH"/>
        </w:rPr>
        <w:t xml:space="preserve"> (article 333)</w:t>
      </w:r>
      <w:r w:rsidR="003B3714" w:rsidRPr="00FD0663">
        <w:rPr>
          <w:rFonts w:cs="Times New Roman"/>
          <w:lang w:val="fr-CH"/>
        </w:rPr>
        <w:t xml:space="preserve">.  </w:t>
      </w:r>
    </w:p>
    <w:bookmarkEnd w:id="1"/>
    <w:p w14:paraId="489FF511" w14:textId="6BB82246" w:rsidR="003B3714" w:rsidRPr="00FD0663" w:rsidRDefault="003B3714" w:rsidP="00235E2D">
      <w:pPr>
        <w:pStyle w:val="BodyA"/>
        <w:numPr>
          <w:ilvl w:val="0"/>
          <w:numId w:val="2"/>
        </w:numPr>
        <w:shd w:val="clear" w:color="auto" w:fill="FFFFFF"/>
        <w:jc w:val="both"/>
        <w:rPr>
          <w:rFonts w:cs="Times New Roman"/>
          <w:lang w:val="fr-CH"/>
        </w:rPr>
      </w:pPr>
      <w:r w:rsidRPr="00FD0663">
        <w:rPr>
          <w:rFonts w:cs="Times New Roman"/>
          <w:lang w:val="fr-CH"/>
        </w:rPr>
        <w:t>Lorsque le viol a été commis par un ascendant de la victime, par celui qui avait autorité sur celle-ci, ses instituteurs ou ses serviteurs à gages, ou serviteurs à gages de ces derniers. Lorsque l’auteur du viol est un fonctionnaire ou un Ministre de culte, ou lorsque celui-ci a été aidé par une plusieurs personnes</w:t>
      </w:r>
      <w:r w:rsidR="001114C7" w:rsidRPr="00FD0663">
        <w:rPr>
          <w:rFonts w:cs="Times New Roman"/>
          <w:lang w:val="fr-CH"/>
        </w:rPr>
        <w:t>, l</w:t>
      </w:r>
      <w:r w:rsidRPr="00FD0663">
        <w:rPr>
          <w:rFonts w:cs="Times New Roman"/>
          <w:lang w:val="fr-CH"/>
        </w:rPr>
        <w:t>a peine prévue à l’article 332 alinéa 2 se transforme alors en une peine de travaux forcés à temps</w:t>
      </w:r>
      <w:r w:rsidR="00CA35EB">
        <w:rPr>
          <w:rFonts w:cs="Times New Roman"/>
          <w:lang w:val="fr-CH"/>
        </w:rPr>
        <w:t xml:space="preserve"> (article 333)</w:t>
      </w:r>
      <w:r w:rsidR="00CA35EB">
        <w:rPr>
          <w:rStyle w:val="FootnoteReference"/>
          <w:rFonts w:cs="Times New Roman"/>
          <w:lang w:val="fr-CH"/>
        </w:rPr>
        <w:footnoteReference w:id="5"/>
      </w:r>
      <w:r w:rsidRPr="00FD0663">
        <w:rPr>
          <w:rFonts w:cs="Times New Roman"/>
          <w:lang w:val="fr-CH"/>
        </w:rPr>
        <w:t xml:space="preserve">.  </w:t>
      </w:r>
    </w:p>
    <w:p w14:paraId="3094D863" w14:textId="77777777" w:rsidR="00031077" w:rsidRPr="00FD0663" w:rsidRDefault="00031077" w:rsidP="00031077">
      <w:pPr>
        <w:spacing w:after="0" w:line="240" w:lineRule="auto"/>
        <w:jc w:val="both"/>
        <w:rPr>
          <w:rFonts w:ascii="Times New Roman" w:hAnsi="Times New Roman" w:cs="Times New Roman"/>
          <w:sz w:val="24"/>
          <w:szCs w:val="24"/>
          <w:lang w:val="fr-CH"/>
        </w:rPr>
      </w:pPr>
    </w:p>
    <w:p w14:paraId="4C7BC2EB" w14:textId="52985678" w:rsidR="00031077" w:rsidRPr="00FD0663" w:rsidRDefault="00031077" w:rsidP="00A01748">
      <w:pPr>
        <w:spacing w:after="0" w:line="240" w:lineRule="auto"/>
        <w:ind w:firstLine="360"/>
        <w:jc w:val="both"/>
        <w:rPr>
          <w:rFonts w:cs="Times New Roman"/>
          <w:lang w:val="fr-CH"/>
        </w:rPr>
      </w:pPr>
      <w:r w:rsidRPr="00FD0663">
        <w:rPr>
          <w:rFonts w:ascii="Times New Roman" w:hAnsi="Times New Roman" w:cs="Times New Roman"/>
          <w:sz w:val="24"/>
          <w:szCs w:val="24"/>
          <w:lang w:val="fr-CH"/>
        </w:rPr>
        <w:t xml:space="preserve">A l’instar du code pénal, Madagascar a récemment adopté la Loi n°2019-008 du 16.01.20 sur la Lutte contre les Violences Basées sur le Genre, lequel sanctionne le viol conjugal en son article 6 </w:t>
      </w:r>
      <w:r w:rsidR="00CA35EB">
        <w:rPr>
          <w:rFonts w:ascii="Times New Roman" w:hAnsi="Times New Roman" w:cs="Times New Roman"/>
          <w:sz w:val="24"/>
          <w:szCs w:val="24"/>
          <w:lang w:val="fr-CH"/>
        </w:rPr>
        <w:t xml:space="preserve">et prévoit une peine </w:t>
      </w:r>
      <w:r w:rsidRPr="00FD0663">
        <w:rPr>
          <w:rFonts w:ascii="Times New Roman" w:hAnsi="Times New Roman" w:cs="Times New Roman"/>
          <w:sz w:val="24"/>
          <w:szCs w:val="24"/>
          <w:lang w:val="fr-CH"/>
        </w:rPr>
        <w:t>de 2 à 5 ans d’emprisonnement et une amende de 100 000 Ariary à 1 000 000</w:t>
      </w:r>
      <w:r w:rsidR="00CA35EB">
        <w:rPr>
          <w:rFonts w:ascii="Times New Roman" w:hAnsi="Times New Roman" w:cs="Times New Roman"/>
          <w:sz w:val="24"/>
          <w:szCs w:val="24"/>
          <w:lang w:val="fr-CH"/>
        </w:rPr>
        <w:t xml:space="preserve"> </w:t>
      </w:r>
      <w:r w:rsidRPr="00FD0663">
        <w:rPr>
          <w:rFonts w:ascii="Times New Roman" w:hAnsi="Times New Roman" w:cs="Times New Roman"/>
          <w:sz w:val="24"/>
          <w:szCs w:val="24"/>
          <w:lang w:val="fr-CH"/>
        </w:rPr>
        <w:t>Ariary</w:t>
      </w:r>
      <w:r w:rsidR="00CA35EB">
        <w:rPr>
          <w:rFonts w:ascii="Times New Roman" w:hAnsi="Times New Roman" w:cs="Times New Roman"/>
          <w:sz w:val="24"/>
          <w:szCs w:val="24"/>
          <w:lang w:val="fr-CH"/>
        </w:rPr>
        <w:t xml:space="preserve"> pour le conjoint coupable</w:t>
      </w:r>
      <w:r w:rsidR="00CA35EB">
        <w:rPr>
          <w:rStyle w:val="FootnoteReference"/>
          <w:rFonts w:ascii="Times New Roman" w:hAnsi="Times New Roman" w:cs="Times New Roman"/>
          <w:sz w:val="24"/>
          <w:szCs w:val="24"/>
          <w:lang w:val="fr-CH"/>
        </w:rPr>
        <w:footnoteReference w:id="6"/>
      </w:r>
      <w:r w:rsidR="00CA35EB">
        <w:rPr>
          <w:rFonts w:ascii="Times New Roman" w:hAnsi="Times New Roman" w:cs="Times New Roman"/>
          <w:sz w:val="24"/>
          <w:szCs w:val="24"/>
          <w:lang w:val="fr-CH"/>
        </w:rPr>
        <w:t xml:space="preserve">. </w:t>
      </w:r>
      <w:r w:rsidRPr="00FD0663">
        <w:rPr>
          <w:rFonts w:ascii="Times New Roman" w:hAnsi="Times New Roman" w:cs="Times New Roman"/>
          <w:sz w:val="24"/>
          <w:szCs w:val="24"/>
          <w:lang w:val="fr-CH"/>
        </w:rPr>
        <w:t> </w:t>
      </w:r>
    </w:p>
    <w:p w14:paraId="69DF3493" w14:textId="769ADDC2" w:rsidR="001114C7" w:rsidRPr="00FD0663" w:rsidRDefault="001114C7" w:rsidP="001114C7">
      <w:pPr>
        <w:pStyle w:val="BodyA"/>
        <w:shd w:val="clear" w:color="auto" w:fill="FFFFFF"/>
        <w:jc w:val="both"/>
        <w:rPr>
          <w:rFonts w:cs="Times New Roman"/>
          <w:lang w:val="fr-CH"/>
        </w:rPr>
      </w:pPr>
    </w:p>
    <w:p w14:paraId="7E081E4D" w14:textId="2A93DADB" w:rsidR="001D1360" w:rsidRDefault="001114C7" w:rsidP="00A01748">
      <w:pPr>
        <w:pStyle w:val="BodyA"/>
        <w:shd w:val="clear" w:color="auto" w:fill="FFFFFF"/>
        <w:ind w:firstLine="360"/>
        <w:jc w:val="both"/>
        <w:rPr>
          <w:rFonts w:cs="Times New Roman"/>
          <w:lang w:val="fr-CH"/>
        </w:rPr>
      </w:pPr>
      <w:r w:rsidRPr="00FD0663">
        <w:rPr>
          <w:rFonts w:cs="Times New Roman"/>
          <w:lang w:val="fr-CH"/>
        </w:rPr>
        <w:t xml:space="preserve">En ce qui concerne la procédure </w:t>
      </w:r>
      <w:r w:rsidR="00AD3A13">
        <w:rPr>
          <w:rFonts w:cs="Times New Roman"/>
          <w:lang w:val="fr-CH"/>
        </w:rPr>
        <w:t>relative à</w:t>
      </w:r>
      <w:r w:rsidRPr="00FD0663">
        <w:rPr>
          <w:rFonts w:cs="Times New Roman"/>
          <w:lang w:val="fr-CH"/>
        </w:rPr>
        <w:t xml:space="preserve"> la poursuite et la répression du viol, </w:t>
      </w:r>
      <w:r w:rsidR="000567F6" w:rsidRPr="00FD0663">
        <w:rPr>
          <w:rFonts w:cs="Times New Roman"/>
          <w:lang w:val="fr-CH"/>
        </w:rPr>
        <w:t>elle sui</w:t>
      </w:r>
      <w:r w:rsidR="00AD3A13">
        <w:rPr>
          <w:rFonts w:cs="Times New Roman"/>
          <w:lang w:val="fr-CH"/>
        </w:rPr>
        <w:t>t</w:t>
      </w:r>
      <w:r w:rsidR="000567F6" w:rsidRPr="00FD0663">
        <w:rPr>
          <w:rFonts w:cs="Times New Roman"/>
          <w:lang w:val="fr-CH"/>
        </w:rPr>
        <w:t xml:space="preserve"> la même procédure que celle prévue par le code de procédure pénale. Il faut cependant préciser qu</w:t>
      </w:r>
      <w:bookmarkEnd w:id="2"/>
      <w:r w:rsidR="00031077" w:rsidRPr="00FD0663">
        <w:rPr>
          <w:rFonts w:cs="Times New Roman"/>
          <w:lang w:val="fr-CH"/>
        </w:rPr>
        <w:t>’aux termes de l’article 19 de la loi précitée, dans le cas du viol conjugal, l’audience peut se tenir à huis clos et le jugement est rendu en audience publique</w:t>
      </w:r>
      <w:r w:rsidR="00CA35EB">
        <w:rPr>
          <w:rStyle w:val="FootnoteReference"/>
          <w:rFonts w:cs="Times New Roman"/>
          <w:lang w:val="fr-CH"/>
        </w:rPr>
        <w:footnoteReference w:id="7"/>
      </w:r>
      <w:r w:rsidR="00031077" w:rsidRPr="00FD0663">
        <w:rPr>
          <w:rFonts w:cs="Times New Roman"/>
          <w:lang w:val="fr-CH"/>
        </w:rPr>
        <w:t xml:space="preserve">. </w:t>
      </w:r>
    </w:p>
    <w:p w14:paraId="053FDA68" w14:textId="77777777" w:rsidR="00AD3A13" w:rsidRPr="00FD0663" w:rsidRDefault="00AD3A13" w:rsidP="00AD3A13">
      <w:pPr>
        <w:pStyle w:val="BodyA"/>
        <w:shd w:val="clear" w:color="auto" w:fill="FFFFFF"/>
        <w:jc w:val="both"/>
        <w:rPr>
          <w:rFonts w:cs="Times New Roman"/>
          <w:b/>
          <w:bCs/>
          <w:lang w:val="fr-CH"/>
        </w:rPr>
      </w:pPr>
    </w:p>
    <w:p w14:paraId="00DE990C" w14:textId="77777777" w:rsidR="000567F6" w:rsidRPr="00FD0663" w:rsidRDefault="000567F6" w:rsidP="000567F6">
      <w:pPr>
        <w:pStyle w:val="BodyA"/>
        <w:shd w:val="clear" w:color="auto" w:fill="FFFFFF"/>
        <w:jc w:val="both"/>
        <w:rPr>
          <w:rFonts w:cs="Times New Roman"/>
          <w:lang w:val="fr-CH"/>
        </w:rPr>
      </w:pPr>
    </w:p>
    <w:p w14:paraId="2A328E56" w14:textId="34014B73" w:rsidR="009812D4" w:rsidRPr="00AD3A13" w:rsidRDefault="009812D4" w:rsidP="00B441E1">
      <w:pPr>
        <w:pStyle w:val="BodyA"/>
        <w:numPr>
          <w:ilvl w:val="0"/>
          <w:numId w:val="1"/>
        </w:numPr>
        <w:shd w:val="clear" w:color="auto" w:fill="FFFFFF"/>
        <w:jc w:val="both"/>
        <w:rPr>
          <w:rFonts w:cs="Times New Roman"/>
          <w:color w:val="auto"/>
          <w:lang w:val="fr-CH"/>
        </w:rPr>
      </w:pPr>
      <w:r w:rsidRPr="00AD3A13">
        <w:rPr>
          <w:rFonts w:cs="Times New Roman"/>
          <w:color w:val="auto"/>
          <w:lang w:val="fr-CH"/>
        </w:rPr>
        <w:t>Sur la base du libellé de ces dispositions, la définition du viol fournie est-elle:</w:t>
      </w:r>
    </w:p>
    <w:p w14:paraId="708B3E2D" w14:textId="77777777" w:rsidR="009812D4" w:rsidRPr="00FD0663" w:rsidRDefault="009812D4" w:rsidP="00B441E1">
      <w:pPr>
        <w:spacing w:after="0" w:line="240" w:lineRule="auto"/>
        <w:ind w:left="720"/>
        <w:jc w:val="both"/>
        <w:rPr>
          <w:rFonts w:ascii="Times New Roman" w:hAnsi="Times New Roman" w:cs="Times New Roman"/>
          <w:sz w:val="24"/>
          <w:szCs w:val="24"/>
          <w:lang w:val="fr-CH"/>
        </w:rPr>
      </w:pPr>
      <w:r w:rsidRPr="00FD0663">
        <w:rPr>
          <w:rFonts w:ascii="Times New Roman" w:hAnsi="Times New Roman" w:cs="Times New Roman"/>
          <w:sz w:val="24"/>
          <w:szCs w:val="24"/>
          <w:lang w:val="fr-CH"/>
        </w:rPr>
        <w:t>a. Spécifique au sexe</w:t>
      </w:r>
      <w:r w:rsidR="008E6CD2" w:rsidRPr="00FD0663">
        <w:rPr>
          <w:rFonts w:ascii="Times New Roman" w:hAnsi="Times New Roman" w:cs="Times New Roman"/>
          <w:sz w:val="24"/>
          <w:szCs w:val="24"/>
          <w:lang w:val="fr-CH"/>
        </w:rPr>
        <w:t>,</w:t>
      </w:r>
      <w:r w:rsidRPr="00FD0663">
        <w:rPr>
          <w:rFonts w:ascii="Times New Roman" w:hAnsi="Times New Roman" w:cs="Times New Roman"/>
          <w:sz w:val="24"/>
          <w:szCs w:val="24"/>
          <w:lang w:val="fr-CH"/>
        </w:rPr>
        <w:t xml:space="preserve"> couvrant les femmes uniquement</w:t>
      </w:r>
      <w:r w:rsidR="008E6CD2" w:rsidRPr="00FD0663">
        <w:rPr>
          <w:rFonts w:ascii="Times New Roman" w:hAnsi="Times New Roman" w:cs="Times New Roman"/>
          <w:sz w:val="24"/>
          <w:szCs w:val="24"/>
          <w:lang w:val="fr-CH"/>
        </w:rPr>
        <w:t>.</w:t>
      </w:r>
      <w:r w:rsidRPr="00FD0663">
        <w:rPr>
          <w:rFonts w:ascii="Times New Roman" w:hAnsi="Times New Roman" w:cs="Times New Roman"/>
          <w:sz w:val="24"/>
          <w:szCs w:val="24"/>
          <w:lang w:val="fr-CH"/>
        </w:rPr>
        <w:t xml:space="preserve"> </w:t>
      </w:r>
      <w:r w:rsidRPr="00AD3A13">
        <w:rPr>
          <w:rFonts w:ascii="Times New Roman" w:hAnsi="Times New Roman" w:cs="Times New Roman"/>
          <w:sz w:val="24"/>
          <w:szCs w:val="24"/>
          <w:lang w:val="fr-CH"/>
        </w:rPr>
        <w:t>OUI /</w:t>
      </w:r>
      <w:r w:rsidRPr="00FD0663">
        <w:rPr>
          <w:rFonts w:ascii="Times New Roman" w:hAnsi="Times New Roman" w:cs="Times New Roman"/>
          <w:sz w:val="24"/>
          <w:szCs w:val="24"/>
          <w:lang w:val="fr-CH"/>
        </w:rPr>
        <w:t xml:space="preserve"> </w:t>
      </w:r>
      <w:r w:rsidRPr="00AD3A13">
        <w:rPr>
          <w:rFonts w:ascii="Times New Roman" w:hAnsi="Times New Roman" w:cs="Times New Roman"/>
          <w:sz w:val="24"/>
          <w:szCs w:val="24"/>
          <w:highlight w:val="yellow"/>
          <w:lang w:val="fr-CH"/>
        </w:rPr>
        <w:t>NON</w:t>
      </w:r>
    </w:p>
    <w:p w14:paraId="28DD3963" w14:textId="77777777" w:rsidR="009812D4" w:rsidRPr="00FD0663" w:rsidRDefault="008E6CD2" w:rsidP="00B441E1">
      <w:pPr>
        <w:spacing w:after="0" w:line="240" w:lineRule="auto"/>
        <w:ind w:left="720"/>
        <w:jc w:val="both"/>
        <w:rPr>
          <w:rFonts w:ascii="Times New Roman" w:hAnsi="Times New Roman" w:cs="Times New Roman"/>
          <w:sz w:val="24"/>
          <w:szCs w:val="24"/>
          <w:lang w:val="fr-CH"/>
        </w:rPr>
      </w:pPr>
      <w:r w:rsidRPr="00FD0663">
        <w:rPr>
          <w:rFonts w:ascii="Times New Roman" w:hAnsi="Times New Roman" w:cs="Times New Roman"/>
          <w:sz w:val="24"/>
          <w:szCs w:val="24"/>
          <w:lang w:val="fr-CH"/>
        </w:rPr>
        <w:t>b. Neutre,</w:t>
      </w:r>
      <w:r w:rsidR="009812D4" w:rsidRPr="00FD0663">
        <w:rPr>
          <w:rFonts w:ascii="Times New Roman" w:hAnsi="Times New Roman" w:cs="Times New Roman"/>
          <w:sz w:val="24"/>
          <w:szCs w:val="24"/>
          <w:lang w:val="fr-CH"/>
        </w:rPr>
        <w:t xml:space="preserve"> couvrant toutes les personnes</w:t>
      </w:r>
      <w:r w:rsidRPr="00FD0663">
        <w:rPr>
          <w:rFonts w:ascii="Times New Roman" w:hAnsi="Times New Roman" w:cs="Times New Roman"/>
          <w:sz w:val="24"/>
          <w:szCs w:val="24"/>
          <w:lang w:val="fr-CH"/>
        </w:rPr>
        <w:t>.</w:t>
      </w:r>
      <w:r w:rsidR="009812D4" w:rsidRPr="00FD0663">
        <w:rPr>
          <w:rFonts w:ascii="Times New Roman" w:hAnsi="Times New Roman" w:cs="Times New Roman"/>
          <w:sz w:val="24"/>
          <w:szCs w:val="24"/>
          <w:lang w:val="fr-CH"/>
        </w:rPr>
        <w:t xml:space="preserve"> </w:t>
      </w:r>
      <w:r w:rsidR="009812D4" w:rsidRPr="00AD3A13">
        <w:rPr>
          <w:rFonts w:ascii="Times New Roman" w:hAnsi="Times New Roman" w:cs="Times New Roman"/>
          <w:sz w:val="24"/>
          <w:szCs w:val="24"/>
          <w:highlight w:val="yellow"/>
          <w:lang w:val="fr-CH"/>
        </w:rPr>
        <w:t>OUI</w:t>
      </w:r>
      <w:r w:rsidR="009812D4" w:rsidRPr="00FD0663">
        <w:rPr>
          <w:rFonts w:ascii="Times New Roman" w:hAnsi="Times New Roman" w:cs="Times New Roman"/>
          <w:sz w:val="24"/>
          <w:szCs w:val="24"/>
          <w:lang w:val="fr-CH"/>
        </w:rPr>
        <w:t xml:space="preserve"> / </w:t>
      </w:r>
      <w:r w:rsidR="009812D4" w:rsidRPr="00AD3A13">
        <w:rPr>
          <w:rFonts w:ascii="Times New Roman" w:hAnsi="Times New Roman" w:cs="Times New Roman"/>
          <w:sz w:val="24"/>
          <w:szCs w:val="24"/>
          <w:lang w:val="fr-CH"/>
        </w:rPr>
        <w:t>NON</w:t>
      </w:r>
    </w:p>
    <w:p w14:paraId="49EF5A50" w14:textId="77777777" w:rsidR="009812D4" w:rsidRPr="00FD0663" w:rsidRDefault="009812D4" w:rsidP="00B441E1">
      <w:pPr>
        <w:spacing w:after="0" w:line="240" w:lineRule="auto"/>
        <w:ind w:left="720"/>
        <w:jc w:val="both"/>
        <w:rPr>
          <w:rFonts w:ascii="Times New Roman" w:hAnsi="Times New Roman" w:cs="Times New Roman"/>
          <w:strike/>
          <w:sz w:val="24"/>
          <w:szCs w:val="24"/>
          <w:lang w:val="fr-CH"/>
        </w:rPr>
      </w:pPr>
      <w:r w:rsidRPr="00FD0663">
        <w:rPr>
          <w:rFonts w:ascii="Times New Roman" w:hAnsi="Times New Roman" w:cs="Times New Roman"/>
          <w:sz w:val="24"/>
          <w:szCs w:val="24"/>
          <w:lang w:val="fr-CH"/>
        </w:rPr>
        <w:t xml:space="preserve">c. </w:t>
      </w:r>
      <w:r w:rsidR="008E6CD2" w:rsidRPr="00FD0663">
        <w:rPr>
          <w:rFonts w:ascii="Times New Roman" w:hAnsi="Times New Roman" w:cs="Times New Roman"/>
          <w:sz w:val="24"/>
          <w:szCs w:val="24"/>
          <w:lang w:val="fr-CH"/>
        </w:rPr>
        <w:t>Basée sur le manque de consentement de la victime.</w:t>
      </w:r>
      <w:r w:rsidRPr="00FD0663">
        <w:rPr>
          <w:rFonts w:ascii="Times New Roman" w:hAnsi="Times New Roman" w:cs="Times New Roman"/>
          <w:sz w:val="24"/>
          <w:szCs w:val="24"/>
          <w:lang w:val="fr-CH"/>
        </w:rPr>
        <w:t xml:space="preserve"> </w:t>
      </w:r>
      <w:r w:rsidRPr="00AD3A13">
        <w:rPr>
          <w:rFonts w:ascii="Times New Roman" w:hAnsi="Times New Roman" w:cs="Times New Roman"/>
          <w:sz w:val="24"/>
          <w:szCs w:val="24"/>
          <w:highlight w:val="yellow"/>
          <w:lang w:val="fr-CH"/>
        </w:rPr>
        <w:t>OUI</w:t>
      </w:r>
      <w:r w:rsidRPr="00FD0663">
        <w:rPr>
          <w:rFonts w:ascii="Times New Roman" w:hAnsi="Times New Roman" w:cs="Times New Roman"/>
          <w:sz w:val="24"/>
          <w:szCs w:val="24"/>
          <w:lang w:val="fr-CH"/>
        </w:rPr>
        <w:t xml:space="preserve"> / </w:t>
      </w:r>
      <w:r w:rsidRPr="00AD3A13">
        <w:rPr>
          <w:rFonts w:ascii="Times New Roman" w:hAnsi="Times New Roman" w:cs="Times New Roman"/>
          <w:sz w:val="24"/>
          <w:szCs w:val="24"/>
          <w:lang w:val="fr-CH"/>
        </w:rPr>
        <w:t>NON</w:t>
      </w:r>
    </w:p>
    <w:p w14:paraId="7E68969C" w14:textId="4A9B7080" w:rsidR="009812D4" w:rsidRPr="00FD0663" w:rsidRDefault="008E6CD2" w:rsidP="00B441E1">
      <w:pPr>
        <w:spacing w:after="0" w:line="240" w:lineRule="auto"/>
        <w:ind w:left="720"/>
        <w:jc w:val="both"/>
        <w:rPr>
          <w:rFonts w:ascii="Times New Roman" w:hAnsi="Times New Roman" w:cs="Times New Roman"/>
          <w:sz w:val="24"/>
          <w:szCs w:val="24"/>
          <w:lang w:val="fr-CH"/>
        </w:rPr>
      </w:pPr>
      <w:r w:rsidRPr="00FD0663">
        <w:rPr>
          <w:rFonts w:ascii="Times New Roman" w:hAnsi="Times New Roman" w:cs="Times New Roman"/>
          <w:sz w:val="24"/>
          <w:szCs w:val="24"/>
          <w:lang w:val="fr-CH"/>
        </w:rPr>
        <w:t>d</w:t>
      </w:r>
      <w:r w:rsidR="009812D4" w:rsidRPr="00FD0663">
        <w:rPr>
          <w:rFonts w:ascii="Times New Roman" w:hAnsi="Times New Roman" w:cs="Times New Roman"/>
          <w:sz w:val="24"/>
          <w:szCs w:val="24"/>
          <w:lang w:val="fr-CH"/>
        </w:rPr>
        <w:t xml:space="preserve">. Basé sur le recours à la force ou à la menace. </w:t>
      </w:r>
      <w:r w:rsidR="009812D4" w:rsidRPr="00AD3A13">
        <w:rPr>
          <w:rFonts w:ascii="Times New Roman" w:hAnsi="Times New Roman" w:cs="Times New Roman"/>
          <w:sz w:val="24"/>
          <w:szCs w:val="24"/>
          <w:highlight w:val="yellow"/>
          <w:lang w:val="fr-CH"/>
        </w:rPr>
        <w:t>OUI</w:t>
      </w:r>
      <w:r w:rsidR="00AD3A13">
        <w:rPr>
          <w:rFonts w:ascii="Times New Roman" w:hAnsi="Times New Roman" w:cs="Times New Roman"/>
          <w:sz w:val="24"/>
          <w:szCs w:val="24"/>
          <w:lang w:val="fr-CH"/>
        </w:rPr>
        <w:t>/</w:t>
      </w:r>
      <w:r w:rsidR="009812D4" w:rsidRPr="00FD0663">
        <w:rPr>
          <w:rFonts w:ascii="Times New Roman" w:hAnsi="Times New Roman" w:cs="Times New Roman"/>
          <w:sz w:val="24"/>
          <w:szCs w:val="24"/>
          <w:lang w:val="fr-CH"/>
        </w:rPr>
        <w:t xml:space="preserve"> </w:t>
      </w:r>
      <w:r w:rsidR="009812D4" w:rsidRPr="00AD3A13">
        <w:rPr>
          <w:rFonts w:ascii="Times New Roman" w:hAnsi="Times New Roman" w:cs="Times New Roman"/>
          <w:sz w:val="24"/>
          <w:szCs w:val="24"/>
          <w:lang w:val="fr-CH"/>
        </w:rPr>
        <w:t>NON</w:t>
      </w:r>
    </w:p>
    <w:p w14:paraId="0D66DFED" w14:textId="77777777" w:rsidR="009812D4" w:rsidRPr="00FD0663" w:rsidRDefault="009812D4" w:rsidP="00B441E1">
      <w:pPr>
        <w:spacing w:after="0" w:line="240" w:lineRule="auto"/>
        <w:ind w:left="720"/>
        <w:jc w:val="both"/>
        <w:rPr>
          <w:rFonts w:ascii="Times New Roman" w:hAnsi="Times New Roman" w:cs="Times New Roman"/>
          <w:sz w:val="24"/>
          <w:szCs w:val="24"/>
          <w:lang w:val="fr-CH"/>
        </w:rPr>
      </w:pPr>
      <w:r w:rsidRPr="00FD0663">
        <w:rPr>
          <w:rFonts w:ascii="Times New Roman" w:hAnsi="Times New Roman" w:cs="Times New Roman"/>
          <w:sz w:val="24"/>
          <w:szCs w:val="24"/>
          <w:lang w:val="fr-CH"/>
        </w:rPr>
        <w:t xml:space="preserve">e. </w:t>
      </w:r>
      <w:r w:rsidR="008E6CD2" w:rsidRPr="00FD0663">
        <w:rPr>
          <w:rFonts w:ascii="Times New Roman" w:hAnsi="Times New Roman" w:cs="Times New Roman"/>
          <w:sz w:val="24"/>
          <w:szCs w:val="24"/>
          <w:lang w:val="fr-CH"/>
        </w:rPr>
        <w:t>U</w:t>
      </w:r>
      <w:r w:rsidRPr="00FD0663">
        <w:rPr>
          <w:rFonts w:ascii="Times New Roman" w:hAnsi="Times New Roman" w:cs="Times New Roman"/>
          <w:sz w:val="24"/>
          <w:szCs w:val="24"/>
          <w:lang w:val="fr-CH"/>
        </w:rPr>
        <w:t>ne combinaison des</w:t>
      </w:r>
      <w:r w:rsidR="008E6CD2" w:rsidRPr="00FD0663">
        <w:rPr>
          <w:rFonts w:ascii="Times New Roman" w:hAnsi="Times New Roman" w:cs="Times New Roman"/>
          <w:sz w:val="24"/>
          <w:szCs w:val="24"/>
          <w:lang w:val="fr-CH"/>
        </w:rPr>
        <w:t xml:space="preserve"> possibilités ci-dessus.</w:t>
      </w:r>
      <w:r w:rsidRPr="00FD0663">
        <w:rPr>
          <w:rFonts w:ascii="Times New Roman" w:hAnsi="Times New Roman" w:cs="Times New Roman"/>
          <w:sz w:val="24"/>
          <w:szCs w:val="24"/>
          <w:lang w:val="fr-CH"/>
        </w:rPr>
        <w:t xml:space="preserve"> </w:t>
      </w:r>
      <w:r w:rsidRPr="00AD3A13">
        <w:rPr>
          <w:rFonts w:ascii="Times New Roman" w:hAnsi="Times New Roman" w:cs="Times New Roman"/>
          <w:sz w:val="24"/>
          <w:szCs w:val="24"/>
          <w:highlight w:val="yellow"/>
          <w:lang w:val="fr-CH"/>
        </w:rPr>
        <w:t>OUI</w:t>
      </w:r>
      <w:r w:rsidRPr="00FD0663">
        <w:rPr>
          <w:rFonts w:ascii="Times New Roman" w:hAnsi="Times New Roman" w:cs="Times New Roman"/>
          <w:sz w:val="24"/>
          <w:szCs w:val="24"/>
          <w:lang w:val="fr-CH"/>
        </w:rPr>
        <w:t xml:space="preserve"> / </w:t>
      </w:r>
      <w:r w:rsidRPr="00AD3A13">
        <w:rPr>
          <w:rFonts w:ascii="Times New Roman" w:hAnsi="Times New Roman" w:cs="Times New Roman"/>
          <w:sz w:val="24"/>
          <w:szCs w:val="24"/>
          <w:lang w:val="fr-CH"/>
        </w:rPr>
        <w:t xml:space="preserve">NON </w:t>
      </w:r>
    </w:p>
    <w:p w14:paraId="3EA94750" w14:textId="77777777" w:rsidR="009812D4" w:rsidRPr="00AD3A13" w:rsidRDefault="008E6CD2" w:rsidP="00B441E1">
      <w:pPr>
        <w:spacing w:after="0" w:line="240" w:lineRule="auto"/>
        <w:ind w:left="720"/>
        <w:jc w:val="both"/>
        <w:rPr>
          <w:rFonts w:ascii="Times New Roman" w:hAnsi="Times New Roman" w:cs="Times New Roman"/>
          <w:sz w:val="24"/>
          <w:szCs w:val="24"/>
          <w:lang w:val="fr-CH"/>
        </w:rPr>
      </w:pPr>
      <w:r w:rsidRPr="00FD0663">
        <w:rPr>
          <w:rFonts w:ascii="Times New Roman" w:hAnsi="Times New Roman" w:cs="Times New Roman"/>
          <w:sz w:val="24"/>
          <w:szCs w:val="24"/>
          <w:lang w:val="fr-CH"/>
        </w:rPr>
        <w:t>f</w:t>
      </w:r>
      <w:r w:rsidR="009812D4" w:rsidRPr="00FD0663">
        <w:rPr>
          <w:rFonts w:ascii="Times New Roman" w:hAnsi="Times New Roman" w:cs="Times New Roman"/>
          <w:sz w:val="24"/>
          <w:szCs w:val="24"/>
          <w:lang w:val="fr-CH"/>
        </w:rPr>
        <w:t>. Couvre-t-elle uniquement le viol vaginal</w:t>
      </w:r>
      <w:r w:rsidRPr="00FD0663">
        <w:rPr>
          <w:rFonts w:ascii="Times New Roman" w:hAnsi="Times New Roman" w:cs="Times New Roman"/>
          <w:sz w:val="24"/>
          <w:szCs w:val="24"/>
          <w:lang w:val="fr-CH"/>
        </w:rPr>
        <w:t> ?</w:t>
      </w:r>
      <w:r w:rsidR="009812D4" w:rsidRPr="00FD0663">
        <w:rPr>
          <w:rFonts w:ascii="Times New Roman" w:hAnsi="Times New Roman" w:cs="Times New Roman"/>
          <w:sz w:val="24"/>
          <w:szCs w:val="24"/>
          <w:lang w:val="fr-CH"/>
        </w:rPr>
        <w:t xml:space="preserve"> </w:t>
      </w:r>
      <w:r w:rsidR="009812D4" w:rsidRPr="00AD3A13">
        <w:rPr>
          <w:rFonts w:ascii="Times New Roman" w:hAnsi="Times New Roman" w:cs="Times New Roman"/>
          <w:sz w:val="24"/>
          <w:szCs w:val="24"/>
          <w:lang w:val="fr-CH"/>
        </w:rPr>
        <w:t>OUI</w:t>
      </w:r>
      <w:r w:rsidR="009812D4" w:rsidRPr="00FD0663">
        <w:rPr>
          <w:rFonts w:ascii="Times New Roman" w:hAnsi="Times New Roman" w:cs="Times New Roman"/>
          <w:sz w:val="24"/>
          <w:szCs w:val="24"/>
          <w:lang w:val="fr-CH"/>
        </w:rPr>
        <w:t xml:space="preserve"> / </w:t>
      </w:r>
      <w:r w:rsidR="009812D4" w:rsidRPr="00AD3A13">
        <w:rPr>
          <w:rFonts w:ascii="Times New Roman" w:hAnsi="Times New Roman" w:cs="Times New Roman"/>
          <w:sz w:val="24"/>
          <w:szCs w:val="24"/>
          <w:highlight w:val="yellow"/>
          <w:lang w:val="fr-CH"/>
        </w:rPr>
        <w:t>NON</w:t>
      </w:r>
    </w:p>
    <w:p w14:paraId="7F219516" w14:textId="6259AFAB" w:rsidR="009812D4" w:rsidRPr="00AD3A13" w:rsidRDefault="009812D4" w:rsidP="00B441E1">
      <w:pPr>
        <w:spacing w:after="0" w:line="240" w:lineRule="auto"/>
        <w:ind w:left="720"/>
        <w:jc w:val="both"/>
        <w:rPr>
          <w:rFonts w:ascii="Times New Roman" w:hAnsi="Times New Roman" w:cs="Times New Roman"/>
          <w:sz w:val="24"/>
          <w:szCs w:val="24"/>
          <w:lang w:val="fr-CH"/>
        </w:rPr>
      </w:pPr>
      <w:r w:rsidRPr="00AD3A13">
        <w:rPr>
          <w:rFonts w:ascii="Times New Roman" w:hAnsi="Times New Roman" w:cs="Times New Roman"/>
          <w:sz w:val="24"/>
          <w:szCs w:val="24"/>
          <w:lang w:val="fr-CH"/>
        </w:rPr>
        <w:t>g. Couvre-t-</w:t>
      </w:r>
      <w:r w:rsidR="0035610C" w:rsidRPr="00AD3A13">
        <w:rPr>
          <w:rFonts w:ascii="Times New Roman" w:hAnsi="Times New Roman" w:cs="Times New Roman"/>
          <w:sz w:val="24"/>
          <w:szCs w:val="24"/>
          <w:lang w:val="fr-CH"/>
        </w:rPr>
        <w:t>elle</w:t>
      </w:r>
      <w:r w:rsidRPr="00AD3A13">
        <w:rPr>
          <w:rFonts w:ascii="Times New Roman" w:hAnsi="Times New Roman" w:cs="Times New Roman"/>
          <w:sz w:val="24"/>
          <w:szCs w:val="24"/>
          <w:lang w:val="fr-CH"/>
        </w:rPr>
        <w:t xml:space="preserve"> t</w:t>
      </w:r>
      <w:r w:rsidR="008E6CD2" w:rsidRPr="00AD3A13">
        <w:rPr>
          <w:rFonts w:ascii="Times New Roman" w:hAnsi="Times New Roman" w:cs="Times New Roman"/>
          <w:sz w:val="24"/>
          <w:szCs w:val="24"/>
          <w:lang w:val="fr-CH"/>
        </w:rPr>
        <w:t>outes les formes de pénétration ?</w:t>
      </w:r>
      <w:r w:rsidRPr="00AD3A13">
        <w:rPr>
          <w:rFonts w:ascii="Times New Roman" w:hAnsi="Times New Roman" w:cs="Times New Roman"/>
          <w:sz w:val="24"/>
          <w:szCs w:val="24"/>
          <w:lang w:val="fr-CH"/>
        </w:rPr>
        <w:t xml:space="preserve"> </w:t>
      </w:r>
      <w:r w:rsidRPr="00AD3A13">
        <w:rPr>
          <w:rFonts w:ascii="Times New Roman" w:hAnsi="Times New Roman" w:cs="Times New Roman"/>
          <w:sz w:val="24"/>
          <w:szCs w:val="24"/>
          <w:highlight w:val="yellow"/>
          <w:lang w:val="fr-CH"/>
        </w:rPr>
        <w:t>OUI</w:t>
      </w:r>
      <w:r w:rsidRPr="00AD3A13">
        <w:rPr>
          <w:rFonts w:ascii="Times New Roman" w:hAnsi="Times New Roman" w:cs="Times New Roman"/>
          <w:sz w:val="24"/>
          <w:szCs w:val="24"/>
          <w:lang w:val="fr-CH"/>
        </w:rPr>
        <w:t xml:space="preserve"> / NON Veuillez préciser.</w:t>
      </w:r>
    </w:p>
    <w:p w14:paraId="5CA6B084" w14:textId="28364596" w:rsidR="00F359D3" w:rsidRPr="00FD0663" w:rsidRDefault="00A57110" w:rsidP="00A01748">
      <w:pPr>
        <w:shd w:val="clear" w:color="auto" w:fill="FFFFFF" w:themeFill="background1"/>
        <w:spacing w:after="0" w:line="240" w:lineRule="auto"/>
        <w:ind w:firstLine="720"/>
        <w:jc w:val="both"/>
        <w:rPr>
          <w:rFonts w:ascii="Times New Roman" w:hAnsi="Times New Roman" w:cs="Times New Roman"/>
          <w:sz w:val="24"/>
          <w:szCs w:val="24"/>
          <w:lang w:val="fr-FR"/>
        </w:rPr>
      </w:pPr>
      <w:r w:rsidRPr="00A01748">
        <w:rPr>
          <w:rFonts w:ascii="Times New Roman" w:hAnsi="Times New Roman" w:cs="Times New Roman"/>
          <w:sz w:val="24"/>
          <w:szCs w:val="24"/>
          <w:shd w:val="clear" w:color="auto" w:fill="FFFFFF" w:themeFill="background1"/>
          <w:lang w:val="fr-CH"/>
        </w:rPr>
        <w:t>Le code pénal malagasy prévoit une incrimination large de l’acte de pénétration</w:t>
      </w:r>
      <w:r w:rsidR="00722C46" w:rsidRPr="00A01748">
        <w:rPr>
          <w:rFonts w:ascii="Times New Roman" w:hAnsi="Times New Roman" w:cs="Times New Roman"/>
          <w:sz w:val="24"/>
          <w:szCs w:val="24"/>
          <w:shd w:val="clear" w:color="auto" w:fill="FFFFFF" w:themeFill="background1"/>
          <w:lang w:val="fr-CH"/>
        </w:rPr>
        <w:t>.</w:t>
      </w:r>
      <w:r w:rsidR="00722C46" w:rsidRPr="00FD0663">
        <w:rPr>
          <w:rFonts w:ascii="Times New Roman" w:hAnsi="Times New Roman" w:cs="Times New Roman"/>
          <w:sz w:val="24"/>
          <w:szCs w:val="24"/>
          <w:lang w:val="fr-CH"/>
        </w:rPr>
        <w:t xml:space="preserve"> </w:t>
      </w:r>
      <w:r w:rsidRPr="00FD0663">
        <w:rPr>
          <w:rFonts w:ascii="Times New Roman" w:hAnsi="Times New Roman" w:cs="Times New Roman"/>
          <w:sz w:val="24"/>
          <w:szCs w:val="24"/>
          <w:lang w:val="fr-CH"/>
        </w:rPr>
        <w:t xml:space="preserve"> </w:t>
      </w:r>
      <w:r w:rsidR="009D164E" w:rsidRPr="00FD0663">
        <w:rPr>
          <w:rFonts w:ascii="Times New Roman" w:hAnsi="Times New Roman" w:cs="Times New Roman"/>
          <w:sz w:val="24"/>
          <w:szCs w:val="24"/>
          <w:lang w:val="fr-CH"/>
        </w:rPr>
        <w:t>Comme énoncé ci-dessus, le viol couvre toute forme de pénétration sexuelle. Ainsi dans la pratique, il n’est pas rare que l’auteur de l’acte ait été condamné par les juridictions pour avoir pénétré son doigt dans le vagin de la femme victime ou pour y avoir introduit un objet.</w:t>
      </w:r>
      <w:r w:rsidR="00722C46" w:rsidRPr="00FD0663">
        <w:rPr>
          <w:rFonts w:ascii="Times New Roman" w:hAnsi="Times New Roman" w:cs="Times New Roman"/>
          <w:sz w:val="24"/>
          <w:szCs w:val="24"/>
          <w:lang w:val="fr-CH"/>
        </w:rPr>
        <w:t xml:space="preserve"> </w:t>
      </w:r>
      <w:r w:rsidR="00722C46" w:rsidRPr="00A01748">
        <w:rPr>
          <w:rFonts w:ascii="Times New Roman" w:hAnsi="Times New Roman" w:cs="Times New Roman"/>
          <w:sz w:val="24"/>
          <w:szCs w:val="24"/>
          <w:shd w:val="clear" w:color="auto" w:fill="FFFFFF" w:themeFill="background1"/>
          <w:lang w:val="fr-CH"/>
        </w:rPr>
        <w:t>L’</w:t>
      </w:r>
      <w:r w:rsidR="00722C46" w:rsidRPr="00A01748">
        <w:rPr>
          <w:rFonts w:ascii="Times New Roman" w:hAnsi="Times New Roman" w:cs="Times New Roman"/>
          <w:sz w:val="24"/>
          <w:szCs w:val="24"/>
          <w:shd w:val="clear" w:color="auto" w:fill="FFFFFF" w:themeFill="background1"/>
          <w:lang w:val="fr-FR"/>
        </w:rPr>
        <w:t>acte de pénétration</w:t>
      </w:r>
      <w:r w:rsidR="00AD3A13" w:rsidRPr="00A01748">
        <w:rPr>
          <w:rFonts w:ascii="Times New Roman" w:hAnsi="Times New Roman" w:cs="Times New Roman"/>
          <w:sz w:val="24"/>
          <w:szCs w:val="24"/>
          <w:shd w:val="clear" w:color="auto" w:fill="FFFFFF" w:themeFill="background1"/>
          <w:lang w:val="fr-FR"/>
        </w:rPr>
        <w:t xml:space="preserve"> </w:t>
      </w:r>
      <w:r w:rsidR="00722C46" w:rsidRPr="00A01748">
        <w:rPr>
          <w:rFonts w:ascii="Times New Roman" w:hAnsi="Times New Roman" w:cs="Times New Roman"/>
          <w:sz w:val="24"/>
          <w:szCs w:val="24"/>
          <w:shd w:val="clear" w:color="auto" w:fill="FFFFFF" w:themeFill="background1"/>
          <w:lang w:val="fr-FR"/>
        </w:rPr>
        <w:t xml:space="preserve">sexuelle peut être buccale, dès lors que ces actes sont imposés par violence, contrainte, menace ou surprise, à celui qui les subit ou à celui qui les pratiques. Il peut aussi s’agir d’un acte de pénétration anale. </w:t>
      </w:r>
      <w:r w:rsidR="00F359D3" w:rsidRPr="00A01748">
        <w:rPr>
          <w:rFonts w:ascii="Times New Roman" w:hAnsi="Times New Roman" w:cs="Times New Roman"/>
          <w:sz w:val="24"/>
          <w:szCs w:val="24"/>
          <w:shd w:val="clear" w:color="auto" w:fill="FFFFFF" w:themeFill="background1"/>
          <w:lang w:val="fr-FR"/>
        </w:rPr>
        <w:t>L</w:t>
      </w:r>
      <w:r w:rsidR="00722C46" w:rsidRPr="00A01748">
        <w:rPr>
          <w:rFonts w:ascii="Times New Roman" w:hAnsi="Times New Roman" w:cs="Times New Roman"/>
          <w:sz w:val="24"/>
          <w:szCs w:val="24"/>
          <w:shd w:val="clear" w:color="auto" w:fill="FFFFFF" w:themeFill="background1"/>
          <w:lang w:val="fr-FR"/>
        </w:rPr>
        <w:t xml:space="preserve">e viol peut être commis par deux ou plusieurs personnes. Il s’agit, dans ce cas, d’un viol collectif. </w:t>
      </w:r>
      <w:r w:rsidR="00F359D3" w:rsidRPr="00A01748">
        <w:rPr>
          <w:rFonts w:ascii="Times New Roman" w:hAnsi="Times New Roman" w:cs="Times New Roman"/>
          <w:sz w:val="24"/>
          <w:szCs w:val="24"/>
          <w:shd w:val="clear" w:color="auto" w:fill="FFFFFF" w:themeFill="background1"/>
          <w:lang w:val="fr-FR"/>
        </w:rPr>
        <w:t>Pour</w:t>
      </w:r>
      <w:r w:rsidR="00F359D3" w:rsidRPr="00FD0663">
        <w:rPr>
          <w:rFonts w:ascii="Times New Roman" w:hAnsi="Times New Roman" w:cs="Times New Roman"/>
          <w:sz w:val="24"/>
          <w:szCs w:val="24"/>
          <w:shd w:val="clear" w:color="auto" w:fill="C5E0B3" w:themeFill="accent6" w:themeFillTint="66"/>
          <w:lang w:val="fr-FR"/>
        </w:rPr>
        <w:t xml:space="preserve"> </w:t>
      </w:r>
      <w:r w:rsidR="00F359D3" w:rsidRPr="00FD0663">
        <w:rPr>
          <w:rFonts w:ascii="Times New Roman" w:hAnsi="Times New Roman" w:cs="Times New Roman"/>
          <w:sz w:val="24"/>
          <w:szCs w:val="24"/>
          <w:lang w:val="fr-FR"/>
        </w:rPr>
        <w:t>la Chambre Pénale de la Cour Suprême de Madagascar, en matière de viol, « </w:t>
      </w:r>
      <w:r w:rsidR="00F359D3" w:rsidRPr="00FD0663">
        <w:rPr>
          <w:rFonts w:ascii="Times New Roman" w:hAnsi="Times New Roman" w:cs="Times New Roman"/>
          <w:i/>
          <w:iCs/>
          <w:sz w:val="24"/>
          <w:szCs w:val="24"/>
          <w:lang w:val="fr-FR"/>
        </w:rPr>
        <w:t>L’autorité qu’a l’auteur sur la victime et la menace caractérisent la violence morale irrésistible exercée sur elle</w:t>
      </w:r>
      <w:r w:rsidR="00A01748">
        <w:rPr>
          <w:rFonts w:ascii="Times New Roman" w:hAnsi="Times New Roman" w:cs="Times New Roman"/>
          <w:i/>
          <w:iCs/>
          <w:sz w:val="24"/>
          <w:szCs w:val="24"/>
          <w:lang w:val="fr-FR"/>
        </w:rPr>
        <w:t xml:space="preserve"> </w:t>
      </w:r>
      <w:r w:rsidR="00F359D3" w:rsidRPr="00FD0663">
        <w:rPr>
          <w:rFonts w:ascii="Times New Roman" w:hAnsi="Times New Roman" w:cs="Times New Roman"/>
          <w:i/>
          <w:iCs/>
          <w:sz w:val="24"/>
          <w:szCs w:val="24"/>
          <w:lang w:val="fr-FR"/>
        </w:rPr>
        <w:t>»</w:t>
      </w:r>
      <w:r w:rsidR="00A01748">
        <w:rPr>
          <w:rFonts w:ascii="Times New Roman" w:hAnsi="Times New Roman" w:cs="Times New Roman"/>
          <w:i/>
          <w:iCs/>
          <w:sz w:val="24"/>
          <w:szCs w:val="24"/>
          <w:lang w:val="fr-FR"/>
        </w:rPr>
        <w:t>.</w:t>
      </w:r>
      <w:r w:rsidR="00F359D3" w:rsidRPr="00FD0663">
        <w:rPr>
          <w:rFonts w:ascii="Times New Roman" w:hAnsi="Times New Roman" w:cs="Times New Roman"/>
          <w:i/>
          <w:iCs/>
          <w:sz w:val="24"/>
          <w:szCs w:val="24"/>
          <w:lang w:val="fr-FR"/>
        </w:rPr>
        <w:t xml:space="preserve"> </w:t>
      </w:r>
      <w:r w:rsidR="00AD3A13">
        <w:rPr>
          <w:rStyle w:val="FootnoteReference"/>
          <w:rFonts w:ascii="Times New Roman" w:hAnsi="Times New Roman" w:cs="Times New Roman"/>
          <w:i/>
          <w:iCs/>
          <w:sz w:val="24"/>
          <w:szCs w:val="24"/>
          <w:lang w:val="fr-FR"/>
        </w:rPr>
        <w:footnoteReference w:id="8"/>
      </w:r>
    </w:p>
    <w:p w14:paraId="6A8BB4D3" w14:textId="79E3392E" w:rsidR="00E57291" w:rsidRPr="00FD0663" w:rsidRDefault="00B85EC9" w:rsidP="0083503E">
      <w:pPr>
        <w:shd w:val="clear" w:color="auto" w:fill="FFFFFF" w:themeFill="background1"/>
        <w:spacing w:after="0" w:line="240" w:lineRule="auto"/>
        <w:ind w:firstLine="720"/>
        <w:jc w:val="both"/>
        <w:rPr>
          <w:rFonts w:ascii="Times New Roman" w:hAnsi="Times New Roman" w:cs="Times New Roman"/>
          <w:sz w:val="24"/>
          <w:szCs w:val="24"/>
          <w:lang w:val="fr-FR"/>
        </w:rPr>
      </w:pPr>
      <w:r w:rsidRPr="00FD0663">
        <w:rPr>
          <w:rFonts w:ascii="Times New Roman" w:hAnsi="Times New Roman" w:cs="Times New Roman"/>
          <w:sz w:val="24"/>
          <w:szCs w:val="24"/>
          <w:lang w:val="fr-FR"/>
        </w:rPr>
        <w:t>Pour le juge, le fait pour la victime d’accepter l’acte de pénétration par peur de l’auteur ne constitue pas un consentement</w:t>
      </w:r>
      <w:r w:rsidR="00A01748">
        <w:rPr>
          <w:rStyle w:val="FootnoteReference"/>
          <w:rFonts w:ascii="Times New Roman" w:hAnsi="Times New Roman" w:cs="Times New Roman"/>
          <w:sz w:val="24"/>
          <w:szCs w:val="24"/>
          <w:lang w:val="fr-FR"/>
        </w:rPr>
        <w:footnoteReference w:id="9"/>
      </w:r>
      <w:r w:rsidRPr="00FD0663">
        <w:rPr>
          <w:rFonts w:ascii="Times New Roman" w:hAnsi="Times New Roman" w:cs="Times New Roman"/>
          <w:sz w:val="24"/>
          <w:szCs w:val="24"/>
          <w:lang w:val="fr-FR"/>
        </w:rPr>
        <w:t>.</w:t>
      </w:r>
      <w:r w:rsidR="00CD285B" w:rsidRPr="00FD0663">
        <w:rPr>
          <w:rFonts w:ascii="Times New Roman" w:hAnsi="Times New Roman" w:cs="Times New Roman"/>
          <w:sz w:val="24"/>
          <w:szCs w:val="24"/>
          <w:lang w:val="fr-FR"/>
        </w:rPr>
        <w:t xml:space="preserve"> </w:t>
      </w:r>
      <w:r w:rsidRPr="00FD0663">
        <w:rPr>
          <w:rFonts w:ascii="Times New Roman" w:hAnsi="Times New Roman" w:cs="Times New Roman"/>
          <w:sz w:val="24"/>
          <w:szCs w:val="24"/>
          <w:lang w:val="fr-FR"/>
        </w:rPr>
        <w:t xml:space="preserve">Par contre, il va disqualifier l’acte en </w:t>
      </w:r>
      <w:r w:rsidR="00E57291" w:rsidRPr="00FD0663">
        <w:rPr>
          <w:rFonts w:ascii="Times New Roman" w:hAnsi="Times New Roman" w:cs="Times New Roman"/>
          <w:sz w:val="24"/>
          <w:szCs w:val="24"/>
          <w:lang w:val="fr-FR"/>
        </w:rPr>
        <w:t xml:space="preserve">détournement de mineur </w:t>
      </w:r>
      <w:r w:rsidRPr="00FD0663">
        <w:rPr>
          <w:rFonts w:ascii="Times New Roman" w:hAnsi="Times New Roman" w:cs="Times New Roman"/>
          <w:sz w:val="24"/>
          <w:szCs w:val="24"/>
          <w:lang w:val="fr-FR"/>
        </w:rPr>
        <w:t xml:space="preserve">et attentat à la pudeur dans l’hypothèse où le </w:t>
      </w:r>
      <w:r w:rsidR="00E57291" w:rsidRPr="00FD0663">
        <w:rPr>
          <w:rFonts w:ascii="Times New Roman" w:hAnsi="Times New Roman" w:cs="Times New Roman"/>
          <w:sz w:val="24"/>
          <w:szCs w:val="24"/>
          <w:lang w:val="fr-FR"/>
        </w:rPr>
        <w:t xml:space="preserve">mineur de </w:t>
      </w:r>
      <w:r w:rsidRPr="00FD0663">
        <w:rPr>
          <w:rFonts w:ascii="Times New Roman" w:hAnsi="Times New Roman" w:cs="Times New Roman"/>
          <w:sz w:val="24"/>
          <w:szCs w:val="24"/>
          <w:lang w:val="fr-FR"/>
        </w:rPr>
        <w:t xml:space="preserve">moins de </w:t>
      </w:r>
      <w:r w:rsidR="00E57291" w:rsidRPr="00FD0663">
        <w:rPr>
          <w:rFonts w:ascii="Times New Roman" w:hAnsi="Times New Roman" w:cs="Times New Roman"/>
          <w:sz w:val="24"/>
          <w:szCs w:val="24"/>
          <w:lang w:val="fr-FR"/>
        </w:rPr>
        <w:t xml:space="preserve">quinze ans a consenti, sans violence ni menace ni contrainte, à avoir des relations sexuelles avec un accusé, </w:t>
      </w:r>
      <w:r w:rsidRPr="00FD0663">
        <w:rPr>
          <w:rFonts w:ascii="Times New Roman" w:hAnsi="Times New Roman" w:cs="Times New Roman"/>
          <w:sz w:val="24"/>
          <w:szCs w:val="24"/>
          <w:lang w:val="fr-FR"/>
        </w:rPr>
        <w:t>quel que soit son âge</w:t>
      </w:r>
      <w:r w:rsidR="00A01748">
        <w:rPr>
          <w:rStyle w:val="FootnoteReference"/>
          <w:rFonts w:ascii="Times New Roman" w:hAnsi="Times New Roman" w:cs="Times New Roman"/>
          <w:sz w:val="24"/>
          <w:szCs w:val="24"/>
          <w:lang w:val="fr-FR"/>
        </w:rPr>
        <w:footnoteReference w:id="10"/>
      </w:r>
      <w:r w:rsidR="00A01748">
        <w:rPr>
          <w:rFonts w:ascii="Times New Roman" w:hAnsi="Times New Roman" w:cs="Times New Roman"/>
          <w:sz w:val="24"/>
          <w:szCs w:val="24"/>
          <w:lang w:val="fr-FR"/>
        </w:rPr>
        <w:t>.</w:t>
      </w:r>
    </w:p>
    <w:p w14:paraId="0C8FD9CB" w14:textId="77777777" w:rsidR="009D164E" w:rsidRPr="00FD0663" w:rsidRDefault="009D164E" w:rsidP="00B441E1">
      <w:pPr>
        <w:spacing w:after="0" w:line="240" w:lineRule="auto"/>
        <w:ind w:left="720"/>
        <w:jc w:val="both"/>
        <w:rPr>
          <w:rFonts w:ascii="Times New Roman" w:hAnsi="Times New Roman" w:cs="Times New Roman"/>
          <w:sz w:val="24"/>
          <w:szCs w:val="24"/>
          <w:lang w:val="fr-CH"/>
        </w:rPr>
      </w:pPr>
    </w:p>
    <w:p w14:paraId="466162B4" w14:textId="77777777" w:rsidR="009812D4" w:rsidRPr="00A01748" w:rsidRDefault="009812D4" w:rsidP="00B441E1">
      <w:pPr>
        <w:spacing w:after="0" w:line="240" w:lineRule="auto"/>
        <w:ind w:left="720"/>
        <w:jc w:val="both"/>
        <w:rPr>
          <w:rFonts w:ascii="Times New Roman" w:hAnsi="Times New Roman" w:cs="Times New Roman"/>
          <w:sz w:val="24"/>
          <w:szCs w:val="24"/>
          <w:lang w:val="fr-CH"/>
        </w:rPr>
      </w:pPr>
      <w:r w:rsidRPr="00A01748">
        <w:rPr>
          <w:rFonts w:ascii="Times New Roman" w:hAnsi="Times New Roman" w:cs="Times New Roman"/>
          <w:sz w:val="24"/>
          <w:szCs w:val="24"/>
          <w:lang w:val="fr-CH"/>
        </w:rPr>
        <w:t>h. Le viol conjugal dans cette disposition est-il explicitement inclus</w:t>
      </w:r>
      <w:r w:rsidR="008E6CD2" w:rsidRPr="00A01748">
        <w:rPr>
          <w:rFonts w:ascii="Times New Roman" w:hAnsi="Times New Roman" w:cs="Times New Roman"/>
          <w:sz w:val="24"/>
          <w:szCs w:val="24"/>
          <w:lang w:val="fr-CH"/>
        </w:rPr>
        <w:t> ?</w:t>
      </w:r>
      <w:r w:rsidRPr="00A01748">
        <w:rPr>
          <w:rFonts w:ascii="Times New Roman" w:hAnsi="Times New Roman" w:cs="Times New Roman"/>
          <w:sz w:val="24"/>
          <w:szCs w:val="24"/>
          <w:lang w:val="fr-CH"/>
        </w:rPr>
        <w:t xml:space="preserve"> </w:t>
      </w:r>
      <w:r w:rsidRPr="00A01748">
        <w:rPr>
          <w:rFonts w:ascii="Times New Roman" w:hAnsi="Times New Roman" w:cs="Times New Roman"/>
          <w:sz w:val="24"/>
          <w:szCs w:val="24"/>
          <w:highlight w:val="yellow"/>
          <w:lang w:val="fr-CH"/>
        </w:rPr>
        <w:t>OUI</w:t>
      </w:r>
      <w:r w:rsidRPr="00A01748">
        <w:rPr>
          <w:rFonts w:ascii="Times New Roman" w:hAnsi="Times New Roman" w:cs="Times New Roman"/>
          <w:sz w:val="24"/>
          <w:szCs w:val="24"/>
          <w:lang w:val="fr-CH"/>
        </w:rPr>
        <w:t xml:space="preserve"> / NON</w:t>
      </w:r>
    </w:p>
    <w:p w14:paraId="21147B05" w14:textId="77777777" w:rsidR="009812D4" w:rsidRPr="00A01748" w:rsidRDefault="008E6CD2" w:rsidP="00B441E1">
      <w:pPr>
        <w:spacing w:after="0" w:line="240" w:lineRule="auto"/>
        <w:ind w:left="720"/>
        <w:jc w:val="both"/>
        <w:rPr>
          <w:rFonts w:ascii="Times New Roman" w:hAnsi="Times New Roman" w:cs="Times New Roman"/>
          <w:sz w:val="24"/>
          <w:szCs w:val="24"/>
          <w:lang w:val="fr-CH"/>
        </w:rPr>
      </w:pPr>
      <w:r w:rsidRPr="00A01748">
        <w:rPr>
          <w:rFonts w:ascii="Times New Roman" w:hAnsi="Times New Roman" w:cs="Times New Roman"/>
          <w:sz w:val="24"/>
          <w:szCs w:val="24"/>
          <w:lang w:val="fr-CH"/>
        </w:rPr>
        <w:t>j</w:t>
      </w:r>
      <w:r w:rsidR="009812D4" w:rsidRPr="00A01748">
        <w:rPr>
          <w:rFonts w:ascii="Times New Roman" w:hAnsi="Times New Roman" w:cs="Times New Roman"/>
          <w:sz w:val="24"/>
          <w:szCs w:val="24"/>
          <w:lang w:val="fr-CH"/>
        </w:rPr>
        <w:t xml:space="preserve">. </w:t>
      </w:r>
      <w:r w:rsidRPr="00A01748">
        <w:rPr>
          <w:rFonts w:ascii="Times New Roman" w:hAnsi="Times New Roman" w:cs="Times New Roman"/>
          <w:sz w:val="24"/>
          <w:szCs w:val="24"/>
          <w:lang w:val="fr-CH"/>
        </w:rPr>
        <w:t xml:space="preserve">La loi s'abstient-elle sur </w:t>
      </w:r>
      <w:r w:rsidR="009812D4" w:rsidRPr="00A01748">
        <w:rPr>
          <w:rFonts w:ascii="Times New Roman" w:hAnsi="Times New Roman" w:cs="Times New Roman"/>
          <w:sz w:val="24"/>
          <w:szCs w:val="24"/>
          <w:lang w:val="fr-CH"/>
        </w:rPr>
        <w:t>le viol conjugal</w:t>
      </w:r>
      <w:r w:rsidRPr="00A01748">
        <w:rPr>
          <w:rFonts w:ascii="Times New Roman" w:hAnsi="Times New Roman" w:cs="Times New Roman"/>
          <w:sz w:val="24"/>
          <w:szCs w:val="24"/>
          <w:lang w:val="fr-CH"/>
        </w:rPr>
        <w:t> ?</w:t>
      </w:r>
      <w:r w:rsidR="009812D4" w:rsidRPr="00A01748">
        <w:rPr>
          <w:rFonts w:ascii="Times New Roman" w:hAnsi="Times New Roman" w:cs="Times New Roman"/>
          <w:sz w:val="24"/>
          <w:szCs w:val="24"/>
          <w:lang w:val="fr-CH"/>
        </w:rPr>
        <w:t xml:space="preserve"> OUI / </w:t>
      </w:r>
      <w:r w:rsidR="009812D4" w:rsidRPr="00A01748">
        <w:rPr>
          <w:rFonts w:ascii="Times New Roman" w:hAnsi="Times New Roman" w:cs="Times New Roman"/>
          <w:sz w:val="24"/>
          <w:szCs w:val="24"/>
          <w:highlight w:val="yellow"/>
          <w:lang w:val="fr-CH"/>
        </w:rPr>
        <w:t>NON</w:t>
      </w:r>
    </w:p>
    <w:p w14:paraId="29C02A50" w14:textId="77777777" w:rsidR="009812D4" w:rsidRPr="00A01748" w:rsidRDefault="009812D4" w:rsidP="00B441E1">
      <w:pPr>
        <w:spacing w:after="0" w:line="240" w:lineRule="auto"/>
        <w:ind w:left="720"/>
        <w:jc w:val="both"/>
        <w:rPr>
          <w:rFonts w:ascii="Times New Roman" w:hAnsi="Times New Roman" w:cs="Times New Roman"/>
          <w:sz w:val="24"/>
          <w:szCs w:val="24"/>
          <w:lang w:val="fr-CH"/>
        </w:rPr>
      </w:pPr>
      <w:r w:rsidRPr="00A01748">
        <w:rPr>
          <w:rFonts w:ascii="Times New Roman" w:hAnsi="Times New Roman" w:cs="Times New Roman"/>
          <w:sz w:val="24"/>
          <w:szCs w:val="24"/>
          <w:lang w:val="fr-CH"/>
        </w:rPr>
        <w:t>j. Le viol conjugal est-il couvert par les dispositions générales ou par un précédent juridique</w:t>
      </w:r>
      <w:r w:rsidR="008E6CD2" w:rsidRPr="00A01748">
        <w:rPr>
          <w:rFonts w:ascii="Times New Roman" w:hAnsi="Times New Roman" w:cs="Times New Roman"/>
          <w:sz w:val="24"/>
          <w:szCs w:val="24"/>
          <w:lang w:val="fr-CH"/>
        </w:rPr>
        <w:t>,</w:t>
      </w:r>
      <w:r w:rsidRPr="00A01748">
        <w:rPr>
          <w:rFonts w:ascii="Times New Roman" w:hAnsi="Times New Roman" w:cs="Times New Roman"/>
          <w:sz w:val="24"/>
          <w:szCs w:val="24"/>
          <w:lang w:val="fr-CH"/>
        </w:rPr>
        <w:t xml:space="preserve"> même s'il n'est pas explicitement inclus</w:t>
      </w:r>
      <w:r w:rsidR="008E6CD2" w:rsidRPr="00A01748">
        <w:rPr>
          <w:rFonts w:ascii="Times New Roman" w:hAnsi="Times New Roman" w:cs="Times New Roman"/>
          <w:sz w:val="24"/>
          <w:szCs w:val="24"/>
          <w:lang w:val="fr-CH"/>
        </w:rPr>
        <w:t> ?</w:t>
      </w:r>
      <w:r w:rsidRPr="00A01748">
        <w:rPr>
          <w:rFonts w:ascii="Times New Roman" w:hAnsi="Times New Roman" w:cs="Times New Roman"/>
          <w:sz w:val="24"/>
          <w:szCs w:val="24"/>
          <w:lang w:val="fr-CH"/>
        </w:rPr>
        <w:t xml:space="preserve"> OUI / </w:t>
      </w:r>
      <w:r w:rsidRPr="00EA3250">
        <w:rPr>
          <w:rFonts w:ascii="Times New Roman" w:hAnsi="Times New Roman" w:cs="Times New Roman"/>
          <w:sz w:val="24"/>
          <w:szCs w:val="24"/>
          <w:highlight w:val="yellow"/>
          <w:lang w:val="fr-CH"/>
        </w:rPr>
        <w:t>NON</w:t>
      </w:r>
    </w:p>
    <w:p w14:paraId="4C23FB14" w14:textId="7998DB49" w:rsidR="009812D4" w:rsidRDefault="009812D4" w:rsidP="00B441E1">
      <w:pPr>
        <w:spacing w:after="0" w:line="240" w:lineRule="auto"/>
        <w:ind w:left="720"/>
        <w:jc w:val="both"/>
        <w:rPr>
          <w:rFonts w:ascii="Times New Roman" w:hAnsi="Times New Roman" w:cs="Times New Roman"/>
          <w:sz w:val="24"/>
          <w:szCs w:val="24"/>
          <w:lang w:val="fr-CH"/>
        </w:rPr>
      </w:pPr>
      <w:r w:rsidRPr="00A01748">
        <w:rPr>
          <w:rFonts w:ascii="Times New Roman" w:hAnsi="Times New Roman" w:cs="Times New Roman"/>
          <w:sz w:val="24"/>
          <w:szCs w:val="24"/>
          <w:lang w:val="fr-CH"/>
        </w:rPr>
        <w:t>k. Le viol conjugal est-il exclu des dispositions ou le viol conjugal n'est-il pas considéré comme un crime? OUI</w:t>
      </w:r>
      <w:r w:rsidR="008E6CD2" w:rsidRPr="00A01748">
        <w:rPr>
          <w:rFonts w:ascii="Times New Roman" w:hAnsi="Times New Roman" w:cs="Times New Roman"/>
          <w:sz w:val="24"/>
          <w:szCs w:val="24"/>
          <w:lang w:val="fr-CH"/>
        </w:rPr>
        <w:t>/</w:t>
      </w:r>
      <w:r w:rsidRPr="00A01748">
        <w:rPr>
          <w:rFonts w:ascii="Times New Roman" w:hAnsi="Times New Roman" w:cs="Times New Roman"/>
          <w:sz w:val="24"/>
          <w:szCs w:val="24"/>
          <w:lang w:val="fr-CH"/>
        </w:rPr>
        <w:t xml:space="preserve"> </w:t>
      </w:r>
      <w:r w:rsidRPr="00EA3250">
        <w:rPr>
          <w:rFonts w:ascii="Times New Roman" w:hAnsi="Times New Roman" w:cs="Times New Roman"/>
          <w:sz w:val="24"/>
          <w:szCs w:val="24"/>
          <w:highlight w:val="yellow"/>
          <w:lang w:val="fr-CH"/>
        </w:rPr>
        <w:t>NON</w:t>
      </w:r>
    </w:p>
    <w:p w14:paraId="782165F2" w14:textId="77777777" w:rsidR="005E1C1F" w:rsidRPr="00EA3250" w:rsidRDefault="005E1C1F" w:rsidP="00B441E1">
      <w:pPr>
        <w:spacing w:after="0" w:line="240" w:lineRule="auto"/>
        <w:ind w:left="720"/>
        <w:jc w:val="both"/>
        <w:rPr>
          <w:rFonts w:ascii="Times New Roman" w:hAnsi="Times New Roman" w:cs="Times New Roman"/>
          <w:strike/>
          <w:sz w:val="24"/>
          <w:szCs w:val="24"/>
          <w:lang w:val="fr-CH"/>
        </w:rPr>
      </w:pPr>
    </w:p>
    <w:p w14:paraId="2BB14FFC" w14:textId="08292880" w:rsidR="00ED7B75" w:rsidRPr="00FD0663" w:rsidRDefault="00ED7B75" w:rsidP="00B441E1">
      <w:pPr>
        <w:spacing w:after="0" w:line="240" w:lineRule="auto"/>
        <w:ind w:left="720"/>
        <w:jc w:val="both"/>
        <w:rPr>
          <w:rFonts w:ascii="Times New Roman" w:hAnsi="Times New Roman" w:cs="Times New Roman"/>
          <w:strike/>
          <w:color w:val="5B9BD5" w:themeColor="accent1"/>
          <w:sz w:val="24"/>
          <w:szCs w:val="24"/>
          <w:lang w:val="fr-CH"/>
        </w:rPr>
      </w:pPr>
    </w:p>
    <w:p w14:paraId="0718270B" w14:textId="1A3D2A69" w:rsidR="005B083B" w:rsidRPr="00EA3250" w:rsidRDefault="008E6CD2" w:rsidP="005B083B">
      <w:pPr>
        <w:pStyle w:val="BodyA"/>
        <w:numPr>
          <w:ilvl w:val="0"/>
          <w:numId w:val="1"/>
        </w:numPr>
        <w:shd w:val="clear" w:color="auto" w:fill="FFFFFF"/>
        <w:jc w:val="both"/>
        <w:rPr>
          <w:rFonts w:cs="Times New Roman"/>
          <w:color w:val="auto"/>
          <w:lang w:val="fr-CH"/>
        </w:rPr>
      </w:pPr>
      <w:r w:rsidRPr="00EA3250">
        <w:rPr>
          <w:rFonts w:cs="Times New Roman"/>
          <w:color w:val="auto"/>
          <w:lang w:val="fr-CH"/>
        </w:rPr>
        <w:t>Dans quelle mesure la législation de votre pays exclut-elle la criminalisation de l'auteur si la victime et l'auteur présumé vivent ensemble dans une relation sexuelle / ont une relation sexuelle / ont eu une relation sexuelle? Dans l'affirmative, veuillez soumettre les articles pertinents avec les traductions correspondantes.</w:t>
      </w:r>
    </w:p>
    <w:p w14:paraId="52900E21" w14:textId="77777777" w:rsidR="008C40B6" w:rsidRDefault="008C40B6" w:rsidP="008C40B6">
      <w:pPr>
        <w:spacing w:after="0" w:line="240" w:lineRule="auto"/>
        <w:ind w:firstLine="360"/>
        <w:jc w:val="both"/>
        <w:rPr>
          <w:rFonts w:ascii="Times New Roman" w:hAnsi="Times New Roman" w:cs="Times New Roman"/>
          <w:sz w:val="24"/>
          <w:szCs w:val="24"/>
          <w:lang w:val="fr-CH"/>
        </w:rPr>
      </w:pPr>
    </w:p>
    <w:p w14:paraId="0DD10000" w14:textId="52243848" w:rsidR="005B083B" w:rsidRPr="00EA3250" w:rsidRDefault="005B083B" w:rsidP="008C40B6">
      <w:pPr>
        <w:spacing w:after="0" w:line="240" w:lineRule="auto"/>
        <w:ind w:firstLine="360"/>
        <w:jc w:val="both"/>
        <w:rPr>
          <w:rFonts w:ascii="Times New Roman" w:hAnsi="Times New Roman" w:cs="Times New Roman"/>
          <w:sz w:val="24"/>
          <w:szCs w:val="24"/>
          <w:lang w:val="fr-CH"/>
        </w:rPr>
      </w:pPr>
      <w:r w:rsidRPr="00EA3250">
        <w:rPr>
          <w:rFonts w:ascii="Times New Roman" w:hAnsi="Times New Roman" w:cs="Times New Roman"/>
          <w:sz w:val="24"/>
          <w:szCs w:val="24"/>
          <w:lang w:val="fr-CH"/>
        </w:rPr>
        <w:t>A Madagascar, le viol conjugal est considéré comme une infraction punissable de deux à cinq ans d’emprisonnement et d’une amende de 100 000 à 1 000 000 000 d’Ariary. Peine prévue et punie par l’article de la Loi n°2019-008 du 16.01.2020 sur la Lutte contre les Violences Basées sur le Genre.</w:t>
      </w:r>
      <w:r w:rsidR="00A822E0" w:rsidRPr="00EA3250">
        <w:rPr>
          <w:rFonts w:ascii="Times New Roman" w:hAnsi="Times New Roman" w:cs="Times New Roman"/>
          <w:sz w:val="24"/>
          <w:szCs w:val="24"/>
          <w:lang w:val="fr-CH"/>
        </w:rPr>
        <w:t xml:space="preserve"> </w:t>
      </w:r>
    </w:p>
    <w:p w14:paraId="25F9B2FE" w14:textId="77777777" w:rsidR="005B083B" w:rsidRPr="00EA3250" w:rsidRDefault="005B083B" w:rsidP="005B083B">
      <w:pPr>
        <w:spacing w:after="0" w:line="240" w:lineRule="auto"/>
        <w:ind w:left="720"/>
        <w:jc w:val="both"/>
        <w:rPr>
          <w:rFonts w:ascii="Times New Roman" w:hAnsi="Times New Roman" w:cs="Times New Roman"/>
          <w:sz w:val="24"/>
          <w:szCs w:val="24"/>
          <w:lang w:val="fr-CH"/>
        </w:rPr>
      </w:pPr>
    </w:p>
    <w:p w14:paraId="081ADA24" w14:textId="6B3F8ABF" w:rsidR="00E848A8" w:rsidRPr="00EA3250" w:rsidRDefault="00A822E0" w:rsidP="00EA3250">
      <w:pPr>
        <w:spacing w:after="0" w:line="240" w:lineRule="auto"/>
        <w:ind w:firstLine="720"/>
        <w:jc w:val="both"/>
        <w:rPr>
          <w:rFonts w:ascii="Times New Roman" w:hAnsi="Times New Roman" w:cs="Times New Roman"/>
          <w:sz w:val="24"/>
          <w:szCs w:val="24"/>
          <w:lang w:val="fr-CH"/>
        </w:rPr>
      </w:pPr>
      <w:bookmarkStart w:id="3" w:name="_Hlk39596836"/>
      <w:r w:rsidRPr="00EA3250">
        <w:rPr>
          <w:rFonts w:ascii="Times New Roman" w:hAnsi="Times New Roman" w:cs="Times New Roman"/>
          <w:sz w:val="24"/>
          <w:szCs w:val="24"/>
          <w:lang w:val="fr-CH"/>
        </w:rPr>
        <w:t xml:space="preserve">Par ailleurs, l’article premier de la même Loi énonce que sans préjudice des dispositions du code pénal et du code procédure pénale, </w:t>
      </w:r>
      <w:r w:rsidR="00E848A8" w:rsidRPr="00EA3250">
        <w:rPr>
          <w:rFonts w:ascii="Times New Roman" w:hAnsi="Times New Roman" w:cs="Times New Roman"/>
          <w:sz w:val="24"/>
          <w:szCs w:val="24"/>
          <w:lang w:val="fr-CH"/>
        </w:rPr>
        <w:t>cette loi a pour objet de renforcer le régime juridique de la prévention, de la poursuite et de la répression des actes de violences basées sur le genre.</w:t>
      </w:r>
      <w:r w:rsidR="00EA3250">
        <w:rPr>
          <w:rFonts w:ascii="Times New Roman" w:hAnsi="Times New Roman" w:cs="Times New Roman"/>
          <w:sz w:val="24"/>
          <w:szCs w:val="24"/>
          <w:lang w:val="fr-CH"/>
        </w:rPr>
        <w:t xml:space="preserve"> </w:t>
      </w:r>
      <w:r w:rsidR="00E848A8" w:rsidRPr="00EA3250">
        <w:rPr>
          <w:rFonts w:ascii="Times New Roman" w:hAnsi="Times New Roman" w:cs="Times New Roman"/>
          <w:sz w:val="24"/>
          <w:szCs w:val="24"/>
          <w:lang w:val="fr-CH"/>
        </w:rPr>
        <w:t>Par conséquent, il s’agit de dispositions complémentaires qui s’appliquent même dans les relations entre l’auteur du viol et sa victime, lorsqu’ils sont ou ont été ensemble dans une relation sexuelle. L’acte demeure ainsi punissable dans les conditions de l’article 332 du code pénal (violence, la contrainte, la menace ou la surprise) quand bien même l’auteur et la victime vivent, ou ont vécu une dans une relation sexuelle.</w:t>
      </w:r>
    </w:p>
    <w:p w14:paraId="2CC305EA" w14:textId="77777777" w:rsidR="00E848A8" w:rsidRPr="00EA3250" w:rsidRDefault="00E848A8" w:rsidP="005B083B">
      <w:pPr>
        <w:spacing w:after="0" w:line="240" w:lineRule="auto"/>
        <w:jc w:val="both"/>
        <w:rPr>
          <w:rFonts w:ascii="Times New Roman" w:hAnsi="Times New Roman" w:cs="Times New Roman"/>
          <w:sz w:val="24"/>
          <w:szCs w:val="24"/>
          <w:lang w:val="fr-CH"/>
        </w:rPr>
      </w:pPr>
    </w:p>
    <w:bookmarkEnd w:id="3"/>
    <w:p w14:paraId="7D9FD95F" w14:textId="7FBAAFC1" w:rsidR="005B083B" w:rsidRPr="00EA3250" w:rsidRDefault="00E848A8" w:rsidP="00EA3250">
      <w:pPr>
        <w:spacing w:after="0" w:line="240" w:lineRule="auto"/>
        <w:ind w:firstLine="720"/>
        <w:jc w:val="both"/>
        <w:rPr>
          <w:rFonts w:ascii="Times New Roman" w:hAnsi="Times New Roman" w:cs="Times New Roman"/>
          <w:sz w:val="24"/>
          <w:szCs w:val="24"/>
          <w:lang w:val="fr-CH"/>
        </w:rPr>
      </w:pPr>
      <w:r w:rsidRPr="00EA3250">
        <w:rPr>
          <w:rFonts w:ascii="Times New Roman" w:hAnsi="Times New Roman" w:cs="Times New Roman"/>
          <w:sz w:val="24"/>
          <w:szCs w:val="24"/>
          <w:lang w:val="fr-CH"/>
        </w:rPr>
        <w:t>Il faut également préciser que l’article 6 de la loi n°2019-008 précitée</w:t>
      </w:r>
      <w:r w:rsidR="005B083B" w:rsidRPr="00EA3250">
        <w:rPr>
          <w:rFonts w:ascii="Times New Roman" w:hAnsi="Times New Roman" w:cs="Times New Roman"/>
          <w:sz w:val="24"/>
          <w:szCs w:val="24"/>
          <w:lang w:val="fr-CH"/>
        </w:rPr>
        <w:t xml:space="preserve"> vise une protection plus large pour la victime car elle recouvre</w:t>
      </w:r>
      <w:r w:rsidR="007E3D58" w:rsidRPr="00EA3250">
        <w:rPr>
          <w:rFonts w:ascii="Times New Roman" w:hAnsi="Times New Roman" w:cs="Times New Roman"/>
          <w:sz w:val="24"/>
          <w:szCs w:val="24"/>
          <w:lang w:val="fr-CH"/>
        </w:rPr>
        <w:t xml:space="preserve"> non seulement le mariage légal mais aussi</w:t>
      </w:r>
      <w:r w:rsidR="005B083B" w:rsidRPr="00EA3250">
        <w:rPr>
          <w:rFonts w:ascii="Times New Roman" w:hAnsi="Times New Roman" w:cs="Times New Roman"/>
          <w:sz w:val="24"/>
          <w:szCs w:val="24"/>
          <w:lang w:val="fr-CH"/>
        </w:rPr>
        <w:t xml:space="preserve"> toute forme d’union au sens de l’article </w:t>
      </w:r>
      <w:r w:rsidR="00666E16" w:rsidRPr="00EA3250">
        <w:rPr>
          <w:rFonts w:ascii="Times New Roman" w:hAnsi="Times New Roman" w:cs="Times New Roman"/>
          <w:sz w:val="24"/>
          <w:szCs w:val="24"/>
          <w:lang w:val="fr-CH"/>
        </w:rPr>
        <w:t>2</w:t>
      </w:r>
      <w:r w:rsidR="005B083B" w:rsidRPr="00EA3250">
        <w:rPr>
          <w:rFonts w:ascii="Times New Roman" w:hAnsi="Times New Roman" w:cs="Times New Roman"/>
          <w:sz w:val="24"/>
          <w:szCs w:val="24"/>
          <w:lang w:val="fr-CH"/>
        </w:rPr>
        <w:t xml:space="preserve">.3° de la même Loi qui définit l’union comme </w:t>
      </w:r>
      <w:r w:rsidR="005B083B" w:rsidRPr="00DC6DB0">
        <w:rPr>
          <w:rFonts w:ascii="Times New Roman" w:hAnsi="Times New Roman" w:cs="Times New Roman"/>
          <w:sz w:val="24"/>
          <w:szCs w:val="24"/>
          <w:lang w:val="fr-CH"/>
        </w:rPr>
        <w:t>« le lien entre un Homme et une Femme qui sont mariés ou se comportent comme tels »</w:t>
      </w:r>
      <w:r w:rsidR="00EA3250">
        <w:rPr>
          <w:rStyle w:val="FootnoteReference"/>
          <w:rFonts w:ascii="Times New Roman" w:hAnsi="Times New Roman" w:cs="Times New Roman"/>
          <w:sz w:val="24"/>
          <w:szCs w:val="24"/>
          <w:lang w:val="fr-CH"/>
        </w:rPr>
        <w:footnoteReference w:id="11"/>
      </w:r>
      <w:r w:rsidR="005B083B" w:rsidRPr="00EA3250">
        <w:rPr>
          <w:rFonts w:ascii="Times New Roman" w:hAnsi="Times New Roman" w:cs="Times New Roman"/>
          <w:sz w:val="24"/>
          <w:szCs w:val="24"/>
          <w:lang w:val="fr-CH"/>
        </w:rPr>
        <w:t xml:space="preserve">. </w:t>
      </w:r>
    </w:p>
    <w:p w14:paraId="3790B119" w14:textId="1386BA7A" w:rsidR="005B083B" w:rsidRPr="00FD0663" w:rsidRDefault="007E3D58" w:rsidP="00EA3250">
      <w:pPr>
        <w:spacing w:after="0" w:line="240" w:lineRule="auto"/>
        <w:ind w:firstLine="360"/>
        <w:jc w:val="both"/>
        <w:rPr>
          <w:rFonts w:ascii="Times New Roman" w:hAnsi="Times New Roman" w:cs="Times New Roman"/>
          <w:sz w:val="24"/>
          <w:szCs w:val="24"/>
          <w:lang w:val="fr-CH"/>
        </w:rPr>
      </w:pPr>
      <w:r w:rsidRPr="00EA3250">
        <w:rPr>
          <w:rFonts w:ascii="Times New Roman" w:hAnsi="Times New Roman" w:cs="Times New Roman"/>
          <w:sz w:val="24"/>
          <w:szCs w:val="24"/>
          <w:lang w:val="fr-CH"/>
        </w:rPr>
        <w:t>En d’autres termes, le viol est punissable si la victime et l’auteur sont engagés ou non dans les liens du mariage</w:t>
      </w:r>
      <w:r w:rsidR="001D1360" w:rsidRPr="00EA3250">
        <w:rPr>
          <w:rFonts w:ascii="Times New Roman" w:hAnsi="Times New Roman" w:cs="Times New Roman"/>
          <w:sz w:val="24"/>
          <w:szCs w:val="24"/>
          <w:lang w:val="fr-CH"/>
        </w:rPr>
        <w:t xml:space="preserve">, qu’ils aient ou ont eu une relation sexuelle. </w:t>
      </w:r>
      <w:r w:rsidR="00A822E0" w:rsidRPr="00EA3250">
        <w:rPr>
          <w:rFonts w:ascii="Times New Roman" w:hAnsi="Times New Roman" w:cs="Times New Roman"/>
          <w:sz w:val="24"/>
          <w:szCs w:val="24"/>
          <w:lang w:val="fr-CH"/>
        </w:rPr>
        <w:t xml:space="preserve">Si le lien entre eux sont rompus, la poursuite pour viol sera alors soumise à la même règle procédurale relative à la prescription de l’action publique. </w:t>
      </w:r>
      <w:r w:rsidRPr="00EA3250">
        <w:rPr>
          <w:rFonts w:ascii="Times New Roman" w:hAnsi="Times New Roman" w:cs="Times New Roman"/>
          <w:sz w:val="24"/>
          <w:szCs w:val="24"/>
          <w:lang w:val="fr-CH"/>
        </w:rPr>
        <w:t xml:space="preserve"> Seules sont exclues les relations entre personne de même sexe.</w:t>
      </w:r>
    </w:p>
    <w:p w14:paraId="352500B3" w14:textId="3450DA71" w:rsidR="00666E16" w:rsidRDefault="00666E16" w:rsidP="007E3D58">
      <w:pPr>
        <w:spacing w:after="0" w:line="240" w:lineRule="auto"/>
        <w:jc w:val="both"/>
        <w:rPr>
          <w:rFonts w:ascii="Times New Roman" w:hAnsi="Times New Roman" w:cs="Times New Roman"/>
          <w:b/>
          <w:bCs/>
          <w:sz w:val="24"/>
          <w:szCs w:val="24"/>
          <w:lang w:val="fr-CH"/>
        </w:rPr>
      </w:pPr>
    </w:p>
    <w:p w14:paraId="1CD8FFB0" w14:textId="77777777" w:rsidR="005E1C1F" w:rsidRPr="00FD0663" w:rsidRDefault="005E1C1F" w:rsidP="007E3D58">
      <w:pPr>
        <w:spacing w:after="0" w:line="240" w:lineRule="auto"/>
        <w:jc w:val="both"/>
        <w:rPr>
          <w:rFonts w:ascii="Times New Roman" w:hAnsi="Times New Roman" w:cs="Times New Roman"/>
          <w:b/>
          <w:bCs/>
          <w:sz w:val="24"/>
          <w:szCs w:val="24"/>
          <w:lang w:val="fr-CH"/>
        </w:rPr>
      </w:pPr>
    </w:p>
    <w:p w14:paraId="3A22BF6E" w14:textId="67001237" w:rsidR="008E6CD2" w:rsidRPr="005E1C1F" w:rsidRDefault="008E6CD2" w:rsidP="00B441E1">
      <w:pPr>
        <w:pStyle w:val="BodyA"/>
        <w:numPr>
          <w:ilvl w:val="0"/>
          <w:numId w:val="1"/>
        </w:numPr>
        <w:shd w:val="clear" w:color="auto" w:fill="FFFFFF"/>
        <w:jc w:val="both"/>
        <w:rPr>
          <w:rFonts w:cs="Times New Roman"/>
          <w:color w:val="auto"/>
          <w:lang w:val="fr-CH"/>
        </w:rPr>
      </w:pPr>
      <w:r w:rsidRPr="005E1C1F">
        <w:rPr>
          <w:rFonts w:cs="Times New Roman"/>
          <w:color w:val="auto"/>
          <w:lang w:val="fr-CH"/>
        </w:rPr>
        <w:t>Quel est l'âge légal du consentement sexuel</w:t>
      </w:r>
      <w:r w:rsidR="005E1C1F">
        <w:rPr>
          <w:rFonts w:cs="Times New Roman"/>
          <w:color w:val="auto"/>
          <w:lang w:val="fr-CH"/>
        </w:rPr>
        <w:t xml:space="preserve"> </w:t>
      </w:r>
      <w:r w:rsidRPr="005E1C1F">
        <w:rPr>
          <w:rFonts w:cs="Times New Roman"/>
          <w:color w:val="auto"/>
          <w:lang w:val="fr-CH"/>
        </w:rPr>
        <w:t>?</w:t>
      </w:r>
    </w:p>
    <w:p w14:paraId="32BDC4A1" w14:textId="77777777" w:rsidR="008C40B6" w:rsidRDefault="008C40B6" w:rsidP="005E1C1F">
      <w:pPr>
        <w:pStyle w:val="BodyA"/>
        <w:shd w:val="clear" w:color="auto" w:fill="FFFFFF"/>
        <w:ind w:firstLine="360"/>
        <w:jc w:val="both"/>
        <w:rPr>
          <w:rFonts w:cs="Times New Roman"/>
          <w:lang w:val="fr-CH"/>
        </w:rPr>
      </w:pPr>
    </w:p>
    <w:p w14:paraId="430DE877" w14:textId="7B7AD802" w:rsidR="007E3D58" w:rsidRPr="005E1C1F" w:rsidRDefault="007E3D58" w:rsidP="005E1C1F">
      <w:pPr>
        <w:pStyle w:val="BodyA"/>
        <w:shd w:val="clear" w:color="auto" w:fill="FFFFFF"/>
        <w:ind w:firstLine="360"/>
        <w:jc w:val="both"/>
        <w:rPr>
          <w:rFonts w:cs="Times New Roman"/>
          <w:lang w:val="fr-CH"/>
        </w:rPr>
      </w:pPr>
      <w:r w:rsidRPr="005E1C1F">
        <w:rPr>
          <w:rFonts w:cs="Times New Roman"/>
          <w:lang w:val="fr-CH"/>
        </w:rPr>
        <w:t xml:space="preserve">La législation malagasy n’énonce pas explicitement l’âge légal du consentement sexuel. Cependant, à la lecture </w:t>
      </w:r>
      <w:r w:rsidR="00986426" w:rsidRPr="005E1C1F">
        <w:rPr>
          <w:rFonts w:cs="Times New Roman"/>
          <w:lang w:val="fr-CH"/>
        </w:rPr>
        <w:t xml:space="preserve">combinée </w:t>
      </w:r>
      <w:r w:rsidRPr="005E1C1F">
        <w:rPr>
          <w:rFonts w:cs="Times New Roman"/>
          <w:lang w:val="fr-CH"/>
        </w:rPr>
        <w:t xml:space="preserve">des articles </w:t>
      </w:r>
      <w:r w:rsidR="00DC0E5D" w:rsidRPr="005E1C1F">
        <w:rPr>
          <w:rFonts w:cs="Times New Roman"/>
          <w:lang w:val="fr-CH"/>
        </w:rPr>
        <w:t xml:space="preserve">331, 332 alinéa premier et 332 alinéa 3 du code pénal, on considère que l’âge légal du consentement sexuel est fixé à 15 ans. </w:t>
      </w:r>
    </w:p>
    <w:p w14:paraId="7F54945E" w14:textId="0094CE19" w:rsidR="00DC0E5D" w:rsidRPr="00FD0663" w:rsidRDefault="00DC0E5D" w:rsidP="007E3D58">
      <w:pPr>
        <w:pStyle w:val="BodyA"/>
        <w:shd w:val="clear" w:color="auto" w:fill="FFFFFF"/>
        <w:jc w:val="both"/>
        <w:rPr>
          <w:rFonts w:cs="Times New Roman"/>
          <w:lang w:val="fr-CH"/>
        </w:rPr>
      </w:pPr>
      <w:r w:rsidRPr="005E1C1F">
        <w:rPr>
          <w:rFonts w:cs="Times New Roman"/>
          <w:lang w:val="fr-CH"/>
        </w:rPr>
        <w:t>En effet, l’article 331 punit l’attentat à la pudeur sans violence commis sur un enfant de moins de quatorze ans d’un emprisonnement de 5 à 10 ans et d’une amende de 2 000 000 ariary à 10 000 000 ariary</w:t>
      </w:r>
      <w:r w:rsidR="005E1C1F">
        <w:rPr>
          <w:rStyle w:val="FootnoteReference"/>
          <w:rFonts w:cs="Times New Roman"/>
          <w:lang w:val="fr-CH"/>
        </w:rPr>
        <w:footnoteReference w:id="12"/>
      </w:r>
      <w:r w:rsidRPr="005E1C1F">
        <w:rPr>
          <w:rFonts w:cs="Times New Roman"/>
          <w:lang w:val="fr-CH"/>
        </w:rPr>
        <w:t>. L’article 332 alinéa premier quant à lui</w:t>
      </w:r>
      <w:r w:rsidR="005E1C1F">
        <w:rPr>
          <w:rFonts w:cs="Times New Roman"/>
          <w:lang w:val="fr-CH"/>
        </w:rPr>
        <w:t>,</w:t>
      </w:r>
      <w:r w:rsidRPr="005E1C1F">
        <w:rPr>
          <w:rFonts w:cs="Times New Roman"/>
          <w:lang w:val="fr-CH"/>
        </w:rPr>
        <w:t xml:space="preserve"> prévoit comme une circonstance aggravante le viol commis sur un enfant de moins de 15 ans. De même que l’article 332 alinéa 3</w:t>
      </w:r>
      <w:r w:rsidR="00986426" w:rsidRPr="005E1C1F">
        <w:rPr>
          <w:rFonts w:cs="Times New Roman"/>
          <w:lang w:val="fr-CH"/>
        </w:rPr>
        <w:t>,</w:t>
      </w:r>
      <w:r w:rsidRPr="005E1C1F">
        <w:rPr>
          <w:rFonts w:cs="Times New Roman"/>
          <w:lang w:val="fr-CH"/>
        </w:rPr>
        <w:t xml:space="preserve"> en matière d’attentat </w:t>
      </w:r>
      <w:r w:rsidR="00986426" w:rsidRPr="005E1C1F">
        <w:rPr>
          <w:rFonts w:cs="Times New Roman"/>
          <w:lang w:val="fr-CH"/>
        </w:rPr>
        <w:t xml:space="preserve">à la pudeur commis sur un enfant en dessous de l’âge de 15 ans, </w:t>
      </w:r>
      <w:r w:rsidR="005E1C1F">
        <w:rPr>
          <w:rFonts w:cs="Times New Roman"/>
          <w:lang w:val="fr-CH"/>
        </w:rPr>
        <w:t xml:space="preserve">qui </w:t>
      </w:r>
      <w:r w:rsidR="00986426" w:rsidRPr="005E1C1F">
        <w:rPr>
          <w:rFonts w:cs="Times New Roman"/>
          <w:lang w:val="fr-CH"/>
        </w:rPr>
        <w:t xml:space="preserve">prévoit </w:t>
      </w:r>
      <w:r w:rsidR="005E1C1F">
        <w:rPr>
          <w:rFonts w:cs="Times New Roman"/>
          <w:lang w:val="fr-CH"/>
        </w:rPr>
        <w:t>une</w:t>
      </w:r>
      <w:r w:rsidR="00986426" w:rsidRPr="005E1C1F">
        <w:rPr>
          <w:rFonts w:cs="Times New Roman"/>
          <w:lang w:val="fr-CH"/>
        </w:rPr>
        <w:t xml:space="preserve"> peine des travaux forcés à temps à l’encontre de son auteur</w:t>
      </w:r>
      <w:r w:rsidR="008C40B6">
        <w:rPr>
          <w:rStyle w:val="FootnoteReference"/>
          <w:rFonts w:cs="Times New Roman"/>
          <w:lang w:val="fr-CH"/>
        </w:rPr>
        <w:footnoteReference w:id="13"/>
      </w:r>
      <w:r w:rsidR="00986426" w:rsidRPr="005E1C1F">
        <w:rPr>
          <w:rFonts w:cs="Times New Roman"/>
          <w:lang w:val="fr-CH"/>
        </w:rPr>
        <w:t xml:space="preserve">. Il faut souligner que l’attentat à la pudeur sans violence sur un enfant au-dessus de l’âge de 15 ans n’est pas prévu par le code pénal, de telle sorte que la pratique </w:t>
      </w:r>
      <w:r w:rsidR="005E1C1F">
        <w:rPr>
          <w:rFonts w:cs="Times New Roman"/>
          <w:lang w:val="fr-CH"/>
        </w:rPr>
        <w:t xml:space="preserve">en </w:t>
      </w:r>
      <w:r w:rsidR="00986426" w:rsidRPr="005E1C1F">
        <w:rPr>
          <w:rFonts w:cs="Times New Roman"/>
          <w:lang w:val="fr-CH"/>
        </w:rPr>
        <w:t>a déduit l’âge du consentement sexuel à 15 ans.</w:t>
      </w:r>
      <w:r w:rsidR="00986426" w:rsidRPr="00FD0663">
        <w:rPr>
          <w:rFonts w:cs="Times New Roman"/>
          <w:lang w:val="fr-CH"/>
        </w:rPr>
        <w:t xml:space="preserve"> </w:t>
      </w:r>
    </w:p>
    <w:p w14:paraId="5E61734A" w14:textId="5B90B972" w:rsidR="00986426" w:rsidRPr="00FD0663" w:rsidRDefault="00986426" w:rsidP="007E3D58">
      <w:pPr>
        <w:pStyle w:val="BodyA"/>
        <w:shd w:val="clear" w:color="auto" w:fill="FFFFFF"/>
        <w:jc w:val="both"/>
        <w:rPr>
          <w:rFonts w:cs="Times New Roman"/>
          <w:lang w:val="fr-CH"/>
        </w:rPr>
      </w:pPr>
    </w:p>
    <w:p w14:paraId="5A2722E7" w14:textId="77777777" w:rsidR="00986426" w:rsidRPr="00FD0663" w:rsidRDefault="00986426" w:rsidP="007E3D58">
      <w:pPr>
        <w:pStyle w:val="BodyA"/>
        <w:shd w:val="clear" w:color="auto" w:fill="FFFFFF"/>
        <w:jc w:val="both"/>
        <w:rPr>
          <w:rFonts w:cs="Times New Roman"/>
          <w:b/>
          <w:bCs/>
          <w:lang w:val="fr-CH"/>
        </w:rPr>
      </w:pPr>
    </w:p>
    <w:p w14:paraId="6216A218" w14:textId="77777777" w:rsidR="008E6CD2" w:rsidRPr="00FD0663" w:rsidRDefault="008E6CD2" w:rsidP="00B441E1">
      <w:pPr>
        <w:pStyle w:val="BodyA"/>
        <w:shd w:val="clear" w:color="auto" w:fill="FFFFFF"/>
        <w:ind w:left="720"/>
        <w:jc w:val="both"/>
        <w:rPr>
          <w:rFonts w:cs="Times New Roman"/>
          <w:lang w:val="fr-CH"/>
        </w:rPr>
      </w:pPr>
    </w:p>
    <w:p w14:paraId="22BB5940" w14:textId="3BF5D3A1" w:rsidR="004E6CFF" w:rsidRPr="004E6CFF" w:rsidRDefault="008E6CD2" w:rsidP="004E6CFF">
      <w:pPr>
        <w:pStyle w:val="BodyA"/>
        <w:numPr>
          <w:ilvl w:val="0"/>
          <w:numId w:val="1"/>
        </w:numPr>
        <w:shd w:val="clear" w:color="auto" w:fill="FFFFFF"/>
        <w:jc w:val="both"/>
        <w:rPr>
          <w:rFonts w:cs="Times New Roman"/>
          <w:color w:val="auto"/>
          <w:lang w:val="fr-CH"/>
        </w:rPr>
      </w:pPr>
      <w:r w:rsidRPr="004E6CFF">
        <w:rPr>
          <w:rFonts w:cs="Times New Roman"/>
          <w:color w:val="auto"/>
          <w:lang w:val="fr-CH"/>
        </w:rPr>
        <w:t>Existe-t-il des dispositions qui différencient l'activité sexuelle entre pairs</w:t>
      </w:r>
      <w:r w:rsidR="004E6CFF">
        <w:rPr>
          <w:rFonts w:cs="Times New Roman"/>
          <w:color w:val="auto"/>
          <w:lang w:val="fr-CH"/>
        </w:rPr>
        <w:t xml:space="preserve"> </w:t>
      </w:r>
      <w:r w:rsidRPr="004E6CFF">
        <w:rPr>
          <w:rFonts w:cs="Times New Roman"/>
          <w:color w:val="auto"/>
          <w:lang w:val="fr-CH"/>
        </w:rPr>
        <w:t xml:space="preserve">? </w:t>
      </w:r>
      <w:r w:rsidR="00D60FFD" w:rsidRPr="004E6CFF">
        <w:rPr>
          <w:rFonts w:cs="Times New Roman"/>
          <w:color w:val="auto"/>
          <w:lang w:val="fr-CH"/>
        </w:rPr>
        <w:t>Si c’est le cas</w:t>
      </w:r>
      <w:r w:rsidRPr="004E6CFF">
        <w:rPr>
          <w:rFonts w:cs="Times New Roman"/>
          <w:color w:val="auto"/>
          <w:lang w:val="fr-CH"/>
        </w:rPr>
        <w:t>, veuillez les fournir.</w:t>
      </w:r>
    </w:p>
    <w:p w14:paraId="06B2C8F4" w14:textId="49BFC835" w:rsidR="00890E36" w:rsidRPr="00FD0663" w:rsidRDefault="00890E36" w:rsidP="00890E36">
      <w:pPr>
        <w:pStyle w:val="BodyA"/>
        <w:shd w:val="clear" w:color="auto" w:fill="FFFFFF"/>
        <w:ind w:left="720"/>
        <w:jc w:val="both"/>
        <w:rPr>
          <w:rFonts w:cs="Times New Roman"/>
          <w:color w:val="auto"/>
          <w:lang w:val="fr-CH"/>
        </w:rPr>
      </w:pPr>
      <w:r w:rsidRPr="004E6CFF">
        <w:rPr>
          <w:rFonts w:cs="Times New Roman"/>
          <w:color w:val="auto"/>
          <w:lang w:val="fr-CH"/>
        </w:rPr>
        <w:t>NON</w:t>
      </w:r>
    </w:p>
    <w:p w14:paraId="7CB6A9F5" w14:textId="77777777" w:rsidR="008E6CD2" w:rsidRPr="00FD0663" w:rsidRDefault="008E6CD2" w:rsidP="00B441E1">
      <w:pPr>
        <w:pStyle w:val="BodyA"/>
        <w:shd w:val="clear" w:color="auto" w:fill="FFFFFF"/>
        <w:ind w:left="720"/>
        <w:jc w:val="both"/>
        <w:rPr>
          <w:rFonts w:cs="Times New Roman"/>
          <w:color w:val="5B9BD5" w:themeColor="accent1"/>
          <w:lang w:val="fr-CH"/>
        </w:rPr>
      </w:pPr>
    </w:p>
    <w:p w14:paraId="06A3122B" w14:textId="139118CB" w:rsidR="008E6CD2" w:rsidRDefault="00D60FFD" w:rsidP="00B441E1">
      <w:pPr>
        <w:pStyle w:val="BodyA"/>
        <w:numPr>
          <w:ilvl w:val="0"/>
          <w:numId w:val="1"/>
        </w:numPr>
        <w:shd w:val="clear" w:color="auto" w:fill="FFFFFF"/>
        <w:jc w:val="both"/>
        <w:rPr>
          <w:rFonts w:cs="Times New Roman"/>
          <w:color w:val="auto"/>
          <w:lang w:val="fr-CH"/>
        </w:rPr>
      </w:pPr>
      <w:r w:rsidRPr="004E6CFF">
        <w:rPr>
          <w:rFonts w:cs="Times New Roman"/>
          <w:color w:val="auto"/>
          <w:lang w:val="fr-CH"/>
        </w:rPr>
        <w:t>Veuillez f</w:t>
      </w:r>
      <w:r w:rsidR="008E6CD2" w:rsidRPr="004E6CFF">
        <w:rPr>
          <w:rFonts w:cs="Times New Roman"/>
          <w:color w:val="auto"/>
          <w:lang w:val="fr-CH"/>
        </w:rPr>
        <w:t xml:space="preserve">ournir des informations sur les sanctions pénales prescrites et la durée de ces sanctions </w:t>
      </w:r>
      <w:r w:rsidRPr="004E6CFF">
        <w:rPr>
          <w:rFonts w:cs="Times New Roman"/>
          <w:color w:val="auto"/>
          <w:lang w:val="fr-CH"/>
        </w:rPr>
        <w:t xml:space="preserve">pénales pour les formes de viol </w:t>
      </w:r>
      <w:r w:rsidR="008E6CD2" w:rsidRPr="004E6CFF">
        <w:rPr>
          <w:rFonts w:cs="Times New Roman"/>
          <w:color w:val="auto"/>
          <w:lang w:val="fr-CH"/>
        </w:rPr>
        <w:t>crimin</w:t>
      </w:r>
      <w:r w:rsidRPr="004E6CFF">
        <w:rPr>
          <w:rFonts w:cs="Times New Roman"/>
          <w:color w:val="auto"/>
          <w:lang w:val="fr-CH"/>
        </w:rPr>
        <w:t>alis</w:t>
      </w:r>
      <w:r w:rsidR="008E6CD2" w:rsidRPr="004E6CFF">
        <w:rPr>
          <w:rFonts w:cs="Times New Roman"/>
          <w:color w:val="auto"/>
          <w:lang w:val="fr-CH"/>
        </w:rPr>
        <w:t>ées.</w:t>
      </w:r>
    </w:p>
    <w:p w14:paraId="4070DE7D" w14:textId="77777777" w:rsidR="004E6CFF" w:rsidRPr="004E6CFF" w:rsidRDefault="004E6CFF" w:rsidP="004E6CFF">
      <w:pPr>
        <w:pStyle w:val="BodyA"/>
        <w:shd w:val="clear" w:color="auto" w:fill="FFFFFF"/>
        <w:jc w:val="both"/>
        <w:rPr>
          <w:rFonts w:cs="Times New Roman"/>
          <w:color w:val="auto"/>
          <w:lang w:val="fr-CH"/>
        </w:rPr>
      </w:pPr>
    </w:p>
    <w:p w14:paraId="28671D7B" w14:textId="36332453" w:rsidR="00890E36" w:rsidRPr="00FD0663" w:rsidRDefault="00890E36" w:rsidP="00186B32">
      <w:pPr>
        <w:pStyle w:val="BodyA"/>
        <w:numPr>
          <w:ilvl w:val="0"/>
          <w:numId w:val="2"/>
        </w:numPr>
        <w:shd w:val="clear" w:color="auto" w:fill="FFFFFF"/>
        <w:jc w:val="both"/>
        <w:rPr>
          <w:rFonts w:cs="Times New Roman"/>
          <w:color w:val="auto"/>
          <w:lang w:val="fr-CH"/>
        </w:rPr>
      </w:pPr>
      <w:r w:rsidRPr="00FD0663">
        <w:rPr>
          <w:rFonts w:cs="Times New Roman"/>
          <w:color w:val="auto"/>
          <w:lang w:val="fr-CH"/>
        </w:rPr>
        <w:t>Le délit de viol est sanctionné d’une peine de cinq à dix ans d’emprisonnement (article 332 alinéa 2 du Code pénal)</w:t>
      </w:r>
    </w:p>
    <w:p w14:paraId="63056482" w14:textId="07E1AF92" w:rsidR="00186B32" w:rsidRPr="00FD0663" w:rsidRDefault="00186B32" w:rsidP="00186B32">
      <w:pPr>
        <w:pStyle w:val="BodyA"/>
        <w:numPr>
          <w:ilvl w:val="0"/>
          <w:numId w:val="2"/>
        </w:numPr>
        <w:shd w:val="clear" w:color="auto" w:fill="FFFFFF"/>
        <w:jc w:val="both"/>
        <w:rPr>
          <w:rFonts w:cs="Times New Roman"/>
          <w:color w:val="auto"/>
          <w:lang w:val="fr-CH"/>
        </w:rPr>
      </w:pPr>
      <w:r w:rsidRPr="00FD0663">
        <w:rPr>
          <w:rFonts w:cs="Times New Roman"/>
          <w:color w:val="auto"/>
          <w:lang w:val="fr-CH"/>
        </w:rPr>
        <w:t>Dans le cas d’un crime de viol :</w:t>
      </w:r>
    </w:p>
    <w:p w14:paraId="7819232A" w14:textId="14F97455" w:rsidR="00186B32" w:rsidRPr="00FD0663" w:rsidRDefault="00186B32" w:rsidP="00186B32">
      <w:pPr>
        <w:pStyle w:val="BodyA"/>
        <w:numPr>
          <w:ilvl w:val="0"/>
          <w:numId w:val="3"/>
        </w:numPr>
        <w:shd w:val="clear" w:color="auto" w:fill="FFFFFF"/>
        <w:jc w:val="both"/>
        <w:rPr>
          <w:rFonts w:cs="Times New Roman"/>
          <w:color w:val="auto"/>
          <w:lang w:val="fr-CH"/>
        </w:rPr>
      </w:pPr>
      <w:r w:rsidRPr="00FD0663">
        <w:rPr>
          <w:rFonts w:cs="Times New Roman"/>
          <w:color w:val="auto"/>
          <w:lang w:val="fr-CH"/>
        </w:rPr>
        <w:t>La peine est celle des travaux forcés à temps lorsque la victime est âgée de moins de 15 ans ou en état de grossesse apparente ou connue de son auteur (article 332 alinéa 1)</w:t>
      </w:r>
    </w:p>
    <w:p w14:paraId="40F0A464" w14:textId="77A5BCE6" w:rsidR="00186B32" w:rsidRPr="00FD0663" w:rsidRDefault="00186B32" w:rsidP="00186B32">
      <w:pPr>
        <w:pStyle w:val="BodyA"/>
        <w:numPr>
          <w:ilvl w:val="0"/>
          <w:numId w:val="3"/>
        </w:numPr>
        <w:shd w:val="clear" w:color="auto" w:fill="FFFFFF"/>
        <w:jc w:val="both"/>
        <w:rPr>
          <w:rFonts w:cs="Times New Roman"/>
          <w:color w:val="auto"/>
          <w:lang w:val="fr-CH"/>
        </w:rPr>
      </w:pPr>
      <w:r w:rsidRPr="00FD0663">
        <w:rPr>
          <w:rFonts w:cs="Times New Roman"/>
          <w:color w:val="auto"/>
          <w:lang w:val="fr-CH"/>
        </w:rPr>
        <w:t xml:space="preserve">La peine est celle des travaux forcés à perpétuité </w:t>
      </w:r>
      <w:r w:rsidR="00732601" w:rsidRPr="00FD0663">
        <w:rPr>
          <w:rFonts w:cs="Times New Roman"/>
          <w:color w:val="auto"/>
          <w:lang w:val="fr-CH"/>
        </w:rPr>
        <w:t>lorsque le viol a été commis sur un enfant âgé de 15 ans ou sur une femme enceinte en état de grossesse apparente ou connue de son auteur</w:t>
      </w:r>
      <w:r w:rsidR="008A693E" w:rsidRPr="00FD0663">
        <w:rPr>
          <w:rFonts w:cs="Times New Roman"/>
          <w:color w:val="auto"/>
          <w:lang w:val="fr-CH"/>
        </w:rPr>
        <w:t>,</w:t>
      </w:r>
      <w:r w:rsidR="00732601" w:rsidRPr="00FD0663">
        <w:rPr>
          <w:rFonts w:cs="Times New Roman"/>
          <w:color w:val="auto"/>
          <w:lang w:val="fr-CH"/>
        </w:rPr>
        <w:t xml:space="preserve"> lorsque ce dernier est l’ascendant de la victime, de la classe de ceux qui </w:t>
      </w:r>
      <w:r w:rsidR="008A693E" w:rsidRPr="00FD0663">
        <w:rPr>
          <w:rFonts w:cs="Times New Roman"/>
          <w:color w:val="auto"/>
          <w:lang w:val="fr-CH"/>
        </w:rPr>
        <w:t>a</w:t>
      </w:r>
      <w:r w:rsidR="00732601" w:rsidRPr="00FD0663">
        <w:rPr>
          <w:rFonts w:cs="Times New Roman"/>
          <w:color w:val="auto"/>
          <w:lang w:val="fr-CH"/>
        </w:rPr>
        <w:t xml:space="preserve"> autorité sur ell</w:t>
      </w:r>
      <w:r w:rsidR="008A693E" w:rsidRPr="00FD0663">
        <w:rPr>
          <w:rFonts w:cs="Times New Roman"/>
          <w:color w:val="auto"/>
          <w:lang w:val="fr-CH"/>
        </w:rPr>
        <w:t>e, son instituteur, serviteur à gages ou serviteurs à gages de ce</w:t>
      </w:r>
      <w:r w:rsidR="000F18FE" w:rsidRPr="00FD0663">
        <w:rPr>
          <w:rFonts w:cs="Times New Roman"/>
          <w:color w:val="auto"/>
          <w:lang w:val="fr-CH"/>
        </w:rPr>
        <w:t>lui-ci, lorsque l’auteur du viol est un fonctionnaire, Ministre de cultes ou qu’il a été aidé dans son crime par une ou plusieurs personnes (article 333).</w:t>
      </w:r>
    </w:p>
    <w:p w14:paraId="2C4CB453" w14:textId="45144AD6" w:rsidR="000F18FE" w:rsidRPr="00FD0663" w:rsidRDefault="000F18FE" w:rsidP="00186B32">
      <w:pPr>
        <w:pStyle w:val="BodyA"/>
        <w:numPr>
          <w:ilvl w:val="0"/>
          <w:numId w:val="3"/>
        </w:numPr>
        <w:shd w:val="clear" w:color="auto" w:fill="FFFFFF"/>
        <w:jc w:val="both"/>
        <w:rPr>
          <w:rFonts w:cs="Times New Roman"/>
          <w:color w:val="auto"/>
          <w:lang w:val="fr-CH"/>
        </w:rPr>
      </w:pPr>
      <w:r w:rsidRPr="00FD0663">
        <w:rPr>
          <w:rFonts w:cs="Times New Roman"/>
          <w:color w:val="auto"/>
          <w:lang w:val="fr-CH"/>
        </w:rPr>
        <w:t>La peine est celle des travaux forcés à temps dans le cas du viol prévu à l’article 332 alinéa 2 (peine de cinq à dix ans d’emprisonnement) lorsque son auteur est un ascendant de la victime, de la classe de ceux qui a autorité sur elle, son instituteur, serviteur à gages ou serviteurs à gages de celui-ci, un fon</w:t>
      </w:r>
      <w:r w:rsidR="0053677C" w:rsidRPr="00FD0663">
        <w:rPr>
          <w:rFonts w:cs="Times New Roman"/>
          <w:color w:val="auto"/>
          <w:lang w:val="fr-CH"/>
        </w:rPr>
        <w:t>c</w:t>
      </w:r>
      <w:r w:rsidRPr="00FD0663">
        <w:rPr>
          <w:rFonts w:cs="Times New Roman"/>
          <w:color w:val="auto"/>
          <w:lang w:val="fr-CH"/>
        </w:rPr>
        <w:t>tionnaire, Ministre de culte, lor</w:t>
      </w:r>
      <w:r w:rsidR="0053677C" w:rsidRPr="00FD0663">
        <w:rPr>
          <w:rFonts w:cs="Times New Roman"/>
          <w:color w:val="auto"/>
          <w:lang w:val="fr-CH"/>
        </w:rPr>
        <w:t>s</w:t>
      </w:r>
      <w:r w:rsidRPr="00FD0663">
        <w:rPr>
          <w:rFonts w:cs="Times New Roman"/>
          <w:color w:val="auto"/>
          <w:lang w:val="fr-CH"/>
        </w:rPr>
        <w:t xml:space="preserve">qu’il </w:t>
      </w:r>
      <w:r w:rsidR="0053677C" w:rsidRPr="00FD0663">
        <w:rPr>
          <w:rFonts w:cs="Times New Roman"/>
          <w:color w:val="auto"/>
          <w:lang w:val="fr-CH"/>
        </w:rPr>
        <w:t>a été aidé</w:t>
      </w:r>
      <w:r w:rsidRPr="00FD0663">
        <w:rPr>
          <w:rFonts w:cs="Times New Roman"/>
          <w:color w:val="auto"/>
          <w:lang w:val="fr-CH"/>
        </w:rPr>
        <w:t xml:space="preserve"> dans son crime par une ou plusieurs personnes (article 333).</w:t>
      </w:r>
    </w:p>
    <w:p w14:paraId="2F1D144E" w14:textId="77777777" w:rsidR="00890E36" w:rsidRPr="00FD0663" w:rsidRDefault="00890E36" w:rsidP="00890E36">
      <w:pPr>
        <w:pStyle w:val="BodyA"/>
        <w:shd w:val="clear" w:color="auto" w:fill="FFFFFF"/>
        <w:ind w:left="720"/>
        <w:jc w:val="both"/>
        <w:rPr>
          <w:rFonts w:cs="Times New Roman"/>
          <w:color w:val="auto"/>
          <w:lang w:val="fr-CH"/>
        </w:rPr>
      </w:pPr>
    </w:p>
    <w:p w14:paraId="38FCC055" w14:textId="77777777" w:rsidR="008E6CD2" w:rsidRPr="00FD0663" w:rsidRDefault="008E6CD2" w:rsidP="00B441E1">
      <w:pPr>
        <w:pStyle w:val="BodyA"/>
        <w:shd w:val="clear" w:color="auto" w:fill="FFFFFF"/>
        <w:ind w:left="720"/>
        <w:jc w:val="both"/>
        <w:rPr>
          <w:rFonts w:cs="Times New Roman"/>
          <w:lang w:val="fr-CH"/>
        </w:rPr>
      </w:pPr>
    </w:p>
    <w:p w14:paraId="536B4602" w14:textId="145E6AB4" w:rsidR="008E6CD2" w:rsidRDefault="008E6CD2" w:rsidP="00B441E1">
      <w:pPr>
        <w:pStyle w:val="BodyA"/>
        <w:numPr>
          <w:ilvl w:val="0"/>
          <w:numId w:val="1"/>
        </w:numPr>
        <w:shd w:val="clear" w:color="auto" w:fill="FFFFFF"/>
        <w:jc w:val="both"/>
        <w:rPr>
          <w:rFonts w:cs="Times New Roman"/>
          <w:color w:val="auto"/>
          <w:lang w:val="fr-CH"/>
        </w:rPr>
      </w:pPr>
      <w:r w:rsidRPr="004E6CFF">
        <w:rPr>
          <w:rFonts w:cs="Times New Roman"/>
          <w:color w:val="auto"/>
          <w:lang w:val="fr-CH"/>
        </w:rPr>
        <w:t xml:space="preserve">Que prévoit la législation de votre pays en matière de réparation pour la victime de viol </w:t>
      </w:r>
      <w:r w:rsidR="008F3D4D" w:rsidRPr="004E6CFF">
        <w:rPr>
          <w:rFonts w:cs="Times New Roman"/>
          <w:color w:val="auto"/>
          <w:lang w:val="fr-CH"/>
        </w:rPr>
        <w:t>-</w:t>
      </w:r>
      <w:r w:rsidRPr="004E6CFF">
        <w:rPr>
          <w:rFonts w:cs="Times New Roman"/>
          <w:color w:val="auto"/>
          <w:lang w:val="fr-CH"/>
        </w:rPr>
        <w:t>et / ou de violences sexuelles après condamnation de l'auteur</w:t>
      </w:r>
      <w:r w:rsidR="004E6CFF">
        <w:rPr>
          <w:rFonts w:cs="Times New Roman"/>
          <w:color w:val="auto"/>
          <w:lang w:val="fr-CH"/>
        </w:rPr>
        <w:t xml:space="preserve"> </w:t>
      </w:r>
      <w:r w:rsidRPr="004E6CFF">
        <w:rPr>
          <w:rFonts w:cs="Times New Roman"/>
          <w:color w:val="auto"/>
          <w:lang w:val="fr-CH"/>
        </w:rPr>
        <w:t>?</w:t>
      </w:r>
    </w:p>
    <w:p w14:paraId="05302BCD" w14:textId="77777777" w:rsidR="004E6CFF" w:rsidRPr="004E6CFF" w:rsidRDefault="004E6CFF" w:rsidP="004E6CFF">
      <w:pPr>
        <w:pStyle w:val="BodyA"/>
        <w:shd w:val="clear" w:color="auto" w:fill="FFFFFF"/>
        <w:jc w:val="both"/>
        <w:rPr>
          <w:rFonts w:cs="Times New Roman"/>
          <w:color w:val="auto"/>
          <w:lang w:val="fr-CH"/>
        </w:rPr>
      </w:pPr>
    </w:p>
    <w:p w14:paraId="33C37BA0" w14:textId="1F70C7EE" w:rsidR="009C7513" w:rsidRPr="00FD0663" w:rsidRDefault="009C7513" w:rsidP="004E6CFF">
      <w:pPr>
        <w:pStyle w:val="BodyA"/>
        <w:shd w:val="clear" w:color="auto" w:fill="FFFFFF"/>
        <w:ind w:left="720" w:firstLine="720"/>
        <w:jc w:val="both"/>
        <w:rPr>
          <w:rFonts w:cs="Times New Roman"/>
          <w:color w:val="auto"/>
          <w:lang w:val="fr-CH"/>
        </w:rPr>
      </w:pPr>
      <w:r w:rsidRPr="00FD0663">
        <w:rPr>
          <w:rFonts w:cs="Times New Roman"/>
          <w:color w:val="auto"/>
          <w:lang w:val="fr-CH"/>
        </w:rPr>
        <w:t>En ce qui concerne les cas de viol prévus aux articles 332 et suivant du code pénal, la législation malagasy ne prévoit pas de disposition spécifique e</w:t>
      </w:r>
      <w:r w:rsidR="004E6CFF">
        <w:rPr>
          <w:rFonts w:cs="Times New Roman"/>
          <w:color w:val="auto"/>
          <w:lang w:val="fr-CH"/>
        </w:rPr>
        <w:t>n</w:t>
      </w:r>
      <w:r w:rsidRPr="00FD0663">
        <w:rPr>
          <w:rFonts w:cs="Times New Roman"/>
          <w:color w:val="auto"/>
          <w:lang w:val="fr-CH"/>
        </w:rPr>
        <w:t xml:space="preserve"> matière de réparation pour la victime.</w:t>
      </w:r>
    </w:p>
    <w:p w14:paraId="0EBB90E7" w14:textId="7E7DE94C" w:rsidR="009C7513" w:rsidRPr="00FD0663" w:rsidRDefault="004E6CFF" w:rsidP="00DC6DB0">
      <w:pPr>
        <w:pStyle w:val="BodyA"/>
        <w:shd w:val="clear" w:color="auto" w:fill="FFFFFF"/>
        <w:ind w:left="720" w:firstLine="720"/>
        <w:jc w:val="both"/>
        <w:rPr>
          <w:rFonts w:cs="Times New Roman"/>
          <w:color w:val="auto"/>
          <w:lang w:val="fr-CH"/>
        </w:rPr>
      </w:pPr>
      <w:r>
        <w:rPr>
          <w:rFonts w:cs="Times New Roman"/>
          <w:color w:val="auto"/>
          <w:lang w:val="fr-CH"/>
        </w:rPr>
        <w:t>Par contre, lorsqu’il s’agit d’un</w:t>
      </w:r>
      <w:r w:rsidR="008F3D4D" w:rsidRPr="00FD0663">
        <w:rPr>
          <w:rFonts w:cs="Times New Roman"/>
          <w:color w:val="auto"/>
          <w:lang w:val="fr-CH"/>
        </w:rPr>
        <w:t xml:space="preserve"> viol conjugal, la Loi n°2019-008 du 16--.01.2020 sur la lutte contre les Violences Basées sur le Genre prévoit en son article 14 une prise en charge </w:t>
      </w:r>
      <w:r w:rsidR="0073720A" w:rsidRPr="00FD0663">
        <w:rPr>
          <w:rFonts w:cs="Times New Roman"/>
          <w:color w:val="auto"/>
          <w:lang w:val="fr-CH"/>
        </w:rPr>
        <w:t>sanitaire, psychosociale, ainsi qu’un accompagnement juridico-judiciaire des victimes par l’Etat</w:t>
      </w:r>
      <w:r>
        <w:rPr>
          <w:rStyle w:val="FootnoteReference"/>
          <w:rFonts w:cs="Times New Roman"/>
          <w:color w:val="auto"/>
          <w:lang w:val="fr-CH"/>
        </w:rPr>
        <w:footnoteReference w:id="14"/>
      </w:r>
      <w:r w:rsidR="0073720A" w:rsidRPr="00FD0663">
        <w:rPr>
          <w:rFonts w:cs="Times New Roman"/>
          <w:color w:val="auto"/>
          <w:lang w:val="fr-CH"/>
        </w:rPr>
        <w:t>.</w:t>
      </w:r>
    </w:p>
    <w:p w14:paraId="5CB6E261" w14:textId="4275C9E3" w:rsidR="00235E2D" w:rsidRPr="00235E2D" w:rsidRDefault="00DC6DB0" w:rsidP="00DC6DB0">
      <w:pPr>
        <w:pStyle w:val="BodyA"/>
        <w:shd w:val="clear" w:color="auto" w:fill="FFFFFF"/>
        <w:ind w:left="720" w:firstLine="720"/>
        <w:jc w:val="both"/>
        <w:rPr>
          <w:rFonts w:cs="Times New Roman"/>
        </w:rPr>
      </w:pPr>
      <w:r>
        <w:rPr>
          <w:rFonts w:cs="Times New Roman"/>
          <w:color w:val="auto"/>
          <w:lang w:val="fr-CH"/>
        </w:rPr>
        <w:t>La loi sur la lutte contre la traite des êtres humains prévoit également un régime spécifique en matière de réparation pour la victime. En effet, s</w:t>
      </w:r>
      <w:r w:rsidR="00235E2D" w:rsidRPr="00235E2D">
        <w:rPr>
          <w:rFonts w:cs="Times New Roman"/>
        </w:rPr>
        <w:t>elon l’article 44 de la loi n° 2014 -040 du 20 janvier 2015 sur la lutte contre la traite des êtres humains, « L’Etat garantit à la victime d’une traite le droit de recours pour obtenir réparation. La victime est indemnisée équitablement et de manière adéquate y compris les soins médicaux et les moyens nécessaires à sa réadaptation sociale ».</w:t>
      </w:r>
    </w:p>
    <w:p w14:paraId="116FBCDB" w14:textId="06ACE3EC" w:rsidR="00DC6DB0" w:rsidRDefault="00DC6DB0" w:rsidP="00B441E1">
      <w:pPr>
        <w:pStyle w:val="BodyA"/>
        <w:shd w:val="clear" w:color="auto" w:fill="FFFFFF"/>
        <w:ind w:left="720"/>
        <w:jc w:val="both"/>
        <w:rPr>
          <w:rFonts w:cs="Times New Roman"/>
          <w:color w:val="5B9BD5" w:themeColor="accent1"/>
          <w:lang w:val="fr-CH"/>
        </w:rPr>
      </w:pPr>
    </w:p>
    <w:p w14:paraId="31B0775A" w14:textId="77777777" w:rsidR="00DC6DB0" w:rsidRPr="00FD0663" w:rsidRDefault="00DC6DB0" w:rsidP="00B441E1">
      <w:pPr>
        <w:pStyle w:val="BodyA"/>
        <w:shd w:val="clear" w:color="auto" w:fill="FFFFFF"/>
        <w:ind w:left="720"/>
        <w:jc w:val="both"/>
        <w:rPr>
          <w:rFonts w:cs="Times New Roman"/>
          <w:color w:val="5B9BD5" w:themeColor="accent1"/>
          <w:lang w:val="fr-CH"/>
        </w:rPr>
      </w:pPr>
    </w:p>
    <w:p w14:paraId="70664BDF" w14:textId="77777777" w:rsidR="00DC6DB0" w:rsidRDefault="00DC6DB0" w:rsidP="00B441E1">
      <w:pPr>
        <w:pStyle w:val="BodyA"/>
        <w:shd w:val="clear" w:color="auto" w:fill="FFFFFF"/>
        <w:jc w:val="both"/>
        <w:rPr>
          <w:rFonts w:cs="Times New Roman"/>
          <w:b/>
          <w:color w:val="auto"/>
          <w:lang w:val="fr-CH"/>
        </w:rPr>
      </w:pPr>
    </w:p>
    <w:p w14:paraId="50133DB9" w14:textId="1F799709" w:rsidR="00D60FFD" w:rsidRDefault="00D60FFD" w:rsidP="00B441E1">
      <w:pPr>
        <w:pStyle w:val="BodyA"/>
        <w:shd w:val="clear" w:color="auto" w:fill="FFFFFF"/>
        <w:jc w:val="both"/>
        <w:rPr>
          <w:rFonts w:cs="Times New Roman"/>
          <w:b/>
          <w:color w:val="auto"/>
          <w:lang w:val="fr-CH"/>
        </w:rPr>
      </w:pPr>
      <w:r w:rsidRPr="00DC6DB0">
        <w:rPr>
          <w:rFonts w:cs="Times New Roman"/>
          <w:b/>
          <w:color w:val="auto"/>
          <w:lang w:val="fr-CH"/>
        </w:rPr>
        <w:t>Circonstances aggravantes et atténuantes</w:t>
      </w:r>
    </w:p>
    <w:p w14:paraId="16A3F2D6" w14:textId="77777777" w:rsidR="00DC6DB0" w:rsidRPr="00DC6DB0" w:rsidRDefault="00DC6DB0" w:rsidP="00B441E1">
      <w:pPr>
        <w:pStyle w:val="BodyA"/>
        <w:shd w:val="clear" w:color="auto" w:fill="FFFFFF"/>
        <w:jc w:val="both"/>
        <w:rPr>
          <w:rFonts w:cs="Times New Roman"/>
          <w:b/>
          <w:color w:val="auto"/>
          <w:lang w:val="fr-CH"/>
        </w:rPr>
      </w:pPr>
    </w:p>
    <w:p w14:paraId="0D33CFFB" w14:textId="53CC690E" w:rsidR="00D60FFD" w:rsidRPr="00DC6DB0" w:rsidRDefault="00D60FFD" w:rsidP="00B441E1">
      <w:pPr>
        <w:pStyle w:val="BodyA"/>
        <w:numPr>
          <w:ilvl w:val="0"/>
          <w:numId w:val="1"/>
        </w:numPr>
        <w:shd w:val="clear" w:color="auto" w:fill="FFFFFF"/>
        <w:jc w:val="both"/>
        <w:rPr>
          <w:rFonts w:cs="Times New Roman"/>
          <w:color w:val="auto"/>
          <w:lang w:val="fr-CH"/>
        </w:rPr>
      </w:pPr>
      <w:r w:rsidRPr="00DC6DB0">
        <w:rPr>
          <w:rFonts w:cs="Times New Roman"/>
          <w:color w:val="auto"/>
          <w:lang w:val="fr-CH"/>
        </w:rPr>
        <w:t>La loi prévoit-elle des circonstances aggravantes lors de la condamnation des cas de viol</w:t>
      </w:r>
      <w:r w:rsidR="00DC6DB0">
        <w:rPr>
          <w:rFonts w:cs="Times New Roman"/>
          <w:color w:val="auto"/>
          <w:lang w:val="fr-CH"/>
        </w:rPr>
        <w:t xml:space="preserve"> </w:t>
      </w:r>
      <w:r w:rsidRPr="00DC6DB0">
        <w:rPr>
          <w:rFonts w:cs="Times New Roman"/>
          <w:color w:val="auto"/>
          <w:lang w:val="fr-CH"/>
        </w:rPr>
        <w:t>? Si c’est le cas, que sont-ils</w:t>
      </w:r>
      <w:r w:rsidR="00DC6DB0">
        <w:rPr>
          <w:rFonts w:cs="Times New Roman"/>
          <w:color w:val="auto"/>
          <w:lang w:val="fr-CH"/>
        </w:rPr>
        <w:t xml:space="preserve"> </w:t>
      </w:r>
      <w:r w:rsidRPr="00DC6DB0">
        <w:rPr>
          <w:rFonts w:cs="Times New Roman"/>
          <w:color w:val="auto"/>
          <w:lang w:val="fr-CH"/>
        </w:rPr>
        <w:t>?</w:t>
      </w:r>
    </w:p>
    <w:p w14:paraId="17BE87A2" w14:textId="2AA7C8EC" w:rsidR="00D60FFD" w:rsidRPr="00FD0663" w:rsidRDefault="00D60FFD" w:rsidP="00B441E1">
      <w:pPr>
        <w:pStyle w:val="BodyA"/>
        <w:shd w:val="clear" w:color="auto" w:fill="FFFFFF"/>
        <w:ind w:left="1440" w:hanging="720"/>
        <w:jc w:val="both"/>
        <w:rPr>
          <w:rFonts w:cs="Times New Roman"/>
          <w:lang w:val="fr-CH"/>
        </w:rPr>
      </w:pPr>
      <w:r w:rsidRPr="00FD0663">
        <w:rPr>
          <w:rFonts w:cs="Times New Roman"/>
          <w:lang w:val="fr-CH"/>
        </w:rPr>
        <w:t xml:space="preserve">a. </w:t>
      </w:r>
      <w:r w:rsidR="00B441E1" w:rsidRPr="00FD0663">
        <w:rPr>
          <w:rFonts w:cs="Times New Roman"/>
          <w:lang w:val="fr-CH"/>
        </w:rPr>
        <w:tab/>
      </w:r>
      <w:r w:rsidRPr="00FD0663">
        <w:rPr>
          <w:rFonts w:cs="Times New Roman"/>
          <w:lang w:val="fr-CH"/>
        </w:rPr>
        <w:t>Le viol commis par plusieurs auteurs est-il une circonstance aggravante</w:t>
      </w:r>
      <w:r w:rsidR="00DC6DB0">
        <w:rPr>
          <w:rFonts w:cs="Times New Roman"/>
          <w:lang w:val="fr-CH"/>
        </w:rPr>
        <w:t xml:space="preserve"> </w:t>
      </w:r>
      <w:r w:rsidRPr="00FD0663">
        <w:rPr>
          <w:rFonts w:cs="Times New Roman"/>
          <w:lang w:val="fr-CH"/>
        </w:rPr>
        <w:t xml:space="preserve">? </w:t>
      </w:r>
      <w:r w:rsidRPr="00DC6DB0">
        <w:rPr>
          <w:rFonts w:cs="Times New Roman"/>
          <w:highlight w:val="yellow"/>
          <w:lang w:val="fr-CH"/>
        </w:rPr>
        <w:t>OUI</w:t>
      </w:r>
      <w:r w:rsidRPr="00FD0663">
        <w:rPr>
          <w:rFonts w:cs="Times New Roman"/>
          <w:strike/>
          <w:lang w:val="fr-CH"/>
        </w:rPr>
        <w:t xml:space="preserve"> </w:t>
      </w:r>
      <w:r w:rsidRPr="00FD0663">
        <w:rPr>
          <w:rFonts w:cs="Times New Roman"/>
          <w:lang w:val="fr-CH"/>
        </w:rPr>
        <w:t>/ NON</w:t>
      </w:r>
    </w:p>
    <w:p w14:paraId="03661537" w14:textId="7103EAAE" w:rsidR="00D60FFD" w:rsidRPr="00FD0663" w:rsidRDefault="00D60FFD" w:rsidP="00B441E1">
      <w:pPr>
        <w:pStyle w:val="BodyA"/>
        <w:shd w:val="clear" w:color="auto" w:fill="FFFFFF"/>
        <w:ind w:left="1440" w:hanging="720"/>
        <w:jc w:val="both"/>
        <w:rPr>
          <w:rFonts w:cs="Times New Roman"/>
          <w:strike/>
          <w:lang w:val="fr-CH"/>
        </w:rPr>
      </w:pPr>
      <w:r w:rsidRPr="00FD0663">
        <w:rPr>
          <w:rFonts w:cs="Times New Roman"/>
          <w:lang w:val="fr-CH"/>
        </w:rPr>
        <w:t xml:space="preserve">b. </w:t>
      </w:r>
      <w:r w:rsidR="00B441E1" w:rsidRPr="00FD0663">
        <w:rPr>
          <w:rFonts w:cs="Times New Roman"/>
          <w:lang w:val="fr-CH"/>
        </w:rPr>
        <w:tab/>
      </w:r>
      <w:r w:rsidRPr="00FD0663">
        <w:rPr>
          <w:rFonts w:cs="Times New Roman"/>
          <w:lang w:val="fr-CH"/>
        </w:rPr>
        <w:t>Le viol d'une personne particulièrement vulnérable est-il une circonstance aggravante ou le déséquilibre des pouvoirs entre l'auteur présumé et les victimes</w:t>
      </w:r>
      <w:r w:rsidR="00DC6DB0">
        <w:rPr>
          <w:rFonts w:cs="Times New Roman"/>
          <w:lang w:val="fr-CH"/>
        </w:rPr>
        <w:t xml:space="preserve"> </w:t>
      </w:r>
      <w:r w:rsidRPr="00FD0663">
        <w:rPr>
          <w:rFonts w:cs="Times New Roman"/>
          <w:lang w:val="fr-CH"/>
        </w:rPr>
        <w:t>? (</w:t>
      </w:r>
      <w:r w:rsidR="00DC6DB0">
        <w:rPr>
          <w:rFonts w:cs="Times New Roman"/>
          <w:lang w:val="fr-CH"/>
        </w:rPr>
        <w:t xml:space="preserve"> p</w:t>
      </w:r>
      <w:r w:rsidRPr="00FD0663">
        <w:rPr>
          <w:rFonts w:cs="Times New Roman"/>
          <w:lang w:val="fr-CH"/>
        </w:rPr>
        <w:t xml:space="preserve">ar exemple, médecin / patient; enseignant / étudiant; différence d'âge) </w:t>
      </w:r>
      <w:r w:rsidRPr="00DC6DB0">
        <w:rPr>
          <w:rFonts w:cs="Times New Roman"/>
          <w:highlight w:val="yellow"/>
          <w:lang w:val="fr-CH"/>
        </w:rPr>
        <w:t>OUI</w:t>
      </w:r>
      <w:r w:rsidRPr="00FD0663">
        <w:rPr>
          <w:rFonts w:cs="Times New Roman"/>
          <w:lang w:val="fr-CH"/>
        </w:rPr>
        <w:t xml:space="preserve"> / </w:t>
      </w:r>
      <w:r w:rsidRPr="00DC6DB0">
        <w:rPr>
          <w:rFonts w:cs="Times New Roman"/>
          <w:lang w:val="fr-CH"/>
        </w:rPr>
        <w:t>NON</w:t>
      </w:r>
    </w:p>
    <w:p w14:paraId="7E489DC4" w14:textId="3A2EBBBE" w:rsidR="00D60FFD" w:rsidRPr="00FD0663" w:rsidRDefault="00D60FFD" w:rsidP="00B441E1">
      <w:pPr>
        <w:pStyle w:val="BodyA"/>
        <w:shd w:val="clear" w:color="auto" w:fill="FFFFFF"/>
        <w:ind w:left="1440" w:hanging="720"/>
        <w:jc w:val="both"/>
        <w:rPr>
          <w:rFonts w:cs="Times New Roman"/>
          <w:lang w:val="fr-CH"/>
        </w:rPr>
      </w:pPr>
      <w:r w:rsidRPr="00FD0663">
        <w:rPr>
          <w:rFonts w:cs="Times New Roman"/>
          <w:lang w:val="fr-CH"/>
        </w:rPr>
        <w:t xml:space="preserve">c. </w:t>
      </w:r>
      <w:r w:rsidR="00B441E1" w:rsidRPr="00FD0663">
        <w:rPr>
          <w:rFonts w:cs="Times New Roman"/>
          <w:lang w:val="fr-CH"/>
        </w:rPr>
        <w:tab/>
      </w:r>
      <w:r w:rsidRPr="00FD0663">
        <w:rPr>
          <w:rFonts w:cs="Times New Roman"/>
          <w:lang w:val="fr-CH"/>
        </w:rPr>
        <w:t>Le viol par le conjoint ou le partenaire intime est-il une circonstance aggravante?</w:t>
      </w:r>
      <w:r w:rsidR="004E3CDC" w:rsidRPr="00FD0663">
        <w:rPr>
          <w:rFonts w:cs="Times New Roman"/>
          <w:lang w:val="fr-CH"/>
        </w:rPr>
        <w:t xml:space="preserve"> </w:t>
      </w:r>
      <w:r w:rsidR="00385FBC" w:rsidRPr="00DC6DB0">
        <w:rPr>
          <w:rFonts w:cs="Times New Roman"/>
          <w:lang w:val="fr-CH"/>
        </w:rPr>
        <w:t>OUI/</w:t>
      </w:r>
      <w:r w:rsidR="00385FBC" w:rsidRPr="00FD0663">
        <w:rPr>
          <w:rFonts w:cs="Times New Roman"/>
          <w:lang w:val="fr-CH"/>
        </w:rPr>
        <w:t xml:space="preserve"> </w:t>
      </w:r>
      <w:r w:rsidR="00385FBC" w:rsidRPr="00DC6DB0">
        <w:rPr>
          <w:rFonts w:cs="Times New Roman"/>
          <w:highlight w:val="yellow"/>
          <w:lang w:val="fr-CH"/>
        </w:rPr>
        <w:t>NON</w:t>
      </w:r>
    </w:p>
    <w:p w14:paraId="42D970A6" w14:textId="216ED130" w:rsidR="00D60FFD" w:rsidRDefault="00D60FFD" w:rsidP="00B441E1">
      <w:pPr>
        <w:pStyle w:val="BodyA"/>
        <w:shd w:val="clear" w:color="auto" w:fill="FFFFFF"/>
        <w:ind w:left="720"/>
        <w:jc w:val="both"/>
        <w:rPr>
          <w:rFonts w:cs="Times New Roman"/>
          <w:lang w:val="fr-CH"/>
        </w:rPr>
      </w:pPr>
    </w:p>
    <w:p w14:paraId="335BE0D3" w14:textId="77777777" w:rsidR="00DC6DB0" w:rsidRPr="00FD0663" w:rsidRDefault="00DC6DB0" w:rsidP="00B441E1">
      <w:pPr>
        <w:pStyle w:val="BodyA"/>
        <w:shd w:val="clear" w:color="auto" w:fill="FFFFFF"/>
        <w:ind w:left="720"/>
        <w:jc w:val="both"/>
        <w:rPr>
          <w:rFonts w:cs="Times New Roman"/>
          <w:lang w:val="fr-CH"/>
        </w:rPr>
      </w:pPr>
    </w:p>
    <w:p w14:paraId="2AC3614E" w14:textId="66CCD5F1" w:rsidR="00D60FFD" w:rsidRPr="00DC6DB0" w:rsidRDefault="00D60FFD" w:rsidP="00B441E1">
      <w:pPr>
        <w:pStyle w:val="BodyA"/>
        <w:numPr>
          <w:ilvl w:val="0"/>
          <w:numId w:val="1"/>
        </w:numPr>
        <w:shd w:val="clear" w:color="auto" w:fill="FFFFFF"/>
        <w:jc w:val="both"/>
        <w:rPr>
          <w:rFonts w:cs="Times New Roman"/>
          <w:color w:val="auto"/>
          <w:lang w:val="fr-CH"/>
        </w:rPr>
      </w:pPr>
      <w:r w:rsidRPr="00DC6DB0">
        <w:rPr>
          <w:rFonts w:cs="Times New Roman"/>
          <w:color w:val="auto"/>
          <w:lang w:val="fr-CH"/>
        </w:rPr>
        <w:t xml:space="preserve">La loi prévoit-elle des circonstances atténuantes </w:t>
      </w:r>
      <w:r w:rsidR="00A820F6" w:rsidRPr="00DC6DB0">
        <w:rPr>
          <w:rFonts w:cs="Times New Roman"/>
          <w:color w:val="auto"/>
          <w:lang w:val="fr-CH"/>
        </w:rPr>
        <w:t>à la sanction</w:t>
      </w:r>
      <w:r w:rsidR="00DC6DB0">
        <w:rPr>
          <w:rFonts w:cs="Times New Roman"/>
          <w:color w:val="auto"/>
          <w:lang w:val="fr-CH"/>
        </w:rPr>
        <w:t xml:space="preserve"> </w:t>
      </w:r>
      <w:r w:rsidR="00A820F6" w:rsidRPr="00DC6DB0">
        <w:rPr>
          <w:rFonts w:cs="Times New Roman"/>
          <w:color w:val="auto"/>
          <w:lang w:val="fr-CH"/>
        </w:rPr>
        <w:t xml:space="preserve">? OUI / </w:t>
      </w:r>
      <w:r w:rsidR="00A820F6" w:rsidRPr="00DC6DB0">
        <w:rPr>
          <w:rFonts w:cs="Times New Roman"/>
          <w:color w:val="auto"/>
          <w:highlight w:val="yellow"/>
          <w:lang w:val="fr-CH"/>
        </w:rPr>
        <w:t>NON</w:t>
      </w:r>
      <w:r w:rsidR="00A820F6" w:rsidRPr="00DC6DB0">
        <w:rPr>
          <w:rFonts w:cs="Times New Roman"/>
          <w:color w:val="auto"/>
          <w:lang w:val="fr-CH"/>
        </w:rPr>
        <w:t xml:space="preserve"> Si c’est le cas</w:t>
      </w:r>
      <w:r w:rsidRPr="00DC6DB0">
        <w:rPr>
          <w:rFonts w:cs="Times New Roman"/>
          <w:color w:val="auto"/>
          <w:lang w:val="fr-CH"/>
        </w:rPr>
        <w:t>, veuillez préciser.</w:t>
      </w:r>
    </w:p>
    <w:p w14:paraId="2478AE60" w14:textId="77777777" w:rsidR="00D60FFD" w:rsidRPr="00FD0663" w:rsidRDefault="00D60FFD" w:rsidP="00B441E1">
      <w:pPr>
        <w:pStyle w:val="BodyA"/>
        <w:shd w:val="clear" w:color="auto" w:fill="FFFFFF"/>
        <w:ind w:left="720"/>
        <w:jc w:val="both"/>
        <w:rPr>
          <w:rFonts w:cs="Times New Roman"/>
          <w:color w:val="5B9BD5" w:themeColor="accent1"/>
          <w:lang w:val="fr-CH"/>
        </w:rPr>
      </w:pPr>
    </w:p>
    <w:p w14:paraId="44C665D4" w14:textId="4A8FFED1" w:rsidR="00D60FFD" w:rsidRPr="0083503E" w:rsidRDefault="00D60FFD" w:rsidP="00B441E1">
      <w:pPr>
        <w:pStyle w:val="BodyA"/>
        <w:numPr>
          <w:ilvl w:val="0"/>
          <w:numId w:val="1"/>
        </w:numPr>
        <w:shd w:val="clear" w:color="auto" w:fill="FFFFFF"/>
        <w:jc w:val="both"/>
        <w:rPr>
          <w:rFonts w:cs="Times New Roman"/>
          <w:color w:val="auto"/>
          <w:lang w:val="fr-CH"/>
        </w:rPr>
      </w:pPr>
      <w:r w:rsidRPr="0083503E">
        <w:rPr>
          <w:rFonts w:cs="Times New Roman"/>
          <w:color w:val="auto"/>
          <w:lang w:val="fr-CH"/>
        </w:rPr>
        <w:t xml:space="preserve">La réconciliation entre la victime et l'agresseur est-elle autorisée dans le cadre d'une </w:t>
      </w:r>
      <w:r w:rsidR="0051344A" w:rsidRPr="0083503E">
        <w:rPr>
          <w:rFonts w:cs="Times New Roman"/>
          <w:color w:val="auto"/>
          <w:lang w:val="fr-CH"/>
        </w:rPr>
        <w:t>réponse légale</w:t>
      </w:r>
      <w:r w:rsidR="0083503E">
        <w:rPr>
          <w:rFonts w:cs="Times New Roman"/>
          <w:color w:val="auto"/>
          <w:lang w:val="fr-CH"/>
        </w:rPr>
        <w:t xml:space="preserve"> </w:t>
      </w:r>
      <w:r w:rsidR="0051344A" w:rsidRPr="0083503E">
        <w:rPr>
          <w:rFonts w:cs="Times New Roman"/>
          <w:color w:val="auto"/>
          <w:lang w:val="fr-CH"/>
        </w:rPr>
        <w:t xml:space="preserve">? OUI / </w:t>
      </w:r>
      <w:r w:rsidR="0051344A" w:rsidRPr="0083503E">
        <w:rPr>
          <w:rFonts w:cs="Times New Roman"/>
          <w:color w:val="auto"/>
          <w:highlight w:val="yellow"/>
          <w:lang w:val="fr-CH"/>
        </w:rPr>
        <w:t>NON</w:t>
      </w:r>
      <w:r w:rsidR="0051344A" w:rsidRPr="0083503E">
        <w:rPr>
          <w:rFonts w:cs="Times New Roman"/>
          <w:color w:val="auto"/>
          <w:lang w:val="fr-CH"/>
        </w:rPr>
        <w:t xml:space="preserve"> Si c’est le cas</w:t>
      </w:r>
      <w:r w:rsidRPr="0083503E">
        <w:rPr>
          <w:rFonts w:cs="Times New Roman"/>
          <w:color w:val="auto"/>
          <w:lang w:val="fr-CH"/>
        </w:rPr>
        <w:t>, à quel stade et quelles en sont les conséquences</w:t>
      </w:r>
      <w:r w:rsidR="0083503E">
        <w:rPr>
          <w:rFonts w:cs="Times New Roman"/>
          <w:color w:val="auto"/>
          <w:lang w:val="fr-CH"/>
        </w:rPr>
        <w:t xml:space="preserve"> </w:t>
      </w:r>
      <w:r w:rsidRPr="0083503E">
        <w:rPr>
          <w:rFonts w:cs="Times New Roman"/>
          <w:color w:val="auto"/>
          <w:lang w:val="fr-CH"/>
        </w:rPr>
        <w:t>?</w:t>
      </w:r>
    </w:p>
    <w:p w14:paraId="73F9F44F" w14:textId="77777777" w:rsidR="009E4477" w:rsidRPr="0083503E" w:rsidRDefault="009E4477" w:rsidP="009E4477">
      <w:pPr>
        <w:pStyle w:val="ListParagraph"/>
        <w:rPr>
          <w:rFonts w:ascii="Times New Roman" w:hAnsi="Times New Roman" w:cs="Times New Roman"/>
          <w:sz w:val="24"/>
          <w:szCs w:val="24"/>
          <w:lang w:val="fr-CH"/>
        </w:rPr>
      </w:pPr>
    </w:p>
    <w:p w14:paraId="4F89C93C" w14:textId="1F0E2E0B" w:rsidR="009E4477" w:rsidRDefault="00FA7111" w:rsidP="0083503E">
      <w:pPr>
        <w:pStyle w:val="BodyA"/>
        <w:shd w:val="clear" w:color="auto" w:fill="FFFFFF" w:themeFill="background1"/>
        <w:ind w:firstLine="360"/>
        <w:jc w:val="both"/>
        <w:rPr>
          <w:rFonts w:cs="Times New Roman"/>
          <w:lang w:val="fr-FR"/>
        </w:rPr>
      </w:pPr>
      <w:r w:rsidRPr="00FD0663">
        <w:rPr>
          <w:rFonts w:cs="Times New Roman"/>
          <w:lang w:val="fr-FR"/>
        </w:rPr>
        <w:t>Même lorsque l’auteur est un enfant, la réconciliation reste impossible. Selon l’article 15 de la loi n°2016-018 du 22 août 2016 relative aux mesures et à la procédure applicables aux enfants en conflit avec la loi : « </w:t>
      </w:r>
      <w:r w:rsidR="009E4477" w:rsidRPr="00FD0663">
        <w:rPr>
          <w:rFonts w:cs="Times New Roman"/>
          <w:lang w:val="fr-FR"/>
        </w:rPr>
        <w:t>La conciliation est interdite si l’enfant est poursuivi pour crime, ou pour des infractions aux mœurs telles que l’outrage public à la pudeur, l’attentat à la pudeur, le viol, l’exploitation sexuelle, le tourisme sexuel, l’inceste ou pour atteinte à l’ordre public telles que définies par la législation en vigueur</w:t>
      </w:r>
      <w:r w:rsidRPr="00FD0663">
        <w:rPr>
          <w:rFonts w:cs="Times New Roman"/>
          <w:lang w:val="fr-FR"/>
        </w:rPr>
        <w:t> »</w:t>
      </w:r>
      <w:r w:rsidR="009E4477" w:rsidRPr="00FD0663">
        <w:rPr>
          <w:rFonts w:cs="Times New Roman"/>
          <w:lang w:val="fr-FR"/>
        </w:rPr>
        <w:t>.</w:t>
      </w:r>
    </w:p>
    <w:p w14:paraId="7E090BB9" w14:textId="30608E0B" w:rsidR="0083503E" w:rsidRDefault="0083503E" w:rsidP="0083503E">
      <w:pPr>
        <w:pStyle w:val="BodyA"/>
        <w:shd w:val="clear" w:color="auto" w:fill="FFFFFF" w:themeFill="background1"/>
        <w:ind w:firstLine="360"/>
        <w:jc w:val="both"/>
        <w:rPr>
          <w:rFonts w:cs="Times New Roman"/>
          <w:lang w:val="fr-FR"/>
        </w:rPr>
      </w:pPr>
      <w:r>
        <w:rPr>
          <w:rFonts w:cs="Times New Roman"/>
          <w:lang w:val="fr-FR"/>
        </w:rPr>
        <w:t xml:space="preserve">Seul le mariage entre l’auteur et la victime est autorisé par la loi comme motif de classement sans suite par le Ministère public </w:t>
      </w:r>
      <w:r w:rsidR="00EE05AD">
        <w:rPr>
          <w:rFonts w:cs="Times New Roman"/>
          <w:lang w:val="fr-FR"/>
        </w:rPr>
        <w:t xml:space="preserve">et uniquement </w:t>
      </w:r>
      <w:r>
        <w:rPr>
          <w:rFonts w:cs="Times New Roman"/>
          <w:lang w:val="fr-FR"/>
        </w:rPr>
        <w:t xml:space="preserve">en matière de détournement de mineur, lorsqu’il a été fait sans fraude ni violence et lorsque la victime est âgée de moins de 18 ans. </w:t>
      </w:r>
      <w:r w:rsidR="00217617">
        <w:rPr>
          <w:rFonts w:cs="Times New Roman"/>
          <w:lang w:val="fr-FR"/>
        </w:rPr>
        <w:t>Dans ce cas, l’action publique sera subordonnée à la plainte des personnes qui ont qualité pour demander l’annulation du mariage et l’auteur ne pourra être condamné qu’après que l’annulation ait été prononcé</w:t>
      </w:r>
      <w:r w:rsidR="00217617">
        <w:rPr>
          <w:rStyle w:val="FootnoteReference"/>
          <w:rFonts w:cs="Times New Roman"/>
          <w:lang w:val="fr-FR"/>
        </w:rPr>
        <w:footnoteReference w:id="15"/>
      </w:r>
      <w:r w:rsidR="00217617">
        <w:rPr>
          <w:rFonts w:cs="Times New Roman"/>
          <w:lang w:val="fr-FR"/>
        </w:rPr>
        <w:t>.</w:t>
      </w:r>
    </w:p>
    <w:p w14:paraId="0335FC70" w14:textId="77777777" w:rsidR="00EE05AD" w:rsidRPr="00FD0663" w:rsidRDefault="00EE05AD" w:rsidP="0083503E">
      <w:pPr>
        <w:pStyle w:val="BodyA"/>
        <w:shd w:val="clear" w:color="auto" w:fill="FFFFFF" w:themeFill="background1"/>
        <w:ind w:firstLine="360"/>
        <w:jc w:val="both"/>
        <w:rPr>
          <w:rFonts w:cs="Times New Roman"/>
          <w:lang w:val="fr-FR"/>
        </w:rPr>
      </w:pPr>
    </w:p>
    <w:p w14:paraId="020BE3B7" w14:textId="77777777" w:rsidR="009E4477" w:rsidRPr="00FD0663" w:rsidRDefault="009E4477" w:rsidP="009E4477">
      <w:pPr>
        <w:pStyle w:val="BodyA"/>
        <w:shd w:val="clear" w:color="auto" w:fill="FFFFFF"/>
        <w:ind w:left="720"/>
        <w:jc w:val="both"/>
        <w:rPr>
          <w:rFonts w:cs="Times New Roman"/>
          <w:highlight w:val="yellow"/>
          <w:lang w:val="fr-FR"/>
        </w:rPr>
      </w:pPr>
    </w:p>
    <w:p w14:paraId="0A3D3E66" w14:textId="3980C518" w:rsidR="00D60FFD" w:rsidRPr="00E810F6" w:rsidRDefault="00D60FFD" w:rsidP="003066A0">
      <w:pPr>
        <w:pStyle w:val="BodyA"/>
        <w:numPr>
          <w:ilvl w:val="0"/>
          <w:numId w:val="4"/>
        </w:numPr>
        <w:shd w:val="clear" w:color="auto" w:fill="FFFFFF"/>
        <w:jc w:val="both"/>
        <w:rPr>
          <w:rFonts w:cs="Times New Roman"/>
          <w:color w:val="auto"/>
          <w:lang w:val="fr-CH"/>
        </w:rPr>
      </w:pPr>
      <w:r w:rsidRPr="00E810F6">
        <w:rPr>
          <w:rFonts w:cs="Times New Roman"/>
          <w:color w:val="auto"/>
          <w:lang w:val="fr-CH"/>
        </w:rPr>
        <w:t xml:space="preserve">Quelle que soit la loi, la réconciliation est-elle autorisée dans la pratique? OUI / </w:t>
      </w:r>
      <w:r w:rsidRPr="00E810F6">
        <w:rPr>
          <w:rFonts w:cs="Times New Roman"/>
          <w:color w:val="auto"/>
          <w:highlight w:val="yellow"/>
          <w:lang w:val="fr-CH"/>
        </w:rPr>
        <w:t>NON</w:t>
      </w:r>
      <w:r w:rsidRPr="00E810F6">
        <w:rPr>
          <w:rFonts w:cs="Times New Roman"/>
          <w:color w:val="auto"/>
          <w:lang w:val="fr-CH"/>
        </w:rPr>
        <w:t xml:space="preserve"> et quelle est la pratique à cet égard</w:t>
      </w:r>
      <w:r w:rsidR="00E810F6">
        <w:rPr>
          <w:rFonts w:cs="Times New Roman"/>
          <w:color w:val="auto"/>
          <w:lang w:val="fr-CH"/>
        </w:rPr>
        <w:t xml:space="preserve"> </w:t>
      </w:r>
      <w:r w:rsidRPr="00E810F6">
        <w:rPr>
          <w:rFonts w:cs="Times New Roman"/>
          <w:color w:val="auto"/>
          <w:lang w:val="fr-CH"/>
        </w:rPr>
        <w:t>?</w:t>
      </w:r>
    </w:p>
    <w:p w14:paraId="2A435403" w14:textId="77777777" w:rsidR="00E810F6" w:rsidRDefault="00E810F6" w:rsidP="00E810F6">
      <w:pPr>
        <w:pStyle w:val="BodyA"/>
        <w:shd w:val="clear" w:color="auto" w:fill="FFFFFF"/>
        <w:jc w:val="both"/>
        <w:rPr>
          <w:rFonts w:cs="Times New Roman"/>
          <w:lang w:val="fr-CH"/>
        </w:rPr>
      </w:pPr>
    </w:p>
    <w:p w14:paraId="3AFD4A6C" w14:textId="21F760A5" w:rsidR="003066A0" w:rsidRPr="00E810F6" w:rsidRDefault="003066A0" w:rsidP="00E810F6">
      <w:pPr>
        <w:pStyle w:val="BodyA"/>
        <w:shd w:val="clear" w:color="auto" w:fill="FFFFFF"/>
        <w:ind w:firstLine="720"/>
        <w:jc w:val="both"/>
        <w:rPr>
          <w:rFonts w:cs="Times New Roman"/>
          <w:lang w:val="fr-CH"/>
        </w:rPr>
      </w:pPr>
      <w:r w:rsidRPr="00E810F6">
        <w:rPr>
          <w:rFonts w:cs="Times New Roman"/>
          <w:lang w:val="fr-CH"/>
        </w:rPr>
        <w:t>Dans la pratique, le Ministère public reste juge de l’opportunité des poursuites. De ce fait, l’action publique en cas de viol n’est ni subordonnée à une réconciliation ni à une transaction entre les parties</w:t>
      </w:r>
      <w:r w:rsidR="007C77F0" w:rsidRPr="00E810F6">
        <w:rPr>
          <w:rFonts w:cs="Times New Roman"/>
          <w:lang w:val="fr-CH"/>
        </w:rPr>
        <w:t xml:space="preserve"> mais il peut selon le cas classer l’affaire en fonction de la gravité de celle-ci et s’il ne présente pas d’intérêt pour l’ordre public de poursuivre.</w:t>
      </w:r>
    </w:p>
    <w:p w14:paraId="30568F9D" w14:textId="3720446F" w:rsidR="007C77F0" w:rsidRPr="00FD0663" w:rsidRDefault="007C77F0" w:rsidP="00E810F6">
      <w:pPr>
        <w:pStyle w:val="BodyA"/>
        <w:shd w:val="clear" w:color="auto" w:fill="FFFFFF"/>
        <w:ind w:firstLine="360"/>
        <w:jc w:val="both"/>
        <w:rPr>
          <w:rFonts w:cs="Times New Roman"/>
          <w:lang w:val="fr-CH"/>
        </w:rPr>
      </w:pPr>
      <w:r w:rsidRPr="00E810F6">
        <w:rPr>
          <w:rFonts w:cs="Times New Roman"/>
          <w:lang w:val="fr-CH"/>
        </w:rPr>
        <w:t>Par contre, lorsque la victime est mineure, il y a obligation pour le Ministère public de poursuivre car il s’agit d’une infraction contre les mœurs et donc d’ordre public.</w:t>
      </w:r>
      <w:r w:rsidRPr="00FD0663">
        <w:rPr>
          <w:rFonts w:cs="Times New Roman"/>
          <w:lang w:val="fr-CH"/>
        </w:rPr>
        <w:t xml:space="preserve"> </w:t>
      </w:r>
    </w:p>
    <w:p w14:paraId="6A8F945C" w14:textId="77777777" w:rsidR="0051344A" w:rsidRPr="00FD0663" w:rsidRDefault="0051344A" w:rsidP="00B441E1">
      <w:pPr>
        <w:pStyle w:val="BodyA"/>
        <w:shd w:val="clear" w:color="auto" w:fill="FFFFFF"/>
        <w:ind w:left="720"/>
        <w:jc w:val="both"/>
        <w:rPr>
          <w:rFonts w:cs="Times New Roman"/>
          <w:lang w:val="fr-CH"/>
        </w:rPr>
      </w:pPr>
    </w:p>
    <w:p w14:paraId="213B8E4D" w14:textId="3365E89C" w:rsidR="00D60FFD" w:rsidRPr="00E810F6" w:rsidRDefault="00D60FFD" w:rsidP="00B441E1">
      <w:pPr>
        <w:pStyle w:val="BodyA"/>
        <w:numPr>
          <w:ilvl w:val="0"/>
          <w:numId w:val="1"/>
        </w:numPr>
        <w:shd w:val="clear" w:color="auto" w:fill="FFFFFF"/>
        <w:jc w:val="both"/>
        <w:rPr>
          <w:rFonts w:cs="Times New Roman"/>
          <w:color w:val="auto"/>
          <w:lang w:val="fr-CH"/>
        </w:rPr>
      </w:pPr>
      <w:r w:rsidRPr="00E810F6">
        <w:rPr>
          <w:rFonts w:cs="Times New Roman"/>
          <w:color w:val="auto"/>
          <w:lang w:val="fr-CH"/>
        </w:rPr>
        <w:t>Y a-t-il une disposition dans le code pénal qui autorise la non-poursui</w:t>
      </w:r>
      <w:r w:rsidR="0051344A" w:rsidRPr="00E810F6">
        <w:rPr>
          <w:rFonts w:cs="Times New Roman"/>
          <w:color w:val="auto"/>
          <w:lang w:val="fr-CH"/>
        </w:rPr>
        <w:t>te des auteurs</w:t>
      </w:r>
      <w:r w:rsidR="00E810F6">
        <w:rPr>
          <w:rFonts w:cs="Times New Roman"/>
          <w:color w:val="auto"/>
          <w:lang w:val="fr-CH"/>
        </w:rPr>
        <w:t xml:space="preserve"> </w:t>
      </w:r>
      <w:r w:rsidR="0051344A" w:rsidRPr="00E810F6">
        <w:rPr>
          <w:rFonts w:cs="Times New Roman"/>
          <w:color w:val="auto"/>
          <w:lang w:val="fr-CH"/>
        </w:rPr>
        <w:t xml:space="preserve">? OUI / </w:t>
      </w:r>
      <w:r w:rsidR="0051344A" w:rsidRPr="00E810F6">
        <w:rPr>
          <w:rFonts w:cs="Times New Roman"/>
          <w:color w:val="auto"/>
          <w:highlight w:val="yellow"/>
          <w:lang w:val="fr-CH"/>
        </w:rPr>
        <w:t>NON</w:t>
      </w:r>
      <w:r w:rsidR="0051344A" w:rsidRPr="00E810F6">
        <w:rPr>
          <w:rFonts w:cs="Times New Roman"/>
          <w:color w:val="auto"/>
          <w:lang w:val="fr-CH"/>
        </w:rPr>
        <w:t xml:space="preserve"> Si c’est le cas</w:t>
      </w:r>
      <w:r w:rsidRPr="00E810F6">
        <w:rPr>
          <w:rFonts w:cs="Times New Roman"/>
          <w:color w:val="auto"/>
          <w:lang w:val="fr-CH"/>
        </w:rPr>
        <w:t>, veuillez préciser.</w:t>
      </w:r>
    </w:p>
    <w:p w14:paraId="76DDBB43" w14:textId="77777777" w:rsidR="00E810F6" w:rsidRPr="00E810F6" w:rsidRDefault="00E810F6" w:rsidP="00E810F6">
      <w:pPr>
        <w:pStyle w:val="BodyA"/>
        <w:shd w:val="clear" w:color="auto" w:fill="FFFFFF"/>
        <w:ind w:left="720"/>
        <w:jc w:val="both"/>
        <w:rPr>
          <w:rFonts w:cs="Times New Roman"/>
          <w:color w:val="auto"/>
          <w:lang w:val="fr-CH"/>
        </w:rPr>
      </w:pPr>
    </w:p>
    <w:p w14:paraId="04CEE3A3" w14:textId="05AF7E98" w:rsidR="00D60FFD" w:rsidRPr="00FD0663" w:rsidRDefault="0051344A" w:rsidP="00B441E1">
      <w:pPr>
        <w:pStyle w:val="BodyA"/>
        <w:shd w:val="clear" w:color="auto" w:fill="FFFFFF"/>
        <w:ind w:left="720"/>
        <w:jc w:val="both"/>
        <w:rPr>
          <w:rFonts w:cs="Times New Roman"/>
          <w:lang w:val="fr-CH"/>
        </w:rPr>
      </w:pPr>
      <w:r w:rsidRPr="00FD0663">
        <w:rPr>
          <w:rFonts w:cs="Times New Roman"/>
          <w:lang w:val="fr-CH"/>
        </w:rPr>
        <w:t>a</w:t>
      </w:r>
      <w:r w:rsidR="00D60FFD" w:rsidRPr="00FD0663">
        <w:rPr>
          <w:rFonts w:cs="Times New Roman"/>
          <w:lang w:val="fr-CH"/>
        </w:rPr>
        <w:t>.</w:t>
      </w:r>
      <w:r w:rsidR="00B441E1" w:rsidRPr="00FD0663">
        <w:rPr>
          <w:rFonts w:cs="Times New Roman"/>
          <w:lang w:val="fr-CH"/>
        </w:rPr>
        <w:tab/>
      </w:r>
      <w:r w:rsidR="00D60FFD" w:rsidRPr="00FD0663">
        <w:rPr>
          <w:rFonts w:cs="Times New Roman"/>
          <w:lang w:val="fr-CH"/>
        </w:rPr>
        <w:t xml:space="preserve"> si l'agresseur é</w:t>
      </w:r>
      <w:r w:rsidRPr="00FD0663">
        <w:rPr>
          <w:rFonts w:cs="Times New Roman"/>
          <w:lang w:val="fr-CH"/>
        </w:rPr>
        <w:t>pouse la victime d'un viol</w:t>
      </w:r>
      <w:r w:rsidR="00E810F6">
        <w:rPr>
          <w:rFonts w:cs="Times New Roman"/>
          <w:lang w:val="fr-CH"/>
        </w:rPr>
        <w:t xml:space="preserve"> </w:t>
      </w:r>
      <w:r w:rsidRPr="00FD0663">
        <w:rPr>
          <w:rFonts w:cs="Times New Roman"/>
          <w:lang w:val="fr-CH"/>
        </w:rPr>
        <w:t>? OUI/</w:t>
      </w:r>
      <w:r w:rsidR="00D60FFD" w:rsidRPr="00E810F6">
        <w:rPr>
          <w:rFonts w:cs="Times New Roman"/>
          <w:highlight w:val="yellow"/>
          <w:lang w:val="fr-CH"/>
        </w:rPr>
        <w:t>NON</w:t>
      </w:r>
    </w:p>
    <w:p w14:paraId="5B8AD18C" w14:textId="67997878" w:rsidR="0051344A" w:rsidRPr="00FD0663" w:rsidRDefault="00D60FFD" w:rsidP="00B441E1">
      <w:pPr>
        <w:pStyle w:val="BodyA"/>
        <w:shd w:val="clear" w:color="auto" w:fill="FFFFFF"/>
        <w:ind w:left="720"/>
        <w:jc w:val="both"/>
        <w:rPr>
          <w:rFonts w:cs="Times New Roman"/>
          <w:lang w:val="fr-CH"/>
        </w:rPr>
      </w:pPr>
      <w:r w:rsidRPr="00FD0663">
        <w:rPr>
          <w:rFonts w:cs="Times New Roman"/>
          <w:lang w:val="fr-CH"/>
        </w:rPr>
        <w:t xml:space="preserve">b. </w:t>
      </w:r>
      <w:r w:rsidR="00B441E1" w:rsidRPr="00FD0663">
        <w:rPr>
          <w:rFonts w:cs="Times New Roman"/>
          <w:lang w:val="fr-CH"/>
        </w:rPr>
        <w:tab/>
      </w:r>
      <w:r w:rsidRPr="00FD0663">
        <w:rPr>
          <w:rFonts w:cs="Times New Roman"/>
          <w:lang w:val="fr-CH"/>
        </w:rPr>
        <w:t>si l'agresseur perd son caractère «</w:t>
      </w:r>
      <w:r w:rsidR="0051344A" w:rsidRPr="00FD0663">
        <w:rPr>
          <w:rFonts w:cs="Times New Roman"/>
          <w:lang w:val="fr-CH"/>
        </w:rPr>
        <w:t xml:space="preserve"> </w:t>
      </w:r>
      <w:r w:rsidRPr="00FD0663">
        <w:rPr>
          <w:rFonts w:cs="Times New Roman"/>
          <w:lang w:val="fr-CH"/>
        </w:rPr>
        <w:t>socialement dangereux</w:t>
      </w:r>
      <w:r w:rsidR="0051344A" w:rsidRPr="00FD0663">
        <w:rPr>
          <w:rFonts w:cs="Times New Roman"/>
          <w:lang w:val="fr-CH"/>
        </w:rPr>
        <w:t xml:space="preserve"> </w:t>
      </w:r>
      <w:r w:rsidRPr="00FD0663">
        <w:rPr>
          <w:rFonts w:cs="Times New Roman"/>
          <w:lang w:val="fr-CH"/>
        </w:rPr>
        <w:t xml:space="preserve">» ou se réconcilie avec la </w:t>
      </w:r>
      <w:r w:rsidR="0051344A" w:rsidRPr="00FD0663">
        <w:rPr>
          <w:rFonts w:cs="Times New Roman"/>
          <w:lang w:val="fr-CH"/>
        </w:rPr>
        <w:t>victime</w:t>
      </w:r>
      <w:r w:rsidR="00E810F6">
        <w:rPr>
          <w:rFonts w:cs="Times New Roman"/>
          <w:lang w:val="fr-CH"/>
        </w:rPr>
        <w:t xml:space="preserve"> </w:t>
      </w:r>
      <w:r w:rsidR="0051344A" w:rsidRPr="00FD0663">
        <w:rPr>
          <w:rFonts w:cs="Times New Roman"/>
          <w:lang w:val="fr-CH"/>
        </w:rPr>
        <w:t>? OUI/</w:t>
      </w:r>
      <w:r w:rsidRPr="00E810F6">
        <w:rPr>
          <w:rFonts w:cs="Times New Roman"/>
          <w:highlight w:val="yellow"/>
          <w:lang w:val="fr-CH"/>
        </w:rPr>
        <w:t>NON</w:t>
      </w:r>
    </w:p>
    <w:p w14:paraId="6A4DD0B8" w14:textId="77777777" w:rsidR="00B441E1" w:rsidRPr="00FD0663" w:rsidRDefault="00B441E1" w:rsidP="00B441E1">
      <w:pPr>
        <w:pStyle w:val="BodyA"/>
        <w:shd w:val="clear" w:color="auto" w:fill="FFFFFF"/>
        <w:ind w:left="720"/>
        <w:jc w:val="both"/>
        <w:rPr>
          <w:rFonts w:cs="Times New Roman"/>
          <w:lang w:val="fr-CH"/>
        </w:rPr>
      </w:pPr>
    </w:p>
    <w:p w14:paraId="7795E0A4" w14:textId="77777777" w:rsidR="0051344A" w:rsidRPr="00FD0663" w:rsidRDefault="0051344A" w:rsidP="00B441E1">
      <w:pPr>
        <w:pStyle w:val="BodyA"/>
        <w:shd w:val="clear" w:color="auto" w:fill="FFFFFF"/>
        <w:jc w:val="both"/>
        <w:rPr>
          <w:rFonts w:cs="Times New Roman"/>
          <w:b/>
          <w:lang w:val="fr-CH"/>
        </w:rPr>
      </w:pPr>
      <w:r w:rsidRPr="00FD0663">
        <w:rPr>
          <w:rFonts w:cs="Times New Roman"/>
          <w:b/>
          <w:lang w:val="fr-CH"/>
        </w:rPr>
        <w:t>Poursuite</w:t>
      </w:r>
    </w:p>
    <w:p w14:paraId="4BD7EC4A" w14:textId="580127C4" w:rsidR="0051344A" w:rsidRPr="00E810F6" w:rsidRDefault="0051344A" w:rsidP="00B441E1">
      <w:pPr>
        <w:pStyle w:val="BodyA"/>
        <w:numPr>
          <w:ilvl w:val="0"/>
          <w:numId w:val="1"/>
        </w:numPr>
        <w:shd w:val="clear" w:color="auto" w:fill="FFFFFF"/>
        <w:jc w:val="both"/>
        <w:rPr>
          <w:rFonts w:cs="Times New Roman"/>
          <w:lang w:val="fr-CH"/>
        </w:rPr>
      </w:pPr>
      <w:r w:rsidRPr="00FD0663">
        <w:rPr>
          <w:rFonts w:cs="Times New Roman"/>
          <w:lang w:val="fr-CH"/>
        </w:rPr>
        <w:t xml:space="preserve">Le viol signalé à la police est-il poursuivi </w:t>
      </w:r>
      <w:r w:rsidR="0035610C" w:rsidRPr="00FD0663">
        <w:rPr>
          <w:rFonts w:cs="Times New Roman"/>
          <w:lang w:val="fr-CH"/>
        </w:rPr>
        <w:t xml:space="preserve">d’office (poursuite publique) </w:t>
      </w:r>
      <w:r w:rsidRPr="00FD0663">
        <w:rPr>
          <w:rFonts w:cs="Times New Roman"/>
          <w:lang w:val="fr-CH"/>
        </w:rPr>
        <w:t xml:space="preserve">? </w:t>
      </w:r>
      <w:r w:rsidRPr="00E810F6">
        <w:rPr>
          <w:rFonts w:cs="Times New Roman"/>
          <w:highlight w:val="yellow"/>
          <w:lang w:val="fr-CH"/>
        </w:rPr>
        <w:t>OUI</w:t>
      </w:r>
      <w:r w:rsidRPr="00FD0663">
        <w:rPr>
          <w:rFonts w:cs="Times New Roman"/>
          <w:lang w:val="fr-CH"/>
        </w:rPr>
        <w:t>/</w:t>
      </w:r>
      <w:r w:rsidRPr="00E810F6">
        <w:rPr>
          <w:rFonts w:cs="Times New Roman"/>
          <w:lang w:val="fr-CH"/>
        </w:rPr>
        <w:t>NON</w:t>
      </w:r>
    </w:p>
    <w:p w14:paraId="3F5F810A" w14:textId="77777777" w:rsidR="00B441E1" w:rsidRPr="00FD0663" w:rsidRDefault="00B441E1" w:rsidP="00B441E1">
      <w:pPr>
        <w:pStyle w:val="BodyA"/>
        <w:shd w:val="clear" w:color="auto" w:fill="FFFFFF"/>
        <w:ind w:left="720"/>
        <w:jc w:val="both"/>
        <w:rPr>
          <w:rFonts w:cs="Times New Roman"/>
          <w:lang w:val="fr-CH"/>
        </w:rPr>
      </w:pPr>
    </w:p>
    <w:p w14:paraId="35909E56" w14:textId="31EF2B0C" w:rsidR="0051344A" w:rsidRPr="00FD0663" w:rsidRDefault="0051344A" w:rsidP="00D2633A">
      <w:pPr>
        <w:pStyle w:val="BodyA"/>
        <w:shd w:val="clear" w:color="auto" w:fill="FFFFFF"/>
        <w:jc w:val="both"/>
        <w:rPr>
          <w:rFonts w:cs="Times New Roman"/>
          <w:lang w:val="fr-CH"/>
        </w:rPr>
      </w:pPr>
    </w:p>
    <w:p w14:paraId="143D4C33" w14:textId="527AFC7B" w:rsidR="00B441E1" w:rsidRPr="00FD0663" w:rsidRDefault="00B441E1" w:rsidP="00B441E1">
      <w:pPr>
        <w:pStyle w:val="BodyA"/>
        <w:shd w:val="clear" w:color="auto" w:fill="FFFFFF"/>
        <w:jc w:val="both"/>
        <w:rPr>
          <w:rFonts w:cs="Times New Roman"/>
          <w:lang w:val="fr-CH"/>
        </w:rPr>
      </w:pPr>
    </w:p>
    <w:p w14:paraId="08171FB7" w14:textId="38984F62" w:rsidR="0051344A" w:rsidRPr="00FD0663" w:rsidRDefault="0051344A" w:rsidP="00B441E1">
      <w:pPr>
        <w:pStyle w:val="BodyA"/>
        <w:numPr>
          <w:ilvl w:val="0"/>
          <w:numId w:val="1"/>
        </w:numPr>
        <w:shd w:val="clear" w:color="auto" w:fill="FFFFFF"/>
        <w:jc w:val="both"/>
        <w:rPr>
          <w:rFonts w:cs="Times New Roman"/>
          <w:lang w:val="fr-CH"/>
        </w:rPr>
      </w:pPr>
      <w:r w:rsidRPr="00FD0663">
        <w:rPr>
          <w:rFonts w:cs="Times New Roman"/>
          <w:lang w:val="fr-CH"/>
        </w:rPr>
        <w:t>Un accord sur le plaidoyer ou un « règlement amiable » est-il autorisé en cas de viol de femme</w:t>
      </w:r>
      <w:r w:rsidR="00E810F6">
        <w:rPr>
          <w:rFonts w:cs="Times New Roman"/>
          <w:lang w:val="fr-CH"/>
        </w:rPr>
        <w:t xml:space="preserve"> </w:t>
      </w:r>
      <w:r w:rsidRPr="00FD0663">
        <w:rPr>
          <w:rFonts w:cs="Times New Roman"/>
          <w:lang w:val="fr-CH"/>
        </w:rPr>
        <w:t xml:space="preserve">? </w:t>
      </w:r>
      <w:r w:rsidRPr="00E810F6">
        <w:rPr>
          <w:rFonts w:cs="Times New Roman"/>
          <w:lang w:val="fr-CH"/>
        </w:rPr>
        <w:t>OUI/</w:t>
      </w:r>
      <w:r w:rsidRPr="00E810F6">
        <w:rPr>
          <w:rFonts w:cs="Times New Roman"/>
          <w:highlight w:val="yellow"/>
          <w:lang w:val="fr-CH"/>
        </w:rPr>
        <w:t>NON</w:t>
      </w:r>
    </w:p>
    <w:p w14:paraId="2B823919" w14:textId="36B45B1A" w:rsidR="00B441E1" w:rsidRPr="00FD0663" w:rsidRDefault="00B441E1" w:rsidP="00B441E1">
      <w:pPr>
        <w:pStyle w:val="BodyA"/>
        <w:shd w:val="clear" w:color="auto" w:fill="FFFFFF"/>
        <w:jc w:val="both"/>
        <w:rPr>
          <w:rFonts w:cs="Times New Roman"/>
          <w:lang w:val="fr-CH"/>
        </w:rPr>
      </w:pPr>
    </w:p>
    <w:p w14:paraId="7A28541E" w14:textId="462A24FD" w:rsidR="0051344A" w:rsidRPr="00FD0663" w:rsidRDefault="0051344A" w:rsidP="00B441E1">
      <w:pPr>
        <w:pStyle w:val="BodyA"/>
        <w:numPr>
          <w:ilvl w:val="0"/>
          <w:numId w:val="1"/>
        </w:numPr>
        <w:shd w:val="clear" w:color="auto" w:fill="FFFFFF"/>
        <w:jc w:val="both"/>
        <w:rPr>
          <w:rFonts w:cs="Times New Roman"/>
          <w:lang w:val="fr-CH"/>
        </w:rPr>
      </w:pPr>
      <w:r w:rsidRPr="00FD0663">
        <w:rPr>
          <w:rFonts w:cs="Times New Roman"/>
          <w:lang w:val="fr-CH"/>
        </w:rPr>
        <w:t>Le plaidoyer de culpabilité ou le « règlement amiable » est-il autorisé en cas de viol d'enfants</w:t>
      </w:r>
      <w:r w:rsidR="00E810F6">
        <w:rPr>
          <w:rFonts w:cs="Times New Roman"/>
          <w:lang w:val="fr-CH"/>
        </w:rPr>
        <w:t xml:space="preserve"> </w:t>
      </w:r>
      <w:r w:rsidRPr="00FD0663">
        <w:rPr>
          <w:rFonts w:cs="Times New Roman"/>
          <w:lang w:val="fr-CH"/>
        </w:rPr>
        <w:t xml:space="preserve">? </w:t>
      </w:r>
      <w:r w:rsidRPr="00E810F6">
        <w:rPr>
          <w:rFonts w:cs="Times New Roman"/>
          <w:lang w:val="fr-CH"/>
        </w:rPr>
        <w:t>OUI/</w:t>
      </w:r>
      <w:r w:rsidRPr="00E810F6">
        <w:rPr>
          <w:rFonts w:cs="Times New Roman"/>
          <w:highlight w:val="yellow"/>
          <w:lang w:val="fr-CH"/>
        </w:rPr>
        <w:t>NON</w:t>
      </w:r>
    </w:p>
    <w:p w14:paraId="6CE151B9" w14:textId="59D9D533" w:rsidR="00B441E1" w:rsidRDefault="00B441E1" w:rsidP="00B441E1">
      <w:pPr>
        <w:pStyle w:val="BodyA"/>
        <w:shd w:val="clear" w:color="auto" w:fill="FFFFFF"/>
        <w:jc w:val="both"/>
        <w:rPr>
          <w:rFonts w:cs="Times New Roman"/>
          <w:lang w:val="fr-CH"/>
        </w:rPr>
      </w:pPr>
    </w:p>
    <w:p w14:paraId="14D4F6D2" w14:textId="77777777" w:rsidR="00E810F6" w:rsidRPr="00FD0663" w:rsidRDefault="00E810F6" w:rsidP="00B441E1">
      <w:pPr>
        <w:pStyle w:val="BodyA"/>
        <w:shd w:val="clear" w:color="auto" w:fill="FFFFFF"/>
        <w:jc w:val="both"/>
        <w:rPr>
          <w:rFonts w:cs="Times New Roman"/>
          <w:lang w:val="fr-CH"/>
        </w:rPr>
      </w:pPr>
    </w:p>
    <w:p w14:paraId="782FFC47" w14:textId="3D32023C" w:rsidR="0051344A" w:rsidRPr="00E810F6" w:rsidRDefault="0051344A" w:rsidP="00B441E1">
      <w:pPr>
        <w:pStyle w:val="BodyA"/>
        <w:numPr>
          <w:ilvl w:val="0"/>
          <w:numId w:val="1"/>
        </w:numPr>
        <w:shd w:val="clear" w:color="auto" w:fill="FFFFFF"/>
        <w:jc w:val="both"/>
        <w:rPr>
          <w:rFonts w:cs="Times New Roman"/>
          <w:color w:val="auto"/>
          <w:lang w:val="fr-CH"/>
        </w:rPr>
      </w:pPr>
      <w:r w:rsidRPr="00E810F6">
        <w:rPr>
          <w:rFonts w:cs="Times New Roman"/>
          <w:color w:val="auto"/>
          <w:lang w:val="fr-CH"/>
        </w:rPr>
        <w:t>Veuillez fournir des informations sur le délai de prescription pour poursuivre un viol.</w:t>
      </w:r>
    </w:p>
    <w:p w14:paraId="2651652A" w14:textId="5E010537" w:rsidR="00F12773" w:rsidRPr="00E810F6" w:rsidRDefault="00F12773" w:rsidP="00F12773">
      <w:pPr>
        <w:pStyle w:val="ListParagraph"/>
        <w:rPr>
          <w:rFonts w:ascii="Times New Roman" w:hAnsi="Times New Roman" w:cs="Times New Roman"/>
          <w:sz w:val="24"/>
          <w:szCs w:val="24"/>
          <w:lang w:val="fr-CH"/>
        </w:rPr>
      </w:pPr>
    </w:p>
    <w:p w14:paraId="428C9588" w14:textId="179F17E8" w:rsidR="00F12773" w:rsidRPr="00FD0663" w:rsidRDefault="00D2633A" w:rsidP="00E810F6">
      <w:pPr>
        <w:ind w:firstLine="360"/>
        <w:jc w:val="both"/>
        <w:rPr>
          <w:rFonts w:ascii="Times New Roman" w:hAnsi="Times New Roman" w:cs="Times New Roman"/>
          <w:sz w:val="24"/>
          <w:szCs w:val="24"/>
          <w:lang w:val="fr-CH"/>
        </w:rPr>
      </w:pPr>
      <w:r w:rsidRPr="00FD0663">
        <w:rPr>
          <w:rFonts w:ascii="Times New Roman" w:hAnsi="Times New Roman" w:cs="Times New Roman"/>
          <w:sz w:val="24"/>
          <w:szCs w:val="24"/>
          <w:lang w:val="fr-CH"/>
        </w:rPr>
        <w:t>En principe, la prescription pour poursuivre un viol suit la règle du droit commun prévue aux article 3 et 4 du code de procédure pénale malagasy</w:t>
      </w:r>
      <w:r w:rsidR="00E810F6">
        <w:rPr>
          <w:rStyle w:val="FootnoteReference"/>
          <w:rFonts w:ascii="Times New Roman" w:hAnsi="Times New Roman" w:cs="Times New Roman"/>
          <w:sz w:val="24"/>
          <w:szCs w:val="24"/>
          <w:lang w:val="fr-CH"/>
        </w:rPr>
        <w:footnoteReference w:id="16"/>
      </w:r>
      <w:r w:rsidRPr="00FD0663">
        <w:rPr>
          <w:rFonts w:ascii="Times New Roman" w:hAnsi="Times New Roman" w:cs="Times New Roman"/>
          <w:sz w:val="24"/>
          <w:szCs w:val="24"/>
          <w:lang w:val="fr-CH"/>
        </w:rPr>
        <w:t>.</w:t>
      </w:r>
    </w:p>
    <w:p w14:paraId="47A675B2" w14:textId="2B19CB75" w:rsidR="00D2633A" w:rsidRPr="00FD0663" w:rsidRDefault="00D2633A" w:rsidP="00E810F6">
      <w:pPr>
        <w:ind w:firstLine="360"/>
        <w:jc w:val="both"/>
        <w:rPr>
          <w:rFonts w:ascii="Times New Roman" w:hAnsi="Times New Roman" w:cs="Times New Roman"/>
          <w:sz w:val="24"/>
          <w:szCs w:val="24"/>
          <w:lang w:val="fr-CH"/>
        </w:rPr>
      </w:pPr>
      <w:r w:rsidRPr="00FD0663">
        <w:rPr>
          <w:rFonts w:ascii="Times New Roman" w:hAnsi="Times New Roman" w:cs="Times New Roman"/>
          <w:sz w:val="24"/>
          <w:szCs w:val="24"/>
          <w:lang w:val="fr-CH"/>
        </w:rPr>
        <w:t>De ce fait, dans le cas d’un viol qualifié délit prévus aux articles 332 alinéa 2 du code pénal et 6 de la loi n°2019-008 susmentionnée, le délai de prescription est de 3 ans.</w:t>
      </w:r>
      <w:r w:rsidR="00E810F6">
        <w:rPr>
          <w:rFonts w:ascii="Times New Roman" w:hAnsi="Times New Roman" w:cs="Times New Roman"/>
          <w:sz w:val="24"/>
          <w:szCs w:val="24"/>
          <w:lang w:val="fr-CH"/>
        </w:rPr>
        <w:t xml:space="preserve"> </w:t>
      </w:r>
      <w:r w:rsidRPr="00FD0663">
        <w:rPr>
          <w:rFonts w:ascii="Times New Roman" w:hAnsi="Times New Roman" w:cs="Times New Roman"/>
          <w:sz w:val="24"/>
          <w:szCs w:val="24"/>
          <w:lang w:val="fr-CH"/>
        </w:rPr>
        <w:t>S’il s’agit d’un viol qualifié crime, le délai de prescription de l’action publique est de 10 ans.</w:t>
      </w:r>
    </w:p>
    <w:p w14:paraId="7FC105CC" w14:textId="3A967957" w:rsidR="00B441E1" w:rsidRPr="00FD0663" w:rsidRDefault="00D15941" w:rsidP="00E810F6">
      <w:pPr>
        <w:pStyle w:val="BodyA"/>
        <w:shd w:val="clear" w:color="auto" w:fill="FFFFFF"/>
        <w:ind w:firstLine="360"/>
        <w:jc w:val="both"/>
        <w:rPr>
          <w:rFonts w:cs="Times New Roman"/>
          <w:color w:val="auto"/>
          <w:lang w:val="fr-CH"/>
        </w:rPr>
      </w:pPr>
      <w:r w:rsidRPr="00E810F6">
        <w:rPr>
          <w:rFonts w:cs="Times New Roman"/>
          <w:color w:val="auto"/>
          <w:lang w:val="fr-CH"/>
        </w:rPr>
        <w:t xml:space="preserve">L’article 335.7 du code pénal précise toutefois qu’en </w:t>
      </w:r>
      <w:r w:rsidR="00AA6340">
        <w:rPr>
          <w:rFonts w:cs="Times New Roman"/>
          <w:color w:val="auto"/>
          <w:lang w:val="fr-CH"/>
        </w:rPr>
        <w:t>matière d’infraction relative à la traite des personnes, à l’exploitation sexuelle, au tourisme sexuel et à l’</w:t>
      </w:r>
      <w:r w:rsidRPr="00E810F6">
        <w:rPr>
          <w:rFonts w:cs="Times New Roman"/>
          <w:color w:val="auto"/>
          <w:lang w:val="fr-CH"/>
        </w:rPr>
        <w:t>inceste</w:t>
      </w:r>
      <w:r w:rsidR="004A5731">
        <w:rPr>
          <w:rStyle w:val="FootnoteReference"/>
          <w:rFonts w:cs="Times New Roman"/>
          <w:color w:val="auto"/>
          <w:lang w:val="fr-CH"/>
        </w:rPr>
        <w:footnoteReference w:id="17"/>
      </w:r>
      <w:r w:rsidRPr="00E810F6">
        <w:rPr>
          <w:rFonts w:cs="Times New Roman"/>
          <w:color w:val="auto"/>
          <w:lang w:val="fr-CH"/>
        </w:rPr>
        <w:t>, le délai de prescription de l’action publique ne commence à courir qu’à partir de la majorité de l’enfant victime</w:t>
      </w:r>
      <w:r w:rsidR="00AA6340">
        <w:rPr>
          <w:rStyle w:val="FootnoteReference"/>
          <w:rFonts w:cs="Times New Roman"/>
          <w:color w:val="auto"/>
          <w:lang w:val="fr-CH"/>
        </w:rPr>
        <w:footnoteReference w:id="18"/>
      </w:r>
      <w:r w:rsidRPr="00E810F6">
        <w:rPr>
          <w:rFonts w:cs="Times New Roman"/>
          <w:color w:val="auto"/>
          <w:lang w:val="fr-CH"/>
        </w:rPr>
        <w:t>.</w:t>
      </w:r>
      <w:r w:rsidRPr="00FD0663">
        <w:rPr>
          <w:rFonts w:cs="Times New Roman"/>
          <w:color w:val="auto"/>
          <w:lang w:val="fr-CH"/>
        </w:rPr>
        <w:t xml:space="preserve"> </w:t>
      </w:r>
    </w:p>
    <w:p w14:paraId="4231FC2C" w14:textId="12A40133" w:rsidR="00D15941" w:rsidRPr="00FD0663" w:rsidRDefault="00D15941" w:rsidP="00D2633A">
      <w:pPr>
        <w:pStyle w:val="BodyA"/>
        <w:shd w:val="clear" w:color="auto" w:fill="FFFFFF"/>
        <w:jc w:val="both"/>
        <w:rPr>
          <w:rFonts w:cs="Times New Roman"/>
          <w:color w:val="auto"/>
          <w:lang w:val="fr-CH"/>
        </w:rPr>
      </w:pPr>
    </w:p>
    <w:p w14:paraId="0D1EE70A" w14:textId="77777777" w:rsidR="00D15941" w:rsidRPr="00FD0663" w:rsidRDefault="00D15941" w:rsidP="00D2633A">
      <w:pPr>
        <w:pStyle w:val="BodyA"/>
        <w:shd w:val="clear" w:color="auto" w:fill="FFFFFF"/>
        <w:jc w:val="both"/>
        <w:rPr>
          <w:rFonts w:cs="Times New Roman"/>
          <w:b/>
          <w:bCs/>
          <w:color w:val="auto"/>
          <w:lang w:val="fr-CH"/>
        </w:rPr>
      </w:pPr>
    </w:p>
    <w:p w14:paraId="63EE39E2" w14:textId="207F9172" w:rsidR="0051344A" w:rsidRPr="00AA6340" w:rsidRDefault="0051344A" w:rsidP="00B441E1">
      <w:pPr>
        <w:pStyle w:val="BodyA"/>
        <w:numPr>
          <w:ilvl w:val="0"/>
          <w:numId w:val="1"/>
        </w:numPr>
        <w:shd w:val="clear" w:color="auto" w:fill="FFFFFF"/>
        <w:jc w:val="both"/>
        <w:rPr>
          <w:rFonts w:cs="Times New Roman"/>
          <w:color w:val="auto"/>
          <w:lang w:val="fr-CH"/>
        </w:rPr>
      </w:pPr>
      <w:r w:rsidRPr="00AA6340">
        <w:rPr>
          <w:rFonts w:cs="Times New Roman"/>
          <w:color w:val="auto"/>
          <w:lang w:val="fr-CH"/>
        </w:rPr>
        <w:t>Quelles sont les dispositions permettant à un enfant victime d'un viol de le signaler à l'âge adulte, le cas échéant</w:t>
      </w:r>
      <w:r w:rsidR="00AA6340">
        <w:rPr>
          <w:rFonts w:cs="Times New Roman"/>
          <w:color w:val="auto"/>
          <w:lang w:val="fr-CH"/>
        </w:rPr>
        <w:t xml:space="preserve"> </w:t>
      </w:r>
      <w:r w:rsidRPr="00AA6340">
        <w:rPr>
          <w:rFonts w:cs="Times New Roman"/>
          <w:color w:val="auto"/>
          <w:lang w:val="fr-CH"/>
        </w:rPr>
        <w:t>?</w:t>
      </w:r>
    </w:p>
    <w:p w14:paraId="16F3A3B9" w14:textId="77777777" w:rsidR="00F359D3" w:rsidRPr="00FD0663" w:rsidRDefault="00F359D3" w:rsidP="00B441E1">
      <w:pPr>
        <w:pStyle w:val="BodyA"/>
        <w:shd w:val="clear" w:color="auto" w:fill="FFFFFF"/>
        <w:jc w:val="both"/>
        <w:rPr>
          <w:rFonts w:cs="Times New Roman"/>
          <w:color w:val="auto"/>
          <w:lang w:val="fr-FR"/>
        </w:rPr>
      </w:pPr>
    </w:p>
    <w:p w14:paraId="4E599104" w14:textId="53017B88" w:rsidR="00AA6340" w:rsidRPr="00AA6340" w:rsidRDefault="009B5BA9" w:rsidP="000415F1">
      <w:pPr>
        <w:pStyle w:val="BodyA"/>
        <w:shd w:val="clear" w:color="auto" w:fill="FFFFFF"/>
        <w:ind w:firstLine="360"/>
        <w:jc w:val="both"/>
        <w:rPr>
          <w:rFonts w:cs="Times New Roman"/>
          <w:color w:val="auto"/>
          <w:lang w:val="fr-CH"/>
        </w:rPr>
      </w:pPr>
      <w:r w:rsidRPr="00FD0663">
        <w:rPr>
          <w:rFonts w:cs="Times New Roman"/>
          <w:color w:val="auto"/>
          <w:lang w:val="fr-CH"/>
        </w:rPr>
        <w:t>Le code pénal malagasy ne prévoit pas de disposition spéciale permettant pour l’enfant victime de le signaler à l’âge adulte sauf en cas d</w:t>
      </w:r>
      <w:r w:rsidR="00AA6340">
        <w:rPr>
          <w:rFonts w:cs="Times New Roman"/>
          <w:color w:val="auto"/>
          <w:lang w:val="fr-CH"/>
        </w:rPr>
        <w:t>’infraction relative à la traite des personnes, d’exploitation sexuelle, de tourisme sexuel et d</w:t>
      </w:r>
      <w:r w:rsidRPr="00FD0663">
        <w:rPr>
          <w:rFonts w:cs="Times New Roman"/>
          <w:color w:val="auto"/>
          <w:lang w:val="fr-CH"/>
        </w:rPr>
        <w:t>’inceste</w:t>
      </w:r>
      <w:r w:rsidR="00AA6340">
        <w:rPr>
          <w:rFonts w:cs="Times New Roman"/>
          <w:color w:val="auto"/>
          <w:lang w:val="fr-CH"/>
        </w:rPr>
        <w:t xml:space="preserve"> énoncés ci-dessus</w:t>
      </w:r>
      <w:r w:rsidRPr="00FD0663">
        <w:rPr>
          <w:rFonts w:cs="Times New Roman"/>
          <w:color w:val="auto"/>
          <w:lang w:val="fr-CH"/>
        </w:rPr>
        <w:t xml:space="preserve">. </w:t>
      </w:r>
      <w:r w:rsidR="000415F1">
        <w:rPr>
          <w:rFonts w:cs="Times New Roman"/>
          <w:color w:val="auto"/>
          <w:lang w:val="fr-CH"/>
        </w:rPr>
        <w:t>Il</w:t>
      </w:r>
      <w:r w:rsidR="00AA6340" w:rsidRPr="00FD0663">
        <w:rPr>
          <w:rFonts w:cs="Times New Roman"/>
          <w:lang w:val="fr-FR"/>
        </w:rPr>
        <w:t xml:space="preserve"> institue</w:t>
      </w:r>
      <w:r w:rsidR="00AA6340">
        <w:rPr>
          <w:rFonts w:cs="Times New Roman"/>
          <w:lang w:val="fr-FR"/>
        </w:rPr>
        <w:t xml:space="preserve"> cependant</w:t>
      </w:r>
      <w:r w:rsidR="00AA6340" w:rsidRPr="00FD0663">
        <w:rPr>
          <w:rFonts w:cs="Times New Roman"/>
          <w:lang w:val="fr-FR"/>
        </w:rPr>
        <w:t xml:space="preserve"> l’obligation de signalement de tout acte de maltraitance tentée ou consommée sans qu’il faille attendre la majorité de la victime.  Ainsi, selon l’article 69 du Code pénal :</w:t>
      </w:r>
      <w:r w:rsidR="00AA6340" w:rsidRPr="00FD0663">
        <w:rPr>
          <w:rFonts w:cs="Times New Roman"/>
          <w:b/>
          <w:bCs/>
          <w:lang w:val="fr-FR"/>
        </w:rPr>
        <w:t xml:space="preserve"> « </w:t>
      </w:r>
      <w:r w:rsidR="00AA6340" w:rsidRPr="00FD0663">
        <w:rPr>
          <w:rFonts w:cs="Times New Roman"/>
          <w:lang w:val="fr-FR"/>
        </w:rPr>
        <w:t xml:space="preserve">Toute personne, notamment les parents, les membres de la famille, les voisins, les amis, les autorités locales, les enseignants, les dignitaires religieux, les travailleurs sociaux, le personnel médical, la police judiciaire ayant connaissance d’une maltraitance tentée ou consommée, </w:t>
      </w:r>
      <w:r w:rsidR="00AA6340" w:rsidRPr="00223900">
        <w:rPr>
          <w:rFonts w:cs="Times New Roman"/>
          <w:lang w:val="fr-FR"/>
        </w:rPr>
        <w:t>doit signaler les autorités administratives ou judiciaires compétentes sous peine des sanctions (…)</w:t>
      </w:r>
      <w:r w:rsidR="004A5731">
        <w:rPr>
          <w:rFonts w:cs="Times New Roman"/>
          <w:lang w:val="fr-FR"/>
        </w:rPr>
        <w:t xml:space="preserve"> </w:t>
      </w:r>
      <w:r w:rsidR="00AA6340" w:rsidRPr="00223900">
        <w:rPr>
          <w:rFonts w:cs="Times New Roman"/>
          <w:lang w:val="fr-FR"/>
        </w:rPr>
        <w:t>». L’</w:t>
      </w:r>
      <w:r w:rsidR="00AA6340" w:rsidRPr="00223900">
        <w:rPr>
          <w:rFonts w:cs="Times New Roman"/>
          <w:sz w:val="23"/>
          <w:szCs w:val="23"/>
          <w:lang w:val="fr-FR"/>
        </w:rPr>
        <w:t xml:space="preserve">enfant victime lui-même peut </w:t>
      </w:r>
      <w:r w:rsidR="00AA6340" w:rsidRPr="00223900">
        <w:rPr>
          <w:rFonts w:cs="Times New Roman"/>
          <w:lang w:val="fr-FR"/>
        </w:rPr>
        <w:t>signaler ou saisir le ministère public ou tout autre autorité compétente des faits commis en son encontre et réclamer réparation des préjudices subis.</w:t>
      </w:r>
      <w:r w:rsidR="00AA6340">
        <w:rPr>
          <w:rFonts w:cs="Times New Roman"/>
          <w:lang w:val="fr-FR"/>
        </w:rPr>
        <w:t xml:space="preserve"> C’est l’une des innovations apportées par l’article 44 de la </w:t>
      </w:r>
      <w:r w:rsidR="00AA6340" w:rsidRPr="00223900">
        <w:rPr>
          <w:rFonts w:cs="Times New Roman"/>
          <w:sz w:val="23"/>
          <w:szCs w:val="23"/>
          <w:lang w:val="fr-FR"/>
        </w:rPr>
        <w:t>loi n° 2007-038 du 14 Janvier 2008 modifiant et complétant certaines dispositions du Code Pénal sur la lutte la traite et le tourisme sexuel</w:t>
      </w:r>
      <w:r w:rsidR="00AA6340">
        <w:rPr>
          <w:rFonts w:cs="Times New Roman"/>
          <w:sz w:val="23"/>
          <w:szCs w:val="23"/>
          <w:lang w:val="fr-FR"/>
        </w:rPr>
        <w:t xml:space="preserve">. </w:t>
      </w:r>
    </w:p>
    <w:p w14:paraId="62F07048" w14:textId="77777777" w:rsidR="00AA6340" w:rsidRPr="00FD0663" w:rsidRDefault="00AA6340" w:rsidP="00B441E1">
      <w:pPr>
        <w:pStyle w:val="BodyA"/>
        <w:shd w:val="clear" w:color="auto" w:fill="FFFFFF"/>
        <w:jc w:val="both"/>
        <w:rPr>
          <w:rFonts w:cs="Times New Roman"/>
          <w:color w:val="auto"/>
          <w:lang w:val="fr-CH"/>
        </w:rPr>
      </w:pPr>
    </w:p>
    <w:p w14:paraId="013A860F" w14:textId="77777777" w:rsidR="00847777" w:rsidRPr="00FD0663" w:rsidRDefault="00847777" w:rsidP="004A5731">
      <w:pPr>
        <w:pStyle w:val="BodyA"/>
        <w:shd w:val="clear" w:color="auto" w:fill="FFFFFF" w:themeFill="background1"/>
        <w:jc w:val="both"/>
        <w:rPr>
          <w:rFonts w:cs="Times New Roman"/>
          <w:b/>
          <w:bCs/>
          <w:color w:val="auto"/>
          <w:lang w:val="fr-CH"/>
        </w:rPr>
      </w:pPr>
      <w:bookmarkStart w:id="5" w:name="_Hlk39774004"/>
    </w:p>
    <w:bookmarkEnd w:id="5"/>
    <w:p w14:paraId="513B4E46" w14:textId="77777777" w:rsidR="00847777" w:rsidRPr="00FD0663" w:rsidRDefault="00847777" w:rsidP="004A5731">
      <w:pPr>
        <w:pStyle w:val="BodyA"/>
        <w:shd w:val="clear" w:color="auto" w:fill="FFFFFF" w:themeFill="background1"/>
        <w:jc w:val="both"/>
        <w:rPr>
          <w:rFonts w:cs="Times New Roman"/>
          <w:color w:val="auto"/>
          <w:lang w:val="fr-CH"/>
        </w:rPr>
      </w:pPr>
    </w:p>
    <w:p w14:paraId="452F8A50" w14:textId="7AED04FE" w:rsidR="0051344A" w:rsidRDefault="0051344A" w:rsidP="00B441E1">
      <w:pPr>
        <w:pStyle w:val="BodyA"/>
        <w:numPr>
          <w:ilvl w:val="0"/>
          <w:numId w:val="1"/>
        </w:numPr>
        <w:shd w:val="clear" w:color="auto" w:fill="FFFFFF"/>
        <w:jc w:val="both"/>
        <w:rPr>
          <w:rFonts w:cs="Times New Roman"/>
          <w:color w:val="auto"/>
          <w:lang w:val="fr-CH"/>
        </w:rPr>
      </w:pPr>
      <w:r w:rsidRPr="000415F1">
        <w:rPr>
          <w:rFonts w:cs="Times New Roman"/>
          <w:color w:val="auto"/>
          <w:lang w:val="fr-CH"/>
        </w:rPr>
        <w:t xml:space="preserve">Existe-t-il des exigences obligatoires </w:t>
      </w:r>
      <w:r w:rsidR="0035610C" w:rsidRPr="000415F1">
        <w:rPr>
          <w:rFonts w:cs="Times New Roman"/>
          <w:color w:val="auto"/>
          <w:lang w:val="fr-CH"/>
        </w:rPr>
        <w:t xml:space="preserve">relatives à </w:t>
      </w:r>
      <w:r w:rsidRPr="000415F1">
        <w:rPr>
          <w:rFonts w:cs="Times New Roman"/>
          <w:color w:val="auto"/>
          <w:lang w:val="fr-CH"/>
        </w:rPr>
        <w:t>la preuve du viol, telle que des preuves médicales ou le besoin de témoins</w:t>
      </w:r>
      <w:r w:rsidR="000415F1">
        <w:rPr>
          <w:rFonts w:cs="Times New Roman"/>
          <w:color w:val="auto"/>
          <w:lang w:val="fr-CH"/>
        </w:rPr>
        <w:t xml:space="preserve"> </w:t>
      </w:r>
      <w:r w:rsidRPr="000415F1">
        <w:rPr>
          <w:rFonts w:cs="Times New Roman"/>
          <w:color w:val="auto"/>
          <w:lang w:val="fr-CH"/>
        </w:rPr>
        <w:t xml:space="preserve">? OUI </w:t>
      </w:r>
      <w:r w:rsidRPr="000415F1">
        <w:rPr>
          <w:rFonts w:cs="Times New Roman"/>
          <w:color w:val="auto"/>
          <w:highlight w:val="yellow"/>
          <w:lang w:val="fr-CH"/>
        </w:rPr>
        <w:t>/ NON</w:t>
      </w:r>
      <w:r w:rsidRPr="000415F1">
        <w:rPr>
          <w:rFonts w:cs="Times New Roman"/>
          <w:color w:val="auto"/>
          <w:lang w:val="fr-CH"/>
        </w:rPr>
        <w:t xml:space="preserve"> Si c’est le cas, veuillez préciser.</w:t>
      </w:r>
    </w:p>
    <w:p w14:paraId="4FB63FAC" w14:textId="77777777" w:rsidR="000415F1" w:rsidRPr="000415F1" w:rsidRDefault="000415F1" w:rsidP="000415F1">
      <w:pPr>
        <w:pStyle w:val="BodyA"/>
        <w:shd w:val="clear" w:color="auto" w:fill="FFFFFF"/>
        <w:ind w:left="720"/>
        <w:jc w:val="both"/>
        <w:rPr>
          <w:rFonts w:cs="Times New Roman"/>
          <w:color w:val="auto"/>
          <w:lang w:val="fr-CH"/>
        </w:rPr>
      </w:pPr>
    </w:p>
    <w:p w14:paraId="02046401" w14:textId="71E57663" w:rsidR="00B441E1" w:rsidRDefault="00236B69" w:rsidP="00B441E1">
      <w:pPr>
        <w:pStyle w:val="BodyA"/>
        <w:shd w:val="clear" w:color="auto" w:fill="FFFFFF"/>
        <w:jc w:val="both"/>
        <w:rPr>
          <w:rFonts w:cs="Times New Roman"/>
          <w:color w:val="auto"/>
          <w:lang w:val="fr-CH"/>
        </w:rPr>
      </w:pPr>
      <w:r w:rsidRPr="00FD0663">
        <w:rPr>
          <w:rFonts w:cs="Times New Roman"/>
          <w:color w:val="auto"/>
          <w:lang w:val="fr-CH"/>
        </w:rPr>
        <w:t>Les textes ne font pas expressément mention d’une exigence particulière relative à la preuve d’un viol. Cependant, la pratique a tendance à exiger qu’un rapport d’expertise médico-légal soit produit au dossier dès l’enquête préliminaire et le juge d’instruction ou le Ministère public, selon le cas peut ordonner une telle mesure.</w:t>
      </w:r>
    </w:p>
    <w:p w14:paraId="0AFBA662" w14:textId="77777777" w:rsidR="000415F1" w:rsidRPr="00FD0663" w:rsidRDefault="000415F1" w:rsidP="00B441E1">
      <w:pPr>
        <w:pStyle w:val="BodyA"/>
        <w:shd w:val="clear" w:color="auto" w:fill="FFFFFF"/>
        <w:jc w:val="both"/>
        <w:rPr>
          <w:rFonts w:cs="Times New Roman"/>
          <w:color w:val="5B9BD5" w:themeColor="accent1"/>
          <w:lang w:val="fr-CH"/>
        </w:rPr>
      </w:pPr>
    </w:p>
    <w:p w14:paraId="367CB981" w14:textId="77777777" w:rsidR="00236B69" w:rsidRPr="00FD0663" w:rsidRDefault="00236B69" w:rsidP="00B441E1">
      <w:pPr>
        <w:pStyle w:val="BodyA"/>
        <w:shd w:val="clear" w:color="auto" w:fill="FFFFFF"/>
        <w:jc w:val="both"/>
        <w:rPr>
          <w:rFonts w:cs="Times New Roman"/>
          <w:color w:val="5B9BD5" w:themeColor="accent1"/>
          <w:lang w:val="fr-CH"/>
        </w:rPr>
      </w:pPr>
    </w:p>
    <w:p w14:paraId="4BD9F887" w14:textId="680CE976" w:rsidR="0051344A" w:rsidRPr="000415F1" w:rsidRDefault="0051344A" w:rsidP="00B441E1">
      <w:pPr>
        <w:pStyle w:val="BodyA"/>
        <w:numPr>
          <w:ilvl w:val="0"/>
          <w:numId w:val="1"/>
        </w:numPr>
        <w:shd w:val="clear" w:color="auto" w:fill="FFFFFF"/>
        <w:jc w:val="both"/>
        <w:rPr>
          <w:rFonts w:cs="Times New Roman"/>
          <w:color w:val="auto"/>
          <w:highlight w:val="yellow"/>
          <w:lang w:val="fr-CH"/>
        </w:rPr>
      </w:pPr>
      <w:r w:rsidRPr="000415F1">
        <w:rPr>
          <w:rFonts w:cs="Times New Roman"/>
          <w:color w:val="auto"/>
          <w:lang w:val="fr-CH"/>
        </w:rPr>
        <w:t>Dans quelle mesure existe-t-il des dispositions de blocage visant à empêcher les juges et les avocats de dévoiler les antécédents sexuels d’une femme pendant le procès? OUI/</w:t>
      </w:r>
      <w:r w:rsidRPr="000415F1">
        <w:rPr>
          <w:rFonts w:cs="Times New Roman"/>
          <w:color w:val="auto"/>
          <w:highlight w:val="yellow"/>
          <w:lang w:val="fr-CH"/>
        </w:rPr>
        <w:t>NON</w:t>
      </w:r>
    </w:p>
    <w:p w14:paraId="526532A7" w14:textId="4B365DC5" w:rsidR="00B441E1" w:rsidRPr="000415F1" w:rsidRDefault="00B441E1" w:rsidP="00B441E1">
      <w:pPr>
        <w:pStyle w:val="BodyA"/>
        <w:shd w:val="clear" w:color="auto" w:fill="FFFFFF"/>
        <w:jc w:val="both"/>
        <w:rPr>
          <w:rFonts w:cs="Times New Roman"/>
          <w:color w:val="auto"/>
          <w:lang w:val="fr-CH"/>
        </w:rPr>
      </w:pPr>
    </w:p>
    <w:p w14:paraId="0420283E" w14:textId="732ABF29" w:rsidR="0051344A" w:rsidRPr="000415F1" w:rsidRDefault="0051344A" w:rsidP="00B441E1">
      <w:pPr>
        <w:pStyle w:val="BodyA"/>
        <w:numPr>
          <w:ilvl w:val="0"/>
          <w:numId w:val="1"/>
        </w:numPr>
        <w:shd w:val="clear" w:color="auto" w:fill="FFFFFF"/>
        <w:jc w:val="both"/>
        <w:rPr>
          <w:rFonts w:cs="Times New Roman"/>
          <w:color w:val="auto"/>
          <w:lang w:val="fr-CH"/>
        </w:rPr>
      </w:pPr>
      <w:r w:rsidRPr="000415F1">
        <w:rPr>
          <w:rFonts w:cs="Times New Roman"/>
          <w:color w:val="auto"/>
          <w:lang w:val="fr-CH"/>
        </w:rPr>
        <w:t>Quelles sont les dispositions procédurales en matière de droit pénal visant à éviter la revictimisation lors des poursuites et des audiences</w:t>
      </w:r>
      <w:r w:rsidR="000415F1">
        <w:rPr>
          <w:rFonts w:cs="Times New Roman"/>
          <w:color w:val="auto"/>
          <w:lang w:val="fr-CH"/>
        </w:rPr>
        <w:t xml:space="preserve"> </w:t>
      </w:r>
      <w:r w:rsidRPr="000415F1">
        <w:rPr>
          <w:rFonts w:cs="Times New Roman"/>
          <w:color w:val="auto"/>
          <w:lang w:val="fr-CH"/>
        </w:rPr>
        <w:t>? Veuillez préciser.</w:t>
      </w:r>
    </w:p>
    <w:p w14:paraId="60B473CA" w14:textId="7E316F3C" w:rsidR="0051344A" w:rsidRPr="00FD0663" w:rsidRDefault="0051344A" w:rsidP="00B441E1">
      <w:pPr>
        <w:pStyle w:val="BodyA"/>
        <w:shd w:val="clear" w:color="auto" w:fill="FFFFFF"/>
        <w:jc w:val="both"/>
        <w:rPr>
          <w:rFonts w:cs="Times New Roman"/>
          <w:color w:val="5B9BD5" w:themeColor="accent1"/>
          <w:lang w:val="fr-CH"/>
        </w:rPr>
      </w:pPr>
    </w:p>
    <w:p w14:paraId="0F641B54" w14:textId="033D0699" w:rsidR="00DF51B7" w:rsidRPr="00DF51B7" w:rsidRDefault="000415F1" w:rsidP="00DF51B7">
      <w:pPr>
        <w:pStyle w:val="BodyA"/>
        <w:shd w:val="clear" w:color="auto" w:fill="FFFFFF"/>
        <w:ind w:firstLine="360"/>
        <w:jc w:val="both"/>
        <w:rPr>
          <w:rFonts w:cs="Times New Roman"/>
          <w:color w:val="auto"/>
          <w:lang w:val="fr-CH"/>
        </w:rPr>
      </w:pPr>
      <w:r>
        <w:rPr>
          <w:rFonts w:cs="Times New Roman"/>
          <w:color w:val="auto"/>
          <w:lang w:val="fr-CH"/>
        </w:rPr>
        <w:t>L</w:t>
      </w:r>
      <w:r w:rsidR="00F719B6" w:rsidRPr="00FD0663">
        <w:rPr>
          <w:rFonts w:cs="Times New Roman"/>
          <w:color w:val="auto"/>
          <w:lang w:val="fr-CH"/>
        </w:rPr>
        <w:t xml:space="preserve">orsque la victime est un enfant, les dispositions de l’artcile 77 alinéa </w:t>
      </w:r>
      <w:bookmarkStart w:id="6" w:name="_Hlk39775666"/>
      <w:r w:rsidR="00F719B6" w:rsidRPr="00FD0663">
        <w:rPr>
          <w:rFonts w:cs="Times New Roman"/>
          <w:color w:val="auto"/>
          <w:lang w:val="fr-CH"/>
        </w:rPr>
        <w:t xml:space="preserve">2 de la Loi n°2007-023 du 20 août 2007 </w:t>
      </w:r>
      <w:bookmarkEnd w:id="6"/>
      <w:r w:rsidR="00F719B6" w:rsidRPr="00FD0663">
        <w:rPr>
          <w:rFonts w:cs="Times New Roman"/>
          <w:color w:val="auto"/>
          <w:lang w:val="fr-CH"/>
        </w:rPr>
        <w:t>sur les droits et la protection des enfants peuvent être appliquées. Ainsi, pour éviter la répétition d’audition d’un enfant victime de maltraitance, la première audition de l’enfant peut se faire par vidéo filmée</w:t>
      </w:r>
      <w:r>
        <w:rPr>
          <w:rStyle w:val="FootnoteReference"/>
          <w:rFonts w:cs="Times New Roman"/>
          <w:color w:val="auto"/>
          <w:lang w:val="fr-CH"/>
        </w:rPr>
        <w:footnoteReference w:id="19"/>
      </w:r>
      <w:r w:rsidR="00F719B6" w:rsidRPr="00FD0663">
        <w:rPr>
          <w:rFonts w:cs="Times New Roman"/>
          <w:color w:val="auto"/>
          <w:lang w:val="fr-CH"/>
        </w:rPr>
        <w:t>.</w:t>
      </w:r>
      <w:r w:rsidR="00DF51B7">
        <w:rPr>
          <w:rFonts w:cs="Times New Roman"/>
          <w:color w:val="auto"/>
          <w:lang w:val="fr-CH"/>
        </w:rPr>
        <w:t xml:space="preserve"> Au demeurant, s</w:t>
      </w:r>
      <w:r w:rsidR="00DF51B7" w:rsidRPr="00FD0663">
        <w:rPr>
          <w:rFonts w:cs="Times New Roman"/>
        </w:rPr>
        <w:t>elon l’article 98 al</w:t>
      </w:r>
      <w:r w:rsidR="00DF51B7">
        <w:rPr>
          <w:rFonts w:cs="Times New Roman"/>
        </w:rPr>
        <w:t xml:space="preserve">inéa </w:t>
      </w:r>
      <w:r w:rsidR="00DF51B7" w:rsidRPr="00FD0663">
        <w:rPr>
          <w:rFonts w:cs="Times New Roman"/>
        </w:rPr>
        <w:t>3 de la loi n°2016-018 du 22 août 2016 relative aux mesures et à la procédure applicables aux enfants en conflit avec la loi : «</w:t>
      </w:r>
      <w:r w:rsidR="00DF51B7" w:rsidRPr="00FD0663">
        <w:rPr>
          <w:rFonts w:cs="Times New Roman"/>
          <w:b/>
          <w:bCs/>
        </w:rPr>
        <w:t> </w:t>
      </w:r>
      <w:r w:rsidR="00DF51B7" w:rsidRPr="00FD0663">
        <w:rPr>
          <w:rFonts w:cs="Times New Roman"/>
        </w:rPr>
        <w:t xml:space="preserve">Le président a le droit, à tout moment, d’ordonner que l’enfant se retire pendant tout ou partie de la suite des débats pour son intérêt supérieur. Si cet intérêt de l’enfant l’exige, il peut même dispenser ce dernier de comparaître à l’audience, auquel cas l’enfant est représenté par son conseil, et la décision à intervenir est réputée contradictoire. </w:t>
      </w:r>
      <w:r w:rsidR="00DF51B7" w:rsidRPr="00FD0663">
        <w:rPr>
          <w:rFonts w:cs="Times New Roman"/>
          <w:u w:val="single"/>
        </w:rPr>
        <w:t>Il en est de même si la victime est un enfant</w:t>
      </w:r>
      <w:r w:rsidR="00DF51B7" w:rsidRPr="00FD0663">
        <w:rPr>
          <w:rFonts w:cs="Times New Roman"/>
        </w:rPr>
        <w:t>.</w:t>
      </w:r>
    </w:p>
    <w:p w14:paraId="285FD40E" w14:textId="7F56E204" w:rsidR="00F719B6" w:rsidRPr="00FD0663" w:rsidRDefault="00F719B6" w:rsidP="00B441E1">
      <w:pPr>
        <w:pStyle w:val="BodyA"/>
        <w:shd w:val="clear" w:color="auto" w:fill="FFFFFF"/>
        <w:jc w:val="both"/>
        <w:rPr>
          <w:rFonts w:cs="Times New Roman"/>
          <w:color w:val="auto"/>
          <w:lang w:val="fr-CH"/>
        </w:rPr>
      </w:pPr>
    </w:p>
    <w:p w14:paraId="382088CB" w14:textId="77777777" w:rsidR="003665AB" w:rsidRPr="00FD0663" w:rsidRDefault="003665AB" w:rsidP="003665AB">
      <w:pPr>
        <w:pStyle w:val="Default"/>
        <w:rPr>
          <w:rFonts w:ascii="Times New Roman" w:hAnsi="Times New Roman" w:cs="Times New Roman"/>
        </w:rPr>
      </w:pPr>
    </w:p>
    <w:p w14:paraId="3464F0A0" w14:textId="77777777" w:rsidR="009E4477" w:rsidRPr="00FD0663" w:rsidRDefault="009E4477" w:rsidP="00B441E1">
      <w:pPr>
        <w:pStyle w:val="BodyA"/>
        <w:shd w:val="clear" w:color="auto" w:fill="FFFFFF"/>
        <w:jc w:val="both"/>
        <w:rPr>
          <w:rFonts w:cs="Times New Roman"/>
          <w:b/>
          <w:lang w:val="fr-CH"/>
        </w:rPr>
      </w:pPr>
    </w:p>
    <w:p w14:paraId="05CAFF1A" w14:textId="018708B0" w:rsidR="0051344A" w:rsidRPr="00FD0663" w:rsidRDefault="0051344A" w:rsidP="00B441E1">
      <w:pPr>
        <w:pStyle w:val="BodyA"/>
        <w:shd w:val="clear" w:color="auto" w:fill="FFFFFF"/>
        <w:jc w:val="both"/>
        <w:rPr>
          <w:rFonts w:cs="Times New Roman"/>
          <w:b/>
          <w:lang w:val="fr-CH"/>
        </w:rPr>
      </w:pPr>
      <w:r w:rsidRPr="00FD0663">
        <w:rPr>
          <w:rFonts w:cs="Times New Roman"/>
          <w:b/>
          <w:lang w:val="fr-CH"/>
        </w:rPr>
        <w:t>Guerre et / ou conflit</w:t>
      </w:r>
    </w:p>
    <w:p w14:paraId="1922A73C" w14:textId="77777777" w:rsidR="00F719B6" w:rsidRPr="00FD0663" w:rsidRDefault="00F719B6" w:rsidP="00B441E1">
      <w:pPr>
        <w:pStyle w:val="BodyA"/>
        <w:shd w:val="clear" w:color="auto" w:fill="FFFFFF"/>
        <w:jc w:val="both"/>
        <w:rPr>
          <w:rFonts w:cs="Times New Roman"/>
          <w:b/>
          <w:lang w:val="fr-CH"/>
        </w:rPr>
      </w:pPr>
    </w:p>
    <w:p w14:paraId="57A93F71" w14:textId="5732C2FE" w:rsidR="0051344A" w:rsidRPr="00DF51B7" w:rsidRDefault="0051344A" w:rsidP="00B441E1">
      <w:pPr>
        <w:pStyle w:val="BodyA"/>
        <w:numPr>
          <w:ilvl w:val="0"/>
          <w:numId w:val="1"/>
        </w:numPr>
        <w:shd w:val="clear" w:color="auto" w:fill="FFFFFF"/>
        <w:jc w:val="both"/>
        <w:rPr>
          <w:rFonts w:cs="Times New Roman"/>
          <w:lang w:val="fr-CH"/>
        </w:rPr>
      </w:pPr>
      <w:r w:rsidRPr="00DF51B7">
        <w:rPr>
          <w:rFonts w:cs="Times New Roman"/>
          <w:lang w:val="fr-CH"/>
        </w:rPr>
        <w:t>Le viol est-il érigé en crime de guerre ou crime contre l'humanité</w:t>
      </w:r>
      <w:r w:rsidR="00DF51B7" w:rsidRPr="00DF51B7">
        <w:rPr>
          <w:rFonts w:cs="Times New Roman"/>
          <w:lang w:val="fr-CH"/>
        </w:rPr>
        <w:t xml:space="preserve"> </w:t>
      </w:r>
      <w:r w:rsidRPr="00DF51B7">
        <w:rPr>
          <w:rFonts w:cs="Times New Roman"/>
          <w:lang w:val="fr-CH"/>
        </w:rPr>
        <w:t>? OUI/</w:t>
      </w:r>
      <w:r w:rsidRPr="00DF51B7">
        <w:rPr>
          <w:rFonts w:cs="Times New Roman"/>
          <w:highlight w:val="yellow"/>
          <w:lang w:val="fr-CH"/>
        </w:rPr>
        <w:t>NON</w:t>
      </w:r>
    </w:p>
    <w:p w14:paraId="570B0147" w14:textId="77777777" w:rsidR="00B441E1" w:rsidRPr="00FD0663" w:rsidRDefault="00B441E1" w:rsidP="00B441E1">
      <w:pPr>
        <w:pStyle w:val="BodyA"/>
        <w:shd w:val="clear" w:color="auto" w:fill="FFFFFF"/>
        <w:ind w:left="720"/>
        <w:jc w:val="both"/>
        <w:rPr>
          <w:rFonts w:cs="Times New Roman"/>
          <w:lang w:val="fr-CH"/>
        </w:rPr>
      </w:pPr>
    </w:p>
    <w:p w14:paraId="12F3B855" w14:textId="516F78F2" w:rsidR="0051344A" w:rsidRPr="00FD0663" w:rsidRDefault="0051344A" w:rsidP="00B441E1">
      <w:pPr>
        <w:pStyle w:val="BodyA"/>
        <w:numPr>
          <w:ilvl w:val="0"/>
          <w:numId w:val="1"/>
        </w:numPr>
        <w:shd w:val="clear" w:color="auto" w:fill="FFFFFF"/>
        <w:jc w:val="both"/>
        <w:rPr>
          <w:rFonts w:cs="Times New Roman"/>
          <w:lang w:val="fr-CH"/>
        </w:rPr>
      </w:pPr>
      <w:r w:rsidRPr="00FD0663">
        <w:rPr>
          <w:rFonts w:cs="Times New Roman"/>
          <w:lang w:val="fr-CH"/>
        </w:rPr>
        <w:t>Existe-t-il un délai de prescription pour poursuivre les viols en temps de guerre ou dans des contextes de conflit</w:t>
      </w:r>
      <w:r w:rsidR="00DF51B7">
        <w:rPr>
          <w:rFonts w:cs="Times New Roman"/>
          <w:lang w:val="fr-CH"/>
        </w:rPr>
        <w:t xml:space="preserve"> </w:t>
      </w:r>
      <w:r w:rsidRPr="00FD0663">
        <w:rPr>
          <w:rFonts w:cs="Times New Roman"/>
          <w:lang w:val="fr-CH"/>
        </w:rPr>
        <w:t>? OUI/</w:t>
      </w:r>
      <w:r w:rsidRPr="00DF51B7">
        <w:rPr>
          <w:rFonts w:cs="Times New Roman"/>
          <w:highlight w:val="yellow"/>
          <w:lang w:val="fr-CH"/>
        </w:rPr>
        <w:t>NON</w:t>
      </w:r>
    </w:p>
    <w:p w14:paraId="065750C7" w14:textId="696B9E93" w:rsidR="00B441E1" w:rsidRPr="00FD0663" w:rsidRDefault="00B441E1" w:rsidP="00B441E1">
      <w:pPr>
        <w:pStyle w:val="BodyA"/>
        <w:shd w:val="clear" w:color="auto" w:fill="FFFFFF"/>
        <w:jc w:val="both"/>
        <w:rPr>
          <w:rFonts w:cs="Times New Roman"/>
          <w:lang w:val="fr-CH"/>
        </w:rPr>
      </w:pPr>
    </w:p>
    <w:p w14:paraId="2AF34609" w14:textId="3B47464B" w:rsidR="0051344A" w:rsidRPr="00FD0663" w:rsidRDefault="0051344A" w:rsidP="00B441E1">
      <w:pPr>
        <w:pStyle w:val="BodyA"/>
        <w:numPr>
          <w:ilvl w:val="0"/>
          <w:numId w:val="1"/>
        </w:numPr>
        <w:shd w:val="clear" w:color="auto" w:fill="FFFFFF"/>
        <w:jc w:val="both"/>
        <w:rPr>
          <w:rFonts w:cs="Times New Roman"/>
          <w:lang w:val="fr-CH"/>
        </w:rPr>
      </w:pPr>
      <w:r w:rsidRPr="00FD0663">
        <w:rPr>
          <w:rFonts w:cs="Times New Roman"/>
          <w:lang w:val="fr-CH"/>
        </w:rPr>
        <w:t>Existe-t-il des dispositions explicites excluant les délais de prescription pour les viols commis pendant la guerre et les conflits armés</w:t>
      </w:r>
      <w:r w:rsidR="00DF51B7">
        <w:rPr>
          <w:rFonts w:cs="Times New Roman"/>
          <w:lang w:val="fr-CH"/>
        </w:rPr>
        <w:t xml:space="preserve"> </w:t>
      </w:r>
      <w:r w:rsidRPr="00FD0663">
        <w:rPr>
          <w:rFonts w:cs="Times New Roman"/>
          <w:lang w:val="fr-CH"/>
        </w:rPr>
        <w:t xml:space="preserve">? </w:t>
      </w:r>
      <w:r w:rsidRPr="00DF51B7">
        <w:rPr>
          <w:rFonts w:cs="Times New Roman"/>
          <w:lang w:val="fr-CH"/>
        </w:rPr>
        <w:t>OUI/</w:t>
      </w:r>
      <w:r w:rsidRPr="00DF51B7">
        <w:rPr>
          <w:rFonts w:cs="Times New Roman"/>
          <w:highlight w:val="yellow"/>
          <w:lang w:val="fr-CH"/>
        </w:rPr>
        <w:t>NON</w:t>
      </w:r>
    </w:p>
    <w:p w14:paraId="777E3139" w14:textId="2DC0AE6A" w:rsidR="00B441E1" w:rsidRPr="00FD0663" w:rsidRDefault="00B441E1" w:rsidP="00B441E1">
      <w:pPr>
        <w:pStyle w:val="BodyA"/>
        <w:shd w:val="clear" w:color="auto" w:fill="FFFFFF"/>
        <w:jc w:val="both"/>
        <w:rPr>
          <w:rFonts w:cs="Times New Roman"/>
          <w:lang w:val="fr-CH"/>
        </w:rPr>
      </w:pPr>
    </w:p>
    <w:p w14:paraId="51D280BD" w14:textId="7A11CFA9" w:rsidR="0051344A" w:rsidRPr="00DF51B7" w:rsidRDefault="0051344A" w:rsidP="00B441E1">
      <w:pPr>
        <w:pStyle w:val="BodyA"/>
        <w:numPr>
          <w:ilvl w:val="0"/>
          <w:numId w:val="1"/>
        </w:numPr>
        <w:shd w:val="clear" w:color="auto" w:fill="FFFFFF"/>
        <w:jc w:val="both"/>
        <w:rPr>
          <w:rFonts w:cs="Times New Roman"/>
          <w:lang w:val="fr-CH"/>
        </w:rPr>
      </w:pPr>
      <w:r w:rsidRPr="00FD0663">
        <w:rPr>
          <w:rFonts w:cs="Times New Roman"/>
          <w:lang w:val="fr-CH"/>
        </w:rPr>
        <w:t>Le Statut de Rome de la Cour pénale internationale (CPI) a-t-il été ratifié</w:t>
      </w:r>
      <w:r w:rsidR="00DF51B7">
        <w:rPr>
          <w:rFonts w:cs="Times New Roman"/>
          <w:lang w:val="fr-CH"/>
        </w:rPr>
        <w:t xml:space="preserve"> </w:t>
      </w:r>
      <w:r w:rsidRPr="00FD0663">
        <w:rPr>
          <w:rFonts w:cs="Times New Roman"/>
          <w:lang w:val="fr-CH"/>
        </w:rPr>
        <w:t xml:space="preserve">? </w:t>
      </w:r>
      <w:r w:rsidRPr="00DF51B7">
        <w:rPr>
          <w:rFonts w:cs="Times New Roman"/>
          <w:highlight w:val="yellow"/>
          <w:lang w:val="fr-CH"/>
        </w:rPr>
        <w:t>OUI</w:t>
      </w:r>
      <w:r w:rsidRPr="00FD0663">
        <w:rPr>
          <w:rFonts w:cs="Times New Roman"/>
          <w:lang w:val="fr-CH"/>
        </w:rPr>
        <w:t>/</w:t>
      </w:r>
      <w:r w:rsidRPr="00DF51B7">
        <w:rPr>
          <w:rFonts w:cs="Times New Roman"/>
          <w:lang w:val="fr-CH"/>
        </w:rPr>
        <w:t>NON</w:t>
      </w:r>
    </w:p>
    <w:p w14:paraId="13A1B8B7" w14:textId="6763AF83" w:rsidR="0051344A" w:rsidRPr="00FD0663" w:rsidRDefault="000256BB" w:rsidP="00DF51B7">
      <w:pPr>
        <w:pStyle w:val="BodyA"/>
        <w:shd w:val="clear" w:color="auto" w:fill="FFFFFF" w:themeFill="background1"/>
        <w:ind w:firstLine="360"/>
        <w:jc w:val="both"/>
        <w:rPr>
          <w:rFonts w:cs="Times New Roman"/>
          <w:lang w:val="fr-FR"/>
        </w:rPr>
      </w:pPr>
      <w:r w:rsidRPr="00FD0663">
        <w:rPr>
          <w:rFonts w:cs="Times New Roman"/>
          <w:lang w:val="fr-FR"/>
        </w:rPr>
        <w:t>Le Parlement a autorisé la ratification du Statut de Rome par la loi n°2005-035 du 22 décembre 2005. Le 14 mars 2008, le gouvernement du Madagascar a déposé son instrument de ratification du Statut de Rome. Le Statut est entré en vigueur pour Madagascar le 1er juin 2008. Madagascar est le 106</w:t>
      </w:r>
      <w:r w:rsidRPr="00FD0663">
        <w:rPr>
          <w:rFonts w:cs="Times New Roman"/>
          <w:vertAlign w:val="superscript"/>
          <w:lang w:val="fr-FR"/>
        </w:rPr>
        <w:t>ème</w:t>
      </w:r>
      <w:r w:rsidRPr="00FD0663">
        <w:rPr>
          <w:rFonts w:cs="Times New Roman"/>
          <w:lang w:val="fr-FR"/>
        </w:rPr>
        <w:t xml:space="preserve"> Etats parties au Statut de Rome</w:t>
      </w:r>
      <w:r w:rsidR="00DF51B7">
        <w:rPr>
          <w:rStyle w:val="FootnoteReference"/>
          <w:rFonts w:cs="Times New Roman"/>
          <w:lang w:val="fr-FR"/>
        </w:rPr>
        <w:footnoteReference w:id="20"/>
      </w:r>
      <w:r w:rsidRPr="00FD0663">
        <w:rPr>
          <w:rFonts w:cs="Times New Roman"/>
          <w:lang w:val="fr-FR"/>
        </w:rPr>
        <w:t>.</w:t>
      </w:r>
      <w:r w:rsidR="00C75399" w:rsidRPr="00FD0663">
        <w:rPr>
          <w:rFonts w:cs="Times New Roman"/>
          <w:lang w:val="fr-FR"/>
        </w:rPr>
        <w:t>.</w:t>
      </w:r>
    </w:p>
    <w:p w14:paraId="42D87F2D" w14:textId="77777777" w:rsidR="00DF51B7" w:rsidRDefault="00DF51B7" w:rsidP="00B441E1">
      <w:pPr>
        <w:pStyle w:val="BodyA"/>
        <w:shd w:val="clear" w:color="auto" w:fill="FFFFFF"/>
        <w:jc w:val="both"/>
        <w:rPr>
          <w:rFonts w:cs="Times New Roman"/>
          <w:b/>
          <w:lang w:val="fr-CH"/>
        </w:rPr>
      </w:pPr>
    </w:p>
    <w:p w14:paraId="6CE58D95" w14:textId="77777777" w:rsidR="00DF51B7" w:rsidRDefault="00DF51B7" w:rsidP="00B441E1">
      <w:pPr>
        <w:pStyle w:val="BodyA"/>
        <w:shd w:val="clear" w:color="auto" w:fill="FFFFFF"/>
        <w:jc w:val="both"/>
        <w:rPr>
          <w:rFonts w:cs="Times New Roman"/>
          <w:b/>
          <w:lang w:val="fr-CH"/>
        </w:rPr>
      </w:pPr>
    </w:p>
    <w:p w14:paraId="3E380718" w14:textId="3D756FBC" w:rsidR="0051344A" w:rsidRDefault="00B441E1" w:rsidP="00B441E1">
      <w:pPr>
        <w:pStyle w:val="BodyA"/>
        <w:shd w:val="clear" w:color="auto" w:fill="FFFFFF"/>
        <w:jc w:val="both"/>
        <w:rPr>
          <w:rFonts w:cs="Times New Roman"/>
          <w:b/>
          <w:lang w:val="fr-CH"/>
        </w:rPr>
      </w:pPr>
      <w:r w:rsidRPr="00FD0663">
        <w:rPr>
          <w:rFonts w:cs="Times New Roman"/>
          <w:b/>
          <w:lang w:val="fr-CH"/>
        </w:rPr>
        <w:t>D</w:t>
      </w:r>
      <w:r w:rsidR="0051344A" w:rsidRPr="00FD0663">
        <w:rPr>
          <w:rFonts w:cs="Times New Roman"/>
          <w:b/>
          <w:lang w:val="fr-CH"/>
        </w:rPr>
        <w:t>onnées</w:t>
      </w:r>
    </w:p>
    <w:p w14:paraId="5D4C5AA2" w14:textId="77777777" w:rsidR="00DF51B7" w:rsidRPr="00FD0663" w:rsidRDefault="00DF51B7" w:rsidP="00B441E1">
      <w:pPr>
        <w:pStyle w:val="BodyA"/>
        <w:shd w:val="clear" w:color="auto" w:fill="FFFFFF"/>
        <w:jc w:val="both"/>
        <w:rPr>
          <w:rFonts w:cs="Times New Roman"/>
          <w:b/>
          <w:lang w:val="fr-CH"/>
        </w:rPr>
      </w:pPr>
    </w:p>
    <w:p w14:paraId="66754660" w14:textId="48A4BB1B" w:rsidR="00F21FB0" w:rsidRPr="00FD0663" w:rsidRDefault="0051344A" w:rsidP="00F21FB0">
      <w:pPr>
        <w:pStyle w:val="BodyA"/>
        <w:numPr>
          <w:ilvl w:val="0"/>
          <w:numId w:val="1"/>
        </w:numPr>
        <w:shd w:val="clear" w:color="auto" w:fill="FFFFFF"/>
        <w:jc w:val="both"/>
        <w:rPr>
          <w:rFonts w:cs="Times New Roman"/>
          <w:lang w:val="fr-CH"/>
        </w:rPr>
      </w:pPr>
      <w:r w:rsidRPr="00FD0663">
        <w:rPr>
          <w:rFonts w:cs="Times New Roman"/>
          <w:lang w:val="fr-CH"/>
        </w:rPr>
        <w:t>Veuillez fournir des données sur le nombre de cas de viol signalés, poursuivis et sanctionnés au cours des deux à cinq dernières années.</w:t>
      </w:r>
      <w:r w:rsidR="00D127B5">
        <w:rPr>
          <w:rStyle w:val="FootnoteReference"/>
          <w:rFonts w:cs="Times New Roman"/>
          <w:lang w:val="fr-CH"/>
        </w:rPr>
        <w:footnoteReference w:id="21"/>
      </w:r>
    </w:p>
    <w:p w14:paraId="4E30AB27" w14:textId="553DE2CD" w:rsidR="0051344A" w:rsidRDefault="0051344A" w:rsidP="00B441E1">
      <w:pPr>
        <w:pStyle w:val="BodyA"/>
        <w:shd w:val="clear" w:color="auto" w:fill="FFFFFF"/>
        <w:jc w:val="both"/>
        <w:rPr>
          <w:rFonts w:cs="Times New Roman"/>
          <w:lang w:val="fr-CH"/>
        </w:rPr>
      </w:pPr>
    </w:p>
    <w:tbl>
      <w:tblPr>
        <w:tblStyle w:val="TableGrid"/>
        <w:tblW w:w="0" w:type="auto"/>
        <w:tblLook w:val="04A0" w:firstRow="1" w:lastRow="0" w:firstColumn="1" w:lastColumn="0" w:noHBand="0" w:noVBand="1"/>
      </w:tblPr>
      <w:tblGrid>
        <w:gridCol w:w="2254"/>
        <w:gridCol w:w="2254"/>
        <w:gridCol w:w="2254"/>
        <w:gridCol w:w="2254"/>
      </w:tblGrid>
      <w:tr w:rsidR="00DF51B7" w14:paraId="68D23E57" w14:textId="77777777" w:rsidTr="00DF51B7">
        <w:tc>
          <w:tcPr>
            <w:tcW w:w="2254" w:type="dxa"/>
          </w:tcPr>
          <w:p w14:paraId="61363F2F" w14:textId="3C1841B6" w:rsidR="00DF51B7" w:rsidRDefault="00DF51B7" w:rsidP="00D127B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lang w:val="fr-CH"/>
              </w:rPr>
            </w:pPr>
            <w:r>
              <w:rPr>
                <w:rFonts w:cs="Times New Roman"/>
                <w:lang w:val="fr-CH"/>
              </w:rPr>
              <w:t>Année</w:t>
            </w:r>
          </w:p>
        </w:tc>
        <w:tc>
          <w:tcPr>
            <w:tcW w:w="2254" w:type="dxa"/>
          </w:tcPr>
          <w:p w14:paraId="7922E3C9" w14:textId="6079B10A" w:rsidR="00DF51B7" w:rsidRDefault="00D127B5" w:rsidP="00D127B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lang w:val="fr-CH"/>
              </w:rPr>
            </w:pPr>
            <w:r>
              <w:rPr>
                <w:rFonts w:cs="Times New Roman"/>
                <w:lang w:val="fr-CH"/>
              </w:rPr>
              <w:t>Nombre de viol signalés</w:t>
            </w:r>
          </w:p>
        </w:tc>
        <w:tc>
          <w:tcPr>
            <w:tcW w:w="2254" w:type="dxa"/>
          </w:tcPr>
          <w:p w14:paraId="4A897D92" w14:textId="2E55112A" w:rsidR="00DF51B7" w:rsidRDefault="00D127B5" w:rsidP="00D127B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lang w:val="fr-CH"/>
              </w:rPr>
            </w:pPr>
            <w:r>
              <w:rPr>
                <w:rFonts w:cs="Times New Roman"/>
                <w:lang w:val="fr-CH"/>
              </w:rPr>
              <w:t>Nombres de viols ayant donné lieu à des poursuites pénales</w:t>
            </w:r>
          </w:p>
        </w:tc>
        <w:tc>
          <w:tcPr>
            <w:tcW w:w="2254" w:type="dxa"/>
          </w:tcPr>
          <w:p w14:paraId="17A32514" w14:textId="3911871E" w:rsidR="00DF51B7" w:rsidRDefault="00D127B5" w:rsidP="00D127B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lang w:val="fr-CH"/>
              </w:rPr>
            </w:pPr>
            <w:r>
              <w:rPr>
                <w:rFonts w:cs="Times New Roman"/>
                <w:lang w:val="fr-CH"/>
              </w:rPr>
              <w:t>Nombre de viol sanctionnés</w:t>
            </w:r>
          </w:p>
        </w:tc>
      </w:tr>
      <w:tr w:rsidR="00DF51B7" w14:paraId="29195BD7" w14:textId="77777777" w:rsidTr="00DF51B7">
        <w:tc>
          <w:tcPr>
            <w:tcW w:w="2254" w:type="dxa"/>
          </w:tcPr>
          <w:p w14:paraId="64AE73C8" w14:textId="373062CA" w:rsidR="00DF51B7" w:rsidRDefault="00D127B5" w:rsidP="00D127B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lang w:val="fr-CH"/>
              </w:rPr>
            </w:pPr>
            <w:r>
              <w:rPr>
                <w:rFonts w:cs="Times New Roman"/>
                <w:lang w:val="fr-CH"/>
              </w:rPr>
              <w:t>2019</w:t>
            </w:r>
          </w:p>
        </w:tc>
        <w:tc>
          <w:tcPr>
            <w:tcW w:w="2254" w:type="dxa"/>
          </w:tcPr>
          <w:p w14:paraId="139CBA3E" w14:textId="229BCF74" w:rsidR="00DF51B7" w:rsidRDefault="00D127B5" w:rsidP="00D127B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lang w:val="fr-CH"/>
              </w:rPr>
            </w:pPr>
            <w:r>
              <w:rPr>
                <w:rFonts w:cs="Times New Roman"/>
                <w:lang w:val="fr-CH"/>
              </w:rPr>
              <w:t>Non précisé</w:t>
            </w:r>
          </w:p>
        </w:tc>
        <w:tc>
          <w:tcPr>
            <w:tcW w:w="2254" w:type="dxa"/>
          </w:tcPr>
          <w:p w14:paraId="7EA1964A" w14:textId="5142DB8B" w:rsidR="00DF51B7" w:rsidRDefault="00D127B5" w:rsidP="00D127B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lang w:val="fr-CH"/>
              </w:rPr>
            </w:pPr>
            <w:r>
              <w:rPr>
                <w:rFonts w:cs="Times New Roman"/>
                <w:lang w:val="fr-CH"/>
              </w:rPr>
              <w:t>318</w:t>
            </w:r>
          </w:p>
        </w:tc>
        <w:tc>
          <w:tcPr>
            <w:tcW w:w="2254" w:type="dxa"/>
          </w:tcPr>
          <w:p w14:paraId="180F96D0" w14:textId="797DC95C" w:rsidR="00DF51B7" w:rsidRDefault="00D127B5" w:rsidP="00D127B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lang w:val="fr-CH"/>
              </w:rPr>
            </w:pPr>
            <w:r>
              <w:rPr>
                <w:rFonts w:cs="Times New Roman"/>
                <w:lang w:val="fr-CH"/>
              </w:rPr>
              <w:t>Non précisé</w:t>
            </w:r>
          </w:p>
        </w:tc>
      </w:tr>
      <w:tr w:rsidR="00DF51B7" w14:paraId="4A9240C2" w14:textId="77777777" w:rsidTr="00DF51B7">
        <w:tc>
          <w:tcPr>
            <w:tcW w:w="2254" w:type="dxa"/>
          </w:tcPr>
          <w:p w14:paraId="4CE51C60" w14:textId="00294D7F" w:rsidR="00DF51B7" w:rsidRDefault="00D127B5" w:rsidP="00D127B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lang w:val="fr-CH"/>
              </w:rPr>
            </w:pPr>
            <w:r>
              <w:rPr>
                <w:rFonts w:cs="Times New Roman"/>
                <w:lang w:val="fr-CH"/>
              </w:rPr>
              <w:t>2020</w:t>
            </w:r>
          </w:p>
        </w:tc>
        <w:tc>
          <w:tcPr>
            <w:tcW w:w="2254" w:type="dxa"/>
          </w:tcPr>
          <w:p w14:paraId="0C7E5D7A" w14:textId="690905CB" w:rsidR="00DF51B7" w:rsidRDefault="00D127B5" w:rsidP="00D127B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lang w:val="fr-CH"/>
              </w:rPr>
            </w:pPr>
            <w:r>
              <w:rPr>
                <w:rFonts w:cs="Times New Roman"/>
                <w:lang w:val="fr-CH"/>
              </w:rPr>
              <w:t>Non précisé</w:t>
            </w:r>
          </w:p>
        </w:tc>
        <w:tc>
          <w:tcPr>
            <w:tcW w:w="2254" w:type="dxa"/>
          </w:tcPr>
          <w:p w14:paraId="66D4D98D" w14:textId="07AF7761" w:rsidR="00DF51B7" w:rsidRDefault="00D127B5" w:rsidP="00D127B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lang w:val="fr-CH"/>
              </w:rPr>
            </w:pPr>
            <w:r>
              <w:rPr>
                <w:rFonts w:cs="Times New Roman"/>
                <w:lang w:val="fr-CH"/>
              </w:rPr>
              <w:t>46</w:t>
            </w:r>
          </w:p>
        </w:tc>
        <w:tc>
          <w:tcPr>
            <w:tcW w:w="2254" w:type="dxa"/>
          </w:tcPr>
          <w:p w14:paraId="0EAAD3F6" w14:textId="7F134A9F" w:rsidR="00DF51B7" w:rsidRDefault="00D127B5" w:rsidP="00D127B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lang w:val="fr-CH"/>
              </w:rPr>
            </w:pPr>
            <w:r>
              <w:rPr>
                <w:rFonts w:cs="Times New Roman"/>
                <w:lang w:val="fr-CH"/>
              </w:rPr>
              <w:t>Non précisé</w:t>
            </w:r>
          </w:p>
        </w:tc>
      </w:tr>
    </w:tbl>
    <w:p w14:paraId="4232A62B" w14:textId="2C1D9557" w:rsidR="00DF51B7" w:rsidRDefault="00DF51B7" w:rsidP="00D127B5">
      <w:pPr>
        <w:pStyle w:val="BodyA"/>
        <w:shd w:val="clear" w:color="auto" w:fill="FFFFFF"/>
        <w:jc w:val="center"/>
        <w:rPr>
          <w:rFonts w:cs="Times New Roman"/>
          <w:lang w:val="fr-CH"/>
        </w:rPr>
      </w:pPr>
    </w:p>
    <w:p w14:paraId="05F6FCA8" w14:textId="6F476889" w:rsidR="00DF51B7" w:rsidRDefault="00DF51B7" w:rsidP="00B441E1">
      <w:pPr>
        <w:pStyle w:val="BodyA"/>
        <w:shd w:val="clear" w:color="auto" w:fill="FFFFFF"/>
        <w:jc w:val="both"/>
        <w:rPr>
          <w:rFonts w:cs="Times New Roman"/>
          <w:lang w:val="fr-CH"/>
        </w:rPr>
      </w:pPr>
    </w:p>
    <w:p w14:paraId="21822FC1" w14:textId="1A6ECCD1" w:rsidR="00DF51B7" w:rsidRDefault="00DF51B7" w:rsidP="00B441E1">
      <w:pPr>
        <w:pStyle w:val="BodyA"/>
        <w:shd w:val="clear" w:color="auto" w:fill="FFFFFF"/>
        <w:jc w:val="both"/>
        <w:rPr>
          <w:rFonts w:cs="Times New Roman"/>
          <w:lang w:val="fr-CH"/>
        </w:rPr>
      </w:pPr>
    </w:p>
    <w:p w14:paraId="27B42F44" w14:textId="77777777" w:rsidR="00DF51B7" w:rsidRPr="00FD0663" w:rsidRDefault="00DF51B7" w:rsidP="00B441E1">
      <w:pPr>
        <w:pStyle w:val="BodyA"/>
        <w:shd w:val="clear" w:color="auto" w:fill="FFFFFF"/>
        <w:jc w:val="both"/>
        <w:rPr>
          <w:rFonts w:cs="Times New Roman"/>
          <w:lang w:val="fr-CH"/>
        </w:rPr>
      </w:pPr>
    </w:p>
    <w:p w14:paraId="3C22C458" w14:textId="77777777" w:rsidR="0051344A" w:rsidRPr="00FD0663" w:rsidRDefault="0051344A" w:rsidP="00B441E1">
      <w:pPr>
        <w:pStyle w:val="BodyA"/>
        <w:shd w:val="clear" w:color="auto" w:fill="FFFFFF"/>
        <w:jc w:val="both"/>
        <w:rPr>
          <w:rFonts w:cs="Times New Roman"/>
          <w:b/>
          <w:lang w:val="fr-CH"/>
        </w:rPr>
      </w:pPr>
      <w:r w:rsidRPr="00FD0663">
        <w:rPr>
          <w:rFonts w:cs="Times New Roman"/>
          <w:b/>
          <w:lang w:val="fr-CH"/>
        </w:rPr>
        <w:t>Autre</w:t>
      </w:r>
    </w:p>
    <w:p w14:paraId="1CD34142" w14:textId="6FDAA055" w:rsidR="0051344A" w:rsidRDefault="0051344A" w:rsidP="00B441E1">
      <w:pPr>
        <w:pStyle w:val="BodyA"/>
        <w:numPr>
          <w:ilvl w:val="0"/>
          <w:numId w:val="1"/>
        </w:numPr>
        <w:shd w:val="clear" w:color="auto" w:fill="FFFFFF"/>
        <w:jc w:val="both"/>
        <w:rPr>
          <w:rFonts w:cs="Times New Roman"/>
          <w:color w:val="auto"/>
          <w:lang w:val="fr-CH"/>
        </w:rPr>
      </w:pPr>
      <w:r w:rsidRPr="00D127B5">
        <w:rPr>
          <w:rFonts w:cs="Times New Roman"/>
          <w:color w:val="auto"/>
          <w:lang w:val="fr-CH"/>
        </w:rPr>
        <w:t xml:space="preserve">Veuillez expliquer tout obstacle particulier et supplémentaire à la dénonciation et à la poursuite </w:t>
      </w:r>
      <w:r w:rsidR="00B91123" w:rsidRPr="00D127B5">
        <w:rPr>
          <w:rFonts w:cs="Times New Roman"/>
          <w:color w:val="auto"/>
          <w:lang w:val="fr-CH"/>
        </w:rPr>
        <w:t>du</w:t>
      </w:r>
      <w:r w:rsidRPr="00D127B5">
        <w:rPr>
          <w:rFonts w:cs="Times New Roman"/>
          <w:color w:val="auto"/>
          <w:lang w:val="fr-CH"/>
        </w:rPr>
        <w:t xml:space="preserve"> viol</w:t>
      </w:r>
      <w:r w:rsidR="00B91123" w:rsidRPr="00D127B5">
        <w:rPr>
          <w:rFonts w:cs="Times New Roman"/>
          <w:color w:val="auto"/>
          <w:lang w:val="fr-CH"/>
        </w:rPr>
        <w:t xml:space="preserve"> et à la responsabilité de l'Ét</w:t>
      </w:r>
      <w:r w:rsidR="00673A3A" w:rsidRPr="00D127B5">
        <w:rPr>
          <w:rFonts w:cs="Times New Roman"/>
          <w:color w:val="auto"/>
          <w:lang w:val="fr-CH"/>
        </w:rPr>
        <w:t>a</w:t>
      </w:r>
      <w:r w:rsidRPr="00D127B5">
        <w:rPr>
          <w:rFonts w:cs="Times New Roman"/>
          <w:color w:val="auto"/>
          <w:lang w:val="fr-CH"/>
        </w:rPr>
        <w:t>t des auteurs dans votre contexte juridique et social non couvert par ce qui précède.</w:t>
      </w:r>
    </w:p>
    <w:p w14:paraId="3145D630" w14:textId="77777777" w:rsidR="00D127B5" w:rsidRPr="00D127B5" w:rsidRDefault="00D127B5" w:rsidP="00D127B5">
      <w:pPr>
        <w:pStyle w:val="BodyA"/>
        <w:shd w:val="clear" w:color="auto" w:fill="FFFFFF"/>
        <w:ind w:left="720"/>
        <w:jc w:val="both"/>
        <w:rPr>
          <w:rFonts w:cs="Times New Roman"/>
          <w:color w:val="auto"/>
          <w:lang w:val="fr-CH"/>
        </w:rPr>
      </w:pPr>
    </w:p>
    <w:p w14:paraId="1BC3E1B5" w14:textId="7F35A30F" w:rsidR="00F21FB0" w:rsidRPr="00FD0663" w:rsidRDefault="00F21FB0" w:rsidP="00D127B5">
      <w:pPr>
        <w:pStyle w:val="BodyA"/>
        <w:shd w:val="clear" w:color="auto" w:fill="FFFFFF"/>
        <w:ind w:firstLine="360"/>
        <w:jc w:val="both"/>
        <w:rPr>
          <w:rFonts w:cs="Times New Roman"/>
          <w:color w:val="auto"/>
          <w:lang w:val="fr-CH"/>
        </w:rPr>
      </w:pPr>
      <w:r w:rsidRPr="00FD0663">
        <w:rPr>
          <w:rFonts w:cs="Times New Roman"/>
          <w:color w:val="auto"/>
          <w:lang w:val="fr-CH"/>
        </w:rPr>
        <w:t>A Madagascar, le contexte social tend souvent à considérer le sexe et tout ce qui y est lié comme un sujet tabou</w:t>
      </w:r>
      <w:r w:rsidR="00110544" w:rsidRPr="00FD0663">
        <w:rPr>
          <w:rFonts w:cs="Times New Roman"/>
          <w:color w:val="auto"/>
          <w:lang w:val="fr-CH"/>
        </w:rPr>
        <w:t xml:space="preserve"> </w:t>
      </w:r>
      <w:r w:rsidR="00110544" w:rsidRPr="00D127B5">
        <w:rPr>
          <w:rFonts w:cs="Times New Roman"/>
          <w:color w:val="auto"/>
          <w:shd w:val="clear" w:color="auto" w:fill="FFFFFF" w:themeFill="background1"/>
          <w:lang w:val="fr-CH"/>
        </w:rPr>
        <w:t>d’autant</w:t>
      </w:r>
      <w:r w:rsidR="00D127B5">
        <w:rPr>
          <w:rFonts w:cs="Times New Roman"/>
          <w:color w:val="auto"/>
          <w:shd w:val="clear" w:color="auto" w:fill="FFFFFF" w:themeFill="background1"/>
          <w:lang w:val="fr-CH"/>
        </w:rPr>
        <w:t xml:space="preserve"> plus</w:t>
      </w:r>
      <w:r w:rsidR="00110544" w:rsidRPr="00D127B5">
        <w:rPr>
          <w:rFonts w:cs="Times New Roman"/>
          <w:color w:val="auto"/>
          <w:shd w:val="clear" w:color="auto" w:fill="FFFFFF" w:themeFill="background1"/>
          <w:lang w:val="fr-CH"/>
        </w:rPr>
        <w:t xml:space="preserve"> que </w:t>
      </w:r>
      <w:r w:rsidR="00110544" w:rsidRPr="00D127B5">
        <w:rPr>
          <w:rFonts w:cs="Times New Roman"/>
          <w:shd w:val="clear" w:color="auto" w:fill="FFFFFF" w:themeFill="background1"/>
          <w:lang w:val="fr-FR"/>
        </w:rPr>
        <w:t>l’acte est souvent</w:t>
      </w:r>
      <w:r w:rsidR="00110544" w:rsidRPr="00D127B5">
        <w:rPr>
          <w:rFonts w:cs="Times New Roman"/>
          <w:color w:val="auto"/>
          <w:shd w:val="clear" w:color="auto" w:fill="FFFFFF" w:themeFill="background1"/>
          <w:lang w:val="fr-CH"/>
        </w:rPr>
        <w:t xml:space="preserve"> </w:t>
      </w:r>
      <w:r w:rsidR="00110544" w:rsidRPr="00D127B5">
        <w:rPr>
          <w:rFonts w:cs="Times New Roman"/>
          <w:shd w:val="clear" w:color="auto" w:fill="FFFFFF" w:themeFill="background1"/>
          <w:lang w:val="fr-FR"/>
        </w:rPr>
        <w:t>perçu comme relevant de la sphère privée</w:t>
      </w:r>
      <w:r w:rsidR="00110544" w:rsidRPr="00FD0663">
        <w:rPr>
          <w:rFonts w:cs="Times New Roman"/>
          <w:lang w:val="fr-FR"/>
        </w:rPr>
        <w:t>.</w:t>
      </w:r>
      <w:r w:rsidR="00110544" w:rsidRPr="00FD0663">
        <w:rPr>
          <w:rFonts w:cs="Times New Roman"/>
          <w:color w:val="auto"/>
          <w:lang w:val="fr-CH"/>
        </w:rPr>
        <w:t xml:space="preserve"> </w:t>
      </w:r>
      <w:r w:rsidRPr="00FD0663">
        <w:rPr>
          <w:rFonts w:cs="Times New Roman"/>
          <w:color w:val="auto"/>
          <w:lang w:val="fr-CH"/>
        </w:rPr>
        <w:t>Par conséquent, il arrive que la victime elle-même ou ses parents ou toute autre personne exerçant l’autorité parentale ne portent pas plainte</w:t>
      </w:r>
      <w:r w:rsidR="00D127B5">
        <w:rPr>
          <w:rFonts w:cs="Times New Roman"/>
          <w:color w:val="auto"/>
          <w:lang w:val="fr-CH"/>
        </w:rPr>
        <w:t xml:space="preserve"> afin de</w:t>
      </w:r>
      <w:r w:rsidR="00110544" w:rsidRPr="00D127B5">
        <w:rPr>
          <w:rFonts w:cs="Times New Roman"/>
          <w:color w:val="auto"/>
          <w:shd w:val="clear" w:color="auto" w:fill="FFFFFF" w:themeFill="background1"/>
          <w:lang w:val="fr-CH"/>
        </w:rPr>
        <w:t xml:space="preserve"> </w:t>
      </w:r>
      <w:r w:rsidR="00110544" w:rsidRPr="00D127B5">
        <w:rPr>
          <w:rFonts w:cs="Times New Roman"/>
          <w:shd w:val="clear" w:color="auto" w:fill="FFFFFF" w:themeFill="background1"/>
          <w:lang w:val="fr-FR"/>
        </w:rPr>
        <w:t>préserver la cohésion sociale</w:t>
      </w:r>
      <w:r w:rsidR="00110544" w:rsidRPr="00D127B5">
        <w:rPr>
          <w:rFonts w:cs="Times New Roman"/>
          <w:color w:val="auto"/>
          <w:shd w:val="clear" w:color="auto" w:fill="FFFFFF" w:themeFill="background1"/>
          <w:lang w:val="fr-CH"/>
        </w:rPr>
        <w:t xml:space="preserve"> ou </w:t>
      </w:r>
      <w:r w:rsidR="00D127B5">
        <w:rPr>
          <w:rFonts w:cs="Times New Roman"/>
          <w:color w:val="auto"/>
          <w:shd w:val="clear" w:color="auto" w:fill="FFFFFF" w:themeFill="background1"/>
          <w:lang w:val="fr-CH"/>
        </w:rPr>
        <w:t>de</w:t>
      </w:r>
      <w:r w:rsidR="00110544" w:rsidRPr="00D127B5">
        <w:rPr>
          <w:rFonts w:cs="Times New Roman"/>
          <w:color w:val="auto"/>
          <w:shd w:val="clear" w:color="auto" w:fill="FFFFFF" w:themeFill="background1"/>
          <w:lang w:val="fr-CH"/>
        </w:rPr>
        <w:t xml:space="preserve"> sauvegarder la dignité familiale.</w:t>
      </w:r>
      <w:r w:rsidRPr="00FD0663">
        <w:rPr>
          <w:rFonts w:cs="Times New Roman"/>
          <w:color w:val="auto"/>
          <w:lang w:val="fr-CH"/>
        </w:rPr>
        <w:t xml:space="preserve"> </w:t>
      </w:r>
    </w:p>
    <w:p w14:paraId="4FD25A7A" w14:textId="2C5A2668" w:rsidR="00F21FB0" w:rsidRPr="00FD0663" w:rsidRDefault="00F21FB0" w:rsidP="00D127B5">
      <w:pPr>
        <w:pStyle w:val="BodyA"/>
        <w:shd w:val="clear" w:color="auto" w:fill="FFFFFF"/>
        <w:ind w:firstLine="360"/>
        <w:jc w:val="both"/>
        <w:rPr>
          <w:rFonts w:cs="Times New Roman"/>
          <w:color w:val="auto"/>
          <w:lang w:val="fr-CH"/>
        </w:rPr>
      </w:pPr>
      <w:r w:rsidRPr="00FD0663">
        <w:rPr>
          <w:rFonts w:cs="Times New Roman"/>
          <w:color w:val="auto"/>
          <w:lang w:val="fr-CH"/>
        </w:rPr>
        <w:t>Par ailleurs, par peur de représailles</w:t>
      </w:r>
      <w:r w:rsidR="00110544" w:rsidRPr="00FD0663">
        <w:rPr>
          <w:rFonts w:cs="Times New Roman"/>
          <w:color w:val="auto"/>
          <w:lang w:val="fr-CH"/>
        </w:rPr>
        <w:t xml:space="preserve"> </w:t>
      </w:r>
      <w:r w:rsidR="00110544" w:rsidRPr="00D127B5">
        <w:rPr>
          <w:rFonts w:cs="Times New Roman"/>
          <w:color w:val="auto"/>
          <w:shd w:val="clear" w:color="auto" w:fill="FFFFFF" w:themeFill="background1"/>
          <w:lang w:val="fr-CH"/>
        </w:rPr>
        <w:t>de la part de l’auteur</w:t>
      </w:r>
      <w:r w:rsidRPr="00FD0663">
        <w:rPr>
          <w:rFonts w:cs="Times New Roman"/>
          <w:color w:val="auto"/>
          <w:lang w:val="fr-CH"/>
        </w:rPr>
        <w:t>, par le sentiment d’inaccessibilité de la justice, (qu’il s’agisse d’une manque d’information au niveau des procédures à suivre</w:t>
      </w:r>
      <w:r w:rsidR="0034268D" w:rsidRPr="00FD0663">
        <w:rPr>
          <w:rFonts w:cs="Times New Roman"/>
          <w:color w:val="auto"/>
          <w:lang w:val="fr-CH"/>
        </w:rPr>
        <w:t>,</w:t>
      </w:r>
      <w:r w:rsidRPr="00FD0663">
        <w:rPr>
          <w:rFonts w:cs="Times New Roman"/>
          <w:color w:val="auto"/>
          <w:lang w:val="fr-CH"/>
        </w:rPr>
        <w:t xml:space="preserve"> par crainte de tout ce qui est </w:t>
      </w:r>
      <w:r w:rsidR="00546A43" w:rsidRPr="00FD0663">
        <w:rPr>
          <w:rFonts w:cs="Times New Roman"/>
          <w:color w:val="auto"/>
          <w:lang w:val="fr-CH"/>
        </w:rPr>
        <w:t>« autorité »</w:t>
      </w:r>
      <w:r w:rsidR="0034268D" w:rsidRPr="00FD0663">
        <w:rPr>
          <w:rFonts w:cs="Times New Roman"/>
          <w:color w:val="auto"/>
          <w:lang w:val="fr-CH"/>
        </w:rPr>
        <w:t>, ou en raison de l’éloignement géographique</w:t>
      </w:r>
      <w:r w:rsidR="00546A43" w:rsidRPr="00FD0663">
        <w:rPr>
          <w:rFonts w:cs="Times New Roman"/>
          <w:color w:val="auto"/>
          <w:lang w:val="fr-CH"/>
        </w:rPr>
        <w:t>)</w:t>
      </w:r>
      <w:r w:rsidRPr="00FD0663">
        <w:rPr>
          <w:rFonts w:cs="Times New Roman"/>
          <w:color w:val="auto"/>
          <w:lang w:val="fr-CH"/>
        </w:rPr>
        <w:t xml:space="preserve"> par manque de moyens financiers ou dans grand nombre de cas, comme ceux soumis à la CNIDH, par manque de confiance en la justice, les victimes ou leurs représentants légaux renoncent à porter l’affaire en justice au profit d’une transa</w:t>
      </w:r>
      <w:r w:rsidR="00546A43" w:rsidRPr="00FD0663">
        <w:rPr>
          <w:rFonts w:cs="Times New Roman"/>
          <w:color w:val="auto"/>
          <w:lang w:val="fr-CH"/>
        </w:rPr>
        <w:t>c</w:t>
      </w:r>
      <w:r w:rsidRPr="00FD0663">
        <w:rPr>
          <w:rFonts w:cs="Times New Roman"/>
          <w:color w:val="auto"/>
          <w:lang w:val="fr-CH"/>
        </w:rPr>
        <w:t>tion parfois en contrepartie d’u</w:t>
      </w:r>
      <w:r w:rsidR="00546A43" w:rsidRPr="00FD0663">
        <w:rPr>
          <w:rFonts w:cs="Times New Roman"/>
          <w:color w:val="auto"/>
          <w:lang w:val="fr-CH"/>
        </w:rPr>
        <w:t>n</w:t>
      </w:r>
      <w:r w:rsidRPr="00FD0663">
        <w:rPr>
          <w:rFonts w:cs="Times New Roman"/>
          <w:color w:val="auto"/>
          <w:lang w:val="fr-CH"/>
        </w:rPr>
        <w:t>e somme dérisoire</w:t>
      </w:r>
      <w:r w:rsidR="00546A43" w:rsidRPr="00FD0663">
        <w:rPr>
          <w:rFonts w:cs="Times New Roman"/>
          <w:color w:val="auto"/>
          <w:lang w:val="fr-CH"/>
        </w:rPr>
        <w:t>.</w:t>
      </w:r>
    </w:p>
    <w:p w14:paraId="07282E50" w14:textId="2B855FB9" w:rsidR="00F53082" w:rsidRPr="00FD0663" w:rsidRDefault="00F53082" w:rsidP="00F21FB0">
      <w:pPr>
        <w:pStyle w:val="BodyA"/>
        <w:shd w:val="clear" w:color="auto" w:fill="FFFFFF"/>
        <w:ind w:left="720"/>
        <w:jc w:val="both"/>
        <w:rPr>
          <w:rFonts w:cs="Times New Roman"/>
          <w:color w:val="auto"/>
          <w:lang w:val="fr-CH"/>
        </w:rPr>
      </w:pPr>
    </w:p>
    <w:p w14:paraId="36B5F993" w14:textId="376D3BFA" w:rsidR="00F53082" w:rsidRPr="00FD0663" w:rsidRDefault="00766A03" w:rsidP="00766A03">
      <w:pPr>
        <w:pStyle w:val="BodyA"/>
        <w:shd w:val="clear" w:color="auto" w:fill="FFFFFF" w:themeFill="background1"/>
        <w:ind w:firstLine="360"/>
        <w:jc w:val="both"/>
        <w:rPr>
          <w:rFonts w:cs="Times New Roman"/>
          <w:color w:val="auto"/>
          <w:lang w:val="fr-FR"/>
        </w:rPr>
      </w:pPr>
      <w:r>
        <w:rPr>
          <w:rFonts w:cs="Times New Roman"/>
          <w:lang w:val="fr-FR"/>
        </w:rPr>
        <w:t>L</w:t>
      </w:r>
      <w:r w:rsidR="006F6BC0" w:rsidRPr="00FD0663">
        <w:rPr>
          <w:rFonts w:cs="Times New Roman"/>
          <w:lang w:val="fr-FR"/>
        </w:rPr>
        <w:t xml:space="preserve">es pratiques culturelles comme les mariages arrangés ainsi que les mariages précoces exposent </w:t>
      </w:r>
      <w:r>
        <w:rPr>
          <w:rFonts w:cs="Times New Roman"/>
          <w:lang w:val="fr-FR"/>
        </w:rPr>
        <w:t xml:space="preserve">également </w:t>
      </w:r>
      <w:r w:rsidR="006F6BC0" w:rsidRPr="00FD0663">
        <w:rPr>
          <w:rFonts w:cs="Times New Roman"/>
          <w:lang w:val="fr-FR"/>
        </w:rPr>
        <w:t xml:space="preserve">les jeunes filles aux viols sans qu’elles puissent les dénoncer.  </w:t>
      </w:r>
    </w:p>
    <w:p w14:paraId="4948CA6A" w14:textId="4C44AB6C" w:rsidR="00F21FB0" w:rsidRPr="00FD0663" w:rsidRDefault="00F21FB0" w:rsidP="00F21FB0">
      <w:pPr>
        <w:pStyle w:val="BodyA"/>
        <w:shd w:val="clear" w:color="auto" w:fill="FFFFFF"/>
        <w:jc w:val="both"/>
        <w:rPr>
          <w:rFonts w:cs="Times New Roman"/>
          <w:color w:val="5B9BD5" w:themeColor="accent1"/>
          <w:lang w:val="fr-CH"/>
        </w:rPr>
      </w:pPr>
    </w:p>
    <w:sectPr w:rsidR="00F21FB0" w:rsidRPr="00FD066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572F1" w14:textId="77777777" w:rsidR="00C35FA4" w:rsidRDefault="00C35FA4" w:rsidP="00F27EFB">
      <w:pPr>
        <w:spacing w:after="0" w:line="240" w:lineRule="auto"/>
      </w:pPr>
      <w:r>
        <w:separator/>
      </w:r>
    </w:p>
  </w:endnote>
  <w:endnote w:type="continuationSeparator" w:id="0">
    <w:p w14:paraId="0775FAA8" w14:textId="77777777" w:rsidR="00C35FA4" w:rsidRDefault="00C35FA4" w:rsidP="00F2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70DC9" w14:textId="77777777" w:rsidR="00C35FA4" w:rsidRDefault="00C35FA4" w:rsidP="00F27EFB">
      <w:pPr>
        <w:spacing w:after="0" w:line="240" w:lineRule="auto"/>
      </w:pPr>
      <w:r>
        <w:separator/>
      </w:r>
    </w:p>
  </w:footnote>
  <w:footnote w:type="continuationSeparator" w:id="0">
    <w:p w14:paraId="7C1F57E2" w14:textId="77777777" w:rsidR="00C35FA4" w:rsidRDefault="00C35FA4" w:rsidP="00F27EFB">
      <w:pPr>
        <w:spacing w:after="0" w:line="240" w:lineRule="auto"/>
      </w:pPr>
      <w:r>
        <w:continuationSeparator/>
      </w:r>
    </w:p>
  </w:footnote>
  <w:footnote w:id="1">
    <w:p w14:paraId="6F347137" w14:textId="77777777" w:rsidR="00405BDA" w:rsidRPr="00BF5C45" w:rsidRDefault="00405BDA" w:rsidP="00405BDA">
      <w:pPr>
        <w:pStyle w:val="BodyA"/>
        <w:shd w:val="clear" w:color="auto" w:fill="FFFFFF"/>
        <w:jc w:val="both"/>
        <w:rPr>
          <w:rFonts w:asciiTheme="minorHAnsi" w:hAnsiTheme="minorHAnsi" w:cstheme="minorHAnsi"/>
          <w:sz w:val="20"/>
          <w:szCs w:val="20"/>
          <w:lang w:val="fr-CH"/>
        </w:rPr>
      </w:pPr>
      <w:r>
        <w:rPr>
          <w:rStyle w:val="FootnoteReference"/>
        </w:rPr>
        <w:footnoteRef/>
      </w:r>
      <w:r>
        <w:t xml:space="preserve"> </w:t>
      </w:r>
      <w:r w:rsidRPr="00BF5C45">
        <w:rPr>
          <w:rFonts w:asciiTheme="minorHAnsi" w:hAnsiTheme="minorHAnsi" w:cstheme="minorHAnsi"/>
          <w:sz w:val="20"/>
          <w:szCs w:val="20"/>
          <w:lang w:val="fr-CH"/>
        </w:rPr>
        <w:t>Article 332 du code pénal (Loi n°2000-021 du 30.11.00) : « Tout acte de pénétration sexuelle, de quelque nature qu’il soit, commis sur la personne d’autrui par violence, contrainte, menace ou surprise est un viol ».</w:t>
      </w:r>
    </w:p>
    <w:p w14:paraId="5B65F602" w14:textId="49E8324E" w:rsidR="00405BDA" w:rsidRPr="00BF5C45" w:rsidRDefault="00405BDA">
      <w:pPr>
        <w:pStyle w:val="FootnoteText"/>
        <w:rPr>
          <w:rFonts w:cstheme="minorHAnsi"/>
          <w:lang w:val="fr-FR"/>
        </w:rPr>
      </w:pPr>
    </w:p>
  </w:footnote>
  <w:footnote w:id="2">
    <w:p w14:paraId="4C937666" w14:textId="77777777" w:rsidR="00405BDA" w:rsidRPr="00BF5C45" w:rsidRDefault="00405BDA" w:rsidP="00405BDA">
      <w:pPr>
        <w:pStyle w:val="BodyA"/>
        <w:shd w:val="clear" w:color="auto" w:fill="FFFFFF"/>
        <w:jc w:val="both"/>
        <w:rPr>
          <w:rFonts w:asciiTheme="minorHAnsi" w:hAnsiTheme="minorHAnsi" w:cstheme="minorHAnsi"/>
          <w:sz w:val="20"/>
          <w:szCs w:val="20"/>
          <w:lang w:val="fr-CH"/>
        </w:rPr>
      </w:pPr>
      <w:r w:rsidRPr="00BF5C45">
        <w:rPr>
          <w:rStyle w:val="FootnoteReference"/>
          <w:rFonts w:asciiTheme="minorHAnsi" w:hAnsiTheme="minorHAnsi" w:cstheme="minorHAnsi"/>
          <w:sz w:val="20"/>
          <w:szCs w:val="20"/>
        </w:rPr>
        <w:footnoteRef/>
      </w:r>
      <w:r w:rsidRPr="00BF5C45">
        <w:rPr>
          <w:rFonts w:asciiTheme="minorHAnsi" w:hAnsiTheme="minorHAnsi" w:cstheme="minorHAnsi"/>
          <w:sz w:val="20"/>
          <w:szCs w:val="20"/>
        </w:rPr>
        <w:t xml:space="preserve"> </w:t>
      </w:r>
      <w:r w:rsidRPr="00BF5C45">
        <w:rPr>
          <w:rFonts w:asciiTheme="minorHAnsi" w:hAnsiTheme="minorHAnsi" w:cstheme="minorHAnsi"/>
          <w:sz w:val="20"/>
          <w:szCs w:val="20"/>
          <w:lang w:val="fr-CH"/>
        </w:rPr>
        <w:t>Article 2 : «   Toute tentative de crime qui aura été manifesté par un commencement d’exécution, si elle n’a pas été suspendue ou si elle n’a manqué son effet que par des circonstances indépendantes de la volonté de son auteur, est considérée comme le crime même ».</w:t>
      </w:r>
    </w:p>
    <w:p w14:paraId="5031FBCC" w14:textId="77777777" w:rsidR="00405BDA" w:rsidRPr="00BF5C45" w:rsidRDefault="00405BDA" w:rsidP="00405BDA">
      <w:pPr>
        <w:pStyle w:val="BodyA"/>
        <w:shd w:val="clear" w:color="auto" w:fill="FFFFFF"/>
        <w:jc w:val="both"/>
        <w:rPr>
          <w:rFonts w:asciiTheme="minorHAnsi" w:hAnsiTheme="minorHAnsi" w:cstheme="minorHAnsi"/>
          <w:sz w:val="20"/>
          <w:szCs w:val="20"/>
          <w:lang w:val="fr-CH"/>
        </w:rPr>
      </w:pPr>
      <w:r w:rsidRPr="00BF5C45">
        <w:rPr>
          <w:rFonts w:asciiTheme="minorHAnsi" w:hAnsiTheme="minorHAnsi" w:cstheme="minorHAnsi"/>
          <w:sz w:val="20"/>
          <w:szCs w:val="20"/>
          <w:lang w:val="fr-CH"/>
        </w:rPr>
        <w:t xml:space="preserve">Article 3 : « Les tentatives de délits ne sont considérées comme délits que dans les cas déterminés par une disposition spéciale de la loi ». </w:t>
      </w:r>
    </w:p>
    <w:p w14:paraId="2895ABA9" w14:textId="77777777" w:rsidR="00405BDA" w:rsidRPr="00BF5C45" w:rsidRDefault="00405BDA" w:rsidP="00405BDA">
      <w:pPr>
        <w:pStyle w:val="BodyA"/>
        <w:shd w:val="clear" w:color="auto" w:fill="FFFFFF"/>
        <w:jc w:val="both"/>
        <w:rPr>
          <w:rFonts w:asciiTheme="minorHAnsi" w:hAnsiTheme="minorHAnsi" w:cstheme="minorHAnsi"/>
          <w:sz w:val="20"/>
          <w:szCs w:val="20"/>
          <w:lang w:val="fr-CH"/>
        </w:rPr>
      </w:pPr>
    </w:p>
    <w:p w14:paraId="5C7BD3F2" w14:textId="10E7311D" w:rsidR="00405BDA" w:rsidRPr="00BF5C45" w:rsidRDefault="00405BDA">
      <w:pPr>
        <w:pStyle w:val="FootnoteText"/>
        <w:rPr>
          <w:rFonts w:cstheme="minorHAnsi"/>
          <w:lang w:val="fr-FR"/>
        </w:rPr>
      </w:pPr>
    </w:p>
  </w:footnote>
  <w:footnote w:id="3">
    <w:p w14:paraId="6FE38FAF" w14:textId="77777777" w:rsidR="00405BDA" w:rsidRPr="001612B0" w:rsidRDefault="00405BDA" w:rsidP="00405BDA">
      <w:pPr>
        <w:pStyle w:val="BodyA"/>
        <w:shd w:val="clear" w:color="auto" w:fill="FFFFFF"/>
        <w:jc w:val="both"/>
        <w:rPr>
          <w:rFonts w:asciiTheme="minorHAnsi" w:hAnsiTheme="minorHAnsi" w:cstheme="minorHAnsi"/>
          <w:sz w:val="20"/>
          <w:szCs w:val="20"/>
          <w:lang w:val="fr-CH"/>
        </w:rPr>
      </w:pPr>
      <w:r>
        <w:rPr>
          <w:rStyle w:val="FootnoteReference"/>
        </w:rPr>
        <w:footnoteRef/>
      </w:r>
      <w:r>
        <w:t xml:space="preserve"> </w:t>
      </w:r>
      <w:r w:rsidRPr="001612B0">
        <w:rPr>
          <w:rFonts w:asciiTheme="minorHAnsi" w:hAnsiTheme="minorHAnsi" w:cstheme="minorHAnsi"/>
          <w:sz w:val="20"/>
          <w:szCs w:val="20"/>
          <w:lang w:val="fr-CH"/>
        </w:rPr>
        <w:t>Article 332 alinéa 2 : « Dans les autres cas, le viol ou la tentative de viol sera puni de cinq à dix ans d’emprisonnement ».</w:t>
      </w:r>
    </w:p>
    <w:p w14:paraId="080C2789" w14:textId="77777777" w:rsidR="00405BDA" w:rsidRPr="001612B0" w:rsidRDefault="00405BDA" w:rsidP="00405BDA">
      <w:pPr>
        <w:pStyle w:val="BodyA"/>
        <w:shd w:val="clear" w:color="auto" w:fill="FFFFFF"/>
        <w:jc w:val="both"/>
        <w:rPr>
          <w:rFonts w:asciiTheme="minorHAnsi" w:hAnsiTheme="minorHAnsi" w:cstheme="minorHAnsi"/>
          <w:sz w:val="20"/>
          <w:szCs w:val="20"/>
          <w:lang w:val="fr-CH"/>
        </w:rPr>
      </w:pPr>
    </w:p>
    <w:p w14:paraId="7BE9F78F" w14:textId="55556917" w:rsidR="00405BDA" w:rsidRPr="001612B0" w:rsidRDefault="00405BDA">
      <w:pPr>
        <w:pStyle w:val="FootnoteText"/>
        <w:rPr>
          <w:rFonts w:cstheme="minorHAnsi"/>
          <w:lang w:val="fr-FR"/>
        </w:rPr>
      </w:pPr>
    </w:p>
  </w:footnote>
  <w:footnote w:id="4">
    <w:p w14:paraId="05092B27" w14:textId="77777777" w:rsidR="00405BDA" w:rsidRPr="001612B0" w:rsidRDefault="00405BDA" w:rsidP="00405BDA">
      <w:pPr>
        <w:pStyle w:val="BodyA"/>
        <w:shd w:val="clear" w:color="auto" w:fill="FFFFFF"/>
        <w:jc w:val="both"/>
        <w:rPr>
          <w:rFonts w:asciiTheme="minorHAnsi" w:hAnsiTheme="minorHAnsi" w:cstheme="minorHAnsi"/>
          <w:sz w:val="20"/>
          <w:szCs w:val="20"/>
          <w:lang w:val="fr-CH"/>
        </w:rPr>
      </w:pPr>
      <w:r w:rsidRPr="001612B0">
        <w:rPr>
          <w:rStyle w:val="FootnoteReference"/>
          <w:rFonts w:asciiTheme="minorHAnsi" w:hAnsiTheme="minorHAnsi" w:cstheme="minorHAnsi"/>
          <w:sz w:val="20"/>
          <w:szCs w:val="20"/>
        </w:rPr>
        <w:footnoteRef/>
      </w:r>
      <w:r w:rsidRPr="001612B0">
        <w:rPr>
          <w:rFonts w:asciiTheme="minorHAnsi" w:hAnsiTheme="minorHAnsi" w:cstheme="minorHAnsi"/>
          <w:sz w:val="20"/>
          <w:szCs w:val="20"/>
        </w:rPr>
        <w:t xml:space="preserve"> </w:t>
      </w:r>
      <w:r w:rsidRPr="001612B0">
        <w:rPr>
          <w:rFonts w:asciiTheme="minorHAnsi" w:hAnsiTheme="minorHAnsi" w:cstheme="minorHAnsi"/>
          <w:sz w:val="20"/>
          <w:szCs w:val="20"/>
          <w:lang w:val="fr-CH"/>
        </w:rPr>
        <w:t xml:space="preserve">Article 332 alinéa 1 : « Le viol est puni des travaux forcés à temps s’il a été commis sur la personne d’un enfant au-dessous de l’âge de 15 ans accomplis ou sur une femme en état de grossesse apparente ou connue de l’auteur ».  </w:t>
      </w:r>
    </w:p>
    <w:p w14:paraId="4BC9380E" w14:textId="77777777" w:rsidR="00405BDA" w:rsidRPr="001612B0" w:rsidRDefault="00405BDA" w:rsidP="00405BDA">
      <w:pPr>
        <w:pStyle w:val="BodyA"/>
        <w:shd w:val="clear" w:color="auto" w:fill="FFFFFF"/>
        <w:jc w:val="both"/>
        <w:rPr>
          <w:rFonts w:asciiTheme="minorHAnsi" w:hAnsiTheme="minorHAnsi" w:cstheme="minorHAnsi"/>
          <w:sz w:val="20"/>
          <w:szCs w:val="20"/>
          <w:lang w:val="fr-CH"/>
        </w:rPr>
      </w:pPr>
    </w:p>
    <w:p w14:paraId="44D30F2F" w14:textId="01785678" w:rsidR="00405BDA" w:rsidRPr="001612B0" w:rsidRDefault="00405BDA">
      <w:pPr>
        <w:pStyle w:val="FootnoteText"/>
        <w:rPr>
          <w:rFonts w:cstheme="minorHAnsi"/>
          <w:lang w:val="fr-FR"/>
        </w:rPr>
      </w:pPr>
    </w:p>
  </w:footnote>
  <w:footnote w:id="5">
    <w:p w14:paraId="6E235D36" w14:textId="77777777" w:rsidR="00CA35EB" w:rsidRPr="001612B0" w:rsidRDefault="00CA35EB" w:rsidP="00CA35EB">
      <w:pPr>
        <w:pStyle w:val="BodyA"/>
        <w:shd w:val="clear" w:color="auto" w:fill="FFFFFF"/>
        <w:jc w:val="both"/>
        <w:rPr>
          <w:rFonts w:asciiTheme="minorHAnsi" w:hAnsiTheme="minorHAnsi" w:cstheme="minorHAnsi"/>
          <w:sz w:val="20"/>
          <w:szCs w:val="20"/>
          <w:lang w:val="fr-CH"/>
        </w:rPr>
      </w:pPr>
      <w:r w:rsidRPr="001612B0">
        <w:rPr>
          <w:rStyle w:val="FootnoteReference"/>
          <w:rFonts w:asciiTheme="minorHAnsi" w:hAnsiTheme="minorHAnsi" w:cstheme="minorHAnsi"/>
          <w:sz w:val="20"/>
          <w:szCs w:val="20"/>
        </w:rPr>
        <w:footnoteRef/>
      </w:r>
      <w:r w:rsidRPr="001612B0">
        <w:rPr>
          <w:rFonts w:asciiTheme="minorHAnsi" w:hAnsiTheme="minorHAnsi" w:cstheme="minorHAnsi"/>
          <w:sz w:val="20"/>
          <w:szCs w:val="20"/>
        </w:rPr>
        <w:t xml:space="preserve"> </w:t>
      </w:r>
      <w:r w:rsidRPr="001612B0">
        <w:rPr>
          <w:rFonts w:asciiTheme="minorHAnsi" w:hAnsiTheme="minorHAnsi" w:cstheme="minorHAnsi"/>
          <w:sz w:val="20"/>
          <w:szCs w:val="20"/>
          <w:lang w:val="fr-CH"/>
        </w:rPr>
        <w:t xml:space="preserve">Article 333 (Ordonnance n°62-013 du 10.08.62) : « Si les coupables sont les ascendants de la personne sur laquelle a été commis l’attentat, s’ils sont de la classe de ceux qui ont autorité sur elle, s’ils sont ses instituteurs ou ses serviteurs à gages, ou serviteurs à gages des personnes ci-dessus désignées, s’ils sont fonctionnaires ou ministres d’un culte, ou si le coupable, quel qu’il soit, a été aidé dans son crime par une ou plusieurs personnes, la peine sera celle des travaux forcés à perpétuité dans le cas prévu à l’alinéa premier de l’article 332, celle des travaux forcés à temps dans le cas prévus à l’alinéa premier de l’article 331, à l’alinéa 3 de l’article 332, celle de cinq à dix ans d’emprisonnement, dans les cas prévus aux alinéas 3 de l’article 331 et 4 de l’article 332 ». </w:t>
      </w:r>
    </w:p>
    <w:p w14:paraId="1207C846" w14:textId="5DBBE2C4" w:rsidR="00CA35EB" w:rsidRPr="001612B0" w:rsidRDefault="00CA35EB">
      <w:pPr>
        <w:pStyle w:val="FootnoteText"/>
        <w:rPr>
          <w:rFonts w:cstheme="minorHAnsi"/>
          <w:lang w:val="fr-FR"/>
        </w:rPr>
      </w:pPr>
    </w:p>
  </w:footnote>
  <w:footnote w:id="6">
    <w:p w14:paraId="545477C7" w14:textId="466D6C9C" w:rsidR="00CA35EB" w:rsidRPr="001612B0" w:rsidRDefault="00CA35EB">
      <w:pPr>
        <w:pStyle w:val="FootnoteText"/>
        <w:rPr>
          <w:rFonts w:cstheme="minorHAnsi"/>
          <w:lang w:val="fr-FR"/>
        </w:rPr>
      </w:pPr>
      <w:r w:rsidRPr="001612B0">
        <w:rPr>
          <w:rStyle w:val="FootnoteReference"/>
          <w:rFonts w:cstheme="minorHAnsi"/>
        </w:rPr>
        <w:footnoteRef/>
      </w:r>
      <w:r w:rsidRPr="001612B0">
        <w:rPr>
          <w:rFonts w:cstheme="minorHAnsi"/>
        </w:rPr>
        <w:t xml:space="preserve"> </w:t>
      </w:r>
      <w:r w:rsidRPr="001612B0">
        <w:rPr>
          <w:rFonts w:cstheme="minorHAnsi"/>
          <w:lang w:val="fr-CH"/>
        </w:rPr>
        <w:t>Article 6 de la Loi n°2019-008 du 16.01.20 sur la Lutte contre les Violences Basées sur le Genre : « Tout acte de pénétration sexuelle, de quelque nature qu’il soit, commis sur le conjoint ou sur la personne engagée dans</w:t>
      </w:r>
      <w:r w:rsidRPr="008C40B6">
        <w:rPr>
          <w:rFonts w:ascii="Calibri" w:hAnsi="Calibri" w:cs="Calibri"/>
          <w:lang w:val="fr-CH"/>
        </w:rPr>
        <w:t xml:space="preserve"> </w:t>
      </w:r>
      <w:r w:rsidRPr="001612B0">
        <w:rPr>
          <w:rFonts w:cstheme="minorHAnsi"/>
          <w:lang w:val="fr-CH"/>
        </w:rPr>
        <w:t>une union, par violence, contrainte, menace est une infraction punie de 2 à 5 ans d’emprisonnement et d’une amende de 100 000 Ariary à 1 000 000 Ariary. »</w:t>
      </w:r>
    </w:p>
  </w:footnote>
  <w:footnote w:id="7">
    <w:p w14:paraId="17737B42" w14:textId="77777777" w:rsidR="00CA35EB" w:rsidRPr="001612B0" w:rsidRDefault="00CA35EB" w:rsidP="00CA35EB">
      <w:pPr>
        <w:spacing w:after="0" w:line="240" w:lineRule="auto"/>
        <w:jc w:val="both"/>
        <w:rPr>
          <w:rFonts w:cstheme="minorHAnsi"/>
          <w:sz w:val="20"/>
          <w:szCs w:val="20"/>
          <w:lang w:val="fr-CH"/>
        </w:rPr>
      </w:pPr>
      <w:r w:rsidRPr="001612B0">
        <w:rPr>
          <w:rStyle w:val="FootnoteReference"/>
          <w:rFonts w:cstheme="minorHAnsi"/>
          <w:sz w:val="20"/>
          <w:szCs w:val="20"/>
        </w:rPr>
        <w:footnoteRef/>
      </w:r>
      <w:r w:rsidRPr="001612B0">
        <w:rPr>
          <w:rFonts w:cstheme="minorHAnsi"/>
          <w:sz w:val="20"/>
          <w:szCs w:val="20"/>
        </w:rPr>
        <w:t xml:space="preserve"> </w:t>
      </w:r>
      <w:r w:rsidRPr="001612B0">
        <w:rPr>
          <w:rFonts w:cstheme="minorHAnsi"/>
          <w:sz w:val="20"/>
          <w:szCs w:val="20"/>
          <w:lang w:val="fr-CH"/>
        </w:rPr>
        <w:t>Article 19 de la Loi n°2019-008 du 16.01.20 sur la Lutte contre les Violences Basées sur le Genre : « Le procès relatif à un cas de violence basée sur le genre peut se tenir à huis clos conformément aux dispositions du code de procédure pénale. La décision y afférente est prononcée en audience publique. »</w:t>
      </w:r>
    </w:p>
    <w:p w14:paraId="26E72A63" w14:textId="444C4AA6" w:rsidR="00CA35EB" w:rsidRPr="001612B0" w:rsidRDefault="00CA35EB">
      <w:pPr>
        <w:pStyle w:val="FootnoteText"/>
        <w:rPr>
          <w:rFonts w:cstheme="minorHAnsi"/>
          <w:lang w:val="fr-FR"/>
        </w:rPr>
      </w:pPr>
    </w:p>
  </w:footnote>
  <w:footnote w:id="8">
    <w:p w14:paraId="20F2C18A" w14:textId="77777777" w:rsidR="00AD3A13" w:rsidRPr="001612B0" w:rsidRDefault="00AD3A13" w:rsidP="00A01748">
      <w:pPr>
        <w:shd w:val="clear" w:color="auto" w:fill="FFFFFF" w:themeFill="background1"/>
        <w:spacing w:after="0" w:line="240" w:lineRule="auto"/>
        <w:jc w:val="both"/>
        <w:rPr>
          <w:rFonts w:cstheme="minorHAnsi"/>
          <w:sz w:val="20"/>
          <w:szCs w:val="20"/>
          <w:lang w:val="fr-FR"/>
        </w:rPr>
      </w:pPr>
      <w:r w:rsidRPr="001612B0">
        <w:rPr>
          <w:rStyle w:val="FootnoteReference"/>
          <w:rFonts w:cstheme="minorHAnsi"/>
          <w:sz w:val="20"/>
          <w:szCs w:val="20"/>
        </w:rPr>
        <w:footnoteRef/>
      </w:r>
      <w:r w:rsidRPr="001612B0">
        <w:rPr>
          <w:rFonts w:cstheme="minorHAnsi"/>
          <w:sz w:val="20"/>
          <w:szCs w:val="20"/>
        </w:rPr>
        <w:t xml:space="preserve"> </w:t>
      </w:r>
      <w:r w:rsidRPr="001612B0">
        <w:rPr>
          <w:rFonts w:cstheme="minorHAnsi"/>
          <w:sz w:val="20"/>
          <w:szCs w:val="20"/>
          <w:lang w:val="fr-FR"/>
        </w:rPr>
        <w:t>(Bulletin des arrêts de la Cour Suprême de Madagascar, édition Jurid’Ika, p.165 et s.)</w:t>
      </w:r>
    </w:p>
    <w:p w14:paraId="6B317334" w14:textId="1BF7A14E" w:rsidR="00AD3A13" w:rsidRPr="001612B0" w:rsidRDefault="00AD3A13">
      <w:pPr>
        <w:pStyle w:val="FootnoteText"/>
        <w:rPr>
          <w:rFonts w:cstheme="minorHAnsi"/>
          <w:lang w:val="fr-FR"/>
        </w:rPr>
      </w:pPr>
    </w:p>
  </w:footnote>
  <w:footnote w:id="9">
    <w:p w14:paraId="1B335C88" w14:textId="01050487" w:rsidR="00A01748" w:rsidRPr="001612B0" w:rsidRDefault="00A01748">
      <w:pPr>
        <w:pStyle w:val="FootnoteText"/>
        <w:rPr>
          <w:rFonts w:cstheme="minorHAnsi"/>
          <w:lang w:val="fr-FR"/>
        </w:rPr>
      </w:pPr>
      <w:r w:rsidRPr="001612B0">
        <w:rPr>
          <w:rStyle w:val="FootnoteReference"/>
          <w:rFonts w:cstheme="minorHAnsi"/>
        </w:rPr>
        <w:footnoteRef/>
      </w:r>
      <w:r w:rsidRPr="001612B0">
        <w:rPr>
          <w:rFonts w:cstheme="minorHAnsi"/>
        </w:rPr>
        <w:t xml:space="preserve"> </w:t>
      </w:r>
      <w:r w:rsidRPr="001612B0">
        <w:rPr>
          <w:rFonts w:cstheme="minorHAnsi"/>
          <w:lang w:val="fr-FR"/>
        </w:rPr>
        <w:t>(cf. Chambre pénale de la Cour Suprême, 22 août 2008)</w:t>
      </w:r>
    </w:p>
  </w:footnote>
  <w:footnote w:id="10">
    <w:p w14:paraId="1D158277" w14:textId="36A92BA9" w:rsidR="00A01748" w:rsidRPr="001612B0" w:rsidRDefault="00A01748">
      <w:pPr>
        <w:pStyle w:val="FootnoteText"/>
        <w:rPr>
          <w:rFonts w:cstheme="minorHAnsi"/>
          <w:lang w:val="fr-FR"/>
        </w:rPr>
      </w:pPr>
      <w:r w:rsidRPr="001612B0">
        <w:rPr>
          <w:rStyle w:val="FootnoteReference"/>
          <w:rFonts w:cstheme="minorHAnsi"/>
        </w:rPr>
        <w:footnoteRef/>
      </w:r>
      <w:r w:rsidRPr="001612B0">
        <w:rPr>
          <w:rFonts w:cstheme="minorHAnsi"/>
        </w:rPr>
        <w:t xml:space="preserve"> </w:t>
      </w:r>
      <w:r w:rsidRPr="001612B0">
        <w:rPr>
          <w:rFonts w:cstheme="minorHAnsi"/>
          <w:lang w:val="fr-FR"/>
        </w:rPr>
        <w:t>(cf. Cour Criminelle des mineurs, 05 juillet 2010).</w:t>
      </w:r>
    </w:p>
  </w:footnote>
  <w:footnote w:id="11">
    <w:p w14:paraId="5EE08ED9" w14:textId="77777777" w:rsidR="00EA3250" w:rsidRPr="001612B0" w:rsidRDefault="00EA3250" w:rsidP="00EA3250">
      <w:pPr>
        <w:spacing w:after="0" w:line="240" w:lineRule="auto"/>
        <w:jc w:val="both"/>
        <w:rPr>
          <w:rFonts w:cstheme="minorHAnsi"/>
          <w:sz w:val="20"/>
          <w:szCs w:val="20"/>
          <w:lang w:val="fr-CH"/>
        </w:rPr>
      </w:pPr>
      <w:r w:rsidRPr="008C40B6">
        <w:rPr>
          <w:rStyle w:val="FootnoteReference"/>
          <w:rFonts w:ascii="Calibri" w:hAnsi="Calibri" w:cs="Calibri"/>
          <w:sz w:val="20"/>
          <w:szCs w:val="20"/>
        </w:rPr>
        <w:footnoteRef/>
      </w:r>
      <w:r w:rsidRPr="008C40B6">
        <w:rPr>
          <w:rFonts w:ascii="Calibri" w:hAnsi="Calibri" w:cs="Calibri"/>
          <w:sz w:val="20"/>
          <w:szCs w:val="20"/>
        </w:rPr>
        <w:t xml:space="preserve"> </w:t>
      </w:r>
      <w:r w:rsidRPr="001612B0">
        <w:rPr>
          <w:rFonts w:cstheme="minorHAnsi"/>
          <w:sz w:val="20"/>
          <w:szCs w:val="20"/>
          <w:lang w:val="fr-CH"/>
        </w:rPr>
        <w:t xml:space="preserve">Article 1 de la Loi n°2019-008 du 16.01.20 sur la Lutte contre les Violences Basées sur le Genre : « Sans préjudice des dispositions du code pénal et du code de procédure pénale, la présente loi a pour objet de renforcer le régime juridique de la prévention, de la poursuite, de la répression des actes de Violences basées sur le genre, de la prise ne charge et de la réparation ainsi que la protection des victimes ». </w:t>
      </w:r>
    </w:p>
    <w:p w14:paraId="67D50CDF" w14:textId="77777777" w:rsidR="00EA3250" w:rsidRPr="001612B0" w:rsidRDefault="00EA3250" w:rsidP="00EA3250">
      <w:pPr>
        <w:spacing w:after="0" w:line="240" w:lineRule="auto"/>
        <w:jc w:val="both"/>
        <w:rPr>
          <w:rFonts w:cstheme="minorHAnsi"/>
          <w:sz w:val="20"/>
          <w:szCs w:val="20"/>
          <w:lang w:val="fr-CH"/>
        </w:rPr>
      </w:pPr>
    </w:p>
    <w:p w14:paraId="735BB262" w14:textId="77777777" w:rsidR="00EA3250" w:rsidRPr="001612B0" w:rsidRDefault="00EA3250" w:rsidP="00EA3250">
      <w:pPr>
        <w:spacing w:after="0" w:line="240" w:lineRule="auto"/>
        <w:jc w:val="both"/>
        <w:rPr>
          <w:rFonts w:cstheme="minorHAnsi"/>
          <w:sz w:val="20"/>
          <w:szCs w:val="20"/>
          <w:lang w:val="fr-CH"/>
        </w:rPr>
      </w:pPr>
      <w:r w:rsidRPr="001612B0">
        <w:rPr>
          <w:rFonts w:cstheme="minorHAnsi"/>
          <w:sz w:val="20"/>
          <w:szCs w:val="20"/>
          <w:lang w:val="fr-CH"/>
        </w:rPr>
        <w:t>Article 2.3° de la Loi n°2019-008 du 16.01.20 sur la Lutte contre les Violences Basées sur le Genre : « L’union s’entend comme le lien entre un homme et une femme qui sont mariés ou qui se comportent comme tels ».</w:t>
      </w:r>
    </w:p>
    <w:p w14:paraId="1FD73E9B" w14:textId="77777777" w:rsidR="00EA3250" w:rsidRPr="001612B0" w:rsidRDefault="00EA3250" w:rsidP="00EA3250">
      <w:pPr>
        <w:spacing w:after="0" w:line="240" w:lineRule="auto"/>
        <w:jc w:val="both"/>
        <w:rPr>
          <w:rFonts w:cstheme="minorHAnsi"/>
          <w:sz w:val="20"/>
          <w:szCs w:val="20"/>
          <w:lang w:val="fr-CH"/>
        </w:rPr>
      </w:pPr>
    </w:p>
    <w:p w14:paraId="37F56E62" w14:textId="1F899475" w:rsidR="00EA3250" w:rsidRPr="001612B0" w:rsidRDefault="00EA3250">
      <w:pPr>
        <w:pStyle w:val="FootnoteText"/>
        <w:rPr>
          <w:rFonts w:cstheme="minorHAnsi"/>
          <w:lang w:val="fr-FR"/>
        </w:rPr>
      </w:pPr>
    </w:p>
  </w:footnote>
  <w:footnote w:id="12">
    <w:p w14:paraId="57F3373A" w14:textId="59D2592F" w:rsidR="005E1C1F" w:rsidRPr="008C40B6" w:rsidRDefault="005E1C1F">
      <w:pPr>
        <w:pStyle w:val="FootnoteText"/>
        <w:rPr>
          <w:lang w:val="fr-FR"/>
        </w:rPr>
      </w:pPr>
      <w:r>
        <w:rPr>
          <w:rStyle w:val="FootnoteReference"/>
        </w:rPr>
        <w:footnoteRef/>
      </w:r>
      <w:r>
        <w:t xml:space="preserve"> </w:t>
      </w:r>
      <w:r w:rsidR="008C40B6">
        <w:t xml:space="preserve">Article 331 : “L’attentat à la pudeur consommé ou tenté sans violence sur la personne d’un enfant de l’un ou de l’autre sexe </w:t>
      </w:r>
      <w:r w:rsidR="008C40B6">
        <w:rPr>
          <w:lang w:val="fr-FR"/>
        </w:rPr>
        <w:t xml:space="preserve">âgé de moins de quatorze ans, sera puni de cinq à dix dix ans d’emprisonnement et d’une amende de 20 000 Ariary à 10 000 000 Ariary ». </w:t>
      </w:r>
    </w:p>
  </w:footnote>
  <w:footnote w:id="13">
    <w:p w14:paraId="67B335E6" w14:textId="7CB548D7" w:rsidR="008C40B6" w:rsidRPr="008C40B6" w:rsidRDefault="008C40B6">
      <w:pPr>
        <w:pStyle w:val="FootnoteText"/>
        <w:rPr>
          <w:lang w:val="fr-FR"/>
        </w:rPr>
      </w:pPr>
      <w:r>
        <w:rPr>
          <w:rStyle w:val="FootnoteReference"/>
        </w:rPr>
        <w:footnoteRef/>
      </w:r>
      <w:r>
        <w:t xml:space="preserve"> </w:t>
      </w:r>
      <w:r>
        <w:rPr>
          <w:lang w:val="fr-FR"/>
        </w:rPr>
        <w:t>Article 332 alinéa 3 : « </w:t>
      </w:r>
      <w:r w:rsidR="004E6CFF">
        <w:rPr>
          <w:lang w:val="fr-FR"/>
        </w:rPr>
        <w:t xml:space="preserve">Quiconque aura commis un attentat à la pudeur, consommé ou tenté avec violence contre un enfant au-dessous de l’âge de quinze ans ou contre une femme en état de grossesse apparente ou connue de l’auteur sera puni des travaux forcés à temps ». </w:t>
      </w:r>
    </w:p>
  </w:footnote>
  <w:footnote w:id="14">
    <w:p w14:paraId="1A4A40CC" w14:textId="77777777" w:rsidR="004E6CFF" w:rsidRPr="004E6CFF" w:rsidRDefault="004E6CFF" w:rsidP="00DC6DB0">
      <w:pPr>
        <w:pStyle w:val="BodyA"/>
        <w:shd w:val="clear" w:color="auto" w:fill="FFFFFF"/>
        <w:jc w:val="both"/>
        <w:rPr>
          <w:rFonts w:asciiTheme="minorHAnsi" w:hAnsiTheme="minorHAnsi" w:cstheme="minorHAnsi"/>
          <w:color w:val="auto"/>
          <w:sz w:val="20"/>
          <w:szCs w:val="20"/>
          <w:lang w:val="fr-CH"/>
        </w:rPr>
      </w:pPr>
      <w:r>
        <w:rPr>
          <w:rStyle w:val="FootnoteReference"/>
        </w:rPr>
        <w:footnoteRef/>
      </w:r>
      <w:r>
        <w:t xml:space="preserve"> </w:t>
      </w:r>
      <w:r w:rsidRPr="004E6CFF">
        <w:rPr>
          <w:rFonts w:asciiTheme="minorHAnsi" w:hAnsiTheme="minorHAnsi" w:cstheme="minorHAnsi"/>
          <w:color w:val="auto"/>
          <w:sz w:val="20"/>
          <w:szCs w:val="20"/>
          <w:lang w:val="fr-CH"/>
        </w:rPr>
        <w:t>Article 14 de la Loi n°2019-008 du 16.01.2020 : « L’Etat assure la prise en charge sanitaire, psychosociale, et l’accompagnement juridico-judiciaire des victimes pour faire valoir leurs droits ».</w:t>
      </w:r>
    </w:p>
    <w:p w14:paraId="3F6C151A" w14:textId="2DA49E03" w:rsidR="004E6CFF" w:rsidRPr="004E6CFF" w:rsidRDefault="004E6CFF">
      <w:pPr>
        <w:pStyle w:val="FootnoteText"/>
        <w:rPr>
          <w:rFonts w:cstheme="minorHAnsi"/>
          <w:lang w:val="fr-FR"/>
        </w:rPr>
      </w:pPr>
    </w:p>
  </w:footnote>
  <w:footnote w:id="15">
    <w:p w14:paraId="4FC7735C" w14:textId="04472C70" w:rsidR="00217617" w:rsidRDefault="00217617">
      <w:pPr>
        <w:pStyle w:val="FootnoteText"/>
        <w:rPr>
          <w:lang w:val="fr-FR"/>
        </w:rPr>
      </w:pPr>
      <w:r>
        <w:rPr>
          <w:rStyle w:val="FootnoteReference"/>
        </w:rPr>
        <w:footnoteRef/>
      </w:r>
      <w:r>
        <w:t xml:space="preserve"> </w:t>
      </w:r>
      <w:r>
        <w:rPr>
          <w:lang w:val="fr-FR"/>
        </w:rPr>
        <w:t>Article 356 : « Celui qui, sans fraude ni violence, aura enlevé ou détourné, ou tenté d’enlever ou de détourner, un mineur de dix-huit ans, sera puni d’un emprisonnement de deux à cinq ans et d’une amende de 100 000 Ariary à 900 000 Ariary ».</w:t>
      </w:r>
    </w:p>
    <w:p w14:paraId="39807F22" w14:textId="1C173DEC" w:rsidR="00217617" w:rsidRPr="00217617" w:rsidRDefault="00217617">
      <w:pPr>
        <w:pStyle w:val="FootnoteText"/>
        <w:rPr>
          <w:lang w:val="fr-FR"/>
        </w:rPr>
      </w:pPr>
      <w:r>
        <w:rPr>
          <w:lang w:val="fr-FR"/>
        </w:rPr>
        <w:t>Lorsqu’une mineur ainsi enlevée ou détournée aura épousé son ravisseur, celui-ci ne pourra être poursuivi que sur la plainte des personnes qui ont qualité pour demander l’annulation du mar</w:t>
      </w:r>
      <w:r w:rsidR="00EE05AD">
        <w:rPr>
          <w:lang w:val="fr-FR"/>
        </w:rPr>
        <w:t xml:space="preserve">iage et ne pourra être condamné qu’après que cette annulation aura été prononcée ». </w:t>
      </w:r>
    </w:p>
  </w:footnote>
  <w:footnote w:id="16">
    <w:p w14:paraId="689B4B1A" w14:textId="77777777" w:rsidR="00E810F6" w:rsidRPr="00E810F6" w:rsidRDefault="00E810F6" w:rsidP="00E810F6">
      <w:pPr>
        <w:pStyle w:val="BodyA"/>
        <w:shd w:val="clear" w:color="auto" w:fill="FFFFFF"/>
        <w:jc w:val="both"/>
        <w:rPr>
          <w:rFonts w:asciiTheme="minorHAnsi" w:hAnsiTheme="minorHAnsi" w:cstheme="minorHAnsi"/>
          <w:color w:val="auto"/>
          <w:sz w:val="20"/>
          <w:szCs w:val="20"/>
          <w:lang w:val="fr-CH"/>
        </w:rPr>
      </w:pPr>
      <w:r>
        <w:rPr>
          <w:rStyle w:val="FootnoteReference"/>
        </w:rPr>
        <w:footnoteRef/>
      </w:r>
      <w:r>
        <w:t xml:space="preserve"> </w:t>
      </w:r>
      <w:r w:rsidRPr="00E810F6">
        <w:rPr>
          <w:rFonts w:asciiTheme="minorHAnsi" w:hAnsiTheme="minorHAnsi" w:cstheme="minorHAnsi"/>
          <w:color w:val="auto"/>
          <w:sz w:val="20"/>
          <w:szCs w:val="20"/>
          <w:lang w:val="fr-CH"/>
        </w:rPr>
        <w:t>Article 3 du code de procédure pénale : « En matière de crime, l’action publique se prescrit par dix années révolues à compter du jour où il a été commis si, dans cet intervalle, il n’a été fait aucun acte d’instruction ou de poursuite.</w:t>
      </w:r>
    </w:p>
    <w:p w14:paraId="289D101E" w14:textId="77777777" w:rsidR="00E810F6" w:rsidRPr="00E810F6" w:rsidRDefault="00E810F6" w:rsidP="00E810F6">
      <w:pPr>
        <w:pStyle w:val="BodyA"/>
        <w:shd w:val="clear" w:color="auto" w:fill="FFFFFF"/>
        <w:jc w:val="both"/>
        <w:rPr>
          <w:rFonts w:asciiTheme="minorHAnsi" w:hAnsiTheme="minorHAnsi" w:cstheme="minorHAnsi"/>
          <w:color w:val="auto"/>
          <w:sz w:val="20"/>
          <w:szCs w:val="20"/>
          <w:lang w:val="fr-CH"/>
        </w:rPr>
      </w:pPr>
      <w:r w:rsidRPr="00E810F6">
        <w:rPr>
          <w:rFonts w:asciiTheme="minorHAnsi" w:hAnsiTheme="minorHAnsi" w:cstheme="minorHAnsi"/>
          <w:color w:val="auto"/>
          <w:sz w:val="20"/>
          <w:szCs w:val="20"/>
          <w:lang w:val="fr-CH"/>
        </w:rPr>
        <w:t>S’il en a été effectué dans cet intervalle, elle ne se prescrit qu’après dix années révolues à compter du dernier acte. Il en est ainsi même à l’égard des personnes qui ne seraient pas impliquées dans cet acte d’instruction ou de poursuite ».</w:t>
      </w:r>
    </w:p>
    <w:p w14:paraId="2C80296A" w14:textId="77777777" w:rsidR="00E810F6" w:rsidRPr="00E810F6" w:rsidRDefault="00E810F6" w:rsidP="00E810F6">
      <w:pPr>
        <w:pStyle w:val="BodyA"/>
        <w:shd w:val="clear" w:color="auto" w:fill="FFFFFF"/>
        <w:jc w:val="both"/>
        <w:rPr>
          <w:rFonts w:asciiTheme="minorHAnsi" w:hAnsiTheme="minorHAnsi" w:cstheme="minorHAnsi"/>
          <w:color w:val="auto"/>
          <w:sz w:val="20"/>
          <w:szCs w:val="20"/>
          <w:lang w:val="fr-CH"/>
        </w:rPr>
      </w:pPr>
    </w:p>
    <w:p w14:paraId="4BC18B2B" w14:textId="77777777" w:rsidR="00E810F6" w:rsidRPr="00E810F6" w:rsidRDefault="00E810F6" w:rsidP="00E810F6">
      <w:pPr>
        <w:pStyle w:val="BodyA"/>
        <w:shd w:val="clear" w:color="auto" w:fill="FFFFFF"/>
        <w:jc w:val="both"/>
        <w:rPr>
          <w:rFonts w:asciiTheme="minorHAnsi" w:hAnsiTheme="minorHAnsi" w:cstheme="minorHAnsi"/>
          <w:color w:val="auto"/>
          <w:sz w:val="20"/>
          <w:szCs w:val="20"/>
          <w:lang w:val="fr-CH"/>
        </w:rPr>
      </w:pPr>
      <w:r w:rsidRPr="00E810F6">
        <w:rPr>
          <w:rFonts w:asciiTheme="minorHAnsi" w:hAnsiTheme="minorHAnsi" w:cstheme="minorHAnsi"/>
          <w:color w:val="auto"/>
          <w:sz w:val="20"/>
          <w:szCs w:val="20"/>
          <w:lang w:val="fr-CH"/>
        </w:rPr>
        <w:t xml:space="preserve">Article 4 : « En matière de délit, la prescription de l’action publique est de trois années révolues, sauf dans les cas où un délai plus court aura été fixé par des lois particulières. La prescription s’accomplit selon les distinctions spécifiées à l’article 3 ». </w:t>
      </w:r>
    </w:p>
    <w:p w14:paraId="5B04CB48" w14:textId="77777777" w:rsidR="00E810F6" w:rsidRPr="00E810F6" w:rsidRDefault="00E810F6" w:rsidP="00E810F6">
      <w:pPr>
        <w:pStyle w:val="BodyA"/>
        <w:shd w:val="clear" w:color="auto" w:fill="FFFFFF"/>
        <w:jc w:val="both"/>
        <w:rPr>
          <w:rFonts w:asciiTheme="minorHAnsi" w:hAnsiTheme="minorHAnsi" w:cstheme="minorHAnsi"/>
          <w:color w:val="auto"/>
          <w:sz w:val="20"/>
          <w:szCs w:val="20"/>
          <w:lang w:val="fr-CH"/>
        </w:rPr>
      </w:pPr>
    </w:p>
    <w:p w14:paraId="4D64CEEF" w14:textId="61F7811D" w:rsidR="00E810F6" w:rsidRPr="00E810F6" w:rsidRDefault="00E810F6">
      <w:pPr>
        <w:pStyle w:val="FootnoteText"/>
        <w:rPr>
          <w:rFonts w:cstheme="minorHAnsi"/>
          <w:lang w:val="fr-FR"/>
        </w:rPr>
      </w:pPr>
    </w:p>
  </w:footnote>
  <w:footnote w:id="17">
    <w:p w14:paraId="39B9DF1D" w14:textId="04693117" w:rsidR="004A5731" w:rsidRPr="004A5731" w:rsidRDefault="004A5731">
      <w:pPr>
        <w:pStyle w:val="FootnoteText"/>
        <w:rPr>
          <w:lang w:val="fr-FR"/>
        </w:rPr>
      </w:pPr>
      <w:r>
        <w:rPr>
          <w:rStyle w:val="FootnoteReference"/>
        </w:rPr>
        <w:footnoteRef/>
      </w:r>
      <w:r w:rsidRPr="004A5731">
        <w:rPr>
          <w:rFonts w:cs="Times New Roman"/>
          <w:lang w:val="fr-CH"/>
        </w:rPr>
        <w:t>Article 335.3 du code pénal : « Tout rapport sexuel entre proches parents ou alliés jusqu’au 3</w:t>
      </w:r>
      <w:r w:rsidRPr="004A5731">
        <w:rPr>
          <w:rFonts w:cs="Times New Roman"/>
          <w:vertAlign w:val="superscript"/>
          <w:lang w:val="fr-CH"/>
        </w:rPr>
        <w:t>ème</w:t>
      </w:r>
      <w:r w:rsidRPr="004A5731">
        <w:rPr>
          <w:rFonts w:cs="Times New Roman"/>
          <w:lang w:val="fr-CH"/>
        </w:rPr>
        <w:t xml:space="preserve"> degré inclus, en ligne directe ou collatérale, dont le mariage est prohibé par la loi ou tout abus sexuel commis par le père ou la mère ou un autre ascendant ou une personne ayant autorité parentale sur un enfant est qualifié inceste ».</w:t>
      </w:r>
      <w:r>
        <w:t xml:space="preserve"> </w:t>
      </w:r>
    </w:p>
  </w:footnote>
  <w:footnote w:id="18">
    <w:p w14:paraId="4580F2D6" w14:textId="77777777" w:rsidR="00AA6340" w:rsidRPr="00AA6340" w:rsidRDefault="00AA6340" w:rsidP="00AA6340">
      <w:pPr>
        <w:pStyle w:val="BodyA"/>
        <w:shd w:val="clear" w:color="auto" w:fill="FFFFFF"/>
        <w:jc w:val="both"/>
        <w:rPr>
          <w:rFonts w:asciiTheme="minorHAnsi" w:hAnsiTheme="minorHAnsi" w:cstheme="minorHAnsi"/>
          <w:color w:val="auto"/>
          <w:sz w:val="20"/>
          <w:szCs w:val="20"/>
          <w:lang w:val="fr-CH"/>
        </w:rPr>
      </w:pPr>
      <w:r>
        <w:rPr>
          <w:rStyle w:val="FootnoteReference"/>
        </w:rPr>
        <w:footnoteRef/>
      </w:r>
      <w:r>
        <w:t xml:space="preserve"> </w:t>
      </w:r>
      <w:bookmarkStart w:id="4" w:name="_Hlk39774146"/>
      <w:r w:rsidRPr="00AA6340">
        <w:rPr>
          <w:rFonts w:asciiTheme="minorHAnsi" w:hAnsiTheme="minorHAnsi" w:cstheme="minorHAnsi"/>
          <w:color w:val="auto"/>
          <w:sz w:val="20"/>
          <w:szCs w:val="20"/>
          <w:lang w:val="fr-CH"/>
        </w:rPr>
        <w:t xml:space="preserve">Article 335.7 du code pénal : « En matière d’infraction relative à la traite, à l’exploitation sexuelle, au tourisme sexuel et à l’inceste commis sur la personne d’un enfant, le délai de prescription de l’action publique ne commence à courir qu’à partir du jour où l’enfant victime atteint l’âge de 18 ans ».  </w:t>
      </w:r>
    </w:p>
    <w:bookmarkEnd w:id="4"/>
    <w:p w14:paraId="7379322A" w14:textId="7EF0E3E1" w:rsidR="00AA6340" w:rsidRPr="00AA6340" w:rsidRDefault="00AA6340">
      <w:pPr>
        <w:pStyle w:val="FootnoteText"/>
        <w:rPr>
          <w:rFonts w:cstheme="minorHAnsi"/>
          <w:lang w:val="fr-FR"/>
        </w:rPr>
      </w:pPr>
    </w:p>
  </w:footnote>
  <w:footnote w:id="19">
    <w:p w14:paraId="49ADBABA" w14:textId="77777777" w:rsidR="000415F1" w:rsidRPr="000415F1" w:rsidRDefault="000415F1" w:rsidP="000415F1">
      <w:pPr>
        <w:pStyle w:val="BodyA"/>
        <w:shd w:val="clear" w:color="auto" w:fill="FFFFFF"/>
        <w:jc w:val="both"/>
        <w:rPr>
          <w:rFonts w:asciiTheme="minorHAnsi" w:hAnsiTheme="minorHAnsi" w:cstheme="minorHAnsi"/>
          <w:color w:val="auto"/>
          <w:sz w:val="20"/>
          <w:szCs w:val="20"/>
          <w:lang w:val="fr-CH"/>
        </w:rPr>
      </w:pPr>
      <w:r>
        <w:rPr>
          <w:rStyle w:val="FootnoteReference"/>
        </w:rPr>
        <w:footnoteRef/>
      </w:r>
      <w:r>
        <w:t xml:space="preserve"> </w:t>
      </w:r>
      <w:r w:rsidRPr="000415F1">
        <w:rPr>
          <w:rFonts w:asciiTheme="minorHAnsi" w:hAnsiTheme="minorHAnsi" w:cstheme="minorHAnsi"/>
          <w:color w:val="auto"/>
          <w:sz w:val="20"/>
          <w:szCs w:val="20"/>
          <w:lang w:val="fr-CH"/>
        </w:rPr>
        <w:t xml:space="preserve">Article 77 alinéa 2 de la Loi n°2007-023 du 20 août 2007 : « Pour éviter la répétition d’audition d’un enfant victime de maltraitance, la première audition d’un enfant peut se faire par vidéo filmée tant au niveau de l’Officier de Police Judiciaire que devant le Juge des Enfants, toutefois la transcription sur procès -verbal est obligatoire ». </w:t>
      </w:r>
    </w:p>
    <w:p w14:paraId="6765637A" w14:textId="28E153E1" w:rsidR="000415F1" w:rsidRPr="000415F1" w:rsidRDefault="000415F1">
      <w:pPr>
        <w:pStyle w:val="FootnoteText"/>
        <w:rPr>
          <w:lang w:val="fr-FR"/>
        </w:rPr>
      </w:pPr>
    </w:p>
  </w:footnote>
  <w:footnote w:id="20">
    <w:p w14:paraId="173BECD0" w14:textId="749D9E47" w:rsidR="00DF51B7" w:rsidRPr="00DF51B7" w:rsidRDefault="00DF51B7">
      <w:pPr>
        <w:pStyle w:val="FootnoteText"/>
        <w:rPr>
          <w:lang w:val="fr-FR"/>
        </w:rPr>
      </w:pPr>
      <w:r>
        <w:rPr>
          <w:rStyle w:val="FootnoteReference"/>
        </w:rPr>
        <w:footnoteRef/>
      </w:r>
      <w:r>
        <w:t xml:space="preserve"> </w:t>
      </w:r>
      <w:r w:rsidRPr="00FD0663">
        <w:rPr>
          <w:rFonts w:cs="Times New Roman"/>
          <w:lang w:val="fr-FR"/>
        </w:rPr>
        <w:t>(cf. le site de la Cour pénale internationale)</w:t>
      </w:r>
    </w:p>
  </w:footnote>
  <w:footnote w:id="21">
    <w:p w14:paraId="125BFE88" w14:textId="77777777" w:rsidR="00D127B5" w:rsidRDefault="00D127B5">
      <w:pPr>
        <w:pStyle w:val="FootnoteText"/>
        <w:rPr>
          <w:lang w:val="fr-FR"/>
        </w:rPr>
      </w:pPr>
      <w:r>
        <w:rPr>
          <w:rStyle w:val="FootnoteReference"/>
        </w:rPr>
        <w:footnoteRef/>
      </w:r>
      <w:r>
        <w:t xml:space="preserve"> </w:t>
      </w:r>
      <w:r>
        <w:rPr>
          <w:lang w:val="fr-FR"/>
        </w:rPr>
        <w:t>Source : Brigade criminelle Anosy et Tsaralalàna</w:t>
      </w:r>
    </w:p>
    <w:p w14:paraId="72AAE0DC" w14:textId="6AE9E991" w:rsidR="00D127B5" w:rsidRPr="00D127B5" w:rsidRDefault="00D127B5">
      <w:pPr>
        <w:pStyle w:val="FootnoteText"/>
        <w:rPr>
          <w:lang w:val="fr-FR"/>
        </w:rPr>
      </w:pPr>
      <w:r>
        <w:rPr>
          <w:lang w:val="fr-FR"/>
        </w:rPr>
        <w:t>Selon la Police des mœurs et de la protection des Mineurs, il n’existe pas de statistiques particulières sur le nombre de signalement reç</w:t>
      </w:r>
      <w:r w:rsidR="00766A03">
        <w:rPr>
          <w:lang w:val="fr-FR"/>
        </w:rPr>
        <w:t>u</w:t>
      </w:r>
      <w:r>
        <w:rPr>
          <w:lang w:val="fr-FR"/>
        </w:rPr>
        <w:t>. En outre, toutes les plaintes reçues au niveau de leur service ont fait l’objet d’un</w:t>
      </w:r>
      <w:r w:rsidR="00766A03">
        <w:rPr>
          <w:lang w:val="fr-FR"/>
        </w:rPr>
        <w:t>e poursuite pénale</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94E6" w14:textId="39938F49" w:rsidR="00235E2D" w:rsidRPr="00F27EFB" w:rsidRDefault="00235E2D" w:rsidP="00F27EFB">
    <w:pPr>
      <w:pStyle w:val="Header"/>
      <w:jc w:val="center"/>
      <w:rPr>
        <w:rFonts w:ascii="Times New Roman" w:hAnsi="Times New Roman" w:cs="Times New Roman"/>
        <w:sz w:val="14"/>
        <w:szCs w:val="14"/>
      </w:rPr>
    </w:pPr>
    <w:r w:rsidRPr="00F27EFB">
      <w:rPr>
        <w:rFonts w:ascii="Times New Roman" w:hAnsi="Times New Roman" w:cs="Times New Roman"/>
        <w:noProof/>
        <w:sz w:val="48"/>
        <w:szCs w:val="48"/>
        <w:lang w:eastAsia="en-GB"/>
      </w:rPr>
      <w:drawing>
        <wp:inline distT="0" distB="0" distL="0" distR="0" wp14:anchorId="7768BD03" wp14:editId="0133DAAB">
          <wp:extent cx="2590800" cy="1200150"/>
          <wp:effectExtent l="0" t="0" r="0" b="0"/>
          <wp:docPr id="2" name="Picture 2" descr="SP Logo black - fren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608" cy="1200524"/>
                  </a:xfrm>
                  <a:prstGeom prst="rect">
                    <a:avLst/>
                  </a:prstGeom>
                  <a:noFill/>
                  <a:ln>
                    <a:noFill/>
                  </a:ln>
                </pic:spPr>
              </pic:pic>
            </a:graphicData>
          </a:graphic>
        </wp:inline>
      </w:drawing>
    </w:r>
  </w:p>
  <w:p w14:paraId="5AF94A84" w14:textId="77777777" w:rsidR="00235E2D" w:rsidRPr="00F27EFB" w:rsidRDefault="00235E2D" w:rsidP="00F27EFB">
    <w:pPr>
      <w:pStyle w:val="Header"/>
      <w:tabs>
        <w:tab w:val="right" w:pos="3686"/>
        <w:tab w:val="left" w:pos="5812"/>
      </w:tabs>
      <w:jc w:val="center"/>
      <w:rPr>
        <w:rFonts w:ascii="Times New Roman" w:hAnsi="Times New Roman" w:cs="Times New Roman"/>
        <w:sz w:val="14"/>
        <w:szCs w:val="14"/>
        <w:lang w:val="fr-CH"/>
      </w:rPr>
    </w:pPr>
    <w:r w:rsidRPr="00F27EFB">
      <w:rPr>
        <w:rFonts w:ascii="Times New Roman" w:hAnsi="Times New Roman" w:cs="Times New Roman"/>
        <w:sz w:val="14"/>
        <w:szCs w:val="14"/>
        <w:lang w:val="fr-CH"/>
      </w:rPr>
      <w:t>PALAIS DES NATIONS • 1211 GENEVA 10, SWITZERLAND</w:t>
    </w:r>
  </w:p>
  <w:p w14:paraId="40F12C97" w14:textId="348847A4" w:rsidR="00235E2D" w:rsidRPr="00F27EFB" w:rsidRDefault="00235E2D" w:rsidP="00F27EFB">
    <w:pPr>
      <w:pStyle w:val="Header"/>
      <w:tabs>
        <w:tab w:val="right" w:pos="3686"/>
        <w:tab w:val="left" w:pos="5812"/>
      </w:tabs>
      <w:spacing w:before="80" w:after="360"/>
      <w:jc w:val="center"/>
      <w:rPr>
        <w:rFonts w:ascii="Times New Roman" w:hAnsi="Times New Roman" w:cs="Times New Roman"/>
        <w:sz w:val="14"/>
        <w:szCs w:val="14"/>
        <w:lang w:val="pt-BR"/>
      </w:rPr>
    </w:pPr>
    <w:r w:rsidRPr="00F27EFB">
      <w:rPr>
        <w:rFonts w:ascii="Times New Roman" w:hAnsi="Times New Roman" w:cs="Times New Roman"/>
        <w:sz w:val="14"/>
        <w:szCs w:val="14"/>
        <w:lang w:val="pt-BR"/>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147D1"/>
    <w:multiLevelType w:val="hybridMultilevel"/>
    <w:tmpl w:val="D9A2D6E4"/>
    <w:lvl w:ilvl="0" w:tplc="92D0D8CE">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56FB2D49"/>
    <w:multiLevelType w:val="hybridMultilevel"/>
    <w:tmpl w:val="70C0D6A6"/>
    <w:lvl w:ilvl="0" w:tplc="2A127BD6">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452B71"/>
    <w:multiLevelType w:val="hybridMultilevel"/>
    <w:tmpl w:val="ADA07686"/>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7BF77FE7"/>
    <w:multiLevelType w:val="hybridMultilevel"/>
    <w:tmpl w:val="78A4D1AC"/>
    <w:lvl w:ilvl="0" w:tplc="CBC01BB0">
      <w:numFmt w:val="bullet"/>
      <w:lvlText w:val="-"/>
      <w:lvlJc w:val="left"/>
      <w:pPr>
        <w:ind w:left="720" w:hanging="360"/>
      </w:pPr>
      <w:rPr>
        <w:rFonts w:ascii="Times New Roman" w:eastAsia="Arial Unicode MS"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22"/>
    <w:rsid w:val="000256BB"/>
    <w:rsid w:val="00031077"/>
    <w:rsid w:val="000415F1"/>
    <w:rsid w:val="000567F6"/>
    <w:rsid w:val="000D7D8F"/>
    <w:rsid w:val="000E54EE"/>
    <w:rsid w:val="000F18FE"/>
    <w:rsid w:val="000F6F2C"/>
    <w:rsid w:val="00110544"/>
    <w:rsid w:val="001114C7"/>
    <w:rsid w:val="001612B0"/>
    <w:rsid w:val="00186B32"/>
    <w:rsid w:val="001934AE"/>
    <w:rsid w:val="001D1360"/>
    <w:rsid w:val="001E5943"/>
    <w:rsid w:val="00217617"/>
    <w:rsid w:val="00223900"/>
    <w:rsid w:val="00235E2D"/>
    <w:rsid w:val="00236B69"/>
    <w:rsid w:val="00246638"/>
    <w:rsid w:val="002515BD"/>
    <w:rsid w:val="00262C49"/>
    <w:rsid w:val="002A3C63"/>
    <w:rsid w:val="003002BE"/>
    <w:rsid w:val="003066A0"/>
    <w:rsid w:val="00321DE0"/>
    <w:rsid w:val="0034268D"/>
    <w:rsid w:val="0035610C"/>
    <w:rsid w:val="003665AB"/>
    <w:rsid w:val="00381A62"/>
    <w:rsid w:val="00385FBC"/>
    <w:rsid w:val="003B11F4"/>
    <w:rsid w:val="003B3714"/>
    <w:rsid w:val="003D1F88"/>
    <w:rsid w:val="003E059E"/>
    <w:rsid w:val="00405BDA"/>
    <w:rsid w:val="00406D4F"/>
    <w:rsid w:val="00420DCA"/>
    <w:rsid w:val="00490D4B"/>
    <w:rsid w:val="004A5731"/>
    <w:rsid w:val="004D6EEB"/>
    <w:rsid w:val="004E3CDC"/>
    <w:rsid w:val="004E6CFF"/>
    <w:rsid w:val="004F240E"/>
    <w:rsid w:val="00512CED"/>
    <w:rsid w:val="0051344A"/>
    <w:rsid w:val="00526C23"/>
    <w:rsid w:val="0053677C"/>
    <w:rsid w:val="00546A43"/>
    <w:rsid w:val="005B083B"/>
    <w:rsid w:val="005D3A54"/>
    <w:rsid w:val="005E1C1F"/>
    <w:rsid w:val="005F4816"/>
    <w:rsid w:val="00622763"/>
    <w:rsid w:val="00666E16"/>
    <w:rsid w:val="00673A3A"/>
    <w:rsid w:val="006F6BC0"/>
    <w:rsid w:val="00722C46"/>
    <w:rsid w:val="00732601"/>
    <w:rsid w:val="0073720A"/>
    <w:rsid w:val="00760849"/>
    <w:rsid w:val="00766A03"/>
    <w:rsid w:val="007A58A7"/>
    <w:rsid w:val="007C77F0"/>
    <w:rsid w:val="007E3D58"/>
    <w:rsid w:val="0080046C"/>
    <w:rsid w:val="00825922"/>
    <w:rsid w:val="0083503E"/>
    <w:rsid w:val="00847777"/>
    <w:rsid w:val="00890E36"/>
    <w:rsid w:val="008A693E"/>
    <w:rsid w:val="008B44D5"/>
    <w:rsid w:val="008C1F9A"/>
    <w:rsid w:val="008C40B6"/>
    <w:rsid w:val="008E0884"/>
    <w:rsid w:val="008E6CD2"/>
    <w:rsid w:val="008F3D4D"/>
    <w:rsid w:val="009143FF"/>
    <w:rsid w:val="0093471F"/>
    <w:rsid w:val="00953B63"/>
    <w:rsid w:val="009812D4"/>
    <w:rsid w:val="00986426"/>
    <w:rsid w:val="0099240E"/>
    <w:rsid w:val="009A0052"/>
    <w:rsid w:val="009B5BA9"/>
    <w:rsid w:val="009C7513"/>
    <w:rsid w:val="009D164E"/>
    <w:rsid w:val="009E4477"/>
    <w:rsid w:val="00A01748"/>
    <w:rsid w:val="00A32221"/>
    <w:rsid w:val="00A53B26"/>
    <w:rsid w:val="00A57110"/>
    <w:rsid w:val="00A820F6"/>
    <w:rsid w:val="00A822E0"/>
    <w:rsid w:val="00AA6340"/>
    <w:rsid w:val="00AD3A13"/>
    <w:rsid w:val="00AD6C66"/>
    <w:rsid w:val="00B441E1"/>
    <w:rsid w:val="00B85EC9"/>
    <w:rsid w:val="00B91123"/>
    <w:rsid w:val="00BC4CA9"/>
    <w:rsid w:val="00BF5C45"/>
    <w:rsid w:val="00C35924"/>
    <w:rsid w:val="00C35FA4"/>
    <w:rsid w:val="00C75399"/>
    <w:rsid w:val="00CA35EB"/>
    <w:rsid w:val="00CB3BD6"/>
    <w:rsid w:val="00CD1A5E"/>
    <w:rsid w:val="00CD285B"/>
    <w:rsid w:val="00D127B5"/>
    <w:rsid w:val="00D15941"/>
    <w:rsid w:val="00D24BC6"/>
    <w:rsid w:val="00D2633A"/>
    <w:rsid w:val="00D3100F"/>
    <w:rsid w:val="00D40B4E"/>
    <w:rsid w:val="00D60FFD"/>
    <w:rsid w:val="00D61A78"/>
    <w:rsid w:val="00DA18FF"/>
    <w:rsid w:val="00DC0E5D"/>
    <w:rsid w:val="00DC17B2"/>
    <w:rsid w:val="00DC6DB0"/>
    <w:rsid w:val="00DE242F"/>
    <w:rsid w:val="00DF51B7"/>
    <w:rsid w:val="00E07946"/>
    <w:rsid w:val="00E10FB0"/>
    <w:rsid w:val="00E43060"/>
    <w:rsid w:val="00E54709"/>
    <w:rsid w:val="00E57291"/>
    <w:rsid w:val="00E72C70"/>
    <w:rsid w:val="00E810F6"/>
    <w:rsid w:val="00E848A8"/>
    <w:rsid w:val="00EA3250"/>
    <w:rsid w:val="00ED7B75"/>
    <w:rsid w:val="00EE05AD"/>
    <w:rsid w:val="00F12773"/>
    <w:rsid w:val="00F21FB0"/>
    <w:rsid w:val="00F27EFB"/>
    <w:rsid w:val="00F359D3"/>
    <w:rsid w:val="00F51ED9"/>
    <w:rsid w:val="00F53082"/>
    <w:rsid w:val="00F719B6"/>
    <w:rsid w:val="00FA7111"/>
    <w:rsid w:val="00FD0663"/>
    <w:rsid w:val="00FE3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8A13B"/>
  <w15:chartTrackingRefBased/>
  <w15:docId w15:val="{DE463D5A-E9F4-4B3F-8124-56FF918D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8FF"/>
    <w:rPr>
      <w:rFonts w:ascii="Segoe UI" w:hAnsi="Segoe UI" w:cs="Segoe UI"/>
      <w:sz w:val="18"/>
      <w:szCs w:val="18"/>
    </w:rPr>
  </w:style>
  <w:style w:type="character" w:styleId="Hyperlink">
    <w:name w:val="Hyperlink"/>
    <w:basedOn w:val="DefaultParagraphFont"/>
    <w:uiPriority w:val="99"/>
    <w:unhideWhenUsed/>
    <w:rsid w:val="003E059E"/>
    <w:rPr>
      <w:color w:val="0563C1" w:themeColor="hyperlink"/>
      <w:u w:val="single"/>
    </w:rPr>
  </w:style>
  <w:style w:type="character" w:styleId="CommentReference">
    <w:name w:val="annotation reference"/>
    <w:basedOn w:val="DefaultParagraphFont"/>
    <w:uiPriority w:val="99"/>
    <w:semiHidden/>
    <w:unhideWhenUsed/>
    <w:rsid w:val="00DC17B2"/>
    <w:rPr>
      <w:sz w:val="16"/>
      <w:szCs w:val="16"/>
    </w:rPr>
  </w:style>
  <w:style w:type="paragraph" w:styleId="CommentText">
    <w:name w:val="annotation text"/>
    <w:basedOn w:val="Normal"/>
    <w:link w:val="CommentTextChar"/>
    <w:uiPriority w:val="99"/>
    <w:semiHidden/>
    <w:unhideWhenUsed/>
    <w:rsid w:val="00DC17B2"/>
    <w:pPr>
      <w:spacing w:line="240" w:lineRule="auto"/>
    </w:pPr>
    <w:rPr>
      <w:sz w:val="20"/>
      <w:szCs w:val="20"/>
    </w:rPr>
  </w:style>
  <w:style w:type="character" w:customStyle="1" w:styleId="CommentTextChar">
    <w:name w:val="Comment Text Char"/>
    <w:basedOn w:val="DefaultParagraphFont"/>
    <w:link w:val="CommentText"/>
    <w:uiPriority w:val="99"/>
    <w:semiHidden/>
    <w:rsid w:val="00DC17B2"/>
    <w:rPr>
      <w:sz w:val="20"/>
      <w:szCs w:val="20"/>
    </w:rPr>
  </w:style>
  <w:style w:type="paragraph" w:styleId="CommentSubject">
    <w:name w:val="annotation subject"/>
    <w:basedOn w:val="CommentText"/>
    <w:next w:val="CommentText"/>
    <w:link w:val="CommentSubjectChar"/>
    <w:uiPriority w:val="99"/>
    <w:semiHidden/>
    <w:unhideWhenUsed/>
    <w:rsid w:val="00DC17B2"/>
    <w:rPr>
      <w:b/>
      <w:bCs/>
    </w:rPr>
  </w:style>
  <w:style w:type="character" w:customStyle="1" w:styleId="CommentSubjectChar">
    <w:name w:val="Comment Subject Char"/>
    <w:basedOn w:val="CommentTextChar"/>
    <w:link w:val="CommentSubject"/>
    <w:uiPriority w:val="99"/>
    <w:semiHidden/>
    <w:rsid w:val="00DC17B2"/>
    <w:rPr>
      <w:b/>
      <w:bCs/>
      <w:sz w:val="20"/>
      <w:szCs w:val="20"/>
    </w:rPr>
  </w:style>
  <w:style w:type="paragraph" w:styleId="Header">
    <w:name w:val="header"/>
    <w:basedOn w:val="Normal"/>
    <w:link w:val="HeaderChar"/>
    <w:uiPriority w:val="99"/>
    <w:unhideWhenUsed/>
    <w:rsid w:val="00F27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EFB"/>
  </w:style>
  <w:style w:type="paragraph" w:styleId="Footer">
    <w:name w:val="footer"/>
    <w:basedOn w:val="Normal"/>
    <w:link w:val="FooterChar"/>
    <w:uiPriority w:val="99"/>
    <w:unhideWhenUsed/>
    <w:rsid w:val="00F27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EFB"/>
  </w:style>
  <w:style w:type="paragraph" w:customStyle="1" w:styleId="BodyA">
    <w:name w:val="Body A"/>
    <w:rsid w:val="00B441E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ListParagraph">
    <w:name w:val="List Paragraph"/>
    <w:basedOn w:val="Normal"/>
    <w:uiPriority w:val="34"/>
    <w:qFormat/>
    <w:rsid w:val="00B441E1"/>
    <w:pPr>
      <w:ind w:left="720"/>
      <w:contextualSpacing/>
    </w:pPr>
  </w:style>
  <w:style w:type="paragraph" w:customStyle="1" w:styleId="Default">
    <w:name w:val="Default"/>
    <w:rsid w:val="003665AB"/>
    <w:pPr>
      <w:autoSpaceDE w:val="0"/>
      <w:autoSpaceDN w:val="0"/>
      <w:adjustRightInd w:val="0"/>
      <w:spacing w:after="0" w:line="240" w:lineRule="auto"/>
    </w:pPr>
    <w:rPr>
      <w:rFonts w:ascii="Arial" w:hAnsi="Arial" w:cs="Arial"/>
      <w:color w:val="000000"/>
      <w:sz w:val="24"/>
      <w:szCs w:val="24"/>
      <w:lang w:val="fr-FR"/>
    </w:rPr>
  </w:style>
  <w:style w:type="paragraph" w:styleId="EndnoteText">
    <w:name w:val="endnote text"/>
    <w:basedOn w:val="Normal"/>
    <w:link w:val="EndnoteTextChar"/>
    <w:uiPriority w:val="99"/>
    <w:semiHidden/>
    <w:unhideWhenUsed/>
    <w:rsid w:val="00405B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5BDA"/>
    <w:rPr>
      <w:sz w:val="20"/>
      <w:szCs w:val="20"/>
    </w:rPr>
  </w:style>
  <w:style w:type="character" w:styleId="EndnoteReference">
    <w:name w:val="endnote reference"/>
    <w:basedOn w:val="DefaultParagraphFont"/>
    <w:uiPriority w:val="99"/>
    <w:semiHidden/>
    <w:unhideWhenUsed/>
    <w:rsid w:val="00405BDA"/>
    <w:rPr>
      <w:vertAlign w:val="superscript"/>
    </w:rPr>
  </w:style>
  <w:style w:type="paragraph" w:styleId="FootnoteText">
    <w:name w:val="footnote text"/>
    <w:basedOn w:val="Normal"/>
    <w:link w:val="FootnoteTextChar"/>
    <w:uiPriority w:val="99"/>
    <w:semiHidden/>
    <w:unhideWhenUsed/>
    <w:rsid w:val="0040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BDA"/>
    <w:rPr>
      <w:sz w:val="20"/>
      <w:szCs w:val="20"/>
    </w:rPr>
  </w:style>
  <w:style w:type="character" w:styleId="FootnoteReference">
    <w:name w:val="footnote reference"/>
    <w:basedOn w:val="DefaultParagraphFont"/>
    <w:uiPriority w:val="99"/>
    <w:semiHidden/>
    <w:unhideWhenUsed/>
    <w:rsid w:val="00405BDA"/>
    <w:rPr>
      <w:vertAlign w:val="superscript"/>
    </w:rPr>
  </w:style>
  <w:style w:type="table" w:styleId="TableGrid">
    <w:name w:val="Table Grid"/>
    <w:basedOn w:val="TableNormal"/>
    <w:uiPriority w:val="39"/>
    <w:rsid w:val="00DF5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w@ohch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29E2EB-7451-4FDA-901E-34E5538AD544}">
  <ds:schemaRefs>
    <ds:schemaRef ds:uri="http://schemas.openxmlformats.org/officeDocument/2006/bibliography"/>
  </ds:schemaRefs>
</ds:datastoreItem>
</file>

<file path=customXml/itemProps2.xml><?xml version="1.0" encoding="utf-8"?>
<ds:datastoreItem xmlns:ds="http://schemas.openxmlformats.org/officeDocument/2006/customXml" ds:itemID="{17049C0F-1727-4548-90E0-8EA2F7CD23D9}"/>
</file>

<file path=customXml/itemProps3.xml><?xml version="1.0" encoding="utf-8"?>
<ds:datastoreItem xmlns:ds="http://schemas.openxmlformats.org/officeDocument/2006/customXml" ds:itemID="{9DED49AA-9828-48C1-9AC3-9E8B53890A8F}"/>
</file>

<file path=customXml/itemProps4.xml><?xml version="1.0" encoding="utf-8"?>
<ds:datastoreItem xmlns:ds="http://schemas.openxmlformats.org/officeDocument/2006/customXml" ds:itemID="{47A7DA21-6692-4634-9095-C325B7D77B3D}"/>
</file>

<file path=docProps/app.xml><?xml version="1.0" encoding="utf-8"?>
<Properties xmlns="http://schemas.openxmlformats.org/officeDocument/2006/extended-properties" xmlns:vt="http://schemas.openxmlformats.org/officeDocument/2006/docPropsVTypes">
  <Template>Normal.dotm</Template>
  <TotalTime>1</TotalTime>
  <Pages>11</Pages>
  <Words>3259</Words>
  <Characters>18577</Characters>
  <Application>Microsoft Office Word</Application>
  <DocSecurity>4</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BARRETO-PRETURLAN Renata</dc:creator>
  <cp:keywords/>
  <dc:description/>
  <cp:lastModifiedBy>PRETURLAN Renata</cp:lastModifiedBy>
  <cp:revision>2</cp:revision>
  <cp:lastPrinted>2020-04-09T15:57:00Z</cp:lastPrinted>
  <dcterms:created xsi:type="dcterms:W3CDTF">2020-05-14T13:22:00Z</dcterms:created>
  <dcterms:modified xsi:type="dcterms:W3CDTF">2020-05-14T13:22:00Z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