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BBB88" w14:textId="7E449E6B" w:rsidR="00A73A5A" w:rsidRPr="00A73A5A" w:rsidRDefault="00A73A5A" w:rsidP="00A73A5A">
      <w:pPr>
        <w:jc w:val="center"/>
        <w:rPr>
          <w:rFonts w:ascii="Times New Roman" w:eastAsia="Times New Roman" w:hAnsi="Times New Roman" w:cs="Times New Roman"/>
        </w:rPr>
      </w:pPr>
      <w:r w:rsidRPr="00A73A5A">
        <w:rPr>
          <w:rFonts w:ascii="Cambria" w:eastAsia="Times New Roman" w:hAnsi="Cambria" w:cs="Times New Roman"/>
          <w:color w:val="000000"/>
          <w:bdr w:val="none" w:sz="0" w:space="0" w:color="auto" w:frame="1"/>
        </w:rPr>
        <w:fldChar w:fldCharType="begin"/>
      </w:r>
      <w:r w:rsidRPr="00A73A5A">
        <w:rPr>
          <w:rFonts w:ascii="Cambria" w:eastAsia="Times New Roman" w:hAnsi="Cambria" w:cs="Times New Roman"/>
          <w:color w:val="000000"/>
          <w:bdr w:val="none" w:sz="0" w:space="0" w:color="auto" w:frame="1"/>
        </w:rPr>
        <w:instrText xml:space="preserve"> INCLUDEPICTURE "https://lh6.googleusercontent.com/KwQHGCNIdbwL35c1soIogyU-KhVhUCWRzV1lerUdyZRWXu1gdV3GTLsTW_b-dVnC7QVacxQpsm0ZbQUpGHOmDt3ZjnCSMBs1bprrzXtDrFSIGCf196AuNCDOsQEPRo06rl9hBVSb9GsyRn9xGg" \* MERGEFORMATINET </w:instrText>
      </w:r>
      <w:r w:rsidRPr="00A73A5A">
        <w:rPr>
          <w:rFonts w:ascii="Cambria" w:eastAsia="Times New Roman" w:hAnsi="Cambria" w:cs="Times New Roman"/>
          <w:color w:val="000000"/>
          <w:bdr w:val="none" w:sz="0" w:space="0" w:color="auto" w:frame="1"/>
        </w:rPr>
        <w:fldChar w:fldCharType="separate"/>
      </w:r>
      <w:r w:rsidRPr="00A73A5A">
        <w:rPr>
          <w:rFonts w:ascii="Cambria" w:eastAsia="Times New Roman" w:hAnsi="Cambria" w:cs="Times New Roman"/>
          <w:noProof/>
          <w:color w:val="000000"/>
          <w:bdr w:val="none" w:sz="0" w:space="0" w:color="auto" w:frame="1"/>
        </w:rPr>
        <w:drawing>
          <wp:inline distT="0" distB="0" distL="0" distR="0" wp14:anchorId="4514158E" wp14:editId="689D86AE">
            <wp:extent cx="3896995" cy="725805"/>
            <wp:effectExtent l="0" t="0" r="190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6995" cy="725805"/>
                    </a:xfrm>
                    <a:prstGeom prst="rect">
                      <a:avLst/>
                    </a:prstGeom>
                    <a:noFill/>
                    <a:ln>
                      <a:noFill/>
                    </a:ln>
                  </pic:spPr>
                </pic:pic>
              </a:graphicData>
            </a:graphic>
          </wp:inline>
        </w:drawing>
      </w:r>
      <w:r w:rsidRPr="00A73A5A">
        <w:rPr>
          <w:rFonts w:ascii="Cambria" w:eastAsia="Times New Roman" w:hAnsi="Cambria" w:cs="Times New Roman"/>
          <w:color w:val="000000"/>
          <w:bdr w:val="none" w:sz="0" w:space="0" w:color="auto" w:frame="1"/>
        </w:rPr>
        <w:fldChar w:fldCharType="end"/>
      </w:r>
    </w:p>
    <w:p w14:paraId="5866A4BF" w14:textId="297E6D94" w:rsidR="00A73A5A" w:rsidRDefault="00A73A5A" w:rsidP="00A73A5A">
      <w:pPr>
        <w:jc w:val="center"/>
        <w:rPr>
          <w:rFonts w:ascii="Book Antiqua" w:hAnsi="Book Antiqua"/>
          <w:b/>
          <w:bCs/>
          <w:u w:val="single"/>
        </w:rPr>
      </w:pPr>
    </w:p>
    <w:p w14:paraId="723E803C" w14:textId="77777777" w:rsidR="00A73A5A" w:rsidRDefault="00A73A5A" w:rsidP="00A73A5A">
      <w:pPr>
        <w:jc w:val="center"/>
        <w:rPr>
          <w:rFonts w:ascii="Book Antiqua" w:hAnsi="Book Antiqua"/>
          <w:b/>
          <w:bCs/>
          <w:u w:val="single"/>
        </w:rPr>
      </w:pPr>
    </w:p>
    <w:p w14:paraId="61787FC7" w14:textId="48D2C1EE" w:rsidR="00F11CF6" w:rsidRDefault="001B7ABF" w:rsidP="00A73A5A">
      <w:pPr>
        <w:jc w:val="center"/>
        <w:rPr>
          <w:rFonts w:ascii="Book Antiqua" w:hAnsi="Book Antiqua"/>
          <w:b/>
          <w:bCs/>
          <w:u w:val="single"/>
        </w:rPr>
      </w:pPr>
      <w:r>
        <w:rPr>
          <w:rFonts w:ascii="Book Antiqua" w:hAnsi="Book Antiqua"/>
          <w:b/>
          <w:bCs/>
          <w:u w:val="single"/>
        </w:rPr>
        <w:t xml:space="preserve">Bahamas </w:t>
      </w:r>
      <w:r w:rsidRPr="001B7ABF">
        <w:rPr>
          <w:rFonts w:ascii="Book Antiqua" w:hAnsi="Book Antiqua"/>
          <w:b/>
          <w:bCs/>
          <w:u w:val="single"/>
        </w:rPr>
        <w:t>Rape Laws</w:t>
      </w:r>
      <w:r>
        <w:rPr>
          <w:rFonts w:ascii="Book Antiqua" w:hAnsi="Book Antiqua"/>
          <w:b/>
          <w:bCs/>
          <w:u w:val="single"/>
        </w:rPr>
        <w:t xml:space="preserve">: An Exploration of </w:t>
      </w:r>
      <w:r w:rsidR="00A73A5A">
        <w:rPr>
          <w:rFonts w:ascii="Book Antiqua" w:hAnsi="Book Antiqua"/>
          <w:b/>
          <w:bCs/>
          <w:u w:val="single"/>
        </w:rPr>
        <w:t xml:space="preserve">Gaps in </w:t>
      </w:r>
      <w:r>
        <w:rPr>
          <w:rFonts w:ascii="Book Antiqua" w:hAnsi="Book Antiqua"/>
          <w:b/>
          <w:bCs/>
          <w:u w:val="single"/>
        </w:rPr>
        <w:t>the Protection of Victims</w:t>
      </w:r>
    </w:p>
    <w:p w14:paraId="02FB4DBA" w14:textId="635ED9B4" w:rsidR="00A73A5A" w:rsidRPr="00A73A5A" w:rsidRDefault="00A73A5A" w:rsidP="00A73A5A">
      <w:pPr>
        <w:jc w:val="center"/>
        <w:rPr>
          <w:rFonts w:ascii="Book Antiqua" w:hAnsi="Book Antiqua"/>
          <w:b/>
          <w:bCs/>
        </w:rPr>
      </w:pPr>
    </w:p>
    <w:p w14:paraId="72336204" w14:textId="77777777" w:rsidR="001B7ABF" w:rsidRPr="001B7ABF" w:rsidRDefault="001B7ABF" w:rsidP="005F6A19">
      <w:pPr>
        <w:jc w:val="both"/>
        <w:rPr>
          <w:rFonts w:ascii="Book Antiqua" w:hAnsi="Book Antiqua"/>
        </w:rPr>
      </w:pPr>
    </w:p>
    <w:p w14:paraId="6963A51E" w14:textId="48188779" w:rsidR="00977AC6" w:rsidRPr="001B7ABF" w:rsidRDefault="001B7ABF" w:rsidP="005F6A19">
      <w:pPr>
        <w:jc w:val="both"/>
        <w:rPr>
          <w:rFonts w:ascii="Book Antiqua" w:hAnsi="Book Antiqua"/>
          <w:b/>
          <w:bCs/>
        </w:rPr>
      </w:pPr>
      <w:r>
        <w:rPr>
          <w:rFonts w:ascii="Book Antiqua" w:hAnsi="Book Antiqua"/>
          <w:b/>
          <w:bCs/>
        </w:rPr>
        <w:t>Introduction</w:t>
      </w:r>
    </w:p>
    <w:p w14:paraId="0DBA0A3A" w14:textId="77777777" w:rsidR="00F11CF6" w:rsidRPr="001B7ABF" w:rsidRDefault="00F11CF6" w:rsidP="005F6A19">
      <w:pPr>
        <w:jc w:val="both"/>
        <w:rPr>
          <w:rFonts w:ascii="Book Antiqua" w:hAnsi="Book Antiqua"/>
          <w:b/>
          <w:bCs/>
        </w:rPr>
      </w:pPr>
    </w:p>
    <w:p w14:paraId="096564F6" w14:textId="77E83890" w:rsidR="00A73A5A" w:rsidRDefault="00A73A5A" w:rsidP="005F6A19">
      <w:pPr>
        <w:ind w:firstLine="720"/>
        <w:jc w:val="both"/>
        <w:rPr>
          <w:rFonts w:ascii="Book Antiqua" w:hAnsi="Book Antiqua"/>
        </w:rPr>
      </w:pPr>
      <w:r>
        <w:rPr>
          <w:rFonts w:ascii="Book Antiqua" w:hAnsi="Book Antiqua"/>
        </w:rPr>
        <w:t xml:space="preserve">This paper is prepared by Global Rights for Women (GRW) to supplement its submission to the Special Rapporteur on violence against women, its causes and consequences, in response to a questionnaire </w:t>
      </w:r>
      <w:r w:rsidR="006C3A75">
        <w:rPr>
          <w:rFonts w:ascii="Book Antiqua" w:hAnsi="Book Antiqua"/>
        </w:rPr>
        <w:t>regarding</w:t>
      </w:r>
      <w:r>
        <w:rPr>
          <w:rFonts w:ascii="Book Antiqua" w:hAnsi="Book Antiqua"/>
        </w:rPr>
        <w:t xml:space="preserve"> domestic sexual violence law</w:t>
      </w:r>
      <w:r w:rsidR="006C3A75">
        <w:rPr>
          <w:rFonts w:ascii="Book Antiqua" w:hAnsi="Book Antiqua"/>
        </w:rPr>
        <w:t>s</w:t>
      </w:r>
      <w:r>
        <w:rPr>
          <w:rFonts w:ascii="Book Antiqua" w:hAnsi="Book Antiqua"/>
        </w:rPr>
        <w:t xml:space="preserve">.  This paper explores gaps in the laws of the Bahamas which hinder the protection of victims of sexual violence.  </w:t>
      </w:r>
      <w:r w:rsidR="006C3A75">
        <w:rPr>
          <w:rFonts w:ascii="Book Antiqua" w:hAnsi="Book Antiqua"/>
        </w:rPr>
        <w:t xml:space="preserve">GRW is currently engaged in research in the Bahamas in partnership with Bahamian organizations that support survivors of </w:t>
      </w:r>
      <w:proofErr w:type="gramStart"/>
      <w:r w:rsidR="006C3A75">
        <w:rPr>
          <w:rFonts w:ascii="Book Antiqua" w:hAnsi="Book Antiqua"/>
        </w:rPr>
        <w:t>gender based</w:t>
      </w:r>
      <w:proofErr w:type="gramEnd"/>
      <w:r w:rsidR="006C3A75">
        <w:rPr>
          <w:rFonts w:ascii="Book Antiqua" w:hAnsi="Book Antiqua"/>
        </w:rPr>
        <w:t xml:space="preserve"> violence.  </w:t>
      </w:r>
    </w:p>
    <w:p w14:paraId="58982FE1" w14:textId="62CA63D9" w:rsidR="00F11CF6" w:rsidRDefault="00F11CF6" w:rsidP="005F6A19">
      <w:pPr>
        <w:ind w:firstLine="720"/>
        <w:jc w:val="both"/>
        <w:rPr>
          <w:rFonts w:ascii="Book Antiqua" w:hAnsi="Book Antiqua"/>
        </w:rPr>
      </w:pPr>
      <w:r w:rsidRPr="001B7ABF">
        <w:rPr>
          <w:rFonts w:ascii="Book Antiqua" w:hAnsi="Book Antiqua"/>
        </w:rPr>
        <w:t xml:space="preserve">In Bahamas, the primary legislation addressing violence against women and girls (VAWG) includes: (1) The Domestic Violence (Protection Orders) Act of 2007; (2) The Sexual Offences Act of 1991; (3) Chapter 84 of the Penal Code; (4) Chapter 91 of the Criminal Procedure Code; and (5) Chapter 65 of the Evidence Act. Provisions found within the Domestic Violence Act and the Sexual Offences Act are meant to supplement, </w:t>
      </w:r>
      <w:r w:rsidR="0032352B">
        <w:rPr>
          <w:rFonts w:ascii="Book Antiqua" w:hAnsi="Book Antiqua"/>
        </w:rPr>
        <w:t>rather than</w:t>
      </w:r>
      <w:r w:rsidRPr="001B7ABF">
        <w:rPr>
          <w:rFonts w:ascii="Book Antiqua" w:hAnsi="Book Antiqua"/>
        </w:rPr>
        <w:t xml:space="preserve"> replac</w:t>
      </w:r>
      <w:r w:rsidR="00550EFF">
        <w:rPr>
          <w:rFonts w:ascii="Book Antiqua" w:hAnsi="Book Antiqua"/>
        </w:rPr>
        <w:t>e</w:t>
      </w:r>
      <w:r w:rsidRPr="001B7ABF">
        <w:rPr>
          <w:rFonts w:ascii="Book Antiqua" w:hAnsi="Book Antiqua"/>
        </w:rPr>
        <w:t xml:space="preserve">, provisions within the penal code. Other relevant legislation includes the Constitution, the Child Protection Act of 2007, the Trafficking in Persons Prevention and Suppression Act of 2008 and the Persons with Disabilities Act of 2014. </w:t>
      </w:r>
    </w:p>
    <w:p w14:paraId="7CDAF01F" w14:textId="0AF37E63" w:rsidR="001B7ABF" w:rsidRPr="001B7ABF" w:rsidRDefault="001B7ABF" w:rsidP="005F6A19">
      <w:pPr>
        <w:ind w:firstLine="720"/>
        <w:jc w:val="both"/>
        <w:rPr>
          <w:rFonts w:ascii="Book Antiqua" w:hAnsi="Book Antiqua"/>
        </w:rPr>
      </w:pPr>
      <w:r>
        <w:rPr>
          <w:rFonts w:ascii="Book Antiqua" w:hAnsi="Book Antiqua"/>
        </w:rPr>
        <w:t xml:space="preserve">The </w:t>
      </w:r>
      <w:r w:rsidRPr="001B7ABF">
        <w:rPr>
          <w:rFonts w:ascii="Book Antiqua" w:hAnsi="Book Antiqua"/>
        </w:rPr>
        <w:t>Sexual Offences Act</w:t>
      </w:r>
      <w:r>
        <w:rPr>
          <w:rFonts w:ascii="Book Antiqua" w:hAnsi="Book Antiqua"/>
        </w:rPr>
        <w:t xml:space="preserve"> is the primary source of law protecting rape victims. </w:t>
      </w:r>
      <w:r w:rsidR="004E757F">
        <w:rPr>
          <w:rFonts w:ascii="Book Antiqua" w:hAnsi="Book Antiqua"/>
        </w:rPr>
        <w:t xml:space="preserve">The </w:t>
      </w:r>
      <w:r w:rsidR="009C3C78">
        <w:rPr>
          <w:rFonts w:ascii="Book Antiqua" w:hAnsi="Book Antiqua"/>
        </w:rPr>
        <w:t>sections</w:t>
      </w:r>
      <w:r w:rsidR="004E757F">
        <w:rPr>
          <w:rFonts w:ascii="Book Antiqua" w:hAnsi="Book Antiqua"/>
        </w:rPr>
        <w:t xml:space="preserve"> explore several provisions of the rape laws </w:t>
      </w:r>
      <w:r w:rsidR="00296364">
        <w:rPr>
          <w:rFonts w:ascii="Book Antiqua" w:hAnsi="Book Antiqua"/>
        </w:rPr>
        <w:t>that hinder</w:t>
      </w:r>
      <w:r w:rsidR="004E757F">
        <w:rPr>
          <w:rFonts w:ascii="Book Antiqua" w:hAnsi="Book Antiqua"/>
        </w:rPr>
        <w:t xml:space="preserve"> protections for rape </w:t>
      </w:r>
      <w:proofErr w:type="gramStart"/>
      <w:r w:rsidR="004E757F">
        <w:rPr>
          <w:rFonts w:ascii="Book Antiqua" w:hAnsi="Book Antiqua"/>
        </w:rPr>
        <w:t>victims</w:t>
      </w:r>
      <w:r w:rsidR="009C3C78">
        <w:rPr>
          <w:rFonts w:ascii="Book Antiqua" w:hAnsi="Book Antiqua"/>
        </w:rPr>
        <w:t>, and</w:t>
      </w:r>
      <w:proofErr w:type="gramEnd"/>
      <w:r w:rsidR="009C3C78">
        <w:rPr>
          <w:rFonts w:ascii="Book Antiqua" w:hAnsi="Book Antiqua"/>
        </w:rPr>
        <w:t xml:space="preserve"> analyze these gaps in an international context</w:t>
      </w:r>
      <w:r w:rsidR="004E757F">
        <w:rPr>
          <w:rFonts w:ascii="Book Antiqua" w:hAnsi="Book Antiqua"/>
        </w:rPr>
        <w:t xml:space="preserve">. </w:t>
      </w:r>
    </w:p>
    <w:p w14:paraId="4ECFA72F" w14:textId="77777777" w:rsidR="009D700E" w:rsidRPr="001B7ABF" w:rsidRDefault="009D700E" w:rsidP="005F6A19">
      <w:pPr>
        <w:ind w:firstLine="720"/>
        <w:jc w:val="both"/>
        <w:rPr>
          <w:rFonts w:ascii="Book Antiqua" w:hAnsi="Book Antiqua"/>
        </w:rPr>
      </w:pPr>
    </w:p>
    <w:p w14:paraId="362F3257" w14:textId="77777777" w:rsidR="00550EFF" w:rsidRDefault="00FA383C" w:rsidP="005F6A19">
      <w:pPr>
        <w:jc w:val="both"/>
        <w:rPr>
          <w:rFonts w:ascii="Book Antiqua" w:hAnsi="Book Antiqua"/>
          <w:b/>
          <w:bCs/>
        </w:rPr>
      </w:pPr>
      <w:r w:rsidRPr="001B7ABF">
        <w:rPr>
          <w:rFonts w:ascii="Book Antiqua" w:hAnsi="Book Antiqua"/>
          <w:b/>
          <w:bCs/>
        </w:rPr>
        <w:t>T</w:t>
      </w:r>
      <w:r w:rsidR="00F11CF6" w:rsidRPr="001B7ABF">
        <w:rPr>
          <w:rFonts w:ascii="Book Antiqua" w:hAnsi="Book Antiqua"/>
          <w:b/>
          <w:bCs/>
        </w:rPr>
        <w:t>he Sexual Offences Act</w:t>
      </w:r>
      <w:r w:rsidRPr="001B7ABF">
        <w:rPr>
          <w:rFonts w:ascii="Book Antiqua" w:hAnsi="Book Antiqua"/>
          <w:b/>
          <w:bCs/>
        </w:rPr>
        <w:t xml:space="preserve"> Lacks Key Provisions enabling Proper Enforcement Against Sexual Violence</w:t>
      </w:r>
    </w:p>
    <w:p w14:paraId="7F36A54A" w14:textId="54540420" w:rsidR="00264FAE" w:rsidRPr="001B7ABF" w:rsidRDefault="00FA383C" w:rsidP="005F6A19">
      <w:pPr>
        <w:jc w:val="both"/>
        <w:rPr>
          <w:rFonts w:ascii="Book Antiqua" w:hAnsi="Book Antiqua"/>
          <w:b/>
          <w:bCs/>
        </w:rPr>
      </w:pPr>
      <w:r w:rsidRPr="001B7ABF">
        <w:rPr>
          <w:rFonts w:ascii="Book Antiqua" w:hAnsi="Book Antiqua"/>
          <w:b/>
          <w:bCs/>
        </w:rPr>
        <w:t xml:space="preserve"> </w:t>
      </w:r>
    </w:p>
    <w:p w14:paraId="10B1E5CA" w14:textId="017921F2" w:rsidR="005F6A19" w:rsidRPr="001B7ABF" w:rsidRDefault="00FA383C" w:rsidP="004E757F">
      <w:pPr>
        <w:ind w:firstLine="720"/>
        <w:jc w:val="both"/>
        <w:rPr>
          <w:rFonts w:ascii="Book Antiqua" w:hAnsi="Book Antiqua"/>
        </w:rPr>
      </w:pPr>
      <w:r w:rsidRPr="001B7ABF">
        <w:rPr>
          <w:rFonts w:ascii="Book Antiqua" w:hAnsi="Book Antiqua"/>
        </w:rPr>
        <w:t xml:space="preserve">The Sexual Offences Act </w:t>
      </w:r>
      <w:r w:rsidR="004E757F">
        <w:rPr>
          <w:rFonts w:ascii="Book Antiqua" w:hAnsi="Book Antiqua"/>
        </w:rPr>
        <w:t xml:space="preserve">creates several gaps </w:t>
      </w:r>
      <w:r w:rsidR="00296364">
        <w:rPr>
          <w:rFonts w:ascii="Book Antiqua" w:hAnsi="Book Antiqua"/>
        </w:rPr>
        <w:t>that undermine</w:t>
      </w:r>
      <w:r w:rsidRPr="001B7ABF">
        <w:rPr>
          <w:rFonts w:ascii="Book Antiqua" w:hAnsi="Book Antiqua"/>
        </w:rPr>
        <w:t xml:space="preserve"> enforcement </w:t>
      </w:r>
      <w:r w:rsidR="00296364">
        <w:rPr>
          <w:rFonts w:ascii="Book Antiqua" w:hAnsi="Book Antiqua"/>
        </w:rPr>
        <w:t>of the law</w:t>
      </w:r>
      <w:r w:rsidRPr="001B7ABF">
        <w:rPr>
          <w:rFonts w:ascii="Book Antiqua" w:hAnsi="Book Antiqua"/>
        </w:rPr>
        <w:t xml:space="preserve">. </w:t>
      </w:r>
      <w:r w:rsidR="00296364">
        <w:rPr>
          <w:rFonts w:ascii="Book Antiqua" w:hAnsi="Book Antiqua"/>
        </w:rPr>
        <w:t xml:space="preserve">The following are significant </w:t>
      </w:r>
      <w:proofErr w:type="spellStart"/>
      <w:r w:rsidR="00296364">
        <w:rPr>
          <w:rFonts w:ascii="Book Antiqua" w:hAnsi="Book Antiqua"/>
        </w:rPr>
        <w:t>gaps:</w:t>
      </w:r>
      <w:r w:rsidRPr="001B7ABF">
        <w:rPr>
          <w:rFonts w:ascii="Book Antiqua" w:hAnsi="Book Antiqua"/>
        </w:rPr>
        <w:t xml:space="preserve"> </w:t>
      </w:r>
      <w:r w:rsidR="0054027B">
        <w:rPr>
          <w:rFonts w:ascii="Book Antiqua" w:hAnsi="Book Antiqua"/>
        </w:rPr>
        <w:t xml:space="preserve">(1) </w:t>
      </w:r>
      <w:proofErr w:type="spellEnd"/>
      <w:r w:rsidR="0054027B" w:rsidRPr="004E757F">
        <w:rPr>
          <w:rFonts w:ascii="Book Antiqua" w:hAnsi="Book Antiqua"/>
        </w:rPr>
        <w:t>Failure to Recognize Marital Rape Leaves Spouses Unprotected from Non-Consensual Sex</w:t>
      </w:r>
      <w:r w:rsidR="0054027B">
        <w:rPr>
          <w:rFonts w:ascii="Book Antiqua" w:hAnsi="Book Antiqua"/>
        </w:rPr>
        <w:t xml:space="preserve">, </w:t>
      </w:r>
      <w:r w:rsidRPr="001B7ABF">
        <w:rPr>
          <w:rFonts w:ascii="Book Antiqua" w:hAnsi="Book Antiqua"/>
        </w:rPr>
        <w:t>(</w:t>
      </w:r>
      <w:r w:rsidR="0054027B">
        <w:rPr>
          <w:rFonts w:ascii="Book Antiqua" w:hAnsi="Book Antiqua"/>
        </w:rPr>
        <w:t>2</w:t>
      </w:r>
      <w:r w:rsidRPr="001B7ABF">
        <w:rPr>
          <w:rFonts w:ascii="Book Antiqua" w:hAnsi="Book Antiqua"/>
        </w:rPr>
        <w:t>)</w:t>
      </w:r>
      <w:r w:rsidR="004E757F">
        <w:rPr>
          <w:rFonts w:ascii="Book Antiqua" w:hAnsi="Book Antiqua"/>
        </w:rPr>
        <w:t xml:space="preserve"> </w:t>
      </w:r>
      <w:r w:rsidR="004E757F" w:rsidRPr="004E757F">
        <w:rPr>
          <w:rFonts w:ascii="Book Antiqua" w:hAnsi="Book Antiqua"/>
        </w:rPr>
        <w:t>Age Distinction of Minors Creates an Age Gap for Enforcement of Sexual Violence Against Minors</w:t>
      </w:r>
      <w:r w:rsidR="004E757F">
        <w:rPr>
          <w:rFonts w:ascii="Book Antiqua" w:hAnsi="Book Antiqua"/>
        </w:rPr>
        <w:t>, (</w:t>
      </w:r>
      <w:r w:rsidR="0054027B">
        <w:rPr>
          <w:rFonts w:ascii="Book Antiqua" w:hAnsi="Book Antiqua"/>
        </w:rPr>
        <w:t>3</w:t>
      </w:r>
      <w:r w:rsidRPr="001B7ABF">
        <w:rPr>
          <w:rFonts w:ascii="Book Antiqua" w:hAnsi="Book Antiqua"/>
        </w:rPr>
        <w:t xml:space="preserve">) </w:t>
      </w:r>
      <w:r w:rsidR="004E757F" w:rsidRPr="004E757F">
        <w:rPr>
          <w:rFonts w:ascii="Book Antiqua" w:hAnsi="Book Antiqua"/>
        </w:rPr>
        <w:t>Age Distinction of Perpetrators at the Discretion of the Attorney General Impedes Enforcement Efforts and the Protection of Victims</w:t>
      </w:r>
      <w:r w:rsidR="004E757F">
        <w:rPr>
          <w:rFonts w:ascii="Book Antiqua" w:hAnsi="Book Antiqua"/>
        </w:rPr>
        <w:t xml:space="preserve">, and (4) </w:t>
      </w:r>
      <w:r w:rsidR="004E757F" w:rsidRPr="004E757F">
        <w:rPr>
          <w:rFonts w:ascii="Book Antiqua" w:hAnsi="Book Antiqua"/>
        </w:rPr>
        <w:t>A Lack of Reporting Requirements and Protection for Victims Against Pressure or Maltreatment from Law Enforcement</w:t>
      </w:r>
      <w:r w:rsidR="004E757F">
        <w:rPr>
          <w:rFonts w:ascii="Book Antiqua" w:hAnsi="Book Antiqua"/>
        </w:rPr>
        <w:t>.</w:t>
      </w:r>
    </w:p>
    <w:p w14:paraId="17C50F6C" w14:textId="4A7236D6" w:rsidR="00BC3A06" w:rsidRDefault="00BC3A06" w:rsidP="009C3FC4">
      <w:pPr>
        <w:jc w:val="both"/>
        <w:rPr>
          <w:rFonts w:ascii="Book Antiqua" w:hAnsi="Book Antiqua"/>
          <w:b/>
          <w:bCs/>
        </w:rPr>
      </w:pPr>
    </w:p>
    <w:p w14:paraId="37A12B1E" w14:textId="77777777" w:rsidR="0054027B" w:rsidRPr="001B7ABF" w:rsidRDefault="0054027B" w:rsidP="0054027B">
      <w:pPr>
        <w:pStyle w:val="ListParagraph"/>
        <w:numPr>
          <w:ilvl w:val="0"/>
          <w:numId w:val="2"/>
        </w:numPr>
        <w:jc w:val="both"/>
        <w:rPr>
          <w:rFonts w:ascii="Book Antiqua" w:hAnsi="Book Antiqua"/>
          <w:b/>
          <w:bCs/>
          <w:i/>
          <w:iCs/>
        </w:rPr>
      </w:pPr>
      <w:r w:rsidRPr="001B7ABF">
        <w:rPr>
          <w:rFonts w:ascii="Book Antiqua" w:hAnsi="Book Antiqua"/>
          <w:i/>
          <w:iCs/>
        </w:rPr>
        <w:t>Failure to Recognize Marital Rape</w:t>
      </w:r>
      <w:r>
        <w:rPr>
          <w:rFonts w:ascii="Book Antiqua" w:hAnsi="Book Antiqua"/>
          <w:i/>
          <w:iCs/>
        </w:rPr>
        <w:t xml:space="preserve"> Leaves Spouses Unprotected from Non-Consensual Sex</w:t>
      </w:r>
    </w:p>
    <w:p w14:paraId="3CFFEB13" w14:textId="77777777" w:rsidR="0054027B" w:rsidRPr="001B7ABF" w:rsidRDefault="0054027B" w:rsidP="0054027B">
      <w:pPr>
        <w:jc w:val="both"/>
        <w:rPr>
          <w:rFonts w:ascii="Book Antiqua" w:hAnsi="Book Antiqua"/>
          <w:b/>
          <w:bCs/>
        </w:rPr>
      </w:pPr>
      <w:r w:rsidRPr="001B7ABF">
        <w:rPr>
          <w:rFonts w:ascii="Book Antiqua" w:hAnsi="Book Antiqua"/>
        </w:rPr>
        <w:t xml:space="preserve"> </w:t>
      </w:r>
    </w:p>
    <w:p w14:paraId="40EA1530" w14:textId="581043A4" w:rsidR="0054027B" w:rsidRPr="001B7ABF" w:rsidRDefault="00A73A5A" w:rsidP="0054027B">
      <w:pPr>
        <w:ind w:firstLine="720"/>
        <w:jc w:val="both"/>
        <w:rPr>
          <w:rFonts w:ascii="Book Antiqua" w:hAnsi="Book Antiqua"/>
        </w:rPr>
      </w:pPr>
      <w:r>
        <w:rPr>
          <w:rFonts w:ascii="Book Antiqua" w:hAnsi="Book Antiqua"/>
        </w:rPr>
        <w:lastRenderedPageBreak/>
        <w:t>As noted in the most recent country report by the Special Rapporteur on violence against women, its causes and consequences,</w:t>
      </w:r>
      <w:r>
        <w:rPr>
          <w:rStyle w:val="FootnoteReference"/>
          <w:rFonts w:ascii="Book Antiqua" w:hAnsi="Book Antiqua"/>
        </w:rPr>
        <w:footnoteReference w:id="1"/>
      </w:r>
      <w:r>
        <w:rPr>
          <w:rFonts w:ascii="Book Antiqua" w:hAnsi="Book Antiqua"/>
        </w:rPr>
        <w:t xml:space="preserve"> t</w:t>
      </w:r>
      <w:r w:rsidR="0054027B" w:rsidRPr="001B7ABF">
        <w:rPr>
          <w:rFonts w:ascii="Book Antiqua" w:hAnsi="Book Antiqua"/>
        </w:rPr>
        <w:t xml:space="preserve">he Bahamas Sexual Offences Act explicitly fails to recognize marital rape as </w:t>
      </w:r>
      <w:r w:rsidR="00052353">
        <w:rPr>
          <w:rFonts w:ascii="Book Antiqua" w:hAnsi="Book Antiqua"/>
        </w:rPr>
        <w:t>a crime</w:t>
      </w:r>
      <w:r>
        <w:rPr>
          <w:rFonts w:ascii="Book Antiqua" w:hAnsi="Book Antiqua"/>
        </w:rPr>
        <w:t>, providing that:</w:t>
      </w:r>
      <w:r w:rsidR="0054027B" w:rsidRPr="001B7ABF">
        <w:rPr>
          <w:rFonts w:ascii="Book Antiqua" w:hAnsi="Book Antiqua"/>
        </w:rPr>
        <w:t xml:space="preserve"> </w:t>
      </w:r>
    </w:p>
    <w:p w14:paraId="6F3BB1BE" w14:textId="77777777" w:rsidR="0054027B" w:rsidRPr="001B7ABF" w:rsidRDefault="0054027B" w:rsidP="0054027B">
      <w:pPr>
        <w:jc w:val="both"/>
        <w:rPr>
          <w:rFonts w:ascii="Book Antiqua" w:hAnsi="Book Antiqua"/>
        </w:rPr>
      </w:pPr>
    </w:p>
    <w:p w14:paraId="601EC806" w14:textId="77777777" w:rsidR="0054027B" w:rsidRPr="001B7ABF" w:rsidRDefault="0054027B" w:rsidP="0054027B">
      <w:pPr>
        <w:ind w:left="720" w:right="720"/>
        <w:jc w:val="both"/>
        <w:rPr>
          <w:rFonts w:ascii="Book Antiqua" w:hAnsi="Book Antiqua"/>
        </w:rPr>
      </w:pPr>
      <w:r w:rsidRPr="001B7ABF">
        <w:rPr>
          <w:rFonts w:ascii="Book Antiqua" w:hAnsi="Book Antiqua"/>
        </w:rPr>
        <w:t xml:space="preserve">Rape is the act of any person not under fourteen years of age having sexual intercourse with another person </w:t>
      </w:r>
      <w:r w:rsidRPr="001B7ABF">
        <w:rPr>
          <w:rFonts w:ascii="Book Antiqua" w:hAnsi="Book Antiqua"/>
          <w:i/>
          <w:iCs/>
        </w:rPr>
        <w:t>who is not his spouse</w:t>
      </w:r>
      <w:r w:rsidRPr="001B7ABF">
        <w:rPr>
          <w:rFonts w:ascii="Book Antiqua" w:hAnsi="Book Antiqua"/>
        </w:rPr>
        <w:t xml:space="preserve"> —</w:t>
      </w:r>
    </w:p>
    <w:p w14:paraId="17EC6DB7" w14:textId="77777777" w:rsidR="0054027B" w:rsidRPr="001B7ABF" w:rsidRDefault="0054027B" w:rsidP="0054027B">
      <w:pPr>
        <w:ind w:left="720" w:right="720"/>
        <w:jc w:val="both"/>
        <w:rPr>
          <w:rFonts w:ascii="Book Antiqua" w:hAnsi="Book Antiqua"/>
        </w:rPr>
      </w:pPr>
      <w:r w:rsidRPr="001B7ABF">
        <w:rPr>
          <w:rFonts w:ascii="Book Antiqua" w:hAnsi="Book Antiqua"/>
        </w:rPr>
        <w:t xml:space="preserve">(a) without the consent of that other </w:t>
      </w:r>
      <w:proofErr w:type="gramStart"/>
      <w:r w:rsidRPr="001B7ABF">
        <w:rPr>
          <w:rFonts w:ascii="Book Antiqua" w:hAnsi="Book Antiqua"/>
        </w:rPr>
        <w:t>person;</w:t>
      </w:r>
      <w:proofErr w:type="gramEnd"/>
    </w:p>
    <w:p w14:paraId="6439CFA8" w14:textId="77777777" w:rsidR="0054027B" w:rsidRPr="001B7ABF" w:rsidRDefault="0054027B" w:rsidP="0054027B">
      <w:pPr>
        <w:ind w:left="720" w:right="720"/>
        <w:jc w:val="both"/>
        <w:rPr>
          <w:rFonts w:ascii="Book Antiqua" w:hAnsi="Book Antiqua"/>
        </w:rPr>
      </w:pPr>
      <w:r w:rsidRPr="001B7ABF">
        <w:rPr>
          <w:rFonts w:ascii="Book Antiqua" w:hAnsi="Book Antiqua"/>
        </w:rPr>
        <w:t xml:space="preserve">(b) without consent which has been extorted by threats or fear of bodily </w:t>
      </w:r>
      <w:proofErr w:type="gramStart"/>
      <w:r w:rsidRPr="001B7ABF">
        <w:rPr>
          <w:rFonts w:ascii="Book Antiqua" w:hAnsi="Book Antiqua"/>
        </w:rPr>
        <w:t>harm;</w:t>
      </w:r>
      <w:proofErr w:type="gramEnd"/>
    </w:p>
    <w:p w14:paraId="18E0597E" w14:textId="77777777" w:rsidR="0054027B" w:rsidRPr="001B7ABF" w:rsidRDefault="0054027B" w:rsidP="0054027B">
      <w:pPr>
        <w:ind w:left="720" w:right="720"/>
        <w:jc w:val="both"/>
        <w:rPr>
          <w:rFonts w:ascii="Book Antiqua" w:hAnsi="Book Antiqua"/>
        </w:rPr>
      </w:pPr>
      <w:r w:rsidRPr="001B7ABF">
        <w:rPr>
          <w:rFonts w:ascii="Book Antiqua" w:hAnsi="Book Antiqua"/>
        </w:rPr>
        <w:t>(c) with consent obtained by personating the spouse of that other person; or</w:t>
      </w:r>
    </w:p>
    <w:p w14:paraId="71D5FB1B" w14:textId="77777777" w:rsidR="0054027B" w:rsidRPr="001B7ABF" w:rsidRDefault="0054027B" w:rsidP="0054027B">
      <w:pPr>
        <w:ind w:left="720" w:right="720"/>
        <w:jc w:val="both"/>
        <w:rPr>
          <w:rFonts w:ascii="Book Antiqua" w:hAnsi="Book Antiqua"/>
          <w:i/>
          <w:iCs/>
        </w:rPr>
      </w:pPr>
      <w:r w:rsidRPr="001B7ABF">
        <w:rPr>
          <w:rFonts w:ascii="Book Antiqua" w:hAnsi="Book Antiqua"/>
        </w:rPr>
        <w:t>(d) with consent obtained by false and fraudulent representations as to the nature and quality of the act. (</w:t>
      </w:r>
      <w:r w:rsidRPr="001B7ABF">
        <w:rPr>
          <w:rFonts w:ascii="Book Antiqua" w:hAnsi="Book Antiqua"/>
          <w:i/>
          <w:iCs/>
        </w:rPr>
        <w:t>Sexual Offences Act, 3 (emphasis added)).</w:t>
      </w:r>
    </w:p>
    <w:p w14:paraId="390F2DD3" w14:textId="77777777" w:rsidR="0054027B" w:rsidRPr="001B7ABF" w:rsidRDefault="0054027B" w:rsidP="0054027B">
      <w:pPr>
        <w:ind w:left="720" w:right="720"/>
        <w:jc w:val="both"/>
        <w:rPr>
          <w:rFonts w:ascii="Book Antiqua" w:hAnsi="Book Antiqua"/>
          <w:i/>
          <w:iCs/>
        </w:rPr>
      </w:pPr>
    </w:p>
    <w:p w14:paraId="165DCA9A" w14:textId="77777777" w:rsidR="0054027B" w:rsidRPr="001B7ABF" w:rsidRDefault="0054027B" w:rsidP="0054027B">
      <w:pPr>
        <w:ind w:firstLine="720"/>
        <w:jc w:val="both"/>
        <w:rPr>
          <w:rFonts w:ascii="Book Antiqua" w:hAnsi="Book Antiqua"/>
        </w:rPr>
      </w:pPr>
      <w:r w:rsidRPr="001B7ABF">
        <w:rPr>
          <w:rFonts w:ascii="Book Antiqua" w:hAnsi="Book Antiqua"/>
        </w:rPr>
        <w:t xml:space="preserve">Adding the emphasized provision above indicates that if one spouse engages in sexual intercourse with the other partner without their consent, this is not considered rape merely because they are part of a </w:t>
      </w:r>
      <w:proofErr w:type="gramStart"/>
      <w:r w:rsidRPr="001B7ABF">
        <w:rPr>
          <w:rFonts w:ascii="Book Antiqua" w:hAnsi="Book Antiqua"/>
        </w:rPr>
        <w:t>legally</w:t>
      </w:r>
      <w:r>
        <w:rPr>
          <w:rFonts w:ascii="Book Antiqua" w:hAnsi="Book Antiqua"/>
        </w:rPr>
        <w:t>-</w:t>
      </w:r>
      <w:r w:rsidRPr="001B7ABF">
        <w:rPr>
          <w:rFonts w:ascii="Book Antiqua" w:hAnsi="Book Antiqua"/>
        </w:rPr>
        <w:t>recognized</w:t>
      </w:r>
      <w:proofErr w:type="gramEnd"/>
      <w:r w:rsidRPr="001B7ABF">
        <w:rPr>
          <w:rFonts w:ascii="Book Antiqua" w:hAnsi="Book Antiqua"/>
        </w:rPr>
        <w:t xml:space="preserve"> relationship. This provision removes any protection that a victim might have against being raped by their spouse. </w:t>
      </w:r>
    </w:p>
    <w:p w14:paraId="27322C58" w14:textId="77777777" w:rsidR="0054027B" w:rsidRPr="001B7ABF" w:rsidRDefault="0054027B" w:rsidP="0054027B">
      <w:pPr>
        <w:jc w:val="both"/>
        <w:rPr>
          <w:rFonts w:ascii="Book Antiqua" w:hAnsi="Book Antiqua"/>
          <w:i/>
          <w:iCs/>
        </w:rPr>
      </w:pPr>
      <w:r w:rsidRPr="001B7ABF">
        <w:rPr>
          <w:rFonts w:ascii="Book Antiqua" w:hAnsi="Book Antiqua"/>
        </w:rPr>
        <w:tab/>
        <w:t xml:space="preserve">Historically in the United States, similar provisions existed in law. However, due to the alarming statistic that approximately 10-14% of women admitted to having been raped by their spouse, and approximately 33% of women admitted to having unwanted sexual relations with their spouse, these laws have since been changed. </w:t>
      </w:r>
      <w:r w:rsidRPr="001B7ABF">
        <w:rPr>
          <w:rFonts w:ascii="Book Antiqua" w:hAnsi="Book Antiqua"/>
          <w:i/>
          <w:iCs/>
        </w:rPr>
        <w:t xml:space="preserve">(Raquel Kennedy Bergen Elizabeth Barnhill, </w:t>
      </w:r>
    </w:p>
    <w:p w14:paraId="4ADC00DD" w14:textId="77777777" w:rsidR="0054027B" w:rsidRPr="001B7ABF" w:rsidRDefault="0054027B" w:rsidP="0054027B">
      <w:pPr>
        <w:jc w:val="both"/>
        <w:rPr>
          <w:rFonts w:ascii="Book Antiqua" w:hAnsi="Book Antiqua"/>
          <w:i/>
          <w:iCs/>
        </w:rPr>
      </w:pPr>
      <w:r w:rsidRPr="001B7ABF">
        <w:rPr>
          <w:rFonts w:ascii="Book Antiqua" w:hAnsi="Book Antiqua"/>
          <w:i/>
          <w:iCs/>
        </w:rPr>
        <w:t xml:space="preserve">Marital Rape: New Research and Directions (2006), </w:t>
      </w:r>
      <w:hyperlink r:id="rId9" w:history="1">
        <w:r w:rsidRPr="001B7ABF">
          <w:rPr>
            <w:rStyle w:val="Hyperlink"/>
            <w:rFonts w:ascii="Book Antiqua" w:hAnsi="Book Antiqua"/>
            <w:i/>
            <w:iCs/>
          </w:rPr>
          <w:t>https://vawnet.org/material/marital-rape-new-research-and-directions</w:t>
        </w:r>
      </w:hyperlink>
      <w:r w:rsidRPr="001B7ABF">
        <w:rPr>
          <w:rFonts w:ascii="Book Antiqua" w:hAnsi="Book Antiqua"/>
          <w:i/>
          <w:iCs/>
        </w:rPr>
        <w:t xml:space="preserve">). </w:t>
      </w:r>
    </w:p>
    <w:p w14:paraId="7968CC14" w14:textId="05C9E2E1" w:rsidR="003301AB" w:rsidRDefault="0054027B" w:rsidP="003301AB">
      <w:pPr>
        <w:jc w:val="both"/>
        <w:rPr>
          <w:rFonts w:ascii="Book Antiqua" w:hAnsi="Book Antiqua"/>
        </w:rPr>
      </w:pPr>
      <w:r w:rsidRPr="001B7ABF">
        <w:rPr>
          <w:rFonts w:ascii="Book Antiqua" w:hAnsi="Book Antiqua"/>
        </w:rPr>
        <w:tab/>
        <w:t xml:space="preserve">A 2019 article from the UN indicated that “[n]early 1 in 5 women aged 15 to 49 globally experienced physical or sexual abuse from a former or current partner or spouse in the previous year,” and “only 4 in 10 countries criminalize marital rape.” </w:t>
      </w:r>
      <w:r w:rsidRPr="001B7ABF">
        <w:rPr>
          <w:rFonts w:ascii="Book Antiqua" w:hAnsi="Book Antiqua"/>
          <w:i/>
          <w:iCs/>
        </w:rPr>
        <w:t xml:space="preserve">(Ellen </w:t>
      </w:r>
      <w:proofErr w:type="spellStart"/>
      <w:r w:rsidRPr="001B7ABF">
        <w:rPr>
          <w:rFonts w:ascii="Book Antiqua" w:hAnsi="Book Antiqua"/>
          <w:i/>
          <w:iCs/>
        </w:rPr>
        <w:t>Wulfhorst</w:t>
      </w:r>
      <w:proofErr w:type="spellEnd"/>
      <w:r w:rsidRPr="001B7ABF">
        <w:rPr>
          <w:rFonts w:ascii="Book Antiqua" w:hAnsi="Book Antiqua"/>
          <w:i/>
          <w:iCs/>
        </w:rPr>
        <w:t xml:space="preserve">, UN Urges Countries to End Marital Rape and Close Legal Loopholes (2019) </w:t>
      </w:r>
      <w:hyperlink r:id="rId10" w:history="1">
        <w:r w:rsidRPr="001B7ABF">
          <w:rPr>
            <w:rStyle w:val="Hyperlink"/>
            <w:rFonts w:ascii="Book Antiqua" w:hAnsi="Book Antiqua"/>
            <w:i/>
            <w:iCs/>
          </w:rPr>
          <w:t>https://www.globalcitizen.org/en/content/un-women-marital-rape-laws/</w:t>
        </w:r>
      </w:hyperlink>
      <w:r w:rsidRPr="001B7ABF">
        <w:rPr>
          <w:rFonts w:ascii="Book Antiqua" w:hAnsi="Book Antiqua"/>
          <w:i/>
          <w:iCs/>
        </w:rPr>
        <w:t>).</w:t>
      </w:r>
      <w:r w:rsidR="003301AB">
        <w:rPr>
          <w:rFonts w:ascii="Book Antiqua" w:hAnsi="Book Antiqua"/>
          <w:i/>
          <w:iCs/>
        </w:rPr>
        <w:t xml:space="preserve"> </w:t>
      </w:r>
      <w:r w:rsidR="003301AB">
        <w:rPr>
          <w:rFonts w:ascii="Book Antiqua" w:hAnsi="Book Antiqua"/>
        </w:rPr>
        <w:t xml:space="preserve">These statistics demonstrate that marital rape is a global problem, and that those in martial relationships need to be protected from sexual violence committed against them by their partner.  </w:t>
      </w:r>
    </w:p>
    <w:p w14:paraId="0D5A9A99" w14:textId="7EBF3A36" w:rsidR="003301AB" w:rsidRDefault="003301AB" w:rsidP="003301AB">
      <w:pPr>
        <w:ind w:firstLine="720"/>
        <w:jc w:val="both"/>
        <w:rPr>
          <w:rFonts w:ascii="Book Antiqua" w:hAnsi="Book Antiqua"/>
        </w:rPr>
      </w:pPr>
      <w:r>
        <w:rPr>
          <w:rFonts w:ascii="Book Antiqua" w:hAnsi="Book Antiqua"/>
        </w:rPr>
        <w:t xml:space="preserve">Section 15 of the </w:t>
      </w:r>
      <w:r w:rsidRPr="001B7ABF">
        <w:rPr>
          <w:rFonts w:ascii="Book Antiqua" w:hAnsi="Book Antiqua"/>
        </w:rPr>
        <w:t>Bahamas Sexual Offences Act</w:t>
      </w:r>
      <w:r>
        <w:rPr>
          <w:rFonts w:ascii="Book Antiqua" w:hAnsi="Book Antiqua"/>
        </w:rPr>
        <w:t xml:space="preserve"> does allow for prosecution of a spouse in certain circumstances, but the provision falls short of providing adequate enforcement methods to protect a victim from rape by a spouse. Section 15 states: </w:t>
      </w:r>
    </w:p>
    <w:p w14:paraId="1472CDEC" w14:textId="77777777" w:rsidR="003301AB" w:rsidRDefault="003301AB" w:rsidP="003301AB">
      <w:pPr>
        <w:ind w:firstLine="720"/>
        <w:jc w:val="both"/>
        <w:rPr>
          <w:rFonts w:ascii="Book Antiqua" w:hAnsi="Book Antiqua"/>
        </w:rPr>
      </w:pPr>
    </w:p>
    <w:p w14:paraId="23BB05A7" w14:textId="77777777" w:rsidR="003301AB" w:rsidRDefault="003301AB" w:rsidP="003301AB">
      <w:pPr>
        <w:ind w:left="720" w:right="720"/>
        <w:jc w:val="both"/>
      </w:pPr>
      <w:r w:rsidRPr="003301AB">
        <w:rPr>
          <w:rFonts w:ascii="Book Antiqua" w:hAnsi="Book Antiqua"/>
        </w:rPr>
        <w:t>(1) Any person who has sexual intercourse with his spouse without the consent of the spouse —</w:t>
      </w:r>
      <w:r w:rsidRPr="003301AB">
        <w:t xml:space="preserve"> </w:t>
      </w:r>
    </w:p>
    <w:p w14:paraId="6FE4660F" w14:textId="6D246507" w:rsidR="003301AB" w:rsidRPr="003301AB" w:rsidRDefault="003301AB" w:rsidP="003301AB">
      <w:pPr>
        <w:ind w:left="720" w:right="720"/>
        <w:jc w:val="both"/>
        <w:rPr>
          <w:rFonts w:ascii="Book Antiqua" w:hAnsi="Book Antiqua"/>
        </w:rPr>
      </w:pPr>
      <w:r w:rsidRPr="003301AB">
        <w:rPr>
          <w:rFonts w:ascii="Book Antiqua" w:hAnsi="Book Antiqua"/>
        </w:rPr>
        <w:t>(a)</w:t>
      </w:r>
      <w:r>
        <w:rPr>
          <w:rFonts w:ascii="Book Antiqua" w:hAnsi="Book Antiqua"/>
        </w:rPr>
        <w:t xml:space="preserve"> </w:t>
      </w:r>
      <w:r w:rsidRPr="003301AB">
        <w:rPr>
          <w:rFonts w:ascii="Book Antiqua" w:hAnsi="Book Antiqua"/>
        </w:rPr>
        <w:t>where there is in existence in relation to them —</w:t>
      </w:r>
    </w:p>
    <w:p w14:paraId="282C4869" w14:textId="77777777" w:rsidR="003301AB" w:rsidRPr="003301AB" w:rsidRDefault="003301AB" w:rsidP="003301AB">
      <w:pPr>
        <w:ind w:left="720" w:right="720"/>
        <w:jc w:val="both"/>
        <w:rPr>
          <w:rFonts w:ascii="Book Antiqua" w:hAnsi="Book Antiqua"/>
        </w:rPr>
      </w:pPr>
      <w:r w:rsidRPr="003301AB">
        <w:rPr>
          <w:rFonts w:ascii="Book Antiqua" w:hAnsi="Book Antiqua"/>
        </w:rPr>
        <w:t>(</w:t>
      </w:r>
      <w:proofErr w:type="spellStart"/>
      <w:r w:rsidRPr="003301AB">
        <w:rPr>
          <w:rFonts w:ascii="Book Antiqua" w:hAnsi="Book Antiqua"/>
        </w:rPr>
        <w:t>i</w:t>
      </w:r>
      <w:proofErr w:type="spellEnd"/>
      <w:r w:rsidRPr="003301AB">
        <w:rPr>
          <w:rFonts w:ascii="Book Antiqua" w:hAnsi="Book Antiqua"/>
        </w:rPr>
        <w:t xml:space="preserve">) a decree nisi of </w:t>
      </w:r>
      <w:proofErr w:type="gramStart"/>
      <w:r w:rsidRPr="003301AB">
        <w:rPr>
          <w:rFonts w:ascii="Book Antiqua" w:hAnsi="Book Antiqua"/>
        </w:rPr>
        <w:t>divorce;</w:t>
      </w:r>
      <w:proofErr w:type="gramEnd"/>
    </w:p>
    <w:p w14:paraId="45E29A78" w14:textId="77777777" w:rsidR="003301AB" w:rsidRPr="003301AB" w:rsidRDefault="003301AB" w:rsidP="003301AB">
      <w:pPr>
        <w:ind w:left="720" w:right="720"/>
        <w:jc w:val="both"/>
        <w:rPr>
          <w:rFonts w:ascii="Book Antiqua" w:hAnsi="Book Antiqua"/>
        </w:rPr>
      </w:pPr>
      <w:r w:rsidRPr="003301AB">
        <w:rPr>
          <w:rFonts w:ascii="Book Antiqua" w:hAnsi="Book Antiqua"/>
        </w:rPr>
        <w:t xml:space="preserve">(ii) a decree of judicial </w:t>
      </w:r>
      <w:proofErr w:type="gramStart"/>
      <w:r w:rsidRPr="003301AB">
        <w:rPr>
          <w:rFonts w:ascii="Book Antiqua" w:hAnsi="Book Antiqua"/>
        </w:rPr>
        <w:t>separation;</w:t>
      </w:r>
      <w:proofErr w:type="gramEnd"/>
    </w:p>
    <w:p w14:paraId="214CBB85" w14:textId="77777777" w:rsidR="003301AB" w:rsidRPr="003301AB" w:rsidRDefault="003301AB" w:rsidP="003301AB">
      <w:pPr>
        <w:ind w:left="720" w:right="720"/>
        <w:jc w:val="both"/>
        <w:rPr>
          <w:rFonts w:ascii="Book Antiqua" w:hAnsi="Book Antiqua"/>
        </w:rPr>
      </w:pPr>
      <w:r w:rsidRPr="003301AB">
        <w:rPr>
          <w:rFonts w:ascii="Book Antiqua" w:hAnsi="Book Antiqua"/>
        </w:rPr>
        <w:t>(iii) a separation agreement; or</w:t>
      </w:r>
    </w:p>
    <w:p w14:paraId="64A3815F" w14:textId="28449FDA" w:rsidR="003301AB" w:rsidRDefault="003301AB" w:rsidP="003301AB">
      <w:pPr>
        <w:ind w:left="720" w:right="720"/>
        <w:jc w:val="both"/>
        <w:rPr>
          <w:rFonts w:ascii="Book Antiqua" w:hAnsi="Book Antiqua"/>
        </w:rPr>
      </w:pPr>
      <w:r w:rsidRPr="003301AB">
        <w:rPr>
          <w:rFonts w:ascii="Book Antiqua" w:hAnsi="Book Antiqua"/>
        </w:rPr>
        <w:lastRenderedPageBreak/>
        <w:t>(iv) an order of a court for the person not to molest or co-habit with his spouse, or any other order made under Part II; or</w:t>
      </w:r>
    </w:p>
    <w:p w14:paraId="3EB7759D" w14:textId="77777777" w:rsidR="003301AB" w:rsidRPr="003301AB" w:rsidRDefault="003301AB" w:rsidP="003301AB">
      <w:pPr>
        <w:ind w:left="720" w:right="720"/>
        <w:jc w:val="both"/>
        <w:rPr>
          <w:rFonts w:ascii="Book Antiqua" w:hAnsi="Book Antiqua"/>
        </w:rPr>
      </w:pPr>
      <w:r w:rsidRPr="003301AB">
        <w:rPr>
          <w:rFonts w:ascii="Book Antiqua" w:hAnsi="Book Antiqua"/>
        </w:rPr>
        <w:t>(b) where the person has notice that a petition for judicial separation, divorce or nullity of marriage has been presented to a court,</w:t>
      </w:r>
    </w:p>
    <w:p w14:paraId="6BB52DA8" w14:textId="61197B8E" w:rsidR="003301AB" w:rsidRDefault="003301AB" w:rsidP="003301AB">
      <w:pPr>
        <w:ind w:left="720" w:right="720"/>
        <w:jc w:val="both"/>
        <w:rPr>
          <w:rFonts w:ascii="Book Antiqua" w:hAnsi="Book Antiqua"/>
        </w:rPr>
      </w:pPr>
      <w:r w:rsidRPr="00503A77">
        <w:rPr>
          <w:rFonts w:ascii="Book Antiqua" w:hAnsi="Book Antiqua"/>
          <w:i/>
          <w:iCs/>
        </w:rPr>
        <w:t>is guilty of the offence of sexual assault by spouse</w:t>
      </w:r>
      <w:r w:rsidRPr="003301AB">
        <w:rPr>
          <w:rFonts w:ascii="Book Antiqua" w:hAnsi="Book Antiqua"/>
        </w:rPr>
        <w:t xml:space="preserve"> and liable to imprisonment for a term of fifteen years.</w:t>
      </w:r>
      <w:r w:rsidR="00503A77">
        <w:rPr>
          <w:rFonts w:ascii="Book Antiqua" w:hAnsi="Book Antiqua"/>
        </w:rPr>
        <w:t xml:space="preserve"> </w:t>
      </w:r>
      <w:r w:rsidR="00503A77" w:rsidRPr="001B7ABF">
        <w:rPr>
          <w:rFonts w:ascii="Book Antiqua" w:hAnsi="Book Antiqua"/>
        </w:rPr>
        <w:t>(</w:t>
      </w:r>
      <w:r w:rsidR="00503A77" w:rsidRPr="001B7ABF">
        <w:rPr>
          <w:rFonts w:ascii="Book Antiqua" w:hAnsi="Book Antiqua"/>
          <w:i/>
          <w:iCs/>
        </w:rPr>
        <w:t xml:space="preserve">Sexual Offences Act, </w:t>
      </w:r>
      <w:r w:rsidR="00503A77">
        <w:rPr>
          <w:rFonts w:ascii="Book Antiqua" w:hAnsi="Book Antiqua"/>
          <w:i/>
          <w:iCs/>
        </w:rPr>
        <w:t>15</w:t>
      </w:r>
      <w:r w:rsidR="00503A77" w:rsidRPr="001B7ABF">
        <w:rPr>
          <w:rFonts w:ascii="Book Antiqua" w:hAnsi="Book Antiqua"/>
          <w:i/>
          <w:iCs/>
        </w:rPr>
        <w:t xml:space="preserve"> (emphasis added)).</w:t>
      </w:r>
    </w:p>
    <w:p w14:paraId="0BDA0798" w14:textId="46620086" w:rsidR="003301AB" w:rsidRDefault="003301AB" w:rsidP="003301AB">
      <w:pPr>
        <w:ind w:right="720"/>
        <w:jc w:val="both"/>
        <w:rPr>
          <w:rFonts w:ascii="Book Antiqua" w:hAnsi="Book Antiqua"/>
        </w:rPr>
      </w:pPr>
    </w:p>
    <w:p w14:paraId="1DB51E9B" w14:textId="7752973B" w:rsidR="00503A77" w:rsidRDefault="003301AB" w:rsidP="003301AB">
      <w:pPr>
        <w:ind w:right="720"/>
        <w:jc w:val="both"/>
        <w:rPr>
          <w:rFonts w:ascii="Book Antiqua" w:hAnsi="Book Antiqua"/>
        </w:rPr>
      </w:pPr>
      <w:r>
        <w:rPr>
          <w:rFonts w:ascii="Book Antiqua" w:hAnsi="Book Antiqua"/>
        </w:rPr>
        <w:t xml:space="preserve">This </w:t>
      </w:r>
      <w:r w:rsidR="00503A77">
        <w:rPr>
          <w:rFonts w:ascii="Book Antiqua" w:hAnsi="Book Antiqua"/>
        </w:rPr>
        <w:t xml:space="preserve">section, although it allows for some liability, falls short of providing adequate protection for a marital rape victim. This provision only allows for a finding of sexual assault by a spouse in the context of divorce or separation.  </w:t>
      </w:r>
    </w:p>
    <w:p w14:paraId="3680BCC1" w14:textId="13F3EE65" w:rsidR="00503A77" w:rsidRDefault="00503A77" w:rsidP="003301AB">
      <w:pPr>
        <w:ind w:right="720"/>
        <w:jc w:val="both"/>
        <w:rPr>
          <w:rFonts w:ascii="Book Antiqua" w:hAnsi="Book Antiqua"/>
        </w:rPr>
      </w:pPr>
      <w:r>
        <w:rPr>
          <w:rFonts w:ascii="Book Antiqua" w:hAnsi="Book Antiqua"/>
        </w:rPr>
        <w:tab/>
        <w:t>Therefore, the Bahamas Sexual Offences Act fails to protect victims of marital rape both while in a legally binding marital relationship, or when divorced or separated. Given the statistics that indicate marital rape is a continuing global problem, the marital rape exclusion should be removed from the law, and marital rape in the context of divorce or separation should be recognized for what it is—rape, and not sexual assault.</w:t>
      </w:r>
    </w:p>
    <w:p w14:paraId="1AAE9BF1" w14:textId="77777777" w:rsidR="0054027B" w:rsidRPr="001B7ABF" w:rsidRDefault="0054027B" w:rsidP="009C3FC4">
      <w:pPr>
        <w:jc w:val="both"/>
        <w:rPr>
          <w:rFonts w:ascii="Book Antiqua" w:hAnsi="Book Antiqua"/>
          <w:b/>
          <w:bCs/>
        </w:rPr>
      </w:pPr>
    </w:p>
    <w:p w14:paraId="1506FBAB" w14:textId="3040D632" w:rsidR="00D32B60" w:rsidRPr="001B7ABF" w:rsidRDefault="00D32B60" w:rsidP="005F6A19">
      <w:pPr>
        <w:pStyle w:val="ListParagraph"/>
        <w:numPr>
          <w:ilvl w:val="0"/>
          <w:numId w:val="2"/>
        </w:numPr>
        <w:jc w:val="both"/>
        <w:rPr>
          <w:rFonts w:ascii="Book Antiqua" w:hAnsi="Book Antiqua"/>
          <w:b/>
          <w:bCs/>
          <w:i/>
          <w:iCs/>
        </w:rPr>
      </w:pPr>
      <w:r w:rsidRPr="001B7ABF">
        <w:rPr>
          <w:rFonts w:ascii="Book Antiqua" w:hAnsi="Book Antiqua"/>
          <w:i/>
          <w:iCs/>
        </w:rPr>
        <w:t>Age Distinction of Minors</w:t>
      </w:r>
      <w:r w:rsidR="008753D8" w:rsidRPr="001B7ABF">
        <w:rPr>
          <w:rFonts w:ascii="Book Antiqua" w:hAnsi="Book Antiqua"/>
          <w:i/>
          <w:iCs/>
        </w:rPr>
        <w:t xml:space="preserve"> Creates an Age Gap for Enforcement of Sexual Violence Against Minors </w:t>
      </w:r>
    </w:p>
    <w:p w14:paraId="4129AD1C" w14:textId="77777777" w:rsidR="008753D8" w:rsidRPr="001B7ABF" w:rsidRDefault="008753D8" w:rsidP="005F6A19">
      <w:pPr>
        <w:jc w:val="both"/>
        <w:rPr>
          <w:rFonts w:ascii="Book Antiqua" w:hAnsi="Book Antiqua"/>
          <w:b/>
          <w:bCs/>
          <w:i/>
          <w:iCs/>
        </w:rPr>
      </w:pPr>
    </w:p>
    <w:p w14:paraId="4E8BF907" w14:textId="56CA4DFD" w:rsidR="009D700E" w:rsidRPr="001B7ABF" w:rsidRDefault="005B73F6" w:rsidP="001B7ABF">
      <w:pPr>
        <w:ind w:firstLine="720"/>
        <w:jc w:val="both"/>
        <w:rPr>
          <w:rFonts w:ascii="Book Antiqua" w:hAnsi="Book Antiqua"/>
        </w:rPr>
      </w:pPr>
      <w:r w:rsidRPr="001B7ABF">
        <w:rPr>
          <w:rFonts w:ascii="Book Antiqua" w:hAnsi="Book Antiqua"/>
        </w:rPr>
        <w:t xml:space="preserve">The Bahamas Sexual Offences Act creates a distinction between ages of minors who are victims of sexual offences, leaving certain ages of minors without the additional protection of minor rape laws. The Bahamas Sexual Offences Act defines an adult as “a person eighteen years of age or more,” and defines a minor as “a person under eighteen years of age.” (Sexual Offences Act, 2). Rape is defined as </w:t>
      </w:r>
    </w:p>
    <w:p w14:paraId="224DFAD9" w14:textId="77777777" w:rsidR="009D700E" w:rsidRPr="001B7ABF" w:rsidRDefault="009D700E" w:rsidP="005F6A19">
      <w:pPr>
        <w:ind w:firstLine="360"/>
        <w:jc w:val="both"/>
        <w:rPr>
          <w:rFonts w:ascii="Book Antiqua" w:hAnsi="Book Antiqua"/>
        </w:rPr>
      </w:pPr>
    </w:p>
    <w:p w14:paraId="035A4ABA" w14:textId="57471556" w:rsidR="005B73F6" w:rsidRPr="001B7ABF" w:rsidRDefault="009D700E" w:rsidP="005F6A19">
      <w:pPr>
        <w:ind w:left="720" w:right="720"/>
        <w:jc w:val="both"/>
        <w:rPr>
          <w:rFonts w:ascii="Book Antiqua" w:hAnsi="Book Antiqua"/>
        </w:rPr>
      </w:pPr>
      <w:r w:rsidRPr="001B7ABF">
        <w:rPr>
          <w:rFonts w:ascii="Book Antiqua" w:hAnsi="Book Antiqua"/>
        </w:rPr>
        <w:t>[T]</w:t>
      </w:r>
      <w:r w:rsidR="005B73F6" w:rsidRPr="001B7ABF">
        <w:rPr>
          <w:rFonts w:ascii="Book Antiqua" w:hAnsi="Book Antiqua"/>
        </w:rPr>
        <w:t xml:space="preserve">he </w:t>
      </w:r>
      <w:proofErr w:type="gramStart"/>
      <w:r w:rsidR="005B73F6" w:rsidRPr="001B7ABF">
        <w:rPr>
          <w:rFonts w:ascii="Book Antiqua" w:hAnsi="Book Antiqua"/>
        </w:rPr>
        <w:t>act</w:t>
      </w:r>
      <w:proofErr w:type="gramEnd"/>
      <w:r w:rsidR="005B73F6" w:rsidRPr="001B7ABF">
        <w:rPr>
          <w:rFonts w:ascii="Book Antiqua" w:hAnsi="Book Antiqua"/>
        </w:rPr>
        <w:t xml:space="preserve"> of any person not under fourteen years of age having sexual intercourse with another person who is not his spouse —</w:t>
      </w:r>
    </w:p>
    <w:p w14:paraId="39F16ED4" w14:textId="77777777" w:rsidR="005B73F6" w:rsidRPr="001B7ABF" w:rsidRDefault="005B73F6" w:rsidP="005F6A19">
      <w:pPr>
        <w:ind w:left="720" w:right="720"/>
        <w:jc w:val="both"/>
        <w:rPr>
          <w:rFonts w:ascii="Book Antiqua" w:hAnsi="Book Antiqua"/>
        </w:rPr>
      </w:pPr>
      <w:r w:rsidRPr="001B7ABF">
        <w:rPr>
          <w:rFonts w:ascii="Book Antiqua" w:hAnsi="Book Antiqua"/>
        </w:rPr>
        <w:t xml:space="preserve">(a) without the consent of that other </w:t>
      </w:r>
      <w:proofErr w:type="gramStart"/>
      <w:r w:rsidRPr="001B7ABF">
        <w:rPr>
          <w:rFonts w:ascii="Book Antiqua" w:hAnsi="Book Antiqua"/>
        </w:rPr>
        <w:t>person;</w:t>
      </w:r>
      <w:proofErr w:type="gramEnd"/>
    </w:p>
    <w:p w14:paraId="7E3589C3" w14:textId="77777777" w:rsidR="005B73F6" w:rsidRPr="001B7ABF" w:rsidRDefault="005B73F6" w:rsidP="005F6A19">
      <w:pPr>
        <w:ind w:left="720" w:right="720"/>
        <w:jc w:val="both"/>
        <w:rPr>
          <w:rFonts w:ascii="Book Antiqua" w:hAnsi="Book Antiqua"/>
        </w:rPr>
      </w:pPr>
      <w:r w:rsidRPr="001B7ABF">
        <w:rPr>
          <w:rFonts w:ascii="Book Antiqua" w:hAnsi="Book Antiqua"/>
        </w:rPr>
        <w:t xml:space="preserve">(b) without consent which has been extorted by threats or fear of bodily </w:t>
      </w:r>
      <w:proofErr w:type="gramStart"/>
      <w:r w:rsidRPr="001B7ABF">
        <w:rPr>
          <w:rFonts w:ascii="Book Antiqua" w:hAnsi="Book Antiqua"/>
        </w:rPr>
        <w:t>harm;</w:t>
      </w:r>
      <w:proofErr w:type="gramEnd"/>
    </w:p>
    <w:p w14:paraId="66F2FA5E" w14:textId="77777777" w:rsidR="005B73F6" w:rsidRPr="001B7ABF" w:rsidRDefault="005B73F6" w:rsidP="005F6A19">
      <w:pPr>
        <w:ind w:left="720" w:right="720"/>
        <w:jc w:val="both"/>
        <w:rPr>
          <w:rFonts w:ascii="Book Antiqua" w:hAnsi="Book Antiqua"/>
        </w:rPr>
      </w:pPr>
      <w:r w:rsidRPr="001B7ABF">
        <w:rPr>
          <w:rFonts w:ascii="Book Antiqua" w:hAnsi="Book Antiqua"/>
        </w:rPr>
        <w:t>(c) with consent obtained by personating the spouse of that other person; or</w:t>
      </w:r>
    </w:p>
    <w:p w14:paraId="00CB5EB4" w14:textId="75F21F38" w:rsidR="00D32B60" w:rsidRPr="001B7ABF" w:rsidRDefault="005B73F6" w:rsidP="005F6A19">
      <w:pPr>
        <w:ind w:left="720" w:right="720"/>
        <w:jc w:val="both"/>
        <w:rPr>
          <w:rFonts w:ascii="Book Antiqua" w:hAnsi="Book Antiqua"/>
        </w:rPr>
      </w:pPr>
      <w:r w:rsidRPr="001B7ABF">
        <w:rPr>
          <w:rFonts w:ascii="Book Antiqua" w:hAnsi="Book Antiqua"/>
        </w:rPr>
        <w:t xml:space="preserve">(d) with consent obtained by false and fraudulent representations as to the nature and quality of the act. </w:t>
      </w:r>
    </w:p>
    <w:p w14:paraId="4B719FEF" w14:textId="4CF0986B" w:rsidR="009D700E" w:rsidRPr="001B7ABF" w:rsidRDefault="009D700E" w:rsidP="005F6A19">
      <w:pPr>
        <w:ind w:left="720" w:right="720"/>
        <w:jc w:val="both"/>
        <w:rPr>
          <w:rFonts w:ascii="Book Antiqua" w:hAnsi="Book Antiqua"/>
        </w:rPr>
      </w:pPr>
    </w:p>
    <w:p w14:paraId="451428DF" w14:textId="606C068E" w:rsidR="009D700E" w:rsidRPr="001B7ABF" w:rsidRDefault="009D700E" w:rsidP="005F6A19">
      <w:pPr>
        <w:jc w:val="both"/>
        <w:rPr>
          <w:rFonts w:ascii="Book Antiqua" w:hAnsi="Book Antiqua"/>
        </w:rPr>
      </w:pPr>
      <w:r w:rsidRPr="001B7ABF">
        <w:rPr>
          <w:rFonts w:ascii="Book Antiqua" w:hAnsi="Book Antiqua"/>
        </w:rPr>
        <w:t xml:space="preserve">The Sexual Offences Act further </w:t>
      </w:r>
      <w:r w:rsidR="00F34981" w:rsidRPr="001B7ABF">
        <w:rPr>
          <w:rFonts w:ascii="Book Antiqua" w:hAnsi="Book Antiqua"/>
        </w:rPr>
        <w:t xml:space="preserve">distinguishes rape of minors who are under age fourteen, and those ages fourteen through sixteen. </w:t>
      </w:r>
    </w:p>
    <w:p w14:paraId="4EB7E331" w14:textId="7F939B39" w:rsidR="00F34981" w:rsidRPr="001B7ABF" w:rsidRDefault="00F34981" w:rsidP="005F6A19">
      <w:pPr>
        <w:ind w:right="720"/>
        <w:jc w:val="both"/>
        <w:rPr>
          <w:rFonts w:ascii="Book Antiqua" w:hAnsi="Book Antiqua"/>
        </w:rPr>
      </w:pPr>
    </w:p>
    <w:p w14:paraId="515387C4" w14:textId="65DDF34D" w:rsidR="00F34981" w:rsidRPr="001B7ABF" w:rsidRDefault="00F34981" w:rsidP="005F6A19">
      <w:pPr>
        <w:ind w:left="720" w:right="720"/>
        <w:jc w:val="both"/>
        <w:rPr>
          <w:rFonts w:ascii="Book Antiqua" w:hAnsi="Book Antiqua"/>
        </w:rPr>
      </w:pPr>
      <w:r w:rsidRPr="001B7ABF">
        <w:rPr>
          <w:rFonts w:ascii="Book Antiqua" w:hAnsi="Book Antiqua"/>
        </w:rPr>
        <w:t>Any person who —</w:t>
      </w:r>
    </w:p>
    <w:p w14:paraId="0C8C5847" w14:textId="77777777" w:rsidR="00F34981" w:rsidRPr="001B7ABF" w:rsidRDefault="00F34981" w:rsidP="005F6A19">
      <w:pPr>
        <w:ind w:left="720" w:right="720"/>
        <w:jc w:val="both"/>
        <w:rPr>
          <w:rFonts w:ascii="Book Antiqua" w:hAnsi="Book Antiqua"/>
        </w:rPr>
      </w:pPr>
      <w:r w:rsidRPr="001B7ABF">
        <w:rPr>
          <w:rFonts w:ascii="Book Antiqua" w:hAnsi="Book Antiqua"/>
        </w:rPr>
        <w:t xml:space="preserve">(a) has unlawful sexual intercourse </w:t>
      </w:r>
      <w:r w:rsidRPr="001B7ABF">
        <w:rPr>
          <w:rFonts w:ascii="Book Antiqua" w:hAnsi="Book Antiqua"/>
          <w:i/>
          <w:iCs/>
        </w:rPr>
        <w:t>with a person under fourteen years of age</w:t>
      </w:r>
      <w:r w:rsidRPr="001B7ABF">
        <w:rPr>
          <w:rFonts w:ascii="Book Antiqua" w:hAnsi="Book Antiqua"/>
        </w:rPr>
        <w:t>, whether with or without the consent of the person with whom he had unlawful sexual intercourse; or</w:t>
      </w:r>
    </w:p>
    <w:p w14:paraId="7F2348BF" w14:textId="77777777" w:rsidR="00F34981" w:rsidRPr="001B7ABF" w:rsidRDefault="00F34981" w:rsidP="005F6A19">
      <w:pPr>
        <w:ind w:left="720" w:right="720"/>
        <w:jc w:val="both"/>
        <w:rPr>
          <w:rFonts w:ascii="Book Antiqua" w:hAnsi="Book Antiqua"/>
        </w:rPr>
      </w:pPr>
      <w:r w:rsidRPr="001B7ABF">
        <w:rPr>
          <w:rFonts w:ascii="Book Antiqua" w:hAnsi="Book Antiqua"/>
        </w:rPr>
        <w:lastRenderedPageBreak/>
        <w:t>(b) attempts to have unlawful sexual intercourse with a person under fourteen years of age, whether with or without the consent of the person with whom he had unlawful sexual intercourse,</w:t>
      </w:r>
    </w:p>
    <w:p w14:paraId="07AAC6FE" w14:textId="2FC71607" w:rsidR="00F34981" w:rsidRPr="001B7ABF" w:rsidRDefault="00F34981" w:rsidP="005F6A19">
      <w:pPr>
        <w:ind w:left="720" w:right="720"/>
        <w:jc w:val="both"/>
        <w:rPr>
          <w:rFonts w:ascii="Book Antiqua" w:hAnsi="Book Antiqua"/>
          <w:i/>
          <w:iCs/>
        </w:rPr>
      </w:pPr>
      <w:r w:rsidRPr="001B7ABF">
        <w:rPr>
          <w:rFonts w:ascii="Book Antiqua" w:hAnsi="Book Antiqua"/>
        </w:rPr>
        <w:t>is guilty of an offence and liable to imprisonment for life.</w:t>
      </w:r>
      <w:r w:rsidR="004D4FA8" w:rsidRPr="001B7ABF">
        <w:rPr>
          <w:rFonts w:ascii="Book Antiqua" w:hAnsi="Book Antiqua"/>
        </w:rPr>
        <w:t xml:space="preserve"> </w:t>
      </w:r>
      <w:r w:rsidR="004D4FA8" w:rsidRPr="001B7ABF">
        <w:rPr>
          <w:rFonts w:ascii="Book Antiqua" w:hAnsi="Book Antiqua"/>
          <w:i/>
          <w:iCs/>
        </w:rPr>
        <w:t>Sexual Offences Act, 10 (emphasis added).</w:t>
      </w:r>
    </w:p>
    <w:p w14:paraId="4DB4973A" w14:textId="77777777" w:rsidR="00F34981" w:rsidRPr="001B7ABF" w:rsidRDefault="00F34981" w:rsidP="005F6A19">
      <w:pPr>
        <w:ind w:right="720"/>
        <w:jc w:val="both"/>
        <w:rPr>
          <w:rFonts w:ascii="Book Antiqua" w:hAnsi="Book Antiqua"/>
        </w:rPr>
      </w:pPr>
    </w:p>
    <w:p w14:paraId="241A5FEB" w14:textId="0ECBC231" w:rsidR="00F34981" w:rsidRPr="001B7ABF" w:rsidRDefault="00F34981" w:rsidP="005F6A19">
      <w:pPr>
        <w:ind w:left="720" w:right="720"/>
        <w:jc w:val="both"/>
        <w:rPr>
          <w:rFonts w:ascii="Book Antiqua" w:hAnsi="Book Antiqua"/>
        </w:rPr>
      </w:pPr>
      <w:r w:rsidRPr="001B7ABF">
        <w:rPr>
          <w:rFonts w:ascii="Book Antiqua" w:hAnsi="Book Antiqua"/>
        </w:rPr>
        <w:t>Any person who —</w:t>
      </w:r>
    </w:p>
    <w:p w14:paraId="22DE77AA" w14:textId="77777777" w:rsidR="00F34981" w:rsidRPr="001B7ABF" w:rsidRDefault="00F34981" w:rsidP="005F6A19">
      <w:pPr>
        <w:ind w:left="720" w:right="720"/>
        <w:jc w:val="both"/>
        <w:rPr>
          <w:rFonts w:ascii="Book Antiqua" w:hAnsi="Book Antiqua"/>
        </w:rPr>
      </w:pPr>
      <w:r w:rsidRPr="001B7ABF">
        <w:rPr>
          <w:rFonts w:ascii="Book Antiqua" w:hAnsi="Book Antiqua"/>
        </w:rPr>
        <w:t xml:space="preserve">(a) has unlawful sexual intercourse </w:t>
      </w:r>
      <w:r w:rsidRPr="001B7ABF">
        <w:rPr>
          <w:rFonts w:ascii="Book Antiqua" w:hAnsi="Book Antiqua"/>
          <w:i/>
          <w:iCs/>
        </w:rPr>
        <w:t>with any person being of or above fourteen years of age and under sixteen years of age</w:t>
      </w:r>
      <w:r w:rsidRPr="001B7ABF">
        <w:rPr>
          <w:rFonts w:ascii="Book Antiqua" w:hAnsi="Book Antiqua"/>
        </w:rPr>
        <w:t>, whether with or without the consent of the person with whom he had unlawful sexual intercourse; or</w:t>
      </w:r>
    </w:p>
    <w:p w14:paraId="4BA17E90" w14:textId="77777777" w:rsidR="00F34981" w:rsidRPr="001B7ABF" w:rsidRDefault="00F34981" w:rsidP="005F6A19">
      <w:pPr>
        <w:ind w:left="720" w:right="720"/>
        <w:jc w:val="both"/>
        <w:rPr>
          <w:rFonts w:ascii="Book Antiqua" w:hAnsi="Book Antiqua"/>
        </w:rPr>
      </w:pPr>
      <w:r w:rsidRPr="001B7ABF">
        <w:rPr>
          <w:rFonts w:ascii="Book Antiqua" w:hAnsi="Book Antiqua"/>
        </w:rPr>
        <w:t>(b) attempts to have unlawful sexual intercourse with any person being of or above fourteen years of age and under sixteen years of age, whether with or without the consent of the person with whom he attempted to have unlawful sexual intercourse,</w:t>
      </w:r>
    </w:p>
    <w:p w14:paraId="488194FE" w14:textId="72C6DC29" w:rsidR="004D4FA8" w:rsidRPr="001B7ABF" w:rsidRDefault="00F34981" w:rsidP="005F6A19">
      <w:pPr>
        <w:ind w:left="720" w:right="720"/>
        <w:jc w:val="both"/>
        <w:rPr>
          <w:rFonts w:ascii="Book Antiqua" w:hAnsi="Book Antiqua"/>
          <w:i/>
          <w:iCs/>
        </w:rPr>
      </w:pPr>
      <w:r w:rsidRPr="001B7ABF">
        <w:rPr>
          <w:rFonts w:ascii="Book Antiqua" w:hAnsi="Book Antiqua"/>
        </w:rPr>
        <w:t>is guilty of an offence and liable to imprisonment for life.</w:t>
      </w:r>
      <w:r w:rsidR="004D4FA8" w:rsidRPr="001B7ABF">
        <w:rPr>
          <w:rFonts w:ascii="Book Antiqua" w:hAnsi="Book Antiqua"/>
        </w:rPr>
        <w:t xml:space="preserve"> </w:t>
      </w:r>
      <w:r w:rsidR="00D30867" w:rsidRPr="001B7ABF">
        <w:rPr>
          <w:rFonts w:ascii="Book Antiqua" w:hAnsi="Book Antiqua"/>
        </w:rPr>
        <w:t>(</w:t>
      </w:r>
      <w:r w:rsidR="004D4FA8" w:rsidRPr="001B7ABF">
        <w:rPr>
          <w:rFonts w:ascii="Book Antiqua" w:hAnsi="Book Antiqua"/>
          <w:i/>
          <w:iCs/>
        </w:rPr>
        <w:t>Sexual Offences Act, 11 (emphasis added)</w:t>
      </w:r>
      <w:r w:rsidR="00D30867" w:rsidRPr="001B7ABF">
        <w:rPr>
          <w:rFonts w:ascii="Book Antiqua" w:hAnsi="Book Antiqua"/>
          <w:i/>
          <w:iCs/>
        </w:rPr>
        <w:t>).</w:t>
      </w:r>
    </w:p>
    <w:p w14:paraId="0D8130EF" w14:textId="47D7C14D" w:rsidR="00F34981" w:rsidRPr="001B7ABF" w:rsidRDefault="00F34981" w:rsidP="005F6A19">
      <w:pPr>
        <w:ind w:right="720"/>
        <w:jc w:val="both"/>
        <w:rPr>
          <w:rFonts w:ascii="Book Antiqua" w:hAnsi="Book Antiqua"/>
        </w:rPr>
      </w:pPr>
    </w:p>
    <w:p w14:paraId="3B1F7D97" w14:textId="264B8853" w:rsidR="004D4FA8" w:rsidRPr="001B7ABF" w:rsidRDefault="004D4FA8" w:rsidP="005F6A19">
      <w:pPr>
        <w:ind w:firstLine="720"/>
        <w:jc w:val="both"/>
        <w:rPr>
          <w:rFonts w:ascii="Book Antiqua" w:hAnsi="Book Antiqua"/>
        </w:rPr>
      </w:pPr>
      <w:r w:rsidRPr="001B7ABF">
        <w:rPr>
          <w:rFonts w:ascii="Book Antiqua" w:hAnsi="Book Antiqua"/>
        </w:rPr>
        <w:t xml:space="preserve">It is important to note in the above provisions that although a minor is defined as a person under the age of eighteen, rape of a minor is defined as either rape of a person under the age of fourteen, or of the ages </w:t>
      </w:r>
      <w:r w:rsidR="005D6320" w:rsidRPr="001B7ABF">
        <w:rPr>
          <w:rFonts w:ascii="Book Antiqua" w:hAnsi="Book Antiqua"/>
        </w:rPr>
        <w:t>fourteen or fifteen. Minors who are ages sixteen or seventeen lack special protections as vulnerable minors and are therefore, by default, included in the</w:t>
      </w:r>
      <w:r w:rsidR="00296364">
        <w:rPr>
          <w:rFonts w:ascii="Book Antiqua" w:hAnsi="Book Antiqua"/>
        </w:rPr>
        <w:t xml:space="preserve"> weaker</w:t>
      </w:r>
      <w:r w:rsidR="005D6320" w:rsidRPr="001B7ABF">
        <w:rPr>
          <w:rFonts w:ascii="Book Antiqua" w:hAnsi="Book Antiqua"/>
        </w:rPr>
        <w:t xml:space="preserve"> general rape provisions. </w:t>
      </w:r>
    </w:p>
    <w:p w14:paraId="2A7571B6" w14:textId="76982CA7" w:rsidR="005D6320" w:rsidRPr="001B7ABF" w:rsidRDefault="005D6320" w:rsidP="005F6A19">
      <w:pPr>
        <w:jc w:val="both"/>
        <w:rPr>
          <w:rFonts w:ascii="Book Antiqua" w:hAnsi="Book Antiqua"/>
        </w:rPr>
      </w:pPr>
    </w:p>
    <w:p w14:paraId="46F60531" w14:textId="778C08EC" w:rsidR="005D6320" w:rsidRPr="001B7ABF" w:rsidRDefault="005D6320" w:rsidP="005F6A19">
      <w:pPr>
        <w:ind w:firstLine="720"/>
        <w:jc w:val="both"/>
        <w:rPr>
          <w:rFonts w:ascii="Book Antiqua" w:hAnsi="Book Antiqua"/>
        </w:rPr>
      </w:pPr>
      <w:r w:rsidRPr="001B7ABF">
        <w:rPr>
          <w:rFonts w:ascii="Book Antiqua" w:hAnsi="Book Antiqua"/>
        </w:rPr>
        <w:t xml:space="preserve">A similar </w:t>
      </w:r>
      <w:r w:rsidR="00F03402" w:rsidRPr="001B7ABF">
        <w:rPr>
          <w:rFonts w:ascii="Book Antiqua" w:hAnsi="Book Antiqua"/>
        </w:rPr>
        <w:t>issue of minor vulnerability has been raised in regard to rape laws in France. Until a recent change in French law, “it [was] illegal for an adult to have sexual contact with a minor under the age of 15. But the charge of sexual contact with a child is not the same as the charge of rape; it is a lesser crime with a lesser penalty.” (</w:t>
      </w:r>
      <w:r w:rsidR="00F03402" w:rsidRPr="001B7ABF">
        <w:rPr>
          <w:rFonts w:ascii="Book Antiqua" w:hAnsi="Book Antiqua"/>
          <w:i/>
          <w:iCs/>
        </w:rPr>
        <w:t xml:space="preserve">NYT, In the #MeToo Era, France Struggles </w:t>
      </w:r>
      <w:proofErr w:type="gramStart"/>
      <w:r w:rsidR="00F03402" w:rsidRPr="001B7ABF">
        <w:rPr>
          <w:rFonts w:ascii="Book Antiqua" w:hAnsi="Book Antiqua"/>
          <w:i/>
          <w:iCs/>
        </w:rPr>
        <w:t>With</w:t>
      </w:r>
      <w:proofErr w:type="gramEnd"/>
      <w:r w:rsidR="00F03402" w:rsidRPr="001B7ABF">
        <w:rPr>
          <w:rFonts w:ascii="Book Antiqua" w:hAnsi="Book Antiqua"/>
          <w:i/>
          <w:iCs/>
        </w:rPr>
        <w:t xml:space="preserve"> Sexual Crimes Involving Minors, </w:t>
      </w:r>
      <w:hyperlink r:id="rId11" w:history="1">
        <w:r w:rsidR="00F03402" w:rsidRPr="001B7ABF">
          <w:rPr>
            <w:rStyle w:val="Hyperlink"/>
            <w:rFonts w:ascii="Book Antiqua" w:hAnsi="Book Antiqua"/>
            <w:i/>
            <w:iCs/>
          </w:rPr>
          <w:t>https://www.nytimes.com/2018/04/13/world/europe/france-minors-sex-consent-rape.html</w:t>
        </w:r>
      </w:hyperlink>
      <w:r w:rsidR="00F03402" w:rsidRPr="001B7ABF">
        <w:rPr>
          <w:rFonts w:ascii="Book Antiqua" w:hAnsi="Book Antiqua"/>
          <w:i/>
          <w:iCs/>
        </w:rPr>
        <w:t xml:space="preserve">). </w:t>
      </w:r>
      <w:r w:rsidR="00F03402" w:rsidRPr="001B7ABF">
        <w:rPr>
          <w:rFonts w:ascii="Book Antiqua" w:hAnsi="Book Antiqua"/>
        </w:rPr>
        <w:t xml:space="preserve">Not only did France lack protection for minors ages fifteen through seventeen, </w:t>
      </w:r>
      <w:r w:rsidR="00550EFF">
        <w:rPr>
          <w:rFonts w:ascii="Book Antiqua" w:hAnsi="Book Antiqua"/>
        </w:rPr>
        <w:t>it</w:t>
      </w:r>
      <w:r w:rsidR="00F03402" w:rsidRPr="001B7ABF">
        <w:rPr>
          <w:rFonts w:ascii="Book Antiqua" w:hAnsi="Book Antiqua"/>
        </w:rPr>
        <w:t xml:space="preserve"> did not define forced sexual contact </w:t>
      </w:r>
      <w:r w:rsidR="00550EFF">
        <w:rPr>
          <w:rFonts w:ascii="Book Antiqua" w:hAnsi="Book Antiqua"/>
        </w:rPr>
        <w:t>with</w:t>
      </w:r>
      <w:r w:rsidR="00F03402" w:rsidRPr="001B7ABF">
        <w:rPr>
          <w:rFonts w:ascii="Book Antiqua" w:hAnsi="Book Antiqua"/>
        </w:rPr>
        <w:t xml:space="preserve"> a minor as rape. </w:t>
      </w:r>
      <w:r w:rsidR="00F03402" w:rsidRPr="001B7ABF">
        <w:rPr>
          <w:rFonts w:ascii="Book Antiqua" w:hAnsi="Book Antiqua"/>
          <w:i/>
          <w:iCs/>
        </w:rPr>
        <w:t>(</w:t>
      </w:r>
      <w:hyperlink r:id="rId12" w:history="1">
        <w:r w:rsidR="00F03402" w:rsidRPr="001B7ABF">
          <w:rPr>
            <w:rStyle w:val="Hyperlink"/>
            <w:rFonts w:ascii="Book Antiqua" w:hAnsi="Book Antiqua"/>
            <w:i/>
            <w:iCs/>
          </w:rPr>
          <w:t>https://www.protection-of-minors.eu/en/country/FR</w:t>
        </w:r>
      </w:hyperlink>
      <w:r w:rsidR="00F03402" w:rsidRPr="001B7ABF">
        <w:rPr>
          <w:rFonts w:ascii="Book Antiqua" w:hAnsi="Book Antiqua"/>
        </w:rPr>
        <w:t xml:space="preserve">). </w:t>
      </w:r>
    </w:p>
    <w:p w14:paraId="4656F32A" w14:textId="10BB679B" w:rsidR="00F03402" w:rsidRPr="001B7ABF" w:rsidRDefault="00F03402" w:rsidP="005F6A19">
      <w:pPr>
        <w:jc w:val="both"/>
        <w:rPr>
          <w:rFonts w:ascii="Book Antiqua" w:hAnsi="Book Antiqua"/>
        </w:rPr>
      </w:pPr>
    </w:p>
    <w:p w14:paraId="00825485" w14:textId="3AB99ECF" w:rsidR="00F03402" w:rsidRPr="001B7ABF" w:rsidRDefault="00F03402" w:rsidP="005F6A19">
      <w:pPr>
        <w:ind w:firstLine="720"/>
        <w:jc w:val="both"/>
        <w:rPr>
          <w:rFonts w:ascii="Book Antiqua" w:hAnsi="Book Antiqua"/>
          <w:i/>
          <w:iCs/>
        </w:rPr>
      </w:pPr>
      <w:r w:rsidRPr="001B7ABF">
        <w:rPr>
          <w:rFonts w:ascii="Book Antiqua" w:hAnsi="Book Antiqua"/>
        </w:rPr>
        <w:t xml:space="preserve">This gap in protection for minors led to societal outrage </w:t>
      </w:r>
      <w:r w:rsidR="00954DB0" w:rsidRPr="001B7ABF">
        <w:rPr>
          <w:rFonts w:ascii="Book Antiqua" w:hAnsi="Book Antiqua"/>
        </w:rPr>
        <w:t xml:space="preserve">in France </w:t>
      </w:r>
      <w:r w:rsidRPr="001B7ABF">
        <w:rPr>
          <w:rFonts w:ascii="Book Antiqua" w:hAnsi="Book Antiqua"/>
        </w:rPr>
        <w:t>in 2018</w:t>
      </w:r>
      <w:r w:rsidR="00954DB0" w:rsidRPr="001B7ABF">
        <w:rPr>
          <w:rFonts w:ascii="Book Antiqua" w:hAnsi="Book Antiqua"/>
        </w:rPr>
        <w:t>. In 2018,</w:t>
      </w:r>
      <w:r w:rsidRPr="001B7ABF">
        <w:rPr>
          <w:rFonts w:ascii="Book Antiqua" w:hAnsi="Book Antiqua"/>
        </w:rPr>
        <w:t xml:space="preserve"> two cases </w:t>
      </w:r>
      <w:r w:rsidR="00954DB0" w:rsidRPr="001B7ABF">
        <w:rPr>
          <w:rFonts w:ascii="Book Antiqua" w:hAnsi="Book Antiqua"/>
        </w:rPr>
        <w:t xml:space="preserve">entered the public eye where 11-year-olds were forced to have sex with perpetrators, and the laws did not adequately protect them. </w:t>
      </w:r>
      <w:r w:rsidR="00954DB0" w:rsidRPr="001B7ABF">
        <w:rPr>
          <w:rFonts w:ascii="Book Antiqua" w:hAnsi="Book Antiqua"/>
          <w:i/>
          <w:iCs/>
        </w:rPr>
        <w:t xml:space="preserve">(NYT, In the #MeToo Era, France Struggles </w:t>
      </w:r>
      <w:proofErr w:type="gramStart"/>
      <w:r w:rsidR="00954DB0" w:rsidRPr="001B7ABF">
        <w:rPr>
          <w:rFonts w:ascii="Book Antiqua" w:hAnsi="Book Antiqua"/>
          <w:i/>
          <w:iCs/>
        </w:rPr>
        <w:t>With</w:t>
      </w:r>
      <w:proofErr w:type="gramEnd"/>
      <w:r w:rsidR="00954DB0" w:rsidRPr="001B7ABF">
        <w:rPr>
          <w:rFonts w:ascii="Book Antiqua" w:hAnsi="Book Antiqua"/>
          <w:i/>
          <w:iCs/>
        </w:rPr>
        <w:t xml:space="preserve"> Sexual Crimes Involving Minors, </w:t>
      </w:r>
      <w:hyperlink r:id="rId13" w:history="1">
        <w:r w:rsidR="00954DB0" w:rsidRPr="001B7ABF">
          <w:rPr>
            <w:rStyle w:val="Hyperlink"/>
            <w:rFonts w:ascii="Book Antiqua" w:hAnsi="Book Antiqua"/>
            <w:i/>
            <w:iCs/>
          </w:rPr>
          <w:t>https://www.nytimes.com/2018/04/13/world/europe/france-minors-sex-consent-rape.html</w:t>
        </w:r>
      </w:hyperlink>
      <w:r w:rsidR="00954DB0" w:rsidRPr="001B7ABF">
        <w:rPr>
          <w:rFonts w:ascii="Book Antiqua" w:hAnsi="Book Antiqua"/>
          <w:i/>
          <w:iCs/>
        </w:rPr>
        <w:t>).</w:t>
      </w:r>
    </w:p>
    <w:p w14:paraId="4C9AE9A0" w14:textId="426610FC" w:rsidR="006A4625" w:rsidRPr="001B7ABF" w:rsidRDefault="006A4625" w:rsidP="005F6A19">
      <w:pPr>
        <w:jc w:val="both"/>
        <w:rPr>
          <w:rFonts w:ascii="Book Antiqua" w:hAnsi="Book Antiqua"/>
        </w:rPr>
      </w:pPr>
    </w:p>
    <w:p w14:paraId="60A65EB3" w14:textId="2BDC6B5F" w:rsidR="008753D8" w:rsidRPr="001B7ABF" w:rsidRDefault="00C11803" w:rsidP="001B7ABF">
      <w:pPr>
        <w:ind w:firstLine="720"/>
        <w:jc w:val="both"/>
        <w:rPr>
          <w:rFonts w:ascii="Book Antiqua" w:hAnsi="Book Antiqua"/>
        </w:rPr>
      </w:pPr>
      <w:r>
        <w:rPr>
          <w:rFonts w:ascii="Book Antiqua" w:hAnsi="Book Antiqua"/>
        </w:rPr>
        <w:t>In</w:t>
      </w:r>
      <w:r w:rsidR="008753D8" w:rsidRPr="001B7ABF">
        <w:rPr>
          <w:rFonts w:ascii="Book Antiqua" w:hAnsi="Book Antiqua"/>
        </w:rPr>
        <w:t xml:space="preserve"> </w:t>
      </w:r>
      <w:r w:rsidR="00296364">
        <w:rPr>
          <w:rFonts w:ascii="Book Antiqua" w:hAnsi="Book Antiqua"/>
        </w:rPr>
        <w:t>both the Bahamas and France</w:t>
      </w:r>
      <w:r w:rsidR="008753D8" w:rsidRPr="001B7ABF">
        <w:rPr>
          <w:rFonts w:ascii="Book Antiqua" w:hAnsi="Book Antiqua"/>
        </w:rPr>
        <w:t>, gap</w:t>
      </w:r>
      <w:r w:rsidR="00296364">
        <w:rPr>
          <w:rFonts w:ascii="Book Antiqua" w:hAnsi="Book Antiqua"/>
        </w:rPr>
        <w:t>s</w:t>
      </w:r>
      <w:r w:rsidR="008753D8" w:rsidRPr="001B7ABF">
        <w:rPr>
          <w:rFonts w:ascii="Book Antiqua" w:hAnsi="Book Antiqua"/>
        </w:rPr>
        <w:t xml:space="preserve"> in</w:t>
      </w:r>
      <w:r w:rsidR="00296364">
        <w:rPr>
          <w:rFonts w:ascii="Book Antiqua" w:hAnsi="Book Antiqua"/>
        </w:rPr>
        <w:t xml:space="preserve"> the language of the law regarding</w:t>
      </w:r>
      <w:r w:rsidR="008753D8" w:rsidRPr="001B7ABF">
        <w:rPr>
          <w:rFonts w:ascii="Book Antiqua" w:hAnsi="Book Antiqua"/>
        </w:rPr>
        <w:t xml:space="preserve"> enforcement </w:t>
      </w:r>
      <w:r w:rsidR="00296364">
        <w:rPr>
          <w:rFonts w:ascii="Book Antiqua" w:hAnsi="Book Antiqua"/>
        </w:rPr>
        <w:t xml:space="preserve">of criminal consequences </w:t>
      </w:r>
      <w:r w:rsidR="008753D8" w:rsidRPr="001B7ABF">
        <w:rPr>
          <w:rFonts w:ascii="Book Antiqua" w:hAnsi="Book Antiqua"/>
        </w:rPr>
        <w:t xml:space="preserve">for </w:t>
      </w:r>
      <w:r w:rsidR="00CC79D3">
        <w:rPr>
          <w:rFonts w:ascii="Book Antiqua" w:hAnsi="Book Antiqua"/>
        </w:rPr>
        <w:t xml:space="preserve">rape of </w:t>
      </w:r>
      <w:r w:rsidR="008753D8" w:rsidRPr="001B7ABF">
        <w:rPr>
          <w:rFonts w:ascii="Book Antiqua" w:hAnsi="Book Antiqua"/>
        </w:rPr>
        <w:t xml:space="preserve">minors of certain ages can </w:t>
      </w:r>
      <w:r w:rsidR="00296364">
        <w:rPr>
          <w:rFonts w:ascii="Book Antiqua" w:hAnsi="Book Antiqua"/>
        </w:rPr>
        <w:t>undermine protection and justice for minor victims</w:t>
      </w:r>
      <w:r w:rsidR="00CC79D3">
        <w:rPr>
          <w:rFonts w:ascii="Book Antiqua" w:hAnsi="Book Antiqua"/>
        </w:rPr>
        <w:t xml:space="preserve">. </w:t>
      </w:r>
    </w:p>
    <w:p w14:paraId="27559402" w14:textId="77777777" w:rsidR="009D700E" w:rsidRPr="001B7ABF" w:rsidRDefault="009D700E" w:rsidP="005F6A19">
      <w:pPr>
        <w:ind w:right="720"/>
        <w:jc w:val="both"/>
        <w:rPr>
          <w:rFonts w:ascii="Book Antiqua" w:hAnsi="Book Antiqua"/>
        </w:rPr>
      </w:pPr>
    </w:p>
    <w:p w14:paraId="312451E1" w14:textId="5B3B3878" w:rsidR="00D32B60" w:rsidRPr="001B7ABF" w:rsidRDefault="00D32B60" w:rsidP="005F6A19">
      <w:pPr>
        <w:pStyle w:val="ListParagraph"/>
        <w:numPr>
          <w:ilvl w:val="0"/>
          <w:numId w:val="2"/>
        </w:numPr>
        <w:jc w:val="both"/>
        <w:rPr>
          <w:rFonts w:ascii="Book Antiqua" w:hAnsi="Book Antiqua"/>
          <w:b/>
          <w:bCs/>
          <w:i/>
          <w:iCs/>
        </w:rPr>
      </w:pPr>
      <w:r w:rsidRPr="001B7ABF">
        <w:rPr>
          <w:rFonts w:ascii="Book Antiqua" w:hAnsi="Book Antiqua"/>
          <w:i/>
          <w:iCs/>
        </w:rPr>
        <w:lastRenderedPageBreak/>
        <w:t>Age Distinction of Perpetrators</w:t>
      </w:r>
      <w:r w:rsidR="009B5D9B" w:rsidRPr="001B7ABF">
        <w:rPr>
          <w:rFonts w:ascii="Book Antiqua" w:hAnsi="Book Antiqua"/>
          <w:i/>
          <w:iCs/>
        </w:rPr>
        <w:t xml:space="preserve"> at the Discretion of the Attorney General Impedes Enforcement Efforts and the Protection of Victims </w:t>
      </w:r>
    </w:p>
    <w:p w14:paraId="151E83EF" w14:textId="2F10953E" w:rsidR="001546E8" w:rsidRPr="001B7ABF" w:rsidRDefault="001546E8" w:rsidP="005F6A19">
      <w:pPr>
        <w:jc w:val="both"/>
        <w:rPr>
          <w:rFonts w:ascii="Book Antiqua" w:hAnsi="Book Antiqua"/>
          <w:b/>
          <w:bCs/>
          <w:i/>
          <w:iCs/>
        </w:rPr>
      </w:pPr>
    </w:p>
    <w:p w14:paraId="1CA7685C" w14:textId="0486C057" w:rsidR="001546E8" w:rsidRPr="001B7ABF" w:rsidRDefault="001546E8" w:rsidP="001B7ABF">
      <w:pPr>
        <w:ind w:firstLine="630"/>
        <w:jc w:val="both"/>
        <w:rPr>
          <w:rFonts w:ascii="Book Antiqua" w:hAnsi="Book Antiqua"/>
        </w:rPr>
      </w:pPr>
      <w:r w:rsidRPr="001B7ABF">
        <w:rPr>
          <w:rFonts w:ascii="Book Antiqua" w:hAnsi="Book Antiqua"/>
        </w:rPr>
        <w:t xml:space="preserve">The Bahamas Sexual Offences Act creates a distinction between perpetrators </w:t>
      </w:r>
      <w:r w:rsidR="006543E2">
        <w:rPr>
          <w:rFonts w:ascii="Book Antiqua" w:hAnsi="Book Antiqua"/>
        </w:rPr>
        <w:t>of certain ages</w:t>
      </w:r>
      <w:r w:rsidRPr="001B7ABF">
        <w:rPr>
          <w:rFonts w:ascii="Book Antiqua" w:hAnsi="Book Antiqua"/>
        </w:rPr>
        <w:t>,</w:t>
      </w:r>
      <w:r w:rsidR="006543E2">
        <w:rPr>
          <w:rFonts w:ascii="Book Antiqua" w:hAnsi="Book Antiqua"/>
        </w:rPr>
        <w:t xml:space="preserve"> specifically differing the liability for perpetrators between the ages of eighteen and twenty-one. </w:t>
      </w:r>
      <w:r w:rsidR="00D30867" w:rsidRPr="001B7ABF">
        <w:rPr>
          <w:rFonts w:ascii="Book Antiqua" w:hAnsi="Book Antiqua"/>
        </w:rPr>
        <w:t xml:space="preserve">Referencing the same law as stated above, in section 11 of the Bahamas Sexual Offences Act, the provision </w:t>
      </w:r>
      <w:r w:rsidR="00550EFF">
        <w:rPr>
          <w:rFonts w:ascii="Book Antiqua" w:hAnsi="Book Antiqua"/>
        </w:rPr>
        <w:t>creates</w:t>
      </w:r>
      <w:r w:rsidR="00D30867" w:rsidRPr="001B7ABF">
        <w:rPr>
          <w:rFonts w:ascii="Book Antiqua" w:hAnsi="Book Antiqua"/>
        </w:rPr>
        <w:t xml:space="preserve"> an age distinction for perpetrators under the age of twenty-one. </w:t>
      </w:r>
    </w:p>
    <w:p w14:paraId="6ACA6CCB" w14:textId="78B1031D" w:rsidR="00D30867" w:rsidRPr="001B7ABF" w:rsidRDefault="00D30867" w:rsidP="005F6A19">
      <w:pPr>
        <w:jc w:val="both"/>
        <w:rPr>
          <w:rFonts w:ascii="Book Antiqua" w:hAnsi="Book Antiqua"/>
        </w:rPr>
      </w:pPr>
    </w:p>
    <w:p w14:paraId="160A9BF9" w14:textId="35BD1F8F" w:rsidR="00D30867" w:rsidRPr="001B7ABF" w:rsidRDefault="00D30867" w:rsidP="005F6A19">
      <w:pPr>
        <w:ind w:left="720" w:right="720"/>
        <w:jc w:val="both"/>
        <w:rPr>
          <w:rFonts w:ascii="Book Antiqua" w:hAnsi="Book Antiqua"/>
        </w:rPr>
      </w:pPr>
      <w:r w:rsidRPr="001B7ABF">
        <w:rPr>
          <w:rFonts w:ascii="Book Antiqua" w:hAnsi="Book Antiqua"/>
        </w:rPr>
        <w:t>(1) Any person who —</w:t>
      </w:r>
    </w:p>
    <w:p w14:paraId="300E4B37" w14:textId="77777777" w:rsidR="00D30867" w:rsidRPr="001B7ABF" w:rsidRDefault="00D30867" w:rsidP="005F6A19">
      <w:pPr>
        <w:ind w:left="720" w:right="720"/>
        <w:jc w:val="both"/>
        <w:rPr>
          <w:rFonts w:ascii="Book Antiqua" w:hAnsi="Book Antiqua"/>
        </w:rPr>
      </w:pPr>
      <w:r w:rsidRPr="001B7ABF">
        <w:rPr>
          <w:rFonts w:ascii="Book Antiqua" w:hAnsi="Book Antiqua"/>
        </w:rPr>
        <w:t>(a) has unlawful sexual intercourse with any person being of or above fourteen years of age and under sixteen years of age, whether with or without the consent of the person with whom he had unlawful sexual intercourse; or</w:t>
      </w:r>
    </w:p>
    <w:p w14:paraId="2F6859D1" w14:textId="77777777" w:rsidR="00D30867" w:rsidRPr="001B7ABF" w:rsidRDefault="00D30867" w:rsidP="005F6A19">
      <w:pPr>
        <w:ind w:left="720" w:right="720"/>
        <w:jc w:val="both"/>
        <w:rPr>
          <w:rFonts w:ascii="Book Antiqua" w:hAnsi="Book Antiqua"/>
        </w:rPr>
      </w:pPr>
      <w:r w:rsidRPr="001B7ABF">
        <w:rPr>
          <w:rFonts w:ascii="Book Antiqua" w:hAnsi="Book Antiqua"/>
        </w:rPr>
        <w:t>(b) attempts to have unlawful sexual intercourse with any person being of or above fourteen years of age and under sixteen years of age, whether with or without the consent of the person with whom he attempted to have unlawful sexual intercourse,</w:t>
      </w:r>
    </w:p>
    <w:p w14:paraId="514A82CA" w14:textId="77777777" w:rsidR="00D30867" w:rsidRPr="001B7ABF" w:rsidRDefault="00D30867" w:rsidP="005F6A19">
      <w:pPr>
        <w:ind w:left="720" w:right="720"/>
        <w:jc w:val="both"/>
        <w:rPr>
          <w:rFonts w:ascii="Book Antiqua" w:hAnsi="Book Antiqua"/>
        </w:rPr>
      </w:pPr>
      <w:r w:rsidRPr="001B7ABF">
        <w:rPr>
          <w:rFonts w:ascii="Book Antiqua" w:hAnsi="Book Antiqua"/>
        </w:rPr>
        <w:t>is guilty of an offence and liable to imprisonment for life.</w:t>
      </w:r>
    </w:p>
    <w:p w14:paraId="32884D62" w14:textId="77777777" w:rsidR="00D30867" w:rsidRPr="001B7ABF" w:rsidRDefault="00D30867" w:rsidP="005F6A19">
      <w:pPr>
        <w:ind w:left="720" w:right="720"/>
        <w:jc w:val="both"/>
        <w:rPr>
          <w:rFonts w:ascii="Book Antiqua" w:hAnsi="Book Antiqua"/>
        </w:rPr>
      </w:pPr>
      <w:r w:rsidRPr="001B7ABF">
        <w:rPr>
          <w:rFonts w:ascii="Book Antiqua" w:hAnsi="Book Antiqua"/>
        </w:rPr>
        <w:t xml:space="preserve">(2) It shall be a sufficient </w:t>
      </w:r>
      <w:proofErr w:type="spellStart"/>
      <w:r w:rsidRPr="001B7ABF">
        <w:rPr>
          <w:rFonts w:ascii="Book Antiqua" w:hAnsi="Book Antiqua"/>
        </w:rPr>
        <w:t>defence</w:t>
      </w:r>
      <w:proofErr w:type="spellEnd"/>
      <w:r w:rsidRPr="001B7ABF">
        <w:rPr>
          <w:rFonts w:ascii="Book Antiqua" w:hAnsi="Book Antiqua"/>
        </w:rPr>
        <w:t xml:space="preserve"> to a charge under this section if it is made to appear to the court or jury before whom the charge shall be brought that the person so charged, being a person not over the age of twenty-one years and not previously convicted of the same offence, had reasonable cause to believe that the person with whom he had sexual intercourse was of or above sixteen years of age.</w:t>
      </w:r>
    </w:p>
    <w:p w14:paraId="39D16D44" w14:textId="0E028E2E" w:rsidR="00D30867" w:rsidRPr="001B7ABF" w:rsidRDefault="00D30867" w:rsidP="005F6A19">
      <w:pPr>
        <w:ind w:left="720" w:right="720"/>
        <w:jc w:val="both"/>
        <w:rPr>
          <w:rFonts w:ascii="Book Antiqua" w:hAnsi="Book Antiqua"/>
          <w:i/>
          <w:iCs/>
        </w:rPr>
      </w:pPr>
      <w:r w:rsidRPr="001B7ABF">
        <w:rPr>
          <w:rFonts w:ascii="Book Antiqua" w:hAnsi="Book Antiqua"/>
          <w:i/>
          <w:iCs/>
        </w:rPr>
        <w:t xml:space="preserve">(3) No prosecution of a person under the age of twenty-one years for an offence under this section shall be commenced without the consent of the Attorney-General. </w:t>
      </w:r>
      <w:r w:rsidRPr="001B7ABF">
        <w:rPr>
          <w:rFonts w:ascii="Book Antiqua" w:hAnsi="Book Antiqua"/>
        </w:rPr>
        <w:t>(</w:t>
      </w:r>
      <w:r w:rsidRPr="001B7ABF">
        <w:rPr>
          <w:rFonts w:ascii="Book Antiqua" w:hAnsi="Book Antiqua"/>
          <w:i/>
          <w:iCs/>
        </w:rPr>
        <w:t>Sexual Offences Act, 11 (emphasis added)).</w:t>
      </w:r>
    </w:p>
    <w:p w14:paraId="1315256C" w14:textId="2D49683E" w:rsidR="005F6A19" w:rsidRPr="001B7ABF" w:rsidRDefault="005F6A19" w:rsidP="005F6A19">
      <w:pPr>
        <w:ind w:left="720" w:right="720"/>
        <w:jc w:val="both"/>
        <w:rPr>
          <w:rFonts w:ascii="Book Antiqua" w:hAnsi="Book Antiqua"/>
          <w:i/>
          <w:iCs/>
        </w:rPr>
      </w:pPr>
    </w:p>
    <w:p w14:paraId="7430DB5A" w14:textId="159C9B30" w:rsidR="005F6A19" w:rsidRPr="001B7ABF" w:rsidRDefault="00E3184A" w:rsidP="001B7ABF">
      <w:pPr>
        <w:ind w:firstLine="720"/>
        <w:jc w:val="both"/>
        <w:rPr>
          <w:rFonts w:ascii="Book Antiqua" w:hAnsi="Book Antiqua"/>
        </w:rPr>
      </w:pPr>
      <w:r w:rsidRPr="001B7ABF">
        <w:rPr>
          <w:rFonts w:ascii="Book Antiqua" w:hAnsi="Book Antiqua"/>
        </w:rPr>
        <w:t xml:space="preserve">In plain language, this law clearly states that if a twenty-year-old perpetrator rapes a fourteen-year-old victim, that perpetrator cannot be prosecuted unless the Attorney-General consents to this prosecution. </w:t>
      </w:r>
      <w:r w:rsidR="006543E2">
        <w:rPr>
          <w:rFonts w:ascii="Book Antiqua" w:hAnsi="Book Antiqua"/>
        </w:rPr>
        <w:t>This language is concerning given the power imbalance between adults and minors, and the fact that perpetrators between the ages of eighteen and twenty-one are adults.</w:t>
      </w:r>
    </w:p>
    <w:p w14:paraId="68E69CCB" w14:textId="7B7C55AC" w:rsidR="005A6494" w:rsidRDefault="001C2652" w:rsidP="001B7ABF">
      <w:pPr>
        <w:ind w:firstLine="720"/>
        <w:jc w:val="both"/>
        <w:rPr>
          <w:rFonts w:ascii="Book Antiqua" w:hAnsi="Book Antiqua"/>
          <w:i/>
          <w:iCs/>
        </w:rPr>
      </w:pPr>
      <w:r w:rsidRPr="001B7ABF">
        <w:rPr>
          <w:rFonts w:ascii="Book Antiqua" w:hAnsi="Book Antiqua"/>
        </w:rPr>
        <w:t>Age distinction of perpetrators is a common practice in many countries’ rape laws</w:t>
      </w:r>
      <w:r w:rsidR="005A6494">
        <w:rPr>
          <w:rFonts w:ascii="Book Antiqua" w:hAnsi="Book Antiqua"/>
        </w:rPr>
        <w:t xml:space="preserve">.  However, where the age distinction differentiates among perpetrators who have reached the age of majority, these distinctions undermine the purpose of special provisions intended to protect minors. </w:t>
      </w:r>
      <w:r w:rsidRPr="001B7ABF">
        <w:rPr>
          <w:rFonts w:ascii="Book Antiqua" w:hAnsi="Book Antiqua"/>
        </w:rPr>
        <w:t xml:space="preserve"> </w:t>
      </w:r>
      <w:proofErr w:type="gramStart"/>
      <w:r w:rsidRPr="001B7ABF">
        <w:rPr>
          <w:rFonts w:ascii="Book Antiqua" w:hAnsi="Book Antiqua"/>
        </w:rPr>
        <w:t xml:space="preserve">In </w:t>
      </w:r>
      <w:r w:rsidR="00BF1A76">
        <w:rPr>
          <w:rFonts w:ascii="Book Antiqua" w:hAnsi="Book Antiqua"/>
        </w:rPr>
        <w:t xml:space="preserve"> most</w:t>
      </w:r>
      <w:proofErr w:type="gramEnd"/>
      <w:r w:rsidR="00BF1A76">
        <w:rPr>
          <w:rFonts w:ascii="Book Antiqua" w:hAnsi="Book Antiqua"/>
        </w:rPr>
        <w:t xml:space="preserve"> states of </w:t>
      </w:r>
      <w:r w:rsidRPr="001B7ABF">
        <w:rPr>
          <w:rFonts w:ascii="Book Antiqua" w:hAnsi="Book Antiqua"/>
        </w:rPr>
        <w:t>the United States, when a perpetrator rapes a person under the age of consent, it is considered statutory rape</w:t>
      </w:r>
      <w:r w:rsidR="00550EFF">
        <w:rPr>
          <w:rFonts w:ascii="Book Antiqua" w:hAnsi="Book Antiqua"/>
        </w:rPr>
        <w:t xml:space="preserve"> - a</w:t>
      </w:r>
      <w:r w:rsidRPr="001B7ABF">
        <w:rPr>
          <w:rFonts w:ascii="Book Antiqua" w:hAnsi="Book Antiqua"/>
        </w:rPr>
        <w:t xml:space="preserve"> crime</w:t>
      </w:r>
      <w:r w:rsidR="00550EFF">
        <w:rPr>
          <w:rFonts w:ascii="Book Antiqua" w:hAnsi="Book Antiqua"/>
        </w:rPr>
        <w:t xml:space="preserve"> in which additional elements such as lack of consent or use of force or coercion need not be proven. </w:t>
      </w:r>
      <w:r w:rsidRPr="001B7ABF">
        <w:rPr>
          <w:rFonts w:ascii="Book Antiqua" w:hAnsi="Book Antiqua"/>
        </w:rPr>
        <w:t xml:space="preserve"> “Statutory rape is based on the notion that a person under a certain age cannot consent to sexual contact or activity because he or she lacks the maturity or judgement necessary to make a knowing choice about sexual activity.” Under United States law for this type of rape, the “underage person’s consent is irrelevant and the intentions of the defendant </w:t>
      </w:r>
      <w:r w:rsidRPr="001B7ABF">
        <w:rPr>
          <w:rFonts w:ascii="Book Antiqua" w:hAnsi="Book Antiqua"/>
        </w:rPr>
        <w:lastRenderedPageBreak/>
        <w:t xml:space="preserve">and what they believed about the age of the other person usually do not matter.” (Lauren Baldwin, </w:t>
      </w:r>
      <w:r w:rsidRPr="001B7ABF">
        <w:rPr>
          <w:rFonts w:ascii="Book Antiqua" w:hAnsi="Book Antiqua"/>
          <w:i/>
          <w:iCs/>
        </w:rPr>
        <w:t xml:space="preserve">Statutory Rape Laws and Charges, </w:t>
      </w:r>
      <w:hyperlink r:id="rId14" w:history="1">
        <w:r w:rsidRPr="001B7ABF">
          <w:rPr>
            <w:rStyle w:val="Hyperlink"/>
            <w:rFonts w:ascii="Book Antiqua" w:hAnsi="Book Antiqua"/>
            <w:i/>
            <w:iCs/>
          </w:rPr>
          <w:t>https://www.criminaldefenselawyer.com/resources/criminal-defense/sex-crimes/statutory-rape-charges-punishment-defense</w:t>
        </w:r>
      </w:hyperlink>
      <w:r w:rsidRPr="001B7ABF">
        <w:rPr>
          <w:rFonts w:ascii="Book Antiqua" w:hAnsi="Book Antiqua"/>
          <w:i/>
          <w:iCs/>
        </w:rPr>
        <w:t xml:space="preserve">). </w:t>
      </w:r>
    </w:p>
    <w:p w14:paraId="491FF7FB" w14:textId="56FA852D" w:rsidR="001C2652" w:rsidRPr="001B7ABF" w:rsidRDefault="005A6494" w:rsidP="001B7ABF">
      <w:pPr>
        <w:ind w:firstLine="720"/>
        <w:jc w:val="both"/>
        <w:rPr>
          <w:rFonts w:ascii="Book Antiqua" w:hAnsi="Book Antiqua"/>
        </w:rPr>
      </w:pPr>
      <w:r>
        <w:rPr>
          <w:rFonts w:ascii="Book Antiqua" w:hAnsi="Book Antiqua"/>
        </w:rPr>
        <w:t>Similar</w:t>
      </w:r>
      <w:r w:rsidR="0054027B">
        <w:rPr>
          <w:rFonts w:ascii="Book Antiqua" w:hAnsi="Book Antiqua"/>
        </w:rPr>
        <w:t xml:space="preserve"> </w:t>
      </w:r>
      <w:r w:rsidR="00550EFF">
        <w:rPr>
          <w:rFonts w:ascii="Book Antiqua" w:hAnsi="Book Antiqua"/>
        </w:rPr>
        <w:t>to the law in the Bahamas</w:t>
      </w:r>
      <w:r w:rsidR="001C2652" w:rsidRPr="001B7ABF">
        <w:rPr>
          <w:rFonts w:ascii="Book Antiqua" w:hAnsi="Book Antiqua"/>
        </w:rPr>
        <w:t xml:space="preserve">, many states in the Unites States have laws that protect perpetrators who are under a certain age, or when the perpetrator is close in age to the victim. </w:t>
      </w:r>
      <w:r>
        <w:rPr>
          <w:rFonts w:ascii="Book Antiqua" w:hAnsi="Book Antiqua"/>
        </w:rPr>
        <w:t xml:space="preserve">When these laws apply to perpetrators who are also minors or who are very close in age to the victim, they may serve to avoid unintended consequences of criminalizing </w:t>
      </w:r>
      <w:r w:rsidR="00BF1A76">
        <w:rPr>
          <w:rFonts w:ascii="Book Antiqua" w:hAnsi="Book Antiqua"/>
        </w:rPr>
        <w:t xml:space="preserve">the actions of </w:t>
      </w:r>
      <w:r>
        <w:rPr>
          <w:rFonts w:ascii="Book Antiqua" w:hAnsi="Book Antiqua"/>
        </w:rPr>
        <w:t xml:space="preserve">both minors.  </w:t>
      </w:r>
      <w:r w:rsidR="006A5FFA">
        <w:rPr>
          <w:rFonts w:ascii="Book Antiqua" w:hAnsi="Book Antiqua"/>
        </w:rPr>
        <w:t>The law in the Bahamas, however, is distinguishable in that it applies to adults between the ages of 18 and 21.  This distinction discount</w:t>
      </w:r>
      <w:r w:rsidR="00BF1A76">
        <w:rPr>
          <w:rFonts w:ascii="Book Antiqua" w:hAnsi="Book Antiqua"/>
        </w:rPr>
        <w:t>s</w:t>
      </w:r>
      <w:r w:rsidR="006A5FFA">
        <w:rPr>
          <w:rFonts w:ascii="Book Antiqua" w:hAnsi="Book Antiqua"/>
        </w:rPr>
        <w:t xml:space="preserve"> the power imbalance (reinforced by law and social norms) inherent between minors and adults.  </w:t>
      </w:r>
    </w:p>
    <w:p w14:paraId="78D3CA59" w14:textId="592D9E5C" w:rsidR="001C2652" w:rsidRPr="001B7ABF" w:rsidRDefault="001C2652" w:rsidP="001B7ABF">
      <w:pPr>
        <w:ind w:firstLine="720"/>
        <w:jc w:val="both"/>
        <w:rPr>
          <w:rFonts w:ascii="Book Antiqua" w:hAnsi="Book Antiqua"/>
        </w:rPr>
      </w:pPr>
      <w:r w:rsidRPr="001B7ABF">
        <w:rPr>
          <w:rFonts w:ascii="Book Antiqua" w:hAnsi="Book Antiqua"/>
        </w:rPr>
        <w:t xml:space="preserve">Of </w:t>
      </w:r>
      <w:r w:rsidR="006A5FFA">
        <w:rPr>
          <w:rFonts w:ascii="Book Antiqua" w:hAnsi="Book Antiqua"/>
        </w:rPr>
        <w:t>particular</w:t>
      </w:r>
      <w:r w:rsidR="006A5FFA" w:rsidRPr="001B7ABF">
        <w:rPr>
          <w:rFonts w:ascii="Book Antiqua" w:hAnsi="Book Antiqua"/>
        </w:rPr>
        <w:t xml:space="preserve"> </w:t>
      </w:r>
      <w:r w:rsidR="006A5FFA">
        <w:rPr>
          <w:rFonts w:ascii="Book Antiqua" w:hAnsi="Book Antiqua"/>
        </w:rPr>
        <w:t>concern</w:t>
      </w:r>
      <w:r w:rsidR="006A5FFA" w:rsidRPr="001B7ABF">
        <w:rPr>
          <w:rFonts w:ascii="Book Antiqua" w:hAnsi="Book Antiqua"/>
        </w:rPr>
        <w:t xml:space="preserve"> </w:t>
      </w:r>
      <w:r w:rsidRPr="001B7ABF">
        <w:rPr>
          <w:rFonts w:ascii="Book Antiqua" w:hAnsi="Book Antiqua"/>
        </w:rPr>
        <w:t xml:space="preserve">in the section of law noted above is the required consent of the attorney general to enforce rape laws against perpetrators who are under the age of twenty-one. </w:t>
      </w:r>
      <w:r w:rsidR="00550EFF">
        <w:rPr>
          <w:rFonts w:ascii="Book Antiqua" w:hAnsi="Book Antiqua"/>
        </w:rPr>
        <w:t>A</w:t>
      </w:r>
      <w:r w:rsidRPr="001B7ABF">
        <w:rPr>
          <w:rFonts w:ascii="Book Antiqua" w:hAnsi="Book Antiqua"/>
        </w:rPr>
        <w:t xml:space="preserve"> law which enables one person to determine when </w:t>
      </w:r>
      <w:r w:rsidR="00550EFF">
        <w:rPr>
          <w:rFonts w:ascii="Book Antiqua" w:hAnsi="Book Antiqua"/>
        </w:rPr>
        <w:t>it should be</w:t>
      </w:r>
      <w:r w:rsidRPr="001B7ABF">
        <w:rPr>
          <w:rFonts w:ascii="Book Antiqua" w:hAnsi="Book Antiqua"/>
        </w:rPr>
        <w:t xml:space="preserve"> enforced </w:t>
      </w:r>
      <w:r w:rsidR="00BF1A76">
        <w:rPr>
          <w:rFonts w:ascii="Book Antiqua" w:hAnsi="Book Antiqua"/>
        </w:rPr>
        <w:t xml:space="preserve">allows for </w:t>
      </w:r>
      <w:r w:rsidR="00550EFF">
        <w:rPr>
          <w:rFonts w:ascii="Book Antiqua" w:hAnsi="Book Antiqua"/>
        </w:rPr>
        <w:t xml:space="preserve">gender bias </w:t>
      </w:r>
      <w:r w:rsidR="00BF1A76">
        <w:rPr>
          <w:rFonts w:ascii="Book Antiqua" w:hAnsi="Book Antiqua"/>
        </w:rPr>
        <w:t>to undermine the protections</w:t>
      </w:r>
      <w:r w:rsidR="00550EFF">
        <w:rPr>
          <w:rFonts w:ascii="Book Antiqua" w:hAnsi="Book Antiqua"/>
        </w:rPr>
        <w:t xml:space="preserve"> of the law,</w:t>
      </w:r>
      <w:r w:rsidR="0054027B">
        <w:rPr>
          <w:rFonts w:ascii="Book Antiqua" w:hAnsi="Book Antiqua"/>
        </w:rPr>
        <w:t xml:space="preserve"> </w:t>
      </w:r>
      <w:r w:rsidR="00BF1A76">
        <w:rPr>
          <w:rFonts w:ascii="Book Antiqua" w:hAnsi="Book Antiqua"/>
        </w:rPr>
        <w:t xml:space="preserve">promotes impunity for rape, </w:t>
      </w:r>
      <w:r w:rsidRPr="001B7ABF">
        <w:rPr>
          <w:rFonts w:ascii="Book Antiqua" w:hAnsi="Book Antiqua"/>
        </w:rPr>
        <w:t>and</w:t>
      </w:r>
      <w:r w:rsidR="00550EFF">
        <w:rPr>
          <w:rFonts w:ascii="Book Antiqua" w:hAnsi="Book Antiqua"/>
        </w:rPr>
        <w:t xml:space="preserve"> </w:t>
      </w:r>
      <w:r w:rsidR="00BF1A76">
        <w:rPr>
          <w:rFonts w:ascii="Book Antiqua" w:hAnsi="Book Antiqua"/>
        </w:rPr>
        <w:t>l</w:t>
      </w:r>
      <w:r w:rsidRPr="001B7ABF">
        <w:rPr>
          <w:rFonts w:ascii="Book Antiqua" w:hAnsi="Book Antiqua"/>
        </w:rPr>
        <w:t>imit</w:t>
      </w:r>
      <w:r w:rsidR="00BF1A76">
        <w:rPr>
          <w:rFonts w:ascii="Book Antiqua" w:hAnsi="Book Antiqua"/>
        </w:rPr>
        <w:t>s</w:t>
      </w:r>
      <w:r w:rsidRPr="001B7ABF">
        <w:rPr>
          <w:rFonts w:ascii="Book Antiqua" w:hAnsi="Book Antiqua"/>
        </w:rPr>
        <w:t xml:space="preserve"> the ability to protect rape victims. </w:t>
      </w:r>
      <w:r w:rsidR="00BF1A76">
        <w:rPr>
          <w:rFonts w:ascii="Book Antiqua" w:hAnsi="Book Antiqua"/>
        </w:rPr>
        <w:t xml:space="preserve"> Inconsistency in application of the law is also likely.</w:t>
      </w:r>
    </w:p>
    <w:p w14:paraId="63CB0209" w14:textId="6C933515" w:rsidR="009C3FC4" w:rsidRDefault="005A6494" w:rsidP="0054027B">
      <w:pPr>
        <w:ind w:firstLine="720"/>
        <w:jc w:val="both"/>
        <w:rPr>
          <w:rFonts w:ascii="Book Antiqua" w:hAnsi="Book Antiqua"/>
        </w:rPr>
      </w:pPr>
      <w:r>
        <w:rPr>
          <w:rFonts w:ascii="Book Antiqua" w:hAnsi="Book Antiqua"/>
        </w:rPr>
        <w:t>An</w:t>
      </w:r>
      <w:r w:rsidR="00E62972" w:rsidRPr="001B7ABF">
        <w:rPr>
          <w:rFonts w:ascii="Book Antiqua" w:hAnsi="Book Antiqua"/>
        </w:rPr>
        <w:t xml:space="preserve"> explicit </w:t>
      </w:r>
      <w:r w:rsidR="00100533">
        <w:rPr>
          <w:rFonts w:ascii="Book Antiqua" w:hAnsi="Book Antiqua"/>
        </w:rPr>
        <w:t xml:space="preserve">legal </w:t>
      </w:r>
      <w:r w:rsidR="00E62972" w:rsidRPr="001B7ABF">
        <w:rPr>
          <w:rFonts w:ascii="Book Antiqua" w:hAnsi="Book Antiqua"/>
        </w:rPr>
        <w:t xml:space="preserve">provision that allows a person to stand as a human obstacle to </w:t>
      </w:r>
      <w:r w:rsidR="00100533">
        <w:rPr>
          <w:rFonts w:ascii="Book Antiqua" w:hAnsi="Book Antiqua"/>
        </w:rPr>
        <w:t>law</w:t>
      </w:r>
      <w:r w:rsidR="00100533" w:rsidRPr="001B7ABF">
        <w:rPr>
          <w:rFonts w:ascii="Book Antiqua" w:hAnsi="Book Antiqua"/>
        </w:rPr>
        <w:t xml:space="preserve"> </w:t>
      </w:r>
      <w:r w:rsidR="00E62972" w:rsidRPr="001B7ABF">
        <w:rPr>
          <w:rFonts w:ascii="Book Antiqua" w:hAnsi="Book Antiqua"/>
        </w:rPr>
        <w:t xml:space="preserve">enforcement opens the door to allow perpetrators to escape their </w:t>
      </w:r>
      <w:r w:rsidR="00711F60">
        <w:rPr>
          <w:rFonts w:ascii="Book Antiqua" w:hAnsi="Book Antiqua"/>
        </w:rPr>
        <w:t>appropriate sentence</w:t>
      </w:r>
      <w:r w:rsidR="00E62972" w:rsidRPr="001B7ABF">
        <w:rPr>
          <w:rFonts w:ascii="Book Antiqua" w:hAnsi="Book Antiqua"/>
        </w:rPr>
        <w:t xml:space="preserve">. Additionally, a specific provision that distinguishes between </w:t>
      </w:r>
      <w:r w:rsidR="006A5FFA">
        <w:rPr>
          <w:rFonts w:ascii="Book Antiqua" w:hAnsi="Book Antiqua"/>
        </w:rPr>
        <w:t xml:space="preserve">adult </w:t>
      </w:r>
      <w:r w:rsidR="00E62972" w:rsidRPr="001B7ABF">
        <w:rPr>
          <w:rFonts w:ascii="Book Antiqua" w:hAnsi="Book Antiqua"/>
        </w:rPr>
        <w:t xml:space="preserve">perpetrators </w:t>
      </w:r>
      <w:r w:rsidR="006A5FFA">
        <w:rPr>
          <w:rFonts w:ascii="Book Antiqua" w:hAnsi="Book Antiqua"/>
        </w:rPr>
        <w:t>discounts the power imbalance inherent between minors and adults, undermining the intent to protect minors</w:t>
      </w:r>
      <w:r w:rsidR="00E62972" w:rsidRPr="001B7ABF">
        <w:rPr>
          <w:rFonts w:ascii="Book Antiqua" w:hAnsi="Book Antiqua"/>
        </w:rPr>
        <w:t xml:space="preserve">. </w:t>
      </w:r>
    </w:p>
    <w:p w14:paraId="66684D81" w14:textId="77777777" w:rsidR="0054027B" w:rsidRPr="001B7ABF" w:rsidRDefault="0054027B" w:rsidP="0054027B">
      <w:pPr>
        <w:ind w:firstLine="720"/>
        <w:jc w:val="both"/>
        <w:rPr>
          <w:rFonts w:ascii="Book Antiqua" w:hAnsi="Book Antiqua"/>
        </w:rPr>
      </w:pPr>
    </w:p>
    <w:p w14:paraId="46BB5162" w14:textId="77777777" w:rsidR="009C3FC4" w:rsidRPr="001B7ABF" w:rsidRDefault="009C3FC4" w:rsidP="009C3FC4">
      <w:pPr>
        <w:pStyle w:val="ListParagraph"/>
        <w:numPr>
          <w:ilvl w:val="0"/>
          <w:numId w:val="2"/>
        </w:numPr>
        <w:jc w:val="both"/>
        <w:rPr>
          <w:rFonts w:ascii="Book Antiqua" w:hAnsi="Book Antiqua"/>
          <w:b/>
          <w:bCs/>
          <w:i/>
          <w:iCs/>
        </w:rPr>
      </w:pPr>
      <w:r w:rsidRPr="001B7ABF">
        <w:rPr>
          <w:rFonts w:ascii="Book Antiqua" w:hAnsi="Book Antiqua"/>
          <w:i/>
          <w:iCs/>
        </w:rPr>
        <w:t>A Lack of Reporting Requirements and Protection for Victims Against Pressure or Maltreatment from Law Enforcement</w:t>
      </w:r>
    </w:p>
    <w:p w14:paraId="1B2E01C2" w14:textId="77777777" w:rsidR="009C3FC4" w:rsidRPr="001B7ABF" w:rsidRDefault="009C3FC4" w:rsidP="009C3FC4">
      <w:pPr>
        <w:jc w:val="both"/>
        <w:rPr>
          <w:rFonts w:ascii="Book Antiqua" w:hAnsi="Book Antiqua"/>
        </w:rPr>
      </w:pPr>
    </w:p>
    <w:p w14:paraId="4F062B32" w14:textId="6936D505" w:rsidR="009C3FC4" w:rsidRPr="001B7ABF" w:rsidRDefault="009C3FC4" w:rsidP="001B7ABF">
      <w:pPr>
        <w:ind w:firstLine="720"/>
        <w:jc w:val="both"/>
        <w:rPr>
          <w:rFonts w:ascii="Book Antiqua" w:hAnsi="Book Antiqua"/>
        </w:rPr>
      </w:pPr>
      <w:r w:rsidRPr="001B7ABF">
        <w:rPr>
          <w:rFonts w:ascii="Book Antiqua" w:hAnsi="Book Antiqua"/>
        </w:rPr>
        <w:t xml:space="preserve">The Bahamas Sexual Offences Act lacks any provision requiring accountability for law enforcement officers or others involved in rape enforcement. Neglecting to have accountability provisions or reporting requirements leaves open the possibility of lax reporting, altered reporting, or maltreatment of victims to alter reporting. </w:t>
      </w:r>
    </w:p>
    <w:p w14:paraId="3812E1CC" w14:textId="5B0A77E4" w:rsidR="009C3FC4" w:rsidRPr="001B7ABF" w:rsidRDefault="009C3FC4" w:rsidP="001B7ABF">
      <w:pPr>
        <w:ind w:firstLine="720"/>
        <w:jc w:val="both"/>
        <w:rPr>
          <w:rFonts w:ascii="Book Antiqua" w:hAnsi="Book Antiqua"/>
          <w:i/>
          <w:iCs/>
        </w:rPr>
      </w:pPr>
      <w:r w:rsidRPr="001B7ABF">
        <w:rPr>
          <w:rFonts w:ascii="Book Antiqua" w:hAnsi="Book Antiqua"/>
        </w:rPr>
        <w:t xml:space="preserve">A similar problem existed in Baltimore, Maryland in the United States. In 2010, a reporter exposed </w:t>
      </w:r>
      <w:r w:rsidR="006A5FFA">
        <w:rPr>
          <w:rFonts w:ascii="Book Antiqua" w:hAnsi="Book Antiqua"/>
        </w:rPr>
        <w:t>that</w:t>
      </w:r>
      <w:r w:rsidR="006A5FFA" w:rsidRPr="001B7ABF">
        <w:rPr>
          <w:rFonts w:ascii="Book Antiqua" w:hAnsi="Book Antiqua"/>
        </w:rPr>
        <w:t xml:space="preserve"> </w:t>
      </w:r>
      <w:r w:rsidRPr="001B7ABF">
        <w:rPr>
          <w:rFonts w:ascii="Book Antiqua" w:hAnsi="Book Antiqua"/>
        </w:rPr>
        <w:t>Baltimore had been under</w:t>
      </w:r>
      <w:r w:rsidR="006A5FFA">
        <w:rPr>
          <w:rFonts w:ascii="Book Antiqua" w:hAnsi="Book Antiqua"/>
        </w:rPr>
        <w:t>-</w:t>
      </w:r>
      <w:r w:rsidRPr="001B7ABF">
        <w:rPr>
          <w:rFonts w:ascii="Book Antiqua" w:hAnsi="Book Antiqua"/>
        </w:rPr>
        <w:t>reporting</w:t>
      </w:r>
      <w:r w:rsidR="006A5FFA">
        <w:rPr>
          <w:rFonts w:ascii="Book Antiqua" w:hAnsi="Book Antiqua"/>
        </w:rPr>
        <w:t xml:space="preserve"> rapes</w:t>
      </w:r>
      <w:r w:rsidRPr="001B7ABF">
        <w:rPr>
          <w:rFonts w:ascii="Book Antiqua" w:hAnsi="Book Antiqua"/>
        </w:rPr>
        <w:t xml:space="preserve"> and m</w:t>
      </w:r>
      <w:r w:rsidR="006A5FFA">
        <w:rPr>
          <w:rFonts w:ascii="Book Antiqua" w:hAnsi="Book Antiqua"/>
        </w:rPr>
        <w:t>is</w:t>
      </w:r>
      <w:r w:rsidRPr="001B7ABF">
        <w:rPr>
          <w:rFonts w:ascii="Book Antiqua" w:hAnsi="Book Antiqua"/>
        </w:rPr>
        <w:t>treating victims into recounting rape statements.</w:t>
      </w:r>
      <w:r w:rsidR="00127154" w:rsidRPr="001B7ABF">
        <w:rPr>
          <w:rFonts w:ascii="Book Antiqua" w:hAnsi="Book Antiqua"/>
        </w:rPr>
        <w:t xml:space="preserve"> </w:t>
      </w:r>
      <w:r w:rsidR="00127154" w:rsidRPr="001B7ABF">
        <w:rPr>
          <w:rFonts w:ascii="Book Antiqua" w:hAnsi="Book Antiqua"/>
          <w:i/>
          <w:iCs/>
        </w:rPr>
        <w:t xml:space="preserve">(Justin Fenton, City rape statistics, investigations draw concern (2014) </w:t>
      </w:r>
      <w:hyperlink r:id="rId15" w:history="1">
        <w:r w:rsidR="00127154" w:rsidRPr="001B7ABF">
          <w:rPr>
            <w:rStyle w:val="Hyperlink"/>
            <w:rFonts w:ascii="Book Antiqua" w:hAnsi="Book Antiqua"/>
            <w:i/>
            <w:iCs/>
          </w:rPr>
          <w:t>https://www.baltimoresun.com/news/bs-md-ci-rapes-20100519-story.html</w:t>
        </w:r>
      </w:hyperlink>
      <w:r w:rsidR="00127154" w:rsidRPr="001B7ABF">
        <w:rPr>
          <w:rFonts w:ascii="Book Antiqua" w:hAnsi="Book Antiqua"/>
          <w:i/>
          <w:iCs/>
        </w:rPr>
        <w:t xml:space="preserve">). </w:t>
      </w:r>
      <w:r w:rsidR="00127154" w:rsidRPr="001B7ABF">
        <w:rPr>
          <w:rFonts w:ascii="Book Antiqua" w:hAnsi="Book Antiqua"/>
        </w:rPr>
        <w:t>The reporter</w:t>
      </w:r>
      <w:r w:rsidRPr="001B7ABF">
        <w:rPr>
          <w:rFonts w:ascii="Book Antiqua" w:hAnsi="Book Antiqua"/>
        </w:rPr>
        <w:t xml:space="preserve"> </w:t>
      </w:r>
      <w:r w:rsidR="00127154" w:rsidRPr="001B7ABF">
        <w:rPr>
          <w:rFonts w:ascii="Book Antiqua" w:hAnsi="Book Antiqua"/>
        </w:rPr>
        <w:t>“</w:t>
      </w:r>
      <w:r w:rsidRPr="001B7ABF">
        <w:rPr>
          <w:rFonts w:ascii="Book Antiqua" w:hAnsi="Book Antiqua"/>
        </w:rPr>
        <w:t>exposed the Baltimore Police Department’s practice of substantially undercounting reported rapes in the data it submitted to the Federal Bureau of Investigation (“FBI”) as part of the Uniform Crime Report (“UCR”) program.</w:t>
      </w:r>
      <w:r w:rsidR="00127154" w:rsidRPr="001B7ABF">
        <w:rPr>
          <w:rFonts w:ascii="Book Antiqua" w:hAnsi="Book Antiqua"/>
        </w:rPr>
        <w:t xml:space="preserve">” The report ultimately exposed this long-term problem occurring within the reporting and enforcement of rapes. </w:t>
      </w:r>
    </w:p>
    <w:p w14:paraId="1987114B" w14:textId="77777777" w:rsidR="00127154" w:rsidRPr="001B7ABF" w:rsidRDefault="00127154" w:rsidP="009C3FC4">
      <w:pPr>
        <w:ind w:firstLine="360"/>
        <w:jc w:val="both"/>
        <w:rPr>
          <w:rFonts w:ascii="Book Antiqua" w:hAnsi="Book Antiqua"/>
        </w:rPr>
      </w:pPr>
    </w:p>
    <w:p w14:paraId="444AF048" w14:textId="043AD287" w:rsidR="00127154" w:rsidRPr="001B7ABF" w:rsidRDefault="00127154" w:rsidP="00127154">
      <w:pPr>
        <w:ind w:left="720" w:right="720"/>
        <w:jc w:val="both"/>
        <w:rPr>
          <w:rFonts w:ascii="Book Antiqua" w:hAnsi="Book Antiqua"/>
          <w:i/>
          <w:iCs/>
        </w:rPr>
      </w:pPr>
      <w:r w:rsidRPr="001B7ABF">
        <w:rPr>
          <w:rFonts w:ascii="Book Antiqua" w:hAnsi="Book Antiqua"/>
        </w:rPr>
        <w:t xml:space="preserve">From 1995 until 2009, the Baltimore Police Department provided UCR numbers that indicated that the rate of rape had declined by a remarkable 74% in the city. The investigation by The Baltimore Sun ultimately </w:t>
      </w:r>
      <w:r w:rsidRPr="001B7ABF">
        <w:rPr>
          <w:rFonts w:ascii="Book Antiqua" w:hAnsi="Book Antiqua"/>
        </w:rPr>
        <w:lastRenderedPageBreak/>
        <w:t xml:space="preserve">demonstrated that the </w:t>
      </w:r>
      <w:r w:rsidRPr="00C11803">
        <w:rPr>
          <w:rFonts w:ascii="Book Antiqua" w:hAnsi="Book Antiqua"/>
        </w:rPr>
        <w:t>incredible</w:t>
      </w:r>
      <w:r w:rsidRPr="001B7ABF">
        <w:rPr>
          <w:rFonts w:ascii="Book Antiqua" w:hAnsi="Book Antiqua"/>
        </w:rPr>
        <w:t xml:space="preserve"> reported reduction in rape was the product of police providing inaccurate crime statistics creating the illusion of success in fighting crime. </w:t>
      </w:r>
      <w:r w:rsidRPr="001B7ABF">
        <w:rPr>
          <w:rFonts w:ascii="Book Antiqua" w:hAnsi="Book Antiqua"/>
          <w:i/>
          <w:iCs/>
        </w:rPr>
        <w:t xml:space="preserve">(Corey Rayburn Yung, How to Lie with Rape Statistics: America’s Hidden Rape Crisis (2014) </w:t>
      </w:r>
      <w:hyperlink r:id="rId16" w:history="1">
        <w:r w:rsidRPr="001B7ABF">
          <w:rPr>
            <w:rStyle w:val="Hyperlink"/>
            <w:rFonts w:ascii="Book Antiqua" w:hAnsi="Book Antiqua"/>
            <w:i/>
            <w:iCs/>
          </w:rPr>
          <w:t>https://ilr.law.uiowa.edu/print/volume-99-issue-3/how-to-lie-with-rape-statistics-americas-hidden-rape-crisis/</w:t>
        </w:r>
      </w:hyperlink>
      <w:r w:rsidRPr="001B7ABF">
        <w:rPr>
          <w:rFonts w:ascii="Book Antiqua" w:hAnsi="Book Antiqua"/>
          <w:i/>
          <w:iCs/>
        </w:rPr>
        <w:t xml:space="preserve">). </w:t>
      </w:r>
    </w:p>
    <w:p w14:paraId="5C43EC2E" w14:textId="77777777" w:rsidR="009C3FC4" w:rsidRPr="001B7ABF" w:rsidRDefault="009C3FC4" w:rsidP="009C3FC4">
      <w:pPr>
        <w:ind w:firstLine="360"/>
        <w:jc w:val="both"/>
        <w:rPr>
          <w:rFonts w:ascii="Book Antiqua" w:hAnsi="Book Antiqua"/>
        </w:rPr>
      </w:pPr>
    </w:p>
    <w:p w14:paraId="7B3EA5AF" w14:textId="7CE3D27F" w:rsidR="001B7ABF" w:rsidRPr="001B7ABF" w:rsidRDefault="00B52647" w:rsidP="006543E2">
      <w:pPr>
        <w:ind w:firstLine="720"/>
        <w:jc w:val="both"/>
        <w:rPr>
          <w:rFonts w:ascii="Book Antiqua" w:hAnsi="Book Antiqua"/>
        </w:rPr>
      </w:pPr>
      <w:r w:rsidRPr="001B7ABF">
        <w:rPr>
          <w:rFonts w:ascii="Book Antiqua" w:hAnsi="Book Antiqua"/>
        </w:rPr>
        <w:t>On top of these statistics, the same report</w:t>
      </w:r>
      <w:r w:rsidR="00EE75B3" w:rsidRPr="001B7ABF">
        <w:rPr>
          <w:rFonts w:ascii="Book Antiqua" w:hAnsi="Book Antiqua"/>
        </w:rPr>
        <w:t xml:space="preserve"> also exposed that victims were often interrogated and threatened into revoking their statements about being raped. </w:t>
      </w:r>
      <w:r w:rsidR="006543E2">
        <w:rPr>
          <w:rFonts w:ascii="Book Antiqua" w:hAnsi="Book Antiqua"/>
        </w:rPr>
        <w:t xml:space="preserve">Considering Maryland law includes provisions guiding law enforcement officers on the appropriate response to rape allegations, the situation described above demonstrates that further accountability is needed beyond simply outlining what an officer should do. </w:t>
      </w:r>
      <w:r w:rsidR="001B7ABF" w:rsidRPr="001B7ABF">
        <w:rPr>
          <w:rFonts w:ascii="Book Antiqua" w:hAnsi="Book Antiqua"/>
        </w:rPr>
        <w:t xml:space="preserve">These provisions should be combined with further accountability ensuring the protection of rape victims and proper enforcement. </w:t>
      </w:r>
    </w:p>
    <w:p w14:paraId="2B07491E" w14:textId="1270CF49" w:rsidR="00977AC6" w:rsidRDefault="00977AC6" w:rsidP="005F6A19">
      <w:pPr>
        <w:jc w:val="both"/>
        <w:rPr>
          <w:rFonts w:ascii="Book Antiqua" w:hAnsi="Book Antiqua"/>
        </w:rPr>
      </w:pPr>
    </w:p>
    <w:p w14:paraId="4F51B54C" w14:textId="77777777" w:rsidR="00E25F80" w:rsidRDefault="00E25F80" w:rsidP="005F6A19">
      <w:pPr>
        <w:jc w:val="both"/>
        <w:rPr>
          <w:rFonts w:ascii="Book Antiqua" w:hAnsi="Book Antiqua"/>
          <w:b/>
          <w:bCs/>
        </w:rPr>
      </w:pPr>
    </w:p>
    <w:p w14:paraId="0CCCD546" w14:textId="1DC951BE" w:rsidR="001B7ABF" w:rsidRDefault="001B7ABF" w:rsidP="005F6A19">
      <w:pPr>
        <w:jc w:val="both"/>
        <w:rPr>
          <w:rFonts w:ascii="Book Antiqua" w:hAnsi="Book Antiqua"/>
          <w:b/>
          <w:bCs/>
        </w:rPr>
      </w:pPr>
      <w:r>
        <w:rPr>
          <w:rFonts w:ascii="Book Antiqua" w:hAnsi="Book Antiqua"/>
          <w:b/>
          <w:bCs/>
        </w:rPr>
        <w:t>Conclusion</w:t>
      </w:r>
    </w:p>
    <w:p w14:paraId="5C255EA6" w14:textId="22A55B79" w:rsidR="004E757F" w:rsidRPr="004E757F" w:rsidRDefault="006A5FFA" w:rsidP="00C11803">
      <w:pPr>
        <w:ind w:firstLine="720"/>
        <w:jc w:val="both"/>
        <w:rPr>
          <w:rFonts w:ascii="Book Antiqua" w:hAnsi="Book Antiqua"/>
        </w:rPr>
      </w:pPr>
      <w:r>
        <w:rPr>
          <w:rFonts w:ascii="Book Antiqua" w:hAnsi="Book Antiqua"/>
        </w:rPr>
        <w:t>W</w:t>
      </w:r>
      <w:r w:rsidR="0054027B">
        <w:rPr>
          <w:rFonts w:ascii="Book Antiqua" w:hAnsi="Book Antiqua"/>
        </w:rPr>
        <w:t>hen</w:t>
      </w:r>
      <w:r w:rsidR="004E757F">
        <w:rPr>
          <w:rFonts w:ascii="Book Antiqua" w:hAnsi="Book Antiqua"/>
        </w:rPr>
        <w:t xml:space="preserve"> certain provisions are included in, or missing from rape laws, it creates gaps in enforcement which reduces protections for rape victims. The </w:t>
      </w:r>
      <w:r w:rsidR="00052353">
        <w:rPr>
          <w:rFonts w:ascii="Book Antiqua" w:hAnsi="Book Antiqua"/>
        </w:rPr>
        <w:t>gaps identified</w:t>
      </w:r>
      <w:r w:rsidR="004E757F">
        <w:rPr>
          <w:rFonts w:ascii="Book Antiqua" w:hAnsi="Book Antiqua"/>
        </w:rPr>
        <w:t xml:space="preserve"> by an examination of the Bahamas Sexual Offences Act include: </w:t>
      </w:r>
      <w:r w:rsidR="0054027B" w:rsidRPr="004E757F">
        <w:rPr>
          <w:rFonts w:ascii="Book Antiqua" w:hAnsi="Book Antiqua"/>
        </w:rPr>
        <w:t>(</w:t>
      </w:r>
      <w:r w:rsidR="0054027B">
        <w:rPr>
          <w:rFonts w:ascii="Book Antiqua" w:hAnsi="Book Antiqua"/>
        </w:rPr>
        <w:t>1</w:t>
      </w:r>
      <w:r w:rsidR="0054027B" w:rsidRPr="004E757F">
        <w:rPr>
          <w:rFonts w:ascii="Book Antiqua" w:hAnsi="Book Antiqua"/>
        </w:rPr>
        <w:t xml:space="preserve">) Failure to Recognize Marital Rape Leaves Spouses Unprotected from Non Consensual Sex, </w:t>
      </w:r>
      <w:r w:rsidR="004E757F" w:rsidRPr="004E757F">
        <w:rPr>
          <w:rFonts w:ascii="Book Antiqua" w:hAnsi="Book Antiqua"/>
        </w:rPr>
        <w:t>(</w:t>
      </w:r>
      <w:r w:rsidR="0054027B">
        <w:rPr>
          <w:rFonts w:ascii="Book Antiqua" w:hAnsi="Book Antiqua"/>
        </w:rPr>
        <w:t>2</w:t>
      </w:r>
      <w:r w:rsidR="004E757F" w:rsidRPr="004E757F">
        <w:rPr>
          <w:rFonts w:ascii="Book Antiqua" w:hAnsi="Book Antiqua"/>
        </w:rPr>
        <w:t>) Age Distinction of Minors Creates an Age Gap for Enforcement of Sexual Violence Against Minors, (</w:t>
      </w:r>
      <w:r w:rsidR="0054027B">
        <w:rPr>
          <w:rFonts w:ascii="Book Antiqua" w:hAnsi="Book Antiqua"/>
        </w:rPr>
        <w:t>3</w:t>
      </w:r>
      <w:r w:rsidR="004E757F" w:rsidRPr="004E757F">
        <w:rPr>
          <w:rFonts w:ascii="Book Antiqua" w:hAnsi="Book Antiqua"/>
        </w:rPr>
        <w:t>) Age Distinction of Perpetrators at the Discretion of the Attorney General Impedes Enforcement Efforts and the Protection of Victims, and (</w:t>
      </w:r>
      <w:r w:rsidR="0054027B">
        <w:rPr>
          <w:rFonts w:ascii="Book Antiqua" w:hAnsi="Book Antiqua"/>
        </w:rPr>
        <w:t>4</w:t>
      </w:r>
      <w:r w:rsidR="004E757F" w:rsidRPr="004E757F">
        <w:rPr>
          <w:rFonts w:ascii="Book Antiqua" w:hAnsi="Book Antiqua"/>
        </w:rPr>
        <w:t>) A Lack of Reporting Requirements and Protection for Victims Against Pressure or Maltreatment from Law Enforcement.</w:t>
      </w:r>
      <w:r w:rsidR="004E757F">
        <w:rPr>
          <w:rFonts w:ascii="Book Antiqua" w:hAnsi="Book Antiqua"/>
        </w:rPr>
        <w:t xml:space="preserve"> </w:t>
      </w:r>
      <w:r>
        <w:rPr>
          <w:rFonts w:ascii="Book Antiqua" w:hAnsi="Book Antiqua"/>
        </w:rPr>
        <w:t xml:space="preserve">Amending </w:t>
      </w:r>
      <w:r w:rsidR="004E757F">
        <w:rPr>
          <w:rFonts w:ascii="Book Antiqua" w:hAnsi="Book Antiqua"/>
        </w:rPr>
        <w:t xml:space="preserve">rape laws to fill these gaps will increase protections for rape victims and allow for proper enforcement of perpetrators. </w:t>
      </w:r>
    </w:p>
    <w:p w14:paraId="45E0A162" w14:textId="0F45AB27" w:rsidR="001B7ABF" w:rsidRDefault="001B7ABF" w:rsidP="005F6A19">
      <w:pPr>
        <w:jc w:val="both"/>
        <w:rPr>
          <w:rFonts w:ascii="Book Antiqua" w:hAnsi="Book Antiqua"/>
        </w:rPr>
      </w:pPr>
    </w:p>
    <w:p w14:paraId="7EC3A791" w14:textId="330072EB" w:rsidR="00D031A4" w:rsidRDefault="00D031A4" w:rsidP="005F6A19">
      <w:pPr>
        <w:jc w:val="both"/>
        <w:rPr>
          <w:rFonts w:ascii="Book Antiqua" w:hAnsi="Book Antiqua"/>
        </w:rPr>
      </w:pPr>
    </w:p>
    <w:p w14:paraId="334563FC" w14:textId="321D3372" w:rsidR="00D031A4" w:rsidRDefault="00D031A4" w:rsidP="005F6A19">
      <w:pPr>
        <w:jc w:val="both"/>
        <w:rPr>
          <w:rFonts w:ascii="Book Antiqua" w:hAnsi="Book Antiqua"/>
        </w:rPr>
      </w:pPr>
      <w:r>
        <w:rPr>
          <w:rFonts w:ascii="Book Antiqua" w:hAnsi="Book Antiqua"/>
        </w:rPr>
        <w:t>Authors:</w:t>
      </w:r>
    </w:p>
    <w:p w14:paraId="254B68EB" w14:textId="77777777" w:rsidR="00D031A4" w:rsidRDefault="00D031A4" w:rsidP="005F6A19">
      <w:pPr>
        <w:jc w:val="both"/>
        <w:rPr>
          <w:rFonts w:ascii="Book Antiqua" w:hAnsi="Book Antiqua"/>
        </w:rPr>
      </w:pPr>
    </w:p>
    <w:p w14:paraId="3BA9DEF3" w14:textId="78D291E5" w:rsidR="00D031A4" w:rsidRDefault="00D031A4" w:rsidP="005F6A19">
      <w:pPr>
        <w:jc w:val="both"/>
        <w:rPr>
          <w:rFonts w:ascii="Book Antiqua" w:hAnsi="Book Antiqua"/>
        </w:rPr>
      </w:pPr>
      <w:r>
        <w:rPr>
          <w:rFonts w:ascii="Book Antiqua" w:hAnsi="Book Antiqua"/>
        </w:rPr>
        <w:t>Jane Blaney, J.D., GRW Volunteer Attorney</w:t>
      </w:r>
    </w:p>
    <w:p w14:paraId="4134007E" w14:textId="574AEF24" w:rsidR="00D031A4" w:rsidRDefault="00D031A4" w:rsidP="005F6A19">
      <w:pPr>
        <w:jc w:val="both"/>
        <w:rPr>
          <w:rFonts w:ascii="Book Antiqua" w:hAnsi="Book Antiqua"/>
        </w:rPr>
      </w:pPr>
      <w:r>
        <w:rPr>
          <w:rFonts w:ascii="Book Antiqua" w:hAnsi="Book Antiqua"/>
        </w:rPr>
        <w:t>Laura Wilson, J.D., GRW Staff Attorney</w:t>
      </w:r>
    </w:p>
    <w:p w14:paraId="70C51403" w14:textId="37ED9FEE" w:rsidR="00D031A4" w:rsidRPr="001B7ABF" w:rsidRDefault="00D031A4" w:rsidP="005F6A19">
      <w:pPr>
        <w:jc w:val="both"/>
        <w:rPr>
          <w:rFonts w:ascii="Book Antiqua" w:hAnsi="Book Antiqua"/>
        </w:rPr>
      </w:pPr>
      <w:r>
        <w:rPr>
          <w:rFonts w:ascii="Book Antiqua" w:hAnsi="Book Antiqua"/>
        </w:rPr>
        <w:t>Cheryl Thomas, GRW Executive Director</w:t>
      </w:r>
    </w:p>
    <w:sectPr w:rsidR="00D031A4" w:rsidRPr="001B7ABF" w:rsidSect="00767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8A346" w14:textId="77777777" w:rsidR="0022479D" w:rsidRDefault="0022479D" w:rsidP="00A73A5A">
      <w:r>
        <w:separator/>
      </w:r>
    </w:p>
  </w:endnote>
  <w:endnote w:type="continuationSeparator" w:id="0">
    <w:p w14:paraId="5FFC18EB" w14:textId="77777777" w:rsidR="0022479D" w:rsidRDefault="0022479D" w:rsidP="00A7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8B36E" w14:textId="77777777" w:rsidR="0022479D" w:rsidRDefault="0022479D" w:rsidP="00A73A5A">
      <w:r>
        <w:separator/>
      </w:r>
    </w:p>
  </w:footnote>
  <w:footnote w:type="continuationSeparator" w:id="0">
    <w:p w14:paraId="01E47DCC" w14:textId="77777777" w:rsidR="0022479D" w:rsidRDefault="0022479D" w:rsidP="00A73A5A">
      <w:r>
        <w:continuationSeparator/>
      </w:r>
    </w:p>
  </w:footnote>
  <w:footnote w:id="1">
    <w:p w14:paraId="4F98B468" w14:textId="77777777" w:rsidR="00A73A5A" w:rsidRPr="00A73A5A" w:rsidRDefault="00A73A5A" w:rsidP="00A73A5A">
      <w:pPr>
        <w:pStyle w:val="FootnoteText"/>
      </w:pPr>
      <w:r>
        <w:rPr>
          <w:rStyle w:val="FootnoteReference"/>
        </w:rPr>
        <w:footnoteRef/>
      </w:r>
      <w:r>
        <w:t xml:space="preserve"> </w:t>
      </w:r>
      <w:r w:rsidRPr="00A73A5A">
        <w:t xml:space="preserve">A/HRC/38/47/Add.2 </w:t>
      </w:r>
    </w:p>
    <w:p w14:paraId="02FFC805" w14:textId="304DD63E" w:rsidR="00A73A5A" w:rsidRDefault="00A73A5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393"/>
    <w:multiLevelType w:val="hybridMultilevel"/>
    <w:tmpl w:val="9EA2246C"/>
    <w:lvl w:ilvl="0" w:tplc="71D2ED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C162F"/>
    <w:multiLevelType w:val="hybridMultilevel"/>
    <w:tmpl w:val="C76A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67"/>
    <w:rsid w:val="00052353"/>
    <w:rsid w:val="00100533"/>
    <w:rsid w:val="00127154"/>
    <w:rsid w:val="001546E8"/>
    <w:rsid w:val="00162671"/>
    <w:rsid w:val="001A7E66"/>
    <w:rsid w:val="001B7ABF"/>
    <w:rsid w:val="001C2652"/>
    <w:rsid w:val="0022479D"/>
    <w:rsid w:val="00264FAE"/>
    <w:rsid w:val="00296364"/>
    <w:rsid w:val="0032352B"/>
    <w:rsid w:val="003301AB"/>
    <w:rsid w:val="00383AA4"/>
    <w:rsid w:val="003A49F2"/>
    <w:rsid w:val="004501ED"/>
    <w:rsid w:val="004D4FA8"/>
    <w:rsid w:val="004E757F"/>
    <w:rsid w:val="00503A77"/>
    <w:rsid w:val="00536664"/>
    <w:rsid w:val="0054027B"/>
    <w:rsid w:val="00550EFF"/>
    <w:rsid w:val="005A077E"/>
    <w:rsid w:val="005A346F"/>
    <w:rsid w:val="005A6494"/>
    <w:rsid w:val="005B3251"/>
    <w:rsid w:val="005B73F6"/>
    <w:rsid w:val="005D6320"/>
    <w:rsid w:val="005F6A19"/>
    <w:rsid w:val="006543E2"/>
    <w:rsid w:val="00681BCE"/>
    <w:rsid w:val="006A4625"/>
    <w:rsid w:val="006A5FFA"/>
    <w:rsid w:val="006C3A75"/>
    <w:rsid w:val="00706DC6"/>
    <w:rsid w:val="00711F60"/>
    <w:rsid w:val="00737167"/>
    <w:rsid w:val="00767700"/>
    <w:rsid w:val="007B783B"/>
    <w:rsid w:val="008417B8"/>
    <w:rsid w:val="008753D8"/>
    <w:rsid w:val="00934858"/>
    <w:rsid w:val="00954DB0"/>
    <w:rsid w:val="00977AC6"/>
    <w:rsid w:val="009A73BC"/>
    <w:rsid w:val="009B5D9B"/>
    <w:rsid w:val="009C3C78"/>
    <w:rsid w:val="009C3FC4"/>
    <w:rsid w:val="009D67F4"/>
    <w:rsid w:val="009D700E"/>
    <w:rsid w:val="009E61D7"/>
    <w:rsid w:val="00A73A5A"/>
    <w:rsid w:val="00B52647"/>
    <w:rsid w:val="00BB6DAA"/>
    <w:rsid w:val="00BC3A06"/>
    <w:rsid w:val="00BF1A76"/>
    <w:rsid w:val="00C11803"/>
    <w:rsid w:val="00CA7008"/>
    <w:rsid w:val="00CB0189"/>
    <w:rsid w:val="00CC79D3"/>
    <w:rsid w:val="00D031A4"/>
    <w:rsid w:val="00D30867"/>
    <w:rsid w:val="00D32B60"/>
    <w:rsid w:val="00E25F80"/>
    <w:rsid w:val="00E3184A"/>
    <w:rsid w:val="00E62972"/>
    <w:rsid w:val="00EE0942"/>
    <w:rsid w:val="00EE75B3"/>
    <w:rsid w:val="00F03402"/>
    <w:rsid w:val="00F11CF6"/>
    <w:rsid w:val="00F34981"/>
    <w:rsid w:val="00FA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871E2"/>
  <w15:chartTrackingRefBased/>
  <w15:docId w15:val="{1AB0EF36-28D0-6049-ACD4-ABCE6F59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7F4"/>
    <w:rPr>
      <w:color w:val="0563C1" w:themeColor="hyperlink"/>
      <w:u w:val="single"/>
    </w:rPr>
  </w:style>
  <w:style w:type="character" w:styleId="UnresolvedMention">
    <w:name w:val="Unresolved Mention"/>
    <w:basedOn w:val="DefaultParagraphFont"/>
    <w:uiPriority w:val="99"/>
    <w:semiHidden/>
    <w:unhideWhenUsed/>
    <w:rsid w:val="009D67F4"/>
    <w:rPr>
      <w:color w:val="605E5C"/>
      <w:shd w:val="clear" w:color="auto" w:fill="E1DFDD"/>
    </w:rPr>
  </w:style>
  <w:style w:type="paragraph" w:styleId="BalloonText">
    <w:name w:val="Balloon Text"/>
    <w:basedOn w:val="Normal"/>
    <w:link w:val="BalloonTextChar"/>
    <w:uiPriority w:val="99"/>
    <w:semiHidden/>
    <w:unhideWhenUsed/>
    <w:rsid w:val="00977A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AC6"/>
    <w:rPr>
      <w:rFonts w:ascii="Times New Roman" w:hAnsi="Times New Roman" w:cs="Times New Roman"/>
      <w:sz w:val="18"/>
      <w:szCs w:val="18"/>
    </w:rPr>
  </w:style>
  <w:style w:type="paragraph" w:styleId="ListParagraph">
    <w:name w:val="List Paragraph"/>
    <w:basedOn w:val="Normal"/>
    <w:uiPriority w:val="34"/>
    <w:qFormat/>
    <w:rsid w:val="005A077E"/>
    <w:pPr>
      <w:ind w:left="720"/>
      <w:contextualSpacing/>
    </w:pPr>
  </w:style>
  <w:style w:type="character" w:styleId="FollowedHyperlink">
    <w:name w:val="FollowedHyperlink"/>
    <w:basedOn w:val="DefaultParagraphFont"/>
    <w:uiPriority w:val="99"/>
    <w:semiHidden/>
    <w:unhideWhenUsed/>
    <w:rsid w:val="005A077E"/>
    <w:rPr>
      <w:color w:val="954F72" w:themeColor="followedHyperlink"/>
      <w:u w:val="single"/>
    </w:rPr>
  </w:style>
  <w:style w:type="character" w:styleId="CommentReference">
    <w:name w:val="annotation reference"/>
    <w:basedOn w:val="DefaultParagraphFont"/>
    <w:uiPriority w:val="99"/>
    <w:semiHidden/>
    <w:unhideWhenUsed/>
    <w:rsid w:val="0032352B"/>
    <w:rPr>
      <w:sz w:val="16"/>
      <w:szCs w:val="16"/>
    </w:rPr>
  </w:style>
  <w:style w:type="paragraph" w:styleId="CommentText">
    <w:name w:val="annotation text"/>
    <w:basedOn w:val="Normal"/>
    <w:link w:val="CommentTextChar"/>
    <w:uiPriority w:val="99"/>
    <w:semiHidden/>
    <w:unhideWhenUsed/>
    <w:rsid w:val="0032352B"/>
    <w:rPr>
      <w:sz w:val="20"/>
      <w:szCs w:val="20"/>
    </w:rPr>
  </w:style>
  <w:style w:type="character" w:customStyle="1" w:styleId="CommentTextChar">
    <w:name w:val="Comment Text Char"/>
    <w:basedOn w:val="DefaultParagraphFont"/>
    <w:link w:val="CommentText"/>
    <w:uiPriority w:val="99"/>
    <w:semiHidden/>
    <w:rsid w:val="0032352B"/>
    <w:rPr>
      <w:sz w:val="20"/>
      <w:szCs w:val="20"/>
    </w:rPr>
  </w:style>
  <w:style w:type="paragraph" w:styleId="CommentSubject">
    <w:name w:val="annotation subject"/>
    <w:basedOn w:val="CommentText"/>
    <w:next w:val="CommentText"/>
    <w:link w:val="CommentSubjectChar"/>
    <w:uiPriority w:val="99"/>
    <w:semiHidden/>
    <w:unhideWhenUsed/>
    <w:rsid w:val="0032352B"/>
    <w:rPr>
      <w:b/>
      <w:bCs/>
    </w:rPr>
  </w:style>
  <w:style w:type="character" w:customStyle="1" w:styleId="CommentSubjectChar">
    <w:name w:val="Comment Subject Char"/>
    <w:basedOn w:val="CommentTextChar"/>
    <w:link w:val="CommentSubject"/>
    <w:uiPriority w:val="99"/>
    <w:semiHidden/>
    <w:rsid w:val="0032352B"/>
    <w:rPr>
      <w:b/>
      <w:bCs/>
      <w:sz w:val="20"/>
      <w:szCs w:val="20"/>
    </w:rPr>
  </w:style>
  <w:style w:type="paragraph" w:styleId="Revision">
    <w:name w:val="Revision"/>
    <w:hidden/>
    <w:uiPriority w:val="99"/>
    <w:semiHidden/>
    <w:rsid w:val="005A6494"/>
  </w:style>
  <w:style w:type="paragraph" w:styleId="FootnoteText">
    <w:name w:val="footnote text"/>
    <w:basedOn w:val="Normal"/>
    <w:link w:val="FootnoteTextChar"/>
    <w:uiPriority w:val="99"/>
    <w:semiHidden/>
    <w:unhideWhenUsed/>
    <w:rsid w:val="00A73A5A"/>
    <w:rPr>
      <w:sz w:val="20"/>
      <w:szCs w:val="20"/>
    </w:rPr>
  </w:style>
  <w:style w:type="character" w:customStyle="1" w:styleId="FootnoteTextChar">
    <w:name w:val="Footnote Text Char"/>
    <w:basedOn w:val="DefaultParagraphFont"/>
    <w:link w:val="FootnoteText"/>
    <w:uiPriority w:val="99"/>
    <w:semiHidden/>
    <w:rsid w:val="00A73A5A"/>
    <w:rPr>
      <w:sz w:val="20"/>
      <w:szCs w:val="20"/>
    </w:rPr>
  </w:style>
  <w:style w:type="character" w:styleId="FootnoteReference">
    <w:name w:val="footnote reference"/>
    <w:basedOn w:val="DefaultParagraphFont"/>
    <w:uiPriority w:val="99"/>
    <w:semiHidden/>
    <w:unhideWhenUsed/>
    <w:rsid w:val="00A73A5A"/>
    <w:rPr>
      <w:vertAlign w:val="superscript"/>
    </w:rPr>
  </w:style>
  <w:style w:type="paragraph" w:styleId="NormalWeb">
    <w:name w:val="Normal (Web)"/>
    <w:basedOn w:val="Normal"/>
    <w:uiPriority w:val="99"/>
    <w:semiHidden/>
    <w:unhideWhenUsed/>
    <w:rsid w:val="00A73A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064524">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sChild>
        <w:div w:id="1125586434">
          <w:marLeft w:val="0"/>
          <w:marRight w:val="0"/>
          <w:marTop w:val="0"/>
          <w:marBottom w:val="0"/>
          <w:divBdr>
            <w:top w:val="none" w:sz="0" w:space="0" w:color="auto"/>
            <w:left w:val="none" w:sz="0" w:space="0" w:color="auto"/>
            <w:bottom w:val="none" w:sz="0" w:space="0" w:color="auto"/>
            <w:right w:val="none" w:sz="0" w:space="0" w:color="auto"/>
          </w:divBdr>
          <w:divsChild>
            <w:div w:id="1754355953">
              <w:marLeft w:val="0"/>
              <w:marRight w:val="0"/>
              <w:marTop w:val="0"/>
              <w:marBottom w:val="0"/>
              <w:divBdr>
                <w:top w:val="none" w:sz="0" w:space="0" w:color="auto"/>
                <w:left w:val="none" w:sz="0" w:space="0" w:color="auto"/>
                <w:bottom w:val="none" w:sz="0" w:space="0" w:color="auto"/>
                <w:right w:val="none" w:sz="0" w:space="0" w:color="auto"/>
              </w:divBdr>
              <w:divsChild>
                <w:div w:id="16920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97123">
      <w:bodyDiv w:val="1"/>
      <w:marLeft w:val="0"/>
      <w:marRight w:val="0"/>
      <w:marTop w:val="0"/>
      <w:marBottom w:val="0"/>
      <w:divBdr>
        <w:top w:val="none" w:sz="0" w:space="0" w:color="auto"/>
        <w:left w:val="none" w:sz="0" w:space="0" w:color="auto"/>
        <w:bottom w:val="none" w:sz="0" w:space="0" w:color="auto"/>
        <w:right w:val="none" w:sz="0" w:space="0" w:color="auto"/>
      </w:divBdr>
      <w:divsChild>
        <w:div w:id="134105265">
          <w:marLeft w:val="0"/>
          <w:marRight w:val="0"/>
          <w:marTop w:val="0"/>
          <w:marBottom w:val="0"/>
          <w:divBdr>
            <w:top w:val="none" w:sz="0" w:space="0" w:color="auto"/>
            <w:left w:val="none" w:sz="0" w:space="0" w:color="auto"/>
            <w:bottom w:val="none" w:sz="0" w:space="0" w:color="auto"/>
            <w:right w:val="none" w:sz="0" w:space="0" w:color="auto"/>
          </w:divBdr>
          <w:divsChild>
            <w:div w:id="2130782701">
              <w:marLeft w:val="0"/>
              <w:marRight w:val="0"/>
              <w:marTop w:val="0"/>
              <w:marBottom w:val="0"/>
              <w:divBdr>
                <w:top w:val="none" w:sz="0" w:space="0" w:color="auto"/>
                <w:left w:val="none" w:sz="0" w:space="0" w:color="auto"/>
                <w:bottom w:val="none" w:sz="0" w:space="0" w:color="auto"/>
                <w:right w:val="none" w:sz="0" w:space="0" w:color="auto"/>
              </w:divBdr>
              <w:divsChild>
                <w:div w:id="6539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6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times.com/2018/04/13/world/europe/france-minors-sex-consent-rape.htm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protection-of-minors.eu/en/country/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lr.law.uiowa.edu/print/volume-99-issue-3/how-to-lie-with-rape-statistics-americas-hidden-rape-crisis/"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8/04/13/world/europe/france-minors-sex-consent-rape.html" TargetMode="External"/><Relationship Id="rId5" Type="http://schemas.openxmlformats.org/officeDocument/2006/relationships/webSettings" Target="webSettings.xml"/><Relationship Id="rId15" Type="http://schemas.openxmlformats.org/officeDocument/2006/relationships/hyperlink" Target="https://www.baltimoresun.com/news/bs-md-ci-rapes-20100519-story.html" TargetMode="External"/><Relationship Id="rId10" Type="http://schemas.openxmlformats.org/officeDocument/2006/relationships/hyperlink" Target="https://www.globalcitizen.org/en/content/un-women-marital-rape-law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vawnet.org/material/marital-rape-new-research-and-directions" TargetMode="External"/><Relationship Id="rId14" Type="http://schemas.openxmlformats.org/officeDocument/2006/relationships/hyperlink" Target="https://www.criminaldefenselawyer.com/resources/criminal-defense/sex-crimes/statutory-rape-charges-punishment-def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B1BE49-ED1A-3944-AFBE-317BDACDC57B}">
  <ds:schemaRefs>
    <ds:schemaRef ds:uri="http://schemas.openxmlformats.org/officeDocument/2006/bibliography"/>
  </ds:schemaRefs>
</ds:datastoreItem>
</file>

<file path=customXml/itemProps2.xml><?xml version="1.0" encoding="utf-8"?>
<ds:datastoreItem xmlns:ds="http://schemas.openxmlformats.org/officeDocument/2006/customXml" ds:itemID="{382E7DFC-EB90-4DCA-9A4C-EB79F7E460D8}"/>
</file>

<file path=customXml/itemProps3.xml><?xml version="1.0" encoding="utf-8"?>
<ds:datastoreItem xmlns:ds="http://schemas.openxmlformats.org/officeDocument/2006/customXml" ds:itemID="{18A1B3D6-60F3-4618-B391-04D0EAF16B65}"/>
</file>

<file path=customXml/itemProps4.xml><?xml version="1.0" encoding="utf-8"?>
<ds:datastoreItem xmlns:ds="http://schemas.openxmlformats.org/officeDocument/2006/customXml" ds:itemID="{8E52B844-04AC-404F-969A-1F4D1A3375C8}"/>
</file>

<file path=docProps/app.xml><?xml version="1.0" encoding="utf-8"?>
<Properties xmlns="http://schemas.openxmlformats.org/officeDocument/2006/extended-properties" xmlns:vt="http://schemas.openxmlformats.org/officeDocument/2006/docPropsVTypes">
  <Template>Normal.dotm</Template>
  <TotalTime>16</TotalTime>
  <Pages>7</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Blaney, Jane</dc:creator>
  <cp:keywords/>
  <dc:description/>
  <cp:lastModifiedBy>Helen Rubenstein</cp:lastModifiedBy>
  <cp:revision>5</cp:revision>
  <dcterms:created xsi:type="dcterms:W3CDTF">2020-12-29T15:40:00Z</dcterms:created>
  <dcterms:modified xsi:type="dcterms:W3CDTF">2020-12-30T20:57:00Z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