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2A" w:rsidRDefault="003E45E6" w:rsidP="003E45E6">
      <w:pPr>
        <w:spacing w:line="276" w:lineRule="auto"/>
        <w:jc w:val="center"/>
        <w:rPr>
          <w:rFonts w:ascii="Arial" w:hAnsi="Arial" w:cs="Arial"/>
          <w:b/>
          <w:lang w:val="es-ES"/>
        </w:rPr>
      </w:pPr>
      <w:r w:rsidRPr="003E45E6">
        <w:rPr>
          <w:rFonts w:ascii="Arial" w:hAnsi="Arial" w:cs="Arial"/>
          <w:b/>
          <w:lang w:val="es-ES"/>
        </w:rPr>
        <w:drawing>
          <wp:inline distT="0" distB="0" distL="0" distR="0">
            <wp:extent cx="609600" cy="899160"/>
            <wp:effectExtent l="19050" t="0" r="0" b="0"/>
            <wp:docPr id="1" name="Imagen 1" descr="\\hp-44806\Users\colvera\Desktop\DIRECCIÓN GENERAL\2016\Logos CNDH\logo_vertic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44806\Users\colvera\Desktop\DIRECCIÓN GENERAL\2016\Logos CNDH\logo_vertical_color.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99160"/>
                    </a:xfrm>
                    <a:prstGeom prst="rect">
                      <a:avLst/>
                    </a:prstGeom>
                    <a:noFill/>
                    <a:ln>
                      <a:noFill/>
                    </a:ln>
                  </pic:spPr>
                </pic:pic>
              </a:graphicData>
            </a:graphic>
          </wp:inline>
        </w:drawing>
      </w:r>
    </w:p>
    <w:p w:rsidR="003E45E6" w:rsidRDefault="003E45E6" w:rsidP="003E45E6">
      <w:pPr>
        <w:spacing w:line="276" w:lineRule="auto"/>
        <w:jc w:val="center"/>
        <w:rPr>
          <w:rFonts w:ascii="Arial" w:hAnsi="Arial" w:cs="Arial"/>
          <w:b/>
          <w:lang w:val="es-ES"/>
        </w:rPr>
      </w:pPr>
    </w:p>
    <w:p w:rsidR="009401E1" w:rsidRDefault="009401E1" w:rsidP="009401E1">
      <w:pPr>
        <w:spacing w:line="276" w:lineRule="auto"/>
        <w:jc w:val="center"/>
        <w:rPr>
          <w:rFonts w:ascii="Arial" w:hAnsi="Arial" w:cs="Arial"/>
          <w:b/>
          <w:lang w:val="es-ES"/>
        </w:rPr>
      </w:pPr>
      <w:r>
        <w:rPr>
          <w:rFonts w:ascii="Arial" w:hAnsi="Arial" w:cs="Arial"/>
          <w:b/>
          <w:lang w:val="es-ES"/>
        </w:rPr>
        <w:t>APORTACIÓN DE LA COMISIÓN NACIONAL DE LOS DERECHOS HUMANOS DE MÉXICO (CNDH)</w:t>
      </w:r>
      <w:r w:rsidR="00412F2A">
        <w:rPr>
          <w:rFonts w:ascii="Arial" w:hAnsi="Arial" w:cs="Arial"/>
          <w:b/>
          <w:lang w:val="es-ES"/>
        </w:rPr>
        <w:t xml:space="preserve"> A LA ELABORACIÓN DEL INFORME SOBRE FEMINICIDIO DE </w:t>
      </w:r>
      <w:r>
        <w:rPr>
          <w:rFonts w:ascii="Arial" w:hAnsi="Arial" w:cs="Arial"/>
          <w:b/>
          <w:lang w:val="es-ES"/>
        </w:rPr>
        <w:t xml:space="preserve">LA RELATORA ESPECIAL DE LA ONU SOBRE LA VIOLENCIA CONTRA LA MUJER, SUS CAUSAS Y CONSECUENCIAS. </w:t>
      </w:r>
    </w:p>
    <w:p w:rsidR="009401E1" w:rsidRDefault="009401E1" w:rsidP="009401E1">
      <w:pPr>
        <w:spacing w:line="276" w:lineRule="auto"/>
        <w:jc w:val="center"/>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El Programa de Asuntos de la Mujer y de Igualdad entre Mujeres y Hombres (PAMIMH), es el programa especial de la CNDH, perteneciente a la Cuarta Visitaduría General, dedicado a la observancia de la Política Nacional de Igualdad entre Mujeres y Hombres, a la promoción y protección de la igualdad entre mujeres y hombres, a la no discriminación y a la no violencia contra las mujeres por razones de género, lo anterior en virtud de las atribuciones contenidas en la Ley General para la Igualdad entre Mujeres y Hombres y la Ley de la Comisión Nacional de los Derechos Humanos. </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rPr>
      </w:pPr>
      <w:r>
        <w:rPr>
          <w:rFonts w:ascii="Arial" w:hAnsi="Arial" w:cs="Arial"/>
        </w:rPr>
        <w:t xml:space="preserve">Para la consecución de sus atribuciones se constituye en tres direcciones: </w:t>
      </w:r>
    </w:p>
    <w:p w:rsidR="009401E1" w:rsidRDefault="009401E1" w:rsidP="009401E1">
      <w:pPr>
        <w:pStyle w:val="Prrafodelista"/>
        <w:numPr>
          <w:ilvl w:val="0"/>
          <w:numId w:val="1"/>
        </w:numPr>
        <w:spacing w:line="276" w:lineRule="auto"/>
        <w:jc w:val="both"/>
        <w:rPr>
          <w:rFonts w:ascii="Arial" w:hAnsi="Arial" w:cs="Arial"/>
        </w:rPr>
      </w:pPr>
      <w:r>
        <w:rPr>
          <w:rFonts w:ascii="Arial" w:hAnsi="Arial" w:cs="Arial"/>
        </w:rPr>
        <w:t>Dirección de Quejas sobre Asuntos de la Mujer y de Igualdad entre Mujeres y Hombres</w:t>
      </w:r>
    </w:p>
    <w:p w:rsidR="009401E1" w:rsidRDefault="009401E1" w:rsidP="009401E1">
      <w:pPr>
        <w:pStyle w:val="Prrafodelista"/>
        <w:numPr>
          <w:ilvl w:val="0"/>
          <w:numId w:val="1"/>
        </w:numPr>
        <w:spacing w:line="276" w:lineRule="auto"/>
        <w:jc w:val="both"/>
        <w:rPr>
          <w:rFonts w:ascii="Arial" w:hAnsi="Arial" w:cs="Arial"/>
        </w:rPr>
      </w:pPr>
      <w:r>
        <w:rPr>
          <w:rFonts w:ascii="Arial" w:hAnsi="Arial" w:cs="Arial"/>
        </w:rPr>
        <w:t>Dirección de Observancia, Evaluación y Monitoreo de la Política Nacional en Materia de Igualdad entre Mujeres y Hombres</w:t>
      </w:r>
    </w:p>
    <w:p w:rsidR="009401E1" w:rsidRDefault="009401E1" w:rsidP="009401E1">
      <w:pPr>
        <w:pStyle w:val="Prrafodelista"/>
        <w:numPr>
          <w:ilvl w:val="0"/>
          <w:numId w:val="1"/>
        </w:numPr>
        <w:spacing w:line="276" w:lineRule="auto"/>
        <w:jc w:val="both"/>
        <w:rPr>
          <w:rFonts w:ascii="Arial" w:hAnsi="Arial" w:cs="Arial"/>
        </w:rPr>
      </w:pPr>
      <w:r>
        <w:rPr>
          <w:rFonts w:ascii="Arial" w:hAnsi="Arial" w:cs="Arial"/>
        </w:rPr>
        <w:t>Dirección de Promoción y Capacitación en Asuntos de la Mujer y de Igualdad</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rPr>
      </w:pPr>
      <w:r>
        <w:rPr>
          <w:rFonts w:ascii="Arial" w:hAnsi="Arial" w:cs="Arial"/>
          <w:lang w:val="es-ES"/>
        </w:rPr>
        <w:t>Si bien el PAMIMH no se configura como un observatorio de casos de feminicidio, lleva a cabo acciones de observancia en el monitoreo, seguimiento y evaluación de la Política Nacional en materia de igualdad entre mujeres y hombres. Dentro de estas, da seguimiento al tema de la violencia contra las mujeres y de violencia</w:t>
      </w:r>
      <w:r w:rsidR="003E45E6">
        <w:rPr>
          <w:rFonts w:ascii="Arial" w:hAnsi="Arial" w:cs="Arial"/>
          <w:lang w:val="es-ES"/>
        </w:rPr>
        <w:t xml:space="preserve"> </w:t>
      </w:r>
      <w:r>
        <w:rPr>
          <w:rFonts w:ascii="Arial" w:hAnsi="Arial" w:cs="Arial"/>
          <w:lang w:val="es-ES"/>
        </w:rPr>
        <w:t>feminicida, que se entiende como:</w:t>
      </w:r>
      <w:r>
        <w:rPr>
          <w:rFonts w:ascii="Arial" w:hAnsi="Arial" w:cs="Arial"/>
        </w:rPr>
        <w:t xml:space="preserve">“la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w:t>
      </w:r>
      <w:r>
        <w:rPr>
          <w:rFonts w:ascii="Arial" w:hAnsi="Arial" w:cs="Arial"/>
        </w:rPr>
        <w:lastRenderedPageBreak/>
        <w:t>formas de muerte violenta de mujeres”</w:t>
      </w:r>
      <w:r>
        <w:rPr>
          <w:rStyle w:val="Refdenotaalpie"/>
          <w:rFonts w:ascii="Arial" w:hAnsi="Arial" w:cs="Arial"/>
        </w:rPr>
        <w:footnoteReference w:id="2"/>
      </w:r>
      <w:r>
        <w:rPr>
          <w:rFonts w:ascii="Arial" w:hAnsi="Arial" w:cs="Arial"/>
          <w:lang w:val="es-ES"/>
        </w:rPr>
        <w:t>. Aunado a ello, el PAMIMH</w:t>
      </w:r>
      <w:r>
        <w:rPr>
          <w:rFonts w:ascii="Arial" w:hAnsi="Arial" w:cs="Arial"/>
        </w:rPr>
        <w:t>atiende quejas de presuntas violaciones de derechos humanos de las mujeres desde una perspectiva de género y brinda a las víctimas el acompañamiento que éstas requieran en el proceso de la atención de sus casos.</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rPr>
      </w:pPr>
      <w:r>
        <w:rPr>
          <w:rFonts w:ascii="Arial" w:hAnsi="Arial" w:cs="Arial"/>
          <w:lang w:val="es-ES"/>
        </w:rPr>
        <w:t>La Comisión Nacional a través del PAMIMH,</w:t>
      </w:r>
      <w:r w:rsidR="003E45E6">
        <w:rPr>
          <w:rFonts w:ascii="Arial" w:hAnsi="Arial" w:cs="Arial"/>
          <w:lang w:val="es-ES"/>
        </w:rPr>
        <w:t xml:space="preserve"> </w:t>
      </w:r>
      <w:r>
        <w:rPr>
          <w:rFonts w:ascii="Arial" w:hAnsi="Arial" w:cs="Arial"/>
          <w:lang w:val="es-ES"/>
        </w:rPr>
        <w:t>participa en los grupos de trabajo que investigan o dan seguimiento a los procedimientos de Alerta de Violencia de Género contra las mujeres</w:t>
      </w:r>
      <w:r>
        <w:rPr>
          <w:rStyle w:val="Refdenotaalpie"/>
          <w:rFonts w:ascii="Arial" w:hAnsi="Arial" w:cs="Arial"/>
          <w:lang w:val="es-ES"/>
        </w:rPr>
        <w:footnoteReference w:id="3"/>
      </w:r>
      <w:r>
        <w:rPr>
          <w:rFonts w:ascii="Arial" w:hAnsi="Arial" w:cs="Arial"/>
          <w:lang w:val="es-ES"/>
        </w:rPr>
        <w:t>, las AVG se definen como</w:t>
      </w:r>
      <w:r>
        <w:rPr>
          <w:rFonts w:ascii="Arial" w:hAnsi="Arial" w:cs="Arial"/>
        </w:rPr>
        <w:t>“el conjunto de acciones gubernamentales de emergencia para enfrentar y erradicar la violencia feminicida</w:t>
      </w:r>
      <w:r w:rsidR="003E45E6">
        <w:rPr>
          <w:rFonts w:ascii="Arial" w:hAnsi="Arial" w:cs="Arial"/>
        </w:rPr>
        <w:t xml:space="preserve"> </w:t>
      </w:r>
      <w:r>
        <w:rPr>
          <w:rFonts w:ascii="Arial" w:hAnsi="Arial" w:cs="Arial"/>
        </w:rPr>
        <w:t>en un territorio determinado, ya sea ejercida por individuos o por la propia comunidad”</w:t>
      </w:r>
      <w:r>
        <w:rPr>
          <w:rStyle w:val="Refdenotaalpie"/>
          <w:rFonts w:ascii="Arial" w:hAnsi="Arial" w:cs="Arial"/>
        </w:rPr>
        <w:footnoteReference w:id="4"/>
      </w:r>
      <w:r>
        <w:rPr>
          <w:rFonts w:ascii="Arial" w:hAnsi="Arial" w:cs="Arial"/>
        </w:rPr>
        <w:t>.</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En este marco de actuación, se contestan cada uno de los puntos requeridos.</w:t>
      </w:r>
    </w:p>
    <w:p w:rsidR="009401E1" w:rsidRDefault="009401E1" w:rsidP="009401E1">
      <w:pPr>
        <w:spacing w:line="276" w:lineRule="auto"/>
        <w:jc w:val="both"/>
        <w:rPr>
          <w:rFonts w:ascii="Arial" w:hAnsi="Arial" w:cs="Arial"/>
          <w:lang w:val="es-ES"/>
        </w:rPr>
      </w:pPr>
    </w:p>
    <w:p w:rsidR="009401E1" w:rsidRPr="006F283F" w:rsidRDefault="009401E1" w:rsidP="009401E1">
      <w:pPr>
        <w:pStyle w:val="Prrafodelista"/>
        <w:numPr>
          <w:ilvl w:val="0"/>
          <w:numId w:val="2"/>
        </w:numPr>
        <w:spacing w:line="276" w:lineRule="auto"/>
        <w:jc w:val="both"/>
        <w:rPr>
          <w:rFonts w:ascii="Arial" w:hAnsi="Arial" w:cs="Arial"/>
          <w:b/>
          <w:lang w:val="es-ES"/>
        </w:rPr>
      </w:pPr>
      <w:r>
        <w:rPr>
          <w:rFonts w:ascii="Arial" w:hAnsi="Arial" w:cs="Arial"/>
          <w:b/>
          <w:lang w:val="es-ES"/>
        </w:rPr>
        <w:t xml:space="preserve">Sobre la existencia o los avances en la creación de un observatorio nacional de feminicidios y/o observatorio de violencia contra la mujer con función de vigilancia de feminicidios; observatorios en la Defensoría del Pueblo u Organismo de Igualdad; instituciones académicas y/o ONG, o cualquier plan para crear uno. </w:t>
      </w:r>
    </w:p>
    <w:p w:rsidR="009401E1" w:rsidRDefault="009401E1" w:rsidP="009401E1">
      <w:pPr>
        <w:spacing w:line="276" w:lineRule="auto"/>
        <w:jc w:val="both"/>
        <w:rPr>
          <w:rFonts w:ascii="Arial" w:hAnsi="Arial" w:cs="Arial"/>
          <w:lang w:val="es-ES_tradnl"/>
        </w:rPr>
      </w:pPr>
      <w:r>
        <w:rPr>
          <w:rFonts w:ascii="Arial" w:hAnsi="Arial" w:cs="Arial"/>
          <w:lang w:val="es-ES"/>
        </w:rPr>
        <w:t xml:space="preserve">De conformidad con el artículo 46, segundo párrafo de la LGIMH la observancia </w:t>
      </w:r>
      <w:r>
        <w:rPr>
          <w:rFonts w:ascii="Arial" w:hAnsi="Arial" w:cs="Arial"/>
          <w:lang w:val="es-ES_tradnl"/>
        </w:rPr>
        <w:t>tiene por objeto la construcción de un sistema de información con capacidad para conocer la situación que guarda la igualdad entre mujeres y hombres, y el efecto de las políticas públicas aplicadas en la materia</w:t>
      </w:r>
      <w:r>
        <w:rPr>
          <w:rFonts w:ascii="Arial" w:hAnsi="Arial" w:cs="Arial"/>
          <w:vertAlign w:val="superscript"/>
          <w:lang w:val="es-ES_tradnl"/>
        </w:rPr>
        <w:footnoteReference w:id="5"/>
      </w:r>
      <w:r>
        <w:rPr>
          <w:rFonts w:ascii="Arial" w:hAnsi="Arial" w:cs="Arial"/>
          <w:lang w:val="es-ES_tradnl"/>
        </w:rPr>
        <w:t xml:space="preserve">. </w:t>
      </w:r>
    </w:p>
    <w:p w:rsidR="009401E1" w:rsidRDefault="009401E1" w:rsidP="009401E1">
      <w:pPr>
        <w:spacing w:line="276" w:lineRule="auto"/>
        <w:jc w:val="both"/>
        <w:rPr>
          <w:rFonts w:ascii="Arial" w:hAnsi="Arial" w:cs="Arial"/>
          <w:lang w:val="es-ES_tradnl"/>
        </w:rPr>
      </w:pPr>
    </w:p>
    <w:p w:rsidR="009401E1" w:rsidRDefault="009401E1" w:rsidP="009401E1">
      <w:pPr>
        <w:spacing w:line="276" w:lineRule="auto"/>
        <w:jc w:val="both"/>
        <w:rPr>
          <w:rFonts w:ascii="Arial" w:hAnsi="Arial" w:cs="Arial"/>
        </w:rPr>
      </w:pPr>
      <w:r>
        <w:rPr>
          <w:rFonts w:ascii="Arial" w:hAnsi="Arial" w:cs="Arial"/>
        </w:rPr>
        <w:t xml:space="preserve">Durante 2017 y 2018 la CNDH desde el PAMIMH, en coordinación con el Colegio de Geografía de la Facultad de Filosofía y Letras de la Universidad Nacional Autónoma de México, elaboró un proyecto integral acorde a la LGIMH para desarrollar un Sistema de Información con el fin de conocer la situación que guarda la igualdad entre mujeres y hombres, hacer accesible la información obtenida, realizar su divulgación en línea, y elaborar, a partir de éste, una publicación Digital de su contenido. Este proyecto dio como resultado </w:t>
      </w:r>
      <w:r>
        <w:rPr>
          <w:rFonts w:ascii="Arial" w:hAnsi="Arial" w:cs="Arial"/>
          <w:bCs/>
        </w:rPr>
        <w:t xml:space="preserve">el Atlas de </w:t>
      </w:r>
      <w:r>
        <w:rPr>
          <w:rFonts w:ascii="Arial" w:hAnsi="Arial" w:cs="Arial"/>
          <w:bCs/>
        </w:rPr>
        <w:lastRenderedPageBreak/>
        <w:t>Igualdad y Derechos Humanos (AIDH)</w:t>
      </w:r>
      <w:r>
        <w:rPr>
          <w:rFonts w:ascii="Arial" w:hAnsi="Arial" w:cs="Arial"/>
        </w:rPr>
        <w:t xml:space="preserve"> que responde a la observancia y cumplimiento de la LGIMH. </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El AIDH despliega la información en dimensiones, entre las que se encuentra la de violencias, con los siguientes indicadores</w:t>
      </w:r>
      <w:r>
        <w:rPr>
          <w:rStyle w:val="Refdenotaalpie"/>
          <w:rFonts w:ascii="Arial" w:hAnsi="Arial" w:cs="Arial"/>
        </w:rPr>
        <w:footnoteReference w:id="6"/>
      </w:r>
      <w:r>
        <w:rPr>
          <w:rFonts w:ascii="Arial" w:hAnsi="Arial" w:cs="Arial"/>
        </w:rPr>
        <w:t>: delitos contra mujeres ingresados a Tribunales Superiores de Justicia; feminicidios a nivel estatal; muerte de mujeres ocasionada por sus parejas, percepción de inseguridad de las mujeres de 15 a 29 años en su estado, discriminación vivida por mujeres casadas, separadas y solteras en los ámbitos familiar, comunitario y laboral, denuncias presentadas por mujeres ante el ministerio público por delitos de género, estados con leyes que prohíben el matrimonio y la dispensa de para el mismo en menores de edad.</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 xml:space="preserve">Resulta importante señalar que los indicadores que conforma el AIDH provienen de distintas fuentes de información y algunos de ellos son resultado de las actividades de la observancia en el monitoreo y seguimiento en materia de igualdad que realiza el PAMIMH. Su actualización depende de su fuente de información, pudiendo ser trimestrales, anuales, quinquenales, entre otros. </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 xml:space="preserve">El documento que contiene el marco conceptual y metodológico del AIDH elaborado en 2018 se encuentra disponible en la siguiente liga: </w:t>
      </w:r>
    </w:p>
    <w:p w:rsidR="009401E1" w:rsidRDefault="009401E1" w:rsidP="009401E1">
      <w:pPr>
        <w:pStyle w:val="Prrafodelista"/>
        <w:spacing w:line="276" w:lineRule="auto"/>
        <w:jc w:val="both"/>
        <w:rPr>
          <w:rFonts w:ascii="Arial" w:hAnsi="Arial" w:cs="Arial"/>
        </w:rPr>
      </w:pPr>
      <w:hyperlink r:id="rId8" w:history="1">
        <w:r>
          <w:rPr>
            <w:rStyle w:val="Hipervnculo"/>
            <w:rFonts w:ascii="Arial" w:hAnsi="Arial" w:cs="Arial"/>
          </w:rPr>
          <w:t>https://www.cndh.org.mx/sites/default/files/documentos/2019-08/Atlas-Igualdad-DH.pdf</w:t>
        </w:r>
      </w:hyperlink>
    </w:p>
    <w:p w:rsidR="009401E1" w:rsidRDefault="009401E1" w:rsidP="009401E1">
      <w:pPr>
        <w:spacing w:line="276" w:lineRule="auto"/>
        <w:jc w:val="both"/>
        <w:rPr>
          <w:rFonts w:ascii="Arial" w:hAnsi="Arial" w:cs="Arial"/>
        </w:rPr>
      </w:pPr>
      <w:r>
        <w:rPr>
          <w:rFonts w:ascii="Arial" w:hAnsi="Arial" w:cs="Arial"/>
        </w:rPr>
        <w:t>La nueva plataforma del AIDH se encuentra disponible en la siguiente liga:</w:t>
      </w:r>
    </w:p>
    <w:p w:rsidR="009401E1" w:rsidRDefault="009401E1" w:rsidP="009401E1">
      <w:pPr>
        <w:pStyle w:val="Prrafodelista"/>
        <w:spacing w:line="276" w:lineRule="auto"/>
        <w:jc w:val="both"/>
        <w:rPr>
          <w:rFonts w:ascii="Arial" w:hAnsi="Arial" w:cs="Arial"/>
        </w:rPr>
      </w:pPr>
      <w:hyperlink r:id="rId9" w:history="1">
        <w:r>
          <w:rPr>
            <w:rStyle w:val="Hipervnculo"/>
            <w:rFonts w:ascii="Arial" w:hAnsi="Arial" w:cs="Arial"/>
          </w:rPr>
          <w:t>https://observatorio.cndh.org.mx/atlas/1/contenidos-generales</w:t>
        </w:r>
      </w:hyperlink>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Aunado a lo anterior, la CNDH elabora reportes de monitoreo legislativo, entre los cuales se encuentran:</w:t>
      </w:r>
    </w:p>
    <w:p w:rsidR="009401E1" w:rsidRDefault="009401E1" w:rsidP="009401E1">
      <w:pPr>
        <w:pStyle w:val="Prrafodelista"/>
        <w:numPr>
          <w:ilvl w:val="0"/>
          <w:numId w:val="3"/>
        </w:numPr>
        <w:spacing w:line="276" w:lineRule="auto"/>
        <w:jc w:val="both"/>
        <w:rPr>
          <w:rFonts w:ascii="Arial" w:hAnsi="Arial" w:cs="Arial"/>
        </w:rPr>
      </w:pPr>
      <w:r>
        <w:rPr>
          <w:rFonts w:ascii="Arial" w:hAnsi="Arial" w:cs="Arial"/>
        </w:rPr>
        <w:t>El panorama legislativo en torno al tipo penal de feminicidio</w:t>
      </w:r>
    </w:p>
    <w:p w:rsidR="009401E1" w:rsidRDefault="009401E1" w:rsidP="009401E1">
      <w:pPr>
        <w:pStyle w:val="Prrafodelista"/>
        <w:numPr>
          <w:ilvl w:val="0"/>
          <w:numId w:val="3"/>
        </w:numPr>
        <w:spacing w:line="276" w:lineRule="auto"/>
        <w:jc w:val="both"/>
        <w:rPr>
          <w:rFonts w:ascii="Arial" w:hAnsi="Arial" w:cs="Arial"/>
        </w:rPr>
      </w:pPr>
      <w:r>
        <w:rPr>
          <w:rFonts w:ascii="Arial" w:hAnsi="Arial" w:cs="Arial"/>
        </w:rPr>
        <w:t>Las víctimas directas de feminicidio en las leyes de víctimas. El caso de las personas menores de edad.</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Estos se actualizan de forma anual, en el segundo y cuarto trimestre del año, respectivamente. Las últimas versiones publicadas en 2020 se pueden encontrar en los siguientes vínculos:</w:t>
      </w:r>
    </w:p>
    <w:p w:rsidR="009401E1" w:rsidRDefault="009401E1" w:rsidP="009401E1">
      <w:pPr>
        <w:pStyle w:val="Prrafodelista"/>
        <w:spacing w:line="276" w:lineRule="auto"/>
        <w:jc w:val="both"/>
        <w:rPr>
          <w:rFonts w:ascii="Arial" w:hAnsi="Arial" w:cs="Arial"/>
          <w:lang w:val="es-ES"/>
        </w:rPr>
      </w:pPr>
      <w:hyperlink r:id="rId10" w:history="1">
        <w:r>
          <w:rPr>
            <w:rStyle w:val="Hipervnculo"/>
            <w:rFonts w:ascii="Arial" w:hAnsi="Arial" w:cs="Arial"/>
            <w:lang w:val="es-ES"/>
          </w:rPr>
          <w:t>http://igualdaddegenero.cndh.org.mx/Content/doc/Observancia/Feminicidio.pdf</w:t>
        </w:r>
      </w:hyperlink>
    </w:p>
    <w:p w:rsidR="009401E1" w:rsidRDefault="009401E1" w:rsidP="009401E1">
      <w:pPr>
        <w:pStyle w:val="Prrafodelista"/>
        <w:spacing w:line="276" w:lineRule="auto"/>
        <w:jc w:val="both"/>
        <w:rPr>
          <w:rFonts w:ascii="Arial" w:hAnsi="Arial" w:cs="Arial"/>
          <w:lang w:val="es-ES"/>
        </w:rPr>
      </w:pPr>
      <w:hyperlink r:id="rId11" w:history="1">
        <w:r>
          <w:rPr>
            <w:rStyle w:val="Hipervnculo"/>
            <w:rFonts w:ascii="Arial" w:hAnsi="Arial" w:cs="Arial"/>
            <w:lang w:val="es-ES"/>
          </w:rPr>
          <w:t>http://igualdaddegenero.cndh.org.mx/Content/doc/Observancia/RML_orfandad-feminicidio.pdf</w:t>
        </w:r>
      </w:hyperlink>
    </w:p>
    <w:p w:rsidR="009401E1" w:rsidRDefault="009401E1" w:rsidP="009401E1">
      <w:pPr>
        <w:spacing w:line="276" w:lineRule="auto"/>
        <w:jc w:val="both"/>
        <w:rPr>
          <w:rFonts w:ascii="Arial" w:hAnsi="Arial" w:cs="Arial"/>
          <w:lang w:val="es-ES"/>
        </w:rPr>
      </w:pPr>
    </w:p>
    <w:p w:rsidR="009401E1" w:rsidRPr="003E45E6" w:rsidRDefault="009401E1" w:rsidP="009401E1">
      <w:pPr>
        <w:pStyle w:val="Prrafodelista"/>
        <w:numPr>
          <w:ilvl w:val="0"/>
          <w:numId w:val="2"/>
        </w:numPr>
        <w:spacing w:line="276" w:lineRule="auto"/>
        <w:jc w:val="both"/>
        <w:rPr>
          <w:rFonts w:ascii="Arial" w:hAnsi="Arial" w:cs="Arial"/>
          <w:b/>
          <w:lang w:val="es-ES"/>
        </w:rPr>
      </w:pPr>
      <w:r>
        <w:rPr>
          <w:rFonts w:ascii="Arial" w:hAnsi="Arial" w:cs="Arial"/>
          <w:b/>
          <w:lang w:val="es-ES"/>
        </w:rPr>
        <w:t xml:space="preserve">Sobre otras medidas, incluidas las investigaciones y estudios realizados para analizar los feminicidios o los asesinatos de mujeres y niñas por razones de género, o los homicidios de mujeres por parte de sus parejas o familiares y otros feminicidios. Si están disponibles, por favor compartir una copia de tales estudios. </w:t>
      </w:r>
    </w:p>
    <w:p w:rsidR="009401E1" w:rsidRDefault="009401E1" w:rsidP="009401E1">
      <w:pPr>
        <w:spacing w:line="276" w:lineRule="auto"/>
        <w:jc w:val="both"/>
        <w:rPr>
          <w:rFonts w:ascii="Arial" w:hAnsi="Arial" w:cs="Arial"/>
        </w:rPr>
      </w:pPr>
      <w:r>
        <w:rPr>
          <w:rFonts w:ascii="Arial" w:hAnsi="Arial" w:cs="Arial"/>
        </w:rPr>
        <w:t xml:space="preserve">En este rubro, el PAMIMH, como parte de sus atribuciones de observancia llevó a cabo en 2016 junto con la Universidad Autónoma Metropolitana- Unidad Iztapalapa, el </w:t>
      </w:r>
      <w:r>
        <w:rPr>
          <w:rFonts w:ascii="Arial" w:hAnsi="Arial" w:cs="Arial"/>
          <w:i/>
        </w:rPr>
        <w:t>Diagnóstico Nacional de Acceso a la Justicia y Violencia Feminicida en México</w:t>
      </w:r>
      <w:r>
        <w:rPr>
          <w:rFonts w:ascii="Arial" w:hAnsi="Arial" w:cs="Arial"/>
        </w:rPr>
        <w:t>, cuyo propósito específico fue recabar y analizar información confiable sobre violencia feminicida, el perfil de las víctimas y de sus agresores, las denuncias e investigaciones en curso, la atención, sanción y reparación del daño, a través de información oficial y registros administrativos proporcionados por autoridades de procuración de justicia de las entidades federativas.</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 xml:space="preserve">Dicho estudio se encuentra disponible en la página del PAMIMH, específicamente en la liga: </w:t>
      </w:r>
    </w:p>
    <w:p w:rsidR="009401E1" w:rsidRDefault="009401E1" w:rsidP="009401E1">
      <w:pPr>
        <w:pStyle w:val="Prrafodelista"/>
        <w:spacing w:line="276" w:lineRule="auto"/>
        <w:jc w:val="both"/>
        <w:rPr>
          <w:rFonts w:ascii="Arial" w:hAnsi="Arial" w:cs="Arial"/>
        </w:rPr>
      </w:pPr>
      <w:hyperlink r:id="rId12" w:history="1">
        <w:r>
          <w:rPr>
            <w:rStyle w:val="Hipervnculo"/>
            <w:rFonts w:ascii="Arial" w:hAnsi="Arial" w:cs="Arial"/>
          </w:rPr>
          <w:t>http://igualdaddegenero.cndh.org.mx/Content/doc/Publicaciones/DAJVF.pdf</w:t>
        </w:r>
      </w:hyperlink>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Con base en el artículo 140 del Reglamento Interno de la Comisión Nacional de los Derechos Humanos, este organismo público puede emitir recomendaciones generales a las diversas autoridades del país, a fin de que se promuevan las modificaciones de disposiciones normativas y prácticas administrativas que constituyan o propicien violaciones a los derechos humanos. En relación con la violencia feminicida, la CNDH emitió dos recomendaciones generales, las cuales se encuentran públicas en la página oficial de internet de la CNDH.</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bCs/>
        </w:rPr>
        <w:t xml:space="preserve">En primer lugar, la </w:t>
      </w:r>
      <w:r>
        <w:rPr>
          <w:rFonts w:ascii="Arial" w:hAnsi="Arial" w:cs="Arial"/>
          <w:bCs/>
          <w:i/>
        </w:rPr>
        <w:t>Recomendación General 43/2020</w:t>
      </w:r>
      <w:r>
        <w:rPr>
          <w:rFonts w:ascii="Arial" w:hAnsi="Arial" w:cs="Arial"/>
          <w:bCs/>
        </w:rPr>
        <w:t xml:space="preserve"> "Sobre Violación al Acceso a la Justicia e Insuficiencia en la Aplicación de Políticas Públicas en la Prevención, Atención, Sanción y Reparación Integral del Daño a Personas Víctimas Directas e Indirectas de Feminicidios y Otras Violencias."</w:t>
      </w:r>
      <w:r>
        <w:rPr>
          <w:rFonts w:ascii="Arial" w:hAnsi="Arial" w:cs="Arial"/>
        </w:rPr>
        <w:t xml:space="preserve"> emitida el 27 de noviembre de 2020. </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 xml:space="preserve">Misma que fue dirigida a: Presidencia de la República de los Estados Unidos Mexicanos; Secretaría de Gobernación; Secretaría de Educación Pública; Secretaría de la Defensa Nacional; Secretaría de Marina; Secretaría de Seguridad y Protección Ciudadana; Secretarías de Seguridad y Protección de las Entidades </w:t>
      </w:r>
      <w:r>
        <w:rPr>
          <w:rFonts w:ascii="Arial" w:hAnsi="Arial" w:cs="Arial"/>
        </w:rPr>
        <w:lastRenderedPageBreak/>
        <w:t>Federativas; Secretaría de Salud Federal y Secretarías de Salud de las Entidades Federativas; Fiscalía General de la República y Fiscalías Generales de las Entidades Federativas; Mesa Directiva del Congreso de la Unión y de los Congresos Locales; Poder Judicial de la Federación y sus homólogos en los Estados; Gobiernos de los Estados de la República; y Gobierno de la Ciudad de México; Organismos Protectores de Derechos Humanos de las Entidades Federativas; Universidad Nacional Autónoma de México; Universidad Autónoma Metropolitana; Instituto Politécnico Nacional; Universidades y Universidades Autónomas de los Estados; Comisión Ejecutiva de Atención a Víctimas y sus homólogas en las Entidades Federativas; Sistema Nacional para el Desarrollo Integral de la Familia, Procuraduría Federal de Protección de Niñas, Niños y Adolescentes; Sistema Nacional de Protección Integral de Niñas, Niños y Adolescentes y sus homólogas en los Estados.</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 xml:space="preserve">Esta se encuentra disponible para su consulta en la siguiente liga: </w:t>
      </w:r>
    </w:p>
    <w:p w:rsidR="009401E1" w:rsidRDefault="009401E1" w:rsidP="009401E1">
      <w:pPr>
        <w:pStyle w:val="Prrafodelista"/>
        <w:spacing w:line="276" w:lineRule="auto"/>
        <w:jc w:val="both"/>
        <w:rPr>
          <w:rFonts w:ascii="Arial" w:hAnsi="Arial" w:cs="Arial"/>
        </w:rPr>
      </w:pPr>
      <w:hyperlink r:id="rId13" w:history="1">
        <w:r>
          <w:rPr>
            <w:rStyle w:val="Hipervnculo"/>
            <w:rFonts w:ascii="Arial" w:hAnsi="Arial" w:cs="Arial"/>
          </w:rPr>
          <w:t>https://www.cndh.org.mx/sites/default/files/documentos/2020-11/RecGral_043.pdf</w:t>
        </w:r>
      </w:hyperlink>
    </w:p>
    <w:p w:rsidR="009401E1" w:rsidRDefault="009401E1" w:rsidP="009401E1">
      <w:pPr>
        <w:spacing w:line="276" w:lineRule="auto"/>
        <w:jc w:val="both"/>
        <w:rPr>
          <w:rFonts w:ascii="Arial" w:hAnsi="Arial" w:cs="Arial"/>
          <w:bCs/>
        </w:rPr>
      </w:pPr>
    </w:p>
    <w:p w:rsidR="009401E1" w:rsidRDefault="009401E1" w:rsidP="009401E1">
      <w:pPr>
        <w:spacing w:line="276" w:lineRule="auto"/>
        <w:jc w:val="both"/>
        <w:rPr>
          <w:rFonts w:ascii="Arial" w:hAnsi="Arial" w:cs="Arial"/>
        </w:rPr>
      </w:pPr>
      <w:r>
        <w:rPr>
          <w:rFonts w:ascii="Arial" w:hAnsi="Arial" w:cs="Arial"/>
          <w:bCs/>
        </w:rPr>
        <w:t xml:space="preserve">En segundo lugar, la </w:t>
      </w:r>
      <w:r>
        <w:rPr>
          <w:rFonts w:ascii="Arial" w:hAnsi="Arial" w:cs="Arial"/>
          <w:bCs/>
          <w:i/>
        </w:rPr>
        <w:t>Recomendación General 40/2019</w:t>
      </w:r>
      <w:r>
        <w:rPr>
          <w:rFonts w:ascii="Arial" w:hAnsi="Arial" w:cs="Arial"/>
          <w:bCs/>
        </w:rPr>
        <w:t xml:space="preserve"> "Sobre la violencia feminicida y el derecho de las mujeres a una vida libre de violencia en México", emitida el 15 de octubre de 2019.</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Esta Recomendación General fue dirigida a: Secretaría de Gobernación, Congreso de la Unión, Gobiernos de las Entidades Federativas, Gobierno de la Ciudad de México, Secretaría de Seguridad Pública y Protección Ciudadana Federal y Homólogas en las entidades Federativas, Poderes Legislativos de la Entidades Federativas y de la Ciudad de México, Fiscalía General de Justicia de las Entidades Federativas y Fiscalía General de la República.</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 xml:space="preserve">Esta se encuentra disponible en la siguiente liga: </w:t>
      </w:r>
    </w:p>
    <w:p w:rsidR="009401E1" w:rsidRDefault="009401E1" w:rsidP="009401E1">
      <w:pPr>
        <w:pStyle w:val="Prrafodelista"/>
        <w:spacing w:line="276" w:lineRule="auto"/>
        <w:jc w:val="both"/>
        <w:rPr>
          <w:rFonts w:ascii="Arial" w:hAnsi="Arial" w:cs="Arial"/>
          <w:lang w:val="es-ES"/>
        </w:rPr>
      </w:pPr>
      <w:hyperlink r:id="rId14" w:history="1">
        <w:r>
          <w:rPr>
            <w:rStyle w:val="Hipervnculo"/>
            <w:rFonts w:ascii="Arial" w:hAnsi="Arial" w:cs="Arial"/>
          </w:rPr>
          <w:t>https://www.cndh.org.mx/sites/default/files/documentos/2019-11/Rec-40-Gral.pdf</w:t>
        </w:r>
      </w:hyperlink>
    </w:p>
    <w:p w:rsidR="009401E1" w:rsidRDefault="009401E1" w:rsidP="009401E1">
      <w:pPr>
        <w:spacing w:line="276" w:lineRule="auto"/>
        <w:jc w:val="both"/>
        <w:rPr>
          <w:rFonts w:ascii="Arial" w:hAnsi="Arial" w:cs="Arial"/>
          <w:lang w:val="es-ES"/>
        </w:rPr>
      </w:pPr>
    </w:p>
    <w:p w:rsidR="003E45E6" w:rsidRDefault="009401E1" w:rsidP="009401E1">
      <w:pPr>
        <w:pStyle w:val="Prrafodelista"/>
        <w:numPr>
          <w:ilvl w:val="0"/>
          <w:numId w:val="2"/>
        </w:numPr>
        <w:spacing w:line="276" w:lineRule="auto"/>
        <w:jc w:val="both"/>
        <w:rPr>
          <w:rFonts w:ascii="Arial" w:hAnsi="Arial" w:cs="Arial"/>
          <w:b/>
          <w:lang w:val="es-ES"/>
        </w:rPr>
      </w:pPr>
      <w:r>
        <w:rPr>
          <w:rFonts w:ascii="Arial" w:hAnsi="Arial" w:cs="Arial"/>
          <w:b/>
          <w:lang w:val="es-ES"/>
        </w:rPr>
        <w:t xml:space="preserve">Sobre los resultados del análisis de los casos de feminicidio, incluyendo la revisión de casos judiciales anteriores y las recomendaciones y acciones emprendidas al respecto. </w:t>
      </w:r>
    </w:p>
    <w:p w:rsidR="009401E1" w:rsidRPr="003E45E6" w:rsidRDefault="009401E1" w:rsidP="003E45E6">
      <w:pPr>
        <w:spacing w:line="276" w:lineRule="auto"/>
        <w:jc w:val="both"/>
        <w:rPr>
          <w:rFonts w:ascii="Arial" w:hAnsi="Arial" w:cs="Arial"/>
          <w:b/>
          <w:lang w:val="es-ES"/>
        </w:rPr>
      </w:pPr>
      <w:r w:rsidRPr="003E45E6">
        <w:rPr>
          <w:rFonts w:ascii="Arial" w:hAnsi="Arial" w:cs="Arial"/>
        </w:rPr>
        <w:t xml:space="preserve">Las actuaciones de la CNDH, particularmente del PAMIMH se han derivado de su área de Quejas. Sobre casos específicos de violaciones de derechos humanos de las mujeres, es importante destacar que las investigaciones de los delitos de </w:t>
      </w:r>
      <w:r w:rsidRPr="003E45E6">
        <w:rPr>
          <w:rFonts w:ascii="Arial" w:hAnsi="Arial" w:cs="Arial"/>
        </w:rPr>
        <w:lastRenderedPageBreak/>
        <w:t xml:space="preserve">feminicidios son realizadas en mayor proporción por las fiscalías generales estatales, ya que es un delito que se comete en orden local. En una menor medida son llevas a cabo por la FGR al ejercer su competencia de atracción de algunos casos de feminicidio. En virtud de lo anterior y por competencia los Organismos locales de derechos humanos, son quienes en su mayoría realizan la investigación de los casos de violaciones a los derechos humanos de las mujeres por casos de feminicidio. </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Por lo anterior, la forma en que la CNDH tiene conocimiento de casos de feminicidio es a través de los recursos de impugnación (artículo 159 del Reglamento interno de la CNDH) en contra de las resoluciones de definitivas, recomendaciones, deficiente o insatisfactorio cumplimiento por parte de la autoridad, de una recomendación o en los casos de que la autoridad no acepte una recomendación emitida por los organismos locales. O también por recursos de queja (artículo 149 del Reglamento Interno de la CNDH) presentados en contra de organismos locales por las omisiones en que hubiera incurrido durante el tratamiento de un expediente y hubiera causado un perjuicio grave a la parte quejosa o por inactividad.</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lang w:val="es-ES"/>
        </w:rPr>
      </w:pPr>
      <w:r>
        <w:rPr>
          <w:rFonts w:ascii="Arial" w:hAnsi="Arial" w:cs="Arial"/>
        </w:rPr>
        <w:t>Sobre casos específicos, en la Cuarta Visitaduría General, no se ha recibido quejas específicas por casos de feminicidio. No obstante, se emitieron las siguientes recomendaciones sobre casos de violencia contra las mujeres.</w:t>
      </w:r>
    </w:p>
    <w:p w:rsidR="009401E1" w:rsidRDefault="009401E1" w:rsidP="009401E1">
      <w:pPr>
        <w:spacing w:line="276" w:lineRule="auto"/>
        <w:jc w:val="center"/>
        <w:rPr>
          <w:rFonts w:ascii="Arial" w:hAnsi="Arial" w:cs="Arial"/>
        </w:rPr>
      </w:pPr>
    </w:p>
    <w:p w:rsidR="009401E1" w:rsidRDefault="009401E1" w:rsidP="009401E1">
      <w:pPr>
        <w:spacing w:line="276" w:lineRule="auto"/>
        <w:jc w:val="both"/>
        <w:rPr>
          <w:rFonts w:ascii="Arial" w:hAnsi="Arial" w:cs="Arial"/>
        </w:rPr>
      </w:pPr>
      <w:r>
        <w:rPr>
          <w:rFonts w:ascii="Arial" w:hAnsi="Arial" w:cs="Arial"/>
          <w:bCs/>
        </w:rPr>
        <w:t xml:space="preserve">La primera es la </w:t>
      </w:r>
      <w:r>
        <w:rPr>
          <w:rFonts w:ascii="Arial" w:hAnsi="Arial" w:cs="Arial"/>
          <w:bCs/>
          <w:i/>
        </w:rPr>
        <w:t>Recomendación 28 /2019</w:t>
      </w:r>
      <w:r>
        <w:rPr>
          <w:rFonts w:ascii="Arial" w:hAnsi="Arial" w:cs="Arial"/>
          <w:bCs/>
        </w:rPr>
        <w:t>“Sobre el recurso de impugnación por la insuficiencia de la recomendación 52/2017 emitida por la Comisión Estatal de los Derechos Humanos de Chihuahua</w:t>
      </w:r>
      <w:r>
        <w:rPr>
          <w:rFonts w:ascii="Arial" w:hAnsi="Arial" w:cs="Arial"/>
        </w:rPr>
        <w:t xml:space="preserve">, </w:t>
      </w:r>
      <w:r>
        <w:rPr>
          <w:rFonts w:ascii="Arial" w:hAnsi="Arial" w:cs="Arial"/>
          <w:bCs/>
        </w:rPr>
        <w:t>por violaciones a los derechos humanos en agravio de V1”</w:t>
      </w:r>
      <w:r>
        <w:rPr>
          <w:rFonts w:ascii="Arial" w:hAnsi="Arial" w:cs="Arial"/>
        </w:rPr>
        <w:t xml:space="preserve">, emitida el 30 de mayo de 2019. </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En este caso, la CNDH constató que el personal médico no otorgó a la víctima atención médica adecuada, al omitir realizar un diagnóstico temprano y suministrar un tratamiento oportuno posterior a una episiotomía en que conectaron inadecuadamente el intestino con la vagina, lo que constituyó un acto de violencia obstétrica; además, el caso no fue debidamente investigado por la Fiscalía General del Estado (FGE), poco antes del año la víctima falleció como como consecuencia del procedimiento médico realizado y no atendido adecuadamente.</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 xml:space="preserve">Esta se encuentra disponible en la siguiente liga: </w:t>
      </w:r>
    </w:p>
    <w:p w:rsidR="009401E1" w:rsidRDefault="009401E1" w:rsidP="009401E1">
      <w:pPr>
        <w:pStyle w:val="Prrafodelista"/>
        <w:spacing w:line="276" w:lineRule="auto"/>
        <w:jc w:val="both"/>
        <w:rPr>
          <w:rFonts w:ascii="Arial" w:hAnsi="Arial" w:cs="Arial"/>
        </w:rPr>
      </w:pPr>
      <w:hyperlink r:id="rId15" w:history="1">
        <w:r>
          <w:rPr>
            <w:rStyle w:val="Hipervnculo"/>
            <w:rFonts w:ascii="Arial" w:hAnsi="Arial" w:cs="Arial"/>
          </w:rPr>
          <w:t>https://www.cndh.org.mx/sites/default/files/documentos/2019-06/Rec_2019_028.pdf</w:t>
        </w:r>
      </w:hyperlink>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bCs/>
        </w:rPr>
        <w:t xml:space="preserve">En segundo lugar, se encuentra la </w:t>
      </w:r>
      <w:r>
        <w:rPr>
          <w:rFonts w:ascii="Arial" w:hAnsi="Arial" w:cs="Arial"/>
          <w:bCs/>
          <w:i/>
        </w:rPr>
        <w:t>Recomendación 85/2019</w:t>
      </w:r>
      <w:r>
        <w:rPr>
          <w:rFonts w:ascii="Arial" w:hAnsi="Arial" w:cs="Arial"/>
          <w:bCs/>
        </w:rPr>
        <w:t>“Sobre el caso de violaciones a los derechos humanos de acceso a la justicia, en su modalidad de procuración, así como a una vida libre de violencia, en agravio de V1 y la vulneración al interés superior de la niñez de V2 Y V3, atribuibles a personas servidoras públicas de la Fiscalía General de Justicia del Estado de México”</w:t>
      </w:r>
      <w:r>
        <w:rPr>
          <w:rFonts w:ascii="Arial" w:hAnsi="Arial" w:cs="Arial"/>
        </w:rPr>
        <w:t xml:space="preserve">, emitida el 30 de septiembre de 2019. Esta recomendación fue aceptada por la autoridad y aún se encuentra en cumplimiento. </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En este caso, se acreditaron violaciones a los derechos humanos de acceso a la justicia, en su modalidad de procuración, y a una vida libre de violencia en agravio de la mujer, y la vulneración del interés superior de la niñez de sus dos hijas menores de edad, atribuibles a personal de la Fiscalía General de Justicia del Estado de México, ante las agresiones por parte de la pareja de la víctima que le arrojó acido al cuerpo, quedando con lesiones permanentes en rostro y pecho. Se observó que en las diligencias de la Fiscalía Estatal no se consideró ni se brindó tratamiento con perspectiva de género a las víctimas, tampoco les otorgaron asesoría jurídica, atención integral ni medidas de protección, y a pesar de que esa Fiscalía conoció desde las primeras horas de los hechos ocurridos en 2014, integró solo la Nota Criminal y se allegó de las primeras diligencias sin iniciar la Carpeta de Investigación. Tampoco clasificó el delito como grave, no tomó en cuenta la valoración de los médicos tratantes, que indicaban quemaduras de tercer grado en 12% de su cuerpo por químicos, y por el riesgo de infecciones y complicaciones que presentaba por “pronóstico malo para la vida, función y la estética”, personal ministerial dictaminó que las lesiones no ponían en riesgo la vida y tardaban 15 días en sanar y dejaban cicatriz.</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 xml:space="preserve">Esta se encuentra disponible en la siguiente liga: </w:t>
      </w:r>
    </w:p>
    <w:p w:rsidR="009401E1" w:rsidRDefault="009401E1" w:rsidP="009401E1">
      <w:pPr>
        <w:pStyle w:val="Prrafodelista"/>
        <w:spacing w:line="276" w:lineRule="auto"/>
        <w:jc w:val="both"/>
        <w:rPr>
          <w:rFonts w:ascii="Arial" w:hAnsi="Arial" w:cs="Arial"/>
        </w:rPr>
      </w:pPr>
      <w:hyperlink r:id="rId16" w:history="1">
        <w:r>
          <w:rPr>
            <w:rStyle w:val="Hipervnculo"/>
            <w:rFonts w:ascii="Arial" w:hAnsi="Arial" w:cs="Arial"/>
          </w:rPr>
          <w:t>https://www.cndh.org.mx/sites/default/files/documentos/2019-10/Rec_2019_085.pdf</w:t>
        </w:r>
      </w:hyperlink>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Por otra parte, en el PAMIMH, está incorporando a sus actividades, la realización de monitoreo a medios de comunicación sobre los casos de violencia feminicida y feminicidio, los cuales son agregados a una base de datos para analizar la estrategia de seguimiento y acción, ya sea a través de un comunicado, exhorto, solicitud de información a las autoridades locales o atracción del caso que promueva los derechos colectivos de las mujeres.</w:t>
      </w:r>
    </w:p>
    <w:p w:rsidR="009401E1" w:rsidRDefault="009401E1" w:rsidP="009401E1">
      <w:pPr>
        <w:spacing w:line="276" w:lineRule="auto"/>
        <w:jc w:val="both"/>
        <w:rPr>
          <w:rFonts w:ascii="Arial" w:hAnsi="Arial" w:cs="Arial"/>
          <w:lang w:val="es-ES"/>
        </w:rPr>
      </w:pPr>
    </w:p>
    <w:p w:rsidR="009401E1" w:rsidRDefault="009401E1" w:rsidP="009401E1">
      <w:pPr>
        <w:pStyle w:val="Prrafodelista"/>
        <w:numPr>
          <w:ilvl w:val="0"/>
          <w:numId w:val="2"/>
        </w:numPr>
        <w:spacing w:line="276" w:lineRule="auto"/>
        <w:jc w:val="both"/>
        <w:rPr>
          <w:rFonts w:ascii="Arial" w:hAnsi="Arial" w:cs="Arial"/>
          <w:b/>
          <w:lang w:val="es-ES"/>
        </w:rPr>
      </w:pPr>
      <w:r>
        <w:rPr>
          <w:rFonts w:ascii="Arial" w:hAnsi="Arial" w:cs="Arial"/>
          <w:b/>
          <w:lang w:val="es-ES"/>
        </w:rPr>
        <w:lastRenderedPageBreak/>
        <w:t xml:space="preserve">Sobre las medidas concretas adoptadas para mejorar el apoyo a las víctimas de violencia y para prevenir los feminicidios (evaluación del riesgo, eficacia de las órdenes de protección), en relación con la información recogida a través de los observatorios de feminicidios. </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De conformidad con las atribuciones con las que cuenta el PAMIMH y lo señalado en el inciso anterior, las acciones realizadas en relación a este rubro se concentran la elaboración de estudios que buscan evaluar distintos aspectos de las órdenes de protección, el primero realizado en 2018 y el segundo en 2020.</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bCs/>
          <w:iCs/>
          <w:lang w:val="es-ES"/>
        </w:rPr>
        <w:t xml:space="preserve">El primero, </w:t>
      </w:r>
      <w:r>
        <w:rPr>
          <w:rFonts w:ascii="Arial" w:hAnsi="Arial" w:cs="Arial"/>
          <w:bCs/>
          <w:i/>
          <w:iCs/>
          <w:lang w:val="es-ES"/>
        </w:rPr>
        <w:t>Estudio: Las órdenes de protección y el derecho de las mujeres a una vida libre de violencia (Panorama nacional 2018)</w:t>
      </w:r>
      <w:r>
        <w:rPr>
          <w:rFonts w:ascii="Arial" w:hAnsi="Arial" w:cs="Arial"/>
          <w:lang w:val="es-ES"/>
        </w:rPr>
        <w:t xml:space="preserve">, permitió conocer una regulación fragmentada, desigual y compleja. Específicamente dio luz sobre los diferentes tipos de órdenes de protección; información sobre quiénes pueden solicitarlas; falta de información de cómo solicitarlas o acceder a ellas; competencia de autoridades municipales; valoración del riesgo para su emisión. </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 xml:space="preserve">El documento se encuentra disponible en la siguiente liga: </w:t>
      </w:r>
    </w:p>
    <w:p w:rsidR="009401E1" w:rsidRDefault="009401E1" w:rsidP="009401E1">
      <w:pPr>
        <w:pStyle w:val="Prrafodelista"/>
        <w:spacing w:line="276" w:lineRule="auto"/>
        <w:jc w:val="both"/>
        <w:rPr>
          <w:rFonts w:ascii="Arial" w:hAnsi="Arial" w:cs="Arial"/>
          <w:lang w:val="es-ES"/>
        </w:rPr>
      </w:pPr>
      <w:hyperlink r:id="rId17" w:history="1">
        <w:r>
          <w:rPr>
            <w:rStyle w:val="Hipervnculo"/>
            <w:rFonts w:ascii="Arial" w:hAnsi="Arial" w:cs="Arial"/>
            <w:lang w:val="es-ES"/>
          </w:rPr>
          <w:t>http://igualdaddegenero.cndh.org.mx/Content/doc/Publicaciones/OPDMVLV.pdf</w:t>
        </w:r>
      </w:hyperlink>
    </w:p>
    <w:p w:rsidR="009401E1" w:rsidRDefault="009401E1" w:rsidP="009401E1">
      <w:pPr>
        <w:spacing w:line="276" w:lineRule="auto"/>
        <w:jc w:val="both"/>
        <w:rPr>
          <w:rFonts w:ascii="Arial" w:hAnsi="Arial" w:cs="Arial"/>
        </w:rPr>
      </w:pPr>
    </w:p>
    <w:p w:rsidR="009401E1" w:rsidRDefault="009401E1" w:rsidP="003E45E6">
      <w:pPr>
        <w:spacing w:line="276" w:lineRule="auto"/>
        <w:jc w:val="both"/>
        <w:rPr>
          <w:rFonts w:ascii="Arial" w:hAnsi="Arial" w:cs="Arial"/>
        </w:rPr>
        <w:sectPr w:rsidR="009401E1">
          <w:headerReference w:type="even" r:id="rId18"/>
          <w:headerReference w:type="default" r:id="rId19"/>
          <w:footerReference w:type="even" r:id="rId20"/>
          <w:footerReference w:type="default" r:id="rId21"/>
          <w:headerReference w:type="first" r:id="rId22"/>
          <w:footerReference w:type="first" r:id="rId23"/>
          <w:pgSz w:w="12240" w:h="15840"/>
          <w:pgMar w:top="1701" w:right="1701" w:bottom="1701" w:left="1701" w:header="1135" w:footer="708" w:gutter="0"/>
          <w:cols w:space="720"/>
        </w:sectPr>
      </w:pPr>
      <w:r>
        <w:rPr>
          <w:rFonts w:ascii="Arial" w:hAnsi="Arial" w:cs="Arial"/>
          <w:lang w:val="es-ES"/>
        </w:rPr>
        <w:t>El segundo estudio:</w:t>
      </w:r>
      <w:r w:rsidR="003E45E6">
        <w:rPr>
          <w:rFonts w:ascii="Arial" w:hAnsi="Arial" w:cs="Arial"/>
          <w:lang w:val="es-ES"/>
        </w:rPr>
        <w:t xml:space="preserve"> </w:t>
      </w:r>
      <w:r>
        <w:rPr>
          <w:rFonts w:ascii="Arial" w:hAnsi="Arial" w:cs="Arial"/>
          <w:bCs/>
          <w:i/>
          <w:iCs/>
        </w:rPr>
        <w:t>Rutas para que las mujeres accedan a las órdenes de protección</w:t>
      </w:r>
      <w:r>
        <w:rPr>
          <w:rFonts w:ascii="Arial" w:hAnsi="Arial" w:cs="Arial"/>
        </w:rPr>
        <w:t>, permitió conocer la difusión de este mecanismo en las entidades y su claridad que permita ejercer este derecho. En este sentido se identificó que 16 entidades cuentan con protocolo</w:t>
      </w:r>
      <w:r>
        <w:rPr>
          <w:rStyle w:val="Refdenotaalpie"/>
          <w:rFonts w:ascii="Arial" w:hAnsi="Arial" w:cs="Arial"/>
        </w:rPr>
        <w:footnoteReference w:id="7"/>
      </w:r>
      <w:r>
        <w:rPr>
          <w:rFonts w:ascii="Arial" w:hAnsi="Arial" w:cs="Arial"/>
        </w:rPr>
        <w:t xml:space="preserve">  de atención en la mat</w:t>
      </w:r>
      <w:r w:rsidR="00673DAF">
        <w:rPr>
          <w:rFonts w:ascii="Arial" w:hAnsi="Arial" w:cs="Arial"/>
        </w:rPr>
        <w:t>eria: Campeche, Chiapas, Colima, Hidalgo, Jalisco, Morelos, Nayarit, Oaxaca, Puebla, Querétaro, Quintana Roo, Sinaloa, Tlaxcala, Veracruz, Yucatán y Zacatecas.</w:t>
      </w:r>
    </w:p>
    <w:p w:rsidR="009401E1" w:rsidRDefault="009401E1" w:rsidP="009401E1">
      <w:pPr>
        <w:spacing w:line="276" w:lineRule="auto"/>
        <w:jc w:val="both"/>
        <w:rPr>
          <w:rFonts w:ascii="Arial" w:hAnsi="Arial" w:cs="Arial"/>
          <w:lang w:val="es-ES"/>
        </w:rPr>
      </w:pPr>
      <w:r>
        <w:rPr>
          <w:rFonts w:ascii="Arial" w:hAnsi="Arial" w:cs="Arial"/>
          <w:lang w:val="es-ES"/>
        </w:rPr>
        <w:lastRenderedPageBreak/>
        <w:t>Además de lo anterior, se elaboraron infografías con las diferentes rutas para que las mujeres accedan a las Órdenes de Protección por Entidad Federativa.</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 xml:space="preserve">Este estudio, se encuentra disponible en la siguiente liga: </w:t>
      </w:r>
    </w:p>
    <w:p w:rsidR="009401E1" w:rsidRDefault="009401E1" w:rsidP="009401E1">
      <w:pPr>
        <w:pStyle w:val="Prrafodelista"/>
        <w:spacing w:line="276" w:lineRule="auto"/>
        <w:jc w:val="both"/>
        <w:rPr>
          <w:rFonts w:ascii="Arial" w:hAnsi="Arial" w:cs="Arial"/>
          <w:lang w:val="es-ES"/>
        </w:rPr>
      </w:pPr>
      <w:hyperlink r:id="rId24" w:history="1">
        <w:r>
          <w:rPr>
            <w:rStyle w:val="Hipervnculo"/>
            <w:rFonts w:ascii="Arial" w:hAnsi="Arial" w:cs="Arial"/>
            <w:lang w:val="es-ES"/>
          </w:rPr>
          <w:t>http://igualdaddegenero.cndh.org.mx/Content/doc/Publicaciones/Rutas-Proteccion.pdf</w:t>
        </w:r>
      </w:hyperlink>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bCs/>
          <w:iCs/>
        </w:rPr>
      </w:pPr>
      <w:r>
        <w:rPr>
          <w:rFonts w:ascii="Arial" w:hAnsi="Arial" w:cs="Arial"/>
          <w:lang w:val="es-ES"/>
        </w:rPr>
        <w:t>Para</w:t>
      </w:r>
      <w:r w:rsidR="003E45E6">
        <w:rPr>
          <w:rFonts w:ascii="Arial" w:hAnsi="Arial" w:cs="Arial"/>
          <w:lang w:val="es-ES"/>
        </w:rPr>
        <w:t xml:space="preserve"> </w:t>
      </w:r>
      <w:r>
        <w:rPr>
          <w:rFonts w:ascii="Arial" w:hAnsi="Arial" w:cs="Arial"/>
          <w:lang w:val="es-ES"/>
        </w:rPr>
        <w:t xml:space="preserve">el segundo semestre del presente año, se planea realizar una actualización del estudio </w:t>
      </w:r>
      <w:r>
        <w:rPr>
          <w:rFonts w:ascii="Arial" w:hAnsi="Arial" w:cs="Arial"/>
          <w:bCs/>
          <w:i/>
          <w:iCs/>
        </w:rPr>
        <w:t xml:space="preserve">Rutas para que las mujeres accedan a las órdenes de protección </w:t>
      </w:r>
      <w:r>
        <w:rPr>
          <w:rFonts w:ascii="Arial" w:hAnsi="Arial" w:cs="Arial"/>
          <w:bCs/>
          <w:iCs/>
        </w:rPr>
        <w:t>que incluya información solicitada directamente a las instancias que implementan las mismas e incluir un análisis del impacto de la reforma a la Ley General de Acceso de las Mujeres a una Vida Libre de Violencia en la materia</w:t>
      </w:r>
      <w:r>
        <w:rPr>
          <w:rStyle w:val="Refdenotaalpie"/>
          <w:rFonts w:ascii="Arial" w:hAnsi="Arial" w:cs="Arial"/>
          <w:bCs/>
          <w:iCs/>
        </w:rPr>
        <w:footnoteReference w:id="8"/>
      </w:r>
      <w:r>
        <w:rPr>
          <w:rFonts w:ascii="Arial" w:hAnsi="Arial" w:cs="Arial"/>
          <w:bCs/>
          <w:iCs/>
        </w:rPr>
        <w:t>.</w:t>
      </w:r>
    </w:p>
    <w:p w:rsidR="009401E1" w:rsidRDefault="009401E1" w:rsidP="009401E1">
      <w:pPr>
        <w:spacing w:line="276" w:lineRule="auto"/>
        <w:jc w:val="both"/>
        <w:rPr>
          <w:rFonts w:ascii="Arial" w:hAnsi="Arial" w:cs="Arial"/>
          <w:bCs/>
          <w:iCs/>
        </w:rPr>
      </w:pPr>
    </w:p>
    <w:p w:rsidR="009401E1" w:rsidRDefault="009401E1" w:rsidP="009401E1">
      <w:pPr>
        <w:spacing w:line="276" w:lineRule="auto"/>
        <w:jc w:val="both"/>
        <w:rPr>
          <w:rFonts w:ascii="Arial" w:hAnsi="Arial" w:cs="Arial"/>
          <w:bCs/>
          <w:iCs/>
        </w:rPr>
      </w:pPr>
      <w:r>
        <w:rPr>
          <w:rFonts w:ascii="Arial" w:hAnsi="Arial" w:cs="Arial"/>
          <w:bCs/>
          <w:iCs/>
        </w:rPr>
        <w:t xml:space="preserve">En el mismo periodo, se encuentra también programado realizar el estudio </w:t>
      </w:r>
      <w:r>
        <w:rPr>
          <w:rFonts w:ascii="Arial" w:hAnsi="Arial" w:cs="Arial"/>
          <w:bCs/>
          <w:i/>
          <w:iCs/>
        </w:rPr>
        <w:t>La reparación del daño para víctimas indirectas en el delito de feminicidio</w:t>
      </w:r>
      <w:r>
        <w:rPr>
          <w:rFonts w:ascii="Arial" w:hAnsi="Arial" w:cs="Arial"/>
          <w:bCs/>
          <w:iCs/>
        </w:rPr>
        <w:t>, por medio del cual se buscará identificar los pasos que deben de seguir las víctimas indirectas del feminicidio para su acceso a la reparación integral del daño. Para ello se analizarán las disposiciones existentes en la regulación sobre el deber de reparar el daño de las víctimas indirectas de feminicidio desde una visión integral. Asimismo, se prevé consulta a las Comisiones de Atención a Víctimas Estatales respecto de los registros de víctimas y el tipo de reparación al que han accedido.</w:t>
      </w:r>
    </w:p>
    <w:p w:rsidR="009401E1" w:rsidRDefault="009401E1" w:rsidP="009401E1">
      <w:pPr>
        <w:spacing w:line="276" w:lineRule="auto"/>
        <w:jc w:val="both"/>
        <w:rPr>
          <w:rFonts w:ascii="Arial" w:hAnsi="Arial" w:cs="Arial"/>
          <w:lang w:val="es-ES"/>
        </w:rPr>
      </w:pPr>
    </w:p>
    <w:p w:rsidR="009401E1" w:rsidRPr="003E45E6" w:rsidRDefault="009401E1" w:rsidP="009401E1">
      <w:pPr>
        <w:pStyle w:val="Prrafodelista"/>
        <w:numPr>
          <w:ilvl w:val="0"/>
          <w:numId w:val="2"/>
        </w:numPr>
        <w:spacing w:line="276" w:lineRule="auto"/>
        <w:jc w:val="both"/>
        <w:rPr>
          <w:rFonts w:ascii="Arial" w:hAnsi="Arial" w:cs="Arial"/>
          <w:b/>
          <w:lang w:val="es-ES"/>
        </w:rPr>
      </w:pPr>
      <w:r>
        <w:rPr>
          <w:rFonts w:ascii="Arial" w:hAnsi="Arial" w:cs="Arial"/>
          <w:b/>
          <w:lang w:val="es-ES"/>
        </w:rPr>
        <w:t xml:space="preserve">Sobre las buenas prácticas y desafíos en la implementación de una respuesta basada en la evidencia para la prevención del feminicidio. </w:t>
      </w:r>
    </w:p>
    <w:p w:rsidR="009401E1" w:rsidRDefault="009401E1" w:rsidP="009401E1">
      <w:pPr>
        <w:spacing w:line="276" w:lineRule="auto"/>
        <w:jc w:val="both"/>
        <w:rPr>
          <w:rFonts w:ascii="Arial" w:hAnsi="Arial" w:cs="Arial"/>
        </w:rPr>
      </w:pPr>
      <w:r>
        <w:rPr>
          <w:rFonts w:ascii="Arial" w:hAnsi="Arial" w:cs="Arial"/>
          <w:lang w:val="es-ES"/>
        </w:rPr>
        <w:t xml:space="preserve">Durante 2020, la CNDH emitió la </w:t>
      </w:r>
      <w:r>
        <w:rPr>
          <w:rFonts w:ascii="Arial" w:hAnsi="Arial" w:cs="Arial"/>
          <w:b/>
          <w:lang w:val="es-ES"/>
        </w:rPr>
        <w:t>Recomendación general 043/2020,</w:t>
      </w:r>
      <w:r>
        <w:rPr>
          <w:rFonts w:ascii="Arial" w:hAnsi="Arial" w:cs="Arial"/>
          <w:lang w:val="es-ES"/>
        </w:rPr>
        <w:t xml:space="preserve"> referida en el punto 3 del presente documento. Esta Recomendación General, permite </w:t>
      </w:r>
      <w:r>
        <w:rPr>
          <w:rFonts w:ascii="Arial" w:hAnsi="Arial" w:cs="Arial"/>
          <w:lang w:val="es-ES_tradnl"/>
        </w:rPr>
        <w:t>construir una hoja de ruta para las instituciones del Estado mexicano que les permita avanzar en la construcción de políticas públicas de prevención, atención y eliminación de las violencias contra las mujeres; reivindica el diálogo, recupera la voz y las miradas de las víctimas directas y víctimas indirectas, así como brindar un panorama general y puntual de la situación y condición de las mujeres.</w:t>
      </w:r>
      <w:r>
        <w:rPr>
          <w:rFonts w:ascii="Arial" w:hAnsi="Arial" w:cs="Arial"/>
          <w:lang w:val="es-ES"/>
        </w:rPr>
        <w:t>Se considera una buena práctica para consolidar una democracia participativa, no sólo en el marco normativo sino en todo el ciclo de las políticas públicas que buscan garantizar los derechos humanos de las mujeres.</w:t>
      </w:r>
    </w:p>
    <w:p w:rsidR="009401E1" w:rsidRDefault="009401E1" w:rsidP="009401E1">
      <w:pPr>
        <w:spacing w:before="160" w:after="160" w:line="276" w:lineRule="auto"/>
        <w:ind w:right="49"/>
        <w:jc w:val="both"/>
        <w:rPr>
          <w:rFonts w:ascii="Arial" w:hAnsi="Arial" w:cs="Arial"/>
        </w:rPr>
      </w:pPr>
      <w:r>
        <w:rPr>
          <w:rFonts w:ascii="Arial" w:hAnsi="Arial" w:cs="Arial"/>
          <w:b/>
          <w:bCs/>
        </w:rPr>
        <w:t>Mesas interinstitucionales de diálogo para el avance de los derechos humanos de las mujeres.</w:t>
      </w:r>
      <w:r>
        <w:rPr>
          <w:rFonts w:ascii="Arial" w:hAnsi="Arial" w:cs="Arial"/>
        </w:rPr>
        <w:t xml:space="preserve"> Mantener el dialogo permanente e intercambio </w:t>
      </w:r>
      <w:r>
        <w:rPr>
          <w:rFonts w:ascii="Arial" w:hAnsi="Arial" w:cs="Arial"/>
        </w:rPr>
        <w:lastRenderedPageBreak/>
        <w:t xml:space="preserve">constante con las víctimas directas e indirectas para garantizar la atención a las quejas, el acompañamiento centrado en la persona. </w:t>
      </w:r>
    </w:p>
    <w:p w:rsidR="009401E1" w:rsidRDefault="009401E1" w:rsidP="009401E1">
      <w:pPr>
        <w:spacing w:before="160" w:after="160" w:line="276" w:lineRule="auto"/>
        <w:ind w:right="49"/>
        <w:jc w:val="both"/>
        <w:rPr>
          <w:rFonts w:ascii="Arial" w:hAnsi="Arial" w:cs="Arial"/>
        </w:rPr>
      </w:pPr>
      <w:r>
        <w:rPr>
          <w:rFonts w:ascii="Arial" w:hAnsi="Arial" w:cs="Arial"/>
        </w:rPr>
        <w:t>Durante esta administración se han realizado mesas de diálogo interinstitucional con organizaciones de la sociedad civil, colectivas feministas, mujeres afrodescendientes, mujeres indígenas, víctimas indirectas de feminicidio, entre algunos otros grupos y colectivos de la sociedad civil organizada; con la finalidad de conocer sus demandas y exigencias y construir en conjunta una ruta de acción para exigir al gobierno la garantía de sus derechos humanos. Estas reuniones se han realizados en sus comunidades y espacios e incluso se han sostenido durante la pandemia por COVID-19, a través de redes virtuales.</w:t>
      </w:r>
    </w:p>
    <w:p w:rsidR="009401E1" w:rsidRDefault="009401E1" w:rsidP="009401E1">
      <w:pPr>
        <w:spacing w:before="160" w:after="160" w:line="276" w:lineRule="auto"/>
        <w:ind w:right="49"/>
        <w:jc w:val="both"/>
        <w:rPr>
          <w:rFonts w:ascii="Arial" w:hAnsi="Arial" w:cs="Arial"/>
        </w:rPr>
      </w:pPr>
      <w:r>
        <w:rPr>
          <w:rFonts w:ascii="Arial" w:hAnsi="Arial" w:cs="Arial"/>
          <w:b/>
        </w:rPr>
        <w:t>En la atención de quejas.</w:t>
      </w:r>
      <w:r>
        <w:rPr>
          <w:rFonts w:ascii="Arial" w:hAnsi="Arial" w:cs="Arial"/>
        </w:rPr>
        <w:t xml:space="preserve"> Una buena práctica ha sido brindaracompañamiento a las víctimas, en el proceso de la atención de sus casos. Además del análisis del contexto en el que se desarrollan las violaciones a los derechos humanos de las mujeres para identificar su condición y situación particular para visibilizar su vulnerabilidad y calificar su caso. Los resultados han permitido emitir recomendaciones generales y particulares, comunicados y posicionamientos. </w:t>
      </w:r>
    </w:p>
    <w:p w:rsidR="009401E1" w:rsidRDefault="009401E1" w:rsidP="009401E1">
      <w:pPr>
        <w:spacing w:before="160" w:after="160" w:line="276" w:lineRule="auto"/>
        <w:ind w:right="49"/>
        <w:jc w:val="both"/>
        <w:rPr>
          <w:rFonts w:ascii="Arial" w:hAnsi="Arial" w:cs="Arial"/>
        </w:rPr>
      </w:pPr>
      <w:r>
        <w:rPr>
          <w:rFonts w:ascii="Arial" w:hAnsi="Arial" w:cs="Arial"/>
        </w:rPr>
        <w:t>Respecto de las Recomendaciones Generales, citamos las siguientes en la materia: Recomendación General 31/2017 Sobre Violencia Obstétrica en el Sistema Nacional de Salud; Recomendación General 40/2019 Sobre Violencia Feminicida y el Derecho de las Mujeres a una Vida Libre de Violencia; y la Recomendación General 43/2020 sobre Violación al Acceso a la Justicia e Insuficiencia en la Aplicación de Políticas Públicas en la Prevención, Atención, Sanción y Reparación Integral del Daño o a Personas Víctimas Directas e Indirectas de Feminicidios y Otras Violencias.</w:t>
      </w:r>
    </w:p>
    <w:p w:rsidR="009401E1" w:rsidRDefault="009401E1" w:rsidP="009401E1">
      <w:pPr>
        <w:spacing w:before="160" w:after="160" w:line="276" w:lineRule="auto"/>
        <w:ind w:right="49"/>
        <w:jc w:val="both"/>
        <w:rPr>
          <w:rFonts w:ascii="Arial" w:hAnsi="Arial" w:cs="Arial"/>
        </w:rPr>
      </w:pPr>
      <w:r>
        <w:rPr>
          <w:rFonts w:ascii="Arial" w:hAnsi="Arial" w:cs="Arial"/>
          <w:b/>
        </w:rPr>
        <w:t xml:space="preserve">Casos relevantes o emblemáticos. </w:t>
      </w:r>
      <w:r>
        <w:rPr>
          <w:rFonts w:ascii="Arial" w:hAnsi="Arial" w:cs="Arial"/>
        </w:rPr>
        <w:t>A través del monitoreo de medios de comunicación, el PAMIMH analiza posibles hechos de violación a los derechos humanos de las mujeres. De los casos que resultan trascendentales y que requieren un manejo especifico por la gravedad e impacto que representa el derecho violado, se define la acción a seguir, misma que va desde un posicionamiento público, la solicitud de medidas cautelares o atracción del caso para generar alguna recomendación particulares o generales.</w:t>
      </w:r>
    </w:p>
    <w:p w:rsidR="009401E1" w:rsidRDefault="009401E1" w:rsidP="009401E1">
      <w:pPr>
        <w:spacing w:before="160" w:after="160" w:line="276" w:lineRule="auto"/>
        <w:jc w:val="both"/>
        <w:rPr>
          <w:rFonts w:ascii="Arial" w:hAnsi="Arial" w:cs="Arial"/>
          <w:color w:val="000000"/>
        </w:rPr>
      </w:pPr>
      <w:r>
        <w:rPr>
          <w:rFonts w:ascii="Arial" w:hAnsi="Arial" w:cs="Arial"/>
          <w:color w:val="000000"/>
        </w:rPr>
        <w:t xml:space="preserve">En este sentido, destaca la Recomendación </w:t>
      </w:r>
      <w:r>
        <w:rPr>
          <w:rFonts w:ascii="Arial" w:hAnsi="Arial" w:cs="Arial"/>
          <w:b/>
          <w:color w:val="000000"/>
        </w:rPr>
        <w:t>40/2020</w:t>
      </w:r>
      <w:r>
        <w:rPr>
          <w:rFonts w:ascii="Arial" w:hAnsi="Arial" w:cs="Arial"/>
          <w:color w:val="000000"/>
        </w:rPr>
        <w:t xml:space="preserve">, a autoridades del estado de Chiapas y del municipio de San Cristóbal de las Casas, por haberse acreditado violaciones relacionadas con la impunidad en el feminicidio de una menor, y la criminalización, detención arbitraria y tortura en agravio de tres mujeres. </w:t>
      </w:r>
    </w:p>
    <w:p w:rsidR="009401E1" w:rsidRDefault="009401E1" w:rsidP="009401E1">
      <w:pPr>
        <w:spacing w:before="160" w:after="160" w:line="276" w:lineRule="auto"/>
        <w:jc w:val="both"/>
        <w:rPr>
          <w:rFonts w:ascii="Arial" w:hAnsi="Arial" w:cs="Arial"/>
          <w:color w:val="000000"/>
        </w:rPr>
      </w:pPr>
      <w:r>
        <w:rPr>
          <w:rFonts w:ascii="Arial" w:hAnsi="Arial" w:cs="Arial"/>
          <w:color w:val="000000"/>
        </w:rPr>
        <w:t xml:space="preserve">La atracción del caso emblemático en 2019, para la emisión de medidas cautelares y atención especial, de la mujer saxofonista de Oaxaca quien fue atacada con ácido. </w:t>
      </w:r>
    </w:p>
    <w:p w:rsidR="009401E1" w:rsidRDefault="009401E1" w:rsidP="009401E1">
      <w:pPr>
        <w:spacing w:before="160" w:after="160" w:line="276" w:lineRule="auto"/>
        <w:jc w:val="both"/>
        <w:rPr>
          <w:rFonts w:ascii="Arial" w:hAnsi="Arial" w:cs="Arial"/>
          <w:color w:val="000000"/>
        </w:rPr>
      </w:pPr>
      <w:r>
        <w:rPr>
          <w:rFonts w:ascii="Arial" w:hAnsi="Arial" w:cs="Arial"/>
          <w:color w:val="000000"/>
        </w:rPr>
        <w:lastRenderedPageBreak/>
        <w:t xml:space="preserve">Así como los exhortos a las autoridades federales que en el ámbito de sus competencias han sido omisas, como el emitido el 10 de enero de 2021, donde la CNDH, exhorta a las autoridades de Veracruz a investigar los feminicidios de Adriana López Rodríguez y Samara Arroyo Lemarroy con perspectiva de género,haciendo un llamado para poner un alto a los feminicidios. </w:t>
      </w:r>
    </w:p>
    <w:p w:rsidR="009401E1" w:rsidRDefault="009401E1" w:rsidP="009401E1">
      <w:pPr>
        <w:spacing w:before="160" w:after="160" w:line="276" w:lineRule="auto"/>
        <w:jc w:val="both"/>
        <w:rPr>
          <w:rFonts w:ascii="Arial" w:hAnsi="Arial" w:cs="Arial"/>
        </w:rPr>
      </w:pPr>
      <w:r>
        <w:rPr>
          <w:rFonts w:ascii="Arial" w:hAnsi="Arial" w:cs="Arial"/>
          <w:color w:val="000000"/>
        </w:rPr>
        <w:t>De igual forma en Puebla, por los presuntos feminicidios ocurridos en los municipios de Tepeca y Tilapa para que i</w:t>
      </w:r>
      <w:r>
        <w:rPr>
          <w:rFonts w:ascii="Arial" w:hAnsi="Arial" w:cs="Arial"/>
        </w:rPr>
        <w:t>nvestiguen con perspectiva de género, diligencia y exhaustividad y el 30 de enero, la CNDH hace enérgico llamado a las autoridades de Chiapas para investigar las agresiones sexuales y el presunto feminicidio de una estudiante de medicina en Ocosingo.</w:t>
      </w:r>
    </w:p>
    <w:p w:rsidR="009401E1" w:rsidRDefault="009401E1" w:rsidP="009401E1">
      <w:pPr>
        <w:spacing w:before="160" w:after="160" w:line="276" w:lineRule="auto"/>
        <w:ind w:right="49"/>
        <w:jc w:val="both"/>
        <w:rPr>
          <w:rFonts w:ascii="Arial" w:hAnsi="Arial" w:cs="Arial"/>
        </w:rPr>
      </w:pPr>
      <w:r>
        <w:rPr>
          <w:rFonts w:ascii="Arial" w:hAnsi="Arial" w:cs="Arial"/>
          <w:b/>
          <w:bCs/>
        </w:rPr>
        <w:t xml:space="preserve">Recursos para el desarrollo de Estudios. </w:t>
      </w:r>
      <w:r>
        <w:rPr>
          <w:rFonts w:ascii="Arial" w:hAnsi="Arial" w:cs="Arial"/>
        </w:rPr>
        <w:t xml:space="preserve">El PAMIMH, recibe recursos para su operación del </w:t>
      </w:r>
      <w:r>
        <w:rPr>
          <w:rFonts w:ascii="Arial" w:hAnsi="Arial" w:cs="Arial"/>
          <w:b/>
        </w:rPr>
        <w:t>ANEXO 13 Presupuestos para la Igualdad entre Mujeres y Hombres</w:t>
      </w:r>
      <w:r>
        <w:rPr>
          <w:rFonts w:ascii="Arial" w:hAnsi="Arial" w:cs="Arial"/>
        </w:rPr>
        <w:t xml:space="preserve">, mismo que es de carácter, intransferible e irreductible además de estar etiquetado para ese fin exclusivamente. Ello, garantiza los recursos para la implementación de los programas y acciones que darán cuenta de la observancia de las políticas para la igualdad, su promoción, protección y defensa de los derechos humanos de las mujeres y las víctimas directas e indirectas, a través de los programas anuales de trabajo. </w:t>
      </w:r>
    </w:p>
    <w:p w:rsidR="009401E1" w:rsidRDefault="009401E1" w:rsidP="009401E1">
      <w:pPr>
        <w:spacing w:before="160" w:after="160" w:line="276" w:lineRule="auto"/>
        <w:jc w:val="both"/>
        <w:rPr>
          <w:rFonts w:ascii="Arial" w:hAnsi="Arial" w:cs="Arial"/>
          <w:color w:val="000000"/>
        </w:rPr>
      </w:pPr>
      <w:r>
        <w:rPr>
          <w:rFonts w:ascii="Arial" w:hAnsi="Arial" w:cs="Arial"/>
          <w:color w:val="000000"/>
        </w:rPr>
        <w:t>El 6 de julio, la CNDH suscribió el posicionamiento de la Cámara de Diputados, respecto a la solicitud a la Secretaría de Hacienda de no reducir los recursos del Anexo 13 “Erogaciones para la igualdad entre mujeres y hombres.</w:t>
      </w:r>
    </w:p>
    <w:p w:rsidR="009401E1" w:rsidRDefault="009401E1" w:rsidP="009401E1">
      <w:pPr>
        <w:spacing w:before="160" w:after="160" w:line="276" w:lineRule="auto"/>
        <w:jc w:val="both"/>
        <w:rPr>
          <w:rFonts w:ascii="Arial" w:hAnsi="Arial" w:cs="Arial"/>
          <w:color w:val="000000"/>
        </w:rPr>
      </w:pPr>
      <w:r>
        <w:rPr>
          <w:rFonts w:ascii="Arial" w:hAnsi="Arial" w:cs="Arial"/>
          <w:color w:val="000000"/>
        </w:rPr>
        <w:t>En el marco de la observancia la Política Nacional en Materia de Igualdad entre Mujeres y Hombres, destaca la publicación de los estudios:</w:t>
      </w:r>
    </w:p>
    <w:p w:rsidR="009401E1" w:rsidRDefault="009401E1" w:rsidP="009401E1">
      <w:pPr>
        <w:pStyle w:val="Prrafodelista"/>
        <w:numPr>
          <w:ilvl w:val="0"/>
          <w:numId w:val="5"/>
        </w:numPr>
        <w:spacing w:before="160" w:after="160" w:line="276" w:lineRule="auto"/>
        <w:jc w:val="both"/>
        <w:rPr>
          <w:rFonts w:ascii="Arial" w:hAnsi="Arial" w:cs="Arial"/>
          <w:color w:val="000000"/>
        </w:rPr>
      </w:pPr>
      <w:r>
        <w:rPr>
          <w:rFonts w:ascii="Arial" w:hAnsi="Arial" w:cs="Arial"/>
          <w:i/>
          <w:color w:val="000000"/>
        </w:rPr>
        <w:t>La violencia contra las mujeres en el contexto del COVID-19</w:t>
      </w:r>
      <w:r>
        <w:rPr>
          <w:rFonts w:ascii="Arial" w:hAnsi="Arial" w:cs="Arial"/>
          <w:color w:val="000000"/>
        </w:rPr>
        <w:t xml:space="preserve">. </w:t>
      </w:r>
    </w:p>
    <w:p w:rsidR="009401E1" w:rsidRDefault="009401E1" w:rsidP="009401E1">
      <w:pPr>
        <w:pStyle w:val="Prrafodelista"/>
        <w:numPr>
          <w:ilvl w:val="0"/>
          <w:numId w:val="5"/>
        </w:numPr>
        <w:spacing w:before="160" w:after="160" w:line="276" w:lineRule="auto"/>
        <w:jc w:val="both"/>
        <w:rPr>
          <w:rFonts w:ascii="Arial" w:hAnsi="Arial" w:cs="Arial"/>
          <w:color w:val="000000"/>
        </w:rPr>
      </w:pPr>
      <w:r>
        <w:rPr>
          <w:rFonts w:ascii="Arial" w:hAnsi="Arial" w:cs="Arial"/>
          <w:color w:val="000000"/>
        </w:rPr>
        <w:t xml:space="preserve">Rutas para que las mujeres accedan a las órdenes de protección. </w:t>
      </w:r>
    </w:p>
    <w:p w:rsidR="009401E1" w:rsidRDefault="009401E1" w:rsidP="009401E1">
      <w:pPr>
        <w:pStyle w:val="Prrafodelista"/>
        <w:numPr>
          <w:ilvl w:val="0"/>
          <w:numId w:val="5"/>
        </w:numPr>
        <w:spacing w:before="160" w:after="160" w:line="276" w:lineRule="auto"/>
        <w:jc w:val="both"/>
        <w:rPr>
          <w:rFonts w:ascii="Arial" w:hAnsi="Arial" w:cs="Arial"/>
          <w:color w:val="000000"/>
        </w:rPr>
      </w:pPr>
      <w:r>
        <w:rPr>
          <w:rFonts w:ascii="Arial" w:hAnsi="Arial" w:cs="Arial"/>
          <w:i/>
          <w:color w:val="000000"/>
        </w:rPr>
        <w:t xml:space="preserve">Principales Retos Legislativos en Materia de Igualdad, no Discriminación y no Violencia contra las Mujeres en México (2020) </w:t>
      </w:r>
      <w:r>
        <w:rPr>
          <w:rFonts w:ascii="Arial" w:hAnsi="Arial" w:cs="Arial"/>
          <w:color w:val="000000"/>
        </w:rPr>
        <w:t xml:space="preserve">y </w:t>
      </w:r>
    </w:p>
    <w:p w:rsidR="009401E1" w:rsidRDefault="009401E1" w:rsidP="009401E1">
      <w:pPr>
        <w:spacing w:line="276" w:lineRule="auto"/>
        <w:jc w:val="both"/>
        <w:rPr>
          <w:rFonts w:ascii="Arial" w:hAnsi="Arial" w:cs="Arial"/>
        </w:rPr>
      </w:pPr>
      <w:r>
        <w:rPr>
          <w:rFonts w:ascii="Arial" w:hAnsi="Arial" w:cs="Arial"/>
          <w:b/>
          <w:bCs/>
        </w:rPr>
        <w:t xml:space="preserve">Construir vinculaciones estratégicas Interinstitucionales. </w:t>
      </w:r>
      <w:r>
        <w:rPr>
          <w:rFonts w:ascii="Arial" w:hAnsi="Arial" w:cs="Arial"/>
          <w:bCs/>
        </w:rPr>
        <w:t xml:space="preserve">En el contexto de violencia contra las mujeres, </w:t>
      </w:r>
      <w:r>
        <w:rPr>
          <w:rFonts w:ascii="Arial" w:hAnsi="Arial" w:cs="Arial"/>
          <w:b/>
        </w:rPr>
        <w:t>la CNDH forma parte de los Grupos Multidisciplinarios para las Alertas de Violencia de Genero contra las Mujeres (AVG):</w:t>
      </w:r>
      <w:r>
        <w:rPr>
          <w:rFonts w:ascii="Arial" w:hAnsi="Arial" w:cs="Arial"/>
        </w:rPr>
        <w:t xml:space="preserve"> el mecanismo de las AVG es un instrumento establecido en la Ley General de Acceso de las Mujeres a Una Vida Libre de Violencia, que permite dar seguimiento al contexto de violencia feminicida que enfrentan muchas mujeres y niñas en distintas partes del país y que debe de ser atendido con urgencia por parte de las autoridades. </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lang w:val="es-ES"/>
        </w:rPr>
      </w:pPr>
      <w:r>
        <w:rPr>
          <w:rFonts w:ascii="Arial" w:hAnsi="Arial" w:cs="Arial"/>
        </w:rPr>
        <w:lastRenderedPageBreak/>
        <w:t xml:space="preserve">En estos Grupos, se hacen visitas in situ, entrevistas para analizar las acciones que implementan los gobiernos y recomendaciones para coadyuvar a la erradicación delde la violencia que afecta a las mujeres. La CNDH como integrante de estos grupos, ha emitido votos razonadosen algunos casos por considerar que es necesario dejar precedente sobre los motivos que los originan y </w:t>
      </w:r>
      <w:r>
        <w:rPr>
          <w:rFonts w:ascii="Arial" w:hAnsi="Arial" w:cs="Arial"/>
          <w:lang w:val="es-ES"/>
        </w:rPr>
        <w:t>desde 2017 elabora documentos de evaluación y diagnósticos de los procedimientos, en donde se incluye una revisión general de la Política Nacional Integral para Prevenir, Atender, Sancionar y Erradicar la Violencia contra las Mujeres y de las acciones de prevención, seguridad y justicia para hacer frente a la violencia feminicidio.</w:t>
      </w:r>
    </w:p>
    <w:p w:rsidR="009401E1" w:rsidRDefault="009401E1" w:rsidP="009401E1">
      <w:pPr>
        <w:spacing w:line="276" w:lineRule="auto"/>
        <w:jc w:val="both"/>
        <w:rPr>
          <w:rFonts w:ascii="Arial" w:hAnsi="Arial" w:cs="Arial"/>
        </w:rPr>
      </w:pPr>
    </w:p>
    <w:p w:rsidR="009401E1" w:rsidRDefault="009401E1" w:rsidP="009401E1">
      <w:pPr>
        <w:spacing w:line="276" w:lineRule="auto"/>
        <w:jc w:val="both"/>
        <w:rPr>
          <w:rFonts w:ascii="Arial" w:hAnsi="Arial" w:cs="Arial"/>
        </w:rPr>
      </w:pPr>
      <w:r>
        <w:rPr>
          <w:rFonts w:ascii="Arial" w:hAnsi="Arial" w:cs="Arial"/>
        </w:rPr>
        <w:t>A continuación, se brindan las ligas electrónicas a cada uno de estos documentos:</w:t>
      </w:r>
    </w:p>
    <w:p w:rsidR="009401E1" w:rsidRDefault="009401E1" w:rsidP="009401E1">
      <w:pPr>
        <w:pStyle w:val="Prrafodelista"/>
        <w:spacing w:line="276" w:lineRule="auto"/>
        <w:rPr>
          <w:rFonts w:ascii="Arial" w:hAnsi="Arial" w:cs="Arial"/>
        </w:rPr>
      </w:pPr>
      <w:r>
        <w:rPr>
          <w:rFonts w:ascii="Arial" w:hAnsi="Arial" w:cs="Arial"/>
        </w:rPr>
        <w:t>2017</w:t>
      </w:r>
    </w:p>
    <w:p w:rsidR="009401E1" w:rsidRDefault="009401E1" w:rsidP="009401E1">
      <w:pPr>
        <w:pStyle w:val="Prrafodelista"/>
        <w:spacing w:line="276" w:lineRule="auto"/>
        <w:rPr>
          <w:rFonts w:ascii="Arial" w:hAnsi="Arial" w:cs="Arial"/>
        </w:rPr>
      </w:pPr>
      <w:hyperlink r:id="rId25" w:history="1">
        <w:r>
          <w:rPr>
            <w:rStyle w:val="Hipervnculo"/>
            <w:rFonts w:ascii="Arial" w:hAnsi="Arial" w:cs="Arial"/>
          </w:rPr>
          <w:t>https://www.cndh.org.mx/sites/all/doc/Informes/Especiales/Diagnostico-AVGM.pdf</w:t>
        </w:r>
      </w:hyperlink>
    </w:p>
    <w:p w:rsidR="009401E1" w:rsidRDefault="009401E1" w:rsidP="009401E1">
      <w:pPr>
        <w:pStyle w:val="Prrafodelista"/>
        <w:spacing w:line="276" w:lineRule="auto"/>
        <w:rPr>
          <w:rFonts w:ascii="Arial" w:hAnsi="Arial" w:cs="Arial"/>
        </w:rPr>
      </w:pPr>
      <w:r>
        <w:rPr>
          <w:rFonts w:ascii="Arial" w:hAnsi="Arial" w:cs="Arial"/>
        </w:rPr>
        <w:t>2018</w:t>
      </w:r>
    </w:p>
    <w:p w:rsidR="009401E1" w:rsidRDefault="009401E1" w:rsidP="009401E1">
      <w:pPr>
        <w:pStyle w:val="Prrafodelista"/>
        <w:spacing w:line="276" w:lineRule="auto"/>
        <w:rPr>
          <w:rFonts w:ascii="Arial" w:hAnsi="Arial" w:cs="Arial"/>
        </w:rPr>
      </w:pPr>
      <w:hyperlink r:id="rId26" w:history="1">
        <w:r>
          <w:rPr>
            <w:rStyle w:val="Hipervnculo"/>
            <w:rFonts w:ascii="Arial" w:hAnsi="Arial" w:cs="Arial"/>
          </w:rPr>
          <w:t>http://igualdaddegenero.cndh.org.mx/Content/doc/Publicaciones/Diagnostico-AVGM-2018.pdf</w:t>
        </w:r>
      </w:hyperlink>
    </w:p>
    <w:p w:rsidR="009401E1" w:rsidRDefault="009401E1" w:rsidP="009401E1">
      <w:pPr>
        <w:pStyle w:val="Prrafodelista"/>
        <w:spacing w:line="276" w:lineRule="auto"/>
        <w:rPr>
          <w:rFonts w:ascii="Arial" w:hAnsi="Arial" w:cs="Arial"/>
        </w:rPr>
      </w:pPr>
      <w:r>
        <w:rPr>
          <w:rFonts w:ascii="Arial" w:hAnsi="Arial" w:cs="Arial"/>
        </w:rPr>
        <w:t xml:space="preserve">2019 </w:t>
      </w:r>
    </w:p>
    <w:p w:rsidR="009401E1" w:rsidRDefault="009401E1" w:rsidP="009401E1">
      <w:pPr>
        <w:pStyle w:val="Prrafodelista"/>
        <w:spacing w:line="276" w:lineRule="auto"/>
        <w:rPr>
          <w:rFonts w:ascii="Arial" w:hAnsi="Arial" w:cs="Arial"/>
        </w:rPr>
      </w:pPr>
      <w:hyperlink r:id="rId27" w:history="1">
        <w:r>
          <w:rPr>
            <w:rStyle w:val="Hipervnculo"/>
            <w:rFonts w:ascii="Arial" w:hAnsi="Arial" w:cs="Arial"/>
          </w:rPr>
          <w:t>https://www.cndh.org.mx/sites/default/files/documentos/2019-11/Estudio-AVGM-2019.pdf</w:t>
        </w:r>
      </w:hyperlink>
    </w:p>
    <w:p w:rsidR="009401E1" w:rsidRDefault="009401E1" w:rsidP="009401E1">
      <w:pPr>
        <w:pStyle w:val="Prrafodelista"/>
        <w:spacing w:line="276" w:lineRule="auto"/>
        <w:rPr>
          <w:rFonts w:ascii="Arial" w:hAnsi="Arial" w:cs="Arial"/>
        </w:rPr>
      </w:pPr>
      <w:r>
        <w:rPr>
          <w:rFonts w:ascii="Arial" w:hAnsi="Arial" w:cs="Arial"/>
        </w:rPr>
        <w:t xml:space="preserve">2020 </w:t>
      </w:r>
      <w:hyperlink r:id="rId28" w:history="1">
        <w:r>
          <w:rPr>
            <w:rStyle w:val="Hipervnculo"/>
            <w:rFonts w:ascii="Arial" w:hAnsi="Arial" w:cs="Arial"/>
          </w:rPr>
          <w:t>http://igualdaddegenero.cndh.org.mx/Content/doc/Publicaciones/Seguimiento_Alerta_VG_2020.pdf</w:t>
        </w:r>
      </w:hyperlink>
    </w:p>
    <w:p w:rsidR="009401E1" w:rsidRDefault="009401E1" w:rsidP="009401E1">
      <w:pPr>
        <w:spacing w:before="160" w:after="160" w:line="276" w:lineRule="auto"/>
        <w:jc w:val="both"/>
        <w:rPr>
          <w:rFonts w:ascii="Arial" w:hAnsi="Arial" w:cs="Arial"/>
        </w:rPr>
      </w:pPr>
      <w:r>
        <w:rPr>
          <w:rFonts w:ascii="Arial" w:hAnsi="Arial" w:cs="Arial"/>
          <w:b/>
        </w:rPr>
        <w:t>La publicación y entrega de estudios a los entes obligados y responsables de la igualdad entre mujeres y hombres.</w:t>
      </w:r>
      <w:r>
        <w:rPr>
          <w:rFonts w:ascii="Arial" w:hAnsi="Arial" w:cs="Arial"/>
        </w:rPr>
        <w:t xml:space="preserve">  A raíz de las labores de observancia en el seguimiento, monitoreo y evaluación de la política nacional de igualdad; se realizan estudios y diagnósticos sobre la situación que guardan los derechos humanos de las mujeres en relación con los principales tratados internacionales en la materia. </w:t>
      </w:r>
    </w:p>
    <w:p w:rsidR="009401E1" w:rsidRDefault="009401E1" w:rsidP="009401E1">
      <w:pPr>
        <w:spacing w:before="160" w:after="160" w:line="276" w:lineRule="auto"/>
        <w:jc w:val="both"/>
        <w:rPr>
          <w:rFonts w:ascii="Arial" w:hAnsi="Arial" w:cs="Arial"/>
        </w:rPr>
      </w:pPr>
      <w:r>
        <w:rPr>
          <w:rFonts w:ascii="Arial" w:hAnsi="Arial" w:cs="Arial"/>
        </w:rPr>
        <w:t xml:space="preserve">Así, por ejemplo, una buena práctica que se deriva de ellos, en materia legislativa, es la identificación de aquellos derechos de las mujeres no incorporados en el aparato jurídico nacional y estatal y que afectan el pleno goce y ejercicio de los derechos, así como los roles y estereotipos que pudieran estar presentes en la narrativa de los mismos. De este análisis, se realizan informes, diagnósticos o estudios, que se hacen del conocimiento de los entes obligados para propiciar las reformas necesarias y con ello lograr una mejor armonización de los derechos de las mujeres a nivel nacional y local. Entre algunos de los estudios realizados en la materia se encuentran: Principales retos legislativos en materia de Igualdad, No Discriminación y No Violencia contra las mujeres en México, 2020; Rutas para que </w:t>
      </w:r>
      <w:r>
        <w:rPr>
          <w:rFonts w:ascii="Arial" w:hAnsi="Arial" w:cs="Arial"/>
        </w:rPr>
        <w:lastRenderedPageBreak/>
        <w:t>las mujeres accedan a las órdenes de protección; La participación política de las Mujeres en México, 2020; Diagnóstico de Hostigamiento sexual y Acoso sexual en la Administración Pública Federal (2015-2018), entre otros.</w:t>
      </w:r>
    </w:p>
    <w:p w:rsidR="009401E1" w:rsidRDefault="009401E1" w:rsidP="009401E1">
      <w:pPr>
        <w:spacing w:line="276" w:lineRule="auto"/>
        <w:jc w:val="both"/>
        <w:rPr>
          <w:rFonts w:ascii="Arial" w:hAnsi="Arial" w:cs="Arial"/>
        </w:rPr>
      </w:pPr>
      <w:r>
        <w:rPr>
          <w:rFonts w:ascii="Arial" w:hAnsi="Arial" w:cs="Arial"/>
          <w:b/>
          <w:bCs/>
        </w:rPr>
        <w:t>Los Reportes de brechas de género de los ámbitos de aplicación de la Política Nacional en Materia de Igualdad y No Discriminación</w:t>
      </w:r>
      <w:r>
        <w:rPr>
          <w:rFonts w:ascii="Arial" w:hAnsi="Arial" w:cs="Arial"/>
        </w:rPr>
        <w:t>. Estos pretenden medir el avance de las acciones implementadas por la política Nacional de Igualdad entre Mujeres y Hombres de 2019 a 2024, en los ámbitos que establece la Ley General para la Igualdad entre Mujeres y Hombres, a saber, Económico, Civil, Social, Político y Cultural.</w:t>
      </w:r>
    </w:p>
    <w:p w:rsidR="009401E1" w:rsidRDefault="009401E1" w:rsidP="009401E1">
      <w:pPr>
        <w:spacing w:before="160" w:after="160" w:line="276" w:lineRule="auto"/>
        <w:jc w:val="both"/>
        <w:rPr>
          <w:rFonts w:ascii="Arial" w:hAnsi="Arial" w:cs="Arial"/>
          <w:color w:val="000000"/>
        </w:rPr>
      </w:pPr>
      <w:r>
        <w:rPr>
          <w:rFonts w:ascii="Arial" w:hAnsi="Arial" w:cs="Arial"/>
          <w:b/>
        </w:rPr>
        <w:t xml:space="preserve">“Informe alterno de medio término de la CNDH respecto a las Observaciones finales sobre el Noveno Informe Periódico de México del Comité para la Eliminación de la Discriminación (CEDAW)”. </w:t>
      </w:r>
      <w:r>
        <w:rPr>
          <w:rFonts w:ascii="Arial" w:hAnsi="Arial" w:cs="Arial"/>
        </w:rPr>
        <w:t xml:space="preserve">Otra manera en la que se contribuye con la observancia a la Política de Igualdad entre Mujeres y Hombres es mediante el seguimiento al cumplimiento que se da a los compromisos adquiridos por el Estado mexicano en los tratados internacionales sobre igualdad, no discriminación y no violencia contra las mujeres de los que México es parte. </w:t>
      </w:r>
      <w:r>
        <w:rPr>
          <w:rFonts w:ascii="Arial" w:hAnsi="Arial" w:cs="Arial"/>
          <w:color w:val="000000"/>
        </w:rPr>
        <w:t xml:space="preserve">en el cual se abordan pendientes por parte de las instituciones relacionados con la violencia feminicida, el procedimiento de Alerta de Violencia de Género contra las Mujeres, el Programa de Alerta Ámber y el Protocolo Alba, así como la resolución del caso de Pilar Argüello Trujillo. </w:t>
      </w:r>
    </w:p>
    <w:p w:rsidR="009401E1" w:rsidRDefault="009401E1" w:rsidP="009401E1">
      <w:pPr>
        <w:spacing w:before="160" w:after="160" w:line="276" w:lineRule="auto"/>
        <w:jc w:val="both"/>
        <w:rPr>
          <w:rFonts w:ascii="Arial" w:hAnsi="Arial" w:cs="Arial"/>
          <w:b/>
        </w:rPr>
      </w:pPr>
      <w:r>
        <w:rPr>
          <w:rFonts w:ascii="Arial" w:hAnsi="Arial" w:cs="Arial"/>
          <w:b/>
        </w:rPr>
        <w:t>En materia de Sistemas de Información pública. Para la búsqueda y visibilidad de los avances de los derechos humanos de las mujeres en México.</w:t>
      </w:r>
    </w:p>
    <w:p w:rsidR="009401E1" w:rsidRDefault="009401E1" w:rsidP="009401E1">
      <w:pPr>
        <w:spacing w:before="160" w:after="160" w:line="276" w:lineRule="auto"/>
        <w:jc w:val="both"/>
        <w:rPr>
          <w:rFonts w:ascii="Arial" w:hAnsi="Arial" w:cs="Arial"/>
        </w:rPr>
      </w:pPr>
      <w:r>
        <w:rPr>
          <w:rFonts w:ascii="Arial" w:hAnsi="Arial" w:cs="Arial"/>
        </w:rPr>
        <w:t xml:space="preserve">A finales de 2018, la CNDH lanzó la plataforma del Atlas de Igualdad y Derechos Humanos, junto con el Colegio de Geografía de la UNAM, la cual tuvo como objetivo ofrecer a la población una herramienta que le permitiera ver la situación de las mujeres, en un lugar y periodo específico, sobre el acceso a sus derechos humanos. Esto, se diseñó, pensando en los distintos ámbitos que establece la Ley General para la Igualdad entre Mujeres y Hombres: Social, Civil, Político, Cultural y Económico, así como en los ámbitos espacial y de violencia contra las mujeres.  </w:t>
      </w:r>
    </w:p>
    <w:p w:rsidR="009401E1" w:rsidRDefault="009401E1" w:rsidP="009401E1">
      <w:pPr>
        <w:spacing w:before="160" w:after="160" w:line="276" w:lineRule="auto"/>
        <w:jc w:val="both"/>
        <w:rPr>
          <w:rFonts w:ascii="Arial" w:hAnsi="Arial" w:cs="Arial"/>
        </w:rPr>
      </w:pPr>
      <w:r>
        <w:rPr>
          <w:rFonts w:ascii="Arial" w:hAnsi="Arial" w:cs="Arial"/>
        </w:rPr>
        <w:t>La Comisión Nacional de los Derechos Humanos en 2020, celebro 30 años de existencia y un año de la defensoría actual, en la que se destaca que el tema de la violencia de género y la violencia feminicida, que son realidades que ameritan soluciones urgentes y contundentes en las que se han emprendido acciones de carácter prioritario como los exhortos al Gobierno Federal Estatal y Municipales para reconocer y emprender planes emergentes para atender la violencia contra las mujeres agravada por la contingencia sanitaria por COVID-19.</w:t>
      </w:r>
    </w:p>
    <w:p w:rsidR="009401E1" w:rsidRDefault="009401E1" w:rsidP="009401E1">
      <w:pPr>
        <w:spacing w:before="160" w:after="160" w:line="276" w:lineRule="auto"/>
        <w:jc w:val="both"/>
        <w:rPr>
          <w:rFonts w:ascii="Arial" w:hAnsi="Arial" w:cs="Arial"/>
          <w:color w:val="000000"/>
        </w:rPr>
      </w:pPr>
      <w:r>
        <w:rPr>
          <w:rFonts w:ascii="Arial" w:hAnsi="Arial" w:cs="Arial"/>
          <w:color w:val="000000"/>
        </w:rPr>
        <w:lastRenderedPageBreak/>
        <w:t xml:space="preserve">Se realizó un enérgico extrañamiento respecto a la campaña “Cuenta Hasta 10”, lanzada en los primeros meses de confinamiento, respecto a la Violencia contra las mujeres. El exhorto se dirigió a las autoridades de todos los niveles a difundir información adecuada a la realidad. Este exhorto tuvo inmediata respuesta por parte del titular del Poder Ejecutivo federal, quien de manera pública anunció el 8 de junio, en su conferencia matutina, que lo acataría, estando aún a la espera que idéntica respuesta se tenga de las autoridades estatales y municipales. </w:t>
      </w:r>
    </w:p>
    <w:p w:rsidR="009401E1" w:rsidRDefault="009401E1" w:rsidP="009401E1">
      <w:pPr>
        <w:spacing w:before="160" w:after="160" w:line="276" w:lineRule="auto"/>
        <w:jc w:val="both"/>
        <w:rPr>
          <w:rFonts w:ascii="Arial" w:hAnsi="Arial" w:cs="Arial"/>
          <w:color w:val="000000"/>
        </w:rPr>
      </w:pPr>
      <w:r>
        <w:rPr>
          <w:rFonts w:ascii="Arial" w:hAnsi="Arial" w:cs="Arial"/>
          <w:color w:val="000000"/>
        </w:rPr>
        <w:t xml:space="preserve">Además, la CNDH se sumó el 7 de julio de 2020, a la Campaña </w:t>
      </w:r>
      <w:r>
        <w:rPr>
          <w:rFonts w:ascii="Arial" w:hAnsi="Arial" w:cs="Arial"/>
          <w:b/>
          <w:color w:val="000000"/>
        </w:rPr>
        <w:t xml:space="preserve">“Nadie Nace Macho” </w:t>
      </w:r>
      <w:r>
        <w:rPr>
          <w:rFonts w:ascii="Arial" w:hAnsi="Arial" w:cs="Arial"/>
          <w:color w:val="000000"/>
        </w:rPr>
        <w:t xml:space="preserve">de la Fundación Pozo de Vida A.C., con la finalidad de reforzar la necesidad imperante de generar condiciones de igualdad entre mujeres y hombres a través de la concientización especializada hacia los hombres. </w:t>
      </w:r>
    </w:p>
    <w:p w:rsidR="009401E1" w:rsidRPr="00673DAF" w:rsidRDefault="009401E1" w:rsidP="00673DAF">
      <w:pPr>
        <w:pStyle w:val="Prrafodelista"/>
        <w:numPr>
          <w:ilvl w:val="0"/>
          <w:numId w:val="2"/>
        </w:numPr>
        <w:spacing w:line="276" w:lineRule="auto"/>
        <w:jc w:val="both"/>
        <w:rPr>
          <w:rFonts w:ascii="Arial" w:hAnsi="Arial" w:cs="Arial"/>
          <w:b/>
          <w:lang w:val="es-ES"/>
        </w:rPr>
      </w:pPr>
      <w:r>
        <w:rPr>
          <w:rFonts w:ascii="Arial" w:hAnsi="Arial" w:cs="Arial"/>
          <w:b/>
          <w:lang w:val="es-ES"/>
        </w:rPr>
        <w:t xml:space="preserve">Sobre los datos, si están disponibles, sobre feminicidios u homicidios de mujeres y hombres relacionados con la pareja y la familia en los últimos 3 años, incluso durante la pandemia de COVID-19 (indicando el periodo de tiempo, por ejemplo, desde marzo de 2020 hasta finales de diciembre de 2020) y su comparación con dichos datos antes de la pandemia de COVID-19. </w:t>
      </w:r>
    </w:p>
    <w:p w:rsidR="009401E1" w:rsidRDefault="009401E1" w:rsidP="009401E1">
      <w:pPr>
        <w:spacing w:line="276" w:lineRule="auto"/>
        <w:jc w:val="both"/>
        <w:rPr>
          <w:rFonts w:ascii="Arial" w:hAnsi="Arial" w:cs="Arial"/>
          <w:lang w:val="es-ES"/>
        </w:rPr>
      </w:pPr>
      <w:r>
        <w:rPr>
          <w:rFonts w:ascii="Arial" w:hAnsi="Arial" w:cs="Arial"/>
          <w:lang w:val="es-ES"/>
        </w:rPr>
        <w:t>Los datos que son utilizados por este Programa se recuperan de fuentes oficiales. Esta información es de uso continuo dentro del PAMIMH se llevan a cabo documentos de uso interno que analizan las fuentes oficiales sobre violencia feminicida y feminicidio.</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 xml:space="preserve">Las cifras más actualizadas que incluye información pública sobre feminicidios y homicidios no desagregan información por calidad o relación de la víctima con el victimario (Tabla 1 y Tabla 2). </w:t>
      </w:r>
    </w:p>
    <w:p w:rsidR="009401E1" w:rsidRDefault="009401E1" w:rsidP="009401E1">
      <w:pPr>
        <w:spacing w:line="276" w:lineRule="auto"/>
        <w:jc w:val="both"/>
        <w:rPr>
          <w:rFonts w:ascii="Arial" w:hAnsi="Arial" w:cs="Arial"/>
          <w:lang w:val="es-ES"/>
        </w:rPr>
      </w:pPr>
    </w:p>
    <w:p w:rsidR="009401E1" w:rsidRDefault="009401E1" w:rsidP="009401E1">
      <w:pPr>
        <w:pStyle w:val="Epgrafe"/>
        <w:keepNext/>
        <w:spacing w:line="276" w:lineRule="auto"/>
        <w:rPr>
          <w:rFonts w:ascii="Arial" w:hAnsi="Arial" w:cs="Arial"/>
          <w:sz w:val="24"/>
          <w:szCs w:val="24"/>
        </w:rPr>
      </w:pPr>
      <w:r>
        <w:rPr>
          <w:rFonts w:ascii="Arial" w:hAnsi="Arial" w:cs="Arial"/>
          <w:sz w:val="24"/>
          <w:szCs w:val="24"/>
        </w:rPr>
        <w:t xml:space="preserve">Tabla </w:t>
      </w:r>
      <w:r>
        <w:rPr>
          <w:rFonts w:ascii="Arial" w:hAnsi="Arial" w:cs="Arial"/>
          <w:sz w:val="24"/>
          <w:szCs w:val="24"/>
        </w:rPr>
        <w:fldChar w:fldCharType="begin"/>
      </w:r>
      <w:r>
        <w:rPr>
          <w:rFonts w:ascii="Arial" w:hAnsi="Arial" w:cs="Arial"/>
          <w:sz w:val="24"/>
          <w:szCs w:val="24"/>
        </w:rPr>
        <w:instrText xml:space="preserve"> SEQ Tabla \* ARABIC </w:instrText>
      </w:r>
      <w:r>
        <w:rPr>
          <w:rFonts w:ascii="Arial" w:hAnsi="Arial" w:cs="Arial"/>
          <w:sz w:val="24"/>
          <w:szCs w:val="24"/>
        </w:rPr>
        <w:fldChar w:fldCharType="separate"/>
      </w:r>
      <w:r>
        <w:rPr>
          <w:rFonts w:ascii="Arial" w:hAnsi="Arial" w:cs="Arial"/>
          <w:noProof/>
          <w:sz w:val="24"/>
          <w:szCs w:val="24"/>
        </w:rPr>
        <w:t>1</w:t>
      </w:r>
      <w:r>
        <w:rPr>
          <w:rFonts w:ascii="Arial" w:hAnsi="Arial" w:cs="Arial"/>
          <w:sz w:val="24"/>
          <w:szCs w:val="24"/>
        </w:rPr>
        <w:fldChar w:fldCharType="end"/>
      </w:r>
      <w:r>
        <w:rPr>
          <w:rFonts w:ascii="Arial" w:hAnsi="Arial" w:cs="Arial"/>
          <w:sz w:val="24"/>
          <w:szCs w:val="24"/>
        </w:rPr>
        <w:t>.Presuntos delitos de feminicidio a nivel nacional</w:t>
      </w:r>
    </w:p>
    <w:tbl>
      <w:tblPr>
        <w:tblStyle w:val="GridTable5DarkAccent5"/>
        <w:tblW w:w="0" w:type="auto"/>
        <w:tblInd w:w="0" w:type="dxa"/>
        <w:tblLook w:val="04A0"/>
      </w:tblPr>
      <w:tblGrid>
        <w:gridCol w:w="1660"/>
        <w:gridCol w:w="1792"/>
        <w:gridCol w:w="1792"/>
        <w:gridCol w:w="1792"/>
        <w:gridCol w:w="1792"/>
      </w:tblGrid>
      <w:tr w:rsidR="009401E1" w:rsidTr="009401E1">
        <w:trPr>
          <w:cnfStyle w:val="100000000000"/>
        </w:trPr>
        <w:tc>
          <w:tcPr>
            <w:cnfStyle w:val="001000000000"/>
            <w:tcW w:w="1660" w:type="dxa"/>
            <w:tcBorders>
              <w:bottom w:val="single" w:sz="4" w:space="0" w:color="FFFFFF" w:themeColor="background1"/>
              <w:right w:val="nil"/>
            </w:tcBorders>
          </w:tcPr>
          <w:p w:rsidR="009401E1" w:rsidRDefault="009401E1">
            <w:pPr>
              <w:spacing w:line="276" w:lineRule="auto"/>
              <w:jc w:val="both"/>
              <w:rPr>
                <w:rFonts w:ascii="Arial" w:hAnsi="Arial" w:cs="Arial"/>
                <w:lang w:val="es-ES"/>
              </w:rPr>
            </w:pPr>
          </w:p>
        </w:tc>
        <w:tc>
          <w:tcPr>
            <w:tcW w:w="1792" w:type="dxa"/>
            <w:tcBorders>
              <w:left w:val="nil"/>
              <w:bottom w:val="single" w:sz="4" w:space="0" w:color="FFFFFF" w:themeColor="background1"/>
              <w:right w:val="nil"/>
            </w:tcBorders>
            <w:hideMark/>
          </w:tcPr>
          <w:p w:rsidR="009401E1" w:rsidRDefault="009401E1">
            <w:pPr>
              <w:spacing w:line="276" w:lineRule="auto"/>
              <w:jc w:val="center"/>
              <w:cnfStyle w:val="100000000000"/>
              <w:rPr>
                <w:rFonts w:ascii="Arial" w:hAnsi="Arial" w:cs="Arial"/>
                <w:lang w:val="es-ES"/>
              </w:rPr>
            </w:pPr>
            <w:r>
              <w:rPr>
                <w:rFonts w:ascii="Arial" w:hAnsi="Arial" w:cs="Arial"/>
                <w:lang w:val="es-ES"/>
              </w:rPr>
              <w:t>2018</w:t>
            </w:r>
          </w:p>
        </w:tc>
        <w:tc>
          <w:tcPr>
            <w:tcW w:w="1792" w:type="dxa"/>
            <w:tcBorders>
              <w:left w:val="nil"/>
              <w:bottom w:val="single" w:sz="4" w:space="0" w:color="FFFFFF" w:themeColor="background1"/>
              <w:right w:val="nil"/>
            </w:tcBorders>
            <w:hideMark/>
          </w:tcPr>
          <w:p w:rsidR="009401E1" w:rsidRDefault="009401E1">
            <w:pPr>
              <w:spacing w:line="276" w:lineRule="auto"/>
              <w:jc w:val="center"/>
              <w:cnfStyle w:val="100000000000"/>
              <w:rPr>
                <w:rFonts w:ascii="Arial" w:hAnsi="Arial" w:cs="Arial"/>
                <w:lang w:val="es-ES"/>
              </w:rPr>
            </w:pPr>
            <w:r>
              <w:rPr>
                <w:rFonts w:ascii="Arial" w:hAnsi="Arial" w:cs="Arial"/>
                <w:lang w:val="es-ES"/>
              </w:rPr>
              <w:t>2019</w:t>
            </w:r>
          </w:p>
        </w:tc>
        <w:tc>
          <w:tcPr>
            <w:tcW w:w="1792" w:type="dxa"/>
            <w:tcBorders>
              <w:left w:val="nil"/>
              <w:bottom w:val="single" w:sz="4" w:space="0" w:color="FFFFFF" w:themeColor="background1"/>
              <w:right w:val="nil"/>
            </w:tcBorders>
            <w:hideMark/>
          </w:tcPr>
          <w:p w:rsidR="009401E1" w:rsidRDefault="009401E1">
            <w:pPr>
              <w:spacing w:line="276" w:lineRule="auto"/>
              <w:jc w:val="center"/>
              <w:cnfStyle w:val="100000000000"/>
              <w:rPr>
                <w:rFonts w:ascii="Arial" w:hAnsi="Arial" w:cs="Arial"/>
                <w:lang w:val="es-ES"/>
              </w:rPr>
            </w:pPr>
            <w:r>
              <w:rPr>
                <w:rFonts w:ascii="Arial" w:hAnsi="Arial" w:cs="Arial"/>
                <w:lang w:val="es-ES"/>
              </w:rPr>
              <w:t>2020</w:t>
            </w:r>
          </w:p>
        </w:tc>
        <w:tc>
          <w:tcPr>
            <w:tcW w:w="1792" w:type="dxa"/>
            <w:tcBorders>
              <w:left w:val="nil"/>
              <w:bottom w:val="single" w:sz="4" w:space="0" w:color="FFFFFF" w:themeColor="background1"/>
            </w:tcBorders>
            <w:hideMark/>
          </w:tcPr>
          <w:p w:rsidR="009401E1" w:rsidRDefault="009401E1">
            <w:pPr>
              <w:spacing w:line="276" w:lineRule="auto"/>
              <w:jc w:val="center"/>
              <w:cnfStyle w:val="100000000000"/>
              <w:rPr>
                <w:rFonts w:ascii="Arial" w:hAnsi="Arial" w:cs="Arial"/>
                <w:lang w:val="es-ES"/>
              </w:rPr>
            </w:pPr>
            <w:r>
              <w:rPr>
                <w:rFonts w:ascii="Arial" w:hAnsi="Arial" w:cs="Arial"/>
                <w:lang w:val="es-ES"/>
              </w:rPr>
              <w:t>2021</w:t>
            </w: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Enero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68</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69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74</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72</w:t>
            </w: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Febrero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66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67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92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70</w:t>
            </w: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Marzo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68</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76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76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Abril</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76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67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71</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Mayo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63</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79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69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Junio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76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76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92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Julio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84</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87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74</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Agosto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65</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93</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73</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Septiembre</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76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89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78</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Octubre</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85</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69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77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lastRenderedPageBreak/>
              <w:t>Noviembre</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68</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80</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85</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Diciembre</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98</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91</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81</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Total</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b/>
                <w:lang w:val="es-ES"/>
              </w:rPr>
            </w:pPr>
            <w:r>
              <w:rPr>
                <w:rFonts w:ascii="Arial" w:hAnsi="Arial" w:cs="Arial"/>
                <w:b/>
                <w:lang w:val="es-ES"/>
              </w:rPr>
              <w:t>893</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b/>
                <w:lang w:val="es-ES"/>
              </w:rPr>
            </w:pPr>
            <w:r>
              <w:rPr>
                <w:rFonts w:ascii="Arial" w:hAnsi="Arial" w:cs="Arial"/>
                <w:b/>
                <w:lang w:val="es-ES"/>
              </w:rPr>
              <w:t>943</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b/>
                <w:lang w:val="es-ES"/>
              </w:rPr>
            </w:pPr>
            <w:r>
              <w:rPr>
                <w:rFonts w:ascii="Arial" w:hAnsi="Arial" w:cs="Arial"/>
                <w:b/>
                <w:lang w:val="es-ES"/>
              </w:rPr>
              <w:t>942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b/>
                <w:lang w:val="es-ES"/>
              </w:rPr>
            </w:pPr>
            <w:r>
              <w:rPr>
                <w:rFonts w:ascii="Arial" w:hAnsi="Arial" w:cs="Arial"/>
                <w:b/>
                <w:lang w:val="es-ES"/>
              </w:rPr>
              <w:t>142</w:t>
            </w:r>
          </w:p>
        </w:tc>
      </w:tr>
    </w:tbl>
    <w:p w:rsidR="009401E1" w:rsidRDefault="009401E1" w:rsidP="00673DAF">
      <w:pPr>
        <w:spacing w:line="276" w:lineRule="auto"/>
        <w:jc w:val="both"/>
        <w:rPr>
          <w:rFonts w:ascii="Arial" w:hAnsi="Arial" w:cs="Arial"/>
          <w:lang w:val="es-ES"/>
        </w:rPr>
      </w:pPr>
      <w:r>
        <w:rPr>
          <w:rFonts w:ascii="Arial" w:hAnsi="Arial" w:cs="Arial"/>
          <w:lang w:val="es-ES"/>
        </w:rPr>
        <w:t>Fuente: elaboración de la CNDH con información del SESNSP, información con corte al 28 de febrero de 2021.</w:t>
      </w:r>
    </w:p>
    <w:p w:rsidR="00673DAF" w:rsidRPr="00673DAF" w:rsidRDefault="00673DAF" w:rsidP="00673DAF">
      <w:pPr>
        <w:spacing w:line="276" w:lineRule="auto"/>
        <w:jc w:val="both"/>
        <w:rPr>
          <w:rFonts w:ascii="Arial" w:hAnsi="Arial" w:cs="Arial"/>
          <w:lang w:val="es-ES"/>
        </w:rPr>
      </w:pPr>
    </w:p>
    <w:p w:rsidR="009401E1" w:rsidRDefault="009401E1" w:rsidP="009401E1">
      <w:pPr>
        <w:pStyle w:val="Epgrafe"/>
        <w:keepNext/>
        <w:spacing w:line="276" w:lineRule="auto"/>
        <w:rPr>
          <w:rFonts w:ascii="Arial" w:hAnsi="Arial" w:cs="Arial"/>
          <w:sz w:val="24"/>
          <w:szCs w:val="24"/>
        </w:rPr>
      </w:pPr>
      <w:r>
        <w:rPr>
          <w:rFonts w:ascii="Arial" w:hAnsi="Arial" w:cs="Arial"/>
          <w:sz w:val="24"/>
          <w:szCs w:val="24"/>
        </w:rPr>
        <w:t xml:space="preserve">Tabla </w:t>
      </w:r>
      <w:r>
        <w:rPr>
          <w:rFonts w:ascii="Arial" w:hAnsi="Arial" w:cs="Arial"/>
          <w:sz w:val="24"/>
          <w:szCs w:val="24"/>
        </w:rPr>
        <w:fldChar w:fldCharType="begin"/>
      </w:r>
      <w:r>
        <w:rPr>
          <w:rFonts w:ascii="Arial" w:hAnsi="Arial" w:cs="Arial"/>
          <w:sz w:val="24"/>
          <w:szCs w:val="24"/>
        </w:rPr>
        <w:instrText xml:space="preserve"> SEQ Tabla \* ARABIC </w:instrText>
      </w:r>
      <w:r>
        <w:rPr>
          <w:rFonts w:ascii="Arial" w:hAnsi="Arial" w:cs="Arial"/>
          <w:sz w:val="24"/>
          <w:szCs w:val="24"/>
        </w:rPr>
        <w:fldChar w:fldCharType="separate"/>
      </w:r>
      <w:r>
        <w:rPr>
          <w:rFonts w:ascii="Arial" w:hAnsi="Arial" w:cs="Arial"/>
          <w:noProof/>
          <w:sz w:val="24"/>
          <w:szCs w:val="24"/>
        </w:rPr>
        <w:t>2</w:t>
      </w:r>
      <w:r>
        <w:rPr>
          <w:rFonts w:ascii="Arial" w:hAnsi="Arial" w:cs="Arial"/>
          <w:sz w:val="24"/>
          <w:szCs w:val="24"/>
        </w:rPr>
        <w:fldChar w:fldCharType="end"/>
      </w:r>
      <w:r>
        <w:rPr>
          <w:rFonts w:ascii="Arial" w:hAnsi="Arial" w:cs="Arial"/>
          <w:sz w:val="24"/>
          <w:szCs w:val="24"/>
        </w:rPr>
        <w:t>. Presuntas víctimas mujeres de homicidio doloso a nivel nacional</w:t>
      </w:r>
    </w:p>
    <w:tbl>
      <w:tblPr>
        <w:tblStyle w:val="GridTable5DarkAccent6"/>
        <w:tblW w:w="0" w:type="auto"/>
        <w:tblInd w:w="0" w:type="dxa"/>
        <w:tblLook w:val="04A0"/>
      </w:tblPr>
      <w:tblGrid>
        <w:gridCol w:w="1660"/>
        <w:gridCol w:w="1792"/>
        <w:gridCol w:w="1792"/>
        <w:gridCol w:w="1792"/>
        <w:gridCol w:w="1792"/>
      </w:tblGrid>
      <w:tr w:rsidR="009401E1" w:rsidTr="009401E1">
        <w:trPr>
          <w:cnfStyle w:val="100000000000"/>
        </w:trPr>
        <w:tc>
          <w:tcPr>
            <w:cnfStyle w:val="001000000000"/>
            <w:tcW w:w="1660" w:type="dxa"/>
            <w:tcBorders>
              <w:bottom w:val="single" w:sz="4" w:space="0" w:color="FFFFFF" w:themeColor="background1"/>
              <w:right w:val="nil"/>
            </w:tcBorders>
          </w:tcPr>
          <w:p w:rsidR="009401E1" w:rsidRDefault="009401E1">
            <w:pPr>
              <w:spacing w:line="276" w:lineRule="auto"/>
              <w:jc w:val="both"/>
              <w:rPr>
                <w:rFonts w:ascii="Arial" w:hAnsi="Arial" w:cs="Arial"/>
                <w:lang w:val="es-ES"/>
              </w:rPr>
            </w:pPr>
          </w:p>
        </w:tc>
        <w:tc>
          <w:tcPr>
            <w:tcW w:w="1792" w:type="dxa"/>
            <w:tcBorders>
              <w:left w:val="nil"/>
              <w:bottom w:val="single" w:sz="4" w:space="0" w:color="FFFFFF" w:themeColor="background1"/>
              <w:right w:val="nil"/>
            </w:tcBorders>
            <w:hideMark/>
          </w:tcPr>
          <w:p w:rsidR="009401E1" w:rsidRDefault="009401E1">
            <w:pPr>
              <w:spacing w:line="276" w:lineRule="auto"/>
              <w:jc w:val="center"/>
              <w:cnfStyle w:val="100000000000"/>
              <w:rPr>
                <w:rFonts w:ascii="Arial" w:hAnsi="Arial" w:cs="Arial"/>
                <w:lang w:val="es-ES"/>
              </w:rPr>
            </w:pPr>
            <w:r>
              <w:rPr>
                <w:rFonts w:ascii="Arial" w:hAnsi="Arial" w:cs="Arial"/>
                <w:lang w:val="es-ES"/>
              </w:rPr>
              <w:t>2018</w:t>
            </w:r>
          </w:p>
        </w:tc>
        <w:tc>
          <w:tcPr>
            <w:tcW w:w="1792" w:type="dxa"/>
            <w:tcBorders>
              <w:left w:val="nil"/>
              <w:bottom w:val="single" w:sz="4" w:space="0" w:color="FFFFFF" w:themeColor="background1"/>
              <w:right w:val="nil"/>
            </w:tcBorders>
            <w:hideMark/>
          </w:tcPr>
          <w:p w:rsidR="009401E1" w:rsidRDefault="009401E1">
            <w:pPr>
              <w:spacing w:line="276" w:lineRule="auto"/>
              <w:jc w:val="center"/>
              <w:cnfStyle w:val="100000000000"/>
              <w:rPr>
                <w:rFonts w:ascii="Arial" w:hAnsi="Arial" w:cs="Arial"/>
                <w:lang w:val="es-ES"/>
              </w:rPr>
            </w:pPr>
            <w:r>
              <w:rPr>
                <w:rFonts w:ascii="Arial" w:hAnsi="Arial" w:cs="Arial"/>
                <w:lang w:val="es-ES"/>
              </w:rPr>
              <w:t>2019</w:t>
            </w:r>
          </w:p>
        </w:tc>
        <w:tc>
          <w:tcPr>
            <w:tcW w:w="1792" w:type="dxa"/>
            <w:tcBorders>
              <w:left w:val="nil"/>
              <w:bottom w:val="single" w:sz="4" w:space="0" w:color="FFFFFF" w:themeColor="background1"/>
              <w:right w:val="nil"/>
            </w:tcBorders>
            <w:hideMark/>
          </w:tcPr>
          <w:p w:rsidR="009401E1" w:rsidRDefault="009401E1">
            <w:pPr>
              <w:spacing w:line="276" w:lineRule="auto"/>
              <w:jc w:val="center"/>
              <w:cnfStyle w:val="100000000000"/>
              <w:rPr>
                <w:rFonts w:ascii="Arial" w:hAnsi="Arial" w:cs="Arial"/>
                <w:lang w:val="es-ES"/>
              </w:rPr>
            </w:pPr>
            <w:r>
              <w:rPr>
                <w:rFonts w:ascii="Arial" w:hAnsi="Arial" w:cs="Arial"/>
                <w:lang w:val="es-ES"/>
              </w:rPr>
              <w:t>2020</w:t>
            </w:r>
          </w:p>
        </w:tc>
        <w:tc>
          <w:tcPr>
            <w:tcW w:w="1792" w:type="dxa"/>
            <w:tcBorders>
              <w:left w:val="nil"/>
              <w:bottom w:val="single" w:sz="4" w:space="0" w:color="FFFFFF" w:themeColor="background1"/>
            </w:tcBorders>
            <w:hideMark/>
          </w:tcPr>
          <w:p w:rsidR="009401E1" w:rsidRDefault="009401E1">
            <w:pPr>
              <w:spacing w:line="276" w:lineRule="auto"/>
              <w:jc w:val="center"/>
              <w:cnfStyle w:val="100000000000"/>
              <w:rPr>
                <w:rFonts w:ascii="Arial" w:hAnsi="Arial" w:cs="Arial"/>
                <w:lang w:val="es-ES"/>
              </w:rPr>
            </w:pPr>
            <w:r>
              <w:rPr>
                <w:rFonts w:ascii="Arial" w:hAnsi="Arial" w:cs="Arial"/>
                <w:lang w:val="es-ES"/>
              </w:rPr>
              <w:t>2021</w:t>
            </w: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Enero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210</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230</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261</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237</w:t>
            </w: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Febrero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197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204</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219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210</w:t>
            </w: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Marzo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236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230</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261</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Abril</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217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249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267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Mayo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248</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247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232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Junio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233</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236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214</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Julio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222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241</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237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Agosto</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247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249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226</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Septiembre</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257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259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252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Octubre</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220</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222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241</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Noviembre</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217</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249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lang w:val="es-ES"/>
              </w:rPr>
            </w:pPr>
            <w:r>
              <w:rPr>
                <w:rFonts w:ascii="Arial" w:hAnsi="Arial" w:cs="Arial"/>
                <w:lang w:val="es-ES"/>
              </w:rPr>
              <w:t>172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100000"/>
              <w:rPr>
                <w:rFonts w:ascii="Arial" w:hAnsi="Arial" w:cs="Arial"/>
                <w:lang w:val="es-ES"/>
              </w:rPr>
            </w:pPr>
          </w:p>
        </w:tc>
      </w:tr>
      <w:tr w:rsidR="009401E1" w:rsidTr="009401E1">
        <w:tc>
          <w:tcPr>
            <w:cnfStyle w:val="001000000000"/>
            <w:tcW w:w="1660" w:type="dxa"/>
            <w:tcBorders>
              <w:top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Diciembre</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259</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255</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000000"/>
              <w:rPr>
                <w:rFonts w:ascii="Arial" w:hAnsi="Arial" w:cs="Arial"/>
                <w:lang w:val="es-ES"/>
              </w:rPr>
            </w:pPr>
            <w:r>
              <w:rPr>
                <w:rFonts w:ascii="Arial" w:hAnsi="Arial" w:cs="Arial"/>
                <w:lang w:val="es-ES"/>
              </w:rPr>
              <w:t>212</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01E1" w:rsidRDefault="009401E1">
            <w:pPr>
              <w:spacing w:line="276" w:lineRule="auto"/>
              <w:jc w:val="center"/>
              <w:cnfStyle w:val="000000000000"/>
              <w:rPr>
                <w:rFonts w:ascii="Arial" w:hAnsi="Arial" w:cs="Arial"/>
                <w:lang w:val="es-ES"/>
              </w:rPr>
            </w:pPr>
          </w:p>
        </w:tc>
      </w:tr>
      <w:tr w:rsidR="009401E1" w:rsidTr="009401E1">
        <w:trPr>
          <w:cnfStyle w:val="000000100000"/>
        </w:trPr>
        <w:tc>
          <w:tcPr>
            <w:cnfStyle w:val="001000000000"/>
            <w:tcW w:w="1660" w:type="dxa"/>
            <w:tcBorders>
              <w:top w:val="single" w:sz="4" w:space="0" w:color="FFFFFF" w:themeColor="background1"/>
              <w:right w:val="single" w:sz="4" w:space="0" w:color="FFFFFF" w:themeColor="background1"/>
            </w:tcBorders>
            <w:hideMark/>
          </w:tcPr>
          <w:p w:rsidR="009401E1" w:rsidRDefault="009401E1">
            <w:pPr>
              <w:spacing w:line="276" w:lineRule="auto"/>
              <w:jc w:val="both"/>
              <w:rPr>
                <w:rFonts w:ascii="Arial" w:hAnsi="Arial" w:cs="Arial"/>
                <w:lang w:val="es-ES"/>
              </w:rPr>
            </w:pPr>
            <w:r>
              <w:rPr>
                <w:rFonts w:ascii="Arial" w:hAnsi="Arial" w:cs="Arial"/>
                <w:lang w:val="es-ES"/>
              </w:rPr>
              <w:t>Total</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b/>
                <w:lang w:val="es-ES"/>
              </w:rPr>
            </w:pPr>
            <w:r>
              <w:rPr>
                <w:rFonts w:ascii="Arial" w:hAnsi="Arial" w:cs="Arial"/>
                <w:b/>
                <w:lang w:val="es-ES"/>
              </w:rPr>
              <w:t>2763</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b/>
                <w:lang w:val="es-ES"/>
              </w:rPr>
            </w:pPr>
            <w:r>
              <w:rPr>
                <w:rFonts w:ascii="Arial" w:hAnsi="Arial" w:cs="Arial"/>
                <w:b/>
                <w:lang w:val="es-ES"/>
              </w:rPr>
              <w:t>2871</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b/>
                <w:lang w:val="es-ES"/>
              </w:rPr>
            </w:pPr>
            <w:r>
              <w:rPr>
                <w:rFonts w:ascii="Arial" w:hAnsi="Arial" w:cs="Arial"/>
                <w:b/>
                <w:lang w:val="es-ES"/>
              </w:rPr>
              <w:t>2794</w:t>
            </w:r>
          </w:p>
        </w:tc>
        <w:tc>
          <w:tcPr>
            <w:tcW w:w="1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401E1" w:rsidRDefault="009401E1">
            <w:pPr>
              <w:spacing w:line="276" w:lineRule="auto"/>
              <w:jc w:val="center"/>
              <w:cnfStyle w:val="000000100000"/>
              <w:rPr>
                <w:rFonts w:ascii="Arial" w:hAnsi="Arial" w:cs="Arial"/>
                <w:b/>
                <w:lang w:val="es-ES"/>
              </w:rPr>
            </w:pPr>
            <w:r>
              <w:rPr>
                <w:rFonts w:ascii="Arial" w:hAnsi="Arial" w:cs="Arial"/>
                <w:b/>
                <w:lang w:val="es-ES"/>
              </w:rPr>
              <w:t>447</w:t>
            </w:r>
          </w:p>
        </w:tc>
      </w:tr>
    </w:tbl>
    <w:p w:rsidR="009401E1" w:rsidRDefault="009401E1" w:rsidP="009401E1">
      <w:pPr>
        <w:spacing w:line="276" w:lineRule="auto"/>
        <w:jc w:val="both"/>
        <w:rPr>
          <w:rFonts w:ascii="Arial" w:hAnsi="Arial" w:cs="Arial"/>
          <w:lang w:val="es-ES"/>
        </w:rPr>
      </w:pPr>
      <w:r>
        <w:rPr>
          <w:rFonts w:ascii="Arial" w:hAnsi="Arial" w:cs="Arial"/>
          <w:lang w:val="es-ES"/>
        </w:rPr>
        <w:t>Fuente: elaboración de la CNDH con información del SESNSP, información con corte al 28 de febrero de 2021.</w:t>
      </w:r>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Estas cifras son generadas por el Secretariado Ejecutivo del Sistema Nacional de Seguridad Pública</w:t>
      </w:r>
      <w:r>
        <w:rPr>
          <w:rStyle w:val="Refdenotaalpie"/>
          <w:rFonts w:ascii="Arial" w:hAnsi="Arial" w:cs="Arial"/>
          <w:lang w:val="es-ES"/>
        </w:rPr>
        <w:footnoteReference w:id="9"/>
      </w:r>
      <w:r>
        <w:rPr>
          <w:rFonts w:ascii="Arial" w:hAnsi="Arial" w:cs="Arial"/>
          <w:lang w:val="es-ES"/>
        </w:rPr>
        <w:t xml:space="preserve">. Las cifras de feminicidios son recuperadas en el AIDH en el indicador “Feminicidios a nivel estatal” y pueden ser consultadas en la siguiente liga: </w:t>
      </w:r>
    </w:p>
    <w:p w:rsidR="009401E1" w:rsidRDefault="009401E1" w:rsidP="009401E1">
      <w:pPr>
        <w:pStyle w:val="Prrafodelista"/>
        <w:spacing w:line="276" w:lineRule="auto"/>
        <w:jc w:val="both"/>
        <w:rPr>
          <w:rFonts w:ascii="Arial" w:hAnsi="Arial" w:cs="Arial"/>
          <w:lang w:val="es-ES"/>
        </w:rPr>
      </w:pPr>
      <w:hyperlink r:id="rId29" w:history="1">
        <w:r>
          <w:rPr>
            <w:rStyle w:val="Hipervnculo"/>
            <w:rFonts w:ascii="Arial" w:hAnsi="Arial" w:cs="Arial"/>
            <w:lang w:val="es-ES"/>
          </w:rPr>
          <w:t>https://observatorio.cndh.org.mx/atlas/1?indicator_id=68&amp;show_time=0</w:t>
        </w:r>
      </w:hyperlink>
    </w:p>
    <w:p w:rsidR="009401E1" w:rsidRDefault="009401E1" w:rsidP="009401E1">
      <w:pPr>
        <w:spacing w:line="276" w:lineRule="auto"/>
        <w:jc w:val="both"/>
        <w:rPr>
          <w:rFonts w:ascii="Arial" w:hAnsi="Arial" w:cs="Arial"/>
          <w:lang w:val="es-ES"/>
        </w:rPr>
      </w:pPr>
    </w:p>
    <w:p w:rsidR="009401E1" w:rsidRDefault="009401E1" w:rsidP="009401E1">
      <w:pPr>
        <w:spacing w:line="276" w:lineRule="auto"/>
        <w:jc w:val="both"/>
        <w:rPr>
          <w:rFonts w:ascii="Arial" w:hAnsi="Arial" w:cs="Arial"/>
          <w:lang w:val="es-ES"/>
        </w:rPr>
      </w:pPr>
      <w:r>
        <w:rPr>
          <w:rFonts w:ascii="Arial" w:hAnsi="Arial" w:cs="Arial"/>
          <w:lang w:val="es-ES"/>
        </w:rPr>
        <w:t xml:space="preserve">Por otra parte, de 2012 a 2016 se tuvo información sobre las defunciones de mujeres por presunción de homicidio derivado de los registros de defunción y que permitían identificar la relación entre la víctima y victimario. Dicha información era obtenida de las Estadísticas vitales publicadas por el INEGI. Actualmente se puede consultar la información en el AIDH en la siguiente liga: </w:t>
      </w:r>
    </w:p>
    <w:p w:rsidR="00542BD2" w:rsidRPr="00673DAF" w:rsidRDefault="009401E1" w:rsidP="00673DAF">
      <w:pPr>
        <w:pStyle w:val="Prrafodelista"/>
        <w:spacing w:line="276" w:lineRule="auto"/>
        <w:jc w:val="both"/>
        <w:rPr>
          <w:rFonts w:ascii="Arial" w:hAnsi="Arial" w:cs="Arial"/>
          <w:lang w:val="es-ES"/>
        </w:rPr>
      </w:pPr>
      <w:hyperlink r:id="rId30" w:history="1">
        <w:r>
          <w:rPr>
            <w:rStyle w:val="Hipervnculo"/>
            <w:rFonts w:ascii="Arial" w:hAnsi="Arial" w:cs="Arial"/>
            <w:lang w:val="es-ES"/>
          </w:rPr>
          <w:t>https://observatorio.cndh.org.mx/atlas/1?indicator_id=69&amp;show_time=0</w:t>
        </w:r>
      </w:hyperlink>
    </w:p>
    <w:sectPr w:rsidR="00542BD2" w:rsidRPr="00673DAF" w:rsidSect="00542BD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111" w:rsidRDefault="00562111" w:rsidP="009401E1">
      <w:r>
        <w:separator/>
      </w:r>
    </w:p>
  </w:endnote>
  <w:endnote w:type="continuationSeparator" w:id="1">
    <w:p w:rsidR="00562111" w:rsidRDefault="00562111" w:rsidP="00940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81" w:rsidRDefault="0053368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829"/>
      <w:docPartObj>
        <w:docPartGallery w:val="Page Numbers (Bottom of Page)"/>
        <w:docPartUnique/>
      </w:docPartObj>
    </w:sdtPr>
    <w:sdtContent>
      <w:p w:rsidR="00533681" w:rsidRDefault="00533681">
        <w:pPr>
          <w:pStyle w:val="Piedepgina"/>
          <w:jc w:val="center"/>
        </w:pPr>
        <w:fldSimple w:instr=" PAGE   \* MERGEFORMAT ">
          <w:r>
            <w:rPr>
              <w:noProof/>
            </w:rPr>
            <w:t>15</w:t>
          </w:r>
        </w:fldSimple>
      </w:p>
    </w:sdtContent>
  </w:sdt>
  <w:p w:rsidR="00533681" w:rsidRDefault="0053368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81" w:rsidRDefault="005336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111" w:rsidRDefault="00562111" w:rsidP="009401E1">
      <w:r>
        <w:separator/>
      </w:r>
    </w:p>
  </w:footnote>
  <w:footnote w:type="continuationSeparator" w:id="1">
    <w:p w:rsidR="00562111" w:rsidRDefault="00562111" w:rsidP="009401E1">
      <w:r>
        <w:continuationSeparator/>
      </w:r>
    </w:p>
  </w:footnote>
  <w:footnote w:id="2">
    <w:p w:rsidR="009401E1" w:rsidRDefault="009401E1" w:rsidP="009401E1">
      <w:pPr>
        <w:pStyle w:val="Textonotapie"/>
        <w:rPr>
          <w:rFonts w:ascii="Arial" w:hAnsi="Arial" w:cs="Arial"/>
        </w:rPr>
      </w:pPr>
      <w:r>
        <w:rPr>
          <w:rStyle w:val="Refdenotaalpie"/>
          <w:rFonts w:ascii="Arial" w:hAnsi="Arial" w:cs="Arial"/>
        </w:rPr>
        <w:footnoteRef/>
      </w:r>
      <w:r>
        <w:rPr>
          <w:rFonts w:ascii="Arial" w:hAnsi="Arial" w:cs="Arial"/>
        </w:rPr>
        <w:t xml:space="preserve"> Artículo 21 de la </w:t>
      </w:r>
      <w:r>
        <w:rPr>
          <w:rFonts w:ascii="Arial" w:hAnsi="Arial" w:cs="Arial"/>
          <w:i/>
        </w:rPr>
        <w:t>Ley General de Acceso de las Mujeres a una Vida Libre de Violencia</w:t>
      </w:r>
      <w:r>
        <w:rPr>
          <w:rFonts w:ascii="Arial" w:hAnsi="Arial" w:cs="Arial"/>
        </w:rPr>
        <w:t xml:space="preserve">. Última reforma publicada el 18 de marzo de 2021, disponible en: </w:t>
      </w:r>
      <w:hyperlink r:id="rId1" w:history="1">
        <w:r>
          <w:rPr>
            <w:rStyle w:val="Hipervnculo"/>
            <w:rFonts w:ascii="Arial" w:hAnsi="Arial" w:cs="Arial"/>
          </w:rPr>
          <w:t>http://www.diputados.gob.mx/LeyesBiblio/pdf/LGAMVLV_180321.pdf</w:t>
        </w:r>
      </w:hyperlink>
      <w:r>
        <w:rPr>
          <w:rFonts w:ascii="Arial" w:hAnsi="Arial" w:cs="Arial"/>
        </w:rPr>
        <w:t xml:space="preserve">. </w:t>
      </w:r>
    </w:p>
  </w:footnote>
  <w:footnote w:id="3">
    <w:p w:rsidR="009401E1" w:rsidRDefault="009401E1" w:rsidP="009401E1">
      <w:pPr>
        <w:pStyle w:val="Textonotapie"/>
        <w:rPr>
          <w:rFonts w:ascii="Arial" w:hAnsi="Arial" w:cs="Arial"/>
        </w:rPr>
      </w:pPr>
      <w:r>
        <w:rPr>
          <w:rStyle w:val="Refdenotaalpie"/>
          <w:rFonts w:ascii="Arial" w:hAnsi="Arial" w:cs="Arial"/>
        </w:rPr>
        <w:footnoteRef/>
      </w:r>
      <w:r>
        <w:rPr>
          <w:rFonts w:ascii="Arial" w:hAnsi="Arial" w:cs="Arial"/>
        </w:rPr>
        <w:t xml:space="preserve">Título II, Capítulo V, Ídem, y Título III, Capítulo I de su Reglamento. Última reforma publicada el 14 de marzo de 2014, disponible en: </w:t>
      </w:r>
      <w:hyperlink r:id="rId2" w:history="1">
        <w:r>
          <w:rPr>
            <w:rStyle w:val="Hipervnculo"/>
            <w:rFonts w:ascii="Arial" w:hAnsi="Arial" w:cs="Arial"/>
          </w:rPr>
          <w:t>http://www.diputados.gob.mx/LeyesBiblio/regley/Reg_LGAMVLV.pdf</w:t>
        </w:r>
      </w:hyperlink>
      <w:r>
        <w:rPr>
          <w:rFonts w:ascii="Arial" w:hAnsi="Arial" w:cs="Arial"/>
        </w:rPr>
        <w:t xml:space="preserve">. </w:t>
      </w:r>
    </w:p>
  </w:footnote>
  <w:footnote w:id="4">
    <w:p w:rsidR="009401E1" w:rsidRDefault="009401E1" w:rsidP="009401E1">
      <w:pPr>
        <w:pStyle w:val="Textonotapie"/>
        <w:rPr>
          <w:rFonts w:ascii="Arial" w:hAnsi="Arial" w:cs="Arial"/>
          <w:i/>
        </w:rPr>
      </w:pPr>
      <w:r>
        <w:rPr>
          <w:rStyle w:val="Refdenotaalpie"/>
          <w:rFonts w:ascii="Arial" w:hAnsi="Arial" w:cs="Arial"/>
        </w:rPr>
        <w:footnoteRef/>
      </w:r>
      <w:r>
        <w:rPr>
          <w:rFonts w:ascii="Arial" w:hAnsi="Arial" w:cs="Arial"/>
        </w:rPr>
        <w:t xml:space="preserve"> Artículo 22 de la </w:t>
      </w:r>
      <w:r>
        <w:rPr>
          <w:rFonts w:ascii="Arial" w:hAnsi="Arial" w:cs="Arial"/>
          <w:i/>
        </w:rPr>
        <w:t>Ley General de Acceso de las Mujeres a una Vida Libre de Violencia</w:t>
      </w:r>
      <w:r>
        <w:rPr>
          <w:rFonts w:ascii="Arial" w:hAnsi="Arial" w:cs="Arial"/>
        </w:rPr>
        <w:t xml:space="preserve">, </w:t>
      </w:r>
      <w:r>
        <w:rPr>
          <w:rFonts w:ascii="Arial" w:hAnsi="Arial" w:cs="Arial"/>
          <w:i/>
        </w:rPr>
        <w:t>op. cit.</w:t>
      </w:r>
    </w:p>
  </w:footnote>
  <w:footnote w:id="5">
    <w:p w:rsidR="009401E1" w:rsidRDefault="009401E1" w:rsidP="009401E1">
      <w:pPr>
        <w:pStyle w:val="Textonotapie"/>
        <w:jc w:val="both"/>
        <w:rPr>
          <w:rFonts w:ascii="Arial" w:hAnsi="Arial" w:cs="Arial"/>
          <w:lang w:val="es-ES"/>
        </w:rPr>
      </w:pPr>
      <w:r>
        <w:rPr>
          <w:rStyle w:val="Refdenotaalpie"/>
          <w:rFonts w:ascii="Arial" w:hAnsi="Arial" w:cs="Arial"/>
        </w:rPr>
        <w:footnoteRef/>
      </w:r>
      <w:r>
        <w:rPr>
          <w:rFonts w:ascii="Arial" w:hAnsi="Arial" w:cs="Arial"/>
          <w:lang w:val="es-ES"/>
        </w:rPr>
        <w:t xml:space="preserve">Artículo 46, segundo párrafo, </w:t>
      </w:r>
      <w:r>
        <w:rPr>
          <w:rFonts w:ascii="Arial" w:hAnsi="Arial" w:cs="Arial"/>
          <w:i/>
          <w:lang w:val="es-ES"/>
        </w:rPr>
        <w:t>Ley General para la Igualdad entre Mujeres y Hombres</w:t>
      </w:r>
      <w:r>
        <w:rPr>
          <w:rFonts w:ascii="Arial" w:hAnsi="Arial" w:cs="Arial"/>
          <w:lang w:val="es-ES"/>
        </w:rPr>
        <w:t xml:space="preserve">. Última reforma publicada el 14 de junio de 2018, disponible en: </w:t>
      </w:r>
      <w:hyperlink r:id="rId3" w:history="1">
        <w:r>
          <w:rPr>
            <w:rStyle w:val="Hipervnculo"/>
            <w:rFonts w:ascii="Arial" w:hAnsi="Arial" w:cs="Arial"/>
            <w:lang w:val="es-ES"/>
          </w:rPr>
          <w:t>http://www.diputados.gob.mx/LeyesBiblio/pdf/LGIMH_140618.pdf</w:t>
        </w:r>
      </w:hyperlink>
      <w:r>
        <w:rPr>
          <w:rFonts w:ascii="Arial" w:hAnsi="Arial" w:cs="Arial"/>
          <w:lang w:val="es-ES"/>
        </w:rPr>
        <w:t xml:space="preserve">. </w:t>
      </w:r>
    </w:p>
  </w:footnote>
  <w:footnote w:id="6">
    <w:p w:rsidR="009401E1" w:rsidRDefault="009401E1" w:rsidP="009401E1">
      <w:pPr>
        <w:pStyle w:val="Textonotapie"/>
        <w:rPr>
          <w:rFonts w:ascii="Arial" w:hAnsi="Arial" w:cs="Arial"/>
          <w:sz w:val="18"/>
          <w:szCs w:val="18"/>
        </w:rPr>
      </w:pPr>
      <w:r>
        <w:rPr>
          <w:rStyle w:val="Refdenotaalpie"/>
          <w:rFonts w:ascii="Arial" w:hAnsi="Arial" w:cs="Arial"/>
        </w:rPr>
        <w:footnoteRef/>
      </w:r>
      <w:r>
        <w:rPr>
          <w:rFonts w:ascii="Arial" w:hAnsi="Arial" w:cs="Arial"/>
          <w:sz w:val="18"/>
          <w:szCs w:val="18"/>
        </w:rPr>
        <w:t xml:space="preserve">Dimensión de violencias, integrante del Atlas de Igualdad entre Mujeres y Hombres, disponible en: </w:t>
      </w:r>
      <w:hyperlink r:id="rId4" w:history="1">
        <w:r>
          <w:rPr>
            <w:rStyle w:val="Hipervnculo"/>
            <w:rFonts w:ascii="Arial" w:hAnsi="Arial" w:cs="Arial"/>
            <w:sz w:val="18"/>
            <w:szCs w:val="18"/>
          </w:rPr>
          <w:t>https://observatorio.cndh.org.mx/atlas/1?indicator_id=68&amp;show_time=0</w:t>
        </w:r>
      </w:hyperlink>
      <w:r>
        <w:rPr>
          <w:rFonts w:ascii="Arial" w:hAnsi="Arial" w:cs="Arial"/>
          <w:sz w:val="18"/>
          <w:szCs w:val="18"/>
        </w:rPr>
        <w:t xml:space="preserve">. </w:t>
      </w:r>
    </w:p>
  </w:footnote>
  <w:footnote w:id="7">
    <w:p w:rsidR="009401E1" w:rsidRDefault="009401E1" w:rsidP="009401E1">
      <w:pPr>
        <w:jc w:val="both"/>
        <w:rPr>
          <w:rFonts w:ascii="Arial" w:eastAsia="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CNDH, </w:t>
      </w:r>
      <w:r>
        <w:rPr>
          <w:rFonts w:ascii="Arial" w:eastAsia="Arial" w:hAnsi="Arial" w:cs="Arial"/>
          <w:i/>
          <w:sz w:val="20"/>
          <w:szCs w:val="20"/>
        </w:rPr>
        <w:t>Rutas para que las mujeres accedan a las órdenes de protección</w:t>
      </w:r>
      <w:r>
        <w:rPr>
          <w:rFonts w:ascii="Arial" w:eastAsia="Arial" w:hAnsi="Arial" w:cs="Arial"/>
          <w:sz w:val="20"/>
          <w:szCs w:val="20"/>
        </w:rPr>
        <w:t xml:space="preserve">, 2020, p. 51 y 52, disponible en: </w:t>
      </w:r>
      <w:hyperlink r:id="rId5" w:history="1">
        <w:r>
          <w:rPr>
            <w:rStyle w:val="Hipervnculo"/>
            <w:rFonts w:ascii="Arial" w:eastAsia="Arial" w:hAnsi="Arial" w:cs="Arial"/>
            <w:sz w:val="20"/>
            <w:szCs w:val="20"/>
          </w:rPr>
          <w:t>https://igualdaddegenero.cndh.org.mx/Content/doc/Publicaciones/Rutas-Proteccion.pdf</w:t>
        </w:r>
      </w:hyperlink>
      <w:r>
        <w:rPr>
          <w:rFonts w:ascii="Arial" w:eastAsia="Arial" w:hAnsi="Arial" w:cs="Arial"/>
          <w:sz w:val="20"/>
          <w:szCs w:val="20"/>
        </w:rPr>
        <w:t xml:space="preserve">. </w:t>
      </w:r>
    </w:p>
  </w:footnote>
  <w:footnote w:id="8">
    <w:p w:rsidR="009401E1" w:rsidRDefault="009401E1" w:rsidP="009401E1">
      <w:pPr>
        <w:pStyle w:val="Textonotapie"/>
        <w:rPr>
          <w:rFonts w:ascii="Arial" w:hAnsi="Arial" w:cs="Arial"/>
        </w:rPr>
      </w:pPr>
      <w:r>
        <w:rPr>
          <w:rStyle w:val="Refdenotaalpie"/>
          <w:rFonts w:ascii="Arial" w:hAnsi="Arial" w:cs="Arial"/>
        </w:rPr>
        <w:footnoteRef/>
      </w:r>
      <w:r>
        <w:rPr>
          <w:rFonts w:ascii="Arial" w:hAnsi="Arial" w:cs="Arial"/>
        </w:rPr>
        <w:t xml:space="preserve"> Diario Oficial de la Federación, </w:t>
      </w:r>
      <w:r>
        <w:rPr>
          <w:rFonts w:ascii="Arial" w:hAnsi="Arial" w:cs="Arial"/>
          <w:i/>
        </w:rPr>
        <w:t>Decreto por el que se reforman y adicionan diversas disposiciones de la Ley General de Acceso de las Mujeres a una Vida Libre de Violencia</w:t>
      </w:r>
      <w:r>
        <w:rPr>
          <w:rFonts w:ascii="Arial" w:hAnsi="Arial" w:cs="Arial"/>
        </w:rPr>
        <w:t xml:space="preserve">, 18 de marzo de 2021, disponible en: </w:t>
      </w:r>
      <w:hyperlink r:id="rId6" w:history="1">
        <w:r>
          <w:rPr>
            <w:rStyle w:val="Hipervnculo"/>
            <w:rFonts w:ascii="Arial" w:hAnsi="Arial" w:cs="Arial"/>
          </w:rPr>
          <w:t>http://www.diputados.gob.mx/LeyesBiblio/ref/lgamvlv/LGAMVLV_ref14_18mar21.pdf</w:t>
        </w:r>
      </w:hyperlink>
      <w:r>
        <w:rPr>
          <w:rFonts w:ascii="Arial" w:hAnsi="Arial" w:cs="Arial"/>
        </w:rPr>
        <w:t xml:space="preserve">. </w:t>
      </w:r>
    </w:p>
  </w:footnote>
  <w:footnote w:id="9">
    <w:p w:rsidR="009401E1" w:rsidRDefault="009401E1" w:rsidP="009401E1">
      <w:pPr>
        <w:pStyle w:val="Textonotapie"/>
        <w:rPr>
          <w:rFonts w:ascii="Arial" w:hAnsi="Arial" w:cs="Arial"/>
        </w:rPr>
      </w:pPr>
      <w:r>
        <w:rPr>
          <w:rStyle w:val="Refdenotaalpie"/>
          <w:rFonts w:ascii="Arial" w:hAnsi="Arial" w:cs="Arial"/>
        </w:rPr>
        <w:footnoteRef/>
      </w:r>
      <w:r>
        <w:rPr>
          <w:rFonts w:ascii="Arial" w:hAnsi="Arial" w:cs="Arial"/>
        </w:rPr>
        <w:t xml:space="preserve"> SESNSP, </w:t>
      </w:r>
      <w:r>
        <w:rPr>
          <w:rFonts w:ascii="Arial" w:hAnsi="Arial" w:cs="Arial"/>
          <w:i/>
        </w:rPr>
        <w:t>Información sobre violencia contra las mujeres. Incidencia delictiva y llamadas de emergencia 91</w:t>
      </w:r>
      <w:r>
        <w:rPr>
          <w:rFonts w:ascii="Arial" w:hAnsi="Arial" w:cs="Arial"/>
        </w:rPr>
        <w:t xml:space="preserve">1,  disponible en: </w:t>
      </w:r>
      <w:hyperlink r:id="rId7" w:history="1">
        <w:r>
          <w:rPr>
            <w:rStyle w:val="Hipervnculo"/>
            <w:rFonts w:ascii="Arial" w:hAnsi="Arial" w:cs="Arial"/>
          </w:rPr>
          <w:t>https://drive.google.com/file/d/1GMOd1xhqo051l_hMNEP-IVdpOdSkY-aH/view</w:t>
        </w:r>
      </w:hyperlink>
      <w:r>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81" w:rsidRDefault="0053368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81" w:rsidRDefault="0053368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81" w:rsidRDefault="005336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2BC"/>
    <w:multiLevelType w:val="hybridMultilevel"/>
    <w:tmpl w:val="6072648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14AA6BAE"/>
    <w:multiLevelType w:val="hybridMultilevel"/>
    <w:tmpl w:val="EC2ABC7C"/>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519E741B"/>
    <w:multiLevelType w:val="hybridMultilevel"/>
    <w:tmpl w:val="EC2ABC7C"/>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58870DFB"/>
    <w:multiLevelType w:val="hybridMultilevel"/>
    <w:tmpl w:val="FA948F6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7C77311A"/>
    <w:multiLevelType w:val="hybridMultilevel"/>
    <w:tmpl w:val="E66EBD5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01E1"/>
    <w:rsid w:val="003E45E6"/>
    <w:rsid w:val="00412F2A"/>
    <w:rsid w:val="00533681"/>
    <w:rsid w:val="00542BD2"/>
    <w:rsid w:val="00562111"/>
    <w:rsid w:val="00615FDF"/>
    <w:rsid w:val="00673DAF"/>
    <w:rsid w:val="006F283F"/>
    <w:rsid w:val="00841264"/>
    <w:rsid w:val="009401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E1"/>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01E1"/>
    <w:rPr>
      <w:color w:val="0563C1"/>
      <w:u w:val="single"/>
    </w:rPr>
  </w:style>
  <w:style w:type="paragraph" w:styleId="Textonotapie">
    <w:name w:val="footnote text"/>
    <w:basedOn w:val="Normal"/>
    <w:link w:val="TextonotapieCar"/>
    <w:uiPriority w:val="99"/>
    <w:semiHidden/>
    <w:unhideWhenUsed/>
    <w:rsid w:val="009401E1"/>
    <w:rPr>
      <w:sz w:val="20"/>
      <w:szCs w:val="20"/>
    </w:rPr>
  </w:style>
  <w:style w:type="character" w:customStyle="1" w:styleId="TextonotapieCar">
    <w:name w:val="Texto nota pie Car"/>
    <w:basedOn w:val="Fuentedeprrafopredeter"/>
    <w:link w:val="Textonotapie"/>
    <w:uiPriority w:val="99"/>
    <w:semiHidden/>
    <w:rsid w:val="009401E1"/>
    <w:rPr>
      <w:sz w:val="20"/>
      <w:szCs w:val="20"/>
    </w:rPr>
  </w:style>
  <w:style w:type="paragraph" w:styleId="Epgrafe">
    <w:name w:val="caption"/>
    <w:basedOn w:val="Normal"/>
    <w:next w:val="Normal"/>
    <w:uiPriority w:val="35"/>
    <w:semiHidden/>
    <w:unhideWhenUsed/>
    <w:qFormat/>
    <w:rsid w:val="009401E1"/>
    <w:pPr>
      <w:spacing w:after="200"/>
    </w:pPr>
    <w:rPr>
      <w:i/>
      <w:iCs/>
      <w:color w:val="1F497D" w:themeColor="text2"/>
      <w:sz w:val="18"/>
      <w:szCs w:val="18"/>
    </w:rPr>
  </w:style>
  <w:style w:type="paragraph" w:styleId="Prrafodelista">
    <w:name w:val="List Paragraph"/>
    <w:basedOn w:val="Normal"/>
    <w:uiPriority w:val="34"/>
    <w:qFormat/>
    <w:rsid w:val="009401E1"/>
    <w:pPr>
      <w:ind w:left="720"/>
      <w:contextualSpacing/>
    </w:pPr>
  </w:style>
  <w:style w:type="character" w:styleId="Refdenotaalpie">
    <w:name w:val="footnote reference"/>
    <w:basedOn w:val="Fuentedeprrafopredeter"/>
    <w:uiPriority w:val="99"/>
    <w:semiHidden/>
    <w:unhideWhenUsed/>
    <w:rsid w:val="009401E1"/>
    <w:rPr>
      <w:vertAlign w:val="superscript"/>
    </w:rPr>
  </w:style>
  <w:style w:type="table" w:customStyle="1" w:styleId="GridTable5DarkAccent5">
    <w:name w:val="Grid Table 5 Dark Accent 5"/>
    <w:basedOn w:val="Tablanormal"/>
    <w:uiPriority w:val="50"/>
    <w:rsid w:val="009401E1"/>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anormal"/>
    <w:uiPriority w:val="50"/>
    <w:rsid w:val="009401E1"/>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deglobo">
    <w:name w:val="Balloon Text"/>
    <w:basedOn w:val="Normal"/>
    <w:link w:val="TextodegloboCar"/>
    <w:uiPriority w:val="99"/>
    <w:semiHidden/>
    <w:unhideWhenUsed/>
    <w:rsid w:val="003E45E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5E6"/>
    <w:rPr>
      <w:rFonts w:ascii="Tahoma" w:hAnsi="Tahoma" w:cs="Tahoma"/>
      <w:sz w:val="16"/>
      <w:szCs w:val="16"/>
    </w:rPr>
  </w:style>
  <w:style w:type="paragraph" w:styleId="Encabezado">
    <w:name w:val="header"/>
    <w:basedOn w:val="Normal"/>
    <w:link w:val="EncabezadoCar"/>
    <w:uiPriority w:val="99"/>
    <w:semiHidden/>
    <w:unhideWhenUsed/>
    <w:rsid w:val="00533681"/>
    <w:pPr>
      <w:tabs>
        <w:tab w:val="center" w:pos="4419"/>
        <w:tab w:val="right" w:pos="8838"/>
      </w:tabs>
    </w:pPr>
  </w:style>
  <w:style w:type="character" w:customStyle="1" w:styleId="EncabezadoCar">
    <w:name w:val="Encabezado Car"/>
    <w:basedOn w:val="Fuentedeprrafopredeter"/>
    <w:link w:val="Encabezado"/>
    <w:uiPriority w:val="99"/>
    <w:semiHidden/>
    <w:rsid w:val="00533681"/>
    <w:rPr>
      <w:sz w:val="24"/>
      <w:szCs w:val="24"/>
    </w:rPr>
  </w:style>
  <w:style w:type="paragraph" w:styleId="Piedepgina">
    <w:name w:val="footer"/>
    <w:basedOn w:val="Normal"/>
    <w:link w:val="PiedepginaCar"/>
    <w:uiPriority w:val="99"/>
    <w:unhideWhenUsed/>
    <w:rsid w:val="00533681"/>
    <w:pPr>
      <w:tabs>
        <w:tab w:val="center" w:pos="4419"/>
        <w:tab w:val="right" w:pos="8838"/>
      </w:tabs>
    </w:pPr>
  </w:style>
  <w:style w:type="character" w:customStyle="1" w:styleId="PiedepginaCar">
    <w:name w:val="Pie de página Car"/>
    <w:basedOn w:val="Fuentedeprrafopredeter"/>
    <w:link w:val="Piedepgina"/>
    <w:uiPriority w:val="99"/>
    <w:rsid w:val="00533681"/>
    <w:rPr>
      <w:sz w:val="24"/>
      <w:szCs w:val="24"/>
    </w:rPr>
  </w:style>
</w:styles>
</file>

<file path=word/webSettings.xml><?xml version="1.0" encoding="utf-8"?>
<w:webSettings xmlns:r="http://schemas.openxmlformats.org/officeDocument/2006/relationships" xmlns:w="http://schemas.openxmlformats.org/wordprocessingml/2006/main">
  <w:divs>
    <w:div w:id="20844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ndh.org.mx/sites/default/files/documentos/2020-11/RecGral_043.pdf" TargetMode="External"/><Relationship Id="rId18" Type="http://schemas.openxmlformats.org/officeDocument/2006/relationships/header" Target="header1.xml"/><Relationship Id="rId26" Type="http://schemas.openxmlformats.org/officeDocument/2006/relationships/hyperlink" Target="http://igualdaddegenero.cndh.org.mx/Content/doc/Publicaciones/Diagnostico-AVGM-2018.pdf"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igualdaddegenero.cndh.org.mx/Content/doc/Publicaciones/DAJVF.pdf" TargetMode="External"/><Relationship Id="rId17" Type="http://schemas.openxmlformats.org/officeDocument/2006/relationships/hyperlink" Target="http://igualdaddegenero.cndh.org.mx/Content/doc/Publicaciones/OPDMVLV.pdf" TargetMode="External"/><Relationship Id="rId25" Type="http://schemas.openxmlformats.org/officeDocument/2006/relationships/hyperlink" Target="https://www.cndh.org.mx/sites/all/doc/Informes/Especiales/Diagnostico-AVGM.pdf"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cndh.org.mx/sites/default/files/documentos/2019-10/Rec_2019_085.pdf" TargetMode="External"/><Relationship Id="rId20" Type="http://schemas.openxmlformats.org/officeDocument/2006/relationships/footer" Target="footer1.xml"/><Relationship Id="rId29" Type="http://schemas.openxmlformats.org/officeDocument/2006/relationships/hyperlink" Target="https://observatorio.cndh.org.mx/atlas/1?indicator_id=68&amp;show_tim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gualdaddegenero.cndh.org.mx/Content/doc/Observancia/RML_orfandad-feminicidio.pdf" TargetMode="External"/><Relationship Id="rId24" Type="http://schemas.openxmlformats.org/officeDocument/2006/relationships/hyperlink" Target="http://igualdaddegenero.cndh.org.mx/Content/doc/Publicaciones/Rutas-Proteccion.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ndh.org.mx/sites/default/files/documentos/2019-06/Rec_2019_028.pdf" TargetMode="External"/><Relationship Id="rId23" Type="http://schemas.openxmlformats.org/officeDocument/2006/relationships/footer" Target="footer3.xml"/><Relationship Id="rId28" Type="http://schemas.openxmlformats.org/officeDocument/2006/relationships/hyperlink" Target="http://igualdaddegenero.cndh.org.mx/Content/doc/Publicaciones/Seguimiento_Alerta_VG_2020.pdf" TargetMode="External"/><Relationship Id="rId10" Type="http://schemas.openxmlformats.org/officeDocument/2006/relationships/hyperlink" Target="http://igualdaddegenero.cndh.org.mx/Content/doc/Observancia/Feminicidio.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bservatorio.cndh.org.mx/atlas/1/contenidos-generales" TargetMode="External"/><Relationship Id="rId14" Type="http://schemas.openxmlformats.org/officeDocument/2006/relationships/hyperlink" Target="https://www.cndh.org.mx/sites/default/files/documentos/2019-11/Rec-40-Gral.pdf" TargetMode="External"/><Relationship Id="rId22" Type="http://schemas.openxmlformats.org/officeDocument/2006/relationships/header" Target="header3.xml"/><Relationship Id="rId27" Type="http://schemas.openxmlformats.org/officeDocument/2006/relationships/hyperlink" Target="https://www.cndh.org.mx/sites/default/files/documentos/2019-11/Estudio-AVGM-2019.pdf" TargetMode="External"/><Relationship Id="rId30" Type="http://schemas.openxmlformats.org/officeDocument/2006/relationships/hyperlink" Target="https://observatorio.cndh.org.mx/atlas/1?indicator_id=69&amp;show_time=0" TargetMode="External"/><Relationship Id="rId35" Type="http://schemas.openxmlformats.org/officeDocument/2006/relationships/customXml" Target="../customXml/item3.xml"/><Relationship Id="rId8" Type="http://schemas.openxmlformats.org/officeDocument/2006/relationships/hyperlink" Target="https://www.cndh.org.mx/sites/default/files/documentos/2019-08/Atlas-Igualdad-D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LGIMH_140618.pdf" TargetMode="External"/><Relationship Id="rId7" Type="http://schemas.openxmlformats.org/officeDocument/2006/relationships/hyperlink" Target="https://drive.google.com/file/d/1GMOd1xhqo051l_hMNEP-IVdpOdSkY-aH/view" TargetMode="External"/><Relationship Id="rId2" Type="http://schemas.openxmlformats.org/officeDocument/2006/relationships/hyperlink" Target="http://www.diputados.gob.mx/LeyesBiblio/regley/Reg_LGAMVLV.pdf" TargetMode="External"/><Relationship Id="rId1" Type="http://schemas.openxmlformats.org/officeDocument/2006/relationships/hyperlink" Target="http://www.diputados.gob.mx/LeyesBiblio/pdf/LGAMVLV_180321.pdf" TargetMode="External"/><Relationship Id="rId6" Type="http://schemas.openxmlformats.org/officeDocument/2006/relationships/hyperlink" Target="http://www.diputados.gob.mx/LeyesBiblio/ref/lgamvlv/LGAMVLV_ref14_18mar21.pdf" TargetMode="External"/><Relationship Id="rId5" Type="http://schemas.openxmlformats.org/officeDocument/2006/relationships/hyperlink" Target="https://igualdaddegenero.cndh.org.mx/Content/doc/Publicaciones/Rutas-Proteccion.pdf" TargetMode="External"/><Relationship Id="rId4" Type="http://schemas.openxmlformats.org/officeDocument/2006/relationships/hyperlink" Target="https://observatorio.cndh.org.mx/atlas/1?indicator_id=68&amp;show_time=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9187C-3D6B-40F9-AC47-9FEED1AB3E57}"/>
</file>

<file path=customXml/itemProps2.xml><?xml version="1.0" encoding="utf-8"?>
<ds:datastoreItem xmlns:ds="http://schemas.openxmlformats.org/officeDocument/2006/customXml" ds:itemID="{D8E0C5E5-7EF7-444E-9779-664D2D9B1317}"/>
</file>

<file path=customXml/itemProps3.xml><?xml version="1.0" encoding="utf-8"?>
<ds:datastoreItem xmlns:ds="http://schemas.openxmlformats.org/officeDocument/2006/customXml" ds:itemID="{01DE1784-5763-4B9D-AC88-1D72D6BD3373}"/>
</file>

<file path=docProps/app.xml><?xml version="1.0" encoding="utf-8"?>
<Properties xmlns="http://schemas.openxmlformats.org/officeDocument/2006/extended-properties" xmlns:vt="http://schemas.openxmlformats.org/officeDocument/2006/docPropsVTypes">
  <Template>Normal</Template>
  <TotalTime>153</TotalTime>
  <Pages>15</Pages>
  <Words>5305</Words>
  <Characters>29180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7</cp:revision>
  <dcterms:created xsi:type="dcterms:W3CDTF">2021-04-15T15:18:00Z</dcterms:created>
  <dcterms:modified xsi:type="dcterms:W3CDTF">2021-04-15T17:52:00Z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