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90AA" w14:textId="028B54D6" w:rsidR="00EA614B" w:rsidRPr="00A06CFB" w:rsidRDefault="00EA614B" w:rsidP="00F84B92">
      <w:pPr>
        <w:spacing w:after="100" w:afterAutospacing="1" w:line="240" w:lineRule="auto"/>
        <w:jc w:val="center"/>
        <w:rPr>
          <w:b/>
          <w:bCs/>
          <w:sz w:val="28"/>
          <w:szCs w:val="28"/>
          <w:lang w:val="en-GB"/>
        </w:rPr>
      </w:pPr>
      <w:r w:rsidRPr="00A06CFB">
        <w:rPr>
          <w:b/>
          <w:bCs/>
          <w:sz w:val="28"/>
          <w:szCs w:val="28"/>
          <w:lang w:val="en-GB"/>
        </w:rPr>
        <w:t>Presentation</w:t>
      </w:r>
    </w:p>
    <w:p w14:paraId="15426FE6" w14:textId="77E98671" w:rsidR="00D562BA" w:rsidRPr="00A06CFB" w:rsidRDefault="00EA614B" w:rsidP="00F84B92">
      <w:pPr>
        <w:spacing w:after="100" w:afterAutospacing="1" w:line="240" w:lineRule="auto"/>
        <w:jc w:val="center"/>
        <w:rPr>
          <w:b/>
          <w:bCs/>
          <w:sz w:val="28"/>
          <w:szCs w:val="28"/>
          <w:lang w:val="en-GB"/>
        </w:rPr>
      </w:pPr>
      <w:r w:rsidRPr="00A06CFB">
        <w:rPr>
          <w:b/>
          <w:bCs/>
          <w:sz w:val="28"/>
          <w:szCs w:val="28"/>
          <w:lang w:val="en-GB"/>
        </w:rPr>
        <w:t>Expert Group Meeting</w:t>
      </w:r>
    </w:p>
    <w:p w14:paraId="4ADF508F" w14:textId="3BF7B370" w:rsidR="00EA614B" w:rsidRPr="00A06CFB" w:rsidRDefault="00EA614B" w:rsidP="00F84B92">
      <w:pPr>
        <w:spacing w:after="100" w:afterAutospacing="1" w:line="240" w:lineRule="auto"/>
        <w:jc w:val="center"/>
        <w:rPr>
          <w:b/>
          <w:bCs/>
          <w:sz w:val="28"/>
          <w:szCs w:val="28"/>
          <w:lang w:val="en-GB"/>
        </w:rPr>
      </w:pPr>
      <w:r w:rsidRPr="00A06CFB">
        <w:rPr>
          <w:b/>
          <w:bCs/>
          <w:sz w:val="28"/>
          <w:szCs w:val="28"/>
          <w:lang w:val="en-GB"/>
        </w:rPr>
        <w:t>Rape as grave and systematic human right violation and gender-based violence against women</w:t>
      </w:r>
    </w:p>
    <w:p w14:paraId="28AB9EE3" w14:textId="1017D2F2" w:rsidR="00EA614B" w:rsidRPr="00A06CFB" w:rsidRDefault="00EA614B" w:rsidP="00F84B92">
      <w:pPr>
        <w:spacing w:after="100" w:afterAutospacing="1" w:line="240" w:lineRule="auto"/>
        <w:jc w:val="center"/>
        <w:rPr>
          <w:b/>
          <w:bCs/>
          <w:sz w:val="28"/>
          <w:szCs w:val="28"/>
          <w:lang w:val="en-GB"/>
        </w:rPr>
      </w:pPr>
      <w:r w:rsidRPr="00A06CFB">
        <w:rPr>
          <w:b/>
          <w:bCs/>
          <w:sz w:val="28"/>
          <w:szCs w:val="28"/>
          <w:lang w:val="en-GB"/>
        </w:rPr>
        <w:t>Panel 1: International and regional standards to address rape and perspectives on challenges to states upholding them</w:t>
      </w:r>
    </w:p>
    <w:p w14:paraId="548DE9B1" w14:textId="77777777" w:rsidR="003E2982" w:rsidRPr="00A06CFB" w:rsidRDefault="003E2982" w:rsidP="00F84B92">
      <w:pPr>
        <w:spacing w:after="100" w:afterAutospacing="1" w:line="240" w:lineRule="auto"/>
        <w:jc w:val="both"/>
        <w:rPr>
          <w:sz w:val="28"/>
          <w:szCs w:val="28"/>
          <w:lang w:val="en-GB"/>
        </w:rPr>
      </w:pPr>
    </w:p>
    <w:p w14:paraId="7D044D13" w14:textId="0B18E175" w:rsidR="00EA614B" w:rsidRPr="00A06CFB" w:rsidRDefault="00EA614B" w:rsidP="00F84B92">
      <w:pPr>
        <w:spacing w:after="100" w:afterAutospacing="1" w:line="240" w:lineRule="auto"/>
        <w:jc w:val="right"/>
        <w:rPr>
          <w:i/>
          <w:iCs/>
          <w:sz w:val="28"/>
          <w:szCs w:val="28"/>
          <w:lang w:val="en-GB"/>
        </w:rPr>
      </w:pPr>
      <w:r w:rsidRPr="00A06CFB">
        <w:rPr>
          <w:i/>
          <w:iCs/>
          <w:sz w:val="28"/>
          <w:szCs w:val="28"/>
          <w:lang w:val="en-GB"/>
        </w:rPr>
        <w:t>Tatiana Rein: MESECVI</w:t>
      </w:r>
    </w:p>
    <w:p w14:paraId="1CAB7319" w14:textId="355A2A99" w:rsidR="008D1099" w:rsidRPr="00A06CFB" w:rsidRDefault="008D1099" w:rsidP="00F84B92">
      <w:pPr>
        <w:spacing w:after="100" w:afterAutospacing="1" w:line="240" w:lineRule="auto"/>
        <w:jc w:val="both"/>
        <w:rPr>
          <w:sz w:val="28"/>
          <w:szCs w:val="28"/>
          <w:lang w:val="en-GB"/>
        </w:rPr>
      </w:pPr>
    </w:p>
    <w:p w14:paraId="5F20FCAF" w14:textId="3487AC5D" w:rsidR="00826A38" w:rsidRPr="00A06CFB" w:rsidRDefault="00826A38" w:rsidP="00F84B92">
      <w:pPr>
        <w:spacing w:after="100" w:afterAutospacing="1" w:line="240" w:lineRule="auto"/>
        <w:jc w:val="both"/>
        <w:rPr>
          <w:sz w:val="28"/>
          <w:szCs w:val="28"/>
          <w:lang w:val="en-GB"/>
        </w:rPr>
      </w:pPr>
      <w:r w:rsidRPr="00A06CFB">
        <w:rPr>
          <w:sz w:val="28"/>
          <w:szCs w:val="28"/>
          <w:lang w:val="en-GB"/>
        </w:rPr>
        <w:t xml:space="preserve">In the Multilateral Evaluation Rounds, and particularly in the second and third, the Committee of Experts (CEVI) of the MESECVI has analysed the situation of the State Parties regarding issues such as violence against women and rape, access to justice, legal and political framework of States Parties, as well as availability of data about these issues. The information that follows has been taken from this work, that is accessible in our webpage. Additionally, it </w:t>
      </w:r>
      <w:r w:rsidR="001A7898" w:rsidRPr="00A06CFB">
        <w:rPr>
          <w:sz w:val="28"/>
          <w:szCs w:val="28"/>
          <w:lang w:val="en-GB"/>
        </w:rPr>
        <w:t xml:space="preserve">draws on </w:t>
      </w:r>
      <w:proofErr w:type="gramStart"/>
      <w:r w:rsidRPr="00A06CFB">
        <w:rPr>
          <w:sz w:val="28"/>
          <w:szCs w:val="28"/>
          <w:lang w:val="en-GB"/>
        </w:rPr>
        <w:t>particular information</w:t>
      </w:r>
      <w:proofErr w:type="gramEnd"/>
      <w:r w:rsidRPr="00A06CFB">
        <w:rPr>
          <w:sz w:val="28"/>
          <w:szCs w:val="28"/>
          <w:lang w:val="en-GB"/>
        </w:rPr>
        <w:t xml:space="preserve"> produced by CEVI. The most relevant</w:t>
      </w:r>
      <w:r w:rsidR="001A7898" w:rsidRPr="00A06CFB">
        <w:rPr>
          <w:sz w:val="28"/>
          <w:szCs w:val="28"/>
          <w:lang w:val="en-GB"/>
        </w:rPr>
        <w:t xml:space="preserve"> information source</w:t>
      </w:r>
      <w:r w:rsidRPr="00A06CFB">
        <w:rPr>
          <w:sz w:val="28"/>
          <w:szCs w:val="28"/>
          <w:lang w:val="en-GB"/>
        </w:rPr>
        <w:t xml:space="preserve"> in this case is the </w:t>
      </w:r>
      <w:r w:rsidRPr="00A06CFB">
        <w:rPr>
          <w:color w:val="000000"/>
          <w:sz w:val="28"/>
          <w:szCs w:val="28"/>
          <w:lang w:val="en-GB"/>
        </w:rPr>
        <w:t xml:space="preserve">Hemispheric Report on Sexual Violence and Child Pregnancy in the States Party to the </w:t>
      </w:r>
      <w:proofErr w:type="spellStart"/>
      <w:r w:rsidRPr="00A06CFB">
        <w:rPr>
          <w:color w:val="000000"/>
          <w:sz w:val="28"/>
          <w:szCs w:val="28"/>
          <w:lang w:val="en-GB"/>
        </w:rPr>
        <w:t>Belém</w:t>
      </w:r>
      <w:proofErr w:type="spellEnd"/>
      <w:r w:rsidRPr="00A06CFB">
        <w:rPr>
          <w:color w:val="000000"/>
          <w:sz w:val="28"/>
          <w:szCs w:val="28"/>
          <w:lang w:val="en-GB"/>
        </w:rPr>
        <w:t xml:space="preserve"> do Pará Convention, from 2017.</w:t>
      </w:r>
      <w:r w:rsidR="004E29BE" w:rsidRPr="00A06CFB">
        <w:rPr>
          <w:color w:val="000000"/>
          <w:sz w:val="28"/>
          <w:szCs w:val="28"/>
          <w:lang w:val="en-GB"/>
        </w:rPr>
        <w:t xml:space="preserve"> We have sent our </w:t>
      </w:r>
      <w:r w:rsidR="001A7898" w:rsidRPr="00A06CFB">
        <w:rPr>
          <w:color w:val="000000"/>
          <w:sz w:val="28"/>
          <w:szCs w:val="28"/>
          <w:lang w:val="en-GB"/>
        </w:rPr>
        <w:t xml:space="preserve">responses </w:t>
      </w:r>
      <w:r w:rsidR="004E29BE" w:rsidRPr="00A06CFB">
        <w:rPr>
          <w:color w:val="000000"/>
          <w:sz w:val="28"/>
          <w:szCs w:val="28"/>
          <w:lang w:val="en-GB"/>
        </w:rPr>
        <w:t>to the questionnaire circulated about the situation of rape in the Americas and we will also send this document.</w:t>
      </w:r>
    </w:p>
    <w:p w14:paraId="57590959" w14:textId="57C18294" w:rsidR="00EA614B" w:rsidRPr="00A06CFB" w:rsidRDefault="008556CD" w:rsidP="00F84B92">
      <w:pPr>
        <w:spacing w:after="100" w:afterAutospacing="1" w:line="240" w:lineRule="auto"/>
        <w:jc w:val="both"/>
        <w:rPr>
          <w:sz w:val="28"/>
          <w:szCs w:val="28"/>
          <w:lang w:val="en-GB"/>
        </w:rPr>
      </w:pPr>
      <w:r w:rsidRPr="00A06CFB">
        <w:rPr>
          <w:sz w:val="28"/>
          <w:szCs w:val="28"/>
          <w:lang w:val="en-GB"/>
        </w:rPr>
        <w:t>All t</w:t>
      </w:r>
      <w:r w:rsidR="006C6FA3" w:rsidRPr="00A06CFB">
        <w:rPr>
          <w:sz w:val="28"/>
          <w:szCs w:val="28"/>
          <w:lang w:val="en-GB"/>
        </w:rPr>
        <w:t>he States Part</w:t>
      </w:r>
      <w:r w:rsidR="007C536A" w:rsidRPr="00A06CFB">
        <w:rPr>
          <w:sz w:val="28"/>
          <w:szCs w:val="28"/>
          <w:lang w:val="en-GB"/>
        </w:rPr>
        <w:t>ies</w:t>
      </w:r>
      <w:r w:rsidR="006C6FA3" w:rsidRPr="00A06CFB">
        <w:rPr>
          <w:sz w:val="28"/>
          <w:szCs w:val="28"/>
          <w:lang w:val="en-GB"/>
        </w:rPr>
        <w:t xml:space="preserve"> to the Belem do Pará Convention </w:t>
      </w:r>
      <w:r w:rsidR="003111D8" w:rsidRPr="00A06CFB">
        <w:rPr>
          <w:sz w:val="28"/>
          <w:szCs w:val="28"/>
          <w:lang w:val="en-GB"/>
        </w:rPr>
        <w:t>have a legislative framework for physical, psychological, and sexual violence against women</w:t>
      </w:r>
      <w:r w:rsidR="006C6FA3" w:rsidRPr="00A06CFB">
        <w:rPr>
          <w:sz w:val="28"/>
          <w:szCs w:val="28"/>
          <w:lang w:val="en-GB"/>
        </w:rPr>
        <w:t>. Exceptionally, they punish violent acts without distinguishing the sex of the victim, such as in the case of Haiti and Jamaica.</w:t>
      </w:r>
      <w:r w:rsidR="00180B62" w:rsidRPr="00A06CFB">
        <w:rPr>
          <w:sz w:val="28"/>
          <w:szCs w:val="28"/>
          <w:lang w:val="en-GB"/>
        </w:rPr>
        <w:t xml:space="preserve"> However, despite the general recognition of rape as a crime, 1</w:t>
      </w:r>
      <w:r w:rsidR="00B35A8C" w:rsidRPr="00A06CFB">
        <w:rPr>
          <w:sz w:val="28"/>
          <w:szCs w:val="28"/>
          <w:lang w:val="en-GB"/>
        </w:rPr>
        <w:t>5</w:t>
      </w:r>
      <w:r w:rsidR="00180B62" w:rsidRPr="00A06CFB">
        <w:rPr>
          <w:sz w:val="28"/>
          <w:szCs w:val="28"/>
          <w:lang w:val="en-GB"/>
        </w:rPr>
        <w:t xml:space="preserve"> of them do not consider sexual violence or rape as a crime when </w:t>
      </w:r>
      <w:r w:rsidR="001A7898" w:rsidRPr="00A06CFB">
        <w:rPr>
          <w:sz w:val="28"/>
          <w:szCs w:val="28"/>
          <w:lang w:val="en-GB"/>
        </w:rPr>
        <w:t xml:space="preserve">this </w:t>
      </w:r>
      <w:r w:rsidR="00180B62" w:rsidRPr="00A06CFB">
        <w:rPr>
          <w:sz w:val="28"/>
          <w:szCs w:val="28"/>
          <w:lang w:val="en-GB"/>
        </w:rPr>
        <w:t>is perpetrated inside marriage</w:t>
      </w:r>
      <w:r w:rsidR="00F844A5" w:rsidRPr="00A06CFB">
        <w:rPr>
          <w:rStyle w:val="Refdenotaalpie"/>
          <w:sz w:val="28"/>
          <w:szCs w:val="28"/>
          <w:lang w:val="en-GB"/>
        </w:rPr>
        <w:footnoteReference w:id="1"/>
      </w:r>
      <w:r w:rsidR="00180B62" w:rsidRPr="00A06CFB">
        <w:rPr>
          <w:sz w:val="28"/>
          <w:szCs w:val="28"/>
          <w:lang w:val="en-GB"/>
        </w:rPr>
        <w:t>.</w:t>
      </w:r>
      <w:r w:rsidR="00B35A8C" w:rsidRPr="00A06CFB">
        <w:rPr>
          <w:sz w:val="28"/>
          <w:szCs w:val="28"/>
          <w:lang w:val="en-GB"/>
        </w:rPr>
        <w:t xml:space="preserve"> Except for Uruguay, most Latin American States criminalize rape in marriage or de facto unions; while most Caribbean States </w:t>
      </w:r>
      <w:r w:rsidR="001A7898" w:rsidRPr="00A06CFB">
        <w:rPr>
          <w:sz w:val="28"/>
          <w:szCs w:val="28"/>
          <w:lang w:val="en-GB"/>
        </w:rPr>
        <w:t xml:space="preserve">either </w:t>
      </w:r>
      <w:r w:rsidR="00B35A8C" w:rsidRPr="00A06CFB">
        <w:rPr>
          <w:sz w:val="28"/>
          <w:szCs w:val="28"/>
          <w:lang w:val="en-GB"/>
        </w:rPr>
        <w:t>do not criminalize rape or define it as an aggravating circumstance when perpetrated by the intimate partner.</w:t>
      </w:r>
      <w:r w:rsidR="00E601C1" w:rsidRPr="00A06CFB">
        <w:rPr>
          <w:sz w:val="28"/>
          <w:szCs w:val="28"/>
          <w:lang w:val="en-GB"/>
        </w:rPr>
        <w:t xml:space="preserve"> With respect to rape against </w:t>
      </w:r>
      <w:r w:rsidR="003111D8" w:rsidRPr="00A06CFB">
        <w:rPr>
          <w:sz w:val="28"/>
          <w:szCs w:val="28"/>
          <w:lang w:val="en-GB"/>
        </w:rPr>
        <w:t xml:space="preserve">girls </w:t>
      </w:r>
      <w:r w:rsidR="00E601C1" w:rsidRPr="00A06CFB">
        <w:rPr>
          <w:sz w:val="28"/>
          <w:szCs w:val="28"/>
          <w:lang w:val="en-GB"/>
        </w:rPr>
        <w:t xml:space="preserve">14 or younger, </w:t>
      </w:r>
      <w:r w:rsidR="003111D8" w:rsidRPr="00A06CFB">
        <w:rPr>
          <w:sz w:val="28"/>
          <w:szCs w:val="28"/>
          <w:lang w:val="en-GB"/>
        </w:rPr>
        <w:t>all</w:t>
      </w:r>
      <w:r w:rsidR="00E601C1" w:rsidRPr="00A06CFB">
        <w:rPr>
          <w:sz w:val="28"/>
          <w:szCs w:val="28"/>
          <w:lang w:val="en-GB"/>
        </w:rPr>
        <w:t xml:space="preserve"> States </w:t>
      </w:r>
      <w:r w:rsidR="003111D8" w:rsidRPr="00A06CFB">
        <w:rPr>
          <w:sz w:val="28"/>
          <w:szCs w:val="28"/>
          <w:lang w:val="en-GB"/>
        </w:rPr>
        <w:t>of the region</w:t>
      </w:r>
      <w:r w:rsidR="00E601C1" w:rsidRPr="00A06CFB">
        <w:rPr>
          <w:sz w:val="28"/>
          <w:szCs w:val="28"/>
          <w:lang w:val="en-GB"/>
        </w:rPr>
        <w:t xml:space="preserve"> </w:t>
      </w:r>
      <w:r w:rsidR="003111D8" w:rsidRPr="00A06CFB">
        <w:rPr>
          <w:sz w:val="28"/>
          <w:szCs w:val="28"/>
          <w:lang w:val="en-GB"/>
        </w:rPr>
        <w:t>criminalise</w:t>
      </w:r>
      <w:r w:rsidR="00E601C1" w:rsidRPr="00A06CFB">
        <w:rPr>
          <w:sz w:val="28"/>
          <w:szCs w:val="28"/>
          <w:lang w:val="en-GB"/>
        </w:rPr>
        <w:t xml:space="preserve"> sexual acts with girls of this age, but only 13 States </w:t>
      </w:r>
      <w:r w:rsidR="00E601C1" w:rsidRPr="00A06CFB">
        <w:rPr>
          <w:sz w:val="28"/>
          <w:szCs w:val="28"/>
          <w:lang w:val="en-GB"/>
        </w:rPr>
        <w:lastRenderedPageBreak/>
        <w:t>have some kind of care protocol in cases of sexual violence, and of them: 9 have provisions of emergency contraception, 7 have specialised care for girls that are victims of sexual violence, and 7 allow legal interruption of pregnancy in these cases</w:t>
      </w:r>
      <w:r w:rsidR="00E601C1" w:rsidRPr="00A06CFB">
        <w:rPr>
          <w:rStyle w:val="Refdenotaalpie"/>
          <w:sz w:val="28"/>
          <w:szCs w:val="28"/>
          <w:lang w:val="en-GB"/>
        </w:rPr>
        <w:footnoteReference w:id="2"/>
      </w:r>
      <w:r w:rsidR="00E601C1" w:rsidRPr="00A06CFB">
        <w:rPr>
          <w:sz w:val="28"/>
          <w:szCs w:val="28"/>
          <w:lang w:val="en-GB"/>
        </w:rPr>
        <w:t>.</w:t>
      </w:r>
    </w:p>
    <w:p w14:paraId="746F9665" w14:textId="5C138C97" w:rsidR="00EA614B" w:rsidRPr="00A06CFB" w:rsidRDefault="00EB2268" w:rsidP="00F84B92">
      <w:pPr>
        <w:spacing w:after="100" w:afterAutospacing="1" w:line="240" w:lineRule="auto"/>
        <w:jc w:val="both"/>
        <w:rPr>
          <w:sz w:val="28"/>
          <w:szCs w:val="28"/>
          <w:lang w:val="en-GB"/>
        </w:rPr>
      </w:pPr>
      <w:r w:rsidRPr="00A06CFB">
        <w:rPr>
          <w:sz w:val="28"/>
          <w:szCs w:val="28"/>
          <w:lang w:val="en-GB"/>
        </w:rPr>
        <w:t xml:space="preserve">The region has advanced in the reform of criminal codes </w:t>
      </w:r>
      <w:proofErr w:type="gramStart"/>
      <w:r w:rsidR="007C536A" w:rsidRPr="00A06CFB">
        <w:rPr>
          <w:sz w:val="28"/>
          <w:szCs w:val="28"/>
          <w:lang w:val="en-GB"/>
        </w:rPr>
        <w:t xml:space="preserve">in order </w:t>
      </w:r>
      <w:r w:rsidRPr="00A06CFB">
        <w:rPr>
          <w:sz w:val="28"/>
          <w:szCs w:val="28"/>
          <w:lang w:val="en-GB"/>
        </w:rPr>
        <w:t>to</w:t>
      </w:r>
      <w:proofErr w:type="gramEnd"/>
      <w:r w:rsidRPr="00A06CFB">
        <w:rPr>
          <w:sz w:val="28"/>
          <w:szCs w:val="28"/>
          <w:lang w:val="en-GB"/>
        </w:rPr>
        <w:t xml:space="preserve"> adapt the protected interests to the international and inter-American systems. The crimes </w:t>
      </w:r>
      <w:r w:rsidR="007C536A" w:rsidRPr="00A06CFB">
        <w:rPr>
          <w:sz w:val="28"/>
          <w:szCs w:val="28"/>
          <w:lang w:val="en-GB"/>
        </w:rPr>
        <w:t xml:space="preserve">that once were </w:t>
      </w:r>
      <w:r w:rsidRPr="00A06CFB">
        <w:rPr>
          <w:sz w:val="28"/>
          <w:szCs w:val="28"/>
          <w:lang w:val="en-GB"/>
        </w:rPr>
        <w:t xml:space="preserve">conceived to protect the reputation and honour of families, </w:t>
      </w:r>
      <w:proofErr w:type="gramStart"/>
      <w:r w:rsidRPr="00A06CFB">
        <w:rPr>
          <w:sz w:val="28"/>
          <w:szCs w:val="28"/>
          <w:lang w:val="en-GB"/>
        </w:rPr>
        <w:t>modesty</w:t>
      </w:r>
      <w:proofErr w:type="gramEnd"/>
      <w:r w:rsidRPr="00A06CFB">
        <w:rPr>
          <w:sz w:val="28"/>
          <w:szCs w:val="28"/>
          <w:lang w:val="en-GB"/>
        </w:rPr>
        <w:t xml:space="preserve"> and morality</w:t>
      </w:r>
      <w:r w:rsidR="001A7898" w:rsidRPr="00A06CFB">
        <w:rPr>
          <w:sz w:val="28"/>
          <w:szCs w:val="28"/>
          <w:lang w:val="en-GB"/>
        </w:rPr>
        <w:t>,</w:t>
      </w:r>
      <w:r w:rsidRPr="00A06CFB">
        <w:rPr>
          <w:sz w:val="28"/>
          <w:szCs w:val="28"/>
          <w:lang w:val="en-GB"/>
        </w:rPr>
        <w:t xml:space="preserve"> </w:t>
      </w:r>
      <w:r w:rsidR="007C536A" w:rsidRPr="00A06CFB">
        <w:rPr>
          <w:sz w:val="28"/>
          <w:szCs w:val="28"/>
          <w:lang w:val="en-GB"/>
        </w:rPr>
        <w:t xml:space="preserve">now </w:t>
      </w:r>
      <w:r w:rsidRPr="00A06CFB">
        <w:rPr>
          <w:sz w:val="28"/>
          <w:szCs w:val="28"/>
          <w:lang w:val="en-GB"/>
        </w:rPr>
        <w:t xml:space="preserve">have disappeared </w:t>
      </w:r>
      <w:r w:rsidR="007C536A" w:rsidRPr="00A06CFB">
        <w:rPr>
          <w:sz w:val="28"/>
          <w:szCs w:val="28"/>
          <w:lang w:val="en-GB"/>
        </w:rPr>
        <w:t>so that they now</w:t>
      </w:r>
      <w:r w:rsidRPr="00A06CFB">
        <w:rPr>
          <w:sz w:val="28"/>
          <w:szCs w:val="28"/>
          <w:lang w:val="en-GB"/>
        </w:rPr>
        <w:t xml:space="preserve"> accommodate a </w:t>
      </w:r>
      <w:r w:rsidR="007C536A" w:rsidRPr="00A06CFB">
        <w:rPr>
          <w:sz w:val="28"/>
          <w:szCs w:val="28"/>
          <w:lang w:val="en-GB"/>
        </w:rPr>
        <w:t xml:space="preserve">different </w:t>
      </w:r>
      <w:r w:rsidRPr="00A06CFB">
        <w:rPr>
          <w:sz w:val="28"/>
          <w:szCs w:val="28"/>
          <w:lang w:val="en-GB"/>
        </w:rPr>
        <w:t>set of</w:t>
      </w:r>
      <w:r w:rsidR="00242190" w:rsidRPr="00A06CFB">
        <w:rPr>
          <w:sz w:val="28"/>
          <w:szCs w:val="28"/>
          <w:lang w:val="en-GB"/>
        </w:rPr>
        <w:t xml:space="preserve"> </w:t>
      </w:r>
      <w:r w:rsidRPr="00A06CFB">
        <w:rPr>
          <w:sz w:val="28"/>
          <w:szCs w:val="28"/>
          <w:lang w:val="en-GB"/>
        </w:rPr>
        <w:t>offenses</w:t>
      </w:r>
      <w:r w:rsidR="007C536A" w:rsidRPr="00A06CFB">
        <w:rPr>
          <w:sz w:val="28"/>
          <w:szCs w:val="28"/>
          <w:lang w:val="en-GB"/>
        </w:rPr>
        <w:t>. These offenses</w:t>
      </w:r>
      <w:r w:rsidRPr="00A06CFB">
        <w:rPr>
          <w:sz w:val="28"/>
          <w:szCs w:val="28"/>
          <w:lang w:val="en-GB"/>
        </w:rPr>
        <w:t xml:space="preserve"> recognize as protected legal interests, the sexual integrity of people and especially</w:t>
      </w:r>
      <w:r w:rsidR="00092A3F" w:rsidRPr="00A06CFB">
        <w:rPr>
          <w:sz w:val="28"/>
          <w:szCs w:val="28"/>
          <w:lang w:val="en-GB"/>
        </w:rPr>
        <w:t xml:space="preserve"> </w:t>
      </w:r>
      <w:r w:rsidRPr="00A06CFB">
        <w:rPr>
          <w:sz w:val="28"/>
          <w:szCs w:val="28"/>
          <w:lang w:val="en-GB"/>
        </w:rPr>
        <w:t>the sexual integrity of women and girls</w:t>
      </w:r>
      <w:r w:rsidRPr="00A06CFB">
        <w:rPr>
          <w:rStyle w:val="Refdenotaalpie"/>
          <w:sz w:val="28"/>
          <w:szCs w:val="28"/>
          <w:lang w:val="en-GB"/>
        </w:rPr>
        <w:footnoteReference w:id="3"/>
      </w:r>
      <w:r w:rsidRPr="00A06CFB">
        <w:rPr>
          <w:sz w:val="28"/>
          <w:szCs w:val="28"/>
          <w:lang w:val="en-GB"/>
        </w:rPr>
        <w:t>. However, the region still has a significant number of regulations that must be harmonised</w:t>
      </w:r>
      <w:r w:rsidRPr="00A06CFB">
        <w:rPr>
          <w:rStyle w:val="Refdenotaalpie"/>
          <w:sz w:val="28"/>
          <w:szCs w:val="28"/>
          <w:lang w:val="en-GB"/>
        </w:rPr>
        <w:footnoteReference w:id="4"/>
      </w:r>
      <w:r w:rsidRPr="00A06CFB">
        <w:rPr>
          <w:sz w:val="28"/>
          <w:szCs w:val="28"/>
          <w:lang w:val="en-GB"/>
        </w:rPr>
        <w:t xml:space="preserve">. </w:t>
      </w:r>
      <w:r w:rsidR="00242190" w:rsidRPr="00A06CFB">
        <w:rPr>
          <w:sz w:val="28"/>
          <w:szCs w:val="28"/>
          <w:lang w:val="en-GB"/>
        </w:rPr>
        <w:t xml:space="preserve">Additionally, the Committee of Experts of MESECVI recognise as a major problem the gap between the existent laws and the mechanisms for the effective enforcement of these laws, </w:t>
      </w:r>
      <w:r w:rsidR="001A7898" w:rsidRPr="00A06CFB">
        <w:rPr>
          <w:sz w:val="28"/>
          <w:szCs w:val="28"/>
          <w:lang w:val="en-GB"/>
        </w:rPr>
        <w:t>e</w:t>
      </w:r>
      <w:r w:rsidR="00242190" w:rsidRPr="00A06CFB">
        <w:rPr>
          <w:sz w:val="28"/>
          <w:szCs w:val="28"/>
          <w:lang w:val="en-GB"/>
        </w:rPr>
        <w:t xml:space="preserve">specially when the acts are committed against girls between 10 and 14. </w:t>
      </w:r>
    </w:p>
    <w:p w14:paraId="761C7C1E" w14:textId="4E6AEA84" w:rsidR="00AE655E" w:rsidRPr="00A06CFB" w:rsidRDefault="006B4AFB" w:rsidP="00AE655E">
      <w:pPr>
        <w:jc w:val="both"/>
        <w:rPr>
          <w:sz w:val="28"/>
          <w:szCs w:val="28"/>
          <w:lang w:val="en-GB"/>
        </w:rPr>
      </w:pPr>
      <w:r w:rsidRPr="00A06CFB">
        <w:rPr>
          <w:sz w:val="28"/>
          <w:szCs w:val="28"/>
          <w:lang w:val="en-GB"/>
        </w:rPr>
        <w:t xml:space="preserve">Most States have specific criminal typologies when the victim of the crime is a girl, with </w:t>
      </w:r>
      <w:r w:rsidR="001A7898" w:rsidRPr="00A06CFB">
        <w:rPr>
          <w:sz w:val="28"/>
          <w:szCs w:val="28"/>
          <w:lang w:val="en-GB"/>
        </w:rPr>
        <w:t xml:space="preserve">differing consideration though regarding the </w:t>
      </w:r>
      <w:r w:rsidR="00B008D9" w:rsidRPr="00A06CFB">
        <w:rPr>
          <w:sz w:val="28"/>
          <w:szCs w:val="28"/>
          <w:lang w:val="en-GB"/>
        </w:rPr>
        <w:t xml:space="preserve">exact </w:t>
      </w:r>
      <w:r w:rsidR="001A7898" w:rsidRPr="00A06CFB">
        <w:rPr>
          <w:sz w:val="28"/>
          <w:szCs w:val="28"/>
          <w:lang w:val="en-GB"/>
        </w:rPr>
        <w:t>age</w:t>
      </w:r>
      <w:r w:rsidR="00092A3F" w:rsidRPr="00A06CFB">
        <w:rPr>
          <w:sz w:val="28"/>
          <w:szCs w:val="28"/>
          <w:lang w:val="en-GB"/>
        </w:rPr>
        <w:t xml:space="preserve">: at least 20 States criminalize sexual relations with minors under the age of 14, establishing a progression of the punishment if the rape occurred between the ages of 14 and 12 or if the victim is under the age of 12. </w:t>
      </w:r>
      <w:r w:rsidRPr="00A06CFB">
        <w:rPr>
          <w:sz w:val="28"/>
          <w:szCs w:val="28"/>
          <w:lang w:val="en-GB"/>
        </w:rPr>
        <w:t xml:space="preserve"> Exceptionally, some States do not make distinction according to the age of the victim</w:t>
      </w:r>
      <w:r w:rsidRPr="00A06CFB">
        <w:rPr>
          <w:rStyle w:val="Refdenotaalpie"/>
          <w:sz w:val="28"/>
          <w:szCs w:val="28"/>
          <w:lang w:val="en-GB"/>
        </w:rPr>
        <w:footnoteReference w:id="5"/>
      </w:r>
      <w:r w:rsidRPr="00A06CFB">
        <w:rPr>
          <w:sz w:val="28"/>
          <w:szCs w:val="28"/>
          <w:lang w:val="en-GB"/>
        </w:rPr>
        <w:t xml:space="preserve">. </w:t>
      </w:r>
      <w:r w:rsidR="00E31DBE" w:rsidRPr="00A06CFB">
        <w:rPr>
          <w:sz w:val="28"/>
          <w:szCs w:val="28"/>
          <w:lang w:val="en-GB"/>
        </w:rPr>
        <w:t xml:space="preserve">Additionally, at least 10 States of the region </w:t>
      </w:r>
      <w:r w:rsidR="00A952BD" w:rsidRPr="00A06CFB">
        <w:rPr>
          <w:sz w:val="28"/>
          <w:szCs w:val="28"/>
          <w:lang w:val="en-GB"/>
        </w:rPr>
        <w:t xml:space="preserve">establish </w:t>
      </w:r>
      <w:r w:rsidR="00E31DBE" w:rsidRPr="00A06CFB">
        <w:rPr>
          <w:sz w:val="28"/>
          <w:szCs w:val="28"/>
          <w:lang w:val="en-GB"/>
        </w:rPr>
        <w:t xml:space="preserve">mitigating circumstances </w:t>
      </w:r>
      <w:r w:rsidR="00A952BD" w:rsidRPr="00A06CFB">
        <w:rPr>
          <w:sz w:val="28"/>
          <w:szCs w:val="28"/>
          <w:lang w:val="en-GB"/>
        </w:rPr>
        <w:t xml:space="preserve">in cases of </w:t>
      </w:r>
      <w:r w:rsidR="00E31DBE" w:rsidRPr="00A06CFB">
        <w:rPr>
          <w:sz w:val="28"/>
          <w:szCs w:val="28"/>
          <w:lang w:val="en-GB"/>
        </w:rPr>
        <w:t>sexual violence against girls</w:t>
      </w:r>
      <w:r w:rsidR="00B008D9" w:rsidRPr="00A06CFB">
        <w:rPr>
          <w:sz w:val="28"/>
          <w:szCs w:val="28"/>
          <w:lang w:val="en-GB"/>
        </w:rPr>
        <w:t>,</w:t>
      </w:r>
      <w:r w:rsidR="00E31DBE" w:rsidRPr="00A06CFB">
        <w:rPr>
          <w:sz w:val="28"/>
          <w:szCs w:val="28"/>
          <w:lang w:val="en-GB"/>
        </w:rPr>
        <w:t xml:space="preserve"> </w:t>
      </w:r>
      <w:r w:rsidR="00B008D9" w:rsidRPr="00A06CFB">
        <w:rPr>
          <w:sz w:val="28"/>
          <w:szCs w:val="28"/>
          <w:lang w:val="en-GB"/>
        </w:rPr>
        <w:t xml:space="preserve">which </w:t>
      </w:r>
      <w:r w:rsidR="00E31DBE" w:rsidRPr="00A06CFB">
        <w:rPr>
          <w:sz w:val="28"/>
          <w:szCs w:val="28"/>
          <w:lang w:val="en-GB"/>
        </w:rPr>
        <w:t>perpetuate gender stereotypes against them</w:t>
      </w:r>
      <w:r w:rsidR="00E31DBE" w:rsidRPr="00A06CFB">
        <w:rPr>
          <w:rStyle w:val="Refdenotaalpie"/>
          <w:sz w:val="28"/>
          <w:szCs w:val="28"/>
          <w:lang w:val="en-GB"/>
        </w:rPr>
        <w:footnoteReference w:id="6"/>
      </w:r>
      <w:r w:rsidR="00E31DBE" w:rsidRPr="00A06CFB">
        <w:rPr>
          <w:sz w:val="28"/>
          <w:szCs w:val="28"/>
          <w:lang w:val="en-GB"/>
        </w:rPr>
        <w:t>.</w:t>
      </w:r>
      <w:r w:rsidR="00C11D48" w:rsidRPr="00A06CFB">
        <w:rPr>
          <w:sz w:val="28"/>
          <w:szCs w:val="28"/>
          <w:lang w:val="en-GB"/>
        </w:rPr>
        <w:t xml:space="preserve"> </w:t>
      </w:r>
      <w:r w:rsidR="00AE655E" w:rsidRPr="00A06CFB">
        <w:rPr>
          <w:sz w:val="28"/>
          <w:szCs w:val="28"/>
          <w:lang w:val="en-GB"/>
        </w:rPr>
        <w:t xml:space="preserve">Among these circumstances, we find the existence of reasonable causes for believing that the girl was older than 14 or 16, evidence of which must be provided by the aggressor. This is common in the legislation of Caribbean countries. St. Lucia also excuses criminal liability in cases where the aggressor can demonstrate the consent of the victim in cases of girls aged 12 to 16 – a consent that the CEVI does not recognize. Similarly, of special concern is the exoneration of criminal liability when the victim is the wife of the accused, a law that clearly </w:t>
      </w:r>
      <w:r w:rsidR="00AE655E" w:rsidRPr="00A06CFB">
        <w:rPr>
          <w:sz w:val="28"/>
          <w:szCs w:val="28"/>
          <w:lang w:val="en-GB"/>
        </w:rPr>
        <w:lastRenderedPageBreak/>
        <w:t xml:space="preserve">contravenes the recommendations made by CEVI with respect to the need to criminalize sexual violence within marriage. Moreover, </w:t>
      </w:r>
      <w:r w:rsidR="00B008D9" w:rsidRPr="00A06CFB">
        <w:rPr>
          <w:sz w:val="28"/>
          <w:szCs w:val="28"/>
          <w:lang w:val="en-GB"/>
        </w:rPr>
        <w:t xml:space="preserve">the </w:t>
      </w:r>
      <w:proofErr w:type="gramStart"/>
      <w:r w:rsidR="00B008D9" w:rsidRPr="00A06CFB">
        <w:rPr>
          <w:sz w:val="28"/>
          <w:szCs w:val="28"/>
          <w:lang w:val="en-GB"/>
        </w:rPr>
        <w:t xml:space="preserve">aforementioned </w:t>
      </w:r>
      <w:r w:rsidR="00AE655E" w:rsidRPr="00A06CFB">
        <w:rPr>
          <w:sz w:val="28"/>
          <w:szCs w:val="28"/>
          <w:lang w:val="en-GB"/>
        </w:rPr>
        <w:t>mitigating</w:t>
      </w:r>
      <w:proofErr w:type="gramEnd"/>
      <w:r w:rsidR="00AE655E" w:rsidRPr="00A06CFB">
        <w:rPr>
          <w:sz w:val="28"/>
          <w:szCs w:val="28"/>
          <w:lang w:val="en-GB"/>
        </w:rPr>
        <w:t xml:space="preserve"> circumstance does not include a distinction regarding the age of the victim. </w:t>
      </w:r>
    </w:p>
    <w:p w14:paraId="78349CC3" w14:textId="096C40B3" w:rsidR="00242190" w:rsidRPr="00A06CFB" w:rsidRDefault="00C11D48" w:rsidP="00F84B92">
      <w:pPr>
        <w:spacing w:after="100" w:afterAutospacing="1" w:line="240" w:lineRule="auto"/>
        <w:jc w:val="both"/>
        <w:rPr>
          <w:sz w:val="28"/>
          <w:szCs w:val="28"/>
          <w:lang w:val="en-GB"/>
        </w:rPr>
      </w:pPr>
      <w:r w:rsidRPr="00A06CFB">
        <w:rPr>
          <w:sz w:val="28"/>
          <w:szCs w:val="28"/>
          <w:lang w:val="en-GB"/>
        </w:rPr>
        <w:t xml:space="preserve">The penalties for sexual violence against girls vary widely in the region, </w:t>
      </w:r>
      <w:r w:rsidR="00B008D9" w:rsidRPr="00A06CFB">
        <w:rPr>
          <w:sz w:val="28"/>
          <w:szCs w:val="28"/>
          <w:lang w:val="en-GB"/>
        </w:rPr>
        <w:t xml:space="preserve">ranging </w:t>
      </w:r>
      <w:r w:rsidRPr="00A06CFB">
        <w:rPr>
          <w:sz w:val="28"/>
          <w:szCs w:val="28"/>
          <w:lang w:val="en-GB"/>
        </w:rPr>
        <w:t>from 2 years of imprisonment to life sentence in some States in the Caribbean</w:t>
      </w:r>
      <w:r w:rsidRPr="00A06CFB">
        <w:rPr>
          <w:rStyle w:val="Refdenotaalpie"/>
          <w:sz w:val="28"/>
          <w:szCs w:val="28"/>
          <w:lang w:val="en-GB"/>
        </w:rPr>
        <w:footnoteReference w:id="7"/>
      </w:r>
      <w:r w:rsidRPr="00A06CFB">
        <w:rPr>
          <w:sz w:val="28"/>
          <w:szCs w:val="28"/>
          <w:lang w:val="en-GB"/>
        </w:rPr>
        <w:t xml:space="preserve">. </w:t>
      </w:r>
      <w:r w:rsidR="00EF4CEA" w:rsidRPr="00A06CFB">
        <w:rPr>
          <w:sz w:val="28"/>
          <w:szCs w:val="28"/>
          <w:lang w:val="en-GB"/>
        </w:rPr>
        <w:t xml:space="preserve">The States </w:t>
      </w:r>
      <w:r w:rsidR="00A952BD" w:rsidRPr="00A06CFB">
        <w:rPr>
          <w:sz w:val="28"/>
          <w:szCs w:val="28"/>
          <w:lang w:val="en-GB"/>
        </w:rPr>
        <w:t>establish</w:t>
      </w:r>
      <w:r w:rsidR="00EF4CEA" w:rsidRPr="00A06CFB">
        <w:rPr>
          <w:sz w:val="28"/>
          <w:szCs w:val="28"/>
          <w:lang w:val="en-GB"/>
        </w:rPr>
        <w:t xml:space="preserve"> a specific </w:t>
      </w:r>
      <w:r w:rsidR="00A952BD" w:rsidRPr="00A06CFB">
        <w:rPr>
          <w:sz w:val="28"/>
          <w:szCs w:val="28"/>
          <w:lang w:val="en-GB"/>
        </w:rPr>
        <w:t>criminal type</w:t>
      </w:r>
      <w:r w:rsidR="00EF4CEA" w:rsidRPr="00A06CFB">
        <w:rPr>
          <w:sz w:val="28"/>
          <w:szCs w:val="28"/>
          <w:lang w:val="en-GB"/>
        </w:rPr>
        <w:t xml:space="preserve"> or</w:t>
      </w:r>
      <w:r w:rsidR="00A952BD" w:rsidRPr="00A06CFB">
        <w:rPr>
          <w:sz w:val="28"/>
          <w:szCs w:val="28"/>
          <w:lang w:val="en-GB"/>
        </w:rPr>
        <w:t xml:space="preserve"> </w:t>
      </w:r>
      <w:r w:rsidR="00EF4CEA" w:rsidRPr="00A06CFB">
        <w:rPr>
          <w:sz w:val="28"/>
          <w:szCs w:val="28"/>
          <w:lang w:val="en-GB"/>
        </w:rPr>
        <w:t xml:space="preserve">aggravating circumstances when the aggressor is a </w:t>
      </w:r>
      <w:r w:rsidR="00B008D9" w:rsidRPr="00A06CFB">
        <w:rPr>
          <w:sz w:val="28"/>
          <w:szCs w:val="28"/>
          <w:lang w:val="en-GB"/>
        </w:rPr>
        <w:t xml:space="preserve">male member </w:t>
      </w:r>
      <w:r w:rsidR="00EF4CEA" w:rsidRPr="00A06CFB">
        <w:rPr>
          <w:sz w:val="28"/>
          <w:szCs w:val="28"/>
          <w:lang w:val="en-GB"/>
        </w:rPr>
        <w:t>of the family or tutor</w:t>
      </w:r>
      <w:r w:rsidR="00EF4CEA" w:rsidRPr="00A06CFB">
        <w:rPr>
          <w:rStyle w:val="Refdenotaalpie"/>
          <w:sz w:val="28"/>
          <w:szCs w:val="28"/>
          <w:lang w:val="en-GB"/>
        </w:rPr>
        <w:footnoteReference w:id="8"/>
      </w:r>
      <w:r w:rsidR="00EF4CEA" w:rsidRPr="00A06CFB">
        <w:rPr>
          <w:sz w:val="28"/>
          <w:szCs w:val="28"/>
          <w:lang w:val="en-GB"/>
        </w:rPr>
        <w:t>.</w:t>
      </w:r>
    </w:p>
    <w:p w14:paraId="6ADA23D2" w14:textId="18FAD39E" w:rsidR="00F84B92" w:rsidRPr="00A06CFB" w:rsidRDefault="00551D46" w:rsidP="00F84B92">
      <w:pPr>
        <w:spacing w:after="100" w:afterAutospacing="1" w:line="240" w:lineRule="auto"/>
        <w:jc w:val="both"/>
        <w:rPr>
          <w:sz w:val="28"/>
          <w:szCs w:val="28"/>
          <w:lang w:val="en-GB"/>
        </w:rPr>
      </w:pPr>
      <w:r w:rsidRPr="00A06CFB">
        <w:rPr>
          <w:sz w:val="28"/>
          <w:szCs w:val="28"/>
          <w:lang w:val="en-GB"/>
        </w:rPr>
        <w:t>The information related to rape as a war crime or crime against humanity was analysed in our Second Hemispheric Report</w:t>
      </w:r>
      <w:r w:rsidRPr="00A06CFB">
        <w:rPr>
          <w:rStyle w:val="Refdenotaalpie"/>
          <w:sz w:val="28"/>
          <w:szCs w:val="28"/>
          <w:lang w:val="en-GB"/>
        </w:rPr>
        <w:footnoteReference w:id="9"/>
      </w:r>
      <w:r w:rsidRPr="00A06CFB">
        <w:rPr>
          <w:sz w:val="28"/>
          <w:szCs w:val="28"/>
          <w:lang w:val="en-GB"/>
        </w:rPr>
        <w:t xml:space="preserve">. Of the States that provided information, 15 punish violence perpetrated by the States or its agents, and 15 do not punish it. Colombia incorporated a new legislation in 2014, where </w:t>
      </w:r>
      <w:r w:rsidR="00E42B0A" w:rsidRPr="00A06CFB">
        <w:rPr>
          <w:sz w:val="28"/>
          <w:szCs w:val="28"/>
          <w:lang w:val="en-GB"/>
        </w:rPr>
        <w:t xml:space="preserve">it </w:t>
      </w:r>
      <w:r w:rsidRPr="00A06CFB">
        <w:rPr>
          <w:sz w:val="28"/>
          <w:szCs w:val="28"/>
          <w:lang w:val="en-GB"/>
        </w:rPr>
        <w:t xml:space="preserve">stipulates that sexual violence may constitute a crime against </w:t>
      </w:r>
      <w:proofErr w:type="gramStart"/>
      <w:r w:rsidRPr="00A06CFB">
        <w:rPr>
          <w:sz w:val="28"/>
          <w:szCs w:val="28"/>
          <w:lang w:val="en-GB"/>
        </w:rPr>
        <w:t>humanity</w:t>
      </w:r>
      <w:r w:rsidR="00CD51F5" w:rsidRPr="00A06CFB">
        <w:rPr>
          <w:sz w:val="28"/>
          <w:szCs w:val="28"/>
          <w:lang w:val="en-GB"/>
        </w:rPr>
        <w:t>, and</w:t>
      </w:r>
      <w:proofErr w:type="gramEnd"/>
      <w:r w:rsidR="00CD51F5" w:rsidRPr="00A06CFB">
        <w:rPr>
          <w:sz w:val="28"/>
          <w:szCs w:val="28"/>
          <w:lang w:val="en-GB"/>
        </w:rPr>
        <w:t xml:space="preserve"> included forms of torture that may have disproportionated impact on women, such as forced nudity. In that report “the Committee reiterates the importance of criminalizing… sexual violence perpetrated by State agents as a war crime and a crime against humanity, and to ensure its punishment”</w:t>
      </w:r>
      <w:r w:rsidR="00CD51F5" w:rsidRPr="00A06CFB">
        <w:rPr>
          <w:rStyle w:val="Refdenotaalpie"/>
          <w:sz w:val="28"/>
          <w:szCs w:val="28"/>
          <w:lang w:val="en-GB"/>
        </w:rPr>
        <w:footnoteReference w:id="10"/>
      </w:r>
      <w:r w:rsidR="00CD51F5" w:rsidRPr="00A06CFB">
        <w:rPr>
          <w:sz w:val="28"/>
          <w:szCs w:val="28"/>
          <w:lang w:val="en-GB"/>
        </w:rPr>
        <w:t>. This in line with the systematic jurisprudence of the Inter-American Court of Human Rights.</w:t>
      </w:r>
    </w:p>
    <w:p w14:paraId="3168F22F" w14:textId="31FDD6AE" w:rsidR="00F75654" w:rsidRPr="00A06CFB" w:rsidRDefault="004E29BE" w:rsidP="00F84B92">
      <w:pPr>
        <w:spacing w:after="100" w:afterAutospacing="1" w:line="240" w:lineRule="auto"/>
        <w:jc w:val="both"/>
        <w:rPr>
          <w:sz w:val="28"/>
          <w:szCs w:val="28"/>
          <w:lang w:val="en-GB"/>
        </w:rPr>
      </w:pPr>
      <w:r w:rsidRPr="00A06CFB">
        <w:rPr>
          <w:sz w:val="28"/>
          <w:szCs w:val="28"/>
          <w:lang w:val="en-GB"/>
        </w:rPr>
        <w:t>T</w:t>
      </w:r>
      <w:r w:rsidR="00F75654" w:rsidRPr="00A06CFB">
        <w:rPr>
          <w:sz w:val="28"/>
          <w:szCs w:val="28"/>
          <w:lang w:val="en-GB"/>
        </w:rPr>
        <w:t>he Committee of Experts of MESECVI has expressed its concern regarding the lack of available records and statistic</w:t>
      </w:r>
      <w:r w:rsidR="00B95F91" w:rsidRPr="00A06CFB">
        <w:rPr>
          <w:sz w:val="28"/>
          <w:szCs w:val="28"/>
          <w:lang w:val="en-GB"/>
        </w:rPr>
        <w:t>s</w:t>
      </w:r>
      <w:r w:rsidR="00F75654" w:rsidRPr="00A06CFB">
        <w:rPr>
          <w:sz w:val="28"/>
          <w:szCs w:val="28"/>
          <w:lang w:val="en-GB"/>
        </w:rPr>
        <w:t xml:space="preserve"> on violence against women in general, </w:t>
      </w:r>
      <w:r w:rsidR="00E42B0A" w:rsidRPr="00A06CFB">
        <w:rPr>
          <w:sz w:val="28"/>
          <w:szCs w:val="28"/>
          <w:lang w:val="en-GB"/>
        </w:rPr>
        <w:t>so that</w:t>
      </w:r>
      <w:r w:rsidR="00F75654" w:rsidRPr="00A06CFB">
        <w:rPr>
          <w:sz w:val="28"/>
          <w:szCs w:val="28"/>
          <w:lang w:val="en-GB"/>
        </w:rPr>
        <w:t xml:space="preserve"> the magnitude of the problem, its victims, </w:t>
      </w:r>
      <w:r w:rsidR="00A52DF2" w:rsidRPr="00A06CFB">
        <w:rPr>
          <w:sz w:val="28"/>
          <w:szCs w:val="28"/>
          <w:lang w:val="en-GB"/>
        </w:rPr>
        <w:t xml:space="preserve">its </w:t>
      </w:r>
      <w:r w:rsidR="00F75654" w:rsidRPr="00A06CFB">
        <w:rPr>
          <w:sz w:val="28"/>
          <w:szCs w:val="28"/>
          <w:lang w:val="en-GB"/>
        </w:rPr>
        <w:t>aggressors, and its extent</w:t>
      </w:r>
      <w:r w:rsidR="00F75654" w:rsidRPr="00A06CFB">
        <w:rPr>
          <w:rStyle w:val="Refdenotaalpie"/>
          <w:sz w:val="28"/>
          <w:szCs w:val="28"/>
          <w:lang w:val="en-GB"/>
        </w:rPr>
        <w:footnoteReference w:id="11"/>
      </w:r>
      <w:r w:rsidR="00E42B0A" w:rsidRPr="00A06CFB">
        <w:rPr>
          <w:sz w:val="28"/>
          <w:szCs w:val="28"/>
          <w:lang w:val="en-GB"/>
        </w:rPr>
        <w:t xml:space="preserve"> is sufficiently known</w:t>
      </w:r>
      <w:r w:rsidR="0096411D" w:rsidRPr="00A06CFB">
        <w:rPr>
          <w:sz w:val="28"/>
          <w:szCs w:val="28"/>
          <w:lang w:val="en-GB"/>
        </w:rPr>
        <w:t>.</w:t>
      </w:r>
      <w:r w:rsidR="00D51B7F" w:rsidRPr="00A06CFB">
        <w:rPr>
          <w:sz w:val="28"/>
          <w:szCs w:val="28"/>
          <w:lang w:val="en-GB"/>
        </w:rPr>
        <w:t xml:space="preserve"> Additionally, it observes a lack of information about the sentences or treatment according to the type of violence or other </w:t>
      </w:r>
      <w:r w:rsidR="00E42B0A" w:rsidRPr="00A06CFB">
        <w:rPr>
          <w:sz w:val="28"/>
          <w:szCs w:val="28"/>
          <w:lang w:val="en-GB"/>
        </w:rPr>
        <w:t xml:space="preserve">intervening </w:t>
      </w:r>
      <w:r w:rsidR="00D51B7F" w:rsidRPr="00A06CFB">
        <w:rPr>
          <w:sz w:val="28"/>
          <w:szCs w:val="28"/>
          <w:lang w:val="en-GB"/>
        </w:rPr>
        <w:t>variables</w:t>
      </w:r>
      <w:r w:rsidR="00D51B7F" w:rsidRPr="00A06CFB">
        <w:rPr>
          <w:rStyle w:val="Refdenotaalpie"/>
          <w:sz w:val="28"/>
          <w:szCs w:val="28"/>
          <w:lang w:val="en-GB"/>
        </w:rPr>
        <w:footnoteReference w:id="12"/>
      </w:r>
      <w:r w:rsidR="00D51B7F" w:rsidRPr="00A06CFB">
        <w:rPr>
          <w:sz w:val="28"/>
          <w:szCs w:val="28"/>
          <w:lang w:val="en-GB"/>
        </w:rPr>
        <w:t xml:space="preserve">. In fact, the indicators that are part of the module of access to justice are the ones with </w:t>
      </w:r>
      <w:r w:rsidR="00E42B0A" w:rsidRPr="00A06CFB">
        <w:rPr>
          <w:sz w:val="28"/>
          <w:szCs w:val="28"/>
          <w:lang w:val="en-GB"/>
        </w:rPr>
        <w:t>the</w:t>
      </w:r>
      <w:r w:rsidR="00D51B7F" w:rsidRPr="00A06CFB">
        <w:rPr>
          <w:sz w:val="28"/>
          <w:szCs w:val="28"/>
          <w:lang w:val="en-GB"/>
        </w:rPr>
        <w:t xml:space="preserve"> highest percentage of no response on the part of the States of the region, therefore there is </w:t>
      </w:r>
      <w:r w:rsidR="00E932DD" w:rsidRPr="00A06CFB">
        <w:rPr>
          <w:sz w:val="28"/>
          <w:szCs w:val="28"/>
          <w:lang w:val="en-GB"/>
        </w:rPr>
        <w:t>an important advancement in this area that needs to be done.</w:t>
      </w:r>
    </w:p>
    <w:p w14:paraId="4772A67B" w14:textId="77777777" w:rsidR="00F84B92" w:rsidRPr="00A06CFB" w:rsidRDefault="00F84B92" w:rsidP="00F84B92">
      <w:pPr>
        <w:spacing w:after="100" w:afterAutospacing="1" w:line="240" w:lineRule="auto"/>
        <w:jc w:val="both"/>
        <w:rPr>
          <w:sz w:val="28"/>
          <w:szCs w:val="28"/>
          <w:lang w:val="en-GB"/>
        </w:rPr>
      </w:pPr>
    </w:p>
    <w:sectPr w:rsidR="00F84B92" w:rsidRPr="00A06C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A53D" w14:textId="77777777" w:rsidR="00D56075" w:rsidRDefault="00D56075" w:rsidP="00F844A5">
      <w:pPr>
        <w:spacing w:after="0" w:line="240" w:lineRule="auto"/>
      </w:pPr>
      <w:r>
        <w:separator/>
      </w:r>
    </w:p>
  </w:endnote>
  <w:endnote w:type="continuationSeparator" w:id="0">
    <w:p w14:paraId="525F54B9" w14:textId="77777777" w:rsidR="00D56075" w:rsidRDefault="00D56075" w:rsidP="00F8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ED69" w14:textId="77777777" w:rsidR="00D56075" w:rsidRDefault="00D56075" w:rsidP="00F844A5">
      <w:pPr>
        <w:spacing w:after="0" w:line="240" w:lineRule="auto"/>
      </w:pPr>
      <w:r>
        <w:separator/>
      </w:r>
    </w:p>
  </w:footnote>
  <w:footnote w:type="continuationSeparator" w:id="0">
    <w:p w14:paraId="028E34DE" w14:textId="77777777" w:rsidR="00D56075" w:rsidRDefault="00D56075" w:rsidP="00F844A5">
      <w:pPr>
        <w:spacing w:after="0" w:line="240" w:lineRule="auto"/>
      </w:pPr>
      <w:r>
        <w:continuationSeparator/>
      </w:r>
    </w:p>
  </w:footnote>
  <w:footnote w:id="1">
    <w:p w14:paraId="26A6DE69" w14:textId="4DE64956" w:rsidR="00F844A5" w:rsidRPr="00F844A5" w:rsidRDefault="00F844A5">
      <w:pPr>
        <w:pStyle w:val="Textonotapie"/>
        <w:rPr>
          <w:lang w:val="en-GB"/>
        </w:rPr>
      </w:pPr>
      <w:r>
        <w:rPr>
          <w:rStyle w:val="Refdenotaalpie"/>
        </w:rPr>
        <w:footnoteRef/>
      </w:r>
      <w:r w:rsidRPr="00F844A5">
        <w:rPr>
          <w:lang w:val="en-GB"/>
        </w:rPr>
        <w:t xml:space="preserve"> </w:t>
      </w:r>
      <w:r>
        <w:rPr>
          <w:lang w:val="en-GB"/>
        </w:rPr>
        <w:t xml:space="preserve">MESECVI. 2014. </w:t>
      </w:r>
      <w:r w:rsidRPr="00F844A5">
        <w:rPr>
          <w:lang w:val="en-GB"/>
        </w:rPr>
        <w:t>Second Follow-up Report on the Recommendations of the Committee of Experts of the MESECVI</w:t>
      </w:r>
      <w:r>
        <w:rPr>
          <w:lang w:val="en-GB"/>
        </w:rPr>
        <w:t xml:space="preserve">: </w:t>
      </w:r>
      <w:hyperlink r:id="rId1" w:history="1">
        <w:r w:rsidRPr="00F844A5">
          <w:rPr>
            <w:rStyle w:val="Hipervnculo"/>
            <w:lang w:val="en-GB"/>
          </w:rPr>
          <w:t>https://www.oas.org/en/mesecvi/docs/MESECVI-SegundoInformeSeguimiento-EN.pdf</w:t>
        </w:r>
      </w:hyperlink>
    </w:p>
  </w:footnote>
  <w:footnote w:id="2">
    <w:p w14:paraId="0D41BD2C" w14:textId="25B9652C" w:rsidR="00E601C1" w:rsidRPr="00E601C1" w:rsidRDefault="00E601C1">
      <w:pPr>
        <w:pStyle w:val="Textonotapie"/>
        <w:rPr>
          <w:lang w:val="en-GB"/>
        </w:rPr>
      </w:pPr>
      <w:r>
        <w:rPr>
          <w:rStyle w:val="Refdenotaalpie"/>
        </w:rPr>
        <w:footnoteRef/>
      </w:r>
      <w:r w:rsidRPr="00E601C1">
        <w:rPr>
          <w:lang w:val="en-GB"/>
        </w:rPr>
        <w:t xml:space="preserve"> </w:t>
      </w:r>
      <w:hyperlink r:id="rId2" w:history="1">
        <w:r w:rsidRPr="00E601C1">
          <w:rPr>
            <w:rStyle w:val="Hipervnculo"/>
            <w:lang w:val="en-GB"/>
          </w:rPr>
          <w:t>https://www.oas.org/en/mesecvi/docs/Infografia1-ProtocolosEmbarazoInfantil-EN.pdf</w:t>
        </w:r>
      </w:hyperlink>
    </w:p>
  </w:footnote>
  <w:footnote w:id="3">
    <w:p w14:paraId="53388362" w14:textId="6B90E9CD" w:rsidR="00EB2268" w:rsidRPr="00EB2268" w:rsidRDefault="00EB2268">
      <w:pPr>
        <w:pStyle w:val="Textonotapie"/>
        <w:rPr>
          <w:lang w:val="en-GB"/>
        </w:rPr>
      </w:pPr>
      <w:r>
        <w:rPr>
          <w:rStyle w:val="Refdenotaalpie"/>
        </w:rPr>
        <w:footnoteRef/>
      </w:r>
      <w:r w:rsidRPr="00EB2268">
        <w:rPr>
          <w:lang w:val="en-GB"/>
        </w:rPr>
        <w:t xml:space="preserve"> MESECVI. </w:t>
      </w:r>
      <w:r w:rsidRPr="00EB2268">
        <w:rPr>
          <w:color w:val="000000"/>
          <w:lang w:val="en-GB"/>
        </w:rPr>
        <w:t>2017</w:t>
      </w:r>
      <w:r>
        <w:rPr>
          <w:color w:val="000000"/>
          <w:lang w:val="en-GB"/>
        </w:rPr>
        <w:t>.</w:t>
      </w:r>
      <w:r w:rsidRPr="00EB2268">
        <w:rPr>
          <w:color w:val="000000"/>
          <w:lang w:val="en-GB"/>
        </w:rPr>
        <w:t xml:space="preserve"> Hemispheric Report on Sexual Violence and Child Pregnancy in the States Party to the </w:t>
      </w:r>
      <w:proofErr w:type="spellStart"/>
      <w:r w:rsidRPr="00EB2268">
        <w:rPr>
          <w:color w:val="000000"/>
          <w:lang w:val="en-GB"/>
        </w:rPr>
        <w:t>Belém</w:t>
      </w:r>
      <w:proofErr w:type="spellEnd"/>
      <w:r w:rsidRPr="00EB2268">
        <w:rPr>
          <w:color w:val="000000"/>
          <w:lang w:val="en-GB"/>
        </w:rPr>
        <w:t xml:space="preserve"> do Pará Convention</w:t>
      </w:r>
      <w:r w:rsidR="00242190">
        <w:rPr>
          <w:color w:val="000000"/>
          <w:lang w:val="en-GB"/>
        </w:rPr>
        <w:t xml:space="preserve">: </w:t>
      </w:r>
      <w:hyperlink r:id="rId3" w:history="1">
        <w:r w:rsidR="00242190" w:rsidRPr="00242190">
          <w:rPr>
            <w:rStyle w:val="Hipervnculo"/>
            <w:lang w:val="en-GB"/>
          </w:rPr>
          <w:t>http://www.oas.org/es/mesecvi/docs/mesecvi-embarazoinfantil-en.pdf</w:t>
        </w:r>
      </w:hyperlink>
    </w:p>
  </w:footnote>
  <w:footnote w:id="4">
    <w:p w14:paraId="74458AE2" w14:textId="2F63271E" w:rsidR="00EB2268" w:rsidRPr="00EB2268" w:rsidRDefault="00EB2268">
      <w:pPr>
        <w:pStyle w:val="Textonotapie"/>
        <w:rPr>
          <w:lang w:val="en-GB"/>
        </w:rPr>
      </w:pPr>
      <w:r>
        <w:rPr>
          <w:rStyle w:val="Refdenotaalpie"/>
        </w:rPr>
        <w:footnoteRef/>
      </w:r>
      <w:r w:rsidRPr="00EB2268">
        <w:rPr>
          <w:lang w:val="en-GB"/>
        </w:rPr>
        <w:t xml:space="preserve"> </w:t>
      </w:r>
      <w:r w:rsidR="000438C5">
        <w:rPr>
          <w:lang w:val="en-GB"/>
        </w:rPr>
        <w:t>Ibid.</w:t>
      </w:r>
    </w:p>
  </w:footnote>
  <w:footnote w:id="5">
    <w:p w14:paraId="297C6F7C" w14:textId="41F31147" w:rsidR="006B4AFB" w:rsidRPr="006B4AFB" w:rsidRDefault="006B4AFB">
      <w:pPr>
        <w:pStyle w:val="Textonotapie"/>
        <w:rPr>
          <w:lang w:val="en-GB"/>
        </w:rPr>
      </w:pPr>
      <w:r>
        <w:rPr>
          <w:rStyle w:val="Refdenotaalpie"/>
        </w:rPr>
        <w:footnoteRef/>
      </w:r>
      <w:r w:rsidRPr="006B4AFB">
        <w:rPr>
          <w:lang w:val="en-GB"/>
        </w:rPr>
        <w:t xml:space="preserve"> </w:t>
      </w:r>
      <w:r w:rsidR="000438C5">
        <w:rPr>
          <w:lang w:val="en-GB"/>
        </w:rPr>
        <w:t>Ibid.</w:t>
      </w:r>
    </w:p>
  </w:footnote>
  <w:footnote w:id="6">
    <w:p w14:paraId="58572556" w14:textId="6F3E87F9" w:rsidR="00E31DBE" w:rsidRPr="00E31DBE" w:rsidRDefault="00E31DBE">
      <w:pPr>
        <w:pStyle w:val="Textonotapie"/>
        <w:rPr>
          <w:lang w:val="en-GB"/>
        </w:rPr>
      </w:pPr>
      <w:r>
        <w:rPr>
          <w:rStyle w:val="Refdenotaalpie"/>
        </w:rPr>
        <w:footnoteRef/>
      </w:r>
      <w:r w:rsidRPr="00E31DBE">
        <w:rPr>
          <w:lang w:val="en-GB"/>
        </w:rPr>
        <w:t xml:space="preserve"> </w:t>
      </w:r>
      <w:r w:rsidR="000438C5">
        <w:rPr>
          <w:lang w:val="en-GB"/>
        </w:rPr>
        <w:t>Ibid.</w:t>
      </w:r>
    </w:p>
  </w:footnote>
  <w:footnote w:id="7">
    <w:p w14:paraId="151CECF9" w14:textId="30F80FFB" w:rsidR="00C11D48" w:rsidRPr="00C11D48" w:rsidRDefault="00C11D48">
      <w:pPr>
        <w:pStyle w:val="Textonotapie"/>
        <w:rPr>
          <w:lang w:val="en-GB"/>
        </w:rPr>
      </w:pPr>
      <w:r>
        <w:rPr>
          <w:rStyle w:val="Refdenotaalpie"/>
        </w:rPr>
        <w:footnoteRef/>
      </w:r>
      <w:r w:rsidRPr="00C11D48">
        <w:rPr>
          <w:lang w:val="en-GB"/>
        </w:rPr>
        <w:t xml:space="preserve"> </w:t>
      </w:r>
      <w:r w:rsidR="000438C5">
        <w:rPr>
          <w:lang w:val="en-GB"/>
        </w:rPr>
        <w:t>Ibid.</w:t>
      </w:r>
    </w:p>
  </w:footnote>
  <w:footnote w:id="8">
    <w:p w14:paraId="6A6862E3" w14:textId="19ED8A37" w:rsidR="00EF4CEA" w:rsidRPr="00EF4CEA" w:rsidRDefault="00EF4CEA">
      <w:pPr>
        <w:pStyle w:val="Textonotapie"/>
        <w:rPr>
          <w:lang w:val="en-GB"/>
        </w:rPr>
      </w:pPr>
      <w:r>
        <w:rPr>
          <w:rStyle w:val="Refdenotaalpie"/>
        </w:rPr>
        <w:footnoteRef/>
      </w:r>
      <w:r w:rsidRPr="00EF4CEA">
        <w:rPr>
          <w:lang w:val="en-GB"/>
        </w:rPr>
        <w:t xml:space="preserve"> </w:t>
      </w:r>
      <w:r w:rsidR="000438C5">
        <w:rPr>
          <w:lang w:val="en-GB"/>
        </w:rPr>
        <w:t>Ibid.</w:t>
      </w:r>
    </w:p>
  </w:footnote>
  <w:footnote w:id="9">
    <w:p w14:paraId="07831106" w14:textId="64B3E86F" w:rsidR="00551D46" w:rsidRPr="00551D46" w:rsidRDefault="00551D46">
      <w:pPr>
        <w:pStyle w:val="Textonotapie"/>
        <w:rPr>
          <w:lang w:val="en-GB"/>
        </w:rPr>
      </w:pPr>
      <w:r>
        <w:rPr>
          <w:rStyle w:val="Refdenotaalpie"/>
        </w:rPr>
        <w:footnoteRef/>
      </w:r>
      <w:r w:rsidRPr="00551D46">
        <w:rPr>
          <w:lang w:val="en-GB"/>
        </w:rPr>
        <w:t xml:space="preserve"> </w:t>
      </w:r>
      <w:r>
        <w:rPr>
          <w:lang w:val="en-GB"/>
        </w:rPr>
        <w:t xml:space="preserve">MESECVI. 2014. </w:t>
      </w:r>
      <w:r w:rsidR="000438C5">
        <w:rPr>
          <w:lang w:val="en-GB"/>
        </w:rPr>
        <w:t>Op. Cit.</w:t>
      </w:r>
    </w:p>
  </w:footnote>
  <w:footnote w:id="10">
    <w:p w14:paraId="7B6DAC93" w14:textId="5C711E1E" w:rsidR="00CD51F5" w:rsidRPr="00CD51F5" w:rsidRDefault="00CD51F5">
      <w:pPr>
        <w:pStyle w:val="Textonotapie"/>
        <w:rPr>
          <w:lang w:val="en-GB"/>
        </w:rPr>
      </w:pPr>
      <w:r>
        <w:rPr>
          <w:rStyle w:val="Refdenotaalpie"/>
        </w:rPr>
        <w:footnoteRef/>
      </w:r>
      <w:r w:rsidRPr="00CD51F5">
        <w:rPr>
          <w:lang w:val="en-GB"/>
        </w:rPr>
        <w:t xml:space="preserve"> </w:t>
      </w:r>
      <w:r w:rsidR="000438C5">
        <w:rPr>
          <w:lang w:val="en-GB"/>
        </w:rPr>
        <w:t>Ibid.</w:t>
      </w:r>
    </w:p>
  </w:footnote>
  <w:footnote w:id="11">
    <w:p w14:paraId="6209F018" w14:textId="65B814C6" w:rsidR="00F75654" w:rsidRPr="00F75654" w:rsidRDefault="00F75654">
      <w:pPr>
        <w:pStyle w:val="Textonotapie"/>
        <w:rPr>
          <w:lang w:val="en-GB"/>
        </w:rPr>
      </w:pPr>
      <w:r>
        <w:rPr>
          <w:rStyle w:val="Refdenotaalpie"/>
        </w:rPr>
        <w:footnoteRef/>
      </w:r>
      <w:r w:rsidRPr="00F75654">
        <w:rPr>
          <w:lang w:val="en-GB"/>
        </w:rPr>
        <w:t xml:space="preserve"> </w:t>
      </w:r>
      <w:r w:rsidR="000438C5">
        <w:rPr>
          <w:lang w:val="en-GB"/>
        </w:rPr>
        <w:t>Ibid.</w:t>
      </w:r>
    </w:p>
  </w:footnote>
  <w:footnote w:id="12">
    <w:p w14:paraId="4FBCF652" w14:textId="5D9E86AD" w:rsidR="00D51B7F" w:rsidRPr="00D51B7F" w:rsidRDefault="00D51B7F" w:rsidP="00D51B7F">
      <w:pPr>
        <w:pStyle w:val="Textonotapie"/>
        <w:rPr>
          <w:lang w:val="en-US"/>
        </w:rPr>
      </w:pPr>
      <w:r>
        <w:rPr>
          <w:rStyle w:val="Refdenotaalpie"/>
        </w:rPr>
        <w:footnoteRef/>
      </w:r>
      <w:r w:rsidRPr="00D51B7F">
        <w:rPr>
          <w:lang w:val="en-GB"/>
        </w:rPr>
        <w:t xml:space="preserve"> </w:t>
      </w:r>
      <w:r>
        <w:rPr>
          <w:lang w:val="en-GB"/>
        </w:rPr>
        <w:t xml:space="preserve">MESECVI. </w:t>
      </w:r>
      <w:r w:rsidRPr="00D51B7F">
        <w:rPr>
          <w:lang w:val="en-US"/>
        </w:rPr>
        <w:t xml:space="preserve">2017 Third Hemispheric Report on the Implementation of the </w:t>
      </w:r>
      <w:proofErr w:type="spellStart"/>
      <w:r w:rsidRPr="00D51B7F">
        <w:rPr>
          <w:lang w:val="en-US"/>
        </w:rPr>
        <w:t>Belém</w:t>
      </w:r>
      <w:proofErr w:type="spellEnd"/>
      <w:r w:rsidRPr="00D51B7F">
        <w:rPr>
          <w:lang w:val="en-US"/>
        </w:rPr>
        <w:t xml:space="preserve"> do Pará Convention:</w:t>
      </w:r>
    </w:p>
    <w:p w14:paraId="1F428800" w14:textId="77777777" w:rsidR="00D51B7F" w:rsidRPr="00D51B7F" w:rsidRDefault="00D204D7" w:rsidP="00D51B7F">
      <w:pPr>
        <w:pStyle w:val="Textonotapie"/>
        <w:rPr>
          <w:lang w:val="en-US"/>
        </w:rPr>
      </w:pPr>
      <w:hyperlink r:id="rId4" w:history="1">
        <w:r w:rsidR="00D51B7F" w:rsidRPr="00D51B7F">
          <w:rPr>
            <w:rStyle w:val="Hipervnculo"/>
            <w:lang w:val="en-US"/>
          </w:rPr>
          <w:t>https://www.oas.org/es/mesecvi/docs/TercerInformeHemisferico-EN.pdf</w:t>
        </w:r>
      </w:hyperlink>
      <w:r w:rsidR="00D51B7F" w:rsidRPr="00D51B7F">
        <w:rPr>
          <w:lang w:val="en-US"/>
        </w:rPr>
        <w:t xml:space="preserve"> </w:t>
      </w:r>
    </w:p>
    <w:p w14:paraId="0CCC4DE7" w14:textId="5668242B" w:rsidR="00D51B7F" w:rsidRPr="00D51B7F" w:rsidRDefault="00D51B7F">
      <w:pPr>
        <w:pStyle w:val="Textonotapi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7765C"/>
    <w:multiLevelType w:val="hybridMultilevel"/>
    <w:tmpl w:val="A2AAE1F8"/>
    <w:lvl w:ilvl="0" w:tplc="0478C5A4">
      <w:start w:val="4"/>
      <w:numFmt w:val="bullet"/>
      <w:lvlText w:val="-"/>
      <w:lvlJc w:val="left"/>
      <w:pPr>
        <w:ind w:left="720" w:hanging="360"/>
      </w:pPr>
      <w:rPr>
        <w:rFonts w:ascii="Calibri" w:eastAsiaTheme="minorHAnsi" w:hAnsi="Calibri" w:cs="Calibri" w:hint="default"/>
        <w:color w:val="00000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4B"/>
    <w:rsid w:val="000438C5"/>
    <w:rsid w:val="00092A3F"/>
    <w:rsid w:val="00153EA7"/>
    <w:rsid w:val="00180B62"/>
    <w:rsid w:val="001A7898"/>
    <w:rsid w:val="00242190"/>
    <w:rsid w:val="003111D8"/>
    <w:rsid w:val="003E2982"/>
    <w:rsid w:val="00494632"/>
    <w:rsid w:val="004E29BE"/>
    <w:rsid w:val="00504D23"/>
    <w:rsid w:val="00551D46"/>
    <w:rsid w:val="006726F1"/>
    <w:rsid w:val="00683CD4"/>
    <w:rsid w:val="006B4AFB"/>
    <w:rsid w:val="006C6FA3"/>
    <w:rsid w:val="007C536A"/>
    <w:rsid w:val="007D6439"/>
    <w:rsid w:val="00826A38"/>
    <w:rsid w:val="00844381"/>
    <w:rsid w:val="008556CD"/>
    <w:rsid w:val="0087241D"/>
    <w:rsid w:val="008B06BD"/>
    <w:rsid w:val="008D1099"/>
    <w:rsid w:val="0096411D"/>
    <w:rsid w:val="00A06CFB"/>
    <w:rsid w:val="00A52DF2"/>
    <w:rsid w:val="00A952BD"/>
    <w:rsid w:val="00AE655E"/>
    <w:rsid w:val="00B008D9"/>
    <w:rsid w:val="00B35A8C"/>
    <w:rsid w:val="00B44B4F"/>
    <w:rsid w:val="00B95F91"/>
    <w:rsid w:val="00C11D48"/>
    <w:rsid w:val="00CD51F5"/>
    <w:rsid w:val="00D204D7"/>
    <w:rsid w:val="00D51B7F"/>
    <w:rsid w:val="00D56075"/>
    <w:rsid w:val="00D562BA"/>
    <w:rsid w:val="00E31DBE"/>
    <w:rsid w:val="00E42B0A"/>
    <w:rsid w:val="00E601C1"/>
    <w:rsid w:val="00E932DD"/>
    <w:rsid w:val="00EA614B"/>
    <w:rsid w:val="00EB2268"/>
    <w:rsid w:val="00EF4CEA"/>
    <w:rsid w:val="00F75654"/>
    <w:rsid w:val="00F844A5"/>
    <w:rsid w:val="00F84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480D"/>
  <w15:chartTrackingRefBased/>
  <w15:docId w15:val="{007E88D3-0356-4731-B1E1-7993B9D7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44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44A5"/>
    <w:rPr>
      <w:sz w:val="20"/>
      <w:szCs w:val="20"/>
      <w:lang w:val="es-CL"/>
    </w:rPr>
  </w:style>
  <w:style w:type="character" w:styleId="Refdenotaalpie">
    <w:name w:val="footnote reference"/>
    <w:basedOn w:val="Fuentedeprrafopredeter"/>
    <w:uiPriority w:val="99"/>
    <w:semiHidden/>
    <w:unhideWhenUsed/>
    <w:rsid w:val="00F844A5"/>
    <w:rPr>
      <w:vertAlign w:val="superscript"/>
    </w:rPr>
  </w:style>
  <w:style w:type="character" w:styleId="Hipervnculo">
    <w:name w:val="Hyperlink"/>
    <w:basedOn w:val="Fuentedeprrafopredeter"/>
    <w:uiPriority w:val="99"/>
    <w:unhideWhenUsed/>
    <w:rsid w:val="00F844A5"/>
    <w:rPr>
      <w:color w:val="0000FF"/>
      <w:u w:val="single"/>
    </w:rPr>
  </w:style>
  <w:style w:type="paragraph" w:styleId="Prrafodelista">
    <w:name w:val="List Paragraph"/>
    <w:basedOn w:val="Normal"/>
    <w:uiPriority w:val="34"/>
    <w:qFormat/>
    <w:rsid w:val="00D51B7F"/>
    <w:pPr>
      <w:spacing w:after="0" w:line="240" w:lineRule="auto"/>
      <w:ind w:left="720"/>
      <w:contextualSpacing/>
    </w:pPr>
    <w:rPr>
      <w:rFonts w:ascii="Calibri" w:hAnsi="Calibri" w:cs="Calibri"/>
      <w:lang w:val="en-US"/>
    </w:rPr>
  </w:style>
  <w:style w:type="character" w:styleId="Mencinsinresolver">
    <w:name w:val="Unresolved Mention"/>
    <w:basedOn w:val="Fuentedeprrafopredeter"/>
    <w:uiPriority w:val="99"/>
    <w:semiHidden/>
    <w:unhideWhenUsed/>
    <w:rsid w:val="00D51B7F"/>
    <w:rPr>
      <w:color w:val="605E5C"/>
      <w:shd w:val="clear" w:color="auto" w:fill="E1DFDD"/>
    </w:rPr>
  </w:style>
  <w:style w:type="paragraph" w:styleId="Textodeglobo">
    <w:name w:val="Balloon Text"/>
    <w:basedOn w:val="Normal"/>
    <w:link w:val="TextodegloboCar"/>
    <w:uiPriority w:val="99"/>
    <w:semiHidden/>
    <w:unhideWhenUsed/>
    <w:rsid w:val="001A78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898"/>
    <w:rPr>
      <w:rFonts w:ascii="Segoe UI" w:hAnsi="Segoe UI" w:cs="Segoe UI"/>
      <w:sz w:val="18"/>
      <w:szCs w:val="18"/>
      <w:lang w:val="es-CL"/>
    </w:rPr>
  </w:style>
  <w:style w:type="character" w:styleId="Refdecomentario">
    <w:name w:val="annotation reference"/>
    <w:basedOn w:val="Fuentedeprrafopredeter"/>
    <w:uiPriority w:val="99"/>
    <w:semiHidden/>
    <w:unhideWhenUsed/>
    <w:rsid w:val="001A7898"/>
    <w:rPr>
      <w:sz w:val="16"/>
      <w:szCs w:val="16"/>
    </w:rPr>
  </w:style>
  <w:style w:type="paragraph" w:styleId="Textocomentario">
    <w:name w:val="annotation text"/>
    <w:basedOn w:val="Normal"/>
    <w:link w:val="TextocomentarioCar"/>
    <w:uiPriority w:val="99"/>
    <w:semiHidden/>
    <w:unhideWhenUsed/>
    <w:rsid w:val="001A78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898"/>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7898"/>
    <w:rPr>
      <w:b/>
      <w:bCs/>
    </w:rPr>
  </w:style>
  <w:style w:type="character" w:customStyle="1" w:styleId="AsuntodelcomentarioCar">
    <w:name w:val="Asunto del comentario Car"/>
    <w:basedOn w:val="TextocomentarioCar"/>
    <w:link w:val="Asuntodelcomentario"/>
    <w:uiPriority w:val="99"/>
    <w:semiHidden/>
    <w:rsid w:val="001A7898"/>
    <w:rPr>
      <w:b/>
      <w:bCs/>
      <w:sz w:val="20"/>
      <w:szCs w:val="20"/>
      <w:lang w:val="es-CL"/>
    </w:rPr>
  </w:style>
  <w:style w:type="character" w:styleId="Hipervnculovisitado">
    <w:name w:val="FollowedHyperlink"/>
    <w:basedOn w:val="Fuentedeprrafopredeter"/>
    <w:uiPriority w:val="99"/>
    <w:semiHidden/>
    <w:unhideWhenUsed/>
    <w:rsid w:val="001A7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mesecvi/docs/mesecvi-embarazoinfantil-en.pdf" TargetMode="External"/><Relationship Id="rId2" Type="http://schemas.openxmlformats.org/officeDocument/2006/relationships/hyperlink" Target="https://www.oas.org/en/mesecvi/docs/Infografia1-ProtocolosEmbarazoInfantil-EN.pdf" TargetMode="External"/><Relationship Id="rId1" Type="http://schemas.openxmlformats.org/officeDocument/2006/relationships/hyperlink" Target="https://www.oas.org/en/mesecvi/docs/MESECVI-SegundoInformeSeguimiento-EN.pdf" TargetMode="External"/><Relationship Id="rId4" Type="http://schemas.openxmlformats.org/officeDocument/2006/relationships/hyperlink" Target="https://www.oas.org/es/mesecvi/docs/TercerInformeHemisferico-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B0CF3-D68D-4ED5-B2B2-10A352ED45C9}">
  <ds:schemaRefs>
    <ds:schemaRef ds:uri="http://schemas.openxmlformats.org/officeDocument/2006/bibliography"/>
  </ds:schemaRefs>
</ds:datastoreItem>
</file>

<file path=customXml/itemProps2.xml><?xml version="1.0" encoding="utf-8"?>
<ds:datastoreItem xmlns:ds="http://schemas.openxmlformats.org/officeDocument/2006/customXml" ds:itemID="{0DE1FEB3-F9AD-4D60-B50D-C054BAF7B250}"/>
</file>

<file path=customXml/itemProps3.xml><?xml version="1.0" encoding="utf-8"?>
<ds:datastoreItem xmlns:ds="http://schemas.openxmlformats.org/officeDocument/2006/customXml" ds:itemID="{BB2A95B7-9557-434F-A33C-21F7B6BE6441}"/>
</file>

<file path=customXml/itemProps4.xml><?xml version="1.0" encoding="utf-8"?>
<ds:datastoreItem xmlns:ds="http://schemas.openxmlformats.org/officeDocument/2006/customXml" ds:itemID="{12BF999B-6ABB-43BA-AB84-44484568C307}"/>
</file>

<file path=docProps/app.xml><?xml version="1.0" encoding="utf-8"?>
<Properties xmlns="http://schemas.openxmlformats.org/officeDocument/2006/extended-properties" xmlns:vt="http://schemas.openxmlformats.org/officeDocument/2006/docPropsVTypes">
  <Template>Normal</Template>
  <TotalTime>42</TotalTime>
  <Pages>3</Pages>
  <Words>946</Words>
  <Characters>5203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Rein</dc:creator>
  <cp:keywords/>
  <dc:description/>
  <cp:lastModifiedBy>Tatiana Rein</cp:lastModifiedBy>
  <cp:revision>8</cp:revision>
  <dcterms:created xsi:type="dcterms:W3CDTF">2020-05-26T19:45:00Z</dcterms:created>
  <dcterms:modified xsi:type="dcterms:W3CDTF">2020-05-26T20:25:00Z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