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7B" w:rsidRDefault="00E6217B" w:rsidP="00E6217B">
      <w:pPr>
        <w:pStyle w:val="En-tte"/>
        <w:tabs>
          <w:tab w:val="clear" w:pos="4536"/>
          <w:tab w:val="clear" w:pos="9072"/>
          <w:tab w:val="left" w:pos="6816"/>
        </w:tabs>
        <w:rPr>
          <w:rFonts w:ascii="Arial" w:hAnsi="Arial" w:cs="Arial"/>
          <w:sz w:val="22"/>
          <w:szCs w:val="22"/>
          <w:lang w:val="fr-FR"/>
        </w:rPr>
      </w:pPr>
      <w:r w:rsidRPr="009B1E51">
        <w:rPr>
          <w:rFonts w:ascii="Arial" w:hAnsi="Arial" w:cs="Arial"/>
          <w:sz w:val="22"/>
          <w:szCs w:val="22"/>
          <w:lang w:val="fr-FR"/>
        </w:rPr>
        <w:t>MINISTERE DE L’ENERGIE</w:t>
      </w:r>
      <w:r w:rsidR="00D61D79">
        <w:rPr>
          <w:rFonts w:ascii="Arial" w:hAnsi="Arial" w:cs="Arial"/>
          <w:sz w:val="22"/>
          <w:szCs w:val="22"/>
          <w:lang w:val="fr-FR"/>
        </w:rPr>
        <w:t xml:space="preserve">                                                                 </w:t>
      </w:r>
      <w:r w:rsidRPr="009B1E51">
        <w:rPr>
          <w:rFonts w:ascii="Arial" w:hAnsi="Arial" w:cs="Arial"/>
          <w:sz w:val="22"/>
          <w:szCs w:val="22"/>
          <w:lang w:val="fr-FR"/>
        </w:rPr>
        <w:t xml:space="preserve"> </w:t>
      </w:r>
      <w:r w:rsidRPr="00DD6900">
        <w:rPr>
          <w:rFonts w:ascii="Arial" w:hAnsi="Arial" w:cs="Arial"/>
          <w:sz w:val="22"/>
          <w:szCs w:val="22"/>
          <w:lang w:val="fr-FR"/>
        </w:rPr>
        <w:t>REPUBLIQUE DU CONGO</w:t>
      </w:r>
    </w:p>
    <w:p w:rsidR="00E6217B" w:rsidRPr="009B1E51" w:rsidRDefault="00D61D79" w:rsidP="00E6217B">
      <w:pPr>
        <w:pStyle w:val="En-tte"/>
        <w:tabs>
          <w:tab w:val="clear" w:pos="4536"/>
          <w:tab w:val="clear" w:pos="9072"/>
          <w:tab w:val="left" w:pos="6816"/>
        </w:tabs>
        <w:rPr>
          <w:rFonts w:ascii="Arial" w:hAnsi="Arial" w:cs="Arial"/>
          <w:sz w:val="18"/>
          <w:szCs w:val="18"/>
          <w:lang w:val="fr-FR"/>
        </w:rPr>
      </w:pPr>
      <w:r>
        <w:rPr>
          <w:rFonts w:ascii="Arial" w:hAnsi="Arial" w:cs="Arial"/>
          <w:sz w:val="22"/>
          <w:szCs w:val="22"/>
          <w:lang w:val="fr-FR"/>
        </w:rPr>
        <w:t xml:space="preserve">  </w:t>
      </w:r>
      <w:r w:rsidR="00E6217B" w:rsidRPr="009B1E51">
        <w:rPr>
          <w:rFonts w:ascii="Arial" w:hAnsi="Arial" w:cs="Arial"/>
          <w:sz w:val="22"/>
          <w:szCs w:val="22"/>
          <w:lang w:val="fr-FR"/>
        </w:rPr>
        <w:t>ET DE L’HYDRAULIQUE</w:t>
      </w:r>
      <w:r>
        <w:rPr>
          <w:rFonts w:ascii="Arial" w:hAnsi="Arial" w:cs="Arial"/>
          <w:sz w:val="22"/>
          <w:szCs w:val="22"/>
          <w:lang w:val="fr-FR"/>
        </w:rPr>
        <w:t xml:space="preserve">                                                                             </w:t>
      </w:r>
      <w:r w:rsidR="00E6217B">
        <w:rPr>
          <w:rFonts w:ascii="Arial" w:hAnsi="Arial" w:cs="Arial"/>
          <w:sz w:val="18"/>
          <w:szCs w:val="18"/>
          <w:lang w:val="fr-FR"/>
        </w:rPr>
        <w:t>Unité*Travail*Progrès</w:t>
      </w:r>
    </w:p>
    <w:p w:rsidR="00E6217B" w:rsidRDefault="00C85A48" w:rsidP="00E6217B">
      <w:pPr>
        <w:pStyle w:val="En-tte"/>
        <w:rPr>
          <w:lang w:val="fr-FR"/>
        </w:rPr>
      </w:pPr>
      <w:bookmarkStart w:id="0" w:name="_GoBack"/>
      <w:bookmarkEnd w:id="0"/>
      <w:r>
        <w:rPr>
          <w:noProof/>
          <w:lang w:val="fr-FR" w:eastAsia="fr-FR"/>
        </w:rPr>
        <w:pict>
          <v:shapetype id="_x0000_t202" coordsize="21600,21600" o:spt="202" path="m,l,21600r21600,l21600,xe">
            <v:stroke joinstyle="miter"/>
            <v:path gradientshapeok="t" o:connecttype="rect"/>
          </v:shapetype>
          <v:shape id="Zone de texte 4" o:spid="_x0000_s1026" type="#_x0000_t202" style="position:absolute;margin-left:101.1pt;margin-top:12.05pt;width:306pt;height:7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" strokecolor="white">
            <v:textbox>
              <w:txbxContent>
                <w:p w:rsidR="00E6217B" w:rsidRPr="00822B06" w:rsidRDefault="00E6217B" w:rsidP="00E6217B">
                  <w:pPr>
                    <w:jc w:val="center"/>
                    <w:rPr>
                      <w:rFonts w:ascii="Britannic Bold" w:hAnsi="Britannic Bold"/>
                      <w:color w:val="000000"/>
                      <w:sz w:val="32"/>
                      <w:szCs w:val="32"/>
                      <w:lang w:val="fr-FR"/>
                    </w:rPr>
                  </w:pPr>
                  <w:r w:rsidRPr="00822B06">
                    <w:rPr>
                      <w:rFonts w:ascii="Britannic Bold" w:hAnsi="Britannic Bold"/>
                      <w:color w:val="000000"/>
                      <w:sz w:val="32"/>
                      <w:szCs w:val="32"/>
                      <w:lang w:val="fr-FR"/>
                    </w:rPr>
                    <w:t>ORGANE DE REGULATION DU SECTEUR</w:t>
                  </w:r>
                </w:p>
                <w:p w:rsidR="00E6217B" w:rsidRPr="00822B06" w:rsidRDefault="00E6217B" w:rsidP="00E6217B">
                  <w:pPr>
                    <w:jc w:val="center"/>
                    <w:rPr>
                      <w:rFonts w:ascii="Britannic Bold" w:hAnsi="Britannic Bold"/>
                      <w:color w:val="000000"/>
                      <w:sz w:val="32"/>
                      <w:szCs w:val="32"/>
                      <w:lang w:val="fr-FR"/>
                    </w:rPr>
                  </w:pPr>
                  <w:r w:rsidRPr="00822B06">
                    <w:rPr>
                      <w:rFonts w:ascii="Britannic Bold" w:hAnsi="Britannic Bold"/>
                      <w:color w:val="000000"/>
                      <w:sz w:val="32"/>
                      <w:szCs w:val="32"/>
                      <w:lang w:val="fr-FR"/>
                    </w:rPr>
                    <w:t>DE L’EAU</w:t>
                  </w:r>
                </w:p>
                <w:p w:rsidR="00E6217B" w:rsidRPr="00822B06" w:rsidRDefault="00E6217B" w:rsidP="00E6217B">
                  <w:pPr>
                    <w:jc w:val="center"/>
                    <w:rPr>
                      <w:rFonts w:ascii="Britannic Bold" w:hAnsi="Britannic Bold"/>
                      <w:color w:val="000000"/>
                      <w:lang w:val="fr-FR"/>
                    </w:rPr>
                  </w:pPr>
                  <w:r w:rsidRPr="00822B06">
                    <w:rPr>
                      <w:rFonts w:ascii="Britannic Bold" w:hAnsi="Britannic Bold"/>
                      <w:color w:val="000000"/>
                      <w:lang w:val="fr-FR"/>
                    </w:rPr>
                    <w:t>----------------------------------</w:t>
                  </w:r>
                </w:p>
                <w:p w:rsidR="00E6217B" w:rsidRPr="00822B06" w:rsidRDefault="00E6217B" w:rsidP="00E6217B">
                  <w:pPr>
                    <w:jc w:val="center"/>
                    <w:rPr>
                      <w:rFonts w:ascii="Britannic Bold" w:hAnsi="Britannic Bold"/>
                      <w:color w:val="000000"/>
                      <w:sz w:val="28"/>
                      <w:szCs w:val="28"/>
                      <w:lang w:val="fr-FR"/>
                    </w:rPr>
                  </w:pPr>
                  <w:r w:rsidRPr="00822B06">
                    <w:rPr>
                      <w:rFonts w:ascii="Britannic Bold" w:hAnsi="Britannic Bold"/>
                      <w:color w:val="000000"/>
                      <w:sz w:val="28"/>
                      <w:szCs w:val="28"/>
                      <w:lang w:val="fr-FR"/>
                    </w:rPr>
                    <w:t>DIRECTION GENERALE</w:t>
                  </w:r>
                </w:p>
                <w:p w:rsidR="00E6217B" w:rsidRPr="007A3B2E" w:rsidRDefault="00E6217B" w:rsidP="00E6217B">
                  <w:pPr>
                    <w:jc w:val="center"/>
                    <w:rPr>
                      <w:color w:val="2E74B5"/>
                      <w:sz w:val="32"/>
                      <w:szCs w:val="32"/>
                      <w:lang w:val="fr-FR"/>
                    </w:rPr>
                  </w:pPr>
                </w:p>
              </w:txbxContent>
            </v:textbox>
          </v:shape>
        </w:pict>
      </w:r>
      <w:r w:rsidR="00E6217B" w:rsidRPr="009B1E51">
        <w:rPr>
          <w:rFonts w:ascii="Arial" w:hAnsi="Arial" w:cs="Arial"/>
          <w:noProof/>
          <w:sz w:val="22"/>
          <w:szCs w:val="22"/>
          <w:lang w:val="fr-FR" w:eastAsia="fr-FR"/>
        </w:rPr>
        <w:drawing>
          <wp:anchor distT="0" distB="0" distL="114300" distR="114300" simplePos="0" relativeHeight="251659264" behindDoc="1" locked="0" layoutInCell="1" allowOverlap="1">
            <wp:simplePos x="0" y="0"/>
            <wp:positionH relativeFrom="column">
              <wp:posOffset>361950</wp:posOffset>
            </wp:positionH>
            <wp:positionV relativeFrom="paragraph">
              <wp:posOffset>20955</wp:posOffset>
            </wp:positionV>
            <wp:extent cx="826770" cy="876300"/>
            <wp:effectExtent l="0" t="0" r="0" b="0"/>
            <wp:wrapNone/>
            <wp:docPr id="3" name="Image 3" descr="logo 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rse"/>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6770" cy="876300"/>
                    </a:xfrm>
                    <a:prstGeom prst="rect">
                      <a:avLst/>
                    </a:prstGeom>
                    <a:noFill/>
                    <a:ln>
                      <a:noFill/>
                    </a:ln>
                  </pic:spPr>
                </pic:pic>
              </a:graphicData>
            </a:graphic>
          </wp:anchor>
        </w:drawing>
      </w:r>
    </w:p>
    <w:p w:rsidR="00E6217B" w:rsidRDefault="00E6217B" w:rsidP="00E6217B">
      <w:pPr>
        <w:pStyle w:val="En-tte"/>
        <w:rPr>
          <w:lang w:val="fr-FR"/>
        </w:rPr>
      </w:pPr>
    </w:p>
    <w:p w:rsidR="00E6217B" w:rsidRDefault="00E6217B" w:rsidP="00E6217B">
      <w:pPr>
        <w:pStyle w:val="En-tte"/>
        <w:rPr>
          <w:lang w:val="fr-FR"/>
        </w:rPr>
      </w:pPr>
    </w:p>
    <w:p w:rsidR="00E6217B" w:rsidRDefault="00E6217B" w:rsidP="00E6217B">
      <w:pPr>
        <w:pStyle w:val="En-tte"/>
        <w:tabs>
          <w:tab w:val="clear" w:pos="4536"/>
          <w:tab w:val="clear" w:pos="9072"/>
          <w:tab w:val="left" w:pos="3132"/>
          <w:tab w:val="left" w:pos="3552"/>
        </w:tabs>
        <w:rPr>
          <w:lang w:val="fr-FR"/>
        </w:rPr>
      </w:pPr>
      <w:r>
        <w:rPr>
          <w:lang w:val="fr-FR"/>
        </w:rPr>
        <w:tab/>
      </w:r>
    </w:p>
    <w:p w:rsidR="00E6217B" w:rsidRDefault="00E6217B" w:rsidP="00E6217B">
      <w:pPr>
        <w:pStyle w:val="En-tte"/>
        <w:tabs>
          <w:tab w:val="clear" w:pos="4536"/>
          <w:tab w:val="clear" w:pos="9072"/>
          <w:tab w:val="left" w:pos="5580"/>
        </w:tabs>
        <w:rPr>
          <w:lang w:val="fr-FR"/>
        </w:rPr>
      </w:pPr>
      <w:r>
        <w:rPr>
          <w:lang w:val="fr-FR"/>
        </w:rPr>
        <w:tab/>
      </w:r>
    </w:p>
    <w:p w:rsidR="00E6217B" w:rsidRDefault="00C85A48" w:rsidP="00E6217B">
      <w:pPr>
        <w:pStyle w:val="En-tte"/>
        <w:tabs>
          <w:tab w:val="clear" w:pos="4536"/>
          <w:tab w:val="left" w:pos="9072"/>
        </w:tabs>
        <w:rPr>
          <w:lang w:val="fr-FR"/>
        </w:rPr>
      </w:pPr>
      <w:r>
        <w:rPr>
          <w:noProof/>
          <w:lang w:val="fr-FR" w:eastAsia="fr-FR"/>
        </w:rPr>
        <w:pict>
          <v:shape id="Zone de texte 2" o:spid="_x0000_s1027" type="#_x0000_t202" style="position:absolute;margin-left:36.3pt;margin-top:6.4pt;width:37.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" filled="f" stroked="f">
            <v:stroke joinstyle="round"/>
            <o:lock v:ext="edit" shapetype="t"/>
            <v:textbox style="mso-fit-shape-to-text:t">
              <w:txbxContent>
                <w:p w:rsidR="00E6217B" w:rsidRDefault="00E6217B" w:rsidP="00E6217B">
                  <w:pPr>
                    <w:pStyle w:val="NormalWeb"/>
                    <w:spacing w:before="0" w:beforeAutospacing="0" w:after="0" w:afterAutospacing="0"/>
                  </w:pPr>
                  <w:r>
                    <w:rPr>
                      <w:rFonts w:ascii="Tw Cen MT" w:hAnsi="Tw Cen MT"/>
                      <w:b/>
                      <w:bCs/>
                      <w:color w:val="0070C0"/>
                      <w:sz w:val="18"/>
                      <w:szCs w:val="18"/>
                    </w:rPr>
                    <w:t>ORSE</w:t>
                  </w:r>
                </w:p>
              </w:txbxContent>
            </v:textbox>
          </v:shape>
        </w:pict>
      </w:r>
      <w:r w:rsidR="00E6217B">
        <w:rPr>
          <w:lang w:val="fr-FR"/>
        </w:rPr>
        <w:tab/>
      </w:r>
    </w:p>
    <w:p w:rsidR="00E6217B" w:rsidRDefault="00E6217B" w:rsidP="00E6217B">
      <w:pPr>
        <w:pStyle w:val="En-tte"/>
        <w:tabs>
          <w:tab w:val="clear" w:pos="4536"/>
          <w:tab w:val="left" w:pos="9072"/>
        </w:tabs>
        <w:rPr>
          <w:lang w:val="fr-FR"/>
        </w:rPr>
      </w:pPr>
    </w:p>
    <w:p w:rsidR="00E6217B" w:rsidRDefault="00E6217B" w:rsidP="00E6217B">
      <w:pPr>
        <w:pStyle w:val="En-tte"/>
        <w:tabs>
          <w:tab w:val="clear" w:pos="4536"/>
          <w:tab w:val="clear" w:pos="9072"/>
          <w:tab w:val="left" w:pos="5640"/>
        </w:tabs>
        <w:jc w:val="center"/>
        <w:rPr>
          <w:color w:val="0070C0"/>
          <w:lang w:val="fr-FR"/>
        </w:rPr>
      </w:pPr>
      <w:r w:rsidRPr="009B1E51">
        <w:rPr>
          <w:noProof/>
          <w:lang w:val="fr-FR" w:eastAsia="fr-FR"/>
        </w:rPr>
        <w:drawing>
          <wp:inline distT="0" distB="0" distL="0" distR="0">
            <wp:extent cx="5248275" cy="314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8275" cy="314325"/>
                    </a:xfrm>
                    <a:prstGeom prst="rect">
                      <a:avLst/>
                    </a:prstGeom>
                    <a:noFill/>
                    <a:ln>
                      <a:noFill/>
                    </a:ln>
                  </pic:spPr>
                </pic:pic>
              </a:graphicData>
            </a:graphic>
          </wp:inline>
        </w:drawing>
      </w:r>
    </w:p>
    <w:p w:rsidR="00F60466" w:rsidRDefault="00F60466" w:rsidP="00E6217B">
      <w:pPr>
        <w:rPr>
          <w:rFonts w:ascii="Arial" w:hAnsi="Arial" w:cs="Arial"/>
        </w:rPr>
      </w:pPr>
    </w:p>
    <w:p w:rsidR="00E6217B" w:rsidRDefault="00E6217B" w:rsidP="00E6217B">
      <w:pPr>
        <w:rPr>
          <w:rFonts w:ascii="Arial" w:hAnsi="Arial" w:cs="Arial"/>
        </w:rPr>
      </w:pPr>
    </w:p>
    <w:p w:rsidR="00E6217B" w:rsidRDefault="00E6217B" w:rsidP="00E6217B">
      <w:pPr>
        <w:rPr>
          <w:rFonts w:ascii="Arial" w:hAnsi="Arial" w:cs="Arial"/>
        </w:rPr>
      </w:pPr>
    </w:p>
    <w:p w:rsidR="00E6217B" w:rsidRDefault="00E6217B" w:rsidP="00E6217B">
      <w:pPr>
        <w:rPr>
          <w:rFonts w:ascii="Arial" w:hAnsi="Arial" w:cs="Arial"/>
        </w:rPr>
      </w:pPr>
    </w:p>
    <w:p w:rsidR="00E6217B" w:rsidRDefault="00E6217B" w:rsidP="00E6217B">
      <w:pPr>
        <w:rPr>
          <w:rFonts w:ascii="Arial" w:hAnsi="Arial" w:cs="Arial"/>
        </w:rPr>
      </w:pPr>
    </w:p>
    <w:p w:rsidR="00E6217B" w:rsidRDefault="00E6217B" w:rsidP="00E6217B">
      <w:pPr>
        <w:rPr>
          <w:rFonts w:ascii="Arial" w:hAnsi="Arial" w:cs="Arial"/>
        </w:rPr>
      </w:pPr>
    </w:p>
    <w:p w:rsidR="00E6217B" w:rsidRDefault="00E6217B" w:rsidP="00E6217B">
      <w:pPr>
        <w:rPr>
          <w:rFonts w:ascii="Arial" w:hAnsi="Arial" w:cs="Arial"/>
        </w:rPr>
      </w:pPr>
    </w:p>
    <w:p w:rsidR="00E6217B" w:rsidRDefault="00E6217B" w:rsidP="00E6217B">
      <w:pPr>
        <w:rPr>
          <w:rFonts w:ascii="Arial" w:hAnsi="Arial" w:cs="Arial"/>
        </w:rPr>
      </w:pPr>
    </w:p>
    <w:p w:rsidR="00E6217B" w:rsidRDefault="00E6217B" w:rsidP="00E6217B">
      <w:pPr>
        <w:rPr>
          <w:rFonts w:ascii="Arial" w:hAnsi="Arial" w:cs="Arial"/>
        </w:rPr>
      </w:pPr>
    </w:p>
    <w:p w:rsidR="00E6217B" w:rsidRDefault="00E6217B" w:rsidP="00E6217B">
      <w:pPr>
        <w:rPr>
          <w:rFonts w:ascii="Arial" w:hAnsi="Arial" w:cs="Arial"/>
        </w:rPr>
      </w:pPr>
    </w:p>
    <w:p w:rsidR="00E6217B" w:rsidRDefault="00E6217B" w:rsidP="00E6217B">
      <w:pPr>
        <w:rPr>
          <w:rFonts w:ascii="Arial" w:hAnsi="Arial" w:cs="Arial"/>
        </w:rPr>
      </w:pPr>
    </w:p>
    <w:p w:rsidR="00E6217B" w:rsidRDefault="00E6217B" w:rsidP="00E6217B">
      <w:pPr>
        <w:rPr>
          <w:rFonts w:ascii="Arial" w:hAnsi="Arial" w:cs="Arial"/>
        </w:rPr>
      </w:pPr>
    </w:p>
    <w:p w:rsidR="00E6217B" w:rsidRDefault="00E6217B" w:rsidP="00E6217B">
      <w:pPr>
        <w:rPr>
          <w:rFonts w:ascii="Arial" w:hAnsi="Arial" w:cs="Arial"/>
        </w:rPr>
      </w:pPr>
    </w:p>
    <w:p w:rsidR="00E6217B" w:rsidRDefault="00E6217B" w:rsidP="00E6217B">
      <w:pPr>
        <w:rPr>
          <w:rFonts w:ascii="Arial" w:hAnsi="Arial" w:cs="Arial"/>
        </w:rPr>
      </w:pPr>
    </w:p>
    <w:p w:rsidR="00E6217B" w:rsidRDefault="00E6217B" w:rsidP="00E6217B">
      <w:pPr>
        <w:pBdr>
          <w:top w:val="single" w:sz="4" w:space="1" w:color="auto"/>
        </w:pBdr>
        <w:jc w:val="center"/>
        <w:rPr>
          <w:rFonts w:ascii="Century Gothic" w:hAnsi="Century Gothic" w:cs="Arial"/>
          <w:b/>
          <w:sz w:val="16"/>
          <w:szCs w:val="16"/>
        </w:rPr>
      </w:pPr>
    </w:p>
    <w:p w:rsidR="00E6217B" w:rsidRDefault="00E6217B" w:rsidP="00E6217B">
      <w:pPr>
        <w:pBdr>
          <w:top w:val="single" w:sz="4" w:space="1" w:color="auto"/>
        </w:pBdr>
        <w:jc w:val="center"/>
        <w:rPr>
          <w:rFonts w:ascii="Century Gothic" w:hAnsi="Century Gothic" w:cs="Arial"/>
          <w:b/>
          <w:sz w:val="16"/>
          <w:szCs w:val="16"/>
        </w:rPr>
      </w:pPr>
    </w:p>
    <w:p w:rsidR="00E6217B" w:rsidRPr="00EE6FCB" w:rsidRDefault="00E6217B" w:rsidP="00E6217B">
      <w:pPr>
        <w:pBdr>
          <w:top w:val="single" w:sz="4" w:space="1" w:color="auto"/>
        </w:pBdr>
        <w:jc w:val="center"/>
        <w:rPr>
          <w:rFonts w:ascii="Century Gothic" w:hAnsi="Century Gothic" w:cs="Arial"/>
          <w:b/>
          <w:sz w:val="16"/>
          <w:szCs w:val="16"/>
          <w:lang w:val="fr-FR"/>
        </w:rPr>
      </w:pPr>
      <w:r w:rsidRPr="00EE6FCB">
        <w:rPr>
          <w:rFonts w:ascii="Century Gothic" w:hAnsi="Century Gothic" w:cs="Arial"/>
          <w:b/>
          <w:sz w:val="36"/>
          <w:szCs w:val="36"/>
          <w:lang w:val="fr-FR"/>
        </w:rPr>
        <w:t xml:space="preserve">REPONSES AU QUESTIONNAIRE DE MONSIEUR LE RAPPORTEUR SPECIAL SUR LES DROITS A L’EAU POTABLE ET L’ASSAINISSEMENT EN REPUBLIQUE DU CONGO </w:t>
      </w:r>
    </w:p>
    <w:p w:rsidR="00E6217B" w:rsidRPr="00EE6FCB" w:rsidRDefault="00E6217B" w:rsidP="00E6217B">
      <w:pPr>
        <w:jc w:val="both"/>
        <w:rPr>
          <w:rFonts w:ascii="Arial Narrow" w:hAnsi="Arial Narrow" w:cs="Arial"/>
          <w:lang w:val="fr-FR"/>
        </w:rPr>
      </w:pPr>
    </w:p>
    <w:p w:rsidR="00E6217B" w:rsidRPr="00EE6FCB" w:rsidRDefault="00E6217B" w:rsidP="00E6217B">
      <w:pPr>
        <w:pBdr>
          <w:top w:val="single" w:sz="4" w:space="1" w:color="auto"/>
        </w:pBdr>
        <w:jc w:val="center"/>
        <w:rPr>
          <w:rFonts w:ascii="Century Gothic" w:hAnsi="Century Gothic" w:cs="Arial"/>
          <w:sz w:val="28"/>
          <w:szCs w:val="28"/>
          <w:lang w:val="fr-FR"/>
        </w:rPr>
      </w:pPr>
    </w:p>
    <w:p w:rsidR="00E6217B" w:rsidRPr="00EE6FCB" w:rsidRDefault="00E6217B" w:rsidP="00E6217B">
      <w:pPr>
        <w:rPr>
          <w:rFonts w:ascii="Arial" w:hAnsi="Arial" w:cs="Arial"/>
          <w:sz w:val="28"/>
          <w:szCs w:val="28"/>
          <w:lang w:val="fr-FR"/>
        </w:rPr>
      </w:pPr>
    </w:p>
    <w:p w:rsidR="00E6217B" w:rsidRPr="00EE6FCB" w:rsidRDefault="00E6217B" w:rsidP="00E6217B">
      <w:pPr>
        <w:rPr>
          <w:rFonts w:ascii="Arial" w:hAnsi="Arial" w:cs="Arial"/>
          <w:sz w:val="28"/>
          <w:szCs w:val="28"/>
          <w:lang w:val="fr-FR"/>
        </w:rPr>
      </w:pPr>
    </w:p>
    <w:p w:rsidR="00E6217B" w:rsidRPr="00EE6FCB" w:rsidRDefault="00E6217B" w:rsidP="00E6217B">
      <w:pPr>
        <w:rPr>
          <w:rFonts w:ascii="Arial" w:hAnsi="Arial" w:cs="Arial"/>
          <w:sz w:val="28"/>
          <w:szCs w:val="28"/>
          <w:lang w:val="fr-FR"/>
        </w:rPr>
      </w:pPr>
    </w:p>
    <w:p w:rsidR="00E6217B" w:rsidRPr="00EE6FCB" w:rsidRDefault="00E6217B" w:rsidP="00E6217B">
      <w:pPr>
        <w:rPr>
          <w:rFonts w:ascii="Arial" w:hAnsi="Arial" w:cs="Arial"/>
          <w:sz w:val="28"/>
          <w:szCs w:val="28"/>
          <w:lang w:val="fr-FR"/>
        </w:rPr>
      </w:pPr>
    </w:p>
    <w:p w:rsidR="00E6217B" w:rsidRDefault="00E6217B" w:rsidP="00E6217B">
      <w:pPr>
        <w:rPr>
          <w:rFonts w:ascii="Arial" w:hAnsi="Arial" w:cs="Arial"/>
          <w:sz w:val="28"/>
          <w:szCs w:val="28"/>
          <w:lang w:val="fr-FR"/>
        </w:rPr>
      </w:pPr>
    </w:p>
    <w:p w:rsidR="00B90627" w:rsidRDefault="00B90627" w:rsidP="00E6217B">
      <w:pPr>
        <w:rPr>
          <w:rFonts w:ascii="Arial" w:hAnsi="Arial" w:cs="Arial"/>
          <w:sz w:val="28"/>
          <w:szCs w:val="28"/>
          <w:lang w:val="fr-FR"/>
        </w:rPr>
      </w:pPr>
    </w:p>
    <w:p w:rsidR="00B90627" w:rsidRDefault="00B90627" w:rsidP="00E6217B">
      <w:pPr>
        <w:rPr>
          <w:rFonts w:ascii="Arial" w:hAnsi="Arial" w:cs="Arial"/>
          <w:sz w:val="28"/>
          <w:szCs w:val="28"/>
          <w:lang w:val="fr-FR"/>
        </w:rPr>
      </w:pPr>
    </w:p>
    <w:p w:rsidR="00B90627" w:rsidRDefault="00B90627" w:rsidP="00E6217B">
      <w:pPr>
        <w:rPr>
          <w:rFonts w:ascii="Arial" w:hAnsi="Arial" w:cs="Arial"/>
          <w:sz w:val="28"/>
          <w:szCs w:val="28"/>
          <w:lang w:val="fr-FR"/>
        </w:rPr>
      </w:pPr>
    </w:p>
    <w:p w:rsidR="00B90627" w:rsidRDefault="00B90627" w:rsidP="00E6217B">
      <w:pPr>
        <w:rPr>
          <w:rFonts w:ascii="Arial" w:hAnsi="Arial" w:cs="Arial"/>
          <w:sz w:val="28"/>
          <w:szCs w:val="28"/>
          <w:lang w:val="fr-FR"/>
        </w:rPr>
      </w:pPr>
    </w:p>
    <w:p w:rsidR="00B90627" w:rsidRPr="00EE6FCB" w:rsidRDefault="00B90627" w:rsidP="00E6217B">
      <w:pPr>
        <w:rPr>
          <w:rFonts w:ascii="Arial" w:hAnsi="Arial" w:cs="Arial"/>
          <w:sz w:val="28"/>
          <w:szCs w:val="28"/>
          <w:lang w:val="fr-FR"/>
        </w:rPr>
      </w:pPr>
    </w:p>
    <w:p w:rsidR="00E6217B" w:rsidRPr="00EE6FCB" w:rsidRDefault="00E6217B" w:rsidP="00E6217B">
      <w:pPr>
        <w:jc w:val="both"/>
        <w:rPr>
          <w:rFonts w:ascii="Century Gothic" w:hAnsi="Century Gothic" w:cs="Arial"/>
          <w:lang w:val="fr-FR"/>
        </w:rPr>
      </w:pPr>
    </w:p>
    <w:p w:rsidR="00E6217B" w:rsidRPr="00EE6FCB" w:rsidRDefault="00E6217B" w:rsidP="00E6217B">
      <w:pPr>
        <w:jc w:val="both"/>
        <w:rPr>
          <w:rFonts w:ascii="Century Gothic" w:hAnsi="Century Gothic" w:cs="Arial"/>
          <w:lang w:val="fr-FR"/>
        </w:rPr>
      </w:pPr>
    </w:p>
    <w:p w:rsidR="00E6217B" w:rsidRPr="00EE6FCB" w:rsidRDefault="00E6217B" w:rsidP="00E6217B">
      <w:pPr>
        <w:jc w:val="both"/>
        <w:rPr>
          <w:rFonts w:ascii="Century Gothic" w:hAnsi="Century Gothic" w:cs="Arial"/>
          <w:lang w:val="fr-FR"/>
        </w:rPr>
      </w:pPr>
    </w:p>
    <w:p w:rsidR="00E6217B" w:rsidRPr="00EE6FCB" w:rsidRDefault="00E6217B" w:rsidP="00E6217B">
      <w:pPr>
        <w:jc w:val="both"/>
        <w:rPr>
          <w:rFonts w:ascii="Century Gothic" w:hAnsi="Century Gothic" w:cs="Arial"/>
          <w:lang w:val="fr-FR"/>
        </w:rPr>
      </w:pPr>
    </w:p>
    <w:p w:rsidR="00E6217B" w:rsidRDefault="00E6217B" w:rsidP="00E6217B">
      <w:pPr>
        <w:jc w:val="center"/>
        <w:rPr>
          <w:rFonts w:ascii="Century Gothic" w:hAnsi="Century Gothic" w:cs="Arial"/>
          <w:b/>
        </w:rPr>
      </w:pPr>
      <w:r>
        <w:rPr>
          <w:rFonts w:ascii="Century Gothic" w:hAnsi="Century Gothic" w:cs="Arial"/>
          <w:b/>
        </w:rPr>
        <w:t>28 AVRIL</w:t>
      </w:r>
      <w:r w:rsidRPr="008469DD">
        <w:rPr>
          <w:rFonts w:ascii="Century Gothic" w:hAnsi="Century Gothic" w:cs="Arial"/>
          <w:b/>
        </w:rPr>
        <w:t xml:space="preserve"> 201</w:t>
      </w:r>
      <w:r>
        <w:rPr>
          <w:rFonts w:ascii="Century Gothic" w:hAnsi="Century Gothic" w:cs="Arial"/>
          <w:b/>
        </w:rPr>
        <w:t>7</w:t>
      </w:r>
    </w:p>
    <w:p w:rsidR="00E6217B" w:rsidRPr="00E6217B" w:rsidRDefault="00E6217B" w:rsidP="00E6217B">
      <w:pPr>
        <w:rPr>
          <w:rFonts w:ascii="Arial" w:hAnsi="Arial" w:cs="Arial"/>
          <w:b/>
        </w:rPr>
      </w:pPr>
    </w:p>
    <w:p w:rsidR="00E6217B" w:rsidRDefault="00E6217B" w:rsidP="00E6217B">
      <w:pPr>
        <w:rPr>
          <w:rFonts w:ascii="Arial" w:hAnsi="Arial" w:cs="Arial"/>
        </w:rPr>
      </w:pPr>
    </w:p>
    <w:p w:rsidR="00E6217B" w:rsidRPr="00E6217B" w:rsidRDefault="00E6217B" w:rsidP="00E6217B">
      <w:pPr>
        <w:numPr>
          <w:ilvl w:val="0"/>
          <w:numId w:val="1"/>
        </w:numPr>
        <w:spacing w:after="160" w:line="259" w:lineRule="auto"/>
        <w:jc w:val="both"/>
        <w:rPr>
          <w:rFonts w:ascii="Century Gothic" w:hAnsi="Century Gothic"/>
          <w:b/>
          <w:color w:val="C00000"/>
          <w:lang w:val="fr-FR"/>
        </w:rPr>
      </w:pPr>
      <w:r w:rsidRPr="00E6217B">
        <w:rPr>
          <w:rFonts w:ascii="Century Gothic" w:hAnsi="Century Gothic"/>
          <w:b/>
          <w:color w:val="C00000"/>
          <w:lang w:val="fr-FR"/>
        </w:rPr>
        <w:lastRenderedPageBreak/>
        <w:t>Quel cadre et quels organismes sont mis en place par l’Etat pour la régulation des services d’approvisionnement en eau et d’assainissement ?</w:t>
      </w:r>
    </w:p>
    <w:p w:rsidR="00E6217B" w:rsidRDefault="00E6217B" w:rsidP="00E6217B">
      <w:pPr>
        <w:ind w:left="720"/>
        <w:jc w:val="both"/>
        <w:rPr>
          <w:rFonts w:ascii="Century Gothic" w:hAnsi="Century Gothic"/>
          <w:color w:val="C00000"/>
          <w:lang w:val="fr-FR"/>
        </w:rPr>
      </w:pPr>
      <w:r w:rsidRPr="00E6217B">
        <w:rPr>
          <w:rFonts w:ascii="Century Gothic" w:hAnsi="Century Gothic"/>
          <w:color w:val="C00000"/>
          <w:lang w:val="fr-FR"/>
        </w:rPr>
        <w:t>(</w:t>
      </w:r>
      <w:r w:rsidRPr="00E6217B">
        <w:rPr>
          <w:rFonts w:ascii="Century Gothic" w:hAnsi="Century Gothic"/>
          <w:i/>
          <w:color w:val="C00000"/>
          <w:lang w:val="fr-FR"/>
        </w:rPr>
        <w:t>Veuillez fournir des informations détaillées concernant la législation, les politiques et les dispositifs pertinents ; et aussi des informations détaillées concernant les entités impliquées dans la régulation du secteur et leur degré d’autonomie et d’indépendance, leur rôle et leurs responsabilités</w:t>
      </w:r>
      <w:r w:rsidRPr="00E6217B">
        <w:rPr>
          <w:rFonts w:ascii="Century Gothic" w:hAnsi="Century Gothic"/>
          <w:color w:val="C00000"/>
          <w:lang w:val="fr-FR"/>
        </w:rPr>
        <w:t>.)</w:t>
      </w:r>
    </w:p>
    <w:p w:rsidR="00A053CF" w:rsidRDefault="00A053CF" w:rsidP="00E6217B">
      <w:pPr>
        <w:ind w:left="720"/>
        <w:jc w:val="both"/>
        <w:rPr>
          <w:rFonts w:ascii="Century Gothic" w:hAnsi="Century Gothic"/>
          <w:color w:val="C00000"/>
          <w:lang w:val="fr-FR"/>
        </w:rPr>
      </w:pPr>
    </w:p>
    <w:p w:rsidR="00A053CF" w:rsidRDefault="00A053CF" w:rsidP="00E6217B">
      <w:pPr>
        <w:ind w:left="720"/>
        <w:jc w:val="both"/>
        <w:rPr>
          <w:rFonts w:ascii="Century Gothic" w:hAnsi="Century Gothic"/>
          <w:b/>
          <w:u w:val="single"/>
          <w:lang w:val="fr-FR"/>
        </w:rPr>
      </w:pPr>
      <w:r w:rsidRPr="00A053CF">
        <w:rPr>
          <w:rFonts w:ascii="Century Gothic" w:hAnsi="Century Gothic"/>
          <w:b/>
          <w:u w:val="single"/>
          <w:lang w:val="fr-FR"/>
        </w:rPr>
        <w:t>Cadre juridique</w:t>
      </w:r>
      <w:r w:rsidR="00BB0A08">
        <w:rPr>
          <w:rFonts w:ascii="Century Gothic" w:hAnsi="Century Gothic"/>
          <w:b/>
          <w:u w:val="single"/>
          <w:lang w:val="fr-FR"/>
        </w:rPr>
        <w:t xml:space="preserve"> pour la régulation du secteur de l’eau</w:t>
      </w:r>
    </w:p>
    <w:p w:rsidR="00A053CF" w:rsidRDefault="00BB0A08" w:rsidP="00BB0A08">
      <w:pPr>
        <w:ind w:left="720"/>
        <w:jc w:val="both"/>
        <w:rPr>
          <w:rFonts w:ascii="Century Gothic" w:hAnsi="Century Gothic"/>
          <w:lang w:val="fr-FR"/>
        </w:rPr>
      </w:pPr>
      <w:r>
        <w:rPr>
          <w:rFonts w:ascii="Century Gothic" w:hAnsi="Century Gothic"/>
          <w:lang w:val="fr-FR"/>
        </w:rPr>
        <w:t xml:space="preserve">La norme de référence pour le secteur est la loi n°13-2003 du 10 avril 2003 portant code de l’eau. Cette loi pose les bases d’un cadre juridique pour le secteur et les principes fondamentaux de gestion des services d’approvisionnement en eau potable </w:t>
      </w:r>
      <w:r w:rsidR="005E2B23">
        <w:rPr>
          <w:rFonts w:ascii="Century Gothic" w:hAnsi="Century Gothic"/>
          <w:lang w:val="fr-FR"/>
        </w:rPr>
        <w:t xml:space="preserve">fixés par la politique sectorielle, </w:t>
      </w:r>
      <w:r>
        <w:rPr>
          <w:rFonts w:ascii="Century Gothic" w:hAnsi="Century Gothic"/>
          <w:lang w:val="fr-FR"/>
        </w:rPr>
        <w:t>sont les suivants :</w:t>
      </w:r>
    </w:p>
    <w:p w:rsidR="00BB0A08" w:rsidRDefault="00BB0A08" w:rsidP="00BB0A08">
      <w:pPr>
        <w:pStyle w:val="Paragraphedeliste"/>
        <w:numPr>
          <w:ilvl w:val="0"/>
          <w:numId w:val="2"/>
        </w:numPr>
        <w:jc w:val="both"/>
        <w:rPr>
          <w:rFonts w:ascii="Century Gothic" w:hAnsi="Century Gothic"/>
          <w:lang w:val="fr-FR"/>
        </w:rPr>
      </w:pPr>
      <w:r>
        <w:rPr>
          <w:rFonts w:ascii="Century Gothic" w:hAnsi="Century Gothic"/>
          <w:lang w:val="fr-FR"/>
        </w:rPr>
        <w:t>Réorienter le rôle de l’Etat vers l’élaboration de politiques, la planification et la réglementation/régulation du secteur ;</w:t>
      </w:r>
    </w:p>
    <w:p w:rsidR="00BB0A08" w:rsidRDefault="00BB0A08" w:rsidP="00BB0A08">
      <w:pPr>
        <w:pStyle w:val="Paragraphedeliste"/>
        <w:numPr>
          <w:ilvl w:val="0"/>
          <w:numId w:val="2"/>
        </w:numPr>
        <w:jc w:val="both"/>
        <w:rPr>
          <w:rFonts w:ascii="Century Gothic" w:hAnsi="Century Gothic"/>
          <w:lang w:val="fr-FR"/>
        </w:rPr>
      </w:pPr>
      <w:r>
        <w:rPr>
          <w:rFonts w:ascii="Century Gothic" w:hAnsi="Century Gothic"/>
          <w:lang w:val="fr-FR"/>
        </w:rPr>
        <w:t xml:space="preserve">Déléguer l’exercice de l’activité d’exploitation du service public de l’eau à une ou plusieurs personnes morales de droit privé ou public </w:t>
      </w:r>
      <w:r w:rsidR="000E18C3">
        <w:rPr>
          <w:rFonts w:ascii="Century Gothic" w:hAnsi="Century Gothic"/>
          <w:lang w:val="fr-FR"/>
        </w:rPr>
        <w:t>sous forme de concession, d’affermage ou de régie ;</w:t>
      </w:r>
    </w:p>
    <w:p w:rsidR="000E18C3" w:rsidRDefault="000E18C3" w:rsidP="00BB0A08">
      <w:pPr>
        <w:pStyle w:val="Paragraphedeliste"/>
        <w:numPr>
          <w:ilvl w:val="0"/>
          <w:numId w:val="2"/>
        </w:numPr>
        <w:jc w:val="both"/>
        <w:rPr>
          <w:rFonts w:ascii="Century Gothic" w:hAnsi="Century Gothic"/>
          <w:b/>
          <w:color w:val="C00000"/>
          <w:lang w:val="fr-FR"/>
        </w:rPr>
      </w:pPr>
      <w:r>
        <w:rPr>
          <w:rFonts w:ascii="Century Gothic" w:hAnsi="Century Gothic"/>
          <w:lang w:val="fr-FR"/>
        </w:rPr>
        <w:t xml:space="preserve">Mettre en place </w:t>
      </w:r>
      <w:r w:rsidRPr="000E18C3">
        <w:rPr>
          <w:rFonts w:ascii="Century Gothic" w:hAnsi="Century Gothic"/>
          <w:b/>
          <w:lang w:val="fr-FR"/>
        </w:rPr>
        <w:t>un organisme de régulation pour le suivi et le contrôle des activités des délégataires des services d’approvisionnement en eau.</w:t>
      </w:r>
    </w:p>
    <w:p w:rsidR="000E18C3" w:rsidRDefault="000E18C3" w:rsidP="000E18C3">
      <w:pPr>
        <w:jc w:val="both"/>
        <w:rPr>
          <w:rFonts w:ascii="Century Gothic" w:hAnsi="Century Gothic"/>
          <w:b/>
          <w:color w:val="C00000"/>
          <w:lang w:val="fr-FR"/>
        </w:rPr>
      </w:pPr>
      <w:r w:rsidRPr="000E18C3">
        <w:rPr>
          <w:rFonts w:ascii="Century Gothic" w:hAnsi="Century Gothic"/>
          <w:b/>
          <w:color w:val="C00000"/>
          <w:lang w:val="fr-FR"/>
        </w:rPr>
        <w:t xml:space="preserve"> </w:t>
      </w:r>
      <w:r>
        <w:rPr>
          <w:rFonts w:ascii="Century Gothic" w:hAnsi="Century Gothic"/>
          <w:b/>
          <w:color w:val="C00000"/>
          <w:lang w:val="fr-FR"/>
        </w:rPr>
        <w:tab/>
      </w:r>
    </w:p>
    <w:p w:rsidR="000E18C3" w:rsidRDefault="000E18C3" w:rsidP="000E18C3">
      <w:pPr>
        <w:ind w:left="708"/>
        <w:jc w:val="both"/>
        <w:rPr>
          <w:rFonts w:ascii="Century Gothic" w:hAnsi="Century Gothic"/>
          <w:b/>
          <w:i/>
          <w:lang w:val="fr-FR"/>
        </w:rPr>
      </w:pPr>
      <w:r w:rsidRPr="000E18C3">
        <w:rPr>
          <w:rFonts w:ascii="Century Gothic" w:hAnsi="Century Gothic"/>
          <w:b/>
          <w:i/>
          <w:lang w:val="fr-FR"/>
        </w:rPr>
        <w:t>Il est important de souligner</w:t>
      </w:r>
      <w:r w:rsidRPr="000E18C3">
        <w:rPr>
          <w:rFonts w:ascii="Century Gothic" w:hAnsi="Century Gothic"/>
          <w:b/>
          <w:color w:val="C00000"/>
          <w:lang w:val="fr-FR"/>
        </w:rPr>
        <w:t xml:space="preserve"> </w:t>
      </w:r>
      <w:r w:rsidRPr="000E18C3">
        <w:rPr>
          <w:rFonts w:ascii="Century Gothic" w:hAnsi="Century Gothic"/>
          <w:b/>
          <w:i/>
          <w:lang w:val="fr-FR"/>
        </w:rPr>
        <w:t>qu</w:t>
      </w:r>
      <w:r>
        <w:rPr>
          <w:rFonts w:ascii="Century Gothic" w:hAnsi="Century Gothic"/>
          <w:b/>
          <w:i/>
          <w:lang w:val="fr-FR"/>
        </w:rPr>
        <w:t>’</w:t>
      </w:r>
      <w:r w:rsidRPr="000E18C3">
        <w:rPr>
          <w:rFonts w:ascii="Century Gothic" w:hAnsi="Century Gothic"/>
          <w:b/>
          <w:i/>
          <w:lang w:val="fr-FR"/>
        </w:rPr>
        <w:t>e</w:t>
      </w:r>
      <w:r>
        <w:rPr>
          <w:rFonts w:ascii="Century Gothic" w:hAnsi="Century Gothic"/>
          <w:b/>
          <w:i/>
          <w:lang w:val="fr-FR"/>
        </w:rPr>
        <w:t>n ce qui concerne</w:t>
      </w:r>
      <w:r>
        <w:rPr>
          <w:rFonts w:ascii="Century Gothic" w:hAnsi="Century Gothic"/>
          <w:b/>
          <w:color w:val="C00000"/>
          <w:lang w:val="fr-FR"/>
        </w:rPr>
        <w:t xml:space="preserve"> </w:t>
      </w:r>
      <w:r>
        <w:rPr>
          <w:rFonts w:ascii="Century Gothic" w:hAnsi="Century Gothic"/>
          <w:b/>
          <w:i/>
          <w:lang w:val="fr-FR"/>
        </w:rPr>
        <w:t xml:space="preserve">la régulation des services d’assainissement, le secteur de l’assainissement dispose d’une stratégie et d’un plan d’action spécifique. Sa réforme n’étant encore </w:t>
      </w:r>
      <w:r w:rsidR="00D60E3A">
        <w:rPr>
          <w:rFonts w:ascii="Century Gothic" w:hAnsi="Century Gothic"/>
          <w:b/>
          <w:i/>
          <w:lang w:val="fr-FR"/>
        </w:rPr>
        <w:t xml:space="preserve">qu’à son début de mise en </w:t>
      </w:r>
      <w:r w:rsidR="00EF1537">
        <w:rPr>
          <w:rFonts w:ascii="Century Gothic" w:hAnsi="Century Gothic"/>
          <w:b/>
          <w:i/>
          <w:lang w:val="fr-FR"/>
        </w:rPr>
        <w:t>œuvre</w:t>
      </w:r>
      <w:r>
        <w:rPr>
          <w:rFonts w:ascii="Century Gothic" w:hAnsi="Century Gothic"/>
          <w:b/>
          <w:i/>
          <w:lang w:val="fr-FR"/>
        </w:rPr>
        <w:t>, il n’y a pas encore un régulateur pour les services d’assainissement.</w:t>
      </w:r>
    </w:p>
    <w:p w:rsidR="000E18C3" w:rsidRDefault="000E18C3" w:rsidP="000E18C3">
      <w:pPr>
        <w:ind w:left="708"/>
        <w:jc w:val="both"/>
        <w:rPr>
          <w:rFonts w:ascii="Century Gothic" w:hAnsi="Century Gothic"/>
          <w:b/>
          <w:i/>
          <w:lang w:val="fr-FR"/>
        </w:rPr>
      </w:pPr>
    </w:p>
    <w:p w:rsidR="000E18C3" w:rsidRDefault="000E18C3" w:rsidP="000E18C3">
      <w:pPr>
        <w:ind w:left="708"/>
        <w:jc w:val="both"/>
        <w:rPr>
          <w:rFonts w:ascii="Century Gothic" w:hAnsi="Century Gothic"/>
          <w:b/>
          <w:u w:val="single"/>
          <w:lang w:val="fr-FR"/>
        </w:rPr>
      </w:pPr>
      <w:r>
        <w:rPr>
          <w:rFonts w:ascii="Century Gothic" w:hAnsi="Century Gothic"/>
          <w:b/>
          <w:u w:val="single"/>
          <w:lang w:val="fr-FR"/>
        </w:rPr>
        <w:t>Organisme pour la régulation du secteur de l’eau</w:t>
      </w:r>
    </w:p>
    <w:p w:rsidR="005E2B23" w:rsidRDefault="000E18C3" w:rsidP="000E18C3">
      <w:pPr>
        <w:ind w:left="708"/>
        <w:jc w:val="both"/>
        <w:rPr>
          <w:rFonts w:ascii="Century Gothic" w:hAnsi="Century Gothic"/>
          <w:lang w:val="fr-FR"/>
        </w:rPr>
      </w:pPr>
      <w:r>
        <w:rPr>
          <w:rFonts w:ascii="Century Gothic" w:hAnsi="Century Gothic"/>
          <w:lang w:val="fr-FR"/>
        </w:rPr>
        <w:t xml:space="preserve">La loi n°13-2003 du 10 avril 2003 portant code de l’eau institue en son article 55 un organe de régulation chargé de veiller à la bonne </w:t>
      </w:r>
      <w:r w:rsidR="005E2B23">
        <w:rPr>
          <w:rFonts w:ascii="Century Gothic" w:hAnsi="Century Gothic"/>
          <w:lang w:val="fr-FR"/>
        </w:rPr>
        <w:t>exécution du service public de l’eau. Le décret n°2008-66 du 3 avril 2008 portant approbation des statuts du régulateur, fixent sa composition et ses règles de fonctionnement. Les principales missions du Régulateur sont les suivantes :</w:t>
      </w:r>
    </w:p>
    <w:p w:rsidR="000E18C3" w:rsidRDefault="005E2B23" w:rsidP="005E2B23">
      <w:pPr>
        <w:pStyle w:val="Paragraphedeliste"/>
        <w:numPr>
          <w:ilvl w:val="0"/>
          <w:numId w:val="3"/>
        </w:numPr>
        <w:jc w:val="both"/>
        <w:rPr>
          <w:rFonts w:ascii="Century Gothic" w:hAnsi="Century Gothic"/>
          <w:lang w:val="fr-FR"/>
        </w:rPr>
      </w:pPr>
      <w:r w:rsidRPr="005E2B23">
        <w:rPr>
          <w:rFonts w:ascii="Century Gothic" w:hAnsi="Century Gothic"/>
          <w:lang w:val="fr-FR"/>
        </w:rPr>
        <w:t xml:space="preserve">Participer à la </w:t>
      </w:r>
      <w:r>
        <w:rPr>
          <w:rFonts w:ascii="Century Gothic" w:hAnsi="Century Gothic"/>
          <w:lang w:val="fr-FR"/>
        </w:rPr>
        <w:t>promotion du développement rationnel de l’offre de l’eau ;</w:t>
      </w:r>
    </w:p>
    <w:p w:rsidR="005E2B23" w:rsidRDefault="005E2B23" w:rsidP="005E2B23">
      <w:pPr>
        <w:pStyle w:val="Paragraphedeliste"/>
        <w:numPr>
          <w:ilvl w:val="0"/>
          <w:numId w:val="3"/>
        </w:numPr>
        <w:jc w:val="both"/>
        <w:rPr>
          <w:rFonts w:ascii="Century Gothic" w:hAnsi="Century Gothic"/>
          <w:lang w:val="fr-FR"/>
        </w:rPr>
      </w:pPr>
      <w:r>
        <w:rPr>
          <w:rFonts w:ascii="Century Gothic" w:hAnsi="Century Gothic"/>
          <w:lang w:val="fr-FR"/>
        </w:rPr>
        <w:t>Veiller à l’équilibre économique et financier du secteur de l’eau et à la préservation des conditions économiques nécessaires à sa viabilité ;</w:t>
      </w:r>
    </w:p>
    <w:p w:rsidR="005E2B23" w:rsidRPr="00A720BB" w:rsidRDefault="005E2B23" w:rsidP="005E2B23">
      <w:pPr>
        <w:pStyle w:val="Paragraphedeliste"/>
        <w:numPr>
          <w:ilvl w:val="0"/>
          <w:numId w:val="3"/>
        </w:numPr>
        <w:jc w:val="both"/>
        <w:rPr>
          <w:rFonts w:ascii="Century Gothic" w:hAnsi="Century Gothic"/>
          <w:lang w:val="fr-FR"/>
        </w:rPr>
      </w:pPr>
      <w:r>
        <w:rPr>
          <w:rFonts w:ascii="Century Gothic" w:hAnsi="Century Gothic"/>
          <w:b/>
          <w:lang w:val="fr-FR"/>
        </w:rPr>
        <w:t xml:space="preserve">Veiller aux intérêts des consommateurs et assurer </w:t>
      </w:r>
      <w:r w:rsidR="00A720BB">
        <w:rPr>
          <w:rFonts w:ascii="Century Gothic" w:hAnsi="Century Gothic"/>
          <w:b/>
          <w:lang w:val="fr-FR"/>
        </w:rPr>
        <w:t>la protection de leurs droits pour ce qui est du prix, de la fourniture et de la qualité de l’eau ;</w:t>
      </w:r>
    </w:p>
    <w:p w:rsidR="00A720BB" w:rsidRDefault="00A720BB" w:rsidP="005E2B23">
      <w:pPr>
        <w:pStyle w:val="Paragraphedeliste"/>
        <w:numPr>
          <w:ilvl w:val="0"/>
          <w:numId w:val="3"/>
        </w:numPr>
        <w:jc w:val="both"/>
        <w:rPr>
          <w:rFonts w:ascii="Century Gothic" w:hAnsi="Century Gothic"/>
          <w:b/>
          <w:lang w:val="fr-FR"/>
        </w:rPr>
      </w:pPr>
      <w:r>
        <w:rPr>
          <w:rFonts w:ascii="Century Gothic" w:hAnsi="Century Gothic"/>
          <w:lang w:val="fr-FR"/>
        </w:rPr>
        <w:t xml:space="preserve">Promouvoir la concurrence et la participation du secteur privé en matière de production, de transport, de distribution et de vente de l’eau potable </w:t>
      </w:r>
      <w:r w:rsidRPr="00A720BB">
        <w:rPr>
          <w:rFonts w:ascii="Century Gothic" w:hAnsi="Century Gothic"/>
          <w:b/>
          <w:lang w:val="fr-FR"/>
        </w:rPr>
        <w:t>dans des conditions objectives, transparentes et non discriminatoires</w:t>
      </w:r>
      <w:r>
        <w:rPr>
          <w:rFonts w:ascii="Century Gothic" w:hAnsi="Century Gothic"/>
          <w:b/>
          <w:lang w:val="fr-FR"/>
        </w:rPr>
        <w:t> ;</w:t>
      </w:r>
    </w:p>
    <w:p w:rsidR="00A720BB" w:rsidRDefault="00A720BB" w:rsidP="005E2B23">
      <w:pPr>
        <w:pStyle w:val="Paragraphedeliste"/>
        <w:numPr>
          <w:ilvl w:val="0"/>
          <w:numId w:val="3"/>
        </w:numPr>
        <w:jc w:val="both"/>
        <w:rPr>
          <w:rFonts w:ascii="Century Gothic" w:hAnsi="Century Gothic"/>
          <w:b/>
          <w:lang w:val="fr-FR"/>
        </w:rPr>
      </w:pPr>
      <w:r>
        <w:rPr>
          <w:rFonts w:ascii="Century Gothic" w:hAnsi="Century Gothic"/>
          <w:b/>
          <w:lang w:val="fr-FR"/>
        </w:rPr>
        <w:t>Veiller au principe d’égalité de traitement des usagers par tout exploitant ou opérateur du secteur de l’eau.</w:t>
      </w:r>
    </w:p>
    <w:p w:rsidR="00A720BB" w:rsidRDefault="00A720BB" w:rsidP="005E2B23">
      <w:pPr>
        <w:pStyle w:val="Paragraphedeliste"/>
        <w:numPr>
          <w:ilvl w:val="0"/>
          <w:numId w:val="3"/>
        </w:numPr>
        <w:jc w:val="both"/>
        <w:rPr>
          <w:rFonts w:ascii="Century Gothic" w:hAnsi="Century Gothic"/>
          <w:b/>
          <w:lang w:val="fr-FR"/>
        </w:rPr>
      </w:pPr>
      <w:r>
        <w:rPr>
          <w:rFonts w:ascii="Century Gothic" w:hAnsi="Century Gothic"/>
          <w:b/>
          <w:lang w:val="fr-FR"/>
        </w:rPr>
        <w:t>Prononcer les sanctions prévues par la loi et veiller à leur application.</w:t>
      </w:r>
    </w:p>
    <w:p w:rsidR="00A720BB" w:rsidRDefault="00A720BB" w:rsidP="00A720BB">
      <w:pPr>
        <w:jc w:val="both"/>
        <w:rPr>
          <w:rFonts w:ascii="Century Gothic" w:hAnsi="Century Gothic"/>
          <w:b/>
          <w:lang w:val="fr-FR"/>
        </w:rPr>
      </w:pPr>
    </w:p>
    <w:p w:rsidR="00D64F36" w:rsidRDefault="00A720BB" w:rsidP="00A720BB">
      <w:pPr>
        <w:ind w:left="708"/>
        <w:jc w:val="both"/>
        <w:rPr>
          <w:rFonts w:ascii="Century Gothic" w:hAnsi="Century Gothic"/>
          <w:lang w:val="fr-FR"/>
        </w:rPr>
      </w:pPr>
      <w:r>
        <w:rPr>
          <w:rFonts w:ascii="Century Gothic" w:hAnsi="Century Gothic"/>
          <w:lang w:val="fr-FR"/>
        </w:rPr>
        <w:t>Au sujet du degré d’autonomie du régulateur des services d’eau en République du Congo, il est utile de préciser que celle-ci est relative,</w:t>
      </w:r>
      <w:r w:rsidR="00D64F36">
        <w:rPr>
          <w:rFonts w:ascii="Century Gothic" w:hAnsi="Century Gothic"/>
          <w:lang w:val="fr-FR"/>
        </w:rPr>
        <w:t xml:space="preserve"> puisque l’organisme de régulation</w:t>
      </w:r>
      <w:r>
        <w:rPr>
          <w:rFonts w:ascii="Century Gothic" w:hAnsi="Century Gothic"/>
          <w:lang w:val="fr-FR"/>
        </w:rPr>
        <w:t xml:space="preserve"> a le statut d’Etablissement public administratif placé sous la tutelle du </w:t>
      </w:r>
    </w:p>
    <w:p w:rsidR="00D64F36" w:rsidRDefault="00D64F36" w:rsidP="00A720BB">
      <w:pPr>
        <w:ind w:left="708"/>
        <w:jc w:val="both"/>
        <w:rPr>
          <w:rFonts w:ascii="Century Gothic" w:hAnsi="Century Gothic"/>
          <w:lang w:val="fr-FR"/>
        </w:rPr>
      </w:pPr>
    </w:p>
    <w:p w:rsidR="00D64F36" w:rsidRDefault="00A720BB" w:rsidP="00D64F36">
      <w:pPr>
        <w:ind w:left="708"/>
        <w:jc w:val="both"/>
        <w:rPr>
          <w:rFonts w:ascii="Century Gothic" w:hAnsi="Century Gothic"/>
          <w:lang w:val="fr-FR"/>
        </w:rPr>
      </w:pPr>
      <w:proofErr w:type="gramStart"/>
      <w:r>
        <w:rPr>
          <w:rFonts w:ascii="Century Gothic" w:hAnsi="Century Gothic"/>
          <w:lang w:val="fr-FR"/>
        </w:rPr>
        <w:lastRenderedPageBreak/>
        <w:t>ministre</w:t>
      </w:r>
      <w:proofErr w:type="gramEnd"/>
      <w:r>
        <w:rPr>
          <w:rFonts w:ascii="Century Gothic" w:hAnsi="Century Gothic"/>
          <w:lang w:val="fr-FR"/>
        </w:rPr>
        <w:t xml:space="preserve"> en charge du</w:t>
      </w:r>
      <w:r w:rsidR="00D64F36">
        <w:rPr>
          <w:rFonts w:ascii="Century Gothic" w:hAnsi="Century Gothic"/>
          <w:lang w:val="fr-FR"/>
        </w:rPr>
        <w:t xml:space="preserve"> </w:t>
      </w:r>
      <w:r>
        <w:rPr>
          <w:rFonts w:ascii="Century Gothic" w:hAnsi="Century Gothic"/>
          <w:lang w:val="fr-FR"/>
        </w:rPr>
        <w:t xml:space="preserve">secteur de l’eau ; de même sur le plan financier, </w:t>
      </w:r>
      <w:r w:rsidR="00D64F36">
        <w:rPr>
          <w:rFonts w:ascii="Century Gothic" w:hAnsi="Century Gothic"/>
          <w:lang w:val="fr-FR"/>
        </w:rPr>
        <w:t xml:space="preserve">en dépit de son autonomie financière proclamée dans ses Statuts, son activité est entièrement financée par une subvention inscrite annuellement au budget de l’Etat. L’assiette et les conditions de recouvrement de la redevance qui devrait financer l’activité du régulateur sont encore en construction. </w:t>
      </w:r>
    </w:p>
    <w:p w:rsidR="00A720BB" w:rsidRPr="00A720BB" w:rsidRDefault="00D64F36" w:rsidP="00D64F36">
      <w:pPr>
        <w:ind w:left="708"/>
        <w:jc w:val="both"/>
        <w:rPr>
          <w:rFonts w:ascii="Century Gothic" w:hAnsi="Century Gothic"/>
          <w:lang w:val="fr-FR"/>
        </w:rPr>
      </w:pPr>
      <w:r>
        <w:rPr>
          <w:rFonts w:ascii="Century Gothic" w:hAnsi="Century Gothic"/>
          <w:lang w:val="fr-FR"/>
        </w:rPr>
        <w:t xml:space="preserve">Sur le plan de son pouvoir de sanction, même lorsque ceci est prévu par les Statuts, le régulateur doit se référer à sa tutelle pour exercer ce pouvoir.   </w:t>
      </w:r>
      <w:r w:rsidR="00A720BB">
        <w:rPr>
          <w:rFonts w:ascii="Century Gothic" w:hAnsi="Century Gothic"/>
          <w:lang w:val="fr-FR"/>
        </w:rPr>
        <w:t xml:space="preserve"> </w:t>
      </w:r>
    </w:p>
    <w:p w:rsidR="00E6217B" w:rsidRPr="005E2B23" w:rsidRDefault="00E6217B" w:rsidP="00E6217B">
      <w:pPr>
        <w:jc w:val="both"/>
        <w:rPr>
          <w:rFonts w:ascii="Century Gothic" w:hAnsi="Century Gothic"/>
          <w:b/>
          <w:lang w:val="fr-FR"/>
        </w:rPr>
      </w:pPr>
    </w:p>
    <w:p w:rsidR="00E6217B" w:rsidRPr="00D64F36" w:rsidRDefault="00E6217B" w:rsidP="00E6217B">
      <w:pPr>
        <w:numPr>
          <w:ilvl w:val="0"/>
          <w:numId w:val="1"/>
        </w:numPr>
        <w:spacing w:after="160" w:line="259" w:lineRule="auto"/>
        <w:jc w:val="both"/>
        <w:rPr>
          <w:rFonts w:ascii="Century Gothic" w:hAnsi="Century Gothic"/>
          <w:color w:val="C00000"/>
          <w:lang w:val="fr-FR"/>
        </w:rPr>
      </w:pPr>
      <w:r w:rsidRPr="00E6217B">
        <w:rPr>
          <w:rFonts w:ascii="Century Gothic" w:hAnsi="Century Gothic"/>
          <w:b/>
          <w:color w:val="C00000"/>
          <w:lang w:val="fr-FR"/>
        </w:rPr>
        <w:t xml:space="preserve">Comment le cadre réglementaire et les entités correspondantes contribuent-ils à la réalisation des droits à l’eau potable et à l’assainissement en matière de contenu normatif : </w:t>
      </w:r>
      <w:r w:rsidRPr="00E6217B">
        <w:rPr>
          <w:rFonts w:ascii="Century Gothic" w:hAnsi="Century Gothic"/>
          <w:i/>
          <w:color w:val="C00000"/>
          <w:lang w:val="fr-FR"/>
        </w:rPr>
        <w:t>la disponibilité, la qualité/sûreté, l’accessibilité, l’</w:t>
      </w:r>
      <w:proofErr w:type="spellStart"/>
      <w:r w:rsidRPr="00E102A7">
        <w:rPr>
          <w:rFonts w:ascii="Century Gothic" w:hAnsi="Century Gothic"/>
          <w:i/>
          <w:color w:val="C00000"/>
          <w:lang w:val="fr-FR"/>
        </w:rPr>
        <w:t>abordabilité</w:t>
      </w:r>
      <w:proofErr w:type="spellEnd"/>
      <w:r w:rsidRPr="00E6217B">
        <w:rPr>
          <w:rFonts w:ascii="Century Gothic" w:hAnsi="Century Gothic"/>
          <w:i/>
          <w:color w:val="C00000"/>
          <w:lang w:val="fr-FR"/>
        </w:rPr>
        <w:t>, l’acceptabilité  la préservation de l’intimité et la dignité</w:t>
      </w:r>
      <w:r w:rsidRPr="00E6217B">
        <w:rPr>
          <w:rFonts w:ascii="Century Gothic" w:hAnsi="Century Gothic"/>
          <w:color w:val="C00000"/>
          <w:lang w:val="fr-FR"/>
        </w:rPr>
        <w:t> (</w:t>
      </w:r>
      <w:r w:rsidRPr="00E6217B">
        <w:rPr>
          <w:rFonts w:ascii="Century Gothic" w:hAnsi="Century Gothic"/>
          <w:i/>
          <w:color w:val="C00000"/>
          <w:lang w:val="fr-FR"/>
        </w:rPr>
        <w:t>donner des exemples).</w:t>
      </w:r>
    </w:p>
    <w:p w:rsidR="00D64F36" w:rsidRDefault="009D2F53" w:rsidP="00D64F36">
      <w:pPr>
        <w:spacing w:after="160" w:line="259" w:lineRule="auto"/>
        <w:ind w:left="708"/>
        <w:jc w:val="both"/>
        <w:rPr>
          <w:rFonts w:ascii="Century Gothic" w:hAnsi="Century Gothic"/>
          <w:lang w:val="fr-FR"/>
        </w:rPr>
      </w:pPr>
      <w:r>
        <w:rPr>
          <w:rFonts w:ascii="Century Gothic" w:hAnsi="Century Gothic"/>
          <w:lang w:val="fr-FR"/>
        </w:rPr>
        <w:t>En matière d’accès à l’eau potable, le cadre normatif congolais est assez protecteur des intérêts des consommateurs. En effet, le code de l’eau prévoit à son article 53 que « le service public de l’eau est assuré dans le respect du principe d’égalité, des différences de traitement ne pouvant être admises dans la gestion du service que dans la mesure où elles sont justifiées par une différence objective de situation au regard du service</w:t>
      </w:r>
      <w:r w:rsidR="00786A53">
        <w:rPr>
          <w:rFonts w:ascii="Century Gothic" w:hAnsi="Century Gothic"/>
          <w:lang w:val="fr-FR"/>
        </w:rPr>
        <w:t> »</w:t>
      </w:r>
      <w:r>
        <w:rPr>
          <w:rFonts w:ascii="Century Gothic" w:hAnsi="Century Gothic"/>
          <w:lang w:val="fr-FR"/>
        </w:rPr>
        <w:t>. De même, la qualité des prestations fournies constitue le critère essentiel du choix des délégataires du service. Les opérateurs retenus s’engagent à respecter les objectifs de qualité déterminés par les cahiers de charges des contrats de délégation.</w:t>
      </w:r>
    </w:p>
    <w:p w:rsidR="00D60E3A" w:rsidRDefault="009D2F53" w:rsidP="00D64F36">
      <w:pPr>
        <w:spacing w:after="160" w:line="259" w:lineRule="auto"/>
        <w:ind w:left="708"/>
        <w:jc w:val="both"/>
        <w:rPr>
          <w:rFonts w:ascii="Century Gothic" w:hAnsi="Century Gothic"/>
          <w:b/>
          <w:lang w:val="fr-FR"/>
        </w:rPr>
      </w:pPr>
      <w:r>
        <w:rPr>
          <w:rFonts w:ascii="Century Gothic" w:hAnsi="Century Gothic"/>
          <w:lang w:val="fr-FR"/>
        </w:rPr>
        <w:t xml:space="preserve">Afin de veiller au respect de ce cadre normatif, le gouvernement de la République du Congo a engagé depuis </w:t>
      </w:r>
      <w:r w:rsidR="00786A53">
        <w:rPr>
          <w:rFonts w:ascii="Century Gothic" w:hAnsi="Century Gothic"/>
          <w:lang w:val="fr-FR"/>
        </w:rPr>
        <w:t xml:space="preserve">une quinzaine d’années un vaste programme d’investissements permettant d’améliorer la qualité du service aux consommateurs, mais aussi la dotation en infrastructures là où elles n’existaient pas. </w:t>
      </w:r>
      <w:r w:rsidR="00786A53">
        <w:rPr>
          <w:rFonts w:ascii="Century Gothic" w:hAnsi="Century Gothic"/>
          <w:b/>
          <w:lang w:val="fr-FR"/>
        </w:rPr>
        <w:t xml:space="preserve">L’objectif retenu par la politique nationale de l’eau approuvée en </w:t>
      </w:r>
      <w:r w:rsidR="00BC60F3">
        <w:rPr>
          <w:rFonts w:ascii="Century Gothic" w:hAnsi="Century Gothic"/>
          <w:b/>
          <w:lang w:val="fr-FR"/>
        </w:rPr>
        <w:t xml:space="preserve">août </w:t>
      </w:r>
      <w:r w:rsidR="00786A53">
        <w:rPr>
          <w:rFonts w:ascii="Century Gothic" w:hAnsi="Century Gothic"/>
          <w:b/>
          <w:lang w:val="fr-FR"/>
        </w:rPr>
        <w:t>2016 consiste à assurer un accès universel, équitable, durable et à un coût abordable au</w:t>
      </w:r>
      <w:r w:rsidR="00D60E3A">
        <w:rPr>
          <w:rFonts w:ascii="Century Gothic" w:hAnsi="Century Gothic"/>
          <w:b/>
          <w:lang w:val="fr-FR"/>
        </w:rPr>
        <w:t>x</w:t>
      </w:r>
      <w:r w:rsidR="00786A53">
        <w:rPr>
          <w:rFonts w:ascii="Century Gothic" w:hAnsi="Century Gothic"/>
          <w:b/>
          <w:lang w:val="fr-FR"/>
        </w:rPr>
        <w:t xml:space="preserve"> service</w:t>
      </w:r>
      <w:r w:rsidR="00D60E3A">
        <w:rPr>
          <w:rFonts w:ascii="Century Gothic" w:hAnsi="Century Gothic"/>
          <w:b/>
          <w:lang w:val="fr-FR"/>
        </w:rPr>
        <w:t>s</w:t>
      </w:r>
      <w:r w:rsidR="00786A53">
        <w:rPr>
          <w:rFonts w:ascii="Century Gothic" w:hAnsi="Century Gothic"/>
          <w:b/>
          <w:lang w:val="fr-FR"/>
        </w:rPr>
        <w:t xml:space="preserve"> d’eau </w:t>
      </w:r>
      <w:r w:rsidR="00D60E3A">
        <w:rPr>
          <w:rFonts w:ascii="Century Gothic" w:hAnsi="Century Gothic"/>
          <w:b/>
          <w:lang w:val="fr-FR"/>
        </w:rPr>
        <w:t>et d’assainissement en conformité</w:t>
      </w:r>
      <w:r w:rsidR="00786A53">
        <w:rPr>
          <w:rFonts w:ascii="Century Gothic" w:hAnsi="Century Gothic"/>
          <w:b/>
          <w:lang w:val="fr-FR"/>
        </w:rPr>
        <w:t xml:space="preserve"> </w:t>
      </w:r>
      <w:r w:rsidR="00D60E3A">
        <w:rPr>
          <w:rFonts w:ascii="Century Gothic" w:hAnsi="Century Gothic"/>
          <w:b/>
          <w:lang w:val="fr-FR"/>
        </w:rPr>
        <w:t>avec</w:t>
      </w:r>
      <w:r w:rsidR="00786A53">
        <w:rPr>
          <w:rFonts w:ascii="Century Gothic" w:hAnsi="Century Gothic"/>
          <w:b/>
          <w:lang w:val="fr-FR"/>
        </w:rPr>
        <w:t xml:space="preserve"> la norme nationale et compatible avec les normes retenues au niveau international.</w:t>
      </w:r>
      <w:r w:rsidR="00D60E3A">
        <w:rPr>
          <w:rFonts w:ascii="Century Gothic" w:hAnsi="Century Gothic"/>
          <w:b/>
          <w:lang w:val="fr-FR"/>
        </w:rPr>
        <w:t xml:space="preserve"> </w:t>
      </w:r>
    </w:p>
    <w:p w:rsidR="00D60E3A" w:rsidRPr="00D60E3A" w:rsidRDefault="00D60E3A" w:rsidP="00D64F36">
      <w:pPr>
        <w:spacing w:after="160" w:line="259" w:lineRule="auto"/>
        <w:ind w:left="708"/>
        <w:jc w:val="both"/>
        <w:rPr>
          <w:rFonts w:ascii="Century Gothic" w:hAnsi="Century Gothic"/>
          <w:lang w:val="fr-FR"/>
        </w:rPr>
      </w:pPr>
      <w:r w:rsidRPr="00D60E3A">
        <w:rPr>
          <w:rFonts w:ascii="Century Gothic" w:hAnsi="Century Gothic"/>
          <w:lang w:val="fr-FR"/>
        </w:rPr>
        <w:t>La transcription de cet objectif sur l’échelle de l’accès aux services se présente comme suit :</w:t>
      </w:r>
    </w:p>
    <w:p w:rsidR="009D2F53" w:rsidRDefault="00D60E3A" w:rsidP="00D64F36">
      <w:pPr>
        <w:spacing w:after="160" w:line="259" w:lineRule="auto"/>
        <w:ind w:left="708"/>
        <w:jc w:val="both"/>
        <w:rPr>
          <w:rFonts w:ascii="Century Gothic" w:hAnsi="Century Gothic"/>
          <w:lang w:val="fr-FR"/>
        </w:rPr>
      </w:pPr>
      <w:r>
        <w:rPr>
          <w:rFonts w:ascii="Century Gothic" w:hAnsi="Century Gothic"/>
          <w:b/>
          <w:u w:val="single"/>
          <w:lang w:val="fr-FR"/>
        </w:rPr>
        <w:t>Pour l’eau potable :</w:t>
      </w:r>
      <w:r w:rsidR="00C25F73">
        <w:rPr>
          <w:rFonts w:ascii="Century Gothic" w:hAnsi="Century Gothic"/>
          <w:lang w:val="fr-FR"/>
        </w:rPr>
        <w:t xml:space="preserve"> g</w:t>
      </w:r>
      <w:r>
        <w:rPr>
          <w:rFonts w:ascii="Century Gothic" w:hAnsi="Century Gothic"/>
          <w:lang w:val="fr-FR"/>
        </w:rPr>
        <w:t xml:space="preserve">érer en toute sécurité une source d’approvisionnement en eau potable de base, située sur le lieu de consommation, disponible selon les besoins et non contaminée par les pathogènes ou autres substances chimiques. </w:t>
      </w:r>
      <w:r w:rsidR="00C25F73">
        <w:rPr>
          <w:rFonts w:ascii="Century Gothic" w:hAnsi="Century Gothic"/>
          <w:lang w:val="fr-FR"/>
        </w:rPr>
        <w:t xml:space="preserve">Par ailleurs, le temps de collecte doit être inférieur à 30 minutes en aller – retour y compris le temps d’attente. </w:t>
      </w:r>
    </w:p>
    <w:p w:rsidR="00C25F73" w:rsidRDefault="00C25F73" w:rsidP="00D64F36">
      <w:pPr>
        <w:spacing w:after="160" w:line="259" w:lineRule="auto"/>
        <w:ind w:left="708"/>
        <w:jc w:val="both"/>
        <w:rPr>
          <w:rFonts w:ascii="Century Gothic" w:hAnsi="Century Gothic"/>
          <w:lang w:val="fr-FR"/>
        </w:rPr>
      </w:pPr>
      <w:r>
        <w:rPr>
          <w:rFonts w:ascii="Century Gothic" w:hAnsi="Century Gothic"/>
          <w:b/>
          <w:u w:val="single"/>
          <w:lang w:val="fr-FR"/>
        </w:rPr>
        <w:t>Pour le service d’assainissement :</w:t>
      </w:r>
      <w:r>
        <w:rPr>
          <w:rFonts w:ascii="Century Gothic" w:hAnsi="Century Gothic"/>
          <w:lang w:val="fr-FR"/>
        </w:rPr>
        <w:t xml:space="preserve"> gérer une infrastructure d’assainissement de base qui n’est pas partagée avec d’autres ménages et dont les excréta sont éliminés sur site de manière sûre ou traités hors site. </w:t>
      </w:r>
    </w:p>
    <w:p w:rsidR="00C25F73" w:rsidRDefault="00C25F73" w:rsidP="00D64F36">
      <w:pPr>
        <w:spacing w:after="160" w:line="259" w:lineRule="auto"/>
        <w:ind w:left="708"/>
        <w:jc w:val="both"/>
        <w:rPr>
          <w:rFonts w:ascii="Century Gothic" w:hAnsi="Century Gothic"/>
          <w:i/>
          <w:lang w:val="fr-FR"/>
        </w:rPr>
      </w:pPr>
      <w:r>
        <w:rPr>
          <w:rFonts w:ascii="Century Gothic" w:hAnsi="Century Gothic"/>
          <w:i/>
          <w:lang w:val="fr-FR"/>
        </w:rPr>
        <w:t>Il est néanmoins nécessaire de préciser qu’il ne s’agit que d’un objectif à atteindre à l’horizon 2030 en rapport avec les ODD. Le niveau actuel de qualité des services d’eau et d’assainissement est encore assez éloigné de cet objectif.</w:t>
      </w:r>
    </w:p>
    <w:p w:rsidR="00C25F73" w:rsidRDefault="00C25F73" w:rsidP="00D64F36">
      <w:pPr>
        <w:spacing w:after="160" w:line="259" w:lineRule="auto"/>
        <w:ind w:left="708"/>
        <w:jc w:val="both"/>
        <w:rPr>
          <w:rFonts w:ascii="Century Gothic" w:hAnsi="Century Gothic"/>
          <w:i/>
          <w:lang w:val="fr-FR"/>
        </w:rPr>
      </w:pPr>
    </w:p>
    <w:p w:rsidR="007E135E" w:rsidRPr="007E135E" w:rsidRDefault="007E135E" w:rsidP="007E135E">
      <w:pPr>
        <w:autoSpaceDE w:val="0"/>
        <w:autoSpaceDN w:val="0"/>
        <w:adjustRightInd w:val="0"/>
        <w:ind w:left="720"/>
        <w:jc w:val="both"/>
        <w:rPr>
          <w:rFonts w:ascii="Century Gothic" w:eastAsia="Calibri" w:hAnsi="Century Gothic" w:cs="Arial"/>
          <w:i/>
          <w:color w:val="000000"/>
        </w:rPr>
      </w:pPr>
      <w:r>
        <w:rPr>
          <w:rFonts w:ascii="Century Gothic" w:hAnsi="Century Gothic" w:cs="Arial"/>
          <w:i/>
        </w:rPr>
        <w:lastRenderedPageBreak/>
        <w:t xml:space="preserve">En </w:t>
      </w:r>
      <w:r w:rsidRPr="007E135E">
        <w:rPr>
          <w:rFonts w:ascii="Century Gothic" w:hAnsi="Century Gothic" w:cs="Arial"/>
          <w:i/>
          <w:lang w:val="fr-FR"/>
        </w:rPr>
        <w:t>effet</w:t>
      </w:r>
      <w:r>
        <w:rPr>
          <w:rFonts w:ascii="Century Gothic" w:hAnsi="Century Gothic" w:cs="Arial"/>
          <w:i/>
        </w:rPr>
        <w:t>, l</w:t>
      </w:r>
      <w:r w:rsidRPr="007E135E">
        <w:rPr>
          <w:rFonts w:ascii="Century Gothic" w:hAnsi="Century Gothic" w:cs="Arial"/>
          <w:i/>
        </w:rPr>
        <w:t xml:space="preserve">e </w:t>
      </w:r>
      <w:r w:rsidRPr="007E135E">
        <w:rPr>
          <w:rFonts w:ascii="Century Gothic" w:hAnsi="Century Gothic" w:cs="Arial"/>
          <w:i/>
          <w:lang w:val="fr-FR"/>
        </w:rPr>
        <w:t>niveau</w:t>
      </w:r>
      <w:r w:rsidRPr="007E135E">
        <w:rPr>
          <w:rFonts w:ascii="Century Gothic" w:hAnsi="Century Gothic" w:cs="Arial"/>
          <w:i/>
        </w:rPr>
        <w:t xml:space="preserve"> de </w:t>
      </w:r>
      <w:r w:rsidRPr="007E135E">
        <w:rPr>
          <w:rFonts w:ascii="Century Gothic" w:hAnsi="Century Gothic" w:cs="Arial"/>
          <w:i/>
          <w:lang w:val="fr-FR"/>
        </w:rPr>
        <w:t>couverture</w:t>
      </w:r>
      <w:r w:rsidRPr="007E135E">
        <w:rPr>
          <w:rFonts w:ascii="Century Gothic" w:hAnsi="Century Gothic" w:cs="Arial"/>
          <w:i/>
        </w:rPr>
        <w:t xml:space="preserve"> </w:t>
      </w:r>
      <w:r w:rsidRPr="007E135E">
        <w:rPr>
          <w:rFonts w:ascii="Century Gothic" w:hAnsi="Century Gothic" w:cs="Arial"/>
          <w:i/>
          <w:lang w:val="fr-FR"/>
        </w:rPr>
        <w:t>nationale</w:t>
      </w:r>
      <w:r>
        <w:rPr>
          <w:rFonts w:ascii="Century Gothic" w:hAnsi="Century Gothic" w:cs="Arial"/>
          <w:i/>
        </w:rPr>
        <w:t xml:space="preserve"> </w:t>
      </w:r>
      <w:r w:rsidRPr="007E135E">
        <w:rPr>
          <w:rFonts w:ascii="Century Gothic" w:hAnsi="Century Gothic" w:cs="Arial"/>
          <w:i/>
        </w:rPr>
        <w:t xml:space="preserve">en 2015 </w:t>
      </w:r>
      <w:r>
        <w:rPr>
          <w:rFonts w:ascii="Century Gothic" w:hAnsi="Century Gothic" w:cs="Arial"/>
          <w:i/>
        </w:rPr>
        <w:t xml:space="preserve">reste </w:t>
      </w:r>
      <w:r w:rsidRPr="007E135E">
        <w:rPr>
          <w:rFonts w:ascii="Century Gothic" w:hAnsi="Century Gothic" w:cs="Arial"/>
          <w:i/>
        </w:rPr>
        <w:t xml:space="preserve">encore </w:t>
      </w:r>
      <w:r w:rsidRPr="007E135E">
        <w:rPr>
          <w:rFonts w:ascii="Century Gothic" w:hAnsi="Century Gothic" w:cs="Arial"/>
          <w:i/>
          <w:lang w:val="fr-FR"/>
        </w:rPr>
        <w:t>faible</w:t>
      </w:r>
      <w:r w:rsidRPr="007E135E">
        <w:rPr>
          <w:rFonts w:ascii="Century Gothic" w:hAnsi="Century Gothic" w:cs="Arial"/>
          <w:i/>
        </w:rPr>
        <w:t xml:space="preserve"> </w:t>
      </w:r>
      <w:r w:rsidRPr="007E135E">
        <w:rPr>
          <w:rFonts w:ascii="Century Gothic" w:hAnsi="Century Gothic" w:cs="Arial"/>
          <w:i/>
          <w:lang w:val="fr-FR"/>
        </w:rPr>
        <w:t>aussi</w:t>
      </w:r>
      <w:r w:rsidRPr="007E135E">
        <w:rPr>
          <w:rFonts w:ascii="Century Gothic" w:hAnsi="Century Gothic" w:cs="Arial"/>
          <w:i/>
        </w:rPr>
        <w:t xml:space="preserve"> </w:t>
      </w:r>
      <w:r w:rsidRPr="007E135E">
        <w:rPr>
          <w:rFonts w:ascii="Century Gothic" w:hAnsi="Century Gothic" w:cs="Arial"/>
          <w:i/>
          <w:lang w:val="fr-FR"/>
        </w:rPr>
        <w:t>bien</w:t>
      </w:r>
      <w:r w:rsidRPr="007E135E">
        <w:rPr>
          <w:rFonts w:ascii="Century Gothic" w:hAnsi="Century Gothic" w:cs="Arial"/>
          <w:i/>
        </w:rPr>
        <w:t xml:space="preserve"> pour </w:t>
      </w:r>
      <w:r w:rsidRPr="007E135E">
        <w:rPr>
          <w:rFonts w:ascii="Century Gothic" w:hAnsi="Century Gothic" w:cs="Arial"/>
          <w:i/>
          <w:lang w:val="fr-FR"/>
        </w:rPr>
        <w:t>l’eau</w:t>
      </w:r>
      <w:r w:rsidRPr="007E135E">
        <w:rPr>
          <w:rFonts w:ascii="Century Gothic" w:hAnsi="Century Gothic" w:cs="Arial"/>
          <w:i/>
        </w:rPr>
        <w:t xml:space="preserve"> potable (</w:t>
      </w:r>
      <w:r w:rsidRPr="007E135E">
        <w:rPr>
          <w:rFonts w:ascii="Century Gothic" w:hAnsi="Century Gothic" w:cs="Arial"/>
          <w:i/>
          <w:lang w:val="fr-FR"/>
        </w:rPr>
        <w:t>autour</w:t>
      </w:r>
      <w:r w:rsidRPr="007E135E">
        <w:rPr>
          <w:rFonts w:ascii="Century Gothic" w:hAnsi="Century Gothic" w:cs="Arial"/>
          <w:i/>
        </w:rPr>
        <w:t xml:space="preserve">  de 50%) que pour l’assainissement (45%).  </w:t>
      </w:r>
    </w:p>
    <w:p w:rsidR="00C25F73" w:rsidRPr="00D60E3A" w:rsidRDefault="00C25F73" w:rsidP="007E135E">
      <w:pPr>
        <w:spacing w:after="160" w:line="259" w:lineRule="auto"/>
        <w:jc w:val="both"/>
        <w:rPr>
          <w:rFonts w:ascii="Century Gothic" w:hAnsi="Century Gothic"/>
          <w:lang w:val="fr-FR"/>
        </w:rPr>
      </w:pPr>
    </w:p>
    <w:p w:rsidR="00E6217B" w:rsidRPr="00F639AF" w:rsidRDefault="00E6217B" w:rsidP="00E6217B">
      <w:pPr>
        <w:numPr>
          <w:ilvl w:val="0"/>
          <w:numId w:val="1"/>
        </w:numPr>
        <w:spacing w:after="160" w:line="259" w:lineRule="auto"/>
        <w:jc w:val="both"/>
        <w:rPr>
          <w:rFonts w:ascii="Century Gothic" w:hAnsi="Century Gothic"/>
          <w:color w:val="C00000"/>
          <w:lang w:val="fr-FR"/>
        </w:rPr>
      </w:pPr>
      <w:r w:rsidRPr="00E6217B">
        <w:rPr>
          <w:rFonts w:ascii="Century Gothic" w:hAnsi="Century Gothic"/>
          <w:b/>
          <w:color w:val="C00000"/>
          <w:lang w:val="fr-FR"/>
        </w:rPr>
        <w:t xml:space="preserve">Comment le cadre réglementaire et les entités correspondantes réalisent les principes des droits humains, notamment : </w:t>
      </w:r>
      <w:r w:rsidRPr="00E6217B">
        <w:rPr>
          <w:rFonts w:ascii="Century Gothic" w:hAnsi="Century Gothic"/>
          <w:i/>
          <w:color w:val="C00000"/>
          <w:lang w:val="fr-FR"/>
        </w:rPr>
        <w:t>l’égalité et la non-discrimination, l’accès à l’information, le droit à la participation, la responsabilité, la durabilité et la réalisation progressive en matière du secteur d’approvisionnement en eau et de l’assainissement (donner des exemples).</w:t>
      </w:r>
    </w:p>
    <w:p w:rsidR="00874C68" w:rsidRPr="00F639AF" w:rsidRDefault="00F639AF" w:rsidP="00874C68">
      <w:pPr>
        <w:spacing w:after="160" w:line="259" w:lineRule="auto"/>
        <w:ind w:left="720"/>
        <w:jc w:val="both"/>
        <w:rPr>
          <w:rFonts w:ascii="Century Gothic" w:hAnsi="Century Gothic"/>
          <w:lang w:val="fr-FR"/>
        </w:rPr>
      </w:pPr>
      <w:r>
        <w:rPr>
          <w:rFonts w:ascii="Century Gothic" w:hAnsi="Century Gothic"/>
          <w:lang w:val="fr-FR"/>
        </w:rPr>
        <w:t>Comme rappelé précédemment, le cadre normatif du Congo en matière de droit d’accès à l’eau et aux services d’assainissement garantit le principe d’égalité, d’équité et de non – discrimination des usagers.</w:t>
      </w:r>
      <w:r w:rsidR="00874C68">
        <w:rPr>
          <w:rFonts w:ascii="Century Gothic" w:hAnsi="Century Gothic"/>
          <w:lang w:val="fr-FR"/>
        </w:rPr>
        <w:t xml:space="preserve"> Comme droit humain, l’accès à l’eau potable et à l’assainissement amélioré, obéit aux principes de non-discrimination et d’universalité (accès équitable sans discriminations géographiques, économiques, socioculturelles).   </w:t>
      </w:r>
    </w:p>
    <w:p w:rsidR="00F639AF" w:rsidRDefault="00F639AF" w:rsidP="00F639AF">
      <w:pPr>
        <w:spacing w:after="160" w:line="259" w:lineRule="auto"/>
        <w:ind w:left="720"/>
        <w:jc w:val="both"/>
        <w:rPr>
          <w:rFonts w:ascii="Century Gothic" w:hAnsi="Century Gothic"/>
          <w:lang w:val="fr-FR"/>
        </w:rPr>
      </w:pPr>
      <w:r>
        <w:rPr>
          <w:rFonts w:ascii="Century Gothic" w:hAnsi="Century Gothic"/>
          <w:lang w:val="fr-FR"/>
        </w:rPr>
        <w:t xml:space="preserve"> En ce qui concerne l’accès à l’information, la question est résolue dans le cadre du contrat d’abonnement, le règlement des abonnés étant un document de référence dans les relations entre les opérateurs et les usagers du service public de l’eau. Ce document prévoit les droits et obligations des parties en cas de conflit, de même qu’il fixe les voies de recours en cas de contentieux non résolu à l’amiable. </w:t>
      </w:r>
    </w:p>
    <w:p w:rsidR="00C25F73" w:rsidRPr="00F67D76" w:rsidRDefault="00874C68" w:rsidP="00F67D76">
      <w:pPr>
        <w:spacing w:after="160" w:line="259" w:lineRule="auto"/>
        <w:ind w:left="720"/>
        <w:jc w:val="both"/>
        <w:rPr>
          <w:rFonts w:ascii="Century Gothic" w:hAnsi="Century Gothic"/>
          <w:lang w:val="fr-FR"/>
        </w:rPr>
      </w:pPr>
      <w:r>
        <w:rPr>
          <w:rFonts w:ascii="Century Gothic" w:hAnsi="Century Gothic"/>
          <w:lang w:val="fr-FR"/>
        </w:rPr>
        <w:t xml:space="preserve">Sur le droit à la participation et la responsabilité, le principe de base arrêté par la politique nationale de l’eau est celui de la responsabilité qui détermine la façon dont les individus et la société doivent assumer leurs pouvoirs et leurs devoirs à l’égard de la ressource en eau. L’approche participative repose sur l’implication des populations bénéficiaires dans les choix déterminants liés </w:t>
      </w:r>
      <w:r w:rsidR="00F67D76">
        <w:rPr>
          <w:rFonts w:ascii="Century Gothic" w:hAnsi="Century Gothic"/>
          <w:lang w:val="fr-FR"/>
        </w:rPr>
        <w:t xml:space="preserve">aux ouvrages et aux services envisagés. </w:t>
      </w:r>
    </w:p>
    <w:p w:rsidR="00E6217B" w:rsidRPr="00376AEE" w:rsidRDefault="00B33CC7" w:rsidP="00E6217B">
      <w:pPr>
        <w:numPr>
          <w:ilvl w:val="0"/>
          <w:numId w:val="1"/>
        </w:numPr>
        <w:spacing w:after="160" w:line="259" w:lineRule="auto"/>
        <w:jc w:val="both"/>
        <w:rPr>
          <w:rFonts w:ascii="Century Gothic" w:hAnsi="Century Gothic"/>
          <w:i/>
          <w:color w:val="C00000"/>
        </w:rPr>
      </w:pPr>
      <w:r>
        <w:rPr>
          <w:rFonts w:ascii="Century Gothic" w:hAnsi="Century Gothic"/>
          <w:b/>
          <w:color w:val="C00000"/>
        </w:rPr>
        <w:t xml:space="preserve"> </w:t>
      </w:r>
      <w:r w:rsidR="00F67D76">
        <w:rPr>
          <w:rFonts w:ascii="Century Gothic" w:hAnsi="Century Gothic"/>
          <w:b/>
          <w:color w:val="C00000"/>
        </w:rPr>
        <w:t>E</w:t>
      </w:r>
      <w:r w:rsidR="00F67D76" w:rsidRPr="007E135E">
        <w:rPr>
          <w:rFonts w:ascii="Century Gothic" w:hAnsi="Century Gothic"/>
          <w:b/>
          <w:color w:val="C00000"/>
          <w:lang w:val="fr-FR"/>
        </w:rPr>
        <w:t>xemples</w:t>
      </w:r>
      <w:r w:rsidR="00E102A7">
        <w:rPr>
          <w:rFonts w:ascii="Century Gothic" w:hAnsi="Century Gothic"/>
          <w:b/>
          <w:color w:val="C00000"/>
        </w:rPr>
        <w:t xml:space="preserve"> de mesures réglementaires en vigueur qui assurent l’accès</w:t>
      </w:r>
      <w:r w:rsidR="00F67D76">
        <w:rPr>
          <w:rFonts w:ascii="Century Gothic" w:hAnsi="Century Gothic"/>
          <w:b/>
          <w:color w:val="C00000"/>
        </w:rPr>
        <w:t xml:space="preserve"> aux services d’approvisionnement en eau </w:t>
      </w:r>
      <w:proofErr w:type="gramStart"/>
      <w:r w:rsidR="00F67D76">
        <w:rPr>
          <w:rFonts w:ascii="Century Gothic" w:hAnsi="Century Gothic"/>
          <w:b/>
          <w:color w:val="C00000"/>
        </w:rPr>
        <w:t>et</w:t>
      </w:r>
      <w:proofErr w:type="gramEnd"/>
      <w:r w:rsidR="00F67D76">
        <w:rPr>
          <w:rFonts w:ascii="Century Gothic" w:hAnsi="Century Gothic"/>
          <w:b/>
          <w:color w:val="C00000"/>
        </w:rPr>
        <w:t xml:space="preserve"> assainissement à un coût abordable pour les populations économiquement défavorisées et en situation vulnérable</w:t>
      </w:r>
      <w:r w:rsidR="00376AEE">
        <w:rPr>
          <w:rFonts w:ascii="Century Gothic" w:hAnsi="Century Gothic"/>
          <w:b/>
          <w:color w:val="C00000"/>
        </w:rPr>
        <w:t xml:space="preserve">. </w:t>
      </w:r>
      <w:r w:rsidR="00376AEE" w:rsidRPr="00376AEE">
        <w:rPr>
          <w:rFonts w:ascii="Century Gothic" w:hAnsi="Century Gothic"/>
          <w:i/>
          <w:color w:val="C00000"/>
        </w:rPr>
        <w:t xml:space="preserve">Question de la déconnexion des services d’eau </w:t>
      </w:r>
      <w:proofErr w:type="gramStart"/>
      <w:r w:rsidR="00376AEE" w:rsidRPr="00376AEE">
        <w:rPr>
          <w:rFonts w:ascii="Century Gothic" w:hAnsi="Century Gothic"/>
          <w:i/>
          <w:color w:val="C00000"/>
        </w:rPr>
        <w:t>et</w:t>
      </w:r>
      <w:proofErr w:type="gramEnd"/>
      <w:r w:rsidR="00376AEE" w:rsidRPr="00376AEE">
        <w:rPr>
          <w:rFonts w:ascii="Century Gothic" w:hAnsi="Century Gothic"/>
          <w:i/>
          <w:color w:val="C00000"/>
        </w:rPr>
        <w:t xml:space="preserve"> d’assainissement </w:t>
      </w:r>
      <w:r w:rsidR="00376AEE" w:rsidRPr="00376AEE">
        <w:rPr>
          <w:rFonts w:ascii="Century Gothic" w:hAnsi="Century Gothic"/>
          <w:color w:val="C00000"/>
        </w:rPr>
        <w:t xml:space="preserve">en cas </w:t>
      </w:r>
      <w:r w:rsidR="00376AEE" w:rsidRPr="00376AEE">
        <w:rPr>
          <w:rFonts w:ascii="Century Gothic" w:hAnsi="Century Gothic"/>
          <w:i/>
          <w:color w:val="C00000"/>
        </w:rPr>
        <w:t>d’incapacité financière des usagers de payer les tarifs courants.</w:t>
      </w:r>
    </w:p>
    <w:p w:rsidR="00DC070D" w:rsidRDefault="00376AEE" w:rsidP="00376AEE">
      <w:pPr>
        <w:ind w:left="708"/>
        <w:jc w:val="both"/>
        <w:rPr>
          <w:rFonts w:ascii="Century Gothic" w:hAnsi="Century Gothic" w:cs="Arial"/>
          <w:lang w:val="fr-FR"/>
        </w:rPr>
      </w:pPr>
      <w:r w:rsidRPr="00DC070D">
        <w:rPr>
          <w:rFonts w:ascii="Century Gothic" w:hAnsi="Century Gothic" w:cs="Arial"/>
          <w:lang w:val="fr-FR"/>
        </w:rPr>
        <w:t xml:space="preserve">Le gouvernement du Congo est bien conscient qu’une frange importante de la population du pays </w:t>
      </w:r>
      <w:r w:rsidR="00DC070D" w:rsidRPr="00DC070D">
        <w:rPr>
          <w:rFonts w:ascii="Century Gothic" w:hAnsi="Century Gothic" w:cs="Arial"/>
          <w:lang w:val="fr-FR"/>
        </w:rPr>
        <w:t xml:space="preserve">est en situation de vulnérabilité sur le plan économique, particulièrement pour celles qui vivent dans les zones périurbaines et rurales. </w:t>
      </w:r>
      <w:r w:rsidR="00DC070D">
        <w:rPr>
          <w:rFonts w:ascii="Century Gothic" w:hAnsi="Century Gothic" w:cs="Arial"/>
          <w:lang w:val="fr-FR"/>
        </w:rPr>
        <w:t>Les mesures prises par les pouvoirs publics pour permettre l’accès des services à un coût abordable pour cette frange de la population, sont les suivantes :</w:t>
      </w:r>
    </w:p>
    <w:p w:rsidR="00622703" w:rsidRPr="00622703" w:rsidRDefault="00DC070D" w:rsidP="00DC070D">
      <w:pPr>
        <w:pStyle w:val="Paragraphedeliste"/>
        <w:numPr>
          <w:ilvl w:val="0"/>
          <w:numId w:val="4"/>
        </w:numPr>
        <w:jc w:val="both"/>
        <w:rPr>
          <w:rFonts w:ascii="Century Gothic" w:hAnsi="Century Gothic" w:cs="Arial"/>
        </w:rPr>
      </w:pPr>
      <w:r>
        <w:rPr>
          <w:rFonts w:ascii="Century Gothic" w:hAnsi="Century Gothic" w:cs="Arial"/>
        </w:rPr>
        <w:t xml:space="preserve">La structure du prix de </w:t>
      </w:r>
      <w:r w:rsidRPr="00DC070D">
        <w:rPr>
          <w:rFonts w:ascii="Century Gothic" w:hAnsi="Century Gothic" w:cs="Arial"/>
          <w:lang w:val="fr-FR"/>
        </w:rPr>
        <w:t>l’eau</w:t>
      </w:r>
      <w:r>
        <w:rPr>
          <w:rFonts w:ascii="Century Gothic" w:hAnsi="Century Gothic" w:cs="Arial"/>
          <w:lang w:val="fr-FR"/>
        </w:rPr>
        <w:t xml:space="preserve"> prévoit une tranche sociale qui bénéficie d’un système de péréquation verticale co</w:t>
      </w:r>
      <w:r w:rsidR="00622703">
        <w:rPr>
          <w:rFonts w:ascii="Century Gothic" w:hAnsi="Century Gothic" w:cs="Arial"/>
          <w:lang w:val="fr-FR"/>
        </w:rPr>
        <w:t>nsistant en la prise en charge par les tranches supérieures d’une partie du coût de l’eau de cette tranche. La tranche sociale est en outre exonérée d’impôts ;</w:t>
      </w:r>
    </w:p>
    <w:p w:rsidR="00622703" w:rsidRDefault="00622703" w:rsidP="00622703">
      <w:pPr>
        <w:jc w:val="both"/>
        <w:rPr>
          <w:rFonts w:ascii="Century Gothic" w:hAnsi="Century Gothic" w:cs="Arial"/>
        </w:rPr>
      </w:pPr>
    </w:p>
    <w:p w:rsidR="00622703" w:rsidRDefault="00622703" w:rsidP="00622703">
      <w:pPr>
        <w:jc w:val="both"/>
        <w:rPr>
          <w:rFonts w:ascii="Century Gothic" w:hAnsi="Century Gothic" w:cs="Arial"/>
        </w:rPr>
      </w:pPr>
    </w:p>
    <w:p w:rsidR="00622703" w:rsidRPr="00622703" w:rsidRDefault="00622703" w:rsidP="00622703">
      <w:pPr>
        <w:jc w:val="both"/>
        <w:rPr>
          <w:rFonts w:ascii="Century Gothic" w:hAnsi="Century Gothic" w:cs="Arial"/>
        </w:rPr>
      </w:pPr>
    </w:p>
    <w:p w:rsidR="00622703" w:rsidRDefault="00622703" w:rsidP="00622703">
      <w:pPr>
        <w:jc w:val="both"/>
        <w:rPr>
          <w:rFonts w:ascii="Century Gothic" w:hAnsi="Century Gothic" w:cs="Arial"/>
        </w:rPr>
      </w:pPr>
    </w:p>
    <w:p w:rsidR="00622703" w:rsidRPr="00706233" w:rsidRDefault="00622703" w:rsidP="00706233">
      <w:pPr>
        <w:pStyle w:val="Paragraphedeliste"/>
        <w:numPr>
          <w:ilvl w:val="0"/>
          <w:numId w:val="4"/>
        </w:numPr>
        <w:jc w:val="both"/>
        <w:rPr>
          <w:rFonts w:ascii="Century Gothic" w:hAnsi="Century Gothic" w:cs="Arial"/>
        </w:rPr>
      </w:pPr>
      <w:r>
        <w:rPr>
          <w:rFonts w:ascii="Century Gothic" w:hAnsi="Century Gothic" w:cs="Arial"/>
        </w:rPr>
        <w:lastRenderedPageBreak/>
        <w:t xml:space="preserve">Le prix de l’eau pratiqué au Congo n’intègre pas dans </w:t>
      </w:r>
      <w:proofErr w:type="gramStart"/>
      <w:r>
        <w:rPr>
          <w:rFonts w:ascii="Century Gothic" w:hAnsi="Century Gothic" w:cs="Arial"/>
        </w:rPr>
        <w:t>sa</w:t>
      </w:r>
      <w:proofErr w:type="gramEnd"/>
      <w:r>
        <w:rPr>
          <w:rFonts w:ascii="Century Gothic" w:hAnsi="Century Gothic" w:cs="Arial"/>
        </w:rPr>
        <w:t xml:space="preserve"> structure l’investissement de développement du service que l’Etat prend entièrement à sa charge. Ce qui allège </w:t>
      </w:r>
      <w:r w:rsidR="00706233">
        <w:rPr>
          <w:rFonts w:ascii="Century Gothic" w:hAnsi="Century Gothic" w:cs="Arial"/>
        </w:rPr>
        <w:t>le prix de l’eau payé par le  consommateur.</w:t>
      </w:r>
      <w:r>
        <w:rPr>
          <w:rFonts w:ascii="Century Gothic" w:hAnsi="Century Gothic" w:cs="Arial"/>
        </w:rPr>
        <w:t xml:space="preserve"> </w:t>
      </w:r>
      <w:r w:rsidRPr="00706233">
        <w:rPr>
          <w:rFonts w:ascii="Century Gothic" w:hAnsi="Century Gothic" w:cs="Arial"/>
        </w:rPr>
        <w:t xml:space="preserve">   </w:t>
      </w:r>
    </w:p>
    <w:p w:rsidR="00706233" w:rsidRPr="00706233" w:rsidRDefault="00622703" w:rsidP="00DC070D">
      <w:pPr>
        <w:pStyle w:val="Paragraphedeliste"/>
        <w:numPr>
          <w:ilvl w:val="0"/>
          <w:numId w:val="4"/>
        </w:numPr>
        <w:jc w:val="both"/>
        <w:rPr>
          <w:rFonts w:ascii="Century Gothic" w:hAnsi="Century Gothic" w:cs="Arial"/>
        </w:rPr>
      </w:pPr>
      <w:r>
        <w:rPr>
          <w:rFonts w:ascii="Century Gothic" w:hAnsi="Century Gothic" w:cs="Arial"/>
          <w:lang w:val="fr-FR"/>
        </w:rPr>
        <w:t>En matière de travaux de raccordement des ménages aux réseaux de distribution d’eau, les opérateurs bénéficient de certaines facilités accordées par le gouvernement pour mettre en place des politiques du branchement social en faveur des populations défavorisées</w:t>
      </w:r>
      <w:r w:rsidR="00706233">
        <w:rPr>
          <w:rFonts w:ascii="Century Gothic" w:hAnsi="Century Gothic" w:cs="Arial"/>
          <w:lang w:val="fr-FR"/>
        </w:rPr>
        <w:t>.</w:t>
      </w:r>
    </w:p>
    <w:p w:rsidR="00706233" w:rsidRDefault="00706233" w:rsidP="00706233">
      <w:pPr>
        <w:ind w:left="1125"/>
        <w:jc w:val="both"/>
        <w:rPr>
          <w:rFonts w:ascii="Century Gothic" w:hAnsi="Century Gothic" w:cs="Arial"/>
          <w:lang w:val="fr-FR"/>
        </w:rPr>
      </w:pPr>
    </w:p>
    <w:p w:rsidR="00E6217B" w:rsidRDefault="00706233" w:rsidP="00706233">
      <w:pPr>
        <w:ind w:left="1125"/>
        <w:jc w:val="both"/>
        <w:rPr>
          <w:rFonts w:ascii="Century Gothic" w:hAnsi="Century Gothic" w:cs="Arial"/>
          <w:lang w:val="fr-FR"/>
        </w:rPr>
      </w:pPr>
      <w:r>
        <w:rPr>
          <w:rFonts w:ascii="Century Gothic" w:hAnsi="Century Gothic" w:cs="Arial"/>
          <w:lang w:val="fr-FR"/>
        </w:rPr>
        <w:t xml:space="preserve">En ce qui concerne la déconnexion, le règlement du service fait obligation aux opérateurs de procéder à une démarche de relance et de rappel en direction des usagers avant la déconnexion. </w:t>
      </w:r>
    </w:p>
    <w:p w:rsidR="00706233" w:rsidRDefault="00706233" w:rsidP="00706233">
      <w:pPr>
        <w:jc w:val="both"/>
        <w:rPr>
          <w:rFonts w:ascii="Century Gothic" w:hAnsi="Century Gothic" w:cs="Arial"/>
        </w:rPr>
      </w:pPr>
    </w:p>
    <w:p w:rsidR="00706233" w:rsidRPr="00706233" w:rsidRDefault="00706233" w:rsidP="00706233">
      <w:pPr>
        <w:pStyle w:val="Paragraphedeliste"/>
        <w:numPr>
          <w:ilvl w:val="0"/>
          <w:numId w:val="1"/>
        </w:numPr>
        <w:jc w:val="both"/>
        <w:rPr>
          <w:rFonts w:ascii="Century Gothic" w:hAnsi="Century Gothic" w:cs="Arial"/>
          <w:color w:val="C00000"/>
        </w:rPr>
      </w:pPr>
      <w:r>
        <w:rPr>
          <w:rFonts w:ascii="Century Gothic" w:hAnsi="Century Gothic" w:cs="Arial"/>
          <w:b/>
          <w:color w:val="C00000"/>
        </w:rPr>
        <w:t xml:space="preserve">Exemples des modèles employés par le gouvernement pour contrôler </w:t>
      </w:r>
      <w:proofErr w:type="gramStart"/>
      <w:r>
        <w:rPr>
          <w:rFonts w:ascii="Century Gothic" w:hAnsi="Century Gothic" w:cs="Arial"/>
          <w:b/>
          <w:color w:val="C00000"/>
        </w:rPr>
        <w:t>et</w:t>
      </w:r>
      <w:proofErr w:type="gramEnd"/>
      <w:r>
        <w:rPr>
          <w:rFonts w:ascii="Century Gothic" w:hAnsi="Century Gothic" w:cs="Arial"/>
          <w:b/>
          <w:color w:val="C00000"/>
        </w:rPr>
        <w:t xml:space="preserve"> assurer l’application des réglementations en vigueur dans le secteur de l’approvisionnement en eau et de l’assainissement.</w:t>
      </w:r>
    </w:p>
    <w:p w:rsidR="00E6217B" w:rsidRPr="00DC070D" w:rsidRDefault="00E6217B" w:rsidP="00376AEE">
      <w:pPr>
        <w:ind w:left="708"/>
        <w:rPr>
          <w:rFonts w:ascii="Century Gothic" w:hAnsi="Century Gothic" w:cs="Arial"/>
          <w:i/>
        </w:rPr>
      </w:pPr>
    </w:p>
    <w:p w:rsidR="00E6217B" w:rsidRDefault="00EF1537" w:rsidP="00EF1537">
      <w:pPr>
        <w:ind w:left="708"/>
        <w:jc w:val="both"/>
        <w:rPr>
          <w:rFonts w:ascii="Century Gothic" w:hAnsi="Century Gothic" w:cs="Arial"/>
        </w:rPr>
      </w:pPr>
      <w:r w:rsidRPr="00EF1537">
        <w:rPr>
          <w:rFonts w:ascii="Century Gothic" w:hAnsi="Century Gothic" w:cs="Arial"/>
        </w:rPr>
        <w:t>En République du Congo, l</w:t>
      </w:r>
      <w:r>
        <w:rPr>
          <w:rFonts w:ascii="Century Gothic" w:hAnsi="Century Gothic" w:cs="Arial"/>
        </w:rPr>
        <w:t>e service d</w:t>
      </w:r>
      <w:r w:rsidRPr="00EF1537">
        <w:rPr>
          <w:rFonts w:ascii="Century Gothic" w:hAnsi="Century Gothic" w:cs="Arial"/>
        </w:rPr>
        <w:t>’approvisionnement</w:t>
      </w:r>
      <w:r>
        <w:rPr>
          <w:rFonts w:ascii="Century Gothic" w:hAnsi="Century Gothic" w:cs="Arial"/>
        </w:rPr>
        <w:t xml:space="preserve"> en eau potable </w:t>
      </w:r>
      <w:proofErr w:type="gramStart"/>
      <w:r>
        <w:rPr>
          <w:rFonts w:ascii="Century Gothic" w:hAnsi="Century Gothic" w:cs="Arial"/>
        </w:rPr>
        <w:t>est</w:t>
      </w:r>
      <w:proofErr w:type="gramEnd"/>
      <w:r>
        <w:rPr>
          <w:rFonts w:ascii="Century Gothic" w:hAnsi="Century Gothic" w:cs="Arial"/>
        </w:rPr>
        <w:t xml:space="preserve"> assuré par contrat de délégation du gouvernement à des </w:t>
      </w:r>
      <w:r w:rsidRPr="00B20A68">
        <w:rPr>
          <w:rFonts w:ascii="Century Gothic" w:hAnsi="Century Gothic" w:cs="Arial"/>
          <w:lang w:val="fr-FR"/>
        </w:rPr>
        <w:t>opérateurs</w:t>
      </w:r>
      <w:r>
        <w:rPr>
          <w:rFonts w:ascii="Century Gothic" w:hAnsi="Century Gothic" w:cs="Arial"/>
        </w:rPr>
        <w:t xml:space="preserve"> privés ou publics. A </w:t>
      </w:r>
      <w:proofErr w:type="gramStart"/>
      <w:r>
        <w:rPr>
          <w:rFonts w:ascii="Century Gothic" w:hAnsi="Century Gothic" w:cs="Arial"/>
        </w:rPr>
        <w:t>ce</w:t>
      </w:r>
      <w:proofErr w:type="gramEnd"/>
      <w:r>
        <w:rPr>
          <w:rFonts w:ascii="Century Gothic" w:hAnsi="Century Gothic" w:cs="Arial"/>
        </w:rPr>
        <w:t xml:space="preserve"> titre, ces contrats disposent de cahiers de charges qui </w:t>
      </w:r>
      <w:r w:rsidR="00B20A68">
        <w:rPr>
          <w:rFonts w:ascii="Century Gothic" w:hAnsi="Century Gothic" w:cs="Arial"/>
        </w:rPr>
        <w:t>détermine</w:t>
      </w:r>
      <w:r>
        <w:rPr>
          <w:rFonts w:ascii="Century Gothic" w:hAnsi="Century Gothic" w:cs="Arial"/>
        </w:rPr>
        <w:t xml:space="preserve">nt notamment: </w:t>
      </w:r>
    </w:p>
    <w:p w:rsidR="00B20A68" w:rsidRDefault="00EF1537" w:rsidP="00EF1537">
      <w:pPr>
        <w:pStyle w:val="Paragraphedeliste"/>
        <w:numPr>
          <w:ilvl w:val="0"/>
          <w:numId w:val="5"/>
        </w:numPr>
        <w:jc w:val="both"/>
        <w:rPr>
          <w:rFonts w:ascii="Century Gothic" w:hAnsi="Century Gothic" w:cs="Arial"/>
        </w:rPr>
      </w:pPr>
      <w:r>
        <w:rPr>
          <w:rFonts w:ascii="Century Gothic" w:hAnsi="Century Gothic" w:cs="Arial"/>
        </w:rPr>
        <w:t xml:space="preserve">Le statut juridique des biens </w:t>
      </w:r>
      <w:r w:rsidR="00B20A68">
        <w:rPr>
          <w:rFonts w:ascii="Century Gothic" w:hAnsi="Century Gothic" w:cs="Arial"/>
        </w:rPr>
        <w:t>nécessaires au fonctionnement du service public;</w:t>
      </w:r>
    </w:p>
    <w:p w:rsidR="00EF1537" w:rsidRDefault="00B20A68" w:rsidP="00EF1537">
      <w:pPr>
        <w:pStyle w:val="Paragraphedeliste"/>
        <w:numPr>
          <w:ilvl w:val="0"/>
          <w:numId w:val="5"/>
        </w:numPr>
        <w:jc w:val="both"/>
        <w:rPr>
          <w:rFonts w:ascii="Century Gothic" w:hAnsi="Century Gothic" w:cs="Arial"/>
        </w:rPr>
      </w:pPr>
      <w:r>
        <w:rPr>
          <w:rFonts w:ascii="Century Gothic" w:hAnsi="Century Gothic" w:cs="Arial"/>
        </w:rPr>
        <w:t xml:space="preserve">La nature des obligations, le service imposé au délégataire et en particulier le volume et les modalités de la fourniture d’eau, les zones à desservir, la qualité du service, les prestations minimales en cas de conflit social, les conditions de remunération </w:t>
      </w:r>
      <w:r w:rsidR="00EF1537">
        <w:rPr>
          <w:rFonts w:ascii="Century Gothic" w:hAnsi="Century Gothic" w:cs="Arial"/>
        </w:rPr>
        <w:t xml:space="preserve"> </w:t>
      </w:r>
      <w:r>
        <w:rPr>
          <w:rFonts w:ascii="Century Gothic" w:hAnsi="Century Gothic" w:cs="Arial"/>
        </w:rPr>
        <w:t>du délégataire;</w:t>
      </w:r>
    </w:p>
    <w:p w:rsidR="00B20A68" w:rsidRDefault="00B20A68" w:rsidP="00EF1537">
      <w:pPr>
        <w:pStyle w:val="Paragraphedeliste"/>
        <w:numPr>
          <w:ilvl w:val="0"/>
          <w:numId w:val="5"/>
        </w:numPr>
        <w:jc w:val="both"/>
        <w:rPr>
          <w:rFonts w:ascii="Century Gothic" w:hAnsi="Century Gothic" w:cs="Arial"/>
        </w:rPr>
      </w:pPr>
      <w:r>
        <w:rPr>
          <w:rFonts w:ascii="Century Gothic" w:hAnsi="Century Gothic" w:cs="Arial"/>
        </w:rPr>
        <w:t xml:space="preserve">Les sites du domaine public hydraulique et les volumes d’eau pour lesquels </w:t>
      </w:r>
      <w:r w:rsidR="00F71710">
        <w:rPr>
          <w:rFonts w:ascii="Century Gothic" w:hAnsi="Century Gothic" w:cs="Arial"/>
        </w:rPr>
        <w:t>le délégataire bénéficie d’un droit de captage;</w:t>
      </w:r>
    </w:p>
    <w:p w:rsidR="00F71710" w:rsidRDefault="00F71710" w:rsidP="00EF1537">
      <w:pPr>
        <w:pStyle w:val="Paragraphedeliste"/>
        <w:numPr>
          <w:ilvl w:val="0"/>
          <w:numId w:val="5"/>
        </w:numPr>
        <w:jc w:val="both"/>
        <w:rPr>
          <w:rFonts w:ascii="Century Gothic" w:hAnsi="Century Gothic" w:cs="Arial"/>
        </w:rPr>
      </w:pPr>
      <w:r>
        <w:rPr>
          <w:rFonts w:ascii="Century Gothic" w:hAnsi="Century Gothic" w:cs="Arial"/>
        </w:rPr>
        <w:t>Le niveau des investissements à réaliser;</w:t>
      </w:r>
    </w:p>
    <w:p w:rsidR="00F71710" w:rsidRDefault="00F71710" w:rsidP="00EF1537">
      <w:pPr>
        <w:pStyle w:val="Paragraphedeliste"/>
        <w:numPr>
          <w:ilvl w:val="0"/>
          <w:numId w:val="5"/>
        </w:numPr>
        <w:jc w:val="both"/>
        <w:rPr>
          <w:rFonts w:ascii="Century Gothic" w:hAnsi="Century Gothic" w:cs="Arial"/>
        </w:rPr>
      </w:pPr>
      <w:r>
        <w:rPr>
          <w:rFonts w:ascii="Century Gothic" w:hAnsi="Century Gothic" w:cs="Arial"/>
        </w:rPr>
        <w:t>La grille tatifaire et la formule de revision des prix;</w:t>
      </w:r>
    </w:p>
    <w:p w:rsidR="00F71710" w:rsidRDefault="00F71710" w:rsidP="00EF1537">
      <w:pPr>
        <w:pStyle w:val="Paragraphedeliste"/>
        <w:numPr>
          <w:ilvl w:val="0"/>
          <w:numId w:val="5"/>
        </w:numPr>
        <w:jc w:val="both"/>
        <w:rPr>
          <w:rFonts w:ascii="Century Gothic" w:hAnsi="Century Gothic" w:cs="Arial"/>
        </w:rPr>
      </w:pPr>
      <w:r>
        <w:rPr>
          <w:rFonts w:ascii="Century Gothic" w:hAnsi="Century Gothic" w:cs="Arial"/>
        </w:rPr>
        <w:t>Les conditions d’assurances des ouvrages.</w:t>
      </w:r>
    </w:p>
    <w:p w:rsidR="00F71710" w:rsidRDefault="00F71710" w:rsidP="00F71710">
      <w:pPr>
        <w:ind w:left="708"/>
        <w:jc w:val="both"/>
        <w:rPr>
          <w:rFonts w:ascii="Century Gothic" w:hAnsi="Century Gothic" w:cs="Arial"/>
        </w:rPr>
      </w:pPr>
    </w:p>
    <w:p w:rsidR="0054465B" w:rsidRDefault="00BA3C5C" w:rsidP="00F71710">
      <w:pPr>
        <w:ind w:left="708"/>
        <w:jc w:val="both"/>
        <w:rPr>
          <w:rFonts w:ascii="Century Gothic" w:hAnsi="Century Gothic" w:cs="Arial"/>
          <w:lang w:val="fr-FR"/>
        </w:rPr>
      </w:pPr>
      <w:r>
        <w:rPr>
          <w:rFonts w:ascii="Century Gothic" w:hAnsi="Century Gothic" w:cs="Arial"/>
        </w:rPr>
        <w:t>L’</w:t>
      </w:r>
      <w:r>
        <w:rPr>
          <w:rFonts w:ascii="Century Gothic" w:hAnsi="Century Gothic" w:cs="Arial"/>
          <w:lang w:val="fr-FR"/>
        </w:rPr>
        <w:t xml:space="preserve">organe de régulation du secteur de </w:t>
      </w:r>
      <w:proofErr w:type="gramStart"/>
      <w:r>
        <w:rPr>
          <w:rFonts w:ascii="Century Gothic" w:hAnsi="Century Gothic" w:cs="Arial"/>
          <w:lang w:val="fr-FR"/>
        </w:rPr>
        <w:t>l’eau assure</w:t>
      </w:r>
      <w:proofErr w:type="gramEnd"/>
      <w:r>
        <w:rPr>
          <w:rFonts w:ascii="Century Gothic" w:hAnsi="Century Gothic" w:cs="Arial"/>
          <w:lang w:val="fr-FR"/>
        </w:rPr>
        <w:t xml:space="preserve"> le contrôle du </w:t>
      </w:r>
      <w:r w:rsidR="0054465B">
        <w:rPr>
          <w:rFonts w:ascii="Century Gothic" w:hAnsi="Century Gothic" w:cs="Arial"/>
          <w:lang w:val="fr-FR"/>
        </w:rPr>
        <w:t xml:space="preserve">respect du cahier des charges par les opérateurs. Il est en outre chargé de prononcer les sanctions lorsque cela s’avère nécessaire, mais en concertation avec le ministre chargé de l’eau qui est l’autorité signataire du contrat de délégation. </w:t>
      </w:r>
    </w:p>
    <w:p w:rsidR="0054465B" w:rsidRDefault="0054465B" w:rsidP="00F71710">
      <w:pPr>
        <w:ind w:left="708"/>
        <w:jc w:val="both"/>
        <w:rPr>
          <w:rFonts w:ascii="Century Gothic" w:hAnsi="Century Gothic" w:cs="Arial"/>
          <w:lang w:val="fr-FR"/>
        </w:rPr>
      </w:pPr>
    </w:p>
    <w:p w:rsidR="00F71710" w:rsidRPr="0054465B" w:rsidRDefault="0054465B" w:rsidP="0054465B">
      <w:pPr>
        <w:pStyle w:val="Paragraphedeliste"/>
        <w:numPr>
          <w:ilvl w:val="0"/>
          <w:numId w:val="1"/>
        </w:numPr>
        <w:jc w:val="both"/>
        <w:rPr>
          <w:rFonts w:ascii="Century Gothic" w:hAnsi="Century Gothic" w:cs="Arial"/>
          <w:color w:val="C00000"/>
        </w:rPr>
      </w:pPr>
      <w:r w:rsidRPr="0054465B">
        <w:rPr>
          <w:rFonts w:ascii="Century Gothic" w:hAnsi="Century Gothic" w:cs="Arial"/>
          <w:b/>
          <w:color w:val="C00000"/>
          <w:lang w:val="fr-FR"/>
        </w:rPr>
        <w:t>L’approche</w:t>
      </w:r>
      <w:r>
        <w:rPr>
          <w:rFonts w:ascii="Century Gothic" w:hAnsi="Century Gothic" w:cs="Arial"/>
          <w:b/>
          <w:color w:val="C00000"/>
        </w:rPr>
        <w:t xml:space="preserve"> ou la </w:t>
      </w:r>
      <w:r w:rsidRPr="0054465B">
        <w:rPr>
          <w:rFonts w:ascii="Century Gothic" w:hAnsi="Century Gothic" w:cs="Arial"/>
          <w:b/>
          <w:color w:val="C00000"/>
          <w:lang w:val="fr-FR"/>
        </w:rPr>
        <w:t>stratégie</w:t>
      </w:r>
      <w:r>
        <w:rPr>
          <w:rFonts w:ascii="Century Gothic" w:hAnsi="Century Gothic" w:cs="Arial"/>
          <w:b/>
          <w:color w:val="C00000"/>
        </w:rPr>
        <w:t xml:space="preserve"> du gouvernement quant aux fournisseurs non – régulés ou informels de services d’eau et d’assainissement.</w:t>
      </w:r>
    </w:p>
    <w:p w:rsidR="000F0BAE" w:rsidRDefault="000F0BAE" w:rsidP="000F0BAE">
      <w:pPr>
        <w:ind w:left="708"/>
        <w:jc w:val="both"/>
        <w:rPr>
          <w:rFonts w:ascii="Century Gothic" w:hAnsi="Century Gothic" w:cs="Arial"/>
        </w:rPr>
      </w:pPr>
    </w:p>
    <w:p w:rsidR="00E6217B" w:rsidRDefault="000F0BAE" w:rsidP="000F0BAE">
      <w:pPr>
        <w:ind w:left="708"/>
        <w:jc w:val="both"/>
        <w:rPr>
          <w:rFonts w:ascii="Century Gothic" w:hAnsi="Century Gothic" w:cs="Arial"/>
        </w:rPr>
      </w:pPr>
      <w:r>
        <w:rPr>
          <w:rFonts w:ascii="Century Gothic" w:hAnsi="Century Gothic" w:cs="Arial"/>
        </w:rPr>
        <w:t xml:space="preserve">En République du Congo, les réseaux de distribution de l’eau des grandes villes desservent peu ou pas du tout les zones périurbaines. Le gouvernement est dans ces conditions contraint d’admettre que le service d’eau soit assuré par les fournisseurs non-régulés ou informels. Le problème n’est donc pas celui de proscrire cette pratique, mais de discuter avec ces fournisseurs en vue d’asseoir </w:t>
      </w:r>
      <w:proofErr w:type="gramStart"/>
      <w:r>
        <w:rPr>
          <w:rFonts w:ascii="Century Gothic" w:hAnsi="Century Gothic" w:cs="Arial"/>
        </w:rPr>
        <w:t>un</w:t>
      </w:r>
      <w:proofErr w:type="gramEnd"/>
      <w:r>
        <w:rPr>
          <w:rFonts w:ascii="Century Gothic" w:hAnsi="Century Gothic" w:cs="Arial"/>
        </w:rPr>
        <w:t xml:space="preserve"> cadre de collaboration leur faisant obligation de respecter des normes minimales pour exercer cette mission. </w:t>
      </w:r>
    </w:p>
    <w:p w:rsidR="00E6217B" w:rsidRPr="00EF1537" w:rsidRDefault="00E6217B" w:rsidP="0054465B">
      <w:pPr>
        <w:ind w:left="360"/>
        <w:jc w:val="both"/>
        <w:rPr>
          <w:rFonts w:ascii="Century Gothic" w:hAnsi="Century Gothic" w:cs="Arial"/>
        </w:rPr>
      </w:pPr>
    </w:p>
    <w:p w:rsidR="00E6217B" w:rsidRDefault="00E6217B" w:rsidP="00EF1537">
      <w:pPr>
        <w:jc w:val="both"/>
        <w:rPr>
          <w:rFonts w:ascii="Arial" w:hAnsi="Arial" w:cs="Arial"/>
        </w:rPr>
      </w:pPr>
    </w:p>
    <w:p w:rsidR="00E6217B" w:rsidRPr="000F0BAE" w:rsidRDefault="000F0BAE" w:rsidP="00810F2D">
      <w:pPr>
        <w:ind w:left="360"/>
        <w:jc w:val="both"/>
        <w:rPr>
          <w:rFonts w:ascii="Century Gothic" w:hAnsi="Century Gothic" w:cs="Arial"/>
        </w:rPr>
      </w:pPr>
      <w:r>
        <w:rPr>
          <w:rFonts w:ascii="Century Gothic" w:hAnsi="Century Gothic" w:cs="Arial"/>
        </w:rPr>
        <w:lastRenderedPageBreak/>
        <w:t xml:space="preserve">Le régulateur procède actuellement au recensement de ces fournisseurs en vue d’en maitriser l’effectif </w:t>
      </w:r>
      <w:proofErr w:type="gramStart"/>
      <w:r>
        <w:rPr>
          <w:rFonts w:ascii="Century Gothic" w:hAnsi="Century Gothic" w:cs="Arial"/>
        </w:rPr>
        <w:t>et</w:t>
      </w:r>
      <w:proofErr w:type="gramEnd"/>
      <w:r>
        <w:rPr>
          <w:rFonts w:ascii="Century Gothic" w:hAnsi="Century Gothic" w:cs="Arial"/>
        </w:rPr>
        <w:t xml:space="preserve"> d’envisager </w:t>
      </w:r>
      <w:r w:rsidR="00810F2D">
        <w:rPr>
          <w:rFonts w:ascii="Century Gothic" w:hAnsi="Century Gothic" w:cs="Arial"/>
        </w:rPr>
        <w:t xml:space="preserve">l’élaboration d’un cadre de partenariat avec eux. </w:t>
      </w:r>
    </w:p>
    <w:p w:rsidR="00E6217B" w:rsidRDefault="00E6217B" w:rsidP="00810F2D">
      <w:pPr>
        <w:jc w:val="both"/>
        <w:rPr>
          <w:rFonts w:ascii="Arial" w:hAnsi="Arial" w:cs="Arial"/>
        </w:rPr>
      </w:pPr>
    </w:p>
    <w:p w:rsidR="00E6217B" w:rsidRDefault="00810F2D" w:rsidP="00810F2D">
      <w:pPr>
        <w:pStyle w:val="Paragraphedeliste"/>
        <w:numPr>
          <w:ilvl w:val="0"/>
          <w:numId w:val="1"/>
        </w:numPr>
        <w:jc w:val="both"/>
        <w:rPr>
          <w:rFonts w:ascii="Century Gothic" w:hAnsi="Century Gothic" w:cs="Arial"/>
          <w:b/>
          <w:color w:val="C00000"/>
        </w:rPr>
      </w:pPr>
      <w:r w:rsidRPr="00810F2D">
        <w:rPr>
          <w:rFonts w:ascii="Century Gothic" w:hAnsi="Century Gothic" w:cs="Arial"/>
          <w:b/>
          <w:color w:val="C00000"/>
        </w:rPr>
        <w:t xml:space="preserve">Au sujet des acteurs non-étatiques responsables de la provision des services d’approvisionnement en eau </w:t>
      </w:r>
      <w:proofErr w:type="gramStart"/>
      <w:r w:rsidRPr="00810F2D">
        <w:rPr>
          <w:rFonts w:ascii="Century Gothic" w:hAnsi="Century Gothic" w:cs="Arial"/>
          <w:b/>
          <w:color w:val="C00000"/>
        </w:rPr>
        <w:t>et</w:t>
      </w:r>
      <w:proofErr w:type="gramEnd"/>
      <w:r w:rsidRPr="00810F2D">
        <w:rPr>
          <w:rFonts w:ascii="Century Gothic" w:hAnsi="Century Gothic" w:cs="Arial"/>
          <w:b/>
          <w:color w:val="C00000"/>
        </w:rPr>
        <w:t xml:space="preserve"> d’assainissement</w:t>
      </w:r>
      <w:r>
        <w:rPr>
          <w:rFonts w:ascii="Century Gothic" w:hAnsi="Century Gothic" w:cs="Arial"/>
          <w:b/>
          <w:color w:val="C00000"/>
        </w:rPr>
        <w:t>.</w:t>
      </w:r>
    </w:p>
    <w:p w:rsidR="00810F2D" w:rsidRDefault="00810F2D" w:rsidP="00810F2D">
      <w:pPr>
        <w:pStyle w:val="Paragraphedeliste"/>
        <w:jc w:val="both"/>
        <w:rPr>
          <w:rFonts w:ascii="Century Gothic" w:hAnsi="Century Gothic" w:cs="Arial"/>
          <w:b/>
          <w:color w:val="C00000"/>
        </w:rPr>
      </w:pPr>
    </w:p>
    <w:p w:rsidR="00810F2D" w:rsidRPr="00810F2D" w:rsidRDefault="00810F2D" w:rsidP="00810F2D">
      <w:pPr>
        <w:ind w:left="360"/>
        <w:jc w:val="both"/>
        <w:rPr>
          <w:rFonts w:ascii="Century Gothic" w:hAnsi="Century Gothic" w:cs="Arial"/>
        </w:rPr>
      </w:pPr>
      <w:r>
        <w:rPr>
          <w:rFonts w:ascii="Century Gothic" w:hAnsi="Century Gothic" w:cs="Arial"/>
        </w:rPr>
        <w:t xml:space="preserve">Sur le principe, la loi interdit l’exercice d’une mission de service d’approvisionnement en eau potable par voie d’adduction à la population par toute personne publique ou privée qui n’a pas reçu mandat du gouvernement. </w:t>
      </w:r>
      <w:proofErr w:type="gramStart"/>
      <w:r>
        <w:rPr>
          <w:rFonts w:ascii="Century Gothic" w:hAnsi="Century Gothic" w:cs="Arial"/>
        </w:rPr>
        <w:t>Il</w:t>
      </w:r>
      <w:proofErr w:type="gramEnd"/>
      <w:r>
        <w:rPr>
          <w:rFonts w:ascii="Century Gothic" w:hAnsi="Century Gothic" w:cs="Arial"/>
        </w:rPr>
        <w:t xml:space="preserve"> n’existe donc pas au Congo le cas d’un ou plusieurs opérateurs non détenteurs d’un contrat de délégation </w:t>
      </w:r>
      <w:r w:rsidR="0014737C">
        <w:rPr>
          <w:rFonts w:ascii="Century Gothic" w:hAnsi="Century Gothic" w:cs="Arial"/>
        </w:rPr>
        <w:t xml:space="preserve">exerçant une mission de service public d’eau à la population. Mais comme nous l’avons indiqué au point 6, il ya dans nos villes et villages des personnes ou entités qui, en l’absence d’un service de distribution publique de l’eau, sont presque contraints d’assurer cette mission de service de l’eau au profit des populations voisines. </w:t>
      </w:r>
      <w:r w:rsidR="00715D7B">
        <w:rPr>
          <w:rFonts w:ascii="Century Gothic" w:hAnsi="Century Gothic" w:cs="Arial"/>
        </w:rPr>
        <w:t xml:space="preserve">Constitués essentiellement de forages privés ces ouvrages </w:t>
      </w:r>
      <w:r w:rsidR="0014737C">
        <w:rPr>
          <w:rFonts w:ascii="Century Gothic" w:hAnsi="Century Gothic" w:cs="Arial"/>
        </w:rPr>
        <w:t xml:space="preserve">sont entrain d’être recensés sur l’ensemble du térritoire national et des discussions vont être engagées avec </w:t>
      </w:r>
      <w:r w:rsidR="00715D7B">
        <w:rPr>
          <w:rFonts w:ascii="Century Gothic" w:hAnsi="Century Gothic" w:cs="Arial"/>
        </w:rPr>
        <w:t>leurs promoteurs</w:t>
      </w:r>
      <w:r w:rsidR="0014737C">
        <w:rPr>
          <w:rFonts w:ascii="Century Gothic" w:hAnsi="Century Gothic" w:cs="Arial"/>
        </w:rPr>
        <w:t xml:space="preserve"> pour faire passer cette situation informelle et non régulée à une situation  formelle et respectueuse de la norme congolaise en la matière.</w:t>
      </w:r>
    </w:p>
    <w:sectPr w:rsidR="00810F2D" w:rsidRPr="00810F2D" w:rsidSect="00E6217B">
      <w:footerReference w:type="default" r:id="rId9"/>
      <w:pgSz w:w="11906" w:h="16838"/>
      <w:pgMar w:top="851" w:right="851" w:bottom="851" w:left="85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17B" w:rsidRDefault="00E6217B" w:rsidP="00E6217B">
      <w:r>
        <w:separator/>
      </w:r>
    </w:p>
  </w:endnote>
  <w:endnote w:type="continuationSeparator" w:id="1">
    <w:p w:rsidR="00E6217B" w:rsidRDefault="00E6217B" w:rsidP="00E621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17B" w:rsidRPr="00E6217B" w:rsidRDefault="00C85A48" w:rsidP="00E6217B">
    <w:pPr>
      <w:pStyle w:val="Pieddepage"/>
      <w:rPr>
        <w:lang w:val="fr-FR"/>
      </w:rPr>
    </w:pPr>
    <w:r w:rsidRPr="00C85A48">
      <w:rPr>
        <w:rFonts w:ascii="Arial" w:hAnsi="Arial" w:cs="Arial"/>
        <w:noProof/>
        <w:color w:val="000000"/>
        <w:sz w:val="18"/>
        <w:szCs w:val="18"/>
        <w:lang w:val="fr-FR" w:eastAsia="fr-FR"/>
      </w:rPr>
      <w:pict>
        <v:shapetype id="_x0000_t32" coordsize="21600,21600" o:spt="32" o:oned="t" path="m,l21600,21600e" filled="f">
          <v:path arrowok="t" fillok="f" o:connecttype="none"/>
          <o:lock v:ext="edit" shapetype="t"/>
        </v:shapetype>
        <v:shape id="Connecteur droit avec flèche 6" o:spid="_x0000_s6146" type="#_x0000_t32" style="position:absolute;margin-left:-42.3pt;margin-top:-2.65pt;width:584.4pt;height:.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"/>
      </w:pict>
    </w:r>
    <w:r w:rsidRPr="00C85A48">
      <w:rPr>
        <w:rFonts w:ascii="Arial" w:hAnsi="Arial" w:cs="Arial"/>
        <w:noProof/>
        <w:color w:val="000000"/>
        <w:sz w:val="18"/>
        <w:szCs w:val="18"/>
        <w:lang w:val="fr-FR" w:eastAsia="fr-FR"/>
      </w:rPr>
      <w:pict>
        <v:shape id="Connecteur droit avec flèche 5" o:spid="_x0000_s6145" type="#_x0000_t32" style="position:absolute;margin-left:80.7pt;margin-top:-.85pt;width:1.2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"/>
      </w:pict>
    </w:r>
    <w:r w:rsidR="00E6217B" w:rsidRPr="00822B06">
      <w:rPr>
        <w:rFonts w:ascii="Arial" w:hAnsi="Arial" w:cs="Arial"/>
        <w:color w:val="000000"/>
        <w:sz w:val="18"/>
        <w:szCs w:val="18"/>
        <w:lang w:val="fr-FR"/>
      </w:rPr>
      <w:t>Siège social </w:t>
    </w:r>
    <w:proofErr w:type="gramStart"/>
    <w:r w:rsidR="00E6217B" w:rsidRPr="00822B06">
      <w:rPr>
        <w:rFonts w:ascii="Arial" w:hAnsi="Arial" w:cs="Arial"/>
        <w:color w:val="000000"/>
        <w:sz w:val="18"/>
        <w:szCs w:val="18"/>
        <w:lang w:val="fr-FR"/>
      </w:rPr>
      <w:t>:  Immeuble</w:t>
    </w:r>
    <w:proofErr w:type="gramEnd"/>
    <w:r w:rsidR="00E6217B" w:rsidRPr="00822B06">
      <w:rPr>
        <w:rFonts w:ascii="Arial" w:hAnsi="Arial" w:cs="Arial"/>
        <w:color w:val="000000"/>
        <w:sz w:val="18"/>
        <w:szCs w:val="18"/>
        <w:lang w:val="fr-FR"/>
      </w:rPr>
      <w:t xml:space="preserve"> du 5 Février, 3</w:t>
    </w:r>
    <w:r w:rsidR="00E6217B" w:rsidRPr="00822B06">
      <w:rPr>
        <w:rFonts w:ascii="Arial" w:hAnsi="Arial" w:cs="Arial"/>
        <w:color w:val="000000"/>
        <w:sz w:val="18"/>
        <w:szCs w:val="18"/>
        <w:vertAlign w:val="superscript"/>
        <w:lang w:val="fr-FR"/>
      </w:rPr>
      <w:t>ème</w:t>
    </w:r>
    <w:r w:rsidR="00E6217B" w:rsidRPr="00822B06">
      <w:rPr>
        <w:rFonts w:ascii="Arial" w:hAnsi="Arial" w:cs="Arial"/>
        <w:color w:val="000000"/>
        <w:sz w:val="18"/>
        <w:szCs w:val="18"/>
        <w:lang w:val="fr-FR"/>
      </w:rPr>
      <w:t xml:space="preserve"> étage, appartement Q-54/S Centre –Ville</w:t>
    </w:r>
    <w:r w:rsidR="00E6217B">
      <w:rPr>
        <w:rFonts w:ascii="Arial" w:hAnsi="Arial" w:cs="Arial"/>
        <w:color w:val="000000"/>
        <w:sz w:val="18"/>
        <w:szCs w:val="18"/>
        <w:lang w:val="fr-FR"/>
      </w:rPr>
      <w:t> ;B.P. 13059 ;T</w:t>
    </w:r>
    <w:r w:rsidR="00E6217B" w:rsidRPr="00822B06">
      <w:rPr>
        <w:rFonts w:ascii="Arial" w:hAnsi="Arial" w:cs="Arial"/>
        <w:color w:val="000000"/>
        <w:sz w:val="18"/>
        <w:szCs w:val="18"/>
        <w:lang w:val="fr-FR"/>
      </w:rPr>
      <w:t xml:space="preserve">él. : +242 04 411 10 33   </w:t>
    </w:r>
  </w:p>
  <w:p w:rsidR="00E6217B" w:rsidRPr="00822B06" w:rsidRDefault="00E6217B" w:rsidP="00E6217B">
    <w:pPr>
      <w:pStyle w:val="Pieddepage"/>
      <w:tabs>
        <w:tab w:val="center" w:pos="5102"/>
      </w:tabs>
      <w:rPr>
        <w:rFonts w:ascii="Arial" w:hAnsi="Arial" w:cs="Arial"/>
        <w:color w:val="000000"/>
        <w:sz w:val="18"/>
        <w:szCs w:val="18"/>
        <w:lang w:val="fr-FR"/>
      </w:rPr>
    </w:pPr>
    <w:r>
      <w:rPr>
        <w:rFonts w:ascii="Arial" w:hAnsi="Arial" w:cs="Arial"/>
        <w:color w:val="000000"/>
        <w:sz w:val="18"/>
        <w:szCs w:val="18"/>
        <w:lang w:val="fr-FR"/>
      </w:rPr>
      <w:tab/>
    </w:r>
    <w:r w:rsidRPr="00822B06">
      <w:rPr>
        <w:rFonts w:ascii="Arial" w:hAnsi="Arial" w:cs="Arial"/>
        <w:color w:val="000000"/>
        <w:sz w:val="18"/>
        <w:szCs w:val="18"/>
        <w:lang w:val="fr-FR"/>
      </w:rPr>
      <w:t xml:space="preserve">E-mail : </w:t>
    </w:r>
    <w:hyperlink r:id="rId1" w:history="1">
      <w:r w:rsidRPr="00822B06">
        <w:rPr>
          <w:rStyle w:val="Lienhypertexte"/>
          <w:rFonts w:ascii="Arial" w:hAnsi="Arial" w:cs="Arial"/>
          <w:color w:val="000000"/>
          <w:sz w:val="18"/>
          <w:szCs w:val="18"/>
          <w:lang w:val="fr-FR"/>
        </w:rPr>
        <w:t>regeau.cg@live.fr</w:t>
      </w:r>
    </w:hyperlink>
    <w:r w:rsidRPr="00822B06">
      <w:rPr>
        <w:rFonts w:ascii="Arial" w:hAnsi="Arial" w:cs="Arial"/>
        <w:color w:val="000000"/>
        <w:sz w:val="18"/>
        <w:szCs w:val="18"/>
        <w:lang w:val="fr-FR"/>
      </w:rPr>
      <w:t xml:space="preserve"> ; Site web : </w:t>
    </w:r>
    <w:hyperlink r:id="rId2" w:history="1">
      <w:r w:rsidRPr="00822B06">
        <w:rPr>
          <w:rStyle w:val="Lienhypertexte"/>
          <w:rFonts w:ascii="Arial" w:hAnsi="Arial" w:cs="Arial"/>
          <w:color w:val="000000"/>
          <w:sz w:val="18"/>
          <w:szCs w:val="18"/>
          <w:lang w:val="fr-FR"/>
        </w:rPr>
        <w:t>www.orse.cg</w:t>
      </w:r>
    </w:hyperlink>
    <w:r w:rsidRPr="00CD63A5">
      <w:rPr>
        <w:rFonts w:ascii="Arial" w:hAnsi="Arial" w:cs="Arial"/>
        <w:b/>
        <w:color w:val="000000"/>
        <w:sz w:val="18"/>
        <w:szCs w:val="18"/>
        <w:lang w:val="fr-FR"/>
      </w:rPr>
      <w:t>BRAZZAVILLE/République du Congo</w:t>
    </w:r>
  </w:p>
  <w:p w:rsidR="00E6217B" w:rsidRPr="00E6217B" w:rsidRDefault="00E6217B">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17B" w:rsidRDefault="00E6217B" w:rsidP="00E6217B">
      <w:r>
        <w:separator/>
      </w:r>
    </w:p>
  </w:footnote>
  <w:footnote w:type="continuationSeparator" w:id="1">
    <w:p w:rsidR="00E6217B" w:rsidRDefault="00E6217B" w:rsidP="00E621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B1C72"/>
    <w:multiLevelType w:val="hybridMultilevel"/>
    <w:tmpl w:val="D7A8C86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180D6D1A"/>
    <w:multiLevelType w:val="hybridMultilevel"/>
    <w:tmpl w:val="96248F96"/>
    <w:lvl w:ilvl="0" w:tplc="040C000B">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
    <w:nsid w:val="46893E1B"/>
    <w:multiLevelType w:val="hybridMultilevel"/>
    <w:tmpl w:val="510232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877520C"/>
    <w:multiLevelType w:val="hybridMultilevel"/>
    <w:tmpl w:val="1DD2725A"/>
    <w:lvl w:ilvl="0" w:tplc="5A025374">
      <w:start w:val="1"/>
      <w:numFmt w:val="bullet"/>
      <w:lvlText w:val=""/>
      <w:lvlJc w:val="left"/>
      <w:pPr>
        <w:ind w:left="1635" w:hanging="360"/>
      </w:pPr>
      <w:rPr>
        <w:rFonts w:ascii="Wingdings" w:hAnsi="Wingdings" w:hint="default"/>
        <w:color w:val="auto"/>
      </w:rPr>
    </w:lvl>
    <w:lvl w:ilvl="1" w:tplc="040C0003" w:tentative="1">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4">
    <w:nsid w:val="58445F3A"/>
    <w:multiLevelType w:val="hybridMultilevel"/>
    <w:tmpl w:val="88468F96"/>
    <w:lvl w:ilvl="0" w:tplc="E9E23592">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hdrShapeDefaults>
    <o:shapedefaults v:ext="edit" spidmax="6147"/>
    <o:shapelayout v:ext="edit">
      <o:idmap v:ext="edit" data="6"/>
      <o:rules v:ext="edit">
        <o:r id="V:Rule3" type="connector" idref="#Connecteur droit avec flèche 6"/>
        <o:r id="V:Rule4" type="connector" idref="#Connecteur droit avec flèche 5"/>
      </o:rules>
    </o:shapelayout>
  </w:hdrShapeDefaults>
  <w:footnotePr>
    <w:footnote w:id="0"/>
    <w:footnote w:id="1"/>
  </w:footnotePr>
  <w:endnotePr>
    <w:endnote w:id="0"/>
    <w:endnote w:id="1"/>
  </w:endnotePr>
  <w:compat/>
  <w:rsids>
    <w:rsidRoot w:val="00E6217B"/>
    <w:rsid w:val="000E18C3"/>
    <w:rsid w:val="000F0BAE"/>
    <w:rsid w:val="0014737C"/>
    <w:rsid w:val="00376AEE"/>
    <w:rsid w:val="0054465B"/>
    <w:rsid w:val="005E2B23"/>
    <w:rsid w:val="00607E12"/>
    <w:rsid w:val="00622703"/>
    <w:rsid w:val="00706233"/>
    <w:rsid w:val="00715D7B"/>
    <w:rsid w:val="00786A53"/>
    <w:rsid w:val="007E135E"/>
    <w:rsid w:val="00810F2D"/>
    <w:rsid w:val="00874C68"/>
    <w:rsid w:val="009D2F53"/>
    <w:rsid w:val="00A053CF"/>
    <w:rsid w:val="00A720BB"/>
    <w:rsid w:val="00B20A68"/>
    <w:rsid w:val="00B33CC7"/>
    <w:rsid w:val="00B90627"/>
    <w:rsid w:val="00BA3C5C"/>
    <w:rsid w:val="00BB0A08"/>
    <w:rsid w:val="00BC60F3"/>
    <w:rsid w:val="00C25F73"/>
    <w:rsid w:val="00C85A48"/>
    <w:rsid w:val="00D60E3A"/>
    <w:rsid w:val="00D61D79"/>
    <w:rsid w:val="00D64F36"/>
    <w:rsid w:val="00DC070D"/>
    <w:rsid w:val="00E102A7"/>
    <w:rsid w:val="00E53F10"/>
    <w:rsid w:val="00E6217B"/>
    <w:rsid w:val="00EF1537"/>
    <w:rsid w:val="00F60466"/>
    <w:rsid w:val="00F639AF"/>
    <w:rsid w:val="00F67D76"/>
    <w:rsid w:val="00F7171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7B"/>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6217B"/>
    <w:pPr>
      <w:tabs>
        <w:tab w:val="center" w:pos="4536"/>
        <w:tab w:val="right" w:pos="9072"/>
      </w:tabs>
    </w:pPr>
  </w:style>
  <w:style w:type="character" w:customStyle="1" w:styleId="En-tteCar">
    <w:name w:val="En-tête Car"/>
    <w:basedOn w:val="Policepardfaut"/>
    <w:link w:val="En-tte"/>
    <w:uiPriority w:val="99"/>
    <w:rsid w:val="00E6217B"/>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E6217B"/>
    <w:pPr>
      <w:spacing w:before="100" w:beforeAutospacing="1" w:after="100" w:afterAutospacing="1"/>
    </w:pPr>
    <w:rPr>
      <w:rFonts w:eastAsiaTheme="minorEastAsia"/>
      <w:lang w:val="fr-FR" w:eastAsia="fr-FR"/>
    </w:rPr>
  </w:style>
  <w:style w:type="paragraph" w:styleId="Pieddepage">
    <w:name w:val="footer"/>
    <w:basedOn w:val="Normal"/>
    <w:link w:val="PieddepageCar"/>
    <w:unhideWhenUsed/>
    <w:rsid w:val="00E6217B"/>
    <w:pPr>
      <w:tabs>
        <w:tab w:val="center" w:pos="4536"/>
        <w:tab w:val="right" w:pos="9072"/>
      </w:tabs>
    </w:pPr>
  </w:style>
  <w:style w:type="character" w:customStyle="1" w:styleId="PieddepageCar">
    <w:name w:val="Pied de page Car"/>
    <w:basedOn w:val="Policepardfaut"/>
    <w:link w:val="Pieddepage"/>
    <w:rsid w:val="00E6217B"/>
    <w:rPr>
      <w:rFonts w:ascii="Times New Roman" w:eastAsia="Times New Roman" w:hAnsi="Times New Roman" w:cs="Times New Roman"/>
      <w:sz w:val="24"/>
      <w:szCs w:val="24"/>
      <w:lang w:val="en-US"/>
    </w:rPr>
  </w:style>
  <w:style w:type="character" w:styleId="Lienhypertexte">
    <w:name w:val="Hyperlink"/>
    <w:rsid w:val="00E6217B"/>
    <w:rPr>
      <w:color w:val="0000FF"/>
      <w:u w:val="single"/>
    </w:rPr>
  </w:style>
  <w:style w:type="paragraph" w:styleId="Textedebulles">
    <w:name w:val="Balloon Text"/>
    <w:basedOn w:val="Normal"/>
    <w:link w:val="TextedebullesCar"/>
    <w:uiPriority w:val="99"/>
    <w:semiHidden/>
    <w:unhideWhenUsed/>
    <w:rsid w:val="00D61D79"/>
    <w:rPr>
      <w:rFonts w:ascii="Tahoma" w:hAnsi="Tahoma" w:cs="Tahoma"/>
      <w:sz w:val="16"/>
      <w:szCs w:val="16"/>
    </w:rPr>
  </w:style>
  <w:style w:type="character" w:customStyle="1" w:styleId="TextedebullesCar">
    <w:name w:val="Texte de bulles Car"/>
    <w:basedOn w:val="Policepardfaut"/>
    <w:link w:val="Textedebulles"/>
    <w:uiPriority w:val="99"/>
    <w:semiHidden/>
    <w:rsid w:val="00D61D79"/>
    <w:rPr>
      <w:rFonts w:ascii="Tahoma" w:eastAsia="Times New Roman" w:hAnsi="Tahoma" w:cs="Tahoma"/>
      <w:sz w:val="16"/>
      <w:szCs w:val="16"/>
      <w:lang w:val="en-US"/>
    </w:rPr>
  </w:style>
  <w:style w:type="paragraph" w:styleId="Paragraphedeliste">
    <w:name w:val="List Paragraph"/>
    <w:basedOn w:val="Normal"/>
    <w:uiPriority w:val="34"/>
    <w:qFormat/>
    <w:rsid w:val="00BB0A0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orse.cg" TargetMode="External"/><Relationship Id="rId1" Type="http://schemas.openxmlformats.org/officeDocument/2006/relationships/hyperlink" Target="mailto:regeau.cg@liv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94DF73-6EAF-433A-84BD-8C5F189A6E65}"/>
</file>

<file path=customXml/itemProps2.xml><?xml version="1.0" encoding="utf-8"?>
<ds:datastoreItem xmlns:ds="http://schemas.openxmlformats.org/officeDocument/2006/customXml" ds:itemID="{E72939B8-C25C-46CE-8336-7299ACD6B41A}"/>
</file>

<file path=customXml/itemProps3.xml><?xml version="1.0" encoding="utf-8"?>
<ds:datastoreItem xmlns:ds="http://schemas.openxmlformats.org/officeDocument/2006/customXml" ds:itemID="{4BA01BDE-E13A-445B-B175-1D8B99D385AA}"/>
</file>

<file path=docProps/app.xml><?xml version="1.0" encoding="utf-8"?>
<Properties xmlns="http://schemas.openxmlformats.org/officeDocument/2006/extended-properties" xmlns:vt="http://schemas.openxmlformats.org/officeDocument/2006/docPropsVTypes">
  <Template>Normal</Template>
  <TotalTime>343</TotalTime>
  <Pages>6</Pages>
  <Words>2045</Words>
  <Characters>11252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5</cp:revision>
  <dcterms:created xsi:type="dcterms:W3CDTF">2017-04-28T11:56:00Z</dcterms:created>
  <dcterms:modified xsi:type="dcterms:W3CDTF">2017-05-01T15:32:00Z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