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2BAF6" w14:textId="77777777" w:rsidR="006D35A2" w:rsidRPr="00925A9D" w:rsidRDefault="006D35A2" w:rsidP="006D35A2">
      <w:pPr>
        <w:pStyle w:val="Header"/>
        <w:tabs>
          <w:tab w:val="clear" w:pos="4153"/>
          <w:tab w:val="clear" w:pos="8306"/>
        </w:tabs>
        <w:jc w:val="center"/>
        <w:rPr>
          <w:sz w:val="14"/>
          <w:szCs w:val="14"/>
          <w:lang w:val="en-GB"/>
        </w:rPr>
      </w:pPr>
      <w:r>
        <w:rPr>
          <w:noProof/>
          <w:sz w:val="14"/>
          <w:szCs w:val="14"/>
          <w:lang w:val="en-GB" w:eastAsia="en-GB"/>
        </w:rPr>
        <w:drawing>
          <wp:inline distT="0" distB="0" distL="0" distR="0" wp14:anchorId="04BB356E" wp14:editId="1CFD6A12">
            <wp:extent cx="2842260" cy="1226820"/>
            <wp:effectExtent l="0" t="0" r="0" b="0"/>
            <wp:docPr id="8" name="Picture 1" descr="SP Logo black -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fren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D7DE7" w14:textId="77777777" w:rsidR="006D35A2" w:rsidRPr="00B23887" w:rsidRDefault="006D35A2" w:rsidP="006D35A2">
      <w:pPr>
        <w:jc w:val="center"/>
        <w:rPr>
          <w:b/>
          <w:bCs/>
          <w:highlight w:val="yellow"/>
          <w:lang w:val="fr-CH"/>
        </w:rPr>
      </w:pPr>
      <w:r w:rsidRPr="00B23887">
        <w:rPr>
          <w:b/>
          <w:lang w:val="fr-FR"/>
        </w:rPr>
        <w:t xml:space="preserve">Mandat </w:t>
      </w:r>
      <w:r w:rsidRPr="00B23887">
        <w:rPr>
          <w:b/>
          <w:lang w:val="fr-CH"/>
        </w:rPr>
        <w:t>du Rapporteur Spécial sur les droits à l’eau potable et l’assainissement</w:t>
      </w:r>
    </w:p>
    <w:p w14:paraId="361A7719" w14:textId="77777777" w:rsidR="006D35A2" w:rsidRPr="006D35A2" w:rsidRDefault="006D35A2" w:rsidP="00226F2C">
      <w:pPr>
        <w:jc w:val="center"/>
        <w:rPr>
          <w:rFonts w:cs="Arial"/>
          <w:b/>
          <w:color w:val="2F5496"/>
          <w:sz w:val="30"/>
          <w:szCs w:val="30"/>
          <w:lang w:val="fr-CH"/>
        </w:rPr>
      </w:pPr>
      <w:bookmarkStart w:id="0" w:name="_GoBack"/>
      <w:bookmarkEnd w:id="0"/>
    </w:p>
    <w:p w14:paraId="3B4D1FB6" w14:textId="3791BA22" w:rsidR="00226F2C" w:rsidRPr="00AE22C4" w:rsidRDefault="00226F2C" w:rsidP="00226F2C">
      <w:pPr>
        <w:jc w:val="center"/>
        <w:rPr>
          <w:rFonts w:cs="Arial"/>
          <w:b/>
          <w:color w:val="2F5496"/>
          <w:sz w:val="30"/>
          <w:szCs w:val="30"/>
          <w:lang w:val="fr-FR"/>
        </w:rPr>
      </w:pPr>
      <w:r w:rsidRPr="00AE22C4">
        <w:rPr>
          <w:rFonts w:cs="Arial"/>
          <w:b/>
          <w:color w:val="2F5496"/>
          <w:sz w:val="30"/>
          <w:szCs w:val="30"/>
          <w:lang w:val="fr-FR"/>
        </w:rPr>
        <w:t>Rapport à la 75e session de l'Assemblée générale des Nations Unies en 2020</w:t>
      </w:r>
    </w:p>
    <w:p w14:paraId="5A58FEAB" w14:textId="032306AF" w:rsidR="00B50ECA" w:rsidRPr="001C70A0" w:rsidRDefault="00AE22C4">
      <w:pPr>
        <w:rPr>
          <w:rFonts w:cstheme="minorHAnsi"/>
          <w:color w:val="000000" w:themeColor="text1"/>
          <w:lang w:val="fr-FR"/>
        </w:rPr>
      </w:pPr>
      <w:r w:rsidRPr="00BE6EB3">
        <w:rPr>
          <w:rFonts w:cstheme="minorHAnsi"/>
          <w:color w:val="000000" w:themeColor="text1"/>
          <w:lang w:val="fr-FR"/>
        </w:rPr>
        <w:t>Le rapport thématique du Rapporteur Spécial à l’</w:t>
      </w:r>
      <w:r w:rsidR="008E53FC" w:rsidRPr="00BE6EB3">
        <w:rPr>
          <w:rFonts w:cstheme="minorHAnsi"/>
          <w:color w:val="000000" w:themeColor="text1"/>
          <w:lang w:val="fr-FR"/>
        </w:rPr>
        <w:t xml:space="preserve">Assemblée Générale, qui sera présenté en octobre 2020, se concentrera sur la privatisation et les droits de l’homme à l’eau et à l’assainissement. À titre </w:t>
      </w:r>
      <w:r w:rsidR="008E53FC" w:rsidRPr="001C70A0">
        <w:rPr>
          <w:rFonts w:cstheme="minorHAnsi"/>
          <w:color w:val="000000" w:themeColor="text1"/>
          <w:lang w:val="fr-FR"/>
        </w:rPr>
        <w:t>d'orientation générale, le tableau suivant résume la portée du rapport et précise les situations qui y seront</w:t>
      </w:r>
      <w:r w:rsidR="003D3313" w:rsidRPr="001C70A0">
        <w:rPr>
          <w:rFonts w:cstheme="minorHAnsi"/>
          <w:color w:val="000000" w:themeColor="text1"/>
          <w:lang w:val="fr-FR"/>
        </w:rPr>
        <w:t>, ou qui n’y seront pas, incluses :</w:t>
      </w:r>
      <w:r w:rsidR="008E53FC" w:rsidRPr="001C70A0">
        <w:rPr>
          <w:rFonts w:cstheme="minorHAnsi"/>
          <w:color w:val="000000" w:themeColor="text1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1"/>
        <w:gridCol w:w="4501"/>
      </w:tblGrid>
      <w:tr w:rsidR="001C70A0" w:rsidRPr="00A22D3A" w14:paraId="0040B72B" w14:textId="77777777" w:rsidTr="001C70A0">
        <w:trPr>
          <w:trHeight w:val="306"/>
        </w:trPr>
        <w:tc>
          <w:tcPr>
            <w:tcW w:w="4561" w:type="dxa"/>
          </w:tcPr>
          <w:p w14:paraId="4E4A3248" w14:textId="6414F1D2" w:rsidR="00833C7E" w:rsidRPr="001C70A0" w:rsidRDefault="003D3313" w:rsidP="003D3313">
            <w:pPr>
              <w:pStyle w:val="LightGrid-Accent3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fr-FR"/>
              </w:rPr>
            </w:pPr>
            <w:r w:rsidRPr="001C70A0">
              <w:rPr>
                <w:rFonts w:asciiTheme="minorHAnsi" w:hAnsiTheme="minorHAnsi" w:cstheme="minorHAnsi"/>
                <w:b/>
                <w:color w:val="000000" w:themeColor="text1"/>
                <w:lang w:val="fr-FR"/>
              </w:rPr>
              <w:t>La portée du rapport comprend :</w:t>
            </w:r>
          </w:p>
        </w:tc>
        <w:tc>
          <w:tcPr>
            <w:tcW w:w="4501" w:type="dxa"/>
          </w:tcPr>
          <w:p w14:paraId="0F77C156" w14:textId="1874729E" w:rsidR="00833C7E" w:rsidRPr="001C70A0" w:rsidRDefault="003D3313" w:rsidP="00833C7E">
            <w:pPr>
              <w:pStyle w:val="LightGrid-Accent3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fr-FR"/>
              </w:rPr>
            </w:pPr>
            <w:r w:rsidRPr="001C70A0">
              <w:rPr>
                <w:rFonts w:asciiTheme="minorHAnsi" w:hAnsiTheme="minorHAnsi" w:cstheme="minorHAnsi"/>
                <w:b/>
                <w:color w:val="000000" w:themeColor="text1"/>
                <w:lang w:val="fr-FR"/>
              </w:rPr>
              <w:t>La portée du rapport ne comprend pas :</w:t>
            </w:r>
          </w:p>
        </w:tc>
      </w:tr>
      <w:tr w:rsidR="001C70A0" w:rsidRPr="001C70A0" w14:paraId="59B8C340" w14:textId="77777777" w:rsidTr="00833C7E">
        <w:tc>
          <w:tcPr>
            <w:tcW w:w="4561" w:type="dxa"/>
          </w:tcPr>
          <w:p w14:paraId="4DBFA591" w14:textId="38131123" w:rsidR="00833C7E" w:rsidRPr="001C70A0" w:rsidRDefault="00BE3FB1" w:rsidP="00833C7E">
            <w:pPr>
              <w:pStyle w:val="LightGrid-Accent31"/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Acteurs du secteur privé (organismes à but lucratif)</w:t>
            </w:r>
          </w:p>
        </w:tc>
        <w:tc>
          <w:tcPr>
            <w:tcW w:w="4501" w:type="dxa"/>
          </w:tcPr>
          <w:p w14:paraId="4C3F8750" w14:textId="3CCA2568" w:rsidR="00833C7E" w:rsidRPr="001C70A0" w:rsidRDefault="00276F56" w:rsidP="00833C7E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Organisations sans but lucratif qui s’engagent à fournir des services</w:t>
            </w:r>
          </w:p>
          <w:p w14:paraId="3C36F5E8" w14:textId="328A1D6D" w:rsidR="00833C7E" w:rsidRPr="001C70A0" w:rsidRDefault="00276F56" w:rsidP="00833C7E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Fournisseurs</w:t>
            </w:r>
            <w:r w:rsidR="00A22D3A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informels</w:t>
            </w: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de services </w:t>
            </w:r>
          </w:p>
          <w:p w14:paraId="2384AA10" w14:textId="0E6C81D3" w:rsidR="00833C7E" w:rsidRPr="001C70A0" w:rsidRDefault="00A22D3A" w:rsidP="00833C7E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Fourni</w:t>
            </w:r>
            <w:r>
              <w:rPr>
                <w:rFonts w:asciiTheme="minorHAnsi" w:hAnsiTheme="minorHAnsi" w:cstheme="minorHAnsi"/>
                <w:color w:val="000000" w:themeColor="text1"/>
                <w:lang w:val="fr-FR"/>
              </w:rPr>
              <w:t>sseurs communautaires</w:t>
            </w: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  <w:r w:rsidR="00276F56"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de services </w:t>
            </w:r>
            <w:r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</w:p>
          <w:p w14:paraId="337CE70E" w14:textId="66811724" w:rsidR="00833C7E" w:rsidRPr="001C70A0" w:rsidRDefault="00144A40" w:rsidP="00833C7E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Entreprises publiques</w:t>
            </w:r>
          </w:p>
        </w:tc>
      </w:tr>
      <w:tr w:rsidR="001C70A0" w:rsidRPr="00A22D3A" w14:paraId="7462310B" w14:textId="77777777" w:rsidTr="00833C7E">
        <w:tc>
          <w:tcPr>
            <w:tcW w:w="4561" w:type="dxa"/>
          </w:tcPr>
          <w:p w14:paraId="20274CD0" w14:textId="7FB0F8EA" w:rsidR="00833C7E" w:rsidRPr="001C70A0" w:rsidRDefault="00230E81" w:rsidP="00BE3FB1">
            <w:pPr>
              <w:pStyle w:val="LightGrid-Accent31"/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Entreprises</w:t>
            </w:r>
            <w:r w:rsidR="00833C7E"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  <w:r w:rsidR="00BE3FB1"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dans </w:t>
            </w: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lesquelles</w:t>
            </w:r>
            <w:r w:rsidR="005856B4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le G</w:t>
            </w:r>
            <w:r w:rsidR="00BE3FB1"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ouvernement détient des capitaux et des actions, mais où une grande proportion des actions sont détenues par des investisseurs privés</w:t>
            </w:r>
          </w:p>
        </w:tc>
        <w:tc>
          <w:tcPr>
            <w:tcW w:w="4501" w:type="dxa"/>
          </w:tcPr>
          <w:p w14:paraId="1EBA83E2" w14:textId="06D4F886" w:rsidR="00833C7E" w:rsidRPr="001C70A0" w:rsidRDefault="00D129FA" w:rsidP="00873058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000000" w:themeColor="text1"/>
                <w:lang w:val="fr-FR" w:eastAsia="en-US"/>
              </w:rPr>
            </w:pP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Entreprises publiques</w:t>
            </w:r>
            <w:r w:rsidR="00A22D3A">
              <w:rPr>
                <w:rFonts w:asciiTheme="minorHAnsi" w:hAnsiTheme="minorHAnsi" w:cstheme="minorHAnsi"/>
                <w:color w:val="000000" w:themeColor="text1"/>
                <w:lang w:val="fr-FR"/>
              </w:rPr>
              <w:t> :</w:t>
            </w: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par </w:t>
            </w:r>
            <w:r w:rsidR="00230E81"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exemple</w:t>
            </w:r>
            <w:r w:rsidR="00A22D3A">
              <w:rPr>
                <w:rFonts w:asciiTheme="minorHAnsi" w:hAnsiTheme="minorHAnsi" w:cstheme="minorHAnsi"/>
                <w:color w:val="000000" w:themeColor="text1"/>
                <w:lang w:val="fr-FR"/>
              </w:rPr>
              <w:t>,</w:t>
            </w: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 tout</w:t>
            </w:r>
            <w:r w:rsidR="00A22D3A">
              <w:rPr>
                <w:rFonts w:asciiTheme="minorHAnsi" w:hAnsiTheme="minorHAnsi" w:cstheme="minorHAnsi"/>
                <w:color w:val="000000" w:themeColor="text1"/>
                <w:lang w:val="fr-FR"/>
              </w:rPr>
              <w:t>e</w:t>
            </w:r>
            <w:r w:rsidR="005856B4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entité dans laquelle le G</w:t>
            </w: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ouvernement détient la quasi-totalité du capital ou des actions, avec droit de vote</w:t>
            </w:r>
          </w:p>
        </w:tc>
      </w:tr>
      <w:tr w:rsidR="001C70A0" w:rsidRPr="00A22D3A" w14:paraId="2279ED5A" w14:textId="77777777" w:rsidTr="00276F56">
        <w:trPr>
          <w:trHeight w:val="1703"/>
        </w:trPr>
        <w:tc>
          <w:tcPr>
            <w:tcW w:w="4561" w:type="dxa"/>
          </w:tcPr>
          <w:p w14:paraId="760058D2" w14:textId="051C19FA" w:rsidR="00833C7E" w:rsidRPr="001C70A0" w:rsidRDefault="00CB0B75" w:rsidP="00873058">
            <w:pPr>
              <w:pStyle w:val="LightGrid-Accent31"/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000000" w:themeColor="text1"/>
                <w:lang w:val="fr-FR" w:eastAsia="en-US"/>
              </w:rPr>
            </w:pP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La participation du secteur privé avec un accent particulier sur la </w:t>
            </w:r>
            <w:r w:rsidR="00A22D3A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fourniture </w:t>
            </w: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de services</w:t>
            </w:r>
          </w:p>
        </w:tc>
        <w:tc>
          <w:tcPr>
            <w:tcW w:w="4501" w:type="dxa"/>
          </w:tcPr>
          <w:p w14:paraId="065C6ACD" w14:textId="2505A9F9" w:rsidR="00833C7E" w:rsidRPr="001C70A0" w:rsidRDefault="00601325" w:rsidP="00601325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La participation du secteur privé dans d’activités subsidiaires sur l’ensemble du cycle de l’eau et de l’assainissement, notamment par la fournitu</w:t>
            </w:r>
            <w:r w:rsidR="00687924"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r</w:t>
            </w: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e de matériaux et d’équipements, l’élaboration de plans techniques et la construction d’infrastructures</w:t>
            </w:r>
          </w:p>
        </w:tc>
      </w:tr>
      <w:tr w:rsidR="001C70A0" w:rsidRPr="00A22D3A" w14:paraId="2D5B37BA" w14:textId="77777777" w:rsidTr="00833C7E">
        <w:tc>
          <w:tcPr>
            <w:tcW w:w="4561" w:type="dxa"/>
          </w:tcPr>
          <w:p w14:paraId="641163C2" w14:textId="68B3802F" w:rsidR="00833C7E" w:rsidRPr="001C70A0" w:rsidRDefault="00575ADF" w:rsidP="00575ADF">
            <w:pPr>
              <w:pStyle w:val="LightGrid-Accent31"/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Les impacts de la </w:t>
            </w:r>
            <w:r w:rsidR="0029096F">
              <w:rPr>
                <w:rFonts w:asciiTheme="minorHAnsi" w:hAnsiTheme="minorHAnsi" w:cstheme="minorHAnsi"/>
                <w:color w:val="000000" w:themeColor="text1"/>
                <w:lang w:val="fr-FR"/>
              </w:rPr>
              <w:t>re</w:t>
            </w:r>
            <w:r w:rsidR="0029096F"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municipalisation</w:t>
            </w: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et les risques liés à la participation du secteur privé</w:t>
            </w:r>
          </w:p>
          <w:p w14:paraId="3A9355FC" w14:textId="006958DF" w:rsidR="00141FB4" w:rsidRPr="001C70A0" w:rsidRDefault="00141FB4" w:rsidP="00141FB4">
            <w:pPr>
              <w:pStyle w:val="LightGrid-Accent31"/>
              <w:spacing w:line="240" w:lineRule="auto"/>
              <w:ind w:left="360"/>
              <w:contextualSpacing w:val="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4501" w:type="dxa"/>
          </w:tcPr>
          <w:p w14:paraId="4156788B" w14:textId="221D3DA7" w:rsidR="00833C7E" w:rsidRPr="001C70A0" w:rsidRDefault="00ED208C" w:rsidP="00442438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Une analyse comparative de</w:t>
            </w:r>
            <w:r w:rsidR="00A22D3A">
              <w:rPr>
                <w:rFonts w:asciiTheme="minorHAnsi" w:hAnsiTheme="minorHAnsi" w:cstheme="minorHAnsi"/>
                <w:color w:val="000000" w:themeColor="text1"/>
                <w:lang w:val="fr-FR"/>
              </w:rPr>
              <w:t>s</w:t>
            </w: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risques et </w:t>
            </w:r>
            <w:r w:rsidR="00A22D3A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des </w:t>
            </w: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avantages de la fourniture de </w:t>
            </w:r>
            <w:r w:rsidR="00442438"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services</w:t>
            </w: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d’eau et d’assainissement par les</w:t>
            </w:r>
            <w:r w:rsidR="00442438"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entités publiques et privées</w:t>
            </w:r>
          </w:p>
        </w:tc>
      </w:tr>
      <w:tr w:rsidR="001C70A0" w:rsidRPr="00A22D3A" w14:paraId="05A9B3BF" w14:textId="77777777" w:rsidTr="00833C7E">
        <w:tc>
          <w:tcPr>
            <w:tcW w:w="4561" w:type="dxa"/>
          </w:tcPr>
          <w:p w14:paraId="1F759C23" w14:textId="56D2F21E" w:rsidR="00833C7E" w:rsidRPr="001C70A0" w:rsidRDefault="003B3922" w:rsidP="00833C7E">
            <w:pPr>
              <w:pStyle w:val="LightGrid-Accent31"/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Services d’eau ET services d’assainissement</w:t>
            </w:r>
          </w:p>
        </w:tc>
        <w:tc>
          <w:tcPr>
            <w:tcW w:w="4501" w:type="dxa"/>
          </w:tcPr>
          <w:p w14:paraId="7DF39BB7" w14:textId="77777777" w:rsidR="00833C7E" w:rsidRPr="001C70A0" w:rsidRDefault="00833C7E" w:rsidP="00833C7E">
            <w:pPr>
              <w:pStyle w:val="LightGrid-Accent31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</w:tr>
      <w:tr w:rsidR="001C70A0" w:rsidRPr="00A22D3A" w14:paraId="0308D26B" w14:textId="77777777" w:rsidTr="00833C7E">
        <w:tc>
          <w:tcPr>
            <w:tcW w:w="4561" w:type="dxa"/>
          </w:tcPr>
          <w:p w14:paraId="5A614807" w14:textId="38335C5B" w:rsidR="00833C7E" w:rsidRPr="001C70A0" w:rsidRDefault="00C66B0D" w:rsidP="00833C7E">
            <w:pPr>
              <w:pStyle w:val="LightGrid-Accent31"/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Evaluation des niveaux de risques et des explications des risques que comporte la participation du secteur privé lorsque les organisations à but lucratif</w:t>
            </w:r>
            <w:r w:rsidR="00FF105C"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sont fortement impliquées dans la</w:t>
            </w: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prestation de services</w:t>
            </w:r>
          </w:p>
        </w:tc>
        <w:tc>
          <w:tcPr>
            <w:tcW w:w="4501" w:type="dxa"/>
          </w:tcPr>
          <w:p w14:paraId="611523BC" w14:textId="237986EC" w:rsidR="00833C7E" w:rsidRPr="001C70A0" w:rsidRDefault="00BF5C8B" w:rsidP="00833C7E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1C70A0">
              <w:rPr>
                <w:rFonts w:asciiTheme="minorHAnsi" w:hAnsiTheme="minorHAnsi" w:cstheme="minorHAnsi"/>
                <w:color w:val="000000" w:themeColor="text1"/>
                <w:lang w:val="fr-FR"/>
              </w:rPr>
              <w:t>Si les droits de l'homme dictent un type particulier de modèle ou de prestation de services</w:t>
            </w:r>
          </w:p>
        </w:tc>
      </w:tr>
    </w:tbl>
    <w:p w14:paraId="1F8BB923" w14:textId="77777777" w:rsidR="00833C7E" w:rsidRPr="001C70A0" w:rsidRDefault="00833C7E">
      <w:pPr>
        <w:rPr>
          <w:color w:val="000000" w:themeColor="text1"/>
          <w:lang w:val="fr-FR"/>
        </w:rPr>
      </w:pPr>
    </w:p>
    <w:p w14:paraId="1AC25A2F" w14:textId="60DBAEF2" w:rsidR="0036363D" w:rsidRPr="001C70A0" w:rsidRDefault="0036363D">
      <w:pPr>
        <w:rPr>
          <w:b/>
          <w:color w:val="000000" w:themeColor="text1"/>
          <w:sz w:val="24"/>
          <w:lang w:val="fr-FR"/>
        </w:rPr>
      </w:pPr>
      <w:r w:rsidRPr="001C70A0">
        <w:rPr>
          <w:b/>
          <w:color w:val="000000" w:themeColor="text1"/>
          <w:sz w:val="24"/>
          <w:lang w:val="fr-FR"/>
        </w:rPr>
        <w:br w:type="page"/>
      </w:r>
    </w:p>
    <w:p w14:paraId="3F4EB280" w14:textId="662105B5" w:rsidR="00B87B48" w:rsidRPr="001C70A0" w:rsidRDefault="00B87B48" w:rsidP="0036363D">
      <w:pPr>
        <w:jc w:val="center"/>
        <w:rPr>
          <w:b/>
          <w:color w:val="000000" w:themeColor="text1"/>
          <w:sz w:val="24"/>
          <w:lang w:val="fr-FR"/>
        </w:rPr>
      </w:pPr>
      <w:r w:rsidRPr="001C70A0">
        <w:rPr>
          <w:b/>
          <w:color w:val="000000" w:themeColor="text1"/>
          <w:sz w:val="24"/>
          <w:lang w:val="fr-FR"/>
        </w:rPr>
        <w:lastRenderedPageBreak/>
        <w:t xml:space="preserve">Questionnaire </w:t>
      </w:r>
      <w:r w:rsidR="00D53A54" w:rsidRPr="001C70A0">
        <w:rPr>
          <w:b/>
          <w:color w:val="000000" w:themeColor="text1"/>
          <w:sz w:val="24"/>
          <w:lang w:val="fr-FR"/>
        </w:rPr>
        <w:t>–</w:t>
      </w:r>
      <w:r w:rsidRPr="001C70A0">
        <w:rPr>
          <w:b/>
          <w:color w:val="000000" w:themeColor="text1"/>
          <w:sz w:val="24"/>
          <w:lang w:val="fr-FR"/>
        </w:rPr>
        <w:t xml:space="preserve"> </w:t>
      </w:r>
      <w:r w:rsidR="00D53A54" w:rsidRPr="001C70A0">
        <w:rPr>
          <w:b/>
          <w:color w:val="000000" w:themeColor="text1"/>
          <w:sz w:val="24"/>
          <w:lang w:val="fr-FR"/>
        </w:rPr>
        <w:t>Acteurs non-étatiques</w:t>
      </w:r>
    </w:p>
    <w:p w14:paraId="7E9F179D" w14:textId="77777777" w:rsidR="005935DB" w:rsidRPr="001C70A0" w:rsidRDefault="005935DB" w:rsidP="005935DB">
      <w:pPr>
        <w:rPr>
          <w:color w:val="000000" w:themeColor="text1"/>
          <w:lang w:val="fr-FR"/>
        </w:rPr>
      </w:pPr>
      <w:r w:rsidRPr="001C70A0">
        <w:rPr>
          <w:color w:val="000000" w:themeColor="text1"/>
          <w:lang w:val="fr-FR"/>
        </w:rPr>
        <w:t xml:space="preserve">Le Rapporteur Spécial serait reconnaissant pour toute réponse aux questions suivantes : </w:t>
      </w:r>
    </w:p>
    <w:p w14:paraId="543A389A" w14:textId="2B8D1EBF" w:rsidR="004F0A8A" w:rsidRPr="001C70A0" w:rsidRDefault="00265427" w:rsidP="004F0A8A">
      <w:pPr>
        <w:pStyle w:val="ListParagraph"/>
        <w:numPr>
          <w:ilvl w:val="0"/>
          <w:numId w:val="2"/>
        </w:numPr>
        <w:rPr>
          <w:color w:val="000000" w:themeColor="text1"/>
          <w:lang w:val="fr-FR"/>
        </w:rPr>
      </w:pPr>
      <w:r w:rsidRPr="001C70A0">
        <w:rPr>
          <w:color w:val="000000" w:themeColor="text1"/>
          <w:lang w:val="fr-FR"/>
        </w:rPr>
        <w:t xml:space="preserve">Veuillez décrire brièvement le </w:t>
      </w:r>
      <w:r w:rsidR="00C5181F" w:rsidRPr="001C70A0">
        <w:rPr>
          <w:color w:val="000000" w:themeColor="text1"/>
          <w:lang w:val="fr-FR"/>
        </w:rPr>
        <w:t>rôle</w:t>
      </w:r>
      <w:r w:rsidRPr="001C70A0">
        <w:rPr>
          <w:color w:val="000000" w:themeColor="text1"/>
          <w:lang w:val="fr-FR"/>
        </w:rPr>
        <w:t xml:space="preserve"> et les responsabilités de votre organisation dans le secteur de l’eau et de l’assainissement, </w:t>
      </w:r>
      <w:r w:rsidR="00541445">
        <w:rPr>
          <w:color w:val="000000" w:themeColor="text1"/>
          <w:lang w:val="fr-FR"/>
        </w:rPr>
        <w:t>notam</w:t>
      </w:r>
      <w:r w:rsidR="00541445" w:rsidRPr="001C70A0">
        <w:rPr>
          <w:color w:val="000000" w:themeColor="text1"/>
          <w:lang w:val="fr-FR"/>
        </w:rPr>
        <w:t xml:space="preserve">ment </w:t>
      </w:r>
      <w:r w:rsidRPr="001C70A0">
        <w:rPr>
          <w:color w:val="000000" w:themeColor="text1"/>
          <w:lang w:val="fr-FR"/>
        </w:rPr>
        <w:t xml:space="preserve">en ce qui concerne l’évaluation ou </w:t>
      </w:r>
      <w:r w:rsidR="00541445" w:rsidRPr="001C70A0">
        <w:rPr>
          <w:color w:val="000000" w:themeColor="text1"/>
          <w:lang w:val="fr-FR"/>
        </w:rPr>
        <w:t>l</w:t>
      </w:r>
      <w:r w:rsidR="00541445">
        <w:rPr>
          <w:color w:val="000000" w:themeColor="text1"/>
          <w:lang w:val="fr-FR"/>
        </w:rPr>
        <w:t>a promotion</w:t>
      </w:r>
      <w:r w:rsidR="00541445" w:rsidRPr="001C70A0">
        <w:rPr>
          <w:color w:val="000000" w:themeColor="text1"/>
          <w:lang w:val="fr-FR"/>
        </w:rPr>
        <w:t xml:space="preserve"> </w:t>
      </w:r>
      <w:r w:rsidRPr="001C70A0">
        <w:rPr>
          <w:color w:val="000000" w:themeColor="text1"/>
          <w:lang w:val="fr-FR"/>
        </w:rPr>
        <w:t xml:space="preserve">de fourniture privée. </w:t>
      </w:r>
    </w:p>
    <w:p w14:paraId="116AB643" w14:textId="35508271" w:rsidR="00ED601E" w:rsidRPr="001C70A0" w:rsidRDefault="00BB01EC" w:rsidP="0036363D">
      <w:pPr>
        <w:rPr>
          <w:b/>
          <w:color w:val="000000" w:themeColor="text1"/>
          <w:lang w:val="fr-FR"/>
        </w:rPr>
      </w:pPr>
      <w:r w:rsidRPr="001C70A0">
        <w:rPr>
          <w:b/>
          <w:color w:val="000000" w:themeColor="text1"/>
          <w:lang w:val="fr-FR"/>
        </w:rPr>
        <w:t>Situation Actuelle et Tendances</w:t>
      </w:r>
    </w:p>
    <w:p w14:paraId="01660D42" w14:textId="5FE149B8" w:rsidR="00B12E92" w:rsidRDefault="00B12E92" w:rsidP="00DC15EA">
      <w:pPr>
        <w:pStyle w:val="ListParagraph"/>
        <w:numPr>
          <w:ilvl w:val="0"/>
          <w:numId w:val="2"/>
        </w:numPr>
        <w:rPr>
          <w:lang w:val="fr-FR"/>
        </w:rPr>
      </w:pPr>
      <w:r w:rsidRPr="00B12E92">
        <w:rPr>
          <w:lang w:val="fr-FR"/>
        </w:rPr>
        <w:t xml:space="preserve">Selon vous, quel rôle le secteur privé </w:t>
      </w:r>
      <w:proofErr w:type="spellStart"/>
      <w:r w:rsidRPr="00B12E92">
        <w:rPr>
          <w:lang w:val="fr-FR"/>
        </w:rPr>
        <w:t>a-t-il</w:t>
      </w:r>
      <w:proofErr w:type="spellEnd"/>
      <w:r w:rsidRPr="00B12E92">
        <w:rPr>
          <w:lang w:val="fr-FR"/>
        </w:rPr>
        <w:t xml:space="preserve"> joué dans l'approvisionnement en eau et </w:t>
      </w:r>
      <w:r w:rsidR="00541445">
        <w:rPr>
          <w:lang w:val="fr-FR"/>
        </w:rPr>
        <w:t xml:space="preserve">en </w:t>
      </w:r>
      <w:r w:rsidRPr="00B12E92">
        <w:rPr>
          <w:lang w:val="fr-FR"/>
        </w:rPr>
        <w:t xml:space="preserve">assainissement dans les pays où votre organisation travaille (ou au niveau mondial) ? Comment ce rôle </w:t>
      </w:r>
      <w:proofErr w:type="spellStart"/>
      <w:r w:rsidRPr="00B12E92">
        <w:rPr>
          <w:lang w:val="fr-FR"/>
        </w:rPr>
        <w:t>a-t-il</w:t>
      </w:r>
      <w:proofErr w:type="spellEnd"/>
      <w:r w:rsidRPr="00B12E92">
        <w:rPr>
          <w:lang w:val="fr-FR"/>
        </w:rPr>
        <w:t xml:space="preserve"> évolué au cours des dernières décennies ? Veuillez donner des exemples.</w:t>
      </w:r>
    </w:p>
    <w:p w14:paraId="5C560E9C" w14:textId="60D60ADB" w:rsidR="00B12E92" w:rsidRDefault="00B12E92" w:rsidP="00B12E92">
      <w:pPr>
        <w:pStyle w:val="ListParagraph"/>
        <w:numPr>
          <w:ilvl w:val="0"/>
          <w:numId w:val="2"/>
        </w:numPr>
        <w:rPr>
          <w:lang w:val="fr-FR"/>
        </w:rPr>
      </w:pPr>
      <w:r w:rsidRPr="00B12E92">
        <w:rPr>
          <w:lang w:val="fr-FR"/>
        </w:rPr>
        <w:t xml:space="preserve">Pourquoi les pouvoirs publics autorisent-ils, ou même </w:t>
      </w:r>
      <w:r w:rsidR="00541445">
        <w:rPr>
          <w:lang w:val="fr-FR"/>
        </w:rPr>
        <w:t>encourag</w:t>
      </w:r>
      <w:r w:rsidR="00541445" w:rsidRPr="00B12E92">
        <w:rPr>
          <w:lang w:val="fr-FR"/>
        </w:rPr>
        <w:t>ent</w:t>
      </w:r>
      <w:r w:rsidRPr="00B12E92">
        <w:rPr>
          <w:lang w:val="fr-FR"/>
        </w:rPr>
        <w:t xml:space="preserve">-ils, la privatisation des services d'eau et d'assainissement ? Quelles seraient les alternatives pour les pouvoirs publics ? </w:t>
      </w:r>
    </w:p>
    <w:p w14:paraId="5F7A93C5" w14:textId="0036888A" w:rsidR="00091FE5" w:rsidRDefault="00B12E92" w:rsidP="00091FE5">
      <w:pPr>
        <w:pStyle w:val="ListParagraph"/>
        <w:numPr>
          <w:ilvl w:val="0"/>
          <w:numId w:val="2"/>
        </w:numPr>
        <w:rPr>
          <w:lang w:val="fr-FR"/>
        </w:rPr>
      </w:pPr>
      <w:r w:rsidRPr="00B12E92">
        <w:rPr>
          <w:lang w:val="fr-FR"/>
        </w:rPr>
        <w:t xml:space="preserve">À votre avis, les institutions financières internationales (IFI) </w:t>
      </w:r>
      <w:proofErr w:type="spellStart"/>
      <w:r w:rsidRPr="00B12E92">
        <w:rPr>
          <w:lang w:val="fr-FR"/>
        </w:rPr>
        <w:t>ont-elles</w:t>
      </w:r>
      <w:proofErr w:type="spellEnd"/>
      <w:r w:rsidRPr="00B12E92">
        <w:rPr>
          <w:lang w:val="fr-FR"/>
        </w:rPr>
        <w:t xml:space="preserve"> récemment encouragé la privatisation ? Pouvez-vous donner des exemples concrets</w:t>
      </w:r>
      <w:r w:rsidR="00091FE5">
        <w:rPr>
          <w:lang w:val="fr-FR"/>
        </w:rPr>
        <w:t> ?</w:t>
      </w:r>
    </w:p>
    <w:p w14:paraId="2B7B94F2" w14:textId="7C83DCF5" w:rsidR="00ED601E" w:rsidRPr="00091FE5" w:rsidRDefault="00091FE5" w:rsidP="00091FE5">
      <w:pPr>
        <w:pStyle w:val="ListParagraph"/>
        <w:numPr>
          <w:ilvl w:val="0"/>
          <w:numId w:val="2"/>
        </w:numPr>
        <w:rPr>
          <w:lang w:val="fr-FR"/>
        </w:rPr>
      </w:pPr>
      <w:r w:rsidRPr="00091FE5">
        <w:rPr>
          <w:lang w:val="fr-FR"/>
        </w:rPr>
        <w:t>En cas de crise économique, la promotion de la privatisation a-t-elle augmenté ?</w:t>
      </w:r>
    </w:p>
    <w:p w14:paraId="35EFFEFA" w14:textId="22773469" w:rsidR="00ED601E" w:rsidRPr="00AE22C4" w:rsidRDefault="00F422F5" w:rsidP="0036363D">
      <w:pPr>
        <w:rPr>
          <w:b/>
          <w:lang w:val="fr-FR"/>
        </w:rPr>
      </w:pPr>
      <w:r>
        <w:rPr>
          <w:b/>
          <w:lang w:val="fr-FR"/>
        </w:rPr>
        <w:t>Fourniture Privée</w:t>
      </w:r>
    </w:p>
    <w:p w14:paraId="73C00BCB" w14:textId="77777777" w:rsidR="00054DDC" w:rsidRDefault="005536DF" w:rsidP="00054DDC">
      <w:pPr>
        <w:pStyle w:val="ListParagraph"/>
        <w:numPr>
          <w:ilvl w:val="0"/>
          <w:numId w:val="2"/>
        </w:numPr>
        <w:rPr>
          <w:lang w:val="fr-FR"/>
        </w:rPr>
      </w:pPr>
      <w:r w:rsidRPr="005536DF">
        <w:rPr>
          <w:lang w:val="fr-FR"/>
        </w:rPr>
        <w:t>D'après votre expérience, si le secteur privé est impliqué dans la fourniture de services d'eau et d'assainissement, quel processus a été entrepris avant la décision d'adopter ce modèle de fourniture ? Quels types de préoccupations ont été pris en compte dans de telles décisions ?</w:t>
      </w:r>
    </w:p>
    <w:p w14:paraId="490A1443" w14:textId="5EE07F80" w:rsidR="00054DDC" w:rsidRPr="00054DDC" w:rsidRDefault="00054DDC" w:rsidP="00054DDC">
      <w:pPr>
        <w:pStyle w:val="ListParagraph"/>
        <w:numPr>
          <w:ilvl w:val="0"/>
          <w:numId w:val="2"/>
        </w:numPr>
        <w:rPr>
          <w:lang w:val="fr-FR"/>
        </w:rPr>
      </w:pPr>
      <w:r w:rsidRPr="00054DDC">
        <w:rPr>
          <w:lang w:val="fr-FR"/>
        </w:rPr>
        <w:t>Comment les autorités publiques pourraient-elles uti</w:t>
      </w:r>
      <w:r w:rsidR="00E0132C">
        <w:rPr>
          <w:lang w:val="fr-FR"/>
        </w:rPr>
        <w:t>liser les caractéristiques des f</w:t>
      </w:r>
      <w:r w:rsidRPr="00054DDC">
        <w:rPr>
          <w:lang w:val="fr-FR"/>
        </w:rPr>
        <w:t>ournisseurs privés pour favoriser la réalisation des droits humains à l'eau et à l'assainissement (</w:t>
      </w:r>
      <w:proofErr w:type="spellStart"/>
      <w:r w:rsidRPr="00054DDC">
        <w:rPr>
          <w:lang w:val="fr-FR"/>
        </w:rPr>
        <w:t>DHaEA</w:t>
      </w:r>
      <w:proofErr w:type="spellEnd"/>
      <w:r w:rsidRPr="00054DDC">
        <w:rPr>
          <w:lang w:val="fr-FR"/>
        </w:rPr>
        <w:t>) ? La fourniture privée est-elle positive pour la réalisation progressive des droits de l'homme à l'eau et à l'assainissement ? Si oui, dans quelles circonstances ?</w:t>
      </w:r>
    </w:p>
    <w:p w14:paraId="52BFB2F2" w14:textId="33BAB9BD" w:rsidR="00DC15EA" w:rsidRPr="00AE22C4" w:rsidRDefault="00330AEC" w:rsidP="00DC15EA">
      <w:pPr>
        <w:pStyle w:val="ListParagraph"/>
        <w:numPr>
          <w:ilvl w:val="0"/>
          <w:numId w:val="2"/>
        </w:numPr>
        <w:rPr>
          <w:lang w:val="fr-FR"/>
        </w:rPr>
      </w:pPr>
      <w:r w:rsidRPr="00330AEC">
        <w:rPr>
          <w:lang w:val="fr-FR"/>
        </w:rPr>
        <w:t>Comment les instruments et les mécanismes en place ont-ils permis aux utilisateurs (et aux non-utilisateurs) de porter plainte et d'obtenir réparation auprès de fournisseurs privés ?</w:t>
      </w:r>
    </w:p>
    <w:p w14:paraId="7BBE321A" w14:textId="77777777" w:rsidR="00330AEC" w:rsidRDefault="00330AEC" w:rsidP="004F0A8A">
      <w:pPr>
        <w:pStyle w:val="ListParagraph"/>
        <w:numPr>
          <w:ilvl w:val="0"/>
          <w:numId w:val="2"/>
        </w:numPr>
        <w:rPr>
          <w:lang w:val="fr-FR"/>
        </w:rPr>
      </w:pPr>
      <w:r w:rsidRPr="00330AEC">
        <w:rPr>
          <w:lang w:val="fr-FR"/>
        </w:rPr>
        <w:t xml:space="preserve">Les fournisseurs privés prônent-ils une réglementation plus stricte ? Si oui, pourquoi ? </w:t>
      </w:r>
    </w:p>
    <w:p w14:paraId="64ACDF46" w14:textId="0E6B6CCC" w:rsidR="0050551F" w:rsidRDefault="0050551F" w:rsidP="00EC5DD2">
      <w:pPr>
        <w:pStyle w:val="ListParagraph"/>
        <w:numPr>
          <w:ilvl w:val="0"/>
          <w:numId w:val="2"/>
        </w:numPr>
        <w:rPr>
          <w:lang w:val="fr-FR"/>
        </w:rPr>
      </w:pPr>
      <w:r w:rsidRPr="0050551F">
        <w:rPr>
          <w:lang w:val="fr-FR"/>
        </w:rPr>
        <w:t xml:space="preserve">Quelles ont été les relations entre les </w:t>
      </w:r>
      <w:r w:rsidR="00541445">
        <w:rPr>
          <w:lang w:val="fr-FR"/>
        </w:rPr>
        <w:t>fournisseur</w:t>
      </w:r>
      <w:r w:rsidR="00541445" w:rsidRPr="0050551F">
        <w:rPr>
          <w:lang w:val="fr-FR"/>
        </w:rPr>
        <w:t xml:space="preserve">s </w:t>
      </w:r>
      <w:r w:rsidRPr="0050551F">
        <w:rPr>
          <w:lang w:val="fr-FR"/>
        </w:rPr>
        <w:t xml:space="preserve">privés et les pouvoirs publics au niveau local ? Quelles sont les préoccupations potentielles des pouvoirs publics et des utilisateurs vis-à-vis des prestataires privés ? </w:t>
      </w:r>
    </w:p>
    <w:p w14:paraId="7155A3CC" w14:textId="4A397D8A" w:rsidR="001F3AC5" w:rsidRDefault="0008149E" w:rsidP="001F3AC5">
      <w:pPr>
        <w:pStyle w:val="ListParagraph"/>
        <w:numPr>
          <w:ilvl w:val="0"/>
          <w:numId w:val="2"/>
        </w:numPr>
        <w:rPr>
          <w:lang w:val="fr-FR"/>
        </w:rPr>
      </w:pPr>
      <w:r w:rsidRPr="0008149E">
        <w:rPr>
          <w:lang w:val="fr-FR"/>
        </w:rPr>
        <w:t>Comment les prestataires privés ont-ils contribué</w:t>
      </w:r>
      <w:r>
        <w:rPr>
          <w:lang w:val="fr-FR"/>
        </w:rPr>
        <w:t xml:space="preserve"> ou nui à la </w:t>
      </w:r>
      <w:r w:rsidR="00541445">
        <w:rPr>
          <w:lang w:val="fr-FR"/>
        </w:rPr>
        <w:t xml:space="preserve">réalisation </w:t>
      </w:r>
      <w:r>
        <w:rPr>
          <w:lang w:val="fr-FR"/>
        </w:rPr>
        <w:t xml:space="preserve">des </w:t>
      </w:r>
      <w:proofErr w:type="spellStart"/>
      <w:r w:rsidRPr="00054DDC">
        <w:rPr>
          <w:lang w:val="fr-FR"/>
        </w:rPr>
        <w:t>DHaEA</w:t>
      </w:r>
      <w:proofErr w:type="spellEnd"/>
      <w:r w:rsidRPr="0008149E">
        <w:rPr>
          <w:lang w:val="fr-FR"/>
        </w:rPr>
        <w:t>? Veuillez donner des exemples</w:t>
      </w:r>
      <w:r w:rsidR="001F3AC5">
        <w:rPr>
          <w:lang w:val="fr-FR"/>
        </w:rPr>
        <w:t>.</w:t>
      </w:r>
    </w:p>
    <w:p w14:paraId="37490236" w14:textId="1A91F026" w:rsidR="001F3AC5" w:rsidRPr="001F3AC5" w:rsidRDefault="001F3AC5" w:rsidP="001F3AC5">
      <w:pPr>
        <w:pStyle w:val="ListParagraph"/>
        <w:numPr>
          <w:ilvl w:val="0"/>
          <w:numId w:val="2"/>
        </w:numPr>
        <w:rPr>
          <w:lang w:val="fr-FR"/>
        </w:rPr>
      </w:pPr>
      <w:r w:rsidRPr="001F3AC5">
        <w:rPr>
          <w:lang w:val="fr-FR"/>
        </w:rPr>
        <w:t xml:space="preserve">Quelle est la qualité des informations disponibles sur la </w:t>
      </w:r>
      <w:r w:rsidR="00541445">
        <w:rPr>
          <w:lang w:val="fr-FR"/>
        </w:rPr>
        <w:t xml:space="preserve">fourniture </w:t>
      </w:r>
      <w:r w:rsidRPr="001F3AC5">
        <w:rPr>
          <w:lang w:val="fr-FR"/>
        </w:rPr>
        <w:t xml:space="preserve">de services ? Permet-elle une responsabilisation adéquate des prestataires privés et des autorités publiques ? </w:t>
      </w:r>
    </w:p>
    <w:p w14:paraId="6B94E1A5" w14:textId="043D0663" w:rsidR="001F3AC5" w:rsidRDefault="001F3AC5" w:rsidP="004F0A8A">
      <w:pPr>
        <w:pStyle w:val="ListParagraph"/>
        <w:numPr>
          <w:ilvl w:val="0"/>
          <w:numId w:val="2"/>
        </w:numPr>
        <w:rPr>
          <w:lang w:val="fr-FR"/>
        </w:rPr>
      </w:pPr>
      <w:r w:rsidRPr="001F3AC5">
        <w:rPr>
          <w:lang w:val="fr-FR"/>
        </w:rPr>
        <w:t>Qui surveille l</w:t>
      </w:r>
      <w:r w:rsidR="00541445">
        <w:rPr>
          <w:lang w:val="fr-FR"/>
        </w:rPr>
        <w:t xml:space="preserve">a performance </w:t>
      </w:r>
      <w:r w:rsidRPr="001F3AC5">
        <w:rPr>
          <w:lang w:val="fr-FR"/>
        </w:rPr>
        <w:t xml:space="preserve">des fournisseurs privés en ce qui concerne le contenu normatif des </w:t>
      </w:r>
      <w:proofErr w:type="spellStart"/>
      <w:r>
        <w:rPr>
          <w:lang w:val="fr-FR"/>
        </w:rPr>
        <w:t>DHaEA</w:t>
      </w:r>
      <w:proofErr w:type="spellEnd"/>
      <w:r w:rsidRPr="001F3AC5">
        <w:rPr>
          <w:lang w:val="fr-FR"/>
        </w:rPr>
        <w:t xml:space="preserve"> et comment ? Qui intervient lorsqu'il y a des risques de violations de</w:t>
      </w:r>
      <w:r w:rsidR="00541445">
        <w:rPr>
          <w:lang w:val="fr-FR"/>
        </w:rPr>
        <w:t xml:space="preserve"> ce</w:t>
      </w:r>
      <w:r w:rsidRPr="001F3AC5">
        <w:rPr>
          <w:lang w:val="fr-FR"/>
        </w:rPr>
        <w:t>s droits et comment cela se fait-il ? Qui impose des sanctions en cas de violation ?</w:t>
      </w:r>
    </w:p>
    <w:p w14:paraId="681CC4E3" w14:textId="77777777" w:rsidR="001F3AC5" w:rsidRDefault="001F3AC5" w:rsidP="001F3AC5">
      <w:pPr>
        <w:pStyle w:val="ListParagraph"/>
        <w:numPr>
          <w:ilvl w:val="0"/>
          <w:numId w:val="2"/>
        </w:numPr>
        <w:rPr>
          <w:lang w:val="fr-FR"/>
        </w:rPr>
      </w:pPr>
      <w:r w:rsidRPr="001F3AC5">
        <w:rPr>
          <w:lang w:val="fr-FR"/>
        </w:rPr>
        <w:t>Quels sont les principaux défis auxquels sont confrontées les autorités publiques en matière de disponibilité, d'accessibilité, de qualité et d'</w:t>
      </w:r>
      <w:proofErr w:type="spellStart"/>
      <w:r w:rsidRPr="001F3AC5">
        <w:rPr>
          <w:lang w:val="fr-FR"/>
        </w:rPr>
        <w:t>abordabilité</w:t>
      </w:r>
      <w:proofErr w:type="spellEnd"/>
      <w:r w:rsidRPr="001F3AC5">
        <w:rPr>
          <w:lang w:val="fr-FR"/>
        </w:rPr>
        <w:t xml:space="preserve"> lorsque des acteurs privés fournissent des services d'eau et d'assainissement ?  Veuillez donner des exemples.</w:t>
      </w:r>
    </w:p>
    <w:p w14:paraId="0965E085" w14:textId="425B096A" w:rsidR="001F3AC5" w:rsidRPr="001F3AC5" w:rsidRDefault="001F3AC5" w:rsidP="001F3AC5">
      <w:pPr>
        <w:pStyle w:val="ListParagraph"/>
        <w:numPr>
          <w:ilvl w:val="0"/>
          <w:numId w:val="2"/>
        </w:numPr>
        <w:rPr>
          <w:lang w:val="fr-FR"/>
        </w:rPr>
      </w:pPr>
      <w:r w:rsidRPr="001F3AC5">
        <w:rPr>
          <w:lang w:val="fr-FR"/>
        </w:rPr>
        <w:t xml:space="preserve">Connaissez-vous des cas de corruption impliquant </w:t>
      </w:r>
      <w:r w:rsidR="00541445">
        <w:rPr>
          <w:lang w:val="fr-FR"/>
        </w:rPr>
        <w:t>des fournisseurs</w:t>
      </w:r>
      <w:r w:rsidRPr="001F3AC5">
        <w:rPr>
          <w:lang w:val="fr-FR"/>
        </w:rPr>
        <w:t xml:space="preserve"> privé</w:t>
      </w:r>
      <w:r w:rsidR="00541445">
        <w:rPr>
          <w:lang w:val="fr-FR"/>
        </w:rPr>
        <w:t>s</w:t>
      </w:r>
      <w:r w:rsidRPr="001F3AC5">
        <w:rPr>
          <w:lang w:val="fr-FR"/>
        </w:rPr>
        <w:t xml:space="preserve"> de services d'eau et d'assainissement ? Veuillez donner </w:t>
      </w:r>
      <w:r w:rsidR="00541445">
        <w:rPr>
          <w:lang w:val="fr-FR"/>
        </w:rPr>
        <w:t>d</w:t>
      </w:r>
      <w:r w:rsidR="00541445" w:rsidRPr="001F3AC5">
        <w:rPr>
          <w:lang w:val="fr-FR"/>
        </w:rPr>
        <w:t xml:space="preserve">es </w:t>
      </w:r>
      <w:r w:rsidRPr="001F3AC5">
        <w:rPr>
          <w:lang w:val="fr-FR"/>
        </w:rPr>
        <w:t>détails.</w:t>
      </w:r>
    </w:p>
    <w:p w14:paraId="0759D687" w14:textId="227A22F6" w:rsidR="00FA1989" w:rsidRPr="00AE22C4" w:rsidRDefault="001F3AC5" w:rsidP="00CB50FF">
      <w:pPr>
        <w:pStyle w:val="ListParagraph"/>
        <w:numPr>
          <w:ilvl w:val="0"/>
          <w:numId w:val="2"/>
        </w:numPr>
        <w:rPr>
          <w:lang w:val="fr-FR"/>
        </w:rPr>
      </w:pPr>
      <w:r w:rsidRPr="001F3AC5">
        <w:rPr>
          <w:lang w:val="fr-FR"/>
        </w:rPr>
        <w:t xml:space="preserve">Le secteur privé </w:t>
      </w:r>
      <w:proofErr w:type="spellStart"/>
      <w:r w:rsidRPr="001F3AC5">
        <w:rPr>
          <w:lang w:val="fr-FR"/>
        </w:rPr>
        <w:t>a-t-il</w:t>
      </w:r>
      <w:proofErr w:type="spellEnd"/>
      <w:r w:rsidRPr="001F3AC5">
        <w:rPr>
          <w:lang w:val="fr-FR"/>
        </w:rPr>
        <w:t xml:space="preserve"> fait preuve d'une plus grande capacité de mobilisation de fonds que le secteur public ? Pourriez-vous donner des exemples concrets ?</w:t>
      </w:r>
    </w:p>
    <w:p w14:paraId="0D35C1CC" w14:textId="77777777" w:rsidR="00E30B8A" w:rsidRDefault="00B5449E" w:rsidP="00E30B8A">
      <w:pPr>
        <w:pStyle w:val="ListParagraph"/>
        <w:numPr>
          <w:ilvl w:val="0"/>
          <w:numId w:val="2"/>
        </w:numPr>
        <w:rPr>
          <w:lang w:val="fr-FR"/>
        </w:rPr>
      </w:pPr>
      <w:r w:rsidRPr="00B5449E">
        <w:rPr>
          <w:lang w:val="fr-FR"/>
        </w:rPr>
        <w:lastRenderedPageBreak/>
        <w:t xml:space="preserve">Selon vous, y </w:t>
      </w:r>
      <w:proofErr w:type="spellStart"/>
      <w:r w:rsidRPr="00B5449E">
        <w:rPr>
          <w:lang w:val="fr-FR"/>
        </w:rPr>
        <w:t>a-t-il</w:t>
      </w:r>
      <w:proofErr w:type="spellEnd"/>
      <w:r w:rsidRPr="00B5449E">
        <w:rPr>
          <w:lang w:val="fr-FR"/>
        </w:rPr>
        <w:t xml:space="preserve"> un déséquilibre de pouvoir dans un partenariat public-privé ? Pourriez-vous donner des exemples concrets des </w:t>
      </w:r>
      <w:r>
        <w:rPr>
          <w:lang w:val="fr-FR"/>
        </w:rPr>
        <w:t>conséquences</w:t>
      </w:r>
      <w:r w:rsidRPr="00B5449E">
        <w:rPr>
          <w:lang w:val="fr-FR"/>
        </w:rPr>
        <w:t xml:space="preserve"> de cette relation ?</w:t>
      </w:r>
    </w:p>
    <w:p w14:paraId="3B55421E" w14:textId="62586A3A" w:rsidR="00994823" w:rsidRPr="00E30B8A" w:rsidRDefault="00E30B8A" w:rsidP="00E30B8A">
      <w:pPr>
        <w:pStyle w:val="ListParagraph"/>
        <w:numPr>
          <w:ilvl w:val="0"/>
          <w:numId w:val="2"/>
        </w:numPr>
        <w:rPr>
          <w:lang w:val="fr-FR"/>
        </w:rPr>
      </w:pPr>
      <w:r w:rsidRPr="00E30B8A">
        <w:rPr>
          <w:lang w:val="fr-FR"/>
        </w:rPr>
        <w:t>Quand il y a une participation privée dans le secteur de l'eau et de l'assainissement, dans quelle mesure l'acteur privé apporte-t-il ses propres ressources financières à ce service ?</w:t>
      </w:r>
    </w:p>
    <w:p w14:paraId="22A6213C" w14:textId="640D68D9" w:rsidR="00994823" w:rsidRPr="00AE22C4" w:rsidRDefault="00994823" w:rsidP="0036363D">
      <w:pPr>
        <w:rPr>
          <w:b/>
          <w:lang w:val="fr-FR"/>
        </w:rPr>
      </w:pPr>
      <w:r w:rsidRPr="00AE22C4">
        <w:rPr>
          <w:b/>
          <w:lang w:val="fr-FR"/>
        </w:rPr>
        <w:t>R</w:t>
      </w:r>
      <w:r w:rsidR="00F54BFF">
        <w:rPr>
          <w:b/>
          <w:lang w:val="fr-FR"/>
        </w:rPr>
        <w:t>emunicipalis</w:t>
      </w:r>
      <w:r w:rsidRPr="00AE22C4">
        <w:rPr>
          <w:b/>
          <w:lang w:val="fr-FR"/>
        </w:rPr>
        <w:t>ation</w:t>
      </w:r>
    </w:p>
    <w:p w14:paraId="6C933A95" w14:textId="02BC1F73" w:rsidR="002C4CEC" w:rsidRPr="00AE22C4" w:rsidRDefault="00F54BFF" w:rsidP="00F54BFF">
      <w:pPr>
        <w:pStyle w:val="ListParagraph"/>
        <w:numPr>
          <w:ilvl w:val="0"/>
          <w:numId w:val="2"/>
        </w:numPr>
        <w:rPr>
          <w:lang w:val="fr-FR"/>
        </w:rPr>
      </w:pPr>
      <w:r w:rsidRPr="00F54BFF">
        <w:rPr>
          <w:lang w:val="fr-FR"/>
        </w:rPr>
        <w:t xml:space="preserve">Avez-vous étudié un cas de remunicipalisation ? Pourquoi et comment cela s'est produit ? Quels types de difficultés l'autorité publique a-t-elle rencontrées pour </w:t>
      </w:r>
      <w:r w:rsidR="000E0F55">
        <w:rPr>
          <w:lang w:val="fr-FR"/>
        </w:rPr>
        <w:t>rem</w:t>
      </w:r>
      <w:r w:rsidRPr="00F54BFF">
        <w:rPr>
          <w:lang w:val="fr-FR"/>
        </w:rPr>
        <w:t>place</w:t>
      </w:r>
      <w:r w:rsidR="000E0F55">
        <w:rPr>
          <w:lang w:val="fr-FR"/>
        </w:rPr>
        <w:t>r</w:t>
      </w:r>
      <w:r w:rsidRPr="00F54BFF">
        <w:rPr>
          <w:lang w:val="fr-FR"/>
        </w:rPr>
        <w:t xml:space="preserve"> le </w:t>
      </w:r>
      <w:r w:rsidR="000E0F55">
        <w:rPr>
          <w:lang w:val="fr-FR"/>
        </w:rPr>
        <w:t xml:space="preserve">privé par un </w:t>
      </w:r>
      <w:r w:rsidRPr="00F54BFF">
        <w:rPr>
          <w:lang w:val="fr-FR"/>
        </w:rPr>
        <w:t xml:space="preserve">nouveau fournisseur municipal ? Veuillez </w:t>
      </w:r>
      <w:r w:rsidR="000E0F55">
        <w:rPr>
          <w:lang w:val="fr-FR"/>
        </w:rPr>
        <w:t>préciser l</w:t>
      </w:r>
      <w:r w:rsidRPr="00F54BFF">
        <w:rPr>
          <w:lang w:val="fr-FR"/>
        </w:rPr>
        <w:t>es détails sur ces processus.</w:t>
      </w:r>
    </w:p>
    <w:sectPr w:rsidR="002C4CEC" w:rsidRPr="00AE2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387FF" w16cid:durableId="2173B916"/>
  <w16cid:commentId w16cid:paraId="051CC6F9" w16cid:durableId="2173BFCC"/>
  <w16cid:commentId w16cid:paraId="32412097" w16cid:durableId="2173B917"/>
  <w16cid:commentId w16cid:paraId="16EDD1C5" w16cid:durableId="2173C04E"/>
  <w16cid:commentId w16cid:paraId="039E9E01" w16cid:durableId="2173B918"/>
  <w16cid:commentId w16cid:paraId="5F600A1F" w16cid:durableId="2173C078"/>
  <w16cid:commentId w16cid:paraId="0BF55109" w16cid:durableId="2173B919"/>
  <w16cid:commentId w16cid:paraId="7A677ACB" w16cid:durableId="2173C0A3"/>
  <w16cid:commentId w16cid:paraId="2BFF649B" w16cid:durableId="2173B91A"/>
  <w16cid:commentId w16cid:paraId="23FFE679" w16cid:durableId="2173C0D6"/>
  <w16cid:commentId w16cid:paraId="0536BCBE" w16cid:durableId="2173B91B"/>
  <w16cid:commentId w16cid:paraId="4ABBD54F" w16cid:durableId="2173C166"/>
  <w16cid:commentId w16cid:paraId="0DCCD72D" w16cid:durableId="2173B91C"/>
  <w16cid:commentId w16cid:paraId="1818474A" w16cid:durableId="2173C1CC"/>
  <w16cid:commentId w16cid:paraId="13E7DBBD" w16cid:durableId="2173B91D"/>
  <w16cid:commentId w16cid:paraId="4916F8A3" w16cid:durableId="2173B91E"/>
  <w16cid:commentId w16cid:paraId="24544314" w16cid:durableId="2173C252"/>
  <w16cid:commentId w16cid:paraId="52C46DB3" w16cid:durableId="2173B91F"/>
  <w16cid:commentId w16cid:paraId="14D4A2B3" w16cid:durableId="2173C3B3"/>
  <w16cid:commentId w16cid:paraId="70BA6322" w16cid:durableId="2173B920"/>
  <w16cid:commentId w16cid:paraId="4DBE7F4D" w16cid:durableId="2173C40F"/>
  <w16cid:commentId w16cid:paraId="081E1D82" w16cid:durableId="2173B921"/>
  <w16cid:commentId w16cid:paraId="1DEFD810" w16cid:durableId="2173C450"/>
  <w16cid:commentId w16cid:paraId="1C157F12" w16cid:durableId="217570A9"/>
  <w16cid:commentId w16cid:paraId="7FB886BA" w16cid:durableId="217570A8"/>
  <w16cid:commentId w16cid:paraId="4794787B" w16cid:durableId="2173B922"/>
  <w16cid:commentId w16cid:paraId="51C74DB5" w16cid:durableId="2173C51E"/>
  <w16cid:commentId w16cid:paraId="29B6047F" w16cid:durableId="2173B923"/>
  <w16cid:commentId w16cid:paraId="4255AEC5" w16cid:durableId="2173C5F5"/>
  <w16cid:commentId w16cid:paraId="670FBCE8" w16cid:durableId="2173B924"/>
  <w16cid:commentId w16cid:paraId="40D80630" w16cid:durableId="2173C5FE"/>
  <w16cid:commentId w16cid:paraId="6B5B4BA5" w16cid:durableId="2173B925"/>
  <w16cid:commentId w16cid:paraId="0DD97FA1" w16cid:durableId="2173C670"/>
  <w16cid:commentId w16cid:paraId="5D40D21F" w16cid:durableId="2173B926"/>
  <w16cid:commentId w16cid:paraId="210B8D11" w16cid:durableId="2173C7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7A4"/>
    <w:multiLevelType w:val="hybridMultilevel"/>
    <w:tmpl w:val="88C0C8FE"/>
    <w:lvl w:ilvl="0" w:tplc="4BAEB9D8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5A74"/>
    <w:multiLevelType w:val="hybridMultilevel"/>
    <w:tmpl w:val="DDEC6958"/>
    <w:lvl w:ilvl="0" w:tplc="C4E2AC3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55A"/>
    <w:multiLevelType w:val="hybridMultilevel"/>
    <w:tmpl w:val="649C5186"/>
    <w:lvl w:ilvl="0" w:tplc="4DCE54A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967E0"/>
    <w:multiLevelType w:val="hybridMultilevel"/>
    <w:tmpl w:val="B798F22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2845A6"/>
    <w:multiLevelType w:val="hybridMultilevel"/>
    <w:tmpl w:val="88128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46FBE"/>
    <w:multiLevelType w:val="hybridMultilevel"/>
    <w:tmpl w:val="B0286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A"/>
    <w:rsid w:val="00000C98"/>
    <w:rsid w:val="00022A62"/>
    <w:rsid w:val="000453BF"/>
    <w:rsid w:val="00046FAA"/>
    <w:rsid w:val="00054DDC"/>
    <w:rsid w:val="00055949"/>
    <w:rsid w:val="0006646A"/>
    <w:rsid w:val="0008149E"/>
    <w:rsid w:val="00091FE5"/>
    <w:rsid w:val="000E0F55"/>
    <w:rsid w:val="000F174A"/>
    <w:rsid w:val="000F1763"/>
    <w:rsid w:val="000F32BC"/>
    <w:rsid w:val="00141FB4"/>
    <w:rsid w:val="00144A40"/>
    <w:rsid w:val="00194E14"/>
    <w:rsid w:val="001A46C3"/>
    <w:rsid w:val="001A5B1E"/>
    <w:rsid w:val="001C70A0"/>
    <w:rsid w:val="001F3AC5"/>
    <w:rsid w:val="00215212"/>
    <w:rsid w:val="0022367C"/>
    <w:rsid w:val="00226F2C"/>
    <w:rsid w:val="00230E81"/>
    <w:rsid w:val="00265427"/>
    <w:rsid w:val="00276F56"/>
    <w:rsid w:val="00281860"/>
    <w:rsid w:val="00284C1D"/>
    <w:rsid w:val="0029096F"/>
    <w:rsid w:val="002C4CEC"/>
    <w:rsid w:val="00322262"/>
    <w:rsid w:val="00324353"/>
    <w:rsid w:val="0032599A"/>
    <w:rsid w:val="00330AEC"/>
    <w:rsid w:val="00345211"/>
    <w:rsid w:val="003543FF"/>
    <w:rsid w:val="0036363D"/>
    <w:rsid w:val="00386096"/>
    <w:rsid w:val="003B3922"/>
    <w:rsid w:val="003C4698"/>
    <w:rsid w:val="003D03F5"/>
    <w:rsid w:val="003D3313"/>
    <w:rsid w:val="003F1AC1"/>
    <w:rsid w:val="00411DA5"/>
    <w:rsid w:val="00442438"/>
    <w:rsid w:val="0045091C"/>
    <w:rsid w:val="00483FF3"/>
    <w:rsid w:val="004A54A7"/>
    <w:rsid w:val="004B1466"/>
    <w:rsid w:val="004C3F0B"/>
    <w:rsid w:val="004E1299"/>
    <w:rsid w:val="004F0A8A"/>
    <w:rsid w:val="004F50A8"/>
    <w:rsid w:val="0050551F"/>
    <w:rsid w:val="0053189F"/>
    <w:rsid w:val="00541445"/>
    <w:rsid w:val="005536DF"/>
    <w:rsid w:val="005537B9"/>
    <w:rsid w:val="005674B3"/>
    <w:rsid w:val="00575ADF"/>
    <w:rsid w:val="005856B4"/>
    <w:rsid w:val="005935DB"/>
    <w:rsid w:val="005E3815"/>
    <w:rsid w:val="00601325"/>
    <w:rsid w:val="0061306D"/>
    <w:rsid w:val="0064423E"/>
    <w:rsid w:val="006712E5"/>
    <w:rsid w:val="00687924"/>
    <w:rsid w:val="006A6DD8"/>
    <w:rsid w:val="006D35A2"/>
    <w:rsid w:val="00713DF1"/>
    <w:rsid w:val="0072156D"/>
    <w:rsid w:val="00732A95"/>
    <w:rsid w:val="00740288"/>
    <w:rsid w:val="0077039A"/>
    <w:rsid w:val="007A5274"/>
    <w:rsid w:val="007E1F76"/>
    <w:rsid w:val="007F0F5A"/>
    <w:rsid w:val="0082464E"/>
    <w:rsid w:val="00833C7E"/>
    <w:rsid w:val="00841811"/>
    <w:rsid w:val="0084755A"/>
    <w:rsid w:val="00873058"/>
    <w:rsid w:val="008C0A49"/>
    <w:rsid w:val="008E53FC"/>
    <w:rsid w:val="008F61D1"/>
    <w:rsid w:val="008F6534"/>
    <w:rsid w:val="0091735E"/>
    <w:rsid w:val="00964FD3"/>
    <w:rsid w:val="00977FD9"/>
    <w:rsid w:val="00994823"/>
    <w:rsid w:val="009E40DB"/>
    <w:rsid w:val="00A00CED"/>
    <w:rsid w:val="00A06F38"/>
    <w:rsid w:val="00A17808"/>
    <w:rsid w:val="00A22D3A"/>
    <w:rsid w:val="00A30469"/>
    <w:rsid w:val="00A4030D"/>
    <w:rsid w:val="00A57B9C"/>
    <w:rsid w:val="00AC122C"/>
    <w:rsid w:val="00AD7DDD"/>
    <w:rsid w:val="00AE22C4"/>
    <w:rsid w:val="00B12E92"/>
    <w:rsid w:val="00B2059F"/>
    <w:rsid w:val="00B431F8"/>
    <w:rsid w:val="00B43DB0"/>
    <w:rsid w:val="00B46FA6"/>
    <w:rsid w:val="00B50ECA"/>
    <w:rsid w:val="00B5449E"/>
    <w:rsid w:val="00B67EFD"/>
    <w:rsid w:val="00B87B48"/>
    <w:rsid w:val="00BA2286"/>
    <w:rsid w:val="00BB01EC"/>
    <w:rsid w:val="00BC0649"/>
    <w:rsid w:val="00BD57B1"/>
    <w:rsid w:val="00BE3FB1"/>
    <w:rsid w:val="00BE6EB3"/>
    <w:rsid w:val="00BF26C7"/>
    <w:rsid w:val="00BF5C8B"/>
    <w:rsid w:val="00C07328"/>
    <w:rsid w:val="00C20D8B"/>
    <w:rsid w:val="00C34A73"/>
    <w:rsid w:val="00C5181F"/>
    <w:rsid w:val="00C66B0D"/>
    <w:rsid w:val="00CB0B75"/>
    <w:rsid w:val="00CB50FF"/>
    <w:rsid w:val="00CD5A32"/>
    <w:rsid w:val="00D01FFD"/>
    <w:rsid w:val="00D129FA"/>
    <w:rsid w:val="00D17887"/>
    <w:rsid w:val="00D24477"/>
    <w:rsid w:val="00D24F3A"/>
    <w:rsid w:val="00D32D0B"/>
    <w:rsid w:val="00D44A62"/>
    <w:rsid w:val="00D53A54"/>
    <w:rsid w:val="00D81899"/>
    <w:rsid w:val="00D91934"/>
    <w:rsid w:val="00DB6A1A"/>
    <w:rsid w:val="00DC15EA"/>
    <w:rsid w:val="00DD6693"/>
    <w:rsid w:val="00DF3933"/>
    <w:rsid w:val="00E0132C"/>
    <w:rsid w:val="00E26A6C"/>
    <w:rsid w:val="00E30B8A"/>
    <w:rsid w:val="00E4194A"/>
    <w:rsid w:val="00E7541E"/>
    <w:rsid w:val="00EC5DD2"/>
    <w:rsid w:val="00ED208C"/>
    <w:rsid w:val="00ED601E"/>
    <w:rsid w:val="00EF6D79"/>
    <w:rsid w:val="00F23E39"/>
    <w:rsid w:val="00F422F5"/>
    <w:rsid w:val="00F54BFF"/>
    <w:rsid w:val="00F61B2F"/>
    <w:rsid w:val="00F73424"/>
    <w:rsid w:val="00F736ED"/>
    <w:rsid w:val="00F97E09"/>
    <w:rsid w:val="00FA1989"/>
    <w:rsid w:val="00FA726E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5096F"/>
  <w15:docId w15:val="{B00A7BF6-E710-421E-A7EA-06930768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A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599A"/>
    <w:pPr>
      <w:spacing w:after="0" w:line="240" w:lineRule="auto"/>
    </w:pPr>
  </w:style>
  <w:style w:type="table" w:styleId="TableGrid">
    <w:name w:val="Table Grid"/>
    <w:basedOn w:val="TableNormal"/>
    <w:uiPriority w:val="39"/>
    <w:rsid w:val="00B50ECA"/>
    <w:pPr>
      <w:spacing w:after="0" w:line="240" w:lineRule="auto"/>
    </w:pPr>
    <w:rPr>
      <w:rFonts w:eastAsiaTheme="minorEastAsia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B50ECA"/>
    <w:pPr>
      <w:spacing w:line="256" w:lineRule="auto"/>
      <w:ind w:left="720"/>
      <w:contextualSpacing/>
    </w:pPr>
    <w:rPr>
      <w:rFonts w:ascii="Cambria" w:eastAsia="Cambria" w:hAnsi="Cambria" w:cs="Times New Roman"/>
      <w:lang w:val="en-GB"/>
    </w:rPr>
  </w:style>
  <w:style w:type="character" w:customStyle="1" w:styleId="tlid-translation">
    <w:name w:val="tlid-translation"/>
    <w:basedOn w:val="DefaultParagraphFont"/>
    <w:rsid w:val="00833C7E"/>
  </w:style>
  <w:style w:type="paragraph" w:styleId="Header">
    <w:name w:val="header"/>
    <w:basedOn w:val="Normal"/>
    <w:link w:val="HeaderChar"/>
    <w:uiPriority w:val="99"/>
    <w:rsid w:val="006D35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D35A2"/>
    <w:rPr>
      <w:rFonts w:ascii="Times New Roman" w:eastAsia="Times New Roman" w:hAnsi="Times New Roman" w:cs="Times New Roman"/>
      <w:snapToGrid w:val="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40DB-8AB6-49C0-84DE-CAE97F554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55566-E491-44C6-9A68-57D04C58C1FB}"/>
</file>

<file path=customXml/itemProps3.xml><?xml version="1.0" encoding="utf-8"?>
<ds:datastoreItem xmlns:ds="http://schemas.openxmlformats.org/officeDocument/2006/customXml" ds:itemID="{6C884A21-CFC7-4B4E-B9AB-39A00C5F7B06}">
  <ds:schemaRefs>
    <ds:schemaRef ds:uri="http://schemas.microsoft.com/office/2006/metadata/properties"/>
    <ds:schemaRef ds:uri="http://schemas.microsoft.com/office/infopath/2007/PartnerControls"/>
    <ds:schemaRef ds:uri="f62cadcd-e163-4118-ac05-a32b5a627a72"/>
  </ds:schemaRefs>
</ds:datastoreItem>
</file>

<file path=customXml/itemProps4.xml><?xml version="1.0" encoding="utf-8"?>
<ds:datastoreItem xmlns:ds="http://schemas.openxmlformats.org/officeDocument/2006/customXml" ds:itemID="{F9C9B1FD-EE22-415A-90F7-72C7914A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Valle</dc:creator>
  <cp:keywords/>
  <dc:description/>
  <cp:lastModifiedBy>GARDE Pascal</cp:lastModifiedBy>
  <cp:revision>3</cp:revision>
  <cp:lastPrinted>2019-11-12T18:04:00Z</cp:lastPrinted>
  <dcterms:created xsi:type="dcterms:W3CDTF">2019-11-28T15:53:00Z</dcterms:created>
  <dcterms:modified xsi:type="dcterms:W3CDTF">2019-11-29T14:38:00Z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