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1BD0" w14:textId="68063ADD" w:rsidR="0011789F" w:rsidRDefault="0011789F" w:rsidP="00DF65DB">
      <w:pPr>
        <w:jc w:val="center"/>
        <w:rPr>
          <w:rFonts w:cs="Arial"/>
          <w:b/>
          <w:color w:val="2F5496"/>
          <w:sz w:val="30"/>
          <w:szCs w:val="30"/>
        </w:rPr>
      </w:pPr>
      <w:r>
        <w:rPr>
          <w:noProof/>
          <w:sz w:val="14"/>
          <w:szCs w:val="14"/>
          <w:lang w:val="en-GB" w:eastAsia="ko-KR"/>
        </w:rPr>
        <w:drawing>
          <wp:inline distT="0" distB="0" distL="0" distR="0" wp14:anchorId="33F4AFE2" wp14:editId="5CEEDC6C">
            <wp:extent cx="2699385" cy="1165150"/>
            <wp:effectExtent l="0" t="0" r="0" b="0"/>
            <wp:docPr id="6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42" cy="11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A64B" w14:textId="77777777" w:rsidR="0011789F" w:rsidRPr="00633E14" w:rsidRDefault="0011789F" w:rsidP="0011789F">
      <w:pPr>
        <w:jc w:val="center"/>
        <w:rPr>
          <w:rFonts w:ascii="Arial" w:hAnsi="Arial" w:cs="Arial"/>
          <w:b/>
          <w:bCs/>
          <w:sz w:val="24"/>
          <w:szCs w:val="24"/>
          <w:highlight w:val="yellow"/>
          <w:lang w:val="es-ES"/>
        </w:rPr>
      </w:pPr>
      <w:r w:rsidRPr="00633E14">
        <w:rPr>
          <w:rFonts w:ascii="Arial" w:hAnsi="Arial" w:cs="Arial"/>
          <w:b/>
          <w:sz w:val="24"/>
          <w:szCs w:val="24"/>
          <w:lang w:val="es-ES"/>
        </w:rPr>
        <w:t>Mandato del Relator Especial sobre los derechos al agua potable y el saneamiento</w:t>
      </w:r>
    </w:p>
    <w:p w14:paraId="3345B163" w14:textId="1E161890" w:rsidR="00DF65DB" w:rsidRPr="00633E14" w:rsidRDefault="00DF65DB" w:rsidP="00DF65DB">
      <w:pPr>
        <w:jc w:val="center"/>
        <w:rPr>
          <w:rFonts w:ascii="Arial" w:hAnsi="Arial" w:cs="Arial"/>
          <w:b/>
          <w:color w:val="2F5496"/>
          <w:sz w:val="24"/>
          <w:szCs w:val="24"/>
        </w:rPr>
      </w:pPr>
      <w:r w:rsidRPr="00633E14">
        <w:rPr>
          <w:rFonts w:ascii="Arial" w:hAnsi="Arial" w:cs="Arial"/>
          <w:b/>
          <w:color w:val="2F5496"/>
          <w:sz w:val="24"/>
          <w:szCs w:val="24"/>
        </w:rPr>
        <w:t>Informe para el 75º período de sesiones de la Asamblea General de las Naciones Unidas en 2020</w:t>
      </w:r>
    </w:p>
    <w:p w14:paraId="54993C82" w14:textId="3AEC98A4" w:rsidR="001E397C" w:rsidRPr="00633E14" w:rsidRDefault="001E397C" w:rsidP="00DF65DB">
      <w:pPr>
        <w:rPr>
          <w:rFonts w:ascii="Arial" w:hAnsi="Arial" w:cs="Arial"/>
          <w:sz w:val="24"/>
          <w:szCs w:val="24"/>
        </w:rPr>
      </w:pPr>
      <w:r w:rsidRPr="00633E14">
        <w:rPr>
          <w:rFonts w:ascii="Arial" w:hAnsi="Arial" w:cs="Arial"/>
          <w:sz w:val="24"/>
          <w:szCs w:val="24"/>
        </w:rPr>
        <w:t>El informe temático del Relator Especial a la Asamblea General que</w:t>
      </w:r>
      <w:r w:rsidR="00B23433" w:rsidRPr="00633E14">
        <w:rPr>
          <w:rFonts w:ascii="Arial" w:hAnsi="Arial" w:cs="Arial"/>
          <w:sz w:val="24"/>
          <w:szCs w:val="24"/>
        </w:rPr>
        <w:t xml:space="preserve"> se presentará en octubre de 202</w:t>
      </w:r>
      <w:r w:rsidRPr="00633E14">
        <w:rPr>
          <w:rFonts w:ascii="Arial" w:hAnsi="Arial" w:cs="Arial"/>
          <w:sz w:val="24"/>
          <w:szCs w:val="24"/>
        </w:rPr>
        <w:t xml:space="preserve">0 se centrará en la privatización y los derechos humanos al agua potable y el saneamiento. A modo de orientación general, la siguiente tabla resume </w:t>
      </w:r>
      <w:r w:rsidR="000A6A60" w:rsidRPr="00633E14">
        <w:rPr>
          <w:rFonts w:ascii="Arial" w:hAnsi="Arial" w:cs="Arial"/>
          <w:sz w:val="24"/>
          <w:szCs w:val="24"/>
        </w:rPr>
        <w:t>el</w:t>
      </w:r>
      <w:r w:rsidRPr="00633E14">
        <w:rPr>
          <w:rFonts w:ascii="Arial" w:hAnsi="Arial" w:cs="Arial"/>
          <w:sz w:val="24"/>
          <w:szCs w:val="24"/>
        </w:rPr>
        <w:t xml:space="preserve"> alcance del informe, aclarando qué situaciones se incluirán en él</w:t>
      </w:r>
      <w:r w:rsidR="000A6A60" w:rsidRPr="00633E14">
        <w:rPr>
          <w:rFonts w:ascii="Arial" w:hAnsi="Arial" w:cs="Arial"/>
          <w:sz w:val="24"/>
          <w:szCs w:val="24"/>
        </w:rPr>
        <w:t xml:space="preserve"> y cuáles no</w:t>
      </w:r>
      <w:r w:rsidRPr="00633E14">
        <w:rPr>
          <w:rFonts w:ascii="Arial" w:hAnsi="Arial" w:cs="Arial"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0A6A60" w:rsidRPr="00633E14" w14:paraId="09EB94E2" w14:textId="77777777" w:rsidTr="00055A3A">
        <w:tc>
          <w:tcPr>
            <w:tcW w:w="4561" w:type="dxa"/>
          </w:tcPr>
          <w:p w14:paraId="15B3209E" w14:textId="77777777" w:rsidR="000A6A60" w:rsidRPr="00633E14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b/>
                <w:sz w:val="24"/>
                <w:szCs w:val="24"/>
                <w:lang w:val="es-ES"/>
              </w:rPr>
              <w:t>El alcance de este informe incluye</w:t>
            </w:r>
          </w:p>
        </w:tc>
        <w:tc>
          <w:tcPr>
            <w:tcW w:w="4501" w:type="dxa"/>
          </w:tcPr>
          <w:p w14:paraId="13F71BA0" w14:textId="77777777" w:rsidR="000A6A60" w:rsidRPr="00633E14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b/>
                <w:sz w:val="24"/>
                <w:szCs w:val="24"/>
                <w:lang w:val="es-ES"/>
              </w:rPr>
              <w:t>El alcance de este informe NO incluye</w:t>
            </w:r>
          </w:p>
        </w:tc>
      </w:tr>
      <w:tr w:rsidR="00DF65DB" w:rsidRPr="00633E14" w14:paraId="33548554" w14:textId="77777777" w:rsidTr="00055A3A">
        <w:tc>
          <w:tcPr>
            <w:tcW w:w="4561" w:type="dxa"/>
          </w:tcPr>
          <w:p w14:paraId="2DBB47B8" w14:textId="77777777" w:rsidR="00DF65DB" w:rsidRPr="00633E14" w:rsidRDefault="000A6A60" w:rsidP="000A6A60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Actores del sector privado (organizaciones con ánimo de lucro)</w:t>
            </w:r>
          </w:p>
        </w:tc>
        <w:tc>
          <w:tcPr>
            <w:tcW w:w="4501" w:type="dxa"/>
          </w:tcPr>
          <w:p w14:paraId="04BB185E" w14:textId="77777777" w:rsidR="004F7CD6" w:rsidRPr="00633E14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Organizaciones sin ánimo de lucro que se dedican a la prestación de servicios</w:t>
            </w:r>
          </w:p>
          <w:p w14:paraId="18A27C4F" w14:textId="77777777" w:rsidR="004F7CD6" w:rsidRPr="00633E14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Proveedores informales de servicios</w:t>
            </w:r>
          </w:p>
          <w:p w14:paraId="2C8791FB" w14:textId="77777777" w:rsidR="004F7CD6" w:rsidRPr="00633E14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Prestación comunitaria de servicios</w:t>
            </w:r>
          </w:p>
          <w:p w14:paraId="67F81542" w14:textId="77777777" w:rsidR="00DF65DB" w:rsidRPr="00633E14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Empresas estatales</w:t>
            </w:r>
          </w:p>
        </w:tc>
      </w:tr>
      <w:tr w:rsidR="00DF65DB" w:rsidRPr="00633E14" w14:paraId="526265E7" w14:textId="77777777" w:rsidTr="00055A3A">
        <w:tc>
          <w:tcPr>
            <w:tcW w:w="4561" w:type="dxa"/>
          </w:tcPr>
          <w:p w14:paraId="4C8BC720" w14:textId="77777777" w:rsidR="00DF65DB" w:rsidRPr="00633E14" w:rsidRDefault="000A6A60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Empresas </w:t>
            </w:r>
            <w:r w:rsidR="005B4108" w:rsidRPr="00633E14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 las que el gobierno posee capital y acciones, pero en las que una gran proporción de las acciones son p</w:t>
            </w:r>
            <w:r w:rsidR="005B4108" w:rsidRPr="00633E14">
              <w:rPr>
                <w:rFonts w:ascii="Arial" w:hAnsi="Arial" w:cs="Arial"/>
                <w:sz w:val="24"/>
                <w:szCs w:val="24"/>
                <w:lang w:val="es-ES"/>
              </w:rPr>
              <w:t>ropiedad de inversores privados</w:t>
            </w:r>
          </w:p>
        </w:tc>
        <w:tc>
          <w:tcPr>
            <w:tcW w:w="4501" w:type="dxa"/>
          </w:tcPr>
          <w:p w14:paraId="2962E7C6" w14:textId="77777777" w:rsidR="00DF65DB" w:rsidRPr="00633E14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Empresas estatales, es decir, cualquier entidad corporativa en la que el gobierno posea casi todo el capital o las acciones con derecho a voto</w:t>
            </w:r>
          </w:p>
        </w:tc>
      </w:tr>
      <w:tr w:rsidR="00DF65DB" w:rsidRPr="00633E14" w14:paraId="2A58EA0C" w14:textId="77777777" w:rsidTr="00055A3A">
        <w:tc>
          <w:tcPr>
            <w:tcW w:w="4561" w:type="dxa"/>
          </w:tcPr>
          <w:p w14:paraId="23EC39FE" w14:textId="77777777" w:rsidR="00DF65DB" w:rsidRPr="00633E14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Participación del sector privado, con especial atención a la prestación de servicios</w:t>
            </w:r>
          </w:p>
        </w:tc>
        <w:tc>
          <w:tcPr>
            <w:tcW w:w="4501" w:type="dxa"/>
          </w:tcPr>
          <w:p w14:paraId="38798E67" w14:textId="77777777" w:rsidR="00DF65DB" w:rsidRPr="00633E14" w:rsidRDefault="002A2DC1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Participación del sector privado en actividades subsidiarias a lo largo de todo el ciclo del agua y el saneamiento mediante, entre </w:t>
            </w:r>
            <w:r w:rsidR="00AC21E2" w:rsidRPr="00633E14">
              <w:rPr>
                <w:rFonts w:ascii="Arial" w:hAnsi="Arial" w:cs="Arial"/>
                <w:sz w:val="24"/>
                <w:szCs w:val="24"/>
                <w:lang w:val="es-ES"/>
              </w:rPr>
              <w:t>otros</w:t>
            </w: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, el suministro de materiales y equipo, el desarrollo de diseños de ingeniería y la construcción de infraestructura</w:t>
            </w:r>
          </w:p>
        </w:tc>
      </w:tr>
      <w:tr w:rsidR="00DF65DB" w:rsidRPr="00633E14" w14:paraId="0EA84517" w14:textId="77777777" w:rsidTr="00055A3A">
        <w:tc>
          <w:tcPr>
            <w:tcW w:w="4561" w:type="dxa"/>
          </w:tcPr>
          <w:p w14:paraId="3017A607" w14:textId="77777777" w:rsidR="00DF65DB" w:rsidRPr="00633E14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Impacto de la remunicipalización y riesgos de la participación del sector privado</w:t>
            </w:r>
          </w:p>
        </w:tc>
        <w:tc>
          <w:tcPr>
            <w:tcW w:w="4501" w:type="dxa"/>
          </w:tcPr>
          <w:p w14:paraId="164921F4" w14:textId="77777777" w:rsidR="00DF65DB" w:rsidRPr="00633E14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Análisis comparativo de los riesgos y ventajas de la provisión de agua y saneamiento por parte de entidades públicas y privadas</w:t>
            </w:r>
          </w:p>
        </w:tc>
      </w:tr>
      <w:tr w:rsidR="00DF65DB" w:rsidRPr="00633E14" w14:paraId="54DC8BEF" w14:textId="77777777" w:rsidTr="00055A3A">
        <w:tc>
          <w:tcPr>
            <w:tcW w:w="4561" w:type="dxa"/>
          </w:tcPr>
          <w:p w14:paraId="686F46B7" w14:textId="77777777" w:rsidR="00DF65DB" w:rsidRPr="00633E14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Servicios de agua y saneamiento</w:t>
            </w:r>
          </w:p>
        </w:tc>
        <w:tc>
          <w:tcPr>
            <w:tcW w:w="4501" w:type="dxa"/>
          </w:tcPr>
          <w:p w14:paraId="0FF8BFA3" w14:textId="77777777" w:rsidR="00DF65DB" w:rsidRPr="00633E14" w:rsidRDefault="00DF65DB" w:rsidP="00055A3A">
            <w:pPr>
              <w:pStyle w:val="LightGrid-Accent31"/>
              <w:spacing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65DB" w:rsidRPr="00633E14" w14:paraId="070B8C5E" w14:textId="77777777" w:rsidTr="00055A3A">
        <w:tc>
          <w:tcPr>
            <w:tcW w:w="4561" w:type="dxa"/>
          </w:tcPr>
          <w:p w14:paraId="2BF120C0" w14:textId="77777777" w:rsidR="00DF65DB" w:rsidRPr="00633E14" w:rsidRDefault="005B4108" w:rsidP="004F7CD6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Evaluar el nivel de riesgos</w:t>
            </w:r>
            <w:r w:rsidR="004F7CD6" w:rsidRPr="00633E14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 y las razones que subyacen a los riesgos</w:t>
            </w:r>
            <w:r w:rsidR="004F7CD6" w:rsidRPr="00633E14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 que conlleva la participación del sector privado cuando las organizaciones con </w:t>
            </w:r>
            <w:r w:rsidR="004F7CD6" w:rsidRPr="00633E14">
              <w:rPr>
                <w:rFonts w:ascii="Arial" w:hAnsi="Arial" w:cs="Arial"/>
                <w:sz w:val="24"/>
                <w:szCs w:val="24"/>
                <w:lang w:val="es-ES"/>
              </w:rPr>
              <w:t>ánimo</w:t>
            </w: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 xml:space="preserve"> de lucro están muy involucrada</w:t>
            </w:r>
            <w:r w:rsidR="004F7CD6" w:rsidRPr="00633E14">
              <w:rPr>
                <w:rFonts w:ascii="Arial" w:hAnsi="Arial" w:cs="Arial"/>
                <w:sz w:val="24"/>
                <w:szCs w:val="24"/>
                <w:lang w:val="es-ES"/>
              </w:rPr>
              <w:t>s en la prestación de servicios</w:t>
            </w:r>
          </w:p>
        </w:tc>
        <w:tc>
          <w:tcPr>
            <w:tcW w:w="4501" w:type="dxa"/>
          </w:tcPr>
          <w:p w14:paraId="5C821FD1" w14:textId="77777777" w:rsidR="00DF65DB" w:rsidRPr="00633E14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3E14">
              <w:rPr>
                <w:rFonts w:ascii="Arial" w:hAnsi="Arial" w:cs="Arial"/>
                <w:sz w:val="24"/>
                <w:szCs w:val="24"/>
                <w:lang w:val="es-ES"/>
              </w:rPr>
              <w:t>Si los derechos humanos dictan un tipo específico de modelo o prestación de servicios</w:t>
            </w:r>
          </w:p>
        </w:tc>
      </w:tr>
    </w:tbl>
    <w:p w14:paraId="7A3B4585" w14:textId="77777777" w:rsidR="007A0FD8" w:rsidRPr="00633E14" w:rsidRDefault="007A0FD8" w:rsidP="007A0FD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33E14">
        <w:rPr>
          <w:rFonts w:ascii="Arial" w:hAnsi="Arial" w:cs="Arial"/>
          <w:b/>
          <w:sz w:val="24"/>
          <w:szCs w:val="24"/>
          <w:lang w:val="es-ES_tradnl"/>
        </w:rPr>
        <w:lastRenderedPageBreak/>
        <w:t>Cuestionario - agentes no estatales</w:t>
      </w:r>
    </w:p>
    <w:p w14:paraId="4EE6E78B" w14:textId="77777777" w:rsidR="007A0FD8" w:rsidRPr="00633E14" w:rsidRDefault="007A0FD8" w:rsidP="007A0FD8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El Relator Especial agradecería recibir respuestas a las siguientes preguntas:</w:t>
      </w:r>
    </w:p>
    <w:p w14:paraId="0B4D8C73" w14:textId="6A4FE011" w:rsidR="007A0FD8" w:rsidRPr="00633E14" w:rsidRDefault="007A0FD8" w:rsidP="00FA7741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33E14">
        <w:rPr>
          <w:rFonts w:ascii="Arial" w:hAnsi="Arial" w:cs="Arial"/>
          <w:b/>
          <w:bCs/>
          <w:sz w:val="24"/>
          <w:szCs w:val="24"/>
          <w:lang w:val="es-ES_tradnl"/>
        </w:rPr>
        <w:t>Sírvase describir brevemente la función y las responsabilidades de su organización en el sector del agua y el saneamiento, en particular en lo que respecta a la evaluación o promoción de la prestación de servicios privados.</w:t>
      </w:r>
    </w:p>
    <w:p w14:paraId="51AF4F33" w14:textId="55F724B8" w:rsidR="00FA7741" w:rsidRPr="00633E14" w:rsidRDefault="000E4AB1" w:rsidP="00FA77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s-ES_tradnl"/>
        </w:rPr>
        <w:t>La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Asociació</w:t>
      </w:r>
      <w:r w:rsidR="00CB58E0">
        <w:rPr>
          <w:rFonts w:ascii="Arial" w:hAnsi="Arial" w:cs="Arial"/>
          <w:sz w:val="24"/>
          <w:szCs w:val="24"/>
          <w:lang w:val="es-ES_tradnl"/>
        </w:rPr>
        <w:t>n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 Água Públic</w:t>
      </w:r>
      <w:r w:rsidR="00210A23">
        <w:rPr>
          <w:rFonts w:ascii="Arial" w:hAnsi="Arial" w:cs="Arial"/>
          <w:sz w:val="24"/>
          <w:szCs w:val="24"/>
          <w:lang w:val="es-ES_tradnl"/>
        </w:rPr>
        <w:t>a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633E14">
        <w:rPr>
          <w:rFonts w:ascii="Arial" w:hAnsi="Arial" w:cs="Arial"/>
          <w:sz w:val="24"/>
          <w:szCs w:val="24"/>
          <w:lang w:val="es-ES_tradnl"/>
        </w:rPr>
        <w:t>la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campaña</w:t>
      </w:r>
      <w:r w:rsidR="005939D4" w:rsidRPr="005939D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5939D4" w:rsidRPr="00633E14">
        <w:rPr>
          <w:rFonts w:ascii="Arial" w:hAnsi="Arial" w:cs="Arial"/>
          <w:sz w:val="24"/>
          <w:szCs w:val="24"/>
          <w:lang w:val="es-ES_tradnl"/>
        </w:rPr>
        <w:t xml:space="preserve">gua 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5939D4" w:rsidRPr="00633E14">
        <w:rPr>
          <w:rFonts w:ascii="Arial" w:hAnsi="Arial" w:cs="Arial"/>
          <w:sz w:val="24"/>
          <w:szCs w:val="24"/>
          <w:lang w:val="es-ES_tradnl"/>
        </w:rPr>
        <w:t>de todos,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son organizaciones y movimientos </w:t>
      </w:r>
      <w:r>
        <w:rPr>
          <w:rFonts w:ascii="Arial" w:hAnsi="Arial" w:cs="Arial"/>
          <w:sz w:val="24"/>
          <w:szCs w:val="24"/>
          <w:lang w:val="es-ES_tradnl"/>
        </w:rPr>
        <w:t xml:space="preserve">portugueses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>defensor</w:t>
      </w:r>
      <w:r w:rsidR="005939D4">
        <w:rPr>
          <w:rFonts w:ascii="Arial" w:hAnsi="Arial" w:cs="Arial"/>
          <w:sz w:val="24"/>
          <w:szCs w:val="24"/>
          <w:lang w:val="es-ES_tradnl"/>
        </w:rPr>
        <w:t>es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 del derecho al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agua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>, de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la gestión pública, </w:t>
      </w:r>
      <w:r w:rsidR="00633E1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>contra</w:t>
      </w:r>
      <w:r w:rsidR="00633E14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 la privatización.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5939D4">
        <w:rPr>
          <w:rFonts w:ascii="Arial" w:hAnsi="Arial" w:cs="Arial"/>
          <w:sz w:val="24"/>
          <w:szCs w:val="24"/>
          <w:lang w:val="es-ES_tradnl"/>
        </w:rPr>
        <w:t>Campaña</w:t>
      </w:r>
      <w:r>
        <w:rPr>
          <w:rFonts w:ascii="Arial" w:hAnsi="Arial" w:cs="Arial"/>
          <w:sz w:val="24"/>
          <w:szCs w:val="24"/>
          <w:lang w:val="es-ES_tradnl"/>
        </w:rPr>
        <w:t xml:space="preserve"> A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gua </w:t>
      </w:r>
      <w:r>
        <w:rPr>
          <w:rFonts w:ascii="Arial" w:hAnsi="Arial" w:cs="Arial"/>
          <w:sz w:val="24"/>
          <w:szCs w:val="24"/>
          <w:lang w:val="es-ES_tradnl"/>
        </w:rPr>
        <w:t xml:space="preserve">es </w:t>
      </w:r>
      <w:r w:rsidRPr="00633E14">
        <w:rPr>
          <w:rFonts w:ascii="Arial" w:hAnsi="Arial" w:cs="Arial"/>
          <w:sz w:val="24"/>
          <w:szCs w:val="24"/>
          <w:lang w:val="es-ES_tradnl"/>
        </w:rPr>
        <w:t>de todos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>(</w:t>
      </w:r>
      <w:hyperlink r:id="rId10" w:history="1">
        <w:r w:rsidR="00FA7741" w:rsidRPr="00633E14">
          <w:rPr>
            <w:rStyle w:val="Hiperligao"/>
            <w:rFonts w:ascii="Arial" w:hAnsi="Arial" w:cs="Arial"/>
            <w:sz w:val="24"/>
            <w:szCs w:val="24"/>
            <w:lang w:val="es-ES_tradnl"/>
          </w:rPr>
          <w:t>www.aguadetodos.com</w:t>
        </w:r>
      </w:hyperlink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5939D4">
        <w:rPr>
          <w:rFonts w:ascii="Arial" w:hAnsi="Arial" w:cs="Arial"/>
          <w:sz w:val="24"/>
          <w:szCs w:val="24"/>
          <w:lang w:val="es-ES_tradnl"/>
        </w:rPr>
        <w:t>promovió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 una iniciativa legislativa ciudadana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llamada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«Protección de los derechos individuales y comunes al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agua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» - 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suscrita por más de 40 mil personas, </w:t>
      </w:r>
      <w:r w:rsidR="00FA7741" w:rsidRPr="00633E14">
        <w:rPr>
          <w:rFonts w:ascii="Arial" w:hAnsi="Arial" w:cs="Arial"/>
          <w:sz w:val="24"/>
          <w:szCs w:val="24"/>
          <w:lang w:val="es-ES_tradnl"/>
        </w:rPr>
        <w:t xml:space="preserve">presentada en 2013, en el Parlamento portugués </w:t>
      </w:r>
      <w:r w:rsidR="00A43865" w:rsidRPr="00633E14">
        <w:rPr>
          <w:rFonts w:ascii="Arial" w:hAnsi="Arial" w:cs="Arial"/>
          <w:sz w:val="24"/>
          <w:szCs w:val="24"/>
          <w:lang w:val="es-ES_tradnl"/>
        </w:rPr>
        <w:t>- votada</w:t>
      </w:r>
      <w:r w:rsidR="00FA7741" w:rsidRPr="00633E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10/10/2014. En</w:t>
      </w:r>
      <w:r w:rsidR="00F45600">
        <w:rPr>
          <w:rFonts w:ascii="Arial" w:hAnsi="Arial" w:cs="Arial"/>
          <w:color w:val="000000"/>
          <w:sz w:val="24"/>
          <w:szCs w:val="24"/>
          <w:shd w:val="clear" w:color="auto" w:fill="FFFFFF"/>
        </w:rPr>
        <w:t>tonces</w:t>
      </w:r>
      <w:r w:rsidR="005939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7741" w:rsidRPr="00633E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maioria absoluta de derecha, la coligacion PSD-CDS la recha</w:t>
      </w:r>
      <w:r w:rsidR="005939D4">
        <w:rPr>
          <w:rFonts w:ascii="Arial" w:hAnsi="Arial" w:cs="Arial"/>
          <w:color w:val="000000"/>
          <w:sz w:val="24"/>
          <w:szCs w:val="24"/>
          <w:shd w:val="clear" w:color="auto" w:fill="FFFFFF"/>
        </w:rPr>
        <w:t>ç</w:t>
      </w:r>
      <w:r w:rsidR="00FA7741" w:rsidRPr="00633E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ó. El Partido socialista, PS, votó a favor, al lado del PCP, BE e do PEV. </w:t>
      </w:r>
    </w:p>
    <w:p w14:paraId="2D84AA58" w14:textId="4ADDC5AE" w:rsidR="00FA7741" w:rsidRPr="00633E14" w:rsidRDefault="00FA7741" w:rsidP="00FA7741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En la legislatura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Pr="00633E14">
        <w:rPr>
          <w:rFonts w:ascii="Arial" w:hAnsi="Arial" w:cs="Arial"/>
          <w:sz w:val="24"/>
          <w:szCs w:val="24"/>
          <w:lang w:val="es-ES_tradnl"/>
        </w:rPr>
        <w:t>, los partidos que habían votado a favor tenían una mayoría, pero la iniciativa había expirado y, para volver a presentarla, se necesitarían nuevamente 35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000 suscriptores. El PCP y BE, accediendo a la solicitud de la 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C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omisión 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P</w:t>
      </w:r>
      <w:r w:rsidRPr="00633E14">
        <w:rPr>
          <w:rFonts w:ascii="Arial" w:hAnsi="Arial" w:cs="Arial"/>
          <w:sz w:val="24"/>
          <w:szCs w:val="24"/>
          <w:lang w:val="es-ES_tradnl"/>
        </w:rPr>
        <w:t>romotora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de la campaña Água de todos</w:t>
      </w:r>
      <w:r w:rsidRPr="00633E14">
        <w:rPr>
          <w:rFonts w:ascii="Arial" w:hAnsi="Arial" w:cs="Arial"/>
          <w:sz w:val="24"/>
          <w:szCs w:val="24"/>
          <w:lang w:val="es-ES_tradnl"/>
        </w:rPr>
        <w:t>, presentaron, respectivamente, el proyecto de ley 358 / XIII y el proyecto de ley 335 / XIII, que reprodujeron el texto completo y fueron sometidos a votación el 1/6/2017. Por este tiempo, cuando la derecha, PSD y CDS no pudieron garantizar el rechazo solo, el PS pronto se unió a ellos votando en contra del proyecto de ley, esta vez sin un discurso. Votaron a favor de PCP, BE, PEV y PAN, pero se siguió negando el "derecho al agua".</w:t>
      </w:r>
    </w:p>
    <w:p w14:paraId="3911E029" w14:textId="77777777" w:rsidR="007A0FD8" w:rsidRPr="00633E14" w:rsidRDefault="007A0FD8" w:rsidP="007A0FD8">
      <w:pPr>
        <w:rPr>
          <w:rFonts w:ascii="Arial" w:hAnsi="Arial" w:cs="Arial"/>
          <w:b/>
          <w:sz w:val="24"/>
          <w:szCs w:val="24"/>
          <w:lang w:val="es-ES"/>
        </w:rPr>
      </w:pPr>
      <w:r w:rsidRPr="00633E14">
        <w:rPr>
          <w:rFonts w:ascii="Arial" w:hAnsi="Arial" w:cs="Arial"/>
          <w:b/>
          <w:sz w:val="24"/>
          <w:szCs w:val="24"/>
          <w:lang w:val="es-ES"/>
        </w:rPr>
        <w:t>Situación y tendencias actuales</w:t>
      </w:r>
    </w:p>
    <w:p w14:paraId="7DD14A33" w14:textId="05E08C12" w:rsidR="007A0FD8" w:rsidRPr="00633E14" w:rsidRDefault="007A0FD8" w:rsidP="00FA7741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33E14">
        <w:rPr>
          <w:rFonts w:ascii="Arial" w:hAnsi="Arial" w:cs="Arial"/>
          <w:b/>
          <w:bCs/>
          <w:sz w:val="24"/>
          <w:szCs w:val="24"/>
          <w:lang w:val="es-ES_tradnl"/>
        </w:rPr>
        <w:t>En su opinión, ¿cuál ha sido el papel del sector privado en la provisión de agua y saneamiento en los países en los que trabaja su organización (o a nivel mundial)? ¿Cómo ha evolucionado este papel en las últimas décadas? Sírvanse proporcionar ejemplos.</w:t>
      </w:r>
    </w:p>
    <w:p w14:paraId="23BD3199" w14:textId="57B1B181" w:rsidR="00FA7741" w:rsidRPr="00633E14" w:rsidRDefault="00FA7741" w:rsidP="00FA7741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En Portugal hay 33 concesiones privadas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 xml:space="preserve"> de abastecimiento de </w:t>
      </w:r>
      <w:r w:rsidR="00CB58E0">
        <w:rPr>
          <w:rFonts w:ascii="Arial" w:hAnsi="Arial" w:cs="Arial"/>
          <w:sz w:val="24"/>
          <w:szCs w:val="24"/>
          <w:lang w:val="es-ES_tradnl"/>
        </w:rPr>
        <w:t>a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 xml:space="preserve">gua. En los últimos años las concesiones se han detenido y solo una se ha finalizado en 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finales de 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>2018, en Vila Real de Santo Antonio - Algarve. Los precios dispararon</w:t>
      </w:r>
      <w:r w:rsidR="00210A23">
        <w:rPr>
          <w:rFonts w:ascii="Arial" w:hAnsi="Arial" w:cs="Arial"/>
          <w:sz w:val="24"/>
          <w:szCs w:val="24"/>
          <w:lang w:val="es-ES_tradnl"/>
        </w:rPr>
        <w:t>, perjudicando la ciudadanía y la economía. L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>os ayuntamientos han sido mui p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er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>judicados</w:t>
      </w:r>
      <w:r w:rsidR="00210A23">
        <w:rPr>
          <w:rFonts w:ascii="Arial" w:hAnsi="Arial" w:cs="Arial"/>
          <w:sz w:val="24"/>
          <w:szCs w:val="24"/>
          <w:lang w:val="es-ES_tradnl"/>
        </w:rPr>
        <w:t>, el control democrático desapareció</w:t>
      </w:r>
      <w:r w:rsidR="00B82305" w:rsidRPr="00633E14">
        <w:rPr>
          <w:rFonts w:ascii="Arial" w:hAnsi="Arial" w:cs="Arial"/>
          <w:sz w:val="24"/>
          <w:szCs w:val="24"/>
          <w:lang w:val="es-ES_tradnl"/>
        </w:rPr>
        <w:t>.</w:t>
      </w:r>
    </w:p>
    <w:p w14:paraId="61188767" w14:textId="299C40C8" w:rsidR="007A0FD8" w:rsidRPr="00633E14" w:rsidRDefault="007A0FD8" w:rsidP="00B82305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33E14">
        <w:rPr>
          <w:rFonts w:ascii="Arial" w:hAnsi="Arial" w:cs="Arial"/>
          <w:b/>
          <w:bCs/>
          <w:sz w:val="24"/>
          <w:szCs w:val="24"/>
          <w:lang w:val="es-ES_tradnl"/>
        </w:rPr>
        <w:t xml:space="preserve">¿Por qué las autoridades públicas permiten o incluso atraen la privatización de los servicios de agua y saneamiento? ¿Cuáles serían las alternativas para las autoridades públicas? </w:t>
      </w:r>
    </w:p>
    <w:p w14:paraId="1D142A02" w14:textId="31FD3F3C" w:rsidR="00B82305" w:rsidRPr="00633E14" w:rsidRDefault="00B82305" w:rsidP="00B82305">
      <w:pPr>
        <w:pStyle w:val="PargrafodaLista"/>
        <w:rPr>
          <w:rFonts w:ascii="Arial" w:hAnsi="Arial" w:cs="Arial"/>
          <w:sz w:val="24"/>
          <w:szCs w:val="24"/>
          <w:lang w:val="es-ES_tradnl"/>
        </w:rPr>
      </w:pPr>
    </w:p>
    <w:p w14:paraId="6A5AE10F" w14:textId="3F9A5236" w:rsidR="00B82305" w:rsidRPr="005939D4" w:rsidRDefault="00B82305" w:rsidP="005939D4">
      <w:pPr>
        <w:rPr>
          <w:rFonts w:ascii="Arial" w:hAnsi="Arial" w:cs="Arial"/>
          <w:sz w:val="24"/>
          <w:szCs w:val="24"/>
          <w:lang w:val="es-ES_tradnl"/>
        </w:rPr>
      </w:pPr>
      <w:r w:rsidRPr="005939D4">
        <w:rPr>
          <w:rFonts w:ascii="Arial" w:hAnsi="Arial" w:cs="Arial"/>
          <w:sz w:val="24"/>
          <w:szCs w:val="24"/>
          <w:lang w:val="es-ES_tradnl"/>
        </w:rPr>
        <w:t xml:space="preserve">Por razones ideológicas, aunque mascaradas de pragmáticas, </w:t>
      </w:r>
      <w:r w:rsidR="00A43865" w:rsidRPr="005939D4">
        <w:rPr>
          <w:rFonts w:ascii="Arial" w:hAnsi="Arial" w:cs="Arial"/>
          <w:sz w:val="24"/>
          <w:szCs w:val="24"/>
          <w:lang w:val="es-ES_tradnl"/>
        </w:rPr>
        <w:t xml:space="preserve">y también </w:t>
      </w:r>
      <w:r w:rsidRPr="005939D4">
        <w:rPr>
          <w:rFonts w:ascii="Arial" w:hAnsi="Arial" w:cs="Arial"/>
          <w:sz w:val="24"/>
          <w:szCs w:val="24"/>
          <w:lang w:val="es-ES_tradnl"/>
        </w:rPr>
        <w:t>económicas y financieras</w:t>
      </w:r>
      <w:r w:rsidR="00A43865" w:rsidRPr="005939D4">
        <w:rPr>
          <w:rFonts w:ascii="Arial" w:hAnsi="Arial" w:cs="Arial"/>
          <w:sz w:val="24"/>
          <w:szCs w:val="24"/>
          <w:lang w:val="es-ES_tradnl"/>
        </w:rPr>
        <w:t>. La alternativa es defender la gestión pública, dotar-la de los medios humanos, financieros, tecnológicos, etc.</w:t>
      </w:r>
    </w:p>
    <w:p w14:paraId="3A0409DE" w14:textId="77777777" w:rsidR="00B82305" w:rsidRPr="00633E14" w:rsidRDefault="00B82305" w:rsidP="00B82305">
      <w:pPr>
        <w:pStyle w:val="PargrafodaLista"/>
        <w:rPr>
          <w:rFonts w:ascii="Arial" w:hAnsi="Arial" w:cs="Arial"/>
          <w:sz w:val="24"/>
          <w:szCs w:val="24"/>
          <w:lang w:val="es-ES_tradnl"/>
        </w:rPr>
      </w:pPr>
    </w:p>
    <w:p w14:paraId="050F6472" w14:textId="5D179E18" w:rsidR="007A0FD8" w:rsidRPr="00633E14" w:rsidRDefault="007A0FD8" w:rsidP="00B82305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633E14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En su opinión, ¿las Instituciones Financieras Internacionales (IFI) han fomentado recientemente la privatización? ¿Podría darnos ejemplos concretos?</w:t>
      </w:r>
    </w:p>
    <w:p w14:paraId="1135EED2" w14:textId="36E2B5F4" w:rsidR="00B82305" w:rsidRPr="00633E14" w:rsidRDefault="00B82305" w:rsidP="00B82305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A43865" w:rsidRPr="00633E14">
        <w:rPr>
          <w:rFonts w:ascii="Arial" w:hAnsi="Arial" w:cs="Arial"/>
          <w:sz w:val="24"/>
          <w:szCs w:val="24"/>
          <w:lang w:val="es-ES_tradnl"/>
        </w:rPr>
        <w:t>rescate</w:t>
      </w:r>
      <w:r w:rsidR="003A7BD0">
        <w:rPr>
          <w:rFonts w:ascii="Arial" w:hAnsi="Arial" w:cs="Arial"/>
          <w:sz w:val="24"/>
          <w:szCs w:val="24"/>
          <w:lang w:val="es-ES_tradnl"/>
        </w:rPr>
        <w:t xml:space="preserve"> (2011-2015)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B58E0">
        <w:rPr>
          <w:rFonts w:ascii="Arial" w:hAnsi="Arial" w:cs="Arial"/>
          <w:sz w:val="24"/>
          <w:szCs w:val="24"/>
          <w:lang w:val="es-ES_tradnl"/>
        </w:rPr>
        <w:t xml:space="preserve">el gobierno y </w:t>
      </w:r>
      <w:r w:rsidRPr="00633E14">
        <w:rPr>
          <w:rFonts w:ascii="Arial" w:hAnsi="Arial" w:cs="Arial"/>
          <w:sz w:val="24"/>
          <w:szCs w:val="24"/>
          <w:lang w:val="es-ES_tradnl"/>
        </w:rPr>
        <w:t>la troica (Uni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ó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n Europea, Banco Central Europeo 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y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Fondo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Monet</w:t>
      </w:r>
      <w:r w:rsidR="00CB58E0">
        <w:rPr>
          <w:rFonts w:ascii="Arial" w:hAnsi="Arial" w:cs="Arial"/>
          <w:sz w:val="24"/>
          <w:szCs w:val="24"/>
          <w:lang w:val="es-ES_tradnl"/>
        </w:rPr>
        <w:t>a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rio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>Internacional) incluyeron</w:t>
      </w:r>
      <w:r w:rsidR="005939D4">
        <w:rPr>
          <w:rFonts w:ascii="Arial" w:hAnsi="Arial" w:cs="Arial"/>
          <w:sz w:val="24"/>
          <w:szCs w:val="24"/>
          <w:lang w:val="es-ES_tradnl"/>
        </w:rPr>
        <w:t xml:space="preserve"> en la revisión del memorando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la privatización del sector del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agua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y de la empresa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Aguas</w:t>
      </w:r>
      <w:r w:rsidR="0095383A" w:rsidRPr="00633E14">
        <w:rPr>
          <w:rFonts w:ascii="Arial" w:hAnsi="Arial" w:cs="Arial"/>
          <w:sz w:val="24"/>
          <w:szCs w:val="24"/>
          <w:lang w:val="es-ES_tradnl"/>
        </w:rPr>
        <w:t xml:space="preserve"> de Portugal.</w:t>
      </w:r>
    </w:p>
    <w:p w14:paraId="3A8D1DB7" w14:textId="310243B8" w:rsidR="007A0FD8" w:rsidRPr="00633E14" w:rsidRDefault="007A0FD8" w:rsidP="0095383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633E14">
        <w:rPr>
          <w:rFonts w:ascii="Arial" w:hAnsi="Arial" w:cs="Arial"/>
          <w:b/>
          <w:bCs/>
          <w:sz w:val="24"/>
          <w:szCs w:val="24"/>
          <w:lang w:val="es-ES"/>
        </w:rPr>
        <w:t>En caso de crisis económica, ¿ha aumentado la</w:t>
      </w:r>
      <w:r w:rsidR="002D4F09" w:rsidRPr="00633E14">
        <w:rPr>
          <w:rFonts w:ascii="Arial" w:hAnsi="Arial" w:cs="Arial"/>
          <w:b/>
          <w:bCs/>
          <w:sz w:val="24"/>
          <w:szCs w:val="24"/>
          <w:lang w:val="es-ES"/>
        </w:rPr>
        <w:t xml:space="preserve"> promoción de la privatización?</w:t>
      </w:r>
    </w:p>
    <w:p w14:paraId="0D989113" w14:textId="62C7539C" w:rsidR="0095383A" w:rsidRPr="00633E14" w:rsidRDefault="0095383A" w:rsidP="0095383A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 xml:space="preserve">Si, </w:t>
      </w:r>
      <w:r w:rsidR="00CB58E0">
        <w:rPr>
          <w:rFonts w:ascii="Arial" w:hAnsi="Arial" w:cs="Arial"/>
          <w:sz w:val="24"/>
          <w:szCs w:val="24"/>
          <w:lang w:val="es-ES"/>
        </w:rPr>
        <w:t xml:space="preserve">las concesiones se aceleraron 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y el gobierno de la derecha </w:t>
      </w:r>
      <w:r w:rsidR="003A7BD0">
        <w:rPr>
          <w:rFonts w:ascii="Arial" w:hAnsi="Arial" w:cs="Arial"/>
          <w:sz w:val="24"/>
          <w:szCs w:val="24"/>
          <w:lang w:val="es-ES"/>
        </w:rPr>
        <w:t>PSD-CDS (2011-2015)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preparó </w:t>
      </w:r>
      <w:r w:rsidR="00F45600">
        <w:rPr>
          <w:rFonts w:ascii="Arial" w:hAnsi="Arial" w:cs="Arial"/>
          <w:sz w:val="24"/>
          <w:szCs w:val="24"/>
          <w:lang w:val="es-ES"/>
        </w:rPr>
        <w:t xml:space="preserve">la privatización de la empresa Aguas de Portugal, </w:t>
      </w:r>
      <w:r w:rsidRPr="00633E14">
        <w:rPr>
          <w:rFonts w:ascii="Arial" w:hAnsi="Arial" w:cs="Arial"/>
          <w:sz w:val="24"/>
          <w:szCs w:val="24"/>
          <w:lang w:val="es-ES"/>
        </w:rPr>
        <w:t>pero perdieron las elecciones en finales de 2015</w:t>
      </w:r>
      <w:r w:rsidR="00F45600">
        <w:rPr>
          <w:rFonts w:ascii="Arial" w:hAnsi="Arial" w:cs="Arial"/>
          <w:sz w:val="24"/>
          <w:szCs w:val="24"/>
          <w:lang w:val="es-ES"/>
        </w:rPr>
        <w:t xml:space="preserve">. Sin </w:t>
      </w:r>
      <w:proofErr w:type="gramStart"/>
      <w:r w:rsidR="00F45600">
        <w:rPr>
          <w:rFonts w:ascii="Arial" w:hAnsi="Arial" w:cs="Arial"/>
          <w:sz w:val="24"/>
          <w:szCs w:val="24"/>
          <w:lang w:val="es-ES"/>
        </w:rPr>
        <w:t>embargo</w:t>
      </w:r>
      <w:proofErr w:type="gramEnd"/>
      <w:r w:rsidR="00F45600">
        <w:rPr>
          <w:rFonts w:ascii="Arial" w:hAnsi="Arial" w:cs="Arial"/>
          <w:sz w:val="24"/>
          <w:szCs w:val="24"/>
          <w:lang w:val="es-ES"/>
        </w:rPr>
        <w:t xml:space="preserve"> </w:t>
      </w:r>
      <w:r w:rsidR="00D23C43">
        <w:rPr>
          <w:rFonts w:ascii="Arial" w:hAnsi="Arial" w:cs="Arial"/>
          <w:sz w:val="24"/>
          <w:szCs w:val="24"/>
          <w:lang w:val="es-ES"/>
        </w:rPr>
        <w:t>las</w:t>
      </w:r>
      <w:r w:rsidR="003A7BD0">
        <w:rPr>
          <w:rFonts w:ascii="Arial" w:hAnsi="Arial" w:cs="Arial"/>
          <w:sz w:val="24"/>
          <w:szCs w:val="24"/>
          <w:lang w:val="es-ES"/>
        </w:rPr>
        <w:t xml:space="preserve"> leyes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privatizadora</w:t>
      </w:r>
      <w:r w:rsidR="003A7BD0">
        <w:rPr>
          <w:rFonts w:ascii="Arial" w:hAnsi="Arial" w:cs="Arial"/>
          <w:sz w:val="24"/>
          <w:szCs w:val="24"/>
          <w:lang w:val="es-ES"/>
        </w:rPr>
        <w:t>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se mantiene</w:t>
      </w:r>
      <w:r w:rsidR="003A7BD0">
        <w:rPr>
          <w:rFonts w:ascii="Arial" w:hAnsi="Arial" w:cs="Arial"/>
          <w:sz w:val="24"/>
          <w:szCs w:val="24"/>
          <w:lang w:val="es-ES"/>
        </w:rPr>
        <w:t>n todas</w:t>
      </w:r>
      <w:r w:rsidRPr="00633E14">
        <w:rPr>
          <w:rFonts w:ascii="Arial" w:hAnsi="Arial" w:cs="Arial"/>
          <w:sz w:val="24"/>
          <w:szCs w:val="24"/>
          <w:lang w:val="es-ES"/>
        </w:rPr>
        <w:t>.</w:t>
      </w:r>
      <w:r w:rsidR="003A7BD0">
        <w:rPr>
          <w:rFonts w:ascii="Arial" w:hAnsi="Arial" w:cs="Arial"/>
          <w:sz w:val="24"/>
          <w:szCs w:val="24"/>
          <w:lang w:val="es-ES"/>
        </w:rPr>
        <w:t xml:space="preserve"> </w:t>
      </w:r>
      <w:r w:rsidR="00240849">
        <w:rPr>
          <w:rFonts w:ascii="Arial" w:hAnsi="Arial" w:cs="Arial"/>
          <w:sz w:val="24"/>
          <w:szCs w:val="24"/>
          <w:lang w:val="es-ES"/>
        </w:rPr>
        <w:t>A pesar de todo, e</w:t>
      </w:r>
      <w:r w:rsidR="003A7BD0">
        <w:rPr>
          <w:rFonts w:ascii="Arial" w:hAnsi="Arial" w:cs="Arial"/>
          <w:sz w:val="24"/>
          <w:szCs w:val="24"/>
          <w:lang w:val="es-ES"/>
        </w:rPr>
        <w:t>ntre 2016-2019, se han revertido algunas medidas negativas</w:t>
      </w:r>
      <w:r w:rsidR="00F45600">
        <w:rPr>
          <w:rFonts w:ascii="Arial" w:hAnsi="Arial" w:cs="Arial"/>
          <w:sz w:val="24"/>
          <w:szCs w:val="24"/>
          <w:lang w:val="es-ES"/>
        </w:rPr>
        <w:t>.</w:t>
      </w:r>
    </w:p>
    <w:p w14:paraId="3C171CB0" w14:textId="77777777" w:rsidR="007A0FD8" w:rsidRPr="00633E14" w:rsidRDefault="007A0FD8" w:rsidP="007A0FD8">
      <w:pPr>
        <w:rPr>
          <w:rFonts w:ascii="Arial" w:hAnsi="Arial" w:cs="Arial"/>
          <w:b/>
          <w:sz w:val="24"/>
          <w:szCs w:val="24"/>
          <w:lang w:val="es-ES"/>
        </w:rPr>
      </w:pPr>
      <w:r w:rsidRPr="00633E14">
        <w:rPr>
          <w:rFonts w:ascii="Arial" w:hAnsi="Arial" w:cs="Arial"/>
          <w:b/>
          <w:sz w:val="24"/>
          <w:szCs w:val="24"/>
          <w:lang w:val="es-ES"/>
        </w:rPr>
        <w:t>Provisión privada</w:t>
      </w:r>
    </w:p>
    <w:p w14:paraId="5DB45E48" w14:textId="79632E75" w:rsidR="007A0FD8" w:rsidRPr="00633E14" w:rsidRDefault="00302278" w:rsidP="0095383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633E14">
        <w:rPr>
          <w:rFonts w:ascii="Arial" w:hAnsi="Arial" w:cs="Arial"/>
          <w:b/>
          <w:bCs/>
          <w:sz w:val="24"/>
          <w:szCs w:val="24"/>
          <w:lang w:val="es-ES"/>
        </w:rPr>
        <w:t>Según</w:t>
      </w:r>
      <w:r w:rsidR="007A0FD8" w:rsidRPr="00633E14">
        <w:rPr>
          <w:rFonts w:ascii="Arial" w:hAnsi="Arial" w:cs="Arial"/>
          <w:b/>
          <w:bCs/>
          <w:sz w:val="24"/>
          <w:szCs w:val="24"/>
          <w:lang w:val="es-ES"/>
        </w:rPr>
        <w:t xml:space="preserve"> su experiencia, si el sector privado está involucrado en la provisión de servicios de agua y saneamiento, ¿qué proceso se llevó a cabo antes de la decisión de adoptar este modelo de provisión? ¿Qué tipo de preocupaciones se han tenido en cuenta en esas decisiones?</w:t>
      </w:r>
    </w:p>
    <w:p w14:paraId="2694F99C" w14:textId="0658A809" w:rsidR="00055A3A" w:rsidRDefault="006E5765" w:rsidP="0095383A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>Las</w:t>
      </w:r>
      <w:r w:rsidR="0095383A"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Pr="00633E14">
        <w:rPr>
          <w:rFonts w:ascii="Arial" w:hAnsi="Arial" w:cs="Arial"/>
          <w:sz w:val="24"/>
          <w:szCs w:val="24"/>
          <w:lang w:val="es-ES"/>
        </w:rPr>
        <w:t>primeras concesiones</w:t>
      </w:r>
      <w:r w:rsidR="00F45600">
        <w:rPr>
          <w:rFonts w:ascii="Arial" w:hAnsi="Arial" w:cs="Arial"/>
          <w:sz w:val="24"/>
          <w:szCs w:val="24"/>
          <w:lang w:val="es-ES"/>
        </w:rPr>
        <w:t xml:space="preserve"> -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="00633E14">
        <w:rPr>
          <w:rFonts w:ascii="Arial" w:hAnsi="Arial" w:cs="Arial"/>
          <w:sz w:val="24"/>
          <w:szCs w:val="24"/>
          <w:lang w:val="es-ES"/>
        </w:rPr>
        <w:t>la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primer</w:t>
      </w:r>
      <w:r w:rsidR="00633E14">
        <w:rPr>
          <w:rFonts w:ascii="Arial" w:hAnsi="Arial" w:cs="Arial"/>
          <w:sz w:val="24"/>
          <w:szCs w:val="24"/>
          <w:lang w:val="es-ES"/>
        </w:rPr>
        <w:t>a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fue en 199</w:t>
      </w:r>
      <w:r w:rsidR="00F45600">
        <w:rPr>
          <w:rFonts w:ascii="Arial" w:hAnsi="Arial" w:cs="Arial"/>
          <w:sz w:val="24"/>
          <w:szCs w:val="24"/>
          <w:lang w:val="es-ES"/>
        </w:rPr>
        <w:t>3/9</w:t>
      </w:r>
      <w:r w:rsidRPr="00633E14">
        <w:rPr>
          <w:rFonts w:ascii="Arial" w:hAnsi="Arial" w:cs="Arial"/>
          <w:sz w:val="24"/>
          <w:szCs w:val="24"/>
          <w:lang w:val="es-ES"/>
        </w:rPr>
        <w:t>4,</w:t>
      </w:r>
      <w:r w:rsidR="00633E14">
        <w:rPr>
          <w:rFonts w:ascii="Arial" w:hAnsi="Arial" w:cs="Arial"/>
          <w:sz w:val="24"/>
          <w:szCs w:val="24"/>
          <w:lang w:val="es-ES"/>
        </w:rPr>
        <w:t xml:space="preserve"> en Mafra,</w:t>
      </w:r>
      <w:r w:rsidR="0095383A"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="00D23C43">
        <w:rPr>
          <w:rFonts w:ascii="Arial" w:hAnsi="Arial" w:cs="Arial"/>
          <w:sz w:val="24"/>
          <w:szCs w:val="24"/>
          <w:lang w:val="es-ES"/>
        </w:rPr>
        <w:t>fueran lanzadas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="0095383A" w:rsidRPr="00633E14">
        <w:rPr>
          <w:rFonts w:ascii="Arial" w:hAnsi="Arial" w:cs="Arial"/>
          <w:sz w:val="24"/>
          <w:szCs w:val="24"/>
          <w:lang w:val="es-ES"/>
        </w:rPr>
        <w:t>sin ninguna información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y sin debate. </w:t>
      </w:r>
      <w:r w:rsidR="00633E14">
        <w:rPr>
          <w:rFonts w:ascii="Arial" w:hAnsi="Arial" w:cs="Arial"/>
          <w:sz w:val="24"/>
          <w:szCs w:val="24"/>
          <w:lang w:val="es-ES"/>
        </w:rPr>
        <w:t>No había s</w:t>
      </w:r>
      <w:r w:rsidRPr="00633E14">
        <w:rPr>
          <w:rFonts w:ascii="Arial" w:hAnsi="Arial" w:cs="Arial"/>
          <w:sz w:val="24"/>
          <w:szCs w:val="24"/>
          <w:lang w:val="es-ES"/>
        </w:rPr>
        <w:t>iqu</w:t>
      </w:r>
      <w:r w:rsidR="00633E14">
        <w:rPr>
          <w:rFonts w:ascii="Arial" w:hAnsi="Arial" w:cs="Arial"/>
          <w:sz w:val="24"/>
          <w:szCs w:val="24"/>
          <w:lang w:val="es-ES"/>
        </w:rPr>
        <w:t>ie</w:t>
      </w:r>
      <w:r w:rsidRPr="00633E14">
        <w:rPr>
          <w:rFonts w:ascii="Arial" w:hAnsi="Arial" w:cs="Arial"/>
          <w:sz w:val="24"/>
          <w:szCs w:val="24"/>
          <w:lang w:val="es-ES"/>
        </w:rPr>
        <w:t>r</w:t>
      </w:r>
      <w:r w:rsidR="00633E14">
        <w:rPr>
          <w:rFonts w:ascii="Arial" w:hAnsi="Arial" w:cs="Arial"/>
          <w:sz w:val="24"/>
          <w:szCs w:val="24"/>
          <w:lang w:val="es-ES"/>
        </w:rPr>
        <w:t>a un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="00633E14">
        <w:rPr>
          <w:rFonts w:ascii="Arial" w:hAnsi="Arial" w:cs="Arial"/>
          <w:sz w:val="24"/>
          <w:szCs w:val="24"/>
          <w:lang w:val="es-ES"/>
        </w:rPr>
        <w:t>R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egulador. En un </w:t>
      </w:r>
      <w:r w:rsidR="00633E14">
        <w:rPr>
          <w:rFonts w:ascii="Arial" w:hAnsi="Arial" w:cs="Arial"/>
          <w:sz w:val="24"/>
          <w:szCs w:val="24"/>
          <w:lang w:val="es-ES"/>
        </w:rPr>
        <w:t xml:space="preserve">caso, </w:t>
      </w:r>
      <w:r w:rsidRPr="00633E14">
        <w:rPr>
          <w:rFonts w:ascii="Arial" w:hAnsi="Arial" w:cs="Arial"/>
          <w:sz w:val="24"/>
          <w:szCs w:val="24"/>
          <w:lang w:val="es-ES"/>
        </w:rPr>
        <w:t>e</w:t>
      </w:r>
      <w:r w:rsidR="00633E14">
        <w:rPr>
          <w:rFonts w:ascii="Arial" w:hAnsi="Arial" w:cs="Arial"/>
          <w:sz w:val="24"/>
          <w:szCs w:val="24"/>
          <w:lang w:val="es-ES"/>
        </w:rPr>
        <w:t>n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la ciudad de Set</w:t>
      </w:r>
      <w:r w:rsidR="00633E14">
        <w:rPr>
          <w:rFonts w:ascii="Arial" w:hAnsi="Arial" w:cs="Arial"/>
          <w:sz w:val="24"/>
          <w:szCs w:val="24"/>
          <w:lang w:val="es-ES"/>
        </w:rPr>
        <w:t>ú</w:t>
      </w:r>
      <w:r w:rsidRPr="00633E14">
        <w:rPr>
          <w:rFonts w:ascii="Arial" w:hAnsi="Arial" w:cs="Arial"/>
          <w:sz w:val="24"/>
          <w:szCs w:val="24"/>
          <w:lang w:val="es-ES"/>
        </w:rPr>
        <w:t>bal, la entonces ministra del ambiente, llego a imped</w:t>
      </w:r>
      <w:r w:rsidR="00633E14">
        <w:rPr>
          <w:rFonts w:ascii="Arial" w:hAnsi="Arial" w:cs="Arial"/>
          <w:sz w:val="24"/>
          <w:szCs w:val="24"/>
          <w:lang w:val="es-ES"/>
        </w:rPr>
        <w:t>i</w:t>
      </w:r>
      <w:r w:rsidRPr="00633E14">
        <w:rPr>
          <w:rFonts w:ascii="Arial" w:hAnsi="Arial" w:cs="Arial"/>
          <w:sz w:val="24"/>
          <w:szCs w:val="24"/>
          <w:lang w:val="es-ES"/>
        </w:rPr>
        <w:t>r que la empresa p</w:t>
      </w:r>
      <w:r w:rsidR="00633E14">
        <w:rPr>
          <w:rFonts w:ascii="Arial" w:hAnsi="Arial" w:cs="Arial"/>
          <w:sz w:val="24"/>
          <w:szCs w:val="24"/>
          <w:lang w:val="es-ES"/>
        </w:rPr>
        <w:t>ú</w:t>
      </w:r>
      <w:r w:rsidRPr="00633E14">
        <w:rPr>
          <w:rFonts w:ascii="Arial" w:hAnsi="Arial" w:cs="Arial"/>
          <w:sz w:val="24"/>
          <w:szCs w:val="24"/>
          <w:lang w:val="es-ES"/>
        </w:rPr>
        <w:t>blica, EPAL, competiera</w:t>
      </w:r>
      <w:r w:rsidR="00633E14">
        <w:rPr>
          <w:rFonts w:ascii="Arial" w:hAnsi="Arial" w:cs="Arial"/>
          <w:sz w:val="24"/>
          <w:szCs w:val="24"/>
          <w:lang w:val="es-ES"/>
        </w:rPr>
        <w:t xml:space="preserve"> por el servicio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. </w:t>
      </w:r>
      <w:r w:rsidR="00633E14">
        <w:rPr>
          <w:rFonts w:ascii="Arial" w:hAnsi="Arial" w:cs="Arial"/>
          <w:sz w:val="24"/>
          <w:szCs w:val="24"/>
          <w:lang w:val="es-ES"/>
        </w:rPr>
        <w:t>L</w:t>
      </w:r>
      <w:r w:rsidRPr="00633E14">
        <w:rPr>
          <w:rFonts w:ascii="Arial" w:hAnsi="Arial" w:cs="Arial"/>
          <w:sz w:val="24"/>
          <w:szCs w:val="24"/>
          <w:lang w:val="es-ES"/>
        </w:rPr>
        <w:t>as cosas se han tornado un poco diferentes y m</w:t>
      </w:r>
      <w:r w:rsidR="00633E14">
        <w:rPr>
          <w:rFonts w:ascii="Arial" w:hAnsi="Arial" w:cs="Arial"/>
          <w:sz w:val="24"/>
          <w:szCs w:val="24"/>
          <w:lang w:val="es-ES"/>
        </w:rPr>
        <w:t>á</w:t>
      </w:r>
      <w:r w:rsidRPr="00633E14">
        <w:rPr>
          <w:rFonts w:ascii="Arial" w:hAnsi="Arial" w:cs="Arial"/>
          <w:sz w:val="24"/>
          <w:szCs w:val="24"/>
          <w:lang w:val="es-ES"/>
        </w:rPr>
        <w:t>s claras, con la creación del regulador</w:t>
      </w:r>
      <w:r w:rsidR="00F45600">
        <w:rPr>
          <w:rFonts w:ascii="Arial" w:hAnsi="Arial" w:cs="Arial"/>
          <w:sz w:val="24"/>
          <w:szCs w:val="24"/>
          <w:lang w:val="es-ES"/>
        </w:rPr>
        <w:t xml:space="preserve">, </w:t>
      </w:r>
      <w:r w:rsidRPr="00633E14">
        <w:rPr>
          <w:rFonts w:ascii="Arial" w:hAnsi="Arial" w:cs="Arial"/>
          <w:sz w:val="24"/>
          <w:szCs w:val="24"/>
          <w:lang w:val="es-ES"/>
        </w:rPr>
        <w:t>ERSAR</w:t>
      </w:r>
      <w:r w:rsidR="00633E14">
        <w:rPr>
          <w:rFonts w:ascii="Arial" w:hAnsi="Arial" w:cs="Arial"/>
          <w:sz w:val="24"/>
          <w:szCs w:val="24"/>
          <w:lang w:val="es-ES"/>
        </w:rPr>
        <w:t>, pero la información pública es s</w:t>
      </w:r>
      <w:r w:rsidR="00CB58E0">
        <w:rPr>
          <w:rFonts w:ascii="Arial" w:hAnsi="Arial" w:cs="Arial"/>
          <w:sz w:val="24"/>
          <w:szCs w:val="24"/>
          <w:lang w:val="es-ES"/>
        </w:rPr>
        <w:t>i</w:t>
      </w:r>
      <w:r w:rsidR="00633E14">
        <w:rPr>
          <w:rFonts w:ascii="Arial" w:hAnsi="Arial" w:cs="Arial"/>
          <w:sz w:val="24"/>
          <w:szCs w:val="24"/>
          <w:lang w:val="es-ES"/>
        </w:rPr>
        <w:t>empre mui escasa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87D7212" w14:textId="27CCD55C" w:rsidR="006E5765" w:rsidRPr="00633E14" w:rsidRDefault="006E5765" w:rsidP="0095383A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>El Tribunal de Cuentas, solo 20 a</w:t>
      </w:r>
      <w:r w:rsidR="0084127A" w:rsidRPr="00633E14">
        <w:rPr>
          <w:rFonts w:ascii="Arial" w:hAnsi="Arial" w:cs="Arial"/>
          <w:sz w:val="24"/>
          <w:szCs w:val="24"/>
          <w:lang w:val="es-ES"/>
        </w:rPr>
        <w:t>ño</w:t>
      </w:r>
      <w:r w:rsidRPr="00633E14">
        <w:rPr>
          <w:rFonts w:ascii="Arial" w:hAnsi="Arial" w:cs="Arial"/>
          <w:sz w:val="24"/>
          <w:szCs w:val="24"/>
          <w:lang w:val="es-ES"/>
        </w:rPr>
        <w:t>s después de la primera privatización,</w:t>
      </w:r>
      <w:r w:rsidR="0084127A" w:rsidRPr="00633E14">
        <w:rPr>
          <w:rFonts w:ascii="Arial" w:hAnsi="Arial" w:cs="Arial"/>
          <w:sz w:val="24"/>
          <w:szCs w:val="24"/>
          <w:lang w:val="es-ES"/>
        </w:rPr>
        <w:t xml:space="preserve"> en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</w:t>
      </w:r>
      <w:r w:rsidR="005939D4">
        <w:rPr>
          <w:rFonts w:ascii="Arial" w:hAnsi="Arial" w:cs="Arial"/>
          <w:sz w:val="24"/>
          <w:szCs w:val="24"/>
          <w:lang w:val="es-ES"/>
        </w:rPr>
        <w:t xml:space="preserve">la ciudad de </w:t>
      </w:r>
      <w:r w:rsidRPr="00633E14">
        <w:rPr>
          <w:rFonts w:ascii="Arial" w:hAnsi="Arial" w:cs="Arial"/>
          <w:sz w:val="24"/>
          <w:szCs w:val="24"/>
          <w:lang w:val="es-ES"/>
        </w:rPr>
        <w:t>Mafra, hi</w:t>
      </w:r>
      <w:r w:rsidR="00F45600">
        <w:rPr>
          <w:rFonts w:ascii="Arial" w:hAnsi="Arial" w:cs="Arial"/>
          <w:sz w:val="24"/>
          <w:szCs w:val="24"/>
          <w:lang w:val="es-ES"/>
        </w:rPr>
        <w:t>z</w:t>
      </w:r>
      <w:r w:rsidRPr="00633E14">
        <w:rPr>
          <w:rFonts w:ascii="Arial" w:hAnsi="Arial" w:cs="Arial"/>
          <w:sz w:val="24"/>
          <w:szCs w:val="24"/>
          <w:lang w:val="es-ES"/>
        </w:rPr>
        <w:t>o una auditori</w:t>
      </w:r>
      <w:r w:rsidR="00055A3A">
        <w:rPr>
          <w:rFonts w:ascii="Arial" w:hAnsi="Arial" w:cs="Arial"/>
          <w:sz w:val="24"/>
          <w:szCs w:val="24"/>
          <w:lang w:val="es-ES"/>
        </w:rPr>
        <w:t>a a las concesiones. Las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conclusiones fueron </w:t>
      </w:r>
      <w:r w:rsidR="00CB58E0" w:rsidRPr="00633E14">
        <w:rPr>
          <w:rFonts w:ascii="Arial" w:hAnsi="Arial" w:cs="Arial"/>
          <w:sz w:val="24"/>
          <w:szCs w:val="24"/>
          <w:lang w:val="es-ES"/>
        </w:rPr>
        <w:t>demoledoras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para los intereses privados.</w:t>
      </w:r>
    </w:p>
    <w:p w14:paraId="6B91E1E5" w14:textId="4DBF1972" w:rsidR="007A0FD8" w:rsidRPr="00055A3A" w:rsidRDefault="007A0FD8" w:rsidP="0084127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055A3A">
        <w:rPr>
          <w:rFonts w:ascii="Arial" w:hAnsi="Arial" w:cs="Arial"/>
          <w:b/>
          <w:bCs/>
          <w:sz w:val="24"/>
          <w:szCs w:val="24"/>
          <w:lang w:val="es-ES"/>
        </w:rPr>
        <w:t>¿Cómo podrían las autoridades públicas utilizar las características de los proveedores privados para fomentar la realización de los derechos hu</w:t>
      </w:r>
      <w:r w:rsidR="00302278" w:rsidRPr="00055A3A">
        <w:rPr>
          <w:rFonts w:ascii="Arial" w:hAnsi="Arial" w:cs="Arial"/>
          <w:b/>
          <w:bCs/>
          <w:sz w:val="24"/>
          <w:szCs w:val="24"/>
          <w:lang w:val="es-ES"/>
        </w:rPr>
        <w:t>manos al agua y al saneamiento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? </w:t>
      </w:r>
      <w:r w:rsidRPr="00055A3A">
        <w:rPr>
          <w:rFonts w:ascii="Arial" w:hAnsi="Arial" w:cs="Arial"/>
          <w:b/>
          <w:bCs/>
          <w:sz w:val="24"/>
          <w:szCs w:val="24"/>
          <w:lang w:val="es-ES_tradnl"/>
        </w:rPr>
        <w:t>¿Es positiva la provisión privada para la realización progresiva de los derechos humanos al agua y al saneamiento? En caso afirmativo, ¿en qué circunstancias?</w:t>
      </w:r>
    </w:p>
    <w:p w14:paraId="599D638D" w14:textId="49005761" w:rsidR="0084127A" w:rsidRPr="00633E14" w:rsidRDefault="0084127A" w:rsidP="0084127A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Nuestra opinión es que este se</w:t>
      </w:r>
      <w:r w:rsidR="00055A3A">
        <w:rPr>
          <w:rFonts w:ascii="Arial" w:hAnsi="Arial" w:cs="Arial"/>
          <w:sz w:val="24"/>
          <w:szCs w:val="24"/>
          <w:lang w:val="es-ES_tradnl"/>
        </w:rPr>
        <w:t>rvicio es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5A3A">
        <w:rPr>
          <w:rFonts w:ascii="Arial" w:hAnsi="Arial" w:cs="Arial"/>
          <w:sz w:val="24"/>
          <w:szCs w:val="24"/>
          <w:lang w:val="es-ES_tradnl"/>
        </w:rPr>
        <w:t xml:space="preserve">público y debe ser </w:t>
      </w:r>
      <w:r w:rsidRPr="00633E14">
        <w:rPr>
          <w:rFonts w:ascii="Arial" w:hAnsi="Arial" w:cs="Arial"/>
          <w:sz w:val="24"/>
          <w:szCs w:val="24"/>
          <w:lang w:val="es-ES_tradnl"/>
        </w:rPr>
        <w:t>gestionado por el público. La participación privada es importante, pero no en la gestión.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 La realización del derecho al </w:t>
      </w:r>
      <w:r w:rsidR="00CB58E0">
        <w:rPr>
          <w:rFonts w:ascii="Arial" w:hAnsi="Arial" w:cs="Arial"/>
          <w:sz w:val="24"/>
          <w:szCs w:val="24"/>
          <w:lang w:val="es-ES_tradnl"/>
        </w:rPr>
        <w:t>a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>gua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 y al saneamiento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45600">
        <w:rPr>
          <w:rFonts w:ascii="Arial" w:hAnsi="Arial" w:cs="Arial"/>
          <w:sz w:val="24"/>
          <w:szCs w:val="24"/>
          <w:lang w:val="es-ES_tradnl"/>
        </w:rPr>
        <w:t>es incompatible con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 el</w:t>
      </w:r>
      <w:r w:rsidR="00055A3A">
        <w:rPr>
          <w:rFonts w:ascii="Arial" w:hAnsi="Arial" w:cs="Arial"/>
          <w:sz w:val="24"/>
          <w:szCs w:val="24"/>
          <w:lang w:val="es-ES_tradnl"/>
        </w:rPr>
        <w:t xml:space="preserve"> objetivo de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 lucro de la</w:t>
      </w:r>
      <w:r w:rsidR="00055A3A">
        <w:rPr>
          <w:rFonts w:ascii="Arial" w:hAnsi="Arial" w:cs="Arial"/>
          <w:sz w:val="24"/>
          <w:szCs w:val="24"/>
          <w:lang w:val="es-ES_tradnl"/>
        </w:rPr>
        <w:t xml:space="preserve"> empresa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 privad</w:t>
      </w:r>
      <w:r w:rsidR="00055A3A">
        <w:rPr>
          <w:rFonts w:ascii="Arial" w:hAnsi="Arial" w:cs="Arial"/>
          <w:sz w:val="24"/>
          <w:szCs w:val="24"/>
          <w:lang w:val="es-ES_tradnl"/>
        </w:rPr>
        <w:t>a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 –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740467" w:rsidRPr="00633E14">
        <w:rPr>
          <w:rFonts w:ascii="Arial" w:hAnsi="Arial" w:cs="Arial"/>
          <w:sz w:val="24"/>
          <w:szCs w:val="24"/>
          <w:lang w:val="es-ES_tradnl"/>
        </w:rPr>
        <w:t xml:space="preserve">es una </w:t>
      </w:r>
      <w:r w:rsidR="00CB58E0" w:rsidRPr="00633E14">
        <w:rPr>
          <w:rFonts w:ascii="Arial" w:hAnsi="Arial" w:cs="Arial"/>
          <w:sz w:val="24"/>
          <w:szCs w:val="24"/>
          <w:lang w:val="es-ES_tradnl"/>
        </w:rPr>
        <w:t>contradicción</w:t>
      </w:r>
      <w:r w:rsidR="00055A3A">
        <w:rPr>
          <w:rFonts w:ascii="Arial" w:hAnsi="Arial" w:cs="Arial"/>
          <w:sz w:val="24"/>
          <w:szCs w:val="24"/>
          <w:lang w:val="es-ES_tradnl"/>
        </w:rPr>
        <w:t xml:space="preserve"> que la regulación no</w:t>
      </w:r>
      <w:r w:rsidR="00F45600">
        <w:rPr>
          <w:rFonts w:ascii="Arial" w:hAnsi="Arial" w:cs="Arial"/>
          <w:sz w:val="24"/>
          <w:szCs w:val="24"/>
          <w:lang w:val="es-ES_tradnl"/>
        </w:rPr>
        <w:t xml:space="preserve"> resuelve.</w:t>
      </w:r>
    </w:p>
    <w:p w14:paraId="5694040D" w14:textId="27B9E52A" w:rsidR="007A0FD8" w:rsidRPr="00055A3A" w:rsidRDefault="007A0FD8" w:rsidP="0084127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¿Cómo </w:t>
      </w:r>
      <w:r w:rsidR="00C05A02" w:rsidRPr="00055A3A">
        <w:rPr>
          <w:rFonts w:ascii="Arial" w:hAnsi="Arial" w:cs="Arial"/>
          <w:b/>
          <w:bCs/>
          <w:sz w:val="24"/>
          <w:szCs w:val="24"/>
          <w:lang w:val="es-ES"/>
        </w:rPr>
        <w:t>se han utilizado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 los instrumento</w:t>
      </w:r>
      <w:r w:rsidR="00302278" w:rsidRPr="00055A3A">
        <w:rPr>
          <w:rFonts w:ascii="Arial" w:hAnsi="Arial" w:cs="Arial"/>
          <w:b/>
          <w:bCs/>
          <w:sz w:val="24"/>
          <w:szCs w:val="24"/>
          <w:lang w:val="es-ES"/>
        </w:rPr>
        <w:t>s y mecanismos existentes que la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s </w:t>
      </w:r>
      <w:r w:rsidR="00302278" w:rsidRPr="00055A3A">
        <w:rPr>
          <w:rFonts w:ascii="Arial" w:hAnsi="Arial" w:cs="Arial"/>
          <w:b/>
          <w:bCs/>
          <w:sz w:val="24"/>
          <w:szCs w:val="24"/>
          <w:lang w:val="es-ES"/>
        </w:rPr>
        <w:t>personas usuarias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 (y l</w:t>
      </w:r>
      <w:r w:rsidR="00302278" w:rsidRPr="00055A3A">
        <w:rPr>
          <w:rFonts w:ascii="Arial" w:hAnsi="Arial" w:cs="Arial"/>
          <w:b/>
          <w:bCs/>
          <w:sz w:val="24"/>
          <w:szCs w:val="24"/>
          <w:lang w:val="es-ES"/>
        </w:rPr>
        <w:t>as no usuarias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>) se quejen y obtengan remedios de los proveedores privados?</w:t>
      </w:r>
    </w:p>
    <w:p w14:paraId="39B7540B" w14:textId="01FA1700" w:rsidR="0084127A" w:rsidRDefault="0084127A" w:rsidP="0084127A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 xml:space="preserve">Las personas se quejaron y siguen quejando-se a </w:t>
      </w:r>
      <w:r w:rsidR="000966AD" w:rsidRPr="00633E14">
        <w:rPr>
          <w:rFonts w:ascii="Arial" w:hAnsi="Arial" w:cs="Arial"/>
          <w:sz w:val="24"/>
          <w:szCs w:val="24"/>
          <w:lang w:val="es-ES"/>
        </w:rPr>
        <w:t xml:space="preserve">los </w:t>
      </w:r>
      <w:r w:rsidRPr="00633E14">
        <w:rPr>
          <w:rFonts w:ascii="Arial" w:hAnsi="Arial" w:cs="Arial"/>
          <w:sz w:val="24"/>
          <w:szCs w:val="24"/>
          <w:lang w:val="es-ES"/>
        </w:rPr>
        <w:t>Ayuntamiento</w:t>
      </w:r>
      <w:r w:rsidR="000966AD" w:rsidRPr="00633E14">
        <w:rPr>
          <w:rFonts w:ascii="Arial" w:hAnsi="Arial" w:cs="Arial"/>
          <w:sz w:val="24"/>
          <w:szCs w:val="24"/>
          <w:lang w:val="es-ES"/>
        </w:rPr>
        <w:t>s</w:t>
      </w:r>
      <w:r w:rsidRPr="00633E14">
        <w:rPr>
          <w:rFonts w:ascii="Arial" w:hAnsi="Arial" w:cs="Arial"/>
          <w:sz w:val="24"/>
          <w:szCs w:val="24"/>
          <w:lang w:val="es-ES"/>
        </w:rPr>
        <w:t>, al Regulador, al Defensor del Pueblo, pero</w:t>
      </w:r>
      <w:r w:rsidR="00055A3A">
        <w:rPr>
          <w:rFonts w:ascii="Arial" w:hAnsi="Arial" w:cs="Arial"/>
          <w:sz w:val="24"/>
          <w:szCs w:val="24"/>
          <w:lang w:val="es-ES"/>
        </w:rPr>
        <w:t xml:space="preserve"> con pocos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resultados; los contratos</w:t>
      </w:r>
      <w:r w:rsidR="00055A3A">
        <w:rPr>
          <w:rFonts w:ascii="Arial" w:hAnsi="Arial" w:cs="Arial"/>
          <w:sz w:val="24"/>
          <w:szCs w:val="24"/>
          <w:lang w:val="es-ES"/>
        </w:rPr>
        <w:t xml:space="preserve"> firmados y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los </w:t>
      </w:r>
      <w:r w:rsidRPr="00633E14">
        <w:rPr>
          <w:rFonts w:ascii="Arial" w:hAnsi="Arial" w:cs="Arial"/>
          <w:sz w:val="24"/>
          <w:szCs w:val="24"/>
          <w:lang w:val="es-ES"/>
        </w:rPr>
        <w:lastRenderedPageBreak/>
        <w:t>intereses económicos son mui fuertes y valen m</w:t>
      </w:r>
      <w:r w:rsidR="00F45600">
        <w:rPr>
          <w:rFonts w:ascii="Arial" w:hAnsi="Arial" w:cs="Arial"/>
          <w:sz w:val="24"/>
          <w:szCs w:val="24"/>
          <w:lang w:val="es-ES"/>
        </w:rPr>
        <w:t>á</w:t>
      </w:r>
      <w:r w:rsidRPr="00633E14">
        <w:rPr>
          <w:rFonts w:ascii="Arial" w:hAnsi="Arial" w:cs="Arial"/>
          <w:sz w:val="24"/>
          <w:szCs w:val="24"/>
          <w:lang w:val="es-ES"/>
        </w:rPr>
        <w:t>s que los derechos de las personas.</w:t>
      </w:r>
    </w:p>
    <w:p w14:paraId="076C5C4A" w14:textId="2348BD4D" w:rsidR="007A0FD8" w:rsidRPr="00055A3A" w:rsidRDefault="007A0FD8" w:rsidP="0084127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055A3A">
        <w:rPr>
          <w:rFonts w:ascii="Arial" w:hAnsi="Arial" w:cs="Arial"/>
          <w:b/>
          <w:bCs/>
          <w:sz w:val="24"/>
          <w:szCs w:val="24"/>
          <w:lang w:val="es-ES_tradnl"/>
        </w:rPr>
        <w:t xml:space="preserve">¿Los proveedores privados abogan por una regulación más fuerte? Si es así, ¿por qué? </w:t>
      </w:r>
    </w:p>
    <w:p w14:paraId="3AB3EAF0" w14:textId="344A362E" w:rsidR="0084127A" w:rsidRPr="00633E14" w:rsidRDefault="00055A3A" w:rsidP="008412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Si, pero e</w:t>
      </w:r>
      <w:r w:rsidR="0084127A" w:rsidRPr="00633E14">
        <w:rPr>
          <w:rFonts w:ascii="Arial" w:hAnsi="Arial" w:cs="Arial"/>
          <w:sz w:val="24"/>
          <w:szCs w:val="24"/>
          <w:lang w:val="es-ES_tradnl"/>
        </w:rPr>
        <w:t>s una forma de intentar convencer los ayuntamientos y la opinión pública de que no hay problema</w:t>
      </w:r>
      <w:r w:rsidR="000E4AB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4127A" w:rsidRPr="00633E14">
        <w:rPr>
          <w:rFonts w:ascii="Arial" w:hAnsi="Arial" w:cs="Arial"/>
          <w:sz w:val="24"/>
          <w:szCs w:val="24"/>
          <w:lang w:val="es-ES_tradnl"/>
        </w:rPr>
        <w:t xml:space="preserve">si se privatiza, </w:t>
      </w:r>
      <w:r w:rsidR="000E4AB1">
        <w:rPr>
          <w:rFonts w:ascii="Arial" w:hAnsi="Arial" w:cs="Arial"/>
          <w:sz w:val="24"/>
          <w:szCs w:val="24"/>
          <w:lang w:val="es-ES_tradnl"/>
        </w:rPr>
        <w:t>o sea no se trata de cualquier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4127A" w:rsidRPr="00633E14">
        <w:rPr>
          <w:rFonts w:ascii="Arial" w:hAnsi="Arial" w:cs="Arial"/>
          <w:sz w:val="24"/>
          <w:szCs w:val="24"/>
          <w:lang w:val="es-ES_tradnl"/>
        </w:rPr>
        <w:t>preocupación con la transparencia y los derechos sociales.</w:t>
      </w:r>
    </w:p>
    <w:p w14:paraId="631D3622" w14:textId="70B46B4D" w:rsidR="007A0FD8" w:rsidRPr="00055A3A" w:rsidRDefault="007A0FD8" w:rsidP="0084127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055A3A">
        <w:rPr>
          <w:rFonts w:ascii="Arial" w:hAnsi="Arial" w:cs="Arial"/>
          <w:b/>
          <w:bCs/>
          <w:sz w:val="24"/>
          <w:szCs w:val="24"/>
          <w:lang w:val="es-ES_tradnl"/>
        </w:rPr>
        <w:t xml:space="preserve">¿Cómo ha sido la relación entre los proveedores privados y las autoridades públicas a nivel local? 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¿Cuáles son las preocupaciones potenciales que enfrentan las autoridades públicas y </w:t>
      </w:r>
      <w:r w:rsidR="00302278" w:rsidRPr="00055A3A">
        <w:rPr>
          <w:rFonts w:ascii="Arial" w:hAnsi="Arial" w:cs="Arial"/>
          <w:b/>
          <w:bCs/>
          <w:sz w:val="24"/>
          <w:szCs w:val="24"/>
          <w:lang w:val="es-ES"/>
        </w:rPr>
        <w:t>las personas usuarias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 frente a los proveedores privados? </w:t>
      </w:r>
    </w:p>
    <w:p w14:paraId="4B78B494" w14:textId="0AD2C2E6" w:rsidR="0084127A" w:rsidRPr="00633E14" w:rsidRDefault="0084127A" w:rsidP="0084127A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 xml:space="preserve">El general los </w:t>
      </w:r>
      <w:r w:rsidR="00D23C43">
        <w:rPr>
          <w:rFonts w:ascii="Arial" w:hAnsi="Arial" w:cs="Arial"/>
          <w:sz w:val="24"/>
          <w:szCs w:val="24"/>
          <w:lang w:val="es-ES"/>
        </w:rPr>
        <w:t>Ay</w:t>
      </w:r>
      <w:r w:rsidRPr="00633E14">
        <w:rPr>
          <w:rFonts w:ascii="Arial" w:hAnsi="Arial" w:cs="Arial"/>
          <w:sz w:val="24"/>
          <w:szCs w:val="24"/>
          <w:lang w:val="es-ES"/>
        </w:rPr>
        <w:t>untam</w:t>
      </w:r>
      <w:r w:rsidR="00D23C43">
        <w:rPr>
          <w:rFonts w:ascii="Arial" w:hAnsi="Arial" w:cs="Arial"/>
          <w:sz w:val="24"/>
          <w:szCs w:val="24"/>
          <w:lang w:val="es-ES"/>
        </w:rPr>
        <w:t>i</w:t>
      </w:r>
      <w:r w:rsidRPr="00633E14">
        <w:rPr>
          <w:rFonts w:ascii="Arial" w:hAnsi="Arial" w:cs="Arial"/>
          <w:sz w:val="24"/>
          <w:szCs w:val="24"/>
          <w:lang w:val="es-ES"/>
        </w:rPr>
        <w:t>entos</w:t>
      </w:r>
      <w:r w:rsidR="00055A3A">
        <w:rPr>
          <w:rFonts w:ascii="Arial" w:hAnsi="Arial" w:cs="Arial"/>
          <w:sz w:val="24"/>
          <w:szCs w:val="24"/>
          <w:lang w:val="es-ES"/>
        </w:rPr>
        <w:t xml:space="preserve">, con menos </w:t>
      </w:r>
      <w:r w:rsidR="00D23C43">
        <w:rPr>
          <w:rFonts w:ascii="Arial" w:hAnsi="Arial" w:cs="Arial"/>
          <w:sz w:val="24"/>
          <w:szCs w:val="24"/>
          <w:lang w:val="es-ES"/>
        </w:rPr>
        <w:t>know-how</w:t>
      </w:r>
      <w:r w:rsidR="00055A3A">
        <w:rPr>
          <w:rFonts w:ascii="Arial" w:hAnsi="Arial" w:cs="Arial"/>
          <w:sz w:val="24"/>
          <w:szCs w:val="24"/>
          <w:lang w:val="es-ES"/>
        </w:rPr>
        <w:t xml:space="preserve"> en este tipo de contratos mui complejos,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ha sido capturados por la empresa privada. Han firmado contratos mui negativos</w:t>
      </w:r>
      <w:r w:rsidR="000966AD" w:rsidRPr="00633E14">
        <w:rPr>
          <w:rFonts w:ascii="Arial" w:hAnsi="Arial" w:cs="Arial"/>
          <w:sz w:val="24"/>
          <w:szCs w:val="24"/>
          <w:lang w:val="es-ES"/>
        </w:rPr>
        <w:t xml:space="preserve"> y ruinosos para lo público, los ciudadanos y los trabajadores</w:t>
      </w:r>
      <w:r w:rsidRPr="00633E14">
        <w:rPr>
          <w:rFonts w:ascii="Arial" w:hAnsi="Arial" w:cs="Arial"/>
          <w:sz w:val="24"/>
          <w:szCs w:val="24"/>
          <w:lang w:val="es-ES"/>
        </w:rPr>
        <w:t>.</w:t>
      </w:r>
      <w:r w:rsidR="00055A3A">
        <w:rPr>
          <w:rFonts w:ascii="Arial" w:hAnsi="Arial" w:cs="Arial"/>
          <w:sz w:val="24"/>
          <w:szCs w:val="24"/>
          <w:lang w:val="es-ES"/>
        </w:rPr>
        <w:t xml:space="preserve"> La relación en general es poco transparente.</w:t>
      </w:r>
    </w:p>
    <w:p w14:paraId="72B2997B" w14:textId="7584C97D" w:rsidR="007A0FD8" w:rsidRPr="00055A3A" w:rsidRDefault="007A0FD8" w:rsidP="000966AD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055A3A">
        <w:rPr>
          <w:rFonts w:ascii="Arial" w:hAnsi="Arial" w:cs="Arial"/>
          <w:b/>
          <w:bCs/>
          <w:sz w:val="24"/>
          <w:szCs w:val="24"/>
          <w:lang w:val="es-ES"/>
        </w:rPr>
        <w:t>¿Cómo han contribuido o perjudicado los proveedore</w:t>
      </w:r>
      <w:r w:rsidR="009D438C" w:rsidRPr="00055A3A">
        <w:rPr>
          <w:rFonts w:ascii="Arial" w:hAnsi="Arial" w:cs="Arial"/>
          <w:b/>
          <w:bCs/>
          <w:sz w:val="24"/>
          <w:szCs w:val="24"/>
          <w:lang w:val="es-ES"/>
        </w:rPr>
        <w:t>s privados a la realización de los derechos humanos al agua y el saneamiento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? </w:t>
      </w:r>
      <w:r w:rsidRPr="00055A3A">
        <w:rPr>
          <w:rFonts w:ascii="Arial" w:hAnsi="Arial" w:cs="Arial"/>
          <w:b/>
          <w:bCs/>
          <w:sz w:val="24"/>
          <w:szCs w:val="24"/>
          <w:lang w:val="es-ES_tradnl"/>
        </w:rPr>
        <w:t>Sírvase dar ejemplos.</w:t>
      </w:r>
    </w:p>
    <w:p w14:paraId="784F0164" w14:textId="283B209B" w:rsidR="000966AD" w:rsidRDefault="000966AD" w:rsidP="00055A3A">
      <w:pPr>
        <w:rPr>
          <w:rFonts w:ascii="Arial" w:hAnsi="Arial" w:cs="Arial"/>
          <w:sz w:val="24"/>
          <w:szCs w:val="24"/>
          <w:lang w:val="es-ES_tradnl"/>
        </w:rPr>
      </w:pPr>
      <w:r w:rsidRPr="00055A3A">
        <w:rPr>
          <w:rFonts w:ascii="Arial" w:hAnsi="Arial" w:cs="Arial"/>
          <w:sz w:val="24"/>
          <w:szCs w:val="24"/>
          <w:lang w:val="es-ES_tradnl"/>
        </w:rPr>
        <w:t>Los precios han aumentado mu</w:t>
      </w:r>
      <w:r w:rsidR="00D23C43">
        <w:rPr>
          <w:rFonts w:ascii="Arial" w:hAnsi="Arial" w:cs="Arial"/>
          <w:sz w:val="24"/>
          <w:szCs w:val="24"/>
          <w:lang w:val="es-ES_tradnl"/>
        </w:rPr>
        <w:t xml:space="preserve">cho </w:t>
      </w:r>
      <w:r w:rsidRPr="00055A3A">
        <w:rPr>
          <w:rFonts w:ascii="Arial" w:hAnsi="Arial" w:cs="Arial"/>
          <w:sz w:val="24"/>
          <w:szCs w:val="24"/>
          <w:lang w:val="es-ES_tradnl"/>
        </w:rPr>
        <w:t>– los diez servicios m</w:t>
      </w:r>
      <w:r w:rsidR="00D23C43">
        <w:rPr>
          <w:rFonts w:ascii="Arial" w:hAnsi="Arial" w:cs="Arial"/>
          <w:sz w:val="24"/>
          <w:szCs w:val="24"/>
          <w:lang w:val="es-ES_tradnl"/>
        </w:rPr>
        <w:t>á</w:t>
      </w:r>
      <w:r w:rsidRPr="00055A3A">
        <w:rPr>
          <w:rFonts w:ascii="Arial" w:hAnsi="Arial" w:cs="Arial"/>
          <w:sz w:val="24"/>
          <w:szCs w:val="24"/>
          <w:lang w:val="es-ES_tradnl"/>
        </w:rPr>
        <w:t>s caros, ocho son concesione</w:t>
      </w:r>
      <w:r w:rsidR="00A43865">
        <w:rPr>
          <w:rFonts w:ascii="Arial" w:hAnsi="Arial" w:cs="Arial"/>
          <w:sz w:val="24"/>
          <w:szCs w:val="24"/>
          <w:lang w:val="es-ES_tradnl"/>
        </w:rPr>
        <w:t>s</w:t>
      </w:r>
      <w:r w:rsidRPr="00055A3A">
        <w:rPr>
          <w:rFonts w:ascii="Arial" w:hAnsi="Arial" w:cs="Arial"/>
          <w:sz w:val="24"/>
          <w:szCs w:val="24"/>
          <w:lang w:val="es-ES_tradnl"/>
        </w:rPr>
        <w:t xml:space="preserve"> privadas -</w:t>
      </w:r>
      <w:r w:rsidRPr="00055A3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55A3A">
          <w:rPr>
            <w:rStyle w:val="Hiperligao"/>
            <w:rFonts w:ascii="Arial" w:hAnsi="Arial" w:cs="Arial"/>
            <w:color w:val="auto"/>
            <w:sz w:val="24"/>
            <w:szCs w:val="24"/>
          </w:rPr>
          <w:t>https://www.deco.proteste.pt/casa-energia/agua/noticias/tarifas-agua-lixo-e-diferencas-entre-municipios/disparidades-nas-tarifas</w:t>
        </w:r>
      </w:hyperlink>
      <w:r w:rsidRPr="00055A3A">
        <w:rPr>
          <w:lang w:val="es-ES_tradnl"/>
        </w:rPr>
        <w:t xml:space="preserve">; </w:t>
      </w:r>
      <w:r w:rsidRPr="00055A3A">
        <w:rPr>
          <w:rFonts w:ascii="Arial" w:hAnsi="Arial" w:cs="Arial"/>
          <w:sz w:val="24"/>
          <w:szCs w:val="24"/>
          <w:lang w:val="es-ES_tradnl"/>
        </w:rPr>
        <w:t>se han cerrado fuentes pública</w:t>
      </w:r>
      <w:r w:rsidR="00A43865">
        <w:rPr>
          <w:rFonts w:ascii="Arial" w:hAnsi="Arial" w:cs="Arial"/>
          <w:sz w:val="24"/>
          <w:szCs w:val="24"/>
          <w:lang w:val="es-ES_tradnl"/>
        </w:rPr>
        <w:t>s</w:t>
      </w:r>
      <w:r w:rsidRPr="00055A3A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A43865">
        <w:rPr>
          <w:rFonts w:ascii="Arial" w:hAnsi="Arial" w:cs="Arial"/>
          <w:sz w:val="24"/>
          <w:szCs w:val="24"/>
          <w:lang w:val="es-ES_tradnl"/>
        </w:rPr>
        <w:t xml:space="preserve">en diversos casos </w:t>
      </w:r>
      <w:r w:rsidRPr="00055A3A">
        <w:rPr>
          <w:rFonts w:ascii="Arial" w:hAnsi="Arial" w:cs="Arial"/>
          <w:sz w:val="24"/>
          <w:szCs w:val="24"/>
          <w:lang w:val="es-ES_tradnl"/>
        </w:rPr>
        <w:t xml:space="preserve">las inversiones no se han </w:t>
      </w:r>
      <w:r w:rsidR="00A43865">
        <w:rPr>
          <w:rFonts w:ascii="Arial" w:hAnsi="Arial" w:cs="Arial"/>
          <w:sz w:val="24"/>
          <w:szCs w:val="24"/>
          <w:lang w:val="es-ES_tradnl"/>
        </w:rPr>
        <w:t>hecho.</w:t>
      </w:r>
    </w:p>
    <w:p w14:paraId="0A9B8330" w14:textId="6F71AC2B" w:rsidR="00144E53" w:rsidRPr="00144E53" w:rsidRDefault="00144E53" w:rsidP="00144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pt-PT" w:eastAsia="pt-PT"/>
        </w:rPr>
      </w:pPr>
      <w:r w:rsidRPr="00144E53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La tasa promedio de rendimiento de las concesiones privadas es del 11,6%, superior a, por ejemplo, las APP de carreteras (11,1%) - Santiago, Ana, (septiembre / octubre de 2019) “Rentabilidad de las concesiones de agua en línea con otros </w:t>
      </w:r>
      <w:r w:rsidR="00A43865" w:rsidRPr="00144E53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>sectores”</w:t>
      </w:r>
      <w:r w:rsidRPr="00144E53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, Revista Água &amp; Ambiente, </w:t>
      </w:r>
      <w:r w:rsidR="00F45600" w:rsidRPr="00144E53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>n. º</w:t>
      </w:r>
      <w:r w:rsidRPr="00144E53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>230, p.36.</w:t>
      </w:r>
    </w:p>
    <w:p w14:paraId="11AC0AAF" w14:textId="77777777" w:rsidR="000966AD" w:rsidRPr="00633E14" w:rsidRDefault="000966AD" w:rsidP="000966AD">
      <w:pPr>
        <w:pStyle w:val="Textodenotadefim"/>
        <w:rPr>
          <w:rFonts w:ascii="Arial" w:hAnsi="Arial" w:cs="Arial"/>
          <w:sz w:val="24"/>
          <w:szCs w:val="24"/>
        </w:rPr>
      </w:pPr>
    </w:p>
    <w:p w14:paraId="176F6790" w14:textId="42A86E76" w:rsidR="000966AD" w:rsidRPr="00055A3A" w:rsidRDefault="007A0FD8" w:rsidP="000966AD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055A3A">
        <w:rPr>
          <w:rFonts w:ascii="Arial" w:hAnsi="Arial" w:cs="Arial"/>
          <w:b/>
          <w:bCs/>
          <w:sz w:val="24"/>
          <w:szCs w:val="24"/>
          <w:lang w:val="es-ES_tradnl"/>
        </w:rPr>
        <w:t xml:space="preserve">¿Cuál es la naturaleza de la información disponible sobre la prestación de servicios? 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¿Permite </w:t>
      </w:r>
      <w:r w:rsidR="009D438C"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esta información </w:t>
      </w:r>
      <w:r w:rsidRPr="00055A3A">
        <w:rPr>
          <w:rFonts w:ascii="Arial" w:hAnsi="Arial" w:cs="Arial"/>
          <w:b/>
          <w:bCs/>
          <w:sz w:val="24"/>
          <w:szCs w:val="24"/>
          <w:lang w:val="es-ES"/>
        </w:rPr>
        <w:t xml:space="preserve">la adecuada rendición de cuentas de los proveedores privados y las autoridades públicas? </w:t>
      </w:r>
    </w:p>
    <w:p w14:paraId="52A2823A" w14:textId="54C88B41" w:rsidR="000966AD" w:rsidRPr="00633E14" w:rsidRDefault="000966AD" w:rsidP="000966AD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 xml:space="preserve">Hoy la información </w:t>
      </w:r>
      <w:r w:rsidR="00CB58E0" w:rsidRPr="00633E14">
        <w:rPr>
          <w:rFonts w:ascii="Arial" w:hAnsi="Arial" w:cs="Arial"/>
          <w:sz w:val="24"/>
          <w:szCs w:val="24"/>
          <w:lang w:val="es-ES"/>
        </w:rPr>
        <w:t>recogida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por el regulador y disponib</w:t>
      </w:r>
      <w:r w:rsidR="00E163B1">
        <w:rPr>
          <w:rFonts w:ascii="Arial" w:hAnsi="Arial" w:cs="Arial"/>
          <w:sz w:val="24"/>
          <w:szCs w:val="24"/>
          <w:lang w:val="es-ES"/>
        </w:rPr>
        <w:t xml:space="preserve">le 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es más clara. Pero hace falta </w:t>
      </w:r>
      <w:r w:rsidR="00E163B1" w:rsidRPr="00633E14">
        <w:rPr>
          <w:rFonts w:ascii="Arial" w:hAnsi="Arial" w:cs="Arial"/>
          <w:sz w:val="24"/>
          <w:szCs w:val="24"/>
          <w:lang w:val="es-ES"/>
        </w:rPr>
        <w:t>aún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m</w:t>
      </w:r>
      <w:r w:rsidR="00144E53">
        <w:rPr>
          <w:rFonts w:ascii="Arial" w:hAnsi="Arial" w:cs="Arial"/>
          <w:sz w:val="24"/>
          <w:szCs w:val="24"/>
          <w:lang w:val="es-ES"/>
        </w:rPr>
        <w:t>á</w:t>
      </w:r>
      <w:r w:rsidRPr="00633E14">
        <w:rPr>
          <w:rFonts w:ascii="Arial" w:hAnsi="Arial" w:cs="Arial"/>
          <w:sz w:val="24"/>
          <w:szCs w:val="24"/>
          <w:lang w:val="es-ES"/>
        </w:rPr>
        <w:t>s transparencia sobre las cuentas, sea con relación a los privados, sea en relación con los proveedores públicos.</w:t>
      </w:r>
    </w:p>
    <w:p w14:paraId="446A5F70" w14:textId="311CBAFB" w:rsidR="000966AD" w:rsidRPr="00E163B1" w:rsidRDefault="007A0FD8" w:rsidP="000966AD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E163B1">
        <w:rPr>
          <w:rFonts w:ascii="Arial" w:hAnsi="Arial" w:cs="Arial"/>
          <w:b/>
          <w:bCs/>
          <w:sz w:val="24"/>
          <w:szCs w:val="24"/>
          <w:lang w:val="es-ES"/>
        </w:rPr>
        <w:t xml:space="preserve">¿Quién </w:t>
      </w:r>
      <w:r w:rsidR="00EC2979" w:rsidRPr="00E163B1">
        <w:rPr>
          <w:rFonts w:ascii="Arial" w:hAnsi="Arial" w:cs="Arial"/>
          <w:b/>
          <w:bCs/>
          <w:sz w:val="24"/>
          <w:szCs w:val="24"/>
          <w:lang w:val="es-ES"/>
        </w:rPr>
        <w:t xml:space="preserve">y de qué modo </w:t>
      </w:r>
      <w:r w:rsidRPr="00E163B1">
        <w:rPr>
          <w:rFonts w:ascii="Arial" w:hAnsi="Arial" w:cs="Arial"/>
          <w:b/>
          <w:bCs/>
          <w:sz w:val="24"/>
          <w:szCs w:val="24"/>
          <w:lang w:val="es-ES"/>
        </w:rPr>
        <w:t>supervisa el desempeño de los proveedores privados con respec</w:t>
      </w:r>
      <w:r w:rsidR="009D438C" w:rsidRPr="00E163B1">
        <w:rPr>
          <w:rFonts w:ascii="Arial" w:hAnsi="Arial" w:cs="Arial"/>
          <w:b/>
          <w:bCs/>
          <w:sz w:val="24"/>
          <w:szCs w:val="24"/>
          <w:lang w:val="es-ES"/>
        </w:rPr>
        <w:t xml:space="preserve">to al contenido normativo de los derechos humanos al agua y el saneamiento </w:t>
      </w:r>
      <w:r w:rsidRPr="00E163B1">
        <w:rPr>
          <w:rFonts w:ascii="Arial" w:hAnsi="Arial" w:cs="Arial"/>
          <w:b/>
          <w:bCs/>
          <w:sz w:val="24"/>
          <w:szCs w:val="24"/>
          <w:lang w:val="es-ES"/>
        </w:rPr>
        <w:t xml:space="preserve">y cómo? ¿Quién interviene cuando hay riesgo de violaciones de los derechos humanos y </w:t>
      </w:r>
      <w:r w:rsidR="00EC2979" w:rsidRPr="00E163B1">
        <w:rPr>
          <w:rFonts w:ascii="Arial" w:hAnsi="Arial" w:cs="Arial"/>
          <w:b/>
          <w:bCs/>
          <w:sz w:val="24"/>
          <w:szCs w:val="24"/>
          <w:lang w:val="es-ES"/>
        </w:rPr>
        <w:t>de qué modo</w:t>
      </w:r>
      <w:r w:rsidRPr="00E163B1">
        <w:rPr>
          <w:rFonts w:ascii="Arial" w:hAnsi="Arial" w:cs="Arial"/>
          <w:b/>
          <w:bCs/>
          <w:sz w:val="24"/>
          <w:szCs w:val="24"/>
          <w:lang w:val="es-ES"/>
        </w:rPr>
        <w:t xml:space="preserve">? </w:t>
      </w:r>
    </w:p>
    <w:p w14:paraId="6501F7B2" w14:textId="1EC893AA" w:rsidR="000966AD" w:rsidRPr="00633E14" w:rsidRDefault="000966AD" w:rsidP="000966AD">
      <w:pPr>
        <w:rPr>
          <w:rFonts w:ascii="Arial" w:hAnsi="Arial" w:cs="Arial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s-ES"/>
        </w:rPr>
        <w:t xml:space="preserve">Los ayuntamientos y el Regulador y el Defensor del pueblo. </w:t>
      </w:r>
      <w:r w:rsidR="00A43865" w:rsidRPr="00633E14">
        <w:rPr>
          <w:rFonts w:ascii="Arial" w:hAnsi="Arial" w:cs="Arial"/>
          <w:sz w:val="24"/>
          <w:szCs w:val="24"/>
          <w:lang w:val="es-ES"/>
        </w:rPr>
        <w:t>Pero,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por ejemplo, no hay información local ni nacional sobre los cortes de </w:t>
      </w:r>
      <w:r w:rsidR="00CB58E0" w:rsidRPr="00633E14">
        <w:rPr>
          <w:rFonts w:ascii="Arial" w:hAnsi="Arial" w:cs="Arial"/>
          <w:sz w:val="24"/>
          <w:szCs w:val="24"/>
          <w:lang w:val="es-ES"/>
        </w:rPr>
        <w:t>agua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, </w:t>
      </w:r>
      <w:r w:rsidR="007B7BDA" w:rsidRPr="00633E14">
        <w:rPr>
          <w:rFonts w:ascii="Arial" w:hAnsi="Arial" w:cs="Arial"/>
          <w:sz w:val="24"/>
          <w:szCs w:val="24"/>
          <w:lang w:val="es-ES"/>
        </w:rPr>
        <w:t xml:space="preserve">los 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motivos, </w:t>
      </w:r>
      <w:r w:rsidR="007B7BDA" w:rsidRPr="00633E14">
        <w:rPr>
          <w:rFonts w:ascii="Arial" w:hAnsi="Arial" w:cs="Arial"/>
          <w:sz w:val="24"/>
          <w:szCs w:val="24"/>
          <w:lang w:val="es-ES"/>
        </w:rPr>
        <w:t>etc. Si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sabemos que los privados son </w:t>
      </w:r>
      <w:r w:rsidR="00A43865" w:rsidRPr="00633E14">
        <w:rPr>
          <w:rFonts w:ascii="Arial" w:hAnsi="Arial" w:cs="Arial"/>
          <w:sz w:val="24"/>
          <w:szCs w:val="24"/>
          <w:lang w:val="es-ES"/>
        </w:rPr>
        <w:t>más</w:t>
      </w:r>
      <w:r w:rsidRPr="00633E14">
        <w:rPr>
          <w:rFonts w:ascii="Arial" w:hAnsi="Arial" w:cs="Arial"/>
          <w:sz w:val="24"/>
          <w:szCs w:val="24"/>
          <w:lang w:val="es-ES"/>
        </w:rPr>
        <w:t xml:space="preserve"> eficaces en cortar el agua; el </w:t>
      </w:r>
      <w:r w:rsidR="007B7BDA" w:rsidRPr="00633E14">
        <w:rPr>
          <w:rFonts w:ascii="Arial" w:hAnsi="Arial" w:cs="Arial"/>
          <w:sz w:val="24"/>
          <w:szCs w:val="24"/>
          <w:lang w:val="es-ES"/>
        </w:rPr>
        <w:t>restablecimiento es por norma mui caro.</w:t>
      </w:r>
    </w:p>
    <w:p w14:paraId="2C263AF1" w14:textId="4EBB5629" w:rsidR="007A0FD8" w:rsidRPr="00E163B1" w:rsidRDefault="007A0FD8" w:rsidP="000966AD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¿Quién impone sanciones en caso de que se produzcan violaciones?</w:t>
      </w:r>
    </w:p>
    <w:p w14:paraId="2B28314F" w14:textId="464DFB44" w:rsidR="00B80B4C" w:rsidRDefault="007B7BDA" w:rsidP="007B7BDA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Los ayuntamientos pues son los titulares de los servicios</w:t>
      </w:r>
      <w:r w:rsidR="00053E29">
        <w:rPr>
          <w:rFonts w:ascii="Arial" w:hAnsi="Arial" w:cs="Arial"/>
          <w:sz w:val="24"/>
          <w:szCs w:val="24"/>
          <w:lang w:val="es-ES_tradnl"/>
        </w:rPr>
        <w:t xml:space="preserve"> y conforme a los contratos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B80B4C">
        <w:rPr>
          <w:rFonts w:ascii="Arial" w:hAnsi="Arial" w:cs="Arial"/>
          <w:sz w:val="24"/>
          <w:szCs w:val="24"/>
          <w:lang w:val="es-ES_tradnl"/>
        </w:rPr>
        <w:t xml:space="preserve">Pero no se conocen </w:t>
      </w:r>
      <w:r w:rsidR="00240849">
        <w:rPr>
          <w:rFonts w:ascii="Arial" w:hAnsi="Arial" w:cs="Arial"/>
          <w:sz w:val="24"/>
          <w:szCs w:val="24"/>
          <w:lang w:val="es-ES_tradnl"/>
        </w:rPr>
        <w:t>prácticamente</w:t>
      </w:r>
      <w:r w:rsidR="00B80B4C">
        <w:rPr>
          <w:rFonts w:ascii="Arial" w:hAnsi="Arial" w:cs="Arial"/>
          <w:sz w:val="24"/>
          <w:szCs w:val="24"/>
          <w:lang w:val="es-ES_tradnl"/>
        </w:rPr>
        <w:t xml:space="preserve"> sanciones.</w:t>
      </w:r>
    </w:p>
    <w:p w14:paraId="7C450395" w14:textId="5F67C61D" w:rsidR="007B7BDA" w:rsidRPr="00633E14" w:rsidRDefault="007B7BDA" w:rsidP="007B7BDA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A43865" w:rsidRPr="00633E14">
        <w:rPr>
          <w:rFonts w:ascii="Arial" w:hAnsi="Arial" w:cs="Arial"/>
          <w:sz w:val="24"/>
          <w:szCs w:val="24"/>
          <w:lang w:val="es-ES_tradnl"/>
        </w:rPr>
        <w:t>último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caso los tribunales, pero recurrir a la justicia es difícil.</w:t>
      </w:r>
    </w:p>
    <w:p w14:paraId="51AFED71" w14:textId="73B3DAB7" w:rsidR="007A0FD8" w:rsidRPr="00E163B1" w:rsidRDefault="007A0FD8" w:rsidP="007B7BD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E163B1">
        <w:rPr>
          <w:rFonts w:ascii="Arial" w:hAnsi="Arial" w:cs="Arial"/>
          <w:b/>
          <w:bCs/>
          <w:sz w:val="24"/>
          <w:szCs w:val="24"/>
          <w:lang w:val="es-ES"/>
        </w:rPr>
        <w:t>¿Cuáles son los principales desafíos a los que se enfrentan las autoridades públicas en cuanto a disponibilidad, accesibilidad, calidad y asequibilidad cuando los actores privados prestan servicios de agua y saneamiento? Sírvase dar ejemplos.</w:t>
      </w:r>
    </w:p>
    <w:p w14:paraId="0F21422D" w14:textId="3ECBAA07" w:rsidR="007B7BDA" w:rsidRPr="00633E14" w:rsidRDefault="00B80B4C" w:rsidP="007B7BD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Escasez de medios y conocimiento para fiscalizar a la empresa en todos los aspectos. Además, si una cosa no está prevista en el contrato, como, por ejemplo, la aplicación de nuevas</w:t>
      </w:r>
      <w:r w:rsidR="007B7BDA" w:rsidRPr="00633E14">
        <w:rPr>
          <w:rFonts w:ascii="Arial" w:hAnsi="Arial" w:cs="Arial"/>
          <w:sz w:val="24"/>
          <w:szCs w:val="24"/>
          <w:lang w:val="es-ES"/>
        </w:rPr>
        <w:t xml:space="preserve"> tarifas sociales, los privados demandan ser resarcidos. Controlar las inversiones y demandar su </w:t>
      </w:r>
      <w:r w:rsidR="00CB58E0" w:rsidRPr="00633E14">
        <w:rPr>
          <w:rFonts w:ascii="Arial" w:hAnsi="Arial" w:cs="Arial"/>
          <w:sz w:val="24"/>
          <w:szCs w:val="24"/>
          <w:lang w:val="es-ES"/>
        </w:rPr>
        <w:t>ejecución</w:t>
      </w:r>
      <w:r>
        <w:rPr>
          <w:rFonts w:ascii="Arial" w:hAnsi="Arial" w:cs="Arial"/>
          <w:sz w:val="24"/>
          <w:szCs w:val="24"/>
          <w:lang w:val="es-ES"/>
        </w:rPr>
        <w:t xml:space="preserve"> es otra cosa muy importante.</w:t>
      </w:r>
    </w:p>
    <w:p w14:paraId="6534E33D" w14:textId="70B40AD1" w:rsidR="007A0FD8" w:rsidRPr="00E163B1" w:rsidRDefault="007A0FD8" w:rsidP="007B7BD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163B1">
        <w:rPr>
          <w:rFonts w:ascii="Arial" w:hAnsi="Arial" w:cs="Arial"/>
          <w:b/>
          <w:bCs/>
          <w:sz w:val="24"/>
          <w:szCs w:val="24"/>
          <w:lang w:val="es-ES"/>
        </w:rPr>
        <w:t>¿Conoce algún caso de corrupción que involucre la provisión privada de servicios de agua y saneamiento? Por favor, facilit</w:t>
      </w: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t>e los detalles necesarios.</w:t>
      </w:r>
    </w:p>
    <w:p w14:paraId="405B27C6" w14:textId="4A760D39" w:rsidR="0030625E" w:rsidRPr="00633E14" w:rsidRDefault="007B7BDA" w:rsidP="007B7BDA">
      <w:pPr>
        <w:rPr>
          <w:rFonts w:ascii="Arial" w:hAnsi="Arial" w:cs="Arial"/>
          <w:sz w:val="24"/>
          <w:szCs w:val="24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 xml:space="preserve">Por ejemplo, en el caso de la privatización en la ciudad de Barcelos ha llegado al Tribunal. Los responsables políticos por la privatización han sido absueltos. </w:t>
      </w:r>
      <w:r w:rsidRPr="00633E14">
        <w:rPr>
          <w:rFonts w:ascii="Arial" w:hAnsi="Arial" w:cs="Arial"/>
          <w:color w:val="222222"/>
          <w:sz w:val="24"/>
          <w:szCs w:val="24"/>
          <w:shd w:val="clear" w:color="auto" w:fill="F8F9FA"/>
        </w:rPr>
        <w:t>Segun los jueces la concesión resultó en "daños materiales al municipio", pero no demostró que los acusados ​​hubieran tenido la intención de causar este daño. Pero hay otros</w:t>
      </w:r>
      <w:r w:rsidR="0030625E" w:rsidRPr="00633E14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casos poco claros: </w:t>
      </w:r>
      <w:hyperlink r:id="rId12" w:history="1">
        <w:r w:rsidR="0030625E" w:rsidRPr="00633E14">
          <w:rPr>
            <w:rStyle w:val="Hiperligao"/>
            <w:rFonts w:ascii="Arial" w:hAnsi="Arial" w:cs="Arial"/>
            <w:sz w:val="24"/>
            <w:szCs w:val="24"/>
          </w:rPr>
          <w:t>https://www.dn.pt/dossiers/economia/o-negocio-das-aguas---grande-investigacao.html</w:t>
        </w:r>
      </w:hyperlink>
    </w:p>
    <w:p w14:paraId="38FE772C" w14:textId="19827DAD" w:rsidR="007A0FD8" w:rsidRPr="00E163B1" w:rsidRDefault="007A0FD8" w:rsidP="007B7BDA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t>¿Ha demostrado el sector privado más capacidad para movilizar fondos que el sector público? ¿Podría darnos ejemplos concretos?</w:t>
      </w:r>
    </w:p>
    <w:p w14:paraId="79FE393B" w14:textId="4383899F" w:rsidR="00F020BF" w:rsidRDefault="00B80B4C" w:rsidP="007B7BD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regla l</w:t>
      </w:r>
      <w:r w:rsidR="00F020BF">
        <w:rPr>
          <w:rFonts w:ascii="Arial" w:hAnsi="Arial" w:cs="Arial"/>
          <w:sz w:val="24"/>
          <w:szCs w:val="24"/>
          <w:lang w:val="es-ES_tradnl"/>
        </w:rPr>
        <w:t xml:space="preserve">os ayuntamientos </w:t>
      </w:r>
      <w:r>
        <w:rPr>
          <w:rFonts w:ascii="Arial" w:hAnsi="Arial" w:cs="Arial"/>
          <w:sz w:val="24"/>
          <w:szCs w:val="24"/>
          <w:lang w:val="es-ES_tradnl"/>
        </w:rPr>
        <w:t xml:space="preserve">que han privatizado </w:t>
      </w:r>
      <w:r w:rsidR="00F020BF">
        <w:rPr>
          <w:rFonts w:ascii="Arial" w:hAnsi="Arial" w:cs="Arial"/>
          <w:sz w:val="24"/>
          <w:szCs w:val="24"/>
          <w:lang w:val="es-ES_tradnl"/>
        </w:rPr>
        <w:t>estaban mui endeudados</w:t>
      </w:r>
      <w:r>
        <w:rPr>
          <w:rFonts w:ascii="Arial" w:hAnsi="Arial" w:cs="Arial"/>
          <w:sz w:val="24"/>
          <w:szCs w:val="24"/>
          <w:lang w:val="es-ES_tradnl"/>
        </w:rPr>
        <w:t>, por eso si</w:t>
      </w:r>
      <w:r w:rsidR="00F020BF">
        <w:rPr>
          <w:rFonts w:ascii="Arial" w:hAnsi="Arial" w:cs="Arial"/>
          <w:sz w:val="24"/>
          <w:szCs w:val="24"/>
          <w:lang w:val="es-ES_tradnl"/>
        </w:rPr>
        <w:t xml:space="preserve">, pero el financiamiento privado es </w:t>
      </w:r>
      <w:r w:rsidR="00A43865">
        <w:rPr>
          <w:rFonts w:ascii="Arial" w:hAnsi="Arial" w:cs="Arial"/>
          <w:sz w:val="24"/>
          <w:szCs w:val="24"/>
          <w:lang w:val="es-ES_tradnl"/>
        </w:rPr>
        <w:t>más</w:t>
      </w:r>
      <w:r w:rsidR="00F020BF">
        <w:rPr>
          <w:rFonts w:ascii="Arial" w:hAnsi="Arial" w:cs="Arial"/>
          <w:sz w:val="24"/>
          <w:szCs w:val="24"/>
          <w:lang w:val="es-ES_tradnl"/>
        </w:rPr>
        <w:t xml:space="preserve"> caro.</w:t>
      </w:r>
    </w:p>
    <w:p w14:paraId="152EAEED" w14:textId="03F9D7BC" w:rsidR="007A0FD8" w:rsidRPr="00144E53" w:rsidRDefault="007A0FD8" w:rsidP="00144E53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144E53">
        <w:rPr>
          <w:rFonts w:ascii="Arial" w:hAnsi="Arial" w:cs="Arial"/>
          <w:b/>
          <w:bCs/>
          <w:sz w:val="24"/>
          <w:szCs w:val="24"/>
          <w:lang w:val="es-ES"/>
        </w:rPr>
        <w:t xml:space="preserve">En </w:t>
      </w:r>
      <w:r w:rsidR="009508FA" w:rsidRPr="00144E53">
        <w:rPr>
          <w:rFonts w:ascii="Arial" w:hAnsi="Arial" w:cs="Arial"/>
          <w:b/>
          <w:bCs/>
          <w:sz w:val="24"/>
          <w:szCs w:val="24"/>
          <w:lang w:val="es-ES"/>
        </w:rPr>
        <w:t>su</w:t>
      </w:r>
      <w:r w:rsidRPr="00144E53">
        <w:rPr>
          <w:rFonts w:ascii="Arial" w:hAnsi="Arial" w:cs="Arial"/>
          <w:b/>
          <w:bCs/>
          <w:sz w:val="24"/>
          <w:szCs w:val="24"/>
          <w:lang w:val="es-ES"/>
        </w:rPr>
        <w:t xml:space="preserve"> opinión, ¿existe un desequilibrio de poder en una asociación público-privada? </w:t>
      </w:r>
      <w:r w:rsidRPr="00144E53">
        <w:rPr>
          <w:rFonts w:ascii="Arial" w:hAnsi="Arial" w:cs="Arial"/>
          <w:b/>
          <w:bCs/>
          <w:sz w:val="24"/>
          <w:szCs w:val="24"/>
          <w:lang w:val="es-ES_tradnl"/>
        </w:rPr>
        <w:t>¿Podría dar ejemplos concretos de los efectos de esta relación?</w:t>
      </w:r>
    </w:p>
    <w:p w14:paraId="6ECA0E56" w14:textId="552113FB" w:rsidR="0030625E" w:rsidRPr="00633E14" w:rsidRDefault="0030625E" w:rsidP="0030625E">
      <w:pPr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Si. En todas las concesiones pasa eso, como lo</w:t>
      </w:r>
      <w:r w:rsidR="00650F12">
        <w:rPr>
          <w:rFonts w:ascii="Arial" w:hAnsi="Arial" w:cs="Arial"/>
          <w:sz w:val="24"/>
          <w:szCs w:val="24"/>
          <w:lang w:val="es-ES_tradnl"/>
        </w:rPr>
        <w:t xml:space="preserve"> probo la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auditoria del Tribunal de Cuentas. </w:t>
      </w:r>
      <w:r w:rsidR="00650F12">
        <w:rPr>
          <w:rFonts w:ascii="Arial" w:hAnsi="Arial" w:cs="Arial"/>
          <w:sz w:val="24"/>
          <w:szCs w:val="24"/>
          <w:lang w:val="es-ES_tradnl"/>
        </w:rPr>
        <w:t>Hay c</w:t>
      </w:r>
      <w:r w:rsidRPr="00633E14">
        <w:rPr>
          <w:rFonts w:ascii="Arial" w:hAnsi="Arial" w:cs="Arial"/>
          <w:sz w:val="24"/>
          <w:szCs w:val="24"/>
          <w:lang w:val="es-ES_tradnl"/>
        </w:rPr>
        <w:t>aso</w:t>
      </w:r>
      <w:r w:rsidR="00650F12">
        <w:rPr>
          <w:rFonts w:ascii="Arial" w:hAnsi="Arial" w:cs="Arial"/>
          <w:sz w:val="24"/>
          <w:szCs w:val="24"/>
          <w:lang w:val="es-ES_tradnl"/>
        </w:rPr>
        <w:t>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de asociación público-privado</w:t>
      </w:r>
      <w:r w:rsidR="00650F12">
        <w:rPr>
          <w:rFonts w:ascii="Arial" w:hAnsi="Arial" w:cs="Arial"/>
          <w:sz w:val="24"/>
          <w:szCs w:val="24"/>
          <w:lang w:val="es-ES_tradnl"/>
        </w:rPr>
        <w:t xml:space="preserve"> societaria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, en que el </w:t>
      </w:r>
      <w:r w:rsidR="00650F12">
        <w:rPr>
          <w:rFonts w:ascii="Arial" w:hAnsi="Arial" w:cs="Arial"/>
          <w:sz w:val="24"/>
          <w:szCs w:val="24"/>
          <w:lang w:val="es-ES_tradnl"/>
        </w:rPr>
        <w:t>público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tiene m</w:t>
      </w:r>
      <w:r w:rsidR="00E163B1">
        <w:rPr>
          <w:rFonts w:ascii="Arial" w:hAnsi="Arial" w:cs="Arial"/>
          <w:sz w:val="24"/>
          <w:szCs w:val="24"/>
          <w:lang w:val="es-ES_tradnl"/>
        </w:rPr>
        <w:t>á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6B273D" w:rsidRPr="00633E14">
        <w:rPr>
          <w:rFonts w:ascii="Arial" w:hAnsi="Arial" w:cs="Arial"/>
          <w:sz w:val="24"/>
          <w:szCs w:val="24"/>
          <w:lang w:val="es-ES_tradnl"/>
        </w:rPr>
        <w:t>capital,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pero</w:t>
      </w:r>
      <w:r w:rsidR="00650F12">
        <w:rPr>
          <w:rFonts w:ascii="Arial" w:hAnsi="Arial" w:cs="Arial"/>
          <w:sz w:val="24"/>
          <w:szCs w:val="24"/>
          <w:lang w:val="es-ES_tradnl"/>
        </w:rPr>
        <w:t xml:space="preserve"> es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el privado </w:t>
      </w:r>
      <w:r w:rsidR="00650F12">
        <w:rPr>
          <w:rFonts w:ascii="Arial" w:hAnsi="Arial" w:cs="Arial"/>
          <w:sz w:val="24"/>
          <w:szCs w:val="24"/>
          <w:lang w:val="es-ES_tradnl"/>
        </w:rPr>
        <w:t xml:space="preserve">el que </w:t>
      </w:r>
      <w:r w:rsidRPr="00633E14">
        <w:rPr>
          <w:rFonts w:ascii="Arial" w:hAnsi="Arial" w:cs="Arial"/>
          <w:sz w:val="24"/>
          <w:szCs w:val="24"/>
          <w:lang w:val="es-ES_tradnl"/>
        </w:rPr>
        <w:t>tiene m</w:t>
      </w:r>
      <w:r w:rsidR="009F62AF">
        <w:rPr>
          <w:rFonts w:ascii="Arial" w:hAnsi="Arial" w:cs="Arial"/>
          <w:sz w:val="24"/>
          <w:szCs w:val="24"/>
          <w:lang w:val="es-ES_tradnl"/>
        </w:rPr>
        <w:t>á</w:t>
      </w:r>
      <w:r w:rsidRPr="00633E14">
        <w:rPr>
          <w:rFonts w:ascii="Arial" w:hAnsi="Arial" w:cs="Arial"/>
          <w:sz w:val="24"/>
          <w:szCs w:val="24"/>
          <w:lang w:val="es-ES_tradnl"/>
        </w:rPr>
        <w:t>s poder de hech</w:t>
      </w:r>
      <w:r w:rsidR="009F62AF">
        <w:rPr>
          <w:rFonts w:ascii="Arial" w:hAnsi="Arial" w:cs="Arial"/>
          <w:sz w:val="24"/>
          <w:szCs w:val="24"/>
          <w:lang w:val="es-ES_tradnl"/>
        </w:rPr>
        <w:t xml:space="preserve">o – el caso de la 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Empresa Municipal </w:t>
      </w:r>
      <w:r w:rsidR="0005494A" w:rsidRPr="00633E14">
        <w:rPr>
          <w:rFonts w:ascii="Arial" w:hAnsi="Arial" w:cs="Arial"/>
          <w:sz w:val="24"/>
          <w:szCs w:val="24"/>
          <w:lang w:val="es-ES_tradnl"/>
        </w:rPr>
        <w:t>Aguas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da Covilhã es uno de ellos</w:t>
      </w:r>
      <w:r w:rsidR="00650F12">
        <w:rPr>
          <w:rFonts w:ascii="Arial" w:hAnsi="Arial" w:cs="Arial"/>
          <w:sz w:val="24"/>
          <w:szCs w:val="24"/>
          <w:lang w:val="es-ES_tradnl"/>
        </w:rPr>
        <w:t xml:space="preserve"> – el privado tiene un tipo de poder de veto en decisiones como precios, inversiones, y controla la gestión comercial.</w:t>
      </w:r>
    </w:p>
    <w:p w14:paraId="3AF968B4" w14:textId="0FB0DA05" w:rsidR="007A0FD8" w:rsidRPr="00E163B1" w:rsidRDefault="007A0FD8" w:rsidP="0030625E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t xml:space="preserve">Cuando hay participación privada en el sector de agua y saneamiento, ¿en qué medida el actor privado aporta sus propios recursos financieros al servicio? </w:t>
      </w:r>
    </w:p>
    <w:p w14:paraId="0EA8BC26" w14:textId="2A1C9899" w:rsidR="0030625E" w:rsidRDefault="0030625E" w:rsidP="0030625E">
      <w:pPr>
        <w:ind w:left="360"/>
        <w:rPr>
          <w:rFonts w:ascii="Arial" w:hAnsi="Arial" w:cs="Arial"/>
          <w:sz w:val="24"/>
          <w:szCs w:val="24"/>
          <w:lang w:val="es-ES_tradnl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La ma</w:t>
      </w:r>
      <w:r w:rsidR="00E163B1">
        <w:rPr>
          <w:rFonts w:ascii="Arial" w:hAnsi="Arial" w:cs="Arial"/>
          <w:sz w:val="24"/>
          <w:szCs w:val="24"/>
          <w:lang w:val="es-ES_tradnl"/>
        </w:rPr>
        <w:t>y</w:t>
      </w:r>
      <w:r w:rsidRPr="00633E14">
        <w:rPr>
          <w:rFonts w:ascii="Arial" w:hAnsi="Arial" w:cs="Arial"/>
          <w:sz w:val="24"/>
          <w:szCs w:val="24"/>
          <w:lang w:val="es-ES_tradnl"/>
        </w:rPr>
        <w:t>or parte del capital tiene origen en el sector financiero…en el caso de las empresas p</w:t>
      </w:r>
      <w:r w:rsidR="00E163B1">
        <w:rPr>
          <w:rFonts w:ascii="Arial" w:hAnsi="Arial" w:cs="Arial"/>
          <w:sz w:val="24"/>
          <w:szCs w:val="24"/>
          <w:lang w:val="es-ES_tradnl"/>
        </w:rPr>
        <w:t>ú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blicas de </w:t>
      </w:r>
      <w:r w:rsidR="009F62AF" w:rsidRPr="00633E14">
        <w:rPr>
          <w:rFonts w:ascii="Arial" w:hAnsi="Arial" w:cs="Arial"/>
          <w:sz w:val="24"/>
          <w:szCs w:val="24"/>
          <w:lang w:val="es-ES_tradnl"/>
        </w:rPr>
        <w:t>Aguas</w:t>
      </w:r>
      <w:r w:rsidRPr="00633E14">
        <w:rPr>
          <w:rFonts w:ascii="Arial" w:hAnsi="Arial" w:cs="Arial"/>
          <w:sz w:val="24"/>
          <w:szCs w:val="24"/>
          <w:lang w:val="es-ES_tradnl"/>
        </w:rPr>
        <w:t xml:space="preserve"> de Portugal, también – es enorme la financiarización del sector.</w:t>
      </w:r>
    </w:p>
    <w:p w14:paraId="2616DFA7" w14:textId="77777777" w:rsidR="000A4BA4" w:rsidRDefault="000A4BA4" w:rsidP="0030625E">
      <w:pPr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95D3966" w14:textId="77777777" w:rsidR="007A0FD8" w:rsidRPr="00633E14" w:rsidRDefault="007A0FD8" w:rsidP="007A0FD8">
      <w:pPr>
        <w:rPr>
          <w:rFonts w:ascii="Arial" w:hAnsi="Arial" w:cs="Arial"/>
          <w:b/>
          <w:sz w:val="24"/>
          <w:szCs w:val="24"/>
          <w:lang w:val="es-ES"/>
        </w:rPr>
      </w:pPr>
      <w:r w:rsidRPr="00633E14">
        <w:rPr>
          <w:rFonts w:ascii="Arial" w:hAnsi="Arial" w:cs="Arial"/>
          <w:b/>
          <w:sz w:val="24"/>
          <w:szCs w:val="24"/>
          <w:lang w:val="es-ES"/>
        </w:rPr>
        <w:lastRenderedPageBreak/>
        <w:t>Remunicipalización</w:t>
      </w:r>
    </w:p>
    <w:p w14:paraId="386FDA4B" w14:textId="604089A5" w:rsidR="00DF65DB" w:rsidRPr="00633E14" w:rsidRDefault="007A0FD8" w:rsidP="0030625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33E14">
        <w:rPr>
          <w:rFonts w:ascii="Arial" w:hAnsi="Arial" w:cs="Arial"/>
          <w:sz w:val="24"/>
          <w:szCs w:val="24"/>
          <w:lang w:val="es-ES_tradnl"/>
        </w:rPr>
        <w:t>¿</w:t>
      </w: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t xml:space="preserve">Ha estudiado algún caso de </w:t>
      </w:r>
      <w:r w:rsidR="00E90DB0" w:rsidRPr="00E163B1">
        <w:rPr>
          <w:rFonts w:ascii="Arial" w:hAnsi="Arial" w:cs="Arial"/>
          <w:b/>
          <w:bCs/>
          <w:sz w:val="24"/>
          <w:szCs w:val="24"/>
          <w:lang w:val="es-ES_tradnl"/>
        </w:rPr>
        <w:t>remunicipalización</w:t>
      </w:r>
      <w:r w:rsidRPr="00E163B1">
        <w:rPr>
          <w:rFonts w:ascii="Arial" w:hAnsi="Arial" w:cs="Arial"/>
          <w:b/>
          <w:bCs/>
          <w:sz w:val="24"/>
          <w:szCs w:val="24"/>
          <w:lang w:val="es-ES_tradnl"/>
        </w:rPr>
        <w:t xml:space="preserve">? ¿Por qué y cómo ha ocurrido? ¿A qué tipo de dificultades se ha enfrentado la autoridad pública para establecer el nuevo proveedor municipal? </w:t>
      </w:r>
      <w:r w:rsidRPr="00E163B1">
        <w:rPr>
          <w:rFonts w:ascii="Arial" w:hAnsi="Arial" w:cs="Arial"/>
          <w:b/>
          <w:bCs/>
          <w:sz w:val="24"/>
          <w:szCs w:val="24"/>
          <w:lang w:val="en-US"/>
        </w:rPr>
        <w:t>Sírvase proporcionar detalles de esos procesos.</w:t>
      </w:r>
    </w:p>
    <w:p w14:paraId="1FCAAAF4" w14:textId="4AD3A1A5" w:rsidR="008F6934" w:rsidRDefault="0030625E" w:rsidP="00633E14">
      <w:pPr>
        <w:pStyle w:val="HTMLpr-formatado"/>
        <w:shd w:val="clear" w:color="auto" w:fill="F8F9FA"/>
        <w:rPr>
          <w:rFonts w:ascii="Arial" w:hAnsi="Arial" w:cs="Arial"/>
          <w:color w:val="222222"/>
          <w:sz w:val="24"/>
          <w:szCs w:val="24"/>
          <w:lang w:val="es-ES"/>
        </w:rPr>
      </w:pPr>
      <w:r w:rsidRPr="00633E14">
        <w:rPr>
          <w:rFonts w:ascii="Arial" w:hAnsi="Arial" w:cs="Arial"/>
          <w:sz w:val="24"/>
          <w:szCs w:val="24"/>
          <w:lang w:val="en-US"/>
        </w:rPr>
        <w:t>En Portugal hay un caso de</w:t>
      </w:r>
      <w:r w:rsidR="009F62AF">
        <w:rPr>
          <w:rFonts w:ascii="Arial" w:hAnsi="Arial" w:cs="Arial"/>
          <w:sz w:val="24"/>
          <w:szCs w:val="24"/>
          <w:lang w:val="en-US"/>
        </w:rPr>
        <w:t xml:space="preserve"> remunicipalización</w:t>
      </w:r>
      <w:r w:rsidR="00CB42FA">
        <w:rPr>
          <w:rFonts w:ascii="Arial" w:hAnsi="Arial" w:cs="Arial"/>
          <w:sz w:val="24"/>
          <w:szCs w:val="24"/>
          <w:lang w:val="en-US"/>
        </w:rPr>
        <w:t>, en la localidad de</w:t>
      </w:r>
      <w:r w:rsidR="00682E16">
        <w:rPr>
          <w:rFonts w:ascii="Arial" w:hAnsi="Arial" w:cs="Arial"/>
          <w:sz w:val="24"/>
          <w:szCs w:val="24"/>
          <w:lang w:val="en-US"/>
        </w:rPr>
        <w:t xml:space="preserve"> Mafra</w:t>
      </w:r>
      <w:r w:rsidR="00CB42FA">
        <w:rPr>
          <w:rFonts w:ascii="Arial" w:hAnsi="Arial" w:cs="Arial"/>
          <w:sz w:val="24"/>
          <w:szCs w:val="24"/>
          <w:lang w:val="en-US"/>
        </w:rPr>
        <w:t>. Está claro que el ayuntamiento</w:t>
      </w:r>
      <w:r w:rsidR="00682E16">
        <w:rPr>
          <w:rFonts w:ascii="Arial" w:hAnsi="Arial" w:cs="Arial"/>
          <w:sz w:val="24"/>
          <w:szCs w:val="24"/>
          <w:lang w:val="en-US"/>
        </w:rPr>
        <w:t xml:space="preserve"> </w:t>
      </w:r>
      <w:r w:rsidR="00CB42FA">
        <w:rPr>
          <w:rFonts w:ascii="Arial" w:hAnsi="Arial" w:cs="Arial"/>
          <w:sz w:val="24"/>
          <w:szCs w:val="24"/>
          <w:lang w:val="en-US"/>
        </w:rPr>
        <w:t xml:space="preserve">que ha sido </w:t>
      </w:r>
      <w:r w:rsidRPr="00633E14">
        <w:rPr>
          <w:rFonts w:ascii="Arial" w:hAnsi="Arial" w:cs="Arial"/>
          <w:sz w:val="24"/>
          <w:szCs w:val="24"/>
          <w:lang w:val="en-US"/>
        </w:rPr>
        <w:t xml:space="preserve">el primero en </w:t>
      </w:r>
      <w:r w:rsidR="00CB42FA">
        <w:rPr>
          <w:rFonts w:ascii="Arial" w:hAnsi="Arial" w:cs="Arial"/>
          <w:sz w:val="24"/>
          <w:szCs w:val="24"/>
          <w:lang w:val="en-US"/>
        </w:rPr>
        <w:t>privatizar sea</w:t>
      </w:r>
      <w:r w:rsidR="00D27040">
        <w:rPr>
          <w:rFonts w:ascii="Arial" w:hAnsi="Arial" w:cs="Arial"/>
          <w:sz w:val="24"/>
          <w:szCs w:val="24"/>
          <w:lang w:val="en-US"/>
        </w:rPr>
        <w:t xml:space="preserve"> también </w:t>
      </w:r>
      <w:r w:rsidRPr="00633E14">
        <w:rPr>
          <w:rFonts w:ascii="Arial" w:hAnsi="Arial" w:cs="Arial"/>
          <w:sz w:val="24"/>
          <w:szCs w:val="24"/>
          <w:lang w:val="en-US"/>
        </w:rPr>
        <w:t xml:space="preserve">el primero en remunicipalizar. </w:t>
      </w:r>
      <w:r w:rsidR="00CB42FA">
        <w:rPr>
          <w:rFonts w:ascii="Arial" w:hAnsi="Arial" w:cs="Arial"/>
          <w:color w:val="222222"/>
          <w:sz w:val="24"/>
          <w:szCs w:val="24"/>
          <w:lang w:val="es-ES"/>
        </w:rPr>
        <w:t>El</w:t>
      </w:r>
      <w:r w:rsidR="00CB58E0">
        <w:rPr>
          <w:rFonts w:ascii="Arial" w:hAnsi="Arial" w:cs="Arial"/>
          <w:color w:val="222222"/>
          <w:sz w:val="24"/>
          <w:szCs w:val="24"/>
          <w:lang w:val="es-ES"/>
        </w:rPr>
        <w:t xml:space="preserve"> poder político es lo mismo</w:t>
      </w:r>
      <w:r w:rsidR="009F62AF">
        <w:rPr>
          <w:rFonts w:ascii="Arial" w:hAnsi="Arial" w:cs="Arial"/>
          <w:color w:val="222222"/>
          <w:sz w:val="24"/>
          <w:szCs w:val="24"/>
          <w:lang w:val="es-ES"/>
        </w:rPr>
        <w:t>, de derecha</w:t>
      </w:r>
      <w:r w:rsidR="00CB58E0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="00CB42FA">
        <w:rPr>
          <w:rFonts w:ascii="Arial" w:hAnsi="Arial" w:cs="Arial"/>
          <w:color w:val="222222"/>
          <w:sz w:val="24"/>
          <w:szCs w:val="24"/>
          <w:lang w:val="es-ES"/>
        </w:rPr>
        <w:t xml:space="preserve">Por lo </w:t>
      </w:r>
      <w:bookmarkStart w:id="0" w:name="_GoBack"/>
      <w:bookmarkEnd w:id="0"/>
      <w:r w:rsidR="008B429B">
        <w:rPr>
          <w:rFonts w:ascii="Arial" w:hAnsi="Arial" w:cs="Arial"/>
          <w:color w:val="222222"/>
          <w:sz w:val="24"/>
          <w:szCs w:val="24"/>
          <w:lang w:val="es-ES"/>
        </w:rPr>
        <w:t>tanto,</w:t>
      </w:r>
      <w:r w:rsidR="00CB42FA">
        <w:rPr>
          <w:rFonts w:ascii="Arial" w:hAnsi="Arial" w:cs="Arial"/>
          <w:color w:val="222222"/>
          <w:sz w:val="24"/>
          <w:szCs w:val="24"/>
          <w:lang w:val="es-ES"/>
        </w:rPr>
        <w:t xml:space="preserve"> n</w:t>
      </w:r>
      <w:r w:rsidR="009F62AF">
        <w:rPr>
          <w:rFonts w:ascii="Arial" w:hAnsi="Arial" w:cs="Arial"/>
          <w:color w:val="222222"/>
          <w:sz w:val="24"/>
          <w:szCs w:val="24"/>
          <w:lang w:val="es-ES"/>
        </w:rPr>
        <w:t xml:space="preserve">o puede ser acusado de razones ideológicas.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Los motivos </w:t>
      </w:r>
      <w:r w:rsidR="00CB58E0">
        <w:rPr>
          <w:rFonts w:ascii="Arial" w:hAnsi="Arial" w:cs="Arial"/>
          <w:color w:val="222222"/>
          <w:sz w:val="24"/>
          <w:szCs w:val="24"/>
          <w:lang w:val="es-ES"/>
        </w:rPr>
        <w:t>fueran la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 defensa del interés público. Desde 2012, el 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volumen de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>consumo de agua y de aguas residuales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 depuradas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 han sido inferiores a los valores contratados con el concesionario privado, la empresa 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china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>BeWater – que compro la concesión a Veolia -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por lo que la compañía exigió una indemnización de 19 millones de euros en 2016, o 46 millones de euros en 2025, fecha de finalización del contrato. Para cubrir la diferencia, el municipio debería permitir un aumento de tarifa promedio del 30%, lo que llevó al ejecutivo del ayuntamiento a optar por la remunicipalización del servicio. Sin embargo, para recuperar lo que le pertenece, la autarquía </w:t>
      </w:r>
      <w:r w:rsidR="0091159A">
        <w:rPr>
          <w:rFonts w:ascii="Arial" w:hAnsi="Arial" w:cs="Arial"/>
          <w:color w:val="222222"/>
          <w:sz w:val="24"/>
          <w:szCs w:val="24"/>
          <w:lang w:val="es-ES"/>
        </w:rPr>
        <w:t>tendría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 que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>pagar una compensación. La compañía, reclam</w:t>
      </w:r>
      <w:r w:rsidR="009F62AF">
        <w:rPr>
          <w:rFonts w:ascii="Arial" w:hAnsi="Arial" w:cs="Arial"/>
          <w:color w:val="222222"/>
          <w:sz w:val="24"/>
          <w:szCs w:val="24"/>
          <w:lang w:val="es-ES"/>
        </w:rPr>
        <w:t>ó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 50 millones de euros, dejando en claro que </w:t>
      </w:r>
      <w:r w:rsidR="00701B58" w:rsidRPr="00633E14">
        <w:rPr>
          <w:rFonts w:ascii="Arial" w:hAnsi="Arial" w:cs="Arial"/>
          <w:color w:val="222222"/>
          <w:sz w:val="24"/>
          <w:szCs w:val="24"/>
          <w:lang w:val="es-ES"/>
        </w:rPr>
        <w:t>har</w:t>
      </w:r>
      <w:r w:rsidR="00701B58">
        <w:rPr>
          <w:rFonts w:ascii="Arial" w:hAnsi="Arial" w:cs="Arial"/>
          <w:color w:val="222222"/>
          <w:sz w:val="24"/>
          <w:szCs w:val="24"/>
          <w:lang w:val="es-ES"/>
        </w:rPr>
        <w:t>ía</w:t>
      </w:r>
      <w:r w:rsidR="009F62AF" w:rsidRPr="00633E14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633E14" w:rsidRPr="00633E14">
        <w:rPr>
          <w:rFonts w:ascii="Arial" w:hAnsi="Arial" w:cs="Arial"/>
          <w:color w:val="222222"/>
          <w:sz w:val="24"/>
          <w:szCs w:val="24"/>
          <w:lang w:val="es-ES"/>
        </w:rPr>
        <w:t>todo lo posible para obtener las máximas ganancias, en espera de la decisión judicial.</w:t>
      </w:r>
      <w:r w:rsidR="009F62A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8F6934" w:rsidRPr="00633E14">
        <w:rPr>
          <w:rFonts w:ascii="Arial" w:hAnsi="Arial" w:cs="Arial"/>
          <w:color w:val="222222"/>
          <w:sz w:val="24"/>
          <w:szCs w:val="24"/>
          <w:lang w:val="es-ES"/>
        </w:rPr>
        <w:t>Al final, Mafra ha pagado 21 millones de euros para rescatar la concesión</w:t>
      </w:r>
      <w:r w:rsidR="008F6934">
        <w:rPr>
          <w:rFonts w:ascii="Arial" w:hAnsi="Arial" w:cs="Arial"/>
          <w:color w:val="222222"/>
          <w:sz w:val="24"/>
          <w:szCs w:val="24"/>
          <w:lang w:val="es-ES"/>
        </w:rPr>
        <w:t xml:space="preserve"> ocho años antes del término.</w:t>
      </w:r>
    </w:p>
    <w:p w14:paraId="48BB0AE6" w14:textId="380A8435" w:rsidR="00646B2B" w:rsidRPr="00646B2B" w:rsidRDefault="00633E14" w:rsidP="00633E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3E14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Los estudios realizados para el municipio concluyeron que si el servicio es realizado por el ayuntamiento es posible reducir la tarifa en un 5%, y el municipio anunció que realizará inversiones del orden de 18 millones de euros en lugar de los 12 millones planificados por el sector privado. El </w:t>
      </w:r>
      <w:r w:rsidR="00CB58E0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nuevo </w:t>
      </w:r>
      <w:r w:rsidRPr="00633E14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servicio </w:t>
      </w:r>
      <w:r w:rsidR="00CB58E0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público </w:t>
      </w:r>
      <w:r w:rsidRPr="00633E14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empezó a trabajar en 2019 - </w:t>
      </w:r>
      <w:hyperlink r:id="rId13" w:history="1">
        <w:r w:rsidRPr="00633E14">
          <w:rPr>
            <w:rStyle w:val="Hiperligao"/>
            <w:rFonts w:ascii="Arial" w:hAnsi="Arial" w:cs="Arial"/>
            <w:sz w:val="24"/>
            <w:szCs w:val="24"/>
          </w:rPr>
          <w:t>https://www.smas-mafra.pt/pages/1291</w:t>
        </w:r>
      </w:hyperlink>
      <w:r w:rsidR="00646B2B">
        <w:rPr>
          <w:rStyle w:val="Hiperligao"/>
          <w:rFonts w:ascii="Arial" w:hAnsi="Arial" w:cs="Arial"/>
          <w:sz w:val="24"/>
          <w:szCs w:val="24"/>
        </w:rPr>
        <w:t xml:space="preserve">. </w:t>
      </w:r>
      <w:r w:rsidR="00646B2B">
        <w:rPr>
          <w:rStyle w:val="Hiperligao"/>
          <w:rFonts w:ascii="Arial" w:hAnsi="Arial" w:cs="Arial"/>
          <w:color w:val="auto"/>
          <w:sz w:val="24"/>
          <w:szCs w:val="24"/>
          <w:u w:val="none"/>
        </w:rPr>
        <w:t>Los puestos de trabajo y las condiciones han sido salvaguardados.</w:t>
      </w:r>
    </w:p>
    <w:p w14:paraId="0378825A" w14:textId="5FC8324A" w:rsidR="00633E14" w:rsidRPr="00633E14" w:rsidRDefault="00633E14" w:rsidP="00633E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PT" w:eastAsia="pt-PT"/>
        </w:rPr>
      </w:pPr>
      <w:r w:rsidRPr="00633E14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>Se espera que la</w:t>
      </w:r>
      <w:r w:rsidR="00690947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 xml:space="preserve"> </w:t>
      </w:r>
      <w:r w:rsidRPr="00633E14">
        <w:rPr>
          <w:rFonts w:ascii="Arial" w:eastAsia="Times New Roman" w:hAnsi="Arial" w:cs="Arial"/>
          <w:color w:val="222222"/>
          <w:sz w:val="24"/>
          <w:szCs w:val="24"/>
          <w:lang w:val="es-ES" w:eastAsia="pt-PT"/>
        </w:rPr>
        <w:t>remunicipalización pueda brindar la oportunidad de construir servicios públicos de calidad al servicio de la población.</w:t>
      </w:r>
    </w:p>
    <w:p w14:paraId="7053F73B" w14:textId="412D7B41" w:rsidR="0030625E" w:rsidRPr="0030625E" w:rsidRDefault="0030625E" w:rsidP="0030625E">
      <w:pPr>
        <w:rPr>
          <w:lang w:val="en-US"/>
        </w:rPr>
      </w:pPr>
    </w:p>
    <w:sectPr w:rsidR="0030625E" w:rsidRPr="00306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F35"/>
    <w:multiLevelType w:val="hybridMultilevel"/>
    <w:tmpl w:val="5AA623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45A6"/>
    <w:multiLevelType w:val="hybridMultilevel"/>
    <w:tmpl w:val="88128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6FBE"/>
    <w:multiLevelType w:val="hybridMultilevel"/>
    <w:tmpl w:val="B0286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DB"/>
    <w:rsid w:val="00053E29"/>
    <w:rsid w:val="0005494A"/>
    <w:rsid w:val="00055A3A"/>
    <w:rsid w:val="000663A9"/>
    <w:rsid w:val="000966AD"/>
    <w:rsid w:val="000A4BA4"/>
    <w:rsid w:val="000A6A60"/>
    <w:rsid w:val="000E4AB1"/>
    <w:rsid w:val="0011789F"/>
    <w:rsid w:val="00144E53"/>
    <w:rsid w:val="00164F63"/>
    <w:rsid w:val="001E397C"/>
    <w:rsid w:val="00210A23"/>
    <w:rsid w:val="00240849"/>
    <w:rsid w:val="002A2DC1"/>
    <w:rsid w:val="002C7A67"/>
    <w:rsid w:val="002D4F09"/>
    <w:rsid w:val="00302278"/>
    <w:rsid w:val="0030625E"/>
    <w:rsid w:val="003A7BD0"/>
    <w:rsid w:val="004F7CD6"/>
    <w:rsid w:val="005939D4"/>
    <w:rsid w:val="005B4108"/>
    <w:rsid w:val="00633E14"/>
    <w:rsid w:val="00646B2B"/>
    <w:rsid w:val="00650F12"/>
    <w:rsid w:val="00682E16"/>
    <w:rsid w:val="00690947"/>
    <w:rsid w:val="006B273D"/>
    <w:rsid w:val="006D3C0A"/>
    <w:rsid w:val="006E5765"/>
    <w:rsid w:val="00701B58"/>
    <w:rsid w:val="00740467"/>
    <w:rsid w:val="007A0FD8"/>
    <w:rsid w:val="007B7BDA"/>
    <w:rsid w:val="00811E8A"/>
    <w:rsid w:val="0084127A"/>
    <w:rsid w:val="008B429B"/>
    <w:rsid w:val="008F6934"/>
    <w:rsid w:val="0091159A"/>
    <w:rsid w:val="009508FA"/>
    <w:rsid w:val="0095383A"/>
    <w:rsid w:val="009D438C"/>
    <w:rsid w:val="009F62AF"/>
    <w:rsid w:val="00A43865"/>
    <w:rsid w:val="00A60562"/>
    <w:rsid w:val="00AC21E2"/>
    <w:rsid w:val="00B23433"/>
    <w:rsid w:val="00B61BDD"/>
    <w:rsid w:val="00B80B4C"/>
    <w:rsid w:val="00B82305"/>
    <w:rsid w:val="00C05A02"/>
    <w:rsid w:val="00CB42FA"/>
    <w:rsid w:val="00CB58E0"/>
    <w:rsid w:val="00CC1FD0"/>
    <w:rsid w:val="00D0491B"/>
    <w:rsid w:val="00D23C43"/>
    <w:rsid w:val="00D27040"/>
    <w:rsid w:val="00DF65DB"/>
    <w:rsid w:val="00E163B1"/>
    <w:rsid w:val="00E90DB0"/>
    <w:rsid w:val="00EC2979"/>
    <w:rsid w:val="00EF3D93"/>
    <w:rsid w:val="00F020BF"/>
    <w:rsid w:val="00F12B57"/>
    <w:rsid w:val="00F27276"/>
    <w:rsid w:val="00F45600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15D2E"/>
  <w15:docId w15:val="{5BC52661-3EFC-4D5F-8E8F-F157B8D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B"/>
    <w:rPr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65DB"/>
    <w:pPr>
      <w:ind w:left="720"/>
      <w:contextualSpacing/>
    </w:pPr>
  </w:style>
  <w:style w:type="table" w:styleId="TabelacomGrelha">
    <w:name w:val="Table Grid"/>
    <w:basedOn w:val="Tabelanormal"/>
    <w:uiPriority w:val="39"/>
    <w:rsid w:val="00DF65D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DF65DB"/>
    <w:pPr>
      <w:spacing w:line="256" w:lineRule="auto"/>
      <w:ind w:left="720"/>
      <w:contextualSpacing/>
    </w:pPr>
    <w:rPr>
      <w:rFonts w:ascii="Cambria" w:eastAsia="Cambria" w:hAnsi="Cambria" w:cs="Times New Roman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FA774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A7741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arter"/>
    <w:uiPriority w:val="99"/>
    <w:unhideWhenUsed/>
    <w:rsid w:val="0009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0966AD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966AD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633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33E14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5A3A"/>
    <w:rPr>
      <w:rFonts w:ascii="Segoe UI" w:hAnsi="Segoe UI" w:cs="Segoe UI"/>
      <w:sz w:val="18"/>
      <w:szCs w:val="18"/>
      <w:lang w:val="de-DE"/>
    </w:rPr>
  </w:style>
  <w:style w:type="paragraph" w:styleId="SemEspaamento">
    <w:name w:val="No Spacing"/>
    <w:uiPriority w:val="1"/>
    <w:qFormat/>
    <w:rsid w:val="00055A3A"/>
    <w:pPr>
      <w:spacing w:after="0" w:line="240" w:lineRule="auto"/>
    </w:pPr>
    <w:rPr>
      <w:lang w:val="de-D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3C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3C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3C43"/>
    <w:rPr>
      <w:sz w:val="20"/>
      <w:szCs w:val="20"/>
      <w:lang w:val="de-D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3C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3C43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7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s-mafra.pt/pages/12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n.pt/dossiers/economia/o-negocio-das-aguas---grande-investigaca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co.proteste.pt/casa-energia/agua/noticias/tarifas-agua-lixo-e-diferencas-entre-municipios/disparidades-nas-tarif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aguadetodo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F725-551E-4021-B4D6-5A531BC25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37CED-180F-4827-8729-D0697C7366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961575-AAB2-4691-879A-C83C3C6F6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D8362-8BD5-4F86-A6D4-60F9D172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2340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IZAGIRRE GARCIA Jon</dc:creator>
  <cp:keywords/>
  <dc:description/>
  <cp:lastModifiedBy>Jorge</cp:lastModifiedBy>
  <cp:revision>20</cp:revision>
  <dcterms:created xsi:type="dcterms:W3CDTF">2020-01-27T16:56:00Z</dcterms:created>
  <dcterms:modified xsi:type="dcterms:W3CDTF">2020-01-29T14:36:00Z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