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F5692" w14:textId="729AE967" w:rsidR="00B96739" w:rsidRPr="00AC190A" w:rsidRDefault="00B96739" w:rsidP="00B96739">
      <w:pPr>
        <w:pStyle w:val="Heading1"/>
        <w:rPr>
          <w:u w:val="none"/>
        </w:rPr>
      </w:pPr>
      <w:r w:rsidRPr="00AC190A">
        <w:rPr>
          <w:u w:val="none"/>
        </w:rPr>
        <w:t xml:space="preserve">Questionnaire for </w:t>
      </w:r>
      <w:r w:rsidR="00B05E52">
        <w:rPr>
          <w:u w:val="none"/>
        </w:rPr>
        <w:t>business enterprises</w:t>
      </w:r>
      <w:r w:rsidRPr="00AC190A">
        <w:rPr>
          <w:u w:val="none"/>
        </w:rPr>
        <w:t xml:space="preserve"> </w:t>
      </w:r>
    </w:p>
    <w:p w14:paraId="69021F51" w14:textId="77777777" w:rsidR="0018284E" w:rsidRPr="0016238A" w:rsidRDefault="006A78E0" w:rsidP="006A78E0">
      <w:pPr>
        <w:pStyle w:val="Heading1"/>
        <w:rPr>
          <w:u w:val="none"/>
        </w:rPr>
      </w:pPr>
      <w:r>
        <w:rPr>
          <w:u w:val="none"/>
        </w:rPr>
        <w:t>Questionnaire for t</w:t>
      </w:r>
      <w:r w:rsidR="00E4428C" w:rsidRPr="0016238A">
        <w:rPr>
          <w:u w:val="none"/>
        </w:rPr>
        <w:t xml:space="preserve">he </w:t>
      </w:r>
      <w:r w:rsidR="0016238A">
        <w:rPr>
          <w:u w:val="none"/>
        </w:rPr>
        <w:t xml:space="preserve">UN </w:t>
      </w:r>
      <w:r w:rsidR="00AB11D8" w:rsidRPr="0016238A">
        <w:rPr>
          <w:u w:val="none"/>
        </w:rPr>
        <w:t xml:space="preserve">Special Rapporteur´s </w:t>
      </w:r>
      <w:r w:rsidR="00E4428C" w:rsidRPr="0016238A">
        <w:rPr>
          <w:u w:val="none"/>
        </w:rPr>
        <w:t xml:space="preserve">thematic report on the </w:t>
      </w:r>
      <w:r w:rsidR="00AB11D8" w:rsidRPr="0016238A">
        <w:rPr>
          <w:u w:val="none"/>
        </w:rPr>
        <w:t>impact of mega-project</w:t>
      </w:r>
      <w:r w:rsidR="00501186" w:rsidRPr="0016238A">
        <w:rPr>
          <w:u w:val="none"/>
        </w:rPr>
        <w:t>s</w:t>
      </w:r>
      <w:r w:rsidR="00AB11D8" w:rsidRPr="0016238A">
        <w:rPr>
          <w:u w:val="none"/>
        </w:rPr>
        <w:t xml:space="preserve"> on the human rights to water and sanitation</w:t>
      </w:r>
    </w:p>
    <w:p w14:paraId="11785A58" w14:textId="77777777" w:rsidR="006F6D8C" w:rsidRDefault="005E5F58" w:rsidP="00864E5B">
      <w:pPr>
        <w:spacing w:after="160" w:line="259" w:lineRule="auto"/>
        <w:ind w:left="0" w:right="0" w:firstLine="0"/>
        <w:rPr>
          <w:sz w:val="24"/>
          <w:szCs w:val="24"/>
        </w:rPr>
      </w:pPr>
      <w:r w:rsidRPr="00864E5B">
        <w:rPr>
          <w:sz w:val="24"/>
          <w:szCs w:val="24"/>
        </w:rPr>
        <w:t>The</w:t>
      </w:r>
      <w:r w:rsidR="0016238A" w:rsidRPr="00864E5B">
        <w:rPr>
          <w:sz w:val="24"/>
          <w:szCs w:val="24"/>
        </w:rPr>
        <w:t xml:space="preserve"> UN</w:t>
      </w:r>
      <w:r w:rsidRPr="00864E5B">
        <w:rPr>
          <w:sz w:val="24"/>
          <w:szCs w:val="24"/>
        </w:rPr>
        <w:t xml:space="preserve"> Special Rapporteur on the human rights to safe drinking water and sanitation, Mr. </w:t>
      </w:r>
      <w:proofErr w:type="spellStart"/>
      <w:r w:rsidRPr="00864E5B">
        <w:rPr>
          <w:sz w:val="24"/>
          <w:szCs w:val="24"/>
        </w:rPr>
        <w:t>Léo</w:t>
      </w:r>
      <w:proofErr w:type="spellEnd"/>
      <w:r w:rsidRPr="00864E5B">
        <w:rPr>
          <w:sz w:val="24"/>
          <w:szCs w:val="24"/>
        </w:rPr>
        <w:t xml:space="preserve"> Heller, will submit his thematic report on the impact of mega-projects on the human rights to water and sanitation to </w:t>
      </w:r>
      <w:r w:rsidR="006A78E0" w:rsidRPr="00864E5B">
        <w:rPr>
          <w:sz w:val="24"/>
          <w:szCs w:val="24"/>
        </w:rPr>
        <w:t>the 73rd</w:t>
      </w:r>
      <w:r w:rsidRPr="00864E5B">
        <w:rPr>
          <w:sz w:val="24"/>
          <w:szCs w:val="24"/>
        </w:rPr>
        <w:t xml:space="preserve"> session of the United Nations General Assembly in 2019. </w:t>
      </w:r>
    </w:p>
    <w:p w14:paraId="512E955E" w14:textId="77777777" w:rsidR="00CF4E4D" w:rsidRPr="00CF4E4D" w:rsidRDefault="00CF4E4D" w:rsidP="00864E5B">
      <w:pPr>
        <w:spacing w:after="160" w:line="259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The following definitions should be considered for the responses: (a) </w:t>
      </w:r>
      <w:r w:rsidRPr="00CF4E4D">
        <w:rPr>
          <w:sz w:val="24"/>
          <w:szCs w:val="24"/>
        </w:rPr>
        <w:t xml:space="preserve">The </w:t>
      </w:r>
      <w:r w:rsidRPr="009E3CCE">
        <w:rPr>
          <w:b/>
          <w:sz w:val="24"/>
          <w:szCs w:val="24"/>
        </w:rPr>
        <w:t>human right to water</w:t>
      </w:r>
      <w:r w:rsidRPr="00CF4E4D">
        <w:rPr>
          <w:sz w:val="24"/>
          <w:szCs w:val="24"/>
        </w:rPr>
        <w:t xml:space="preserve"> en</w:t>
      </w:r>
      <w:r>
        <w:rPr>
          <w:sz w:val="24"/>
          <w:szCs w:val="24"/>
        </w:rPr>
        <w:t>titles</w:t>
      </w:r>
      <w:r w:rsidRPr="00CF4E4D">
        <w:rPr>
          <w:sz w:val="24"/>
          <w:szCs w:val="24"/>
        </w:rPr>
        <w:t xml:space="preserve"> everyone, without discrimination, to have sufficient, physically accessible, affordable, safe and acceptable water for personal and domestic use in homes, schools, hospitals, detention facilities and public areas. </w:t>
      </w:r>
      <w:r>
        <w:rPr>
          <w:sz w:val="24"/>
          <w:szCs w:val="24"/>
        </w:rPr>
        <w:t xml:space="preserve">(b) </w:t>
      </w:r>
      <w:r w:rsidRPr="00CF4E4D">
        <w:rPr>
          <w:sz w:val="24"/>
          <w:szCs w:val="24"/>
        </w:rPr>
        <w:t xml:space="preserve">The </w:t>
      </w:r>
      <w:r w:rsidRPr="009E3CCE">
        <w:rPr>
          <w:b/>
          <w:sz w:val="24"/>
          <w:szCs w:val="24"/>
        </w:rPr>
        <w:t>human right to sanitation</w:t>
      </w:r>
      <w:r w:rsidRPr="00CF4E4D">
        <w:rPr>
          <w:sz w:val="24"/>
          <w:szCs w:val="24"/>
        </w:rPr>
        <w:t xml:space="preserve"> entitles everyone, without discrimination, to have access to sanitation that is available, physically accessible, affordable, safe, hygienic, </w:t>
      </w:r>
      <w:proofErr w:type="gramStart"/>
      <w:r w:rsidRPr="00CF4E4D">
        <w:rPr>
          <w:sz w:val="24"/>
          <w:szCs w:val="24"/>
        </w:rPr>
        <w:t>s</w:t>
      </w:r>
      <w:r>
        <w:rPr>
          <w:sz w:val="24"/>
          <w:szCs w:val="24"/>
        </w:rPr>
        <w:t>afe</w:t>
      </w:r>
      <w:proofErr w:type="gramEnd"/>
      <w:r w:rsidRPr="00CF4E4D">
        <w:rPr>
          <w:sz w:val="24"/>
          <w:szCs w:val="24"/>
        </w:rPr>
        <w:t xml:space="preserve"> and ensures privacy and dignity. (See, </w:t>
      </w:r>
      <w:hyperlink r:id="rId8" w:history="1">
        <w:r w:rsidRPr="00CF4E4D">
          <w:rPr>
            <w:rStyle w:val="Hyperlink"/>
            <w:sz w:val="24"/>
            <w:szCs w:val="24"/>
          </w:rPr>
          <w:t>General Comment no. 15</w:t>
        </w:r>
      </w:hyperlink>
      <w:r w:rsidRPr="00CF4E4D">
        <w:rPr>
          <w:sz w:val="24"/>
          <w:szCs w:val="24"/>
        </w:rPr>
        <w:t xml:space="preserve"> of the Committee on Economic, Social and Cultural Rights and UN General Assembly </w:t>
      </w:r>
      <w:hyperlink r:id="rId9" w:history="1">
        <w:r w:rsidRPr="00CF4E4D">
          <w:rPr>
            <w:rStyle w:val="Hyperlink"/>
            <w:sz w:val="24"/>
            <w:szCs w:val="24"/>
          </w:rPr>
          <w:t>resolution 70/169</w:t>
        </w:r>
      </w:hyperlink>
      <w:r w:rsidRPr="00CF4E4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03252838" w14:textId="77777777" w:rsidR="00CF4E4D" w:rsidRPr="00CF4E4D" w:rsidRDefault="00CF4E4D" w:rsidP="00864E5B">
      <w:pPr>
        <w:spacing w:after="160" w:line="259" w:lineRule="auto"/>
        <w:ind w:left="0" w:right="0" w:firstLine="0"/>
        <w:rPr>
          <w:sz w:val="24"/>
          <w:szCs w:val="24"/>
        </w:rPr>
      </w:pPr>
      <w:r w:rsidRPr="00CF4E4D">
        <w:rPr>
          <w:sz w:val="24"/>
          <w:szCs w:val="24"/>
        </w:rPr>
        <w:t xml:space="preserve">For the purpose of this survey, “mega-projects” </w:t>
      </w:r>
      <w:proofErr w:type="gramStart"/>
      <w:r>
        <w:rPr>
          <w:sz w:val="24"/>
          <w:szCs w:val="24"/>
        </w:rPr>
        <w:t>are defined</w:t>
      </w:r>
      <w:proofErr w:type="gramEnd"/>
      <w:r>
        <w:rPr>
          <w:sz w:val="24"/>
          <w:szCs w:val="24"/>
        </w:rPr>
        <w:t xml:space="preserve"> as</w:t>
      </w:r>
      <w:r w:rsidRPr="00CF4E4D">
        <w:rPr>
          <w:sz w:val="24"/>
          <w:szCs w:val="24"/>
        </w:rPr>
        <w:t xml:space="preserve"> projects that cause </w:t>
      </w:r>
      <w:r w:rsidRPr="009E3CCE">
        <w:rPr>
          <w:b/>
          <w:sz w:val="24"/>
          <w:szCs w:val="24"/>
        </w:rPr>
        <w:t>significant impacts on the human rights to water and sanitation and that meet at least one of the following criteria: (1) wide land use and/or large modification of water resources or (2) long-implementation period</w:t>
      </w:r>
      <w:r w:rsidRPr="00CF4E4D">
        <w:rPr>
          <w:sz w:val="24"/>
          <w:szCs w:val="24"/>
        </w:rPr>
        <w:t>.</w:t>
      </w:r>
    </w:p>
    <w:p w14:paraId="4384A37E" w14:textId="77777777" w:rsidR="0086325F" w:rsidRDefault="00F72730" w:rsidP="00864E5B">
      <w:pPr>
        <w:spacing w:after="160" w:line="259" w:lineRule="auto"/>
        <w:ind w:left="0" w:right="0" w:firstLine="0"/>
        <w:rPr>
          <w:b/>
          <w:sz w:val="24"/>
          <w:szCs w:val="24"/>
          <w:u w:val="single"/>
        </w:rPr>
      </w:pPr>
      <w:r w:rsidRPr="00864E5B">
        <w:rPr>
          <w:sz w:val="24"/>
          <w:szCs w:val="24"/>
        </w:rPr>
        <w:t>As part of his research, the Special Rapporteur welcomes respo</w:t>
      </w:r>
      <w:r w:rsidR="00F11819" w:rsidRPr="00864E5B">
        <w:rPr>
          <w:sz w:val="24"/>
          <w:szCs w:val="24"/>
        </w:rPr>
        <w:t>nses to the</w:t>
      </w:r>
      <w:r w:rsidR="00F11819" w:rsidRPr="00864E5B">
        <w:rPr>
          <w:b/>
          <w:sz w:val="24"/>
          <w:szCs w:val="24"/>
        </w:rPr>
        <w:t xml:space="preserve"> </w:t>
      </w:r>
      <w:r w:rsidR="00F11819" w:rsidRPr="00864E5B">
        <w:rPr>
          <w:b/>
          <w:sz w:val="24"/>
          <w:szCs w:val="24"/>
          <w:u w:val="single"/>
        </w:rPr>
        <w:t xml:space="preserve">online survey by </w:t>
      </w:r>
      <w:r w:rsidR="00311AAC">
        <w:rPr>
          <w:b/>
          <w:sz w:val="24"/>
          <w:szCs w:val="24"/>
          <w:u w:val="single"/>
        </w:rPr>
        <w:t>15 March</w:t>
      </w:r>
      <w:r w:rsidR="00F11819" w:rsidRPr="00864E5B">
        <w:rPr>
          <w:b/>
          <w:sz w:val="24"/>
          <w:szCs w:val="24"/>
          <w:u w:val="single"/>
        </w:rPr>
        <w:t xml:space="preserve"> 2019.</w:t>
      </w:r>
    </w:p>
    <w:p w14:paraId="773202EF" w14:textId="7837827D" w:rsidR="00B96739" w:rsidRPr="00B96739" w:rsidRDefault="00B96739" w:rsidP="00B96739">
      <w:pPr>
        <w:spacing w:after="160" w:line="259" w:lineRule="auto"/>
        <w:ind w:right="0"/>
      </w:pPr>
      <w:r>
        <w:rPr>
          <w:b/>
          <w:color w:val="2F5496"/>
          <w:sz w:val="26"/>
        </w:rPr>
        <w:t>Q</w:t>
      </w:r>
      <w:r w:rsidRPr="00AC190A">
        <w:rPr>
          <w:b/>
          <w:color w:val="2F5496"/>
          <w:sz w:val="26"/>
        </w:rPr>
        <w:t>uestions</w:t>
      </w:r>
    </w:p>
    <w:p w14:paraId="361C6E67" w14:textId="77777777" w:rsidR="006870DF" w:rsidRPr="00864E5B" w:rsidRDefault="00B3602E">
      <w:pPr>
        <w:pStyle w:val="ListParagraph"/>
        <w:numPr>
          <w:ilvl w:val="0"/>
          <w:numId w:val="1"/>
        </w:numPr>
        <w:spacing w:after="160" w:line="259" w:lineRule="auto"/>
        <w:ind w:right="0"/>
        <w:contextualSpacing w:val="0"/>
        <w:rPr>
          <w:sz w:val="24"/>
          <w:szCs w:val="24"/>
        </w:rPr>
      </w:pPr>
      <w:r w:rsidRPr="00864E5B">
        <w:rPr>
          <w:sz w:val="24"/>
          <w:szCs w:val="24"/>
        </w:rPr>
        <w:t>What is the role and</w:t>
      </w:r>
      <w:r w:rsidR="00314719" w:rsidRPr="00864E5B">
        <w:rPr>
          <w:sz w:val="24"/>
          <w:szCs w:val="24"/>
        </w:rPr>
        <w:t xml:space="preserve"> responsibility of </w:t>
      </w:r>
      <w:r w:rsidR="00091419" w:rsidRPr="00864E5B">
        <w:rPr>
          <w:sz w:val="24"/>
          <w:szCs w:val="24"/>
        </w:rPr>
        <w:t>your</w:t>
      </w:r>
      <w:r w:rsidR="00314719" w:rsidRPr="00864E5B">
        <w:rPr>
          <w:sz w:val="24"/>
          <w:szCs w:val="24"/>
        </w:rPr>
        <w:t xml:space="preserve"> </w:t>
      </w:r>
      <w:r w:rsidR="00CA493E" w:rsidRPr="00864E5B">
        <w:rPr>
          <w:sz w:val="24"/>
          <w:szCs w:val="24"/>
        </w:rPr>
        <w:t xml:space="preserve">company </w:t>
      </w:r>
      <w:r w:rsidRPr="00864E5B">
        <w:rPr>
          <w:sz w:val="24"/>
          <w:szCs w:val="24"/>
        </w:rPr>
        <w:t>in relation to mega-projects</w:t>
      </w:r>
      <w:r w:rsidR="006814D1" w:rsidRPr="00864E5B">
        <w:rPr>
          <w:i/>
          <w:sz w:val="24"/>
          <w:szCs w:val="24"/>
        </w:rPr>
        <w:t>,</w:t>
      </w:r>
      <w:r w:rsidR="006814D1" w:rsidRPr="00864E5B">
        <w:rPr>
          <w:sz w:val="24"/>
          <w:szCs w:val="24"/>
        </w:rPr>
        <w:t xml:space="preserve"> particularly related to</w:t>
      </w:r>
      <w:r w:rsidR="0086325F" w:rsidRPr="00864E5B">
        <w:rPr>
          <w:sz w:val="24"/>
          <w:szCs w:val="24"/>
        </w:rPr>
        <w:t xml:space="preserve"> </w:t>
      </w:r>
      <w:r w:rsidR="006870DF" w:rsidRPr="00864E5B">
        <w:rPr>
          <w:sz w:val="24"/>
          <w:szCs w:val="24"/>
        </w:rPr>
        <w:t>the following stages of mega-project cycle:</w:t>
      </w:r>
    </w:p>
    <w:p w14:paraId="7BC43CEE" w14:textId="77777777" w:rsidR="006870DF" w:rsidRPr="00864E5B" w:rsidRDefault="0086325F" w:rsidP="00864E5B">
      <w:pPr>
        <w:spacing w:after="0" w:line="259" w:lineRule="auto"/>
        <w:ind w:left="360" w:right="0" w:firstLine="0"/>
        <w:rPr>
          <w:sz w:val="24"/>
          <w:szCs w:val="24"/>
        </w:rPr>
      </w:pPr>
      <w:r w:rsidRPr="00864E5B">
        <w:rPr>
          <w:sz w:val="24"/>
          <w:szCs w:val="24"/>
        </w:rPr>
        <w:t xml:space="preserve">(1) </w:t>
      </w:r>
      <w:proofErr w:type="gramStart"/>
      <w:r w:rsidR="006870DF" w:rsidRPr="00864E5B">
        <w:rPr>
          <w:sz w:val="24"/>
          <w:szCs w:val="24"/>
        </w:rPr>
        <w:t>investment</w:t>
      </w:r>
      <w:proofErr w:type="gramEnd"/>
      <w:r w:rsidR="006870DF" w:rsidRPr="00864E5B">
        <w:rPr>
          <w:sz w:val="24"/>
          <w:szCs w:val="24"/>
        </w:rPr>
        <w:t xml:space="preserve"> stage;</w:t>
      </w:r>
    </w:p>
    <w:p w14:paraId="32627CA9" w14:textId="77777777" w:rsidR="006870DF" w:rsidRPr="00864E5B" w:rsidRDefault="006814D1" w:rsidP="00864E5B">
      <w:pPr>
        <w:spacing w:after="0" w:line="259" w:lineRule="auto"/>
        <w:ind w:left="360" w:right="0" w:firstLine="0"/>
        <w:rPr>
          <w:sz w:val="24"/>
          <w:szCs w:val="24"/>
        </w:rPr>
      </w:pPr>
      <w:r w:rsidRPr="00864E5B">
        <w:rPr>
          <w:sz w:val="24"/>
          <w:szCs w:val="24"/>
        </w:rPr>
        <w:t xml:space="preserve">(2) </w:t>
      </w:r>
      <w:proofErr w:type="gramStart"/>
      <w:r w:rsidR="0086325F" w:rsidRPr="00864E5B">
        <w:rPr>
          <w:sz w:val="24"/>
          <w:szCs w:val="24"/>
        </w:rPr>
        <w:t>planning</w:t>
      </w:r>
      <w:proofErr w:type="gramEnd"/>
      <w:r w:rsidR="0086325F" w:rsidRPr="00864E5B">
        <w:rPr>
          <w:sz w:val="24"/>
          <w:szCs w:val="24"/>
        </w:rPr>
        <w:t xml:space="preserve"> and designing of a mega-project</w:t>
      </w:r>
      <w:r w:rsidR="002416B4" w:rsidRPr="00864E5B">
        <w:rPr>
          <w:sz w:val="24"/>
          <w:szCs w:val="24"/>
        </w:rPr>
        <w:t>,</w:t>
      </w:r>
      <w:r w:rsidR="0086325F" w:rsidRPr="00864E5B">
        <w:rPr>
          <w:sz w:val="24"/>
          <w:szCs w:val="24"/>
        </w:rPr>
        <w:t xml:space="preserve"> which involves environmental and social impact assessment; </w:t>
      </w:r>
    </w:p>
    <w:p w14:paraId="07551F2A" w14:textId="77777777" w:rsidR="006870DF" w:rsidRPr="00864E5B" w:rsidRDefault="006814D1" w:rsidP="00864E5B">
      <w:pPr>
        <w:spacing w:after="0" w:line="259" w:lineRule="auto"/>
        <w:ind w:left="360" w:right="0" w:firstLine="0"/>
        <w:rPr>
          <w:sz w:val="24"/>
          <w:szCs w:val="24"/>
        </w:rPr>
      </w:pPr>
      <w:r w:rsidRPr="00864E5B">
        <w:rPr>
          <w:sz w:val="24"/>
          <w:szCs w:val="24"/>
        </w:rPr>
        <w:t>(3</w:t>
      </w:r>
      <w:r w:rsidR="0086325F" w:rsidRPr="00864E5B">
        <w:rPr>
          <w:sz w:val="24"/>
          <w:szCs w:val="24"/>
        </w:rPr>
        <w:t xml:space="preserve">) </w:t>
      </w:r>
      <w:proofErr w:type="gramStart"/>
      <w:r w:rsidR="0086325F" w:rsidRPr="00864E5B">
        <w:rPr>
          <w:sz w:val="24"/>
          <w:szCs w:val="24"/>
        </w:rPr>
        <w:t>construction</w:t>
      </w:r>
      <w:proofErr w:type="gramEnd"/>
      <w:r w:rsidR="0086325F" w:rsidRPr="00864E5B">
        <w:rPr>
          <w:sz w:val="24"/>
          <w:szCs w:val="24"/>
        </w:rPr>
        <w:t xml:space="preserve"> </w:t>
      </w:r>
      <w:r w:rsidR="002416B4" w:rsidRPr="00864E5B">
        <w:rPr>
          <w:sz w:val="24"/>
          <w:szCs w:val="24"/>
        </w:rPr>
        <w:t>of the mega-project</w:t>
      </w:r>
      <w:r w:rsidR="0086325F" w:rsidRPr="00864E5B">
        <w:rPr>
          <w:sz w:val="24"/>
          <w:szCs w:val="24"/>
        </w:rPr>
        <w:t xml:space="preserve">; </w:t>
      </w:r>
    </w:p>
    <w:p w14:paraId="67993179" w14:textId="77777777" w:rsidR="006870DF" w:rsidRPr="00864E5B" w:rsidRDefault="006814D1" w:rsidP="00864E5B">
      <w:pPr>
        <w:spacing w:after="0" w:line="259" w:lineRule="auto"/>
        <w:ind w:left="360" w:right="0" w:firstLine="0"/>
        <w:rPr>
          <w:sz w:val="24"/>
          <w:szCs w:val="24"/>
        </w:rPr>
      </w:pPr>
      <w:r w:rsidRPr="00864E5B">
        <w:rPr>
          <w:sz w:val="24"/>
          <w:szCs w:val="24"/>
        </w:rPr>
        <w:t>(4</w:t>
      </w:r>
      <w:r w:rsidR="0086325F" w:rsidRPr="00864E5B">
        <w:rPr>
          <w:sz w:val="24"/>
          <w:szCs w:val="24"/>
        </w:rPr>
        <w:t xml:space="preserve">) </w:t>
      </w:r>
      <w:proofErr w:type="gramStart"/>
      <w:r w:rsidR="0086325F" w:rsidRPr="00864E5B">
        <w:rPr>
          <w:sz w:val="24"/>
          <w:szCs w:val="24"/>
        </w:rPr>
        <w:t>when</w:t>
      </w:r>
      <w:proofErr w:type="gramEnd"/>
      <w:r w:rsidR="0086325F" w:rsidRPr="00864E5B">
        <w:rPr>
          <w:sz w:val="24"/>
          <w:szCs w:val="24"/>
        </w:rPr>
        <w:t xml:space="preserve"> the mega-project commences its operation (“short-term operation”)</w:t>
      </w:r>
      <w:r w:rsidR="006870DF" w:rsidRPr="00864E5B">
        <w:rPr>
          <w:sz w:val="24"/>
          <w:szCs w:val="24"/>
        </w:rPr>
        <w:t>;</w:t>
      </w:r>
      <w:r w:rsidR="0086325F" w:rsidRPr="00864E5B">
        <w:rPr>
          <w:sz w:val="24"/>
          <w:szCs w:val="24"/>
        </w:rPr>
        <w:t xml:space="preserve"> and </w:t>
      </w:r>
    </w:p>
    <w:p w14:paraId="7B0BD707" w14:textId="77777777" w:rsidR="006870DF" w:rsidRPr="00864E5B" w:rsidRDefault="006814D1" w:rsidP="00864E5B">
      <w:pPr>
        <w:spacing w:after="0" w:line="259" w:lineRule="auto"/>
        <w:ind w:left="360" w:right="0" w:firstLine="0"/>
        <w:rPr>
          <w:sz w:val="24"/>
          <w:szCs w:val="24"/>
        </w:rPr>
      </w:pPr>
      <w:r w:rsidRPr="00864E5B">
        <w:rPr>
          <w:sz w:val="24"/>
          <w:szCs w:val="24"/>
        </w:rPr>
        <w:t>(5</w:t>
      </w:r>
      <w:r w:rsidR="0086325F" w:rsidRPr="00864E5B">
        <w:rPr>
          <w:sz w:val="24"/>
          <w:szCs w:val="24"/>
        </w:rPr>
        <w:t xml:space="preserve">) </w:t>
      </w:r>
      <w:proofErr w:type="gramStart"/>
      <w:r w:rsidR="0086325F" w:rsidRPr="00864E5B">
        <w:rPr>
          <w:sz w:val="24"/>
          <w:szCs w:val="24"/>
        </w:rPr>
        <w:t>when</w:t>
      </w:r>
      <w:proofErr w:type="gramEnd"/>
      <w:r w:rsidR="0086325F" w:rsidRPr="00864E5B">
        <w:rPr>
          <w:sz w:val="24"/>
          <w:szCs w:val="24"/>
        </w:rPr>
        <w:t xml:space="preserve"> the mega-project has been in operation for an extended-period (“long-term operation”</w:t>
      </w:r>
      <w:r w:rsidR="006870DF" w:rsidRPr="00864E5B">
        <w:rPr>
          <w:sz w:val="24"/>
          <w:szCs w:val="24"/>
        </w:rPr>
        <w:t>).</w:t>
      </w:r>
    </w:p>
    <w:p w14:paraId="10453336" w14:textId="77777777" w:rsidR="00A22131" w:rsidRPr="00864E5B" w:rsidRDefault="00A22131" w:rsidP="00864E5B">
      <w:pPr>
        <w:spacing w:after="0" w:line="259" w:lineRule="auto"/>
        <w:ind w:left="360" w:right="0" w:firstLine="0"/>
        <w:rPr>
          <w:sz w:val="24"/>
          <w:szCs w:val="24"/>
        </w:rPr>
      </w:pPr>
    </w:p>
    <w:p w14:paraId="5D9D295A" w14:textId="43276669" w:rsidR="006C3CFD" w:rsidRPr="00B96739" w:rsidRDefault="00F16EDF" w:rsidP="00B96739">
      <w:pPr>
        <w:pStyle w:val="ListParagraph"/>
        <w:numPr>
          <w:ilvl w:val="0"/>
          <w:numId w:val="1"/>
        </w:numPr>
        <w:spacing w:after="160" w:line="259" w:lineRule="auto"/>
        <w:ind w:right="0"/>
        <w:contextualSpacing w:val="0"/>
        <w:rPr>
          <w:sz w:val="24"/>
          <w:szCs w:val="24"/>
        </w:rPr>
      </w:pPr>
      <w:r w:rsidRPr="00864E5B">
        <w:rPr>
          <w:sz w:val="24"/>
          <w:szCs w:val="24"/>
        </w:rPr>
        <w:t xml:space="preserve">How is </w:t>
      </w:r>
      <w:r w:rsidR="00627DDB" w:rsidRPr="00864E5B">
        <w:rPr>
          <w:sz w:val="24"/>
          <w:szCs w:val="24"/>
        </w:rPr>
        <w:t xml:space="preserve">the </w:t>
      </w:r>
      <w:r w:rsidR="00B679F7" w:rsidRPr="00864E5B">
        <w:rPr>
          <w:sz w:val="24"/>
          <w:szCs w:val="24"/>
        </w:rPr>
        <w:t xml:space="preserve">legal and policy </w:t>
      </w:r>
      <w:r w:rsidR="00627DDB" w:rsidRPr="00864E5B">
        <w:rPr>
          <w:sz w:val="24"/>
          <w:szCs w:val="24"/>
        </w:rPr>
        <w:t xml:space="preserve">framework of the human rights to water and sanitation integrated into the planning and designing, construction and operation (both short- and long-term) of mega-projects? </w:t>
      </w:r>
      <w:r w:rsidR="006F6D8C">
        <w:rPr>
          <w:sz w:val="24"/>
          <w:szCs w:val="24"/>
        </w:rPr>
        <w:t xml:space="preserve">Please provide information within the context of the relevant roles and responsibilities answered in Question </w:t>
      </w:r>
      <w:proofErr w:type="gramStart"/>
      <w:r w:rsidR="006F6D8C">
        <w:rPr>
          <w:sz w:val="24"/>
          <w:szCs w:val="24"/>
        </w:rPr>
        <w:t>1</w:t>
      </w:r>
      <w:proofErr w:type="gramEnd"/>
      <w:r w:rsidR="006F6D8C">
        <w:rPr>
          <w:sz w:val="24"/>
          <w:szCs w:val="24"/>
        </w:rPr>
        <w:t xml:space="preserve">. </w:t>
      </w:r>
    </w:p>
    <w:p w14:paraId="71485229" w14:textId="77777777" w:rsidR="00285C0D" w:rsidRDefault="00285C0D" w:rsidP="00CA493E">
      <w:pPr>
        <w:pStyle w:val="ListParagraph"/>
        <w:numPr>
          <w:ilvl w:val="0"/>
          <w:numId w:val="1"/>
        </w:numPr>
        <w:spacing w:after="160" w:line="259" w:lineRule="auto"/>
        <w:ind w:righ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In carrying out roles and responsibilities answered in Question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,</w:t>
      </w:r>
      <w:r w:rsidRPr="00864E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what specific impact of mega-projects on the human rights to water and sanitation have you identified and assessed? </w:t>
      </w:r>
    </w:p>
    <w:p w14:paraId="7E84E162" w14:textId="77777777" w:rsidR="006C3CFD" w:rsidRPr="00864E5B" w:rsidRDefault="00F16EDF" w:rsidP="00CA493E">
      <w:pPr>
        <w:pStyle w:val="ListParagraph"/>
        <w:numPr>
          <w:ilvl w:val="0"/>
          <w:numId w:val="1"/>
        </w:numPr>
        <w:spacing w:after="160" w:line="259" w:lineRule="auto"/>
        <w:ind w:right="0"/>
        <w:contextualSpacing w:val="0"/>
        <w:rPr>
          <w:sz w:val="24"/>
          <w:szCs w:val="24"/>
        </w:rPr>
      </w:pPr>
      <w:r w:rsidRPr="00864E5B">
        <w:rPr>
          <w:sz w:val="24"/>
          <w:szCs w:val="24"/>
        </w:rPr>
        <w:t>W</w:t>
      </w:r>
      <w:r w:rsidR="00C675BF" w:rsidRPr="00864E5B">
        <w:rPr>
          <w:sz w:val="24"/>
          <w:szCs w:val="24"/>
        </w:rPr>
        <w:t xml:space="preserve">hat </w:t>
      </w:r>
      <w:r w:rsidR="00CA493E" w:rsidRPr="00864E5B">
        <w:rPr>
          <w:sz w:val="24"/>
          <w:szCs w:val="24"/>
        </w:rPr>
        <w:t xml:space="preserve">measures and processes </w:t>
      </w:r>
      <w:r w:rsidR="00C675BF" w:rsidRPr="00864E5B">
        <w:rPr>
          <w:sz w:val="24"/>
          <w:szCs w:val="24"/>
        </w:rPr>
        <w:t>are in place to prevent, mitigate and</w:t>
      </w:r>
      <w:r w:rsidR="00CA493E" w:rsidRPr="00864E5B">
        <w:rPr>
          <w:sz w:val="24"/>
          <w:szCs w:val="24"/>
        </w:rPr>
        <w:t xml:space="preserve"> account for</w:t>
      </w:r>
      <w:r w:rsidR="00C675BF" w:rsidRPr="00864E5B">
        <w:rPr>
          <w:sz w:val="24"/>
          <w:szCs w:val="24"/>
        </w:rPr>
        <w:t xml:space="preserve"> t</w:t>
      </w:r>
      <w:r w:rsidR="00285C0D">
        <w:rPr>
          <w:sz w:val="24"/>
          <w:szCs w:val="24"/>
        </w:rPr>
        <w:t>he</w:t>
      </w:r>
      <w:r w:rsidR="00C675BF" w:rsidRPr="00864E5B">
        <w:rPr>
          <w:sz w:val="24"/>
          <w:szCs w:val="24"/>
        </w:rPr>
        <w:t xml:space="preserve"> </w:t>
      </w:r>
      <w:r w:rsidR="00285C0D">
        <w:rPr>
          <w:sz w:val="24"/>
          <w:szCs w:val="24"/>
        </w:rPr>
        <w:t xml:space="preserve">identified </w:t>
      </w:r>
      <w:r w:rsidR="00C675BF" w:rsidRPr="00864E5B">
        <w:rPr>
          <w:sz w:val="24"/>
          <w:szCs w:val="24"/>
        </w:rPr>
        <w:t>impacts</w:t>
      </w:r>
      <w:r w:rsidR="00285C0D">
        <w:rPr>
          <w:sz w:val="24"/>
          <w:szCs w:val="24"/>
        </w:rPr>
        <w:t xml:space="preserve"> that mega-projects have on the human rights to water and sanitation</w:t>
      </w:r>
      <w:r w:rsidR="00C675BF" w:rsidRPr="00864E5B">
        <w:rPr>
          <w:sz w:val="24"/>
          <w:szCs w:val="24"/>
        </w:rPr>
        <w:t>?</w:t>
      </w:r>
      <w:r w:rsidR="00B77D28" w:rsidRPr="00864E5B">
        <w:rPr>
          <w:sz w:val="24"/>
          <w:szCs w:val="24"/>
        </w:rPr>
        <w:t xml:space="preserve"> (See, </w:t>
      </w:r>
      <w:r w:rsidR="006A78E0" w:rsidRPr="00864E5B">
        <w:rPr>
          <w:sz w:val="24"/>
          <w:szCs w:val="24"/>
        </w:rPr>
        <w:t>P</w:t>
      </w:r>
      <w:r w:rsidR="00CA493E" w:rsidRPr="00864E5B">
        <w:rPr>
          <w:sz w:val="24"/>
          <w:szCs w:val="24"/>
        </w:rPr>
        <w:t>rinciple</w:t>
      </w:r>
      <w:r w:rsidR="006A78E0" w:rsidRPr="00864E5B">
        <w:rPr>
          <w:sz w:val="24"/>
          <w:szCs w:val="24"/>
        </w:rPr>
        <w:t>s</w:t>
      </w:r>
      <w:r w:rsidR="00CA493E" w:rsidRPr="00864E5B">
        <w:rPr>
          <w:sz w:val="24"/>
          <w:szCs w:val="24"/>
        </w:rPr>
        <w:t xml:space="preserve"> 13 and 15(b) of </w:t>
      </w:r>
      <w:hyperlink r:id="rId10" w:history="1">
        <w:r w:rsidR="00CA493E" w:rsidRPr="00864E5B">
          <w:rPr>
            <w:rStyle w:val="Hyperlink"/>
            <w:sz w:val="24"/>
            <w:szCs w:val="24"/>
          </w:rPr>
          <w:t>United Nations Guiding Principles on Business and Human Rights</w:t>
        </w:r>
      </w:hyperlink>
      <w:r w:rsidR="00B77D28" w:rsidRPr="00864E5B">
        <w:rPr>
          <w:sz w:val="24"/>
          <w:szCs w:val="24"/>
        </w:rPr>
        <w:t>)</w:t>
      </w:r>
    </w:p>
    <w:p w14:paraId="4AC75B6C" w14:textId="031D1E67" w:rsidR="00815BC4" w:rsidRPr="00864E5B" w:rsidRDefault="00C675BF" w:rsidP="00C675BF">
      <w:pPr>
        <w:pStyle w:val="ListParagraph"/>
        <w:numPr>
          <w:ilvl w:val="0"/>
          <w:numId w:val="1"/>
        </w:numPr>
        <w:spacing w:after="160" w:line="259" w:lineRule="auto"/>
        <w:ind w:right="0"/>
        <w:contextualSpacing w:val="0"/>
        <w:rPr>
          <w:sz w:val="24"/>
          <w:szCs w:val="24"/>
        </w:rPr>
      </w:pPr>
      <w:r w:rsidRPr="00864E5B">
        <w:rPr>
          <w:sz w:val="24"/>
          <w:szCs w:val="24"/>
        </w:rPr>
        <w:lastRenderedPageBreak/>
        <w:t xml:space="preserve">What are the challenges faced during the planning and designing stage, construction and operation (both short- and long-term) of mega-projects to respect human rights to water and sanitation? How </w:t>
      </w:r>
      <w:r w:rsidR="00815BC4" w:rsidRPr="00864E5B">
        <w:rPr>
          <w:sz w:val="24"/>
          <w:szCs w:val="24"/>
        </w:rPr>
        <w:t>did you address these challenges?</w:t>
      </w:r>
    </w:p>
    <w:p w14:paraId="5D0B0A96" w14:textId="77777777" w:rsidR="006A78E0" w:rsidRPr="00864E5B" w:rsidRDefault="00627DDB">
      <w:pPr>
        <w:pStyle w:val="ListParagraph"/>
        <w:numPr>
          <w:ilvl w:val="0"/>
          <w:numId w:val="1"/>
        </w:numPr>
        <w:spacing w:after="160" w:line="259" w:lineRule="auto"/>
        <w:ind w:right="0"/>
        <w:contextualSpacing w:val="0"/>
        <w:rPr>
          <w:sz w:val="24"/>
          <w:szCs w:val="24"/>
        </w:rPr>
      </w:pPr>
      <w:r w:rsidRPr="00864E5B">
        <w:rPr>
          <w:sz w:val="24"/>
          <w:szCs w:val="24"/>
        </w:rPr>
        <w:t xml:space="preserve">How are </w:t>
      </w:r>
      <w:r w:rsidR="008F3D04">
        <w:rPr>
          <w:sz w:val="24"/>
          <w:szCs w:val="24"/>
        </w:rPr>
        <w:t xml:space="preserve">social and environmental impact assessment and </w:t>
      </w:r>
      <w:r w:rsidRPr="00864E5B">
        <w:rPr>
          <w:sz w:val="24"/>
          <w:szCs w:val="24"/>
        </w:rPr>
        <w:t xml:space="preserve">ex-post impact assessments of mega-projects carried out in practice? Is the framework of the human rights to water and sanitation integrated into those assessments? </w:t>
      </w:r>
      <w:r w:rsidR="009F198F" w:rsidRPr="00864E5B">
        <w:rPr>
          <w:sz w:val="24"/>
          <w:szCs w:val="24"/>
        </w:rPr>
        <w:t>How</w:t>
      </w:r>
      <w:r w:rsidRPr="00864E5B">
        <w:rPr>
          <w:sz w:val="24"/>
          <w:szCs w:val="24"/>
        </w:rPr>
        <w:t xml:space="preserve"> do ex-post impact assessments </w:t>
      </w:r>
      <w:r w:rsidR="009F198F" w:rsidRPr="00864E5B">
        <w:rPr>
          <w:sz w:val="24"/>
          <w:szCs w:val="24"/>
        </w:rPr>
        <w:t>contribute to the</w:t>
      </w:r>
      <w:r w:rsidRPr="00864E5B">
        <w:rPr>
          <w:sz w:val="24"/>
          <w:szCs w:val="24"/>
        </w:rPr>
        <w:t xml:space="preserve"> learning process and </w:t>
      </w:r>
      <w:r w:rsidR="009F198F" w:rsidRPr="00864E5B">
        <w:rPr>
          <w:sz w:val="24"/>
          <w:szCs w:val="24"/>
        </w:rPr>
        <w:t>the</w:t>
      </w:r>
      <w:r w:rsidRPr="00864E5B">
        <w:rPr>
          <w:sz w:val="24"/>
          <w:szCs w:val="24"/>
        </w:rPr>
        <w:t xml:space="preserve"> feedback mechanism to provide guidelines for other similar projects to ensure respect for human rights to water and sanitation?</w:t>
      </w:r>
      <w:r w:rsidR="006A78E0" w:rsidRPr="00864E5B">
        <w:rPr>
          <w:sz w:val="24"/>
          <w:szCs w:val="24"/>
        </w:rPr>
        <w:t xml:space="preserve"> </w:t>
      </w:r>
    </w:p>
    <w:p w14:paraId="0BA1F9DB" w14:textId="77777777" w:rsidR="00627DDB" w:rsidRPr="00864E5B" w:rsidRDefault="006F6D8C" w:rsidP="006A78E0">
      <w:pPr>
        <w:pStyle w:val="ListParagraph"/>
        <w:numPr>
          <w:ilvl w:val="0"/>
          <w:numId w:val="1"/>
        </w:numPr>
        <w:spacing w:after="160" w:line="259" w:lineRule="auto"/>
        <w:ind w:right="0"/>
        <w:contextualSpacing w:val="0"/>
        <w:rPr>
          <w:sz w:val="24"/>
          <w:szCs w:val="24"/>
        </w:rPr>
      </w:pPr>
      <w:r>
        <w:rPr>
          <w:sz w:val="24"/>
          <w:szCs w:val="24"/>
        </w:rPr>
        <w:t>What</w:t>
      </w:r>
      <w:r w:rsidR="006A78E0" w:rsidRPr="00864E5B">
        <w:rPr>
          <w:sz w:val="24"/>
          <w:szCs w:val="24"/>
        </w:rPr>
        <w:t xml:space="preserve"> processes</w:t>
      </w:r>
      <w:r>
        <w:rPr>
          <w:sz w:val="24"/>
          <w:szCs w:val="24"/>
        </w:rPr>
        <w:t xml:space="preserve"> for remedies</w:t>
      </w:r>
      <w:r w:rsidR="006A78E0" w:rsidRPr="00864E5B">
        <w:rPr>
          <w:sz w:val="24"/>
          <w:szCs w:val="24"/>
        </w:rPr>
        <w:t xml:space="preserve"> are in place in case of any adverse human rights impacts </w:t>
      </w:r>
      <w:proofErr w:type="gramStart"/>
      <w:r w:rsidR="00C60C08" w:rsidRPr="00864E5B">
        <w:rPr>
          <w:sz w:val="24"/>
          <w:szCs w:val="24"/>
        </w:rPr>
        <w:t>as a result</w:t>
      </w:r>
      <w:proofErr w:type="gramEnd"/>
      <w:r w:rsidR="00C60C08" w:rsidRPr="00864E5B">
        <w:rPr>
          <w:sz w:val="24"/>
          <w:szCs w:val="24"/>
        </w:rPr>
        <w:t xml:space="preserve"> of</w:t>
      </w:r>
      <w:r w:rsidR="00F16EDF" w:rsidRPr="00864E5B">
        <w:rPr>
          <w:sz w:val="24"/>
          <w:szCs w:val="24"/>
        </w:rPr>
        <w:t xml:space="preserve"> business activities related to mega-projects</w:t>
      </w:r>
      <w:r w:rsidR="006A78E0" w:rsidRPr="00864E5B">
        <w:rPr>
          <w:sz w:val="24"/>
          <w:szCs w:val="24"/>
        </w:rPr>
        <w:t xml:space="preserve">? (See, Principle 15(c) of </w:t>
      </w:r>
      <w:hyperlink r:id="rId11" w:history="1">
        <w:r w:rsidR="006A78E0" w:rsidRPr="00864E5B">
          <w:rPr>
            <w:rStyle w:val="Hyperlink"/>
            <w:sz w:val="24"/>
            <w:szCs w:val="24"/>
          </w:rPr>
          <w:t>United Nations Guiding Principles on Business and Human Rights</w:t>
        </w:r>
      </w:hyperlink>
      <w:r w:rsidR="006A78E0" w:rsidRPr="00864E5B">
        <w:rPr>
          <w:sz w:val="24"/>
          <w:szCs w:val="24"/>
        </w:rPr>
        <w:t>)</w:t>
      </w:r>
    </w:p>
    <w:p w14:paraId="5FFB0679" w14:textId="77777777" w:rsidR="00B93C78" w:rsidRPr="0016238A" w:rsidRDefault="00B93C78" w:rsidP="00864E5B">
      <w:pPr>
        <w:ind w:left="0" w:firstLine="0"/>
      </w:pPr>
      <w:bookmarkStart w:id="0" w:name="_GoBack"/>
      <w:bookmarkEnd w:id="0"/>
    </w:p>
    <w:sectPr w:rsidR="00B93C78" w:rsidRPr="0016238A" w:rsidSect="001B11DD">
      <w:footerReference w:type="default" r:id="rId12"/>
      <w:headerReference w:type="first" r:id="rId13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022C02" w16cid:durableId="1FDA0F1C"/>
  <w16cid:commentId w16cid:paraId="1D7CD9CA" w16cid:durableId="1FDA2627"/>
  <w16cid:commentId w16cid:paraId="1FF265F0" w16cid:durableId="1FDA0AB4"/>
  <w16cid:commentId w16cid:paraId="662CCC9D" w16cid:durableId="1FDA129E"/>
  <w16cid:commentId w16cid:paraId="55C8A0BD" w16cid:durableId="1FDA0F8C"/>
  <w16cid:commentId w16cid:paraId="6B1C9103" w16cid:durableId="1FDA166D"/>
  <w16cid:commentId w16cid:paraId="13FB0FE4" w16cid:durableId="1FDA21F2"/>
  <w16cid:commentId w16cid:paraId="464EB58C" w16cid:durableId="1FDA11AE"/>
  <w16cid:commentId w16cid:paraId="24DD247A" w16cid:durableId="1FDA16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2C2DF" w14:textId="77777777" w:rsidR="00402DB7" w:rsidRDefault="00402DB7" w:rsidP="00C43BC4">
      <w:pPr>
        <w:spacing w:after="0" w:line="240" w:lineRule="auto"/>
      </w:pPr>
      <w:r>
        <w:separator/>
      </w:r>
    </w:p>
  </w:endnote>
  <w:endnote w:type="continuationSeparator" w:id="0">
    <w:p w14:paraId="0EED7FC4" w14:textId="77777777" w:rsidR="00402DB7" w:rsidRDefault="00402DB7" w:rsidP="00C4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708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B88A78" w14:textId="47C0AB5F" w:rsidR="00590F3C" w:rsidRDefault="00117058">
        <w:pPr>
          <w:pStyle w:val="Footer"/>
          <w:jc w:val="center"/>
        </w:pPr>
        <w:r>
          <w:fldChar w:fldCharType="begin"/>
        </w:r>
        <w:r w:rsidR="00590F3C">
          <w:instrText xml:space="preserve"> PAGE   \* MERGEFORMAT </w:instrText>
        </w:r>
        <w:r>
          <w:fldChar w:fldCharType="separate"/>
        </w:r>
        <w:r w:rsidR="001B11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A4D94F" w14:textId="77777777" w:rsidR="00590F3C" w:rsidRDefault="00590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40311" w14:textId="77777777" w:rsidR="00402DB7" w:rsidRDefault="00402DB7" w:rsidP="00C43BC4">
      <w:pPr>
        <w:spacing w:after="0" w:line="240" w:lineRule="auto"/>
      </w:pPr>
      <w:r>
        <w:separator/>
      </w:r>
    </w:p>
  </w:footnote>
  <w:footnote w:type="continuationSeparator" w:id="0">
    <w:p w14:paraId="31508333" w14:textId="77777777" w:rsidR="00402DB7" w:rsidRDefault="00402DB7" w:rsidP="00C43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1DE92" w14:textId="77777777" w:rsidR="001B11DD" w:rsidRPr="00925A9D" w:rsidRDefault="001B11DD" w:rsidP="001B11DD">
    <w:pPr>
      <w:pStyle w:val="Header"/>
      <w:jc w:val="center"/>
      <w:rPr>
        <w:sz w:val="14"/>
        <w:szCs w:val="14"/>
      </w:rPr>
    </w:pPr>
    <w:r>
      <w:rPr>
        <w:noProof/>
        <w:sz w:val="14"/>
        <w:szCs w:val="14"/>
      </w:rPr>
      <w:drawing>
        <wp:inline distT="0" distB="0" distL="0" distR="0" wp14:anchorId="74D3D474" wp14:editId="7D8A5D59">
          <wp:extent cx="2842260" cy="1219200"/>
          <wp:effectExtent l="0" t="0" r="0" b="0"/>
          <wp:docPr id="30" name="Picture 1" descr="SP Logo black -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 Logo black - 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648896" w14:textId="77777777" w:rsidR="001B11DD" w:rsidRPr="002745FF" w:rsidRDefault="001B11DD" w:rsidP="001B11DD">
    <w:pPr>
      <w:pStyle w:val="Header"/>
      <w:tabs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2745FF">
      <w:rPr>
        <w:sz w:val="14"/>
        <w:szCs w:val="14"/>
        <w:lang w:val="fr-CH"/>
      </w:rPr>
      <w:t>PALAIS DES NATIONS • 1211 GENEVA 10, SWITZERLAND</w:t>
    </w:r>
  </w:p>
  <w:p w14:paraId="30B07821" w14:textId="4CE1C5D8" w:rsidR="001B11DD" w:rsidRPr="001B11DD" w:rsidRDefault="001B11DD" w:rsidP="001B11DD">
    <w:pPr>
      <w:pStyle w:val="Header"/>
      <w:tabs>
        <w:tab w:val="right" w:pos="3686"/>
        <w:tab w:val="left" w:pos="5812"/>
      </w:tabs>
      <w:spacing w:before="80" w:after="360"/>
      <w:jc w:val="center"/>
      <w:rPr>
        <w:sz w:val="14"/>
        <w:szCs w:val="14"/>
        <w:lang w:val="fr-FR"/>
      </w:rPr>
    </w:pPr>
    <w:r w:rsidRPr="00796654">
      <w:rPr>
        <w:sz w:val="14"/>
        <w:szCs w:val="14"/>
        <w:lang w:val="fr-FR"/>
      </w:rPr>
      <w:t xml:space="preserve">www.ohchr.org • TEL: +41 22 917 9000 • FAX: +41 22 917 9008 • E-MAIL: </w:t>
    </w:r>
    <w:hyperlink r:id="rId2" w:history="1">
      <w:r w:rsidRPr="00796654">
        <w:rPr>
          <w:rStyle w:val="Hyperlink"/>
          <w:sz w:val="14"/>
          <w:szCs w:val="14"/>
          <w:lang w:val="fr-FR"/>
        </w:rPr>
        <w:t>registry@ohchr.org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C66"/>
    <w:multiLevelType w:val="hybridMultilevel"/>
    <w:tmpl w:val="1B2246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74EA9"/>
    <w:multiLevelType w:val="hybridMultilevel"/>
    <w:tmpl w:val="F6107BC2"/>
    <w:lvl w:ilvl="0" w:tplc="C6CE582C">
      <w:start w:val="1"/>
      <w:numFmt w:val="decimal"/>
      <w:lvlText w:val="%1."/>
      <w:lvlJc w:val="left"/>
      <w:pPr>
        <w:ind w:left="360" w:hanging="360"/>
      </w:pPr>
      <w:rPr>
        <w:color w:val="2E74B5" w:themeColor="accent5" w:themeShade="BF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5651C8"/>
    <w:multiLevelType w:val="hybridMultilevel"/>
    <w:tmpl w:val="A41AF7DC"/>
    <w:lvl w:ilvl="0" w:tplc="75B64A2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bCs/>
        <w:i w:val="0"/>
        <w:strike w:val="0"/>
        <w:dstrike w:val="0"/>
        <w:color w:val="4472C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46084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72C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7CC8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72C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287E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472C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86627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72C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FA320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72C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7A88E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472C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D044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72C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9E92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72C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6F46E9"/>
    <w:multiLevelType w:val="hybridMultilevel"/>
    <w:tmpl w:val="BC523790"/>
    <w:lvl w:ilvl="0" w:tplc="6ECA9CEE">
      <w:start w:val="9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B3D62"/>
    <w:multiLevelType w:val="hybridMultilevel"/>
    <w:tmpl w:val="1EF64380"/>
    <w:lvl w:ilvl="0" w:tplc="E83AB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9CE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03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03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A2C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34C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6D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A9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C9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DE1C53"/>
    <w:multiLevelType w:val="hybridMultilevel"/>
    <w:tmpl w:val="B1F6C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03290"/>
    <w:multiLevelType w:val="hybridMultilevel"/>
    <w:tmpl w:val="F102813C"/>
    <w:lvl w:ilvl="0" w:tplc="C6CE582C">
      <w:start w:val="1"/>
      <w:numFmt w:val="decimal"/>
      <w:lvlText w:val="%1."/>
      <w:lvlJc w:val="left"/>
      <w:pPr>
        <w:ind w:left="720" w:hanging="360"/>
      </w:pPr>
      <w:rPr>
        <w:color w:val="2E74B5" w:themeColor="accent5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353AB"/>
    <w:multiLevelType w:val="hybridMultilevel"/>
    <w:tmpl w:val="0D221A68"/>
    <w:lvl w:ilvl="0" w:tplc="74961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86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267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46E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A0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04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CA5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62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503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A3380C"/>
    <w:multiLevelType w:val="hybridMultilevel"/>
    <w:tmpl w:val="ABE28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B2CC1"/>
    <w:multiLevelType w:val="hybridMultilevel"/>
    <w:tmpl w:val="5C2EAEF2"/>
    <w:lvl w:ilvl="0" w:tplc="FC888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83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A4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85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82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AF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05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6B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6D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5B403D4"/>
    <w:multiLevelType w:val="hybridMultilevel"/>
    <w:tmpl w:val="3490F402"/>
    <w:lvl w:ilvl="0" w:tplc="9F9CB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BEC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63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7C7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60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683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E7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07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26C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B863DD2"/>
    <w:multiLevelType w:val="hybridMultilevel"/>
    <w:tmpl w:val="D41A8D7A"/>
    <w:lvl w:ilvl="0" w:tplc="F43A0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A2B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F02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7A2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63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7EF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26E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F40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CD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C665343"/>
    <w:multiLevelType w:val="hybridMultilevel"/>
    <w:tmpl w:val="F102813C"/>
    <w:lvl w:ilvl="0" w:tplc="C6CE582C">
      <w:start w:val="1"/>
      <w:numFmt w:val="decimal"/>
      <w:lvlText w:val="%1."/>
      <w:lvlJc w:val="left"/>
      <w:pPr>
        <w:ind w:left="720" w:hanging="360"/>
      </w:pPr>
      <w:rPr>
        <w:color w:val="2E74B5" w:themeColor="accent5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B3C83"/>
    <w:multiLevelType w:val="hybridMultilevel"/>
    <w:tmpl w:val="776CE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514434"/>
    <w:multiLevelType w:val="hybridMultilevel"/>
    <w:tmpl w:val="A04291B6"/>
    <w:lvl w:ilvl="0" w:tplc="803E6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04E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60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C03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00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6F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006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0E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88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B3276F8"/>
    <w:multiLevelType w:val="hybridMultilevel"/>
    <w:tmpl w:val="422E4F16"/>
    <w:lvl w:ilvl="0" w:tplc="6ECA9CEE">
      <w:start w:val="9"/>
      <w:numFmt w:val="bullet"/>
      <w:lvlText w:val=""/>
      <w:lvlJc w:val="left"/>
      <w:pPr>
        <w:ind w:left="360" w:hanging="360"/>
      </w:pPr>
      <w:rPr>
        <w:rFonts w:ascii="Symbol" w:eastAsia="Cambria" w:hAnsi="Symbol" w:cs="Cambria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6"/>
  </w:num>
  <w:num w:numId="5">
    <w:abstractNumId w:val="5"/>
  </w:num>
  <w:num w:numId="6">
    <w:abstractNumId w:val="13"/>
  </w:num>
  <w:num w:numId="7">
    <w:abstractNumId w:val="4"/>
  </w:num>
  <w:num w:numId="8">
    <w:abstractNumId w:val="7"/>
  </w:num>
  <w:num w:numId="9">
    <w:abstractNumId w:val="9"/>
  </w:num>
  <w:num w:numId="10">
    <w:abstractNumId w:val="14"/>
  </w:num>
  <w:num w:numId="11">
    <w:abstractNumId w:val="11"/>
  </w:num>
  <w:num w:numId="12">
    <w:abstractNumId w:val="10"/>
  </w:num>
  <w:num w:numId="13">
    <w:abstractNumId w:val="3"/>
  </w:num>
  <w:num w:numId="14">
    <w:abstractNumId w:val="1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23"/>
    <w:rsid w:val="00005269"/>
    <w:rsid w:val="000251FA"/>
    <w:rsid w:val="000260D3"/>
    <w:rsid w:val="00032E5E"/>
    <w:rsid w:val="000458C8"/>
    <w:rsid w:val="00046616"/>
    <w:rsid w:val="00056C14"/>
    <w:rsid w:val="00087FB3"/>
    <w:rsid w:val="00091419"/>
    <w:rsid w:val="00096500"/>
    <w:rsid w:val="000C325F"/>
    <w:rsid w:val="000C659E"/>
    <w:rsid w:val="000E1855"/>
    <w:rsid w:val="00106C60"/>
    <w:rsid w:val="00117058"/>
    <w:rsid w:val="00134323"/>
    <w:rsid w:val="0016238A"/>
    <w:rsid w:val="0018284E"/>
    <w:rsid w:val="0019579F"/>
    <w:rsid w:val="001968B0"/>
    <w:rsid w:val="001B0820"/>
    <w:rsid w:val="001B11DD"/>
    <w:rsid w:val="001C2125"/>
    <w:rsid w:val="001E09EA"/>
    <w:rsid w:val="001F70B1"/>
    <w:rsid w:val="00202F5A"/>
    <w:rsid w:val="00220CCA"/>
    <w:rsid w:val="00221A3B"/>
    <w:rsid w:val="002416B4"/>
    <w:rsid w:val="0024484A"/>
    <w:rsid w:val="00285C0D"/>
    <w:rsid w:val="002911DC"/>
    <w:rsid w:val="002A3F6C"/>
    <w:rsid w:val="002C6DF1"/>
    <w:rsid w:val="002D21A9"/>
    <w:rsid w:val="00303EE1"/>
    <w:rsid w:val="00304B94"/>
    <w:rsid w:val="0031127E"/>
    <w:rsid w:val="00311AAC"/>
    <w:rsid w:val="00314719"/>
    <w:rsid w:val="003461B5"/>
    <w:rsid w:val="00354494"/>
    <w:rsid w:val="0036727F"/>
    <w:rsid w:val="0038645E"/>
    <w:rsid w:val="003E5916"/>
    <w:rsid w:val="00402DB7"/>
    <w:rsid w:val="00404266"/>
    <w:rsid w:val="00413660"/>
    <w:rsid w:val="004410DF"/>
    <w:rsid w:val="00446144"/>
    <w:rsid w:val="0045518A"/>
    <w:rsid w:val="004578AD"/>
    <w:rsid w:val="004706ED"/>
    <w:rsid w:val="0048263E"/>
    <w:rsid w:val="00482B9E"/>
    <w:rsid w:val="00485BF5"/>
    <w:rsid w:val="004B4761"/>
    <w:rsid w:val="004C6EE8"/>
    <w:rsid w:val="00501186"/>
    <w:rsid w:val="00501469"/>
    <w:rsid w:val="00513716"/>
    <w:rsid w:val="00514594"/>
    <w:rsid w:val="00551A7D"/>
    <w:rsid w:val="00551B06"/>
    <w:rsid w:val="00563A4C"/>
    <w:rsid w:val="00584970"/>
    <w:rsid w:val="00590F3C"/>
    <w:rsid w:val="0059242F"/>
    <w:rsid w:val="00597804"/>
    <w:rsid w:val="005A028E"/>
    <w:rsid w:val="005A42C8"/>
    <w:rsid w:val="005B212F"/>
    <w:rsid w:val="005B5594"/>
    <w:rsid w:val="005B56FA"/>
    <w:rsid w:val="005C494E"/>
    <w:rsid w:val="005D3BCA"/>
    <w:rsid w:val="005E5F58"/>
    <w:rsid w:val="005F681F"/>
    <w:rsid w:val="00610D56"/>
    <w:rsid w:val="00627DDB"/>
    <w:rsid w:val="006312D1"/>
    <w:rsid w:val="006470F8"/>
    <w:rsid w:val="00651AE6"/>
    <w:rsid w:val="00655FAA"/>
    <w:rsid w:val="00660B94"/>
    <w:rsid w:val="00667DCC"/>
    <w:rsid w:val="006760B4"/>
    <w:rsid w:val="0067618B"/>
    <w:rsid w:val="006814D1"/>
    <w:rsid w:val="00685DEF"/>
    <w:rsid w:val="006870DF"/>
    <w:rsid w:val="006A78E0"/>
    <w:rsid w:val="006C3CFD"/>
    <w:rsid w:val="006F347D"/>
    <w:rsid w:val="006F6D8C"/>
    <w:rsid w:val="007111ED"/>
    <w:rsid w:val="0071504E"/>
    <w:rsid w:val="00731BC8"/>
    <w:rsid w:val="00762378"/>
    <w:rsid w:val="00765F79"/>
    <w:rsid w:val="0079006F"/>
    <w:rsid w:val="0079492D"/>
    <w:rsid w:val="007A0BF5"/>
    <w:rsid w:val="007A3DD1"/>
    <w:rsid w:val="007A447E"/>
    <w:rsid w:val="007B5D48"/>
    <w:rsid w:val="007E6161"/>
    <w:rsid w:val="00803E50"/>
    <w:rsid w:val="00810DD9"/>
    <w:rsid w:val="0081215C"/>
    <w:rsid w:val="00815BC4"/>
    <w:rsid w:val="008238A8"/>
    <w:rsid w:val="00824325"/>
    <w:rsid w:val="00851B95"/>
    <w:rsid w:val="00852596"/>
    <w:rsid w:val="0086325F"/>
    <w:rsid w:val="00864E5B"/>
    <w:rsid w:val="00881669"/>
    <w:rsid w:val="008C540A"/>
    <w:rsid w:val="008D039B"/>
    <w:rsid w:val="008E6E0E"/>
    <w:rsid w:val="008F1BD5"/>
    <w:rsid w:val="008F3D04"/>
    <w:rsid w:val="008F58E2"/>
    <w:rsid w:val="00907955"/>
    <w:rsid w:val="009233DB"/>
    <w:rsid w:val="00927700"/>
    <w:rsid w:val="00933132"/>
    <w:rsid w:val="00957CBF"/>
    <w:rsid w:val="00957DD2"/>
    <w:rsid w:val="009817F1"/>
    <w:rsid w:val="00982672"/>
    <w:rsid w:val="009B7250"/>
    <w:rsid w:val="009E3CCE"/>
    <w:rsid w:val="009F198F"/>
    <w:rsid w:val="00A11DBB"/>
    <w:rsid w:val="00A15EC0"/>
    <w:rsid w:val="00A22131"/>
    <w:rsid w:val="00A54F89"/>
    <w:rsid w:val="00A71A0C"/>
    <w:rsid w:val="00A73F33"/>
    <w:rsid w:val="00A73F8A"/>
    <w:rsid w:val="00AB11D8"/>
    <w:rsid w:val="00AB3852"/>
    <w:rsid w:val="00AC190A"/>
    <w:rsid w:val="00AC4818"/>
    <w:rsid w:val="00AC6A78"/>
    <w:rsid w:val="00AF32E7"/>
    <w:rsid w:val="00B035B7"/>
    <w:rsid w:val="00B0553F"/>
    <w:rsid w:val="00B05E52"/>
    <w:rsid w:val="00B3602E"/>
    <w:rsid w:val="00B42EE0"/>
    <w:rsid w:val="00B53829"/>
    <w:rsid w:val="00B56C19"/>
    <w:rsid w:val="00B679F7"/>
    <w:rsid w:val="00B77D28"/>
    <w:rsid w:val="00B8173E"/>
    <w:rsid w:val="00B90844"/>
    <w:rsid w:val="00B90DCB"/>
    <w:rsid w:val="00B92E7A"/>
    <w:rsid w:val="00B93C78"/>
    <w:rsid w:val="00B96739"/>
    <w:rsid w:val="00BB4805"/>
    <w:rsid w:val="00BB5066"/>
    <w:rsid w:val="00BB546E"/>
    <w:rsid w:val="00BB7237"/>
    <w:rsid w:val="00BC7EB7"/>
    <w:rsid w:val="00C12E18"/>
    <w:rsid w:val="00C43BC4"/>
    <w:rsid w:val="00C5332D"/>
    <w:rsid w:val="00C53B6E"/>
    <w:rsid w:val="00C60365"/>
    <w:rsid w:val="00C60438"/>
    <w:rsid w:val="00C60C08"/>
    <w:rsid w:val="00C6246B"/>
    <w:rsid w:val="00C675BF"/>
    <w:rsid w:val="00C737C0"/>
    <w:rsid w:val="00C85428"/>
    <w:rsid w:val="00CA03BF"/>
    <w:rsid w:val="00CA15C3"/>
    <w:rsid w:val="00CA493E"/>
    <w:rsid w:val="00CE2F25"/>
    <w:rsid w:val="00CE3FC7"/>
    <w:rsid w:val="00CF4E4D"/>
    <w:rsid w:val="00D16B35"/>
    <w:rsid w:val="00D6214F"/>
    <w:rsid w:val="00D736A5"/>
    <w:rsid w:val="00D8258E"/>
    <w:rsid w:val="00D950C1"/>
    <w:rsid w:val="00DA5823"/>
    <w:rsid w:val="00DC7465"/>
    <w:rsid w:val="00E0142C"/>
    <w:rsid w:val="00E23E1C"/>
    <w:rsid w:val="00E31F8A"/>
    <w:rsid w:val="00E36394"/>
    <w:rsid w:val="00E4428C"/>
    <w:rsid w:val="00E77D4B"/>
    <w:rsid w:val="00EA00AA"/>
    <w:rsid w:val="00EA073D"/>
    <w:rsid w:val="00EA35A9"/>
    <w:rsid w:val="00EA4E92"/>
    <w:rsid w:val="00F02531"/>
    <w:rsid w:val="00F11819"/>
    <w:rsid w:val="00F16EDF"/>
    <w:rsid w:val="00F2405D"/>
    <w:rsid w:val="00F2452D"/>
    <w:rsid w:val="00F5141F"/>
    <w:rsid w:val="00F56439"/>
    <w:rsid w:val="00F72730"/>
    <w:rsid w:val="00F76655"/>
    <w:rsid w:val="00F90452"/>
    <w:rsid w:val="00FD5228"/>
    <w:rsid w:val="00FF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0EA3FE"/>
  <w15:docId w15:val="{5E2EA21B-DFCF-49AD-A3DA-E2BB0C85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1D8"/>
    <w:pPr>
      <w:spacing w:after="28" w:line="257" w:lineRule="auto"/>
      <w:ind w:left="370" w:right="2" w:hanging="370"/>
      <w:jc w:val="both"/>
    </w:pPr>
    <w:rPr>
      <w:rFonts w:ascii="Cambria" w:eastAsia="Cambria" w:hAnsi="Cambria" w:cs="Cambria"/>
      <w:color w:val="000000"/>
      <w:lang w:val="en-GB" w:eastAsia="ko-KR"/>
    </w:rPr>
  </w:style>
  <w:style w:type="paragraph" w:styleId="Heading1">
    <w:name w:val="heading 1"/>
    <w:next w:val="Normal"/>
    <w:link w:val="Heading1Char"/>
    <w:uiPriority w:val="9"/>
    <w:unhideWhenUsed/>
    <w:qFormat/>
    <w:rsid w:val="00AB11D8"/>
    <w:pPr>
      <w:keepNext/>
      <w:keepLines/>
      <w:spacing w:after="159"/>
      <w:ind w:left="10" w:hanging="10"/>
      <w:jc w:val="center"/>
      <w:outlineLvl w:val="0"/>
    </w:pPr>
    <w:rPr>
      <w:rFonts w:ascii="Cambria" w:eastAsia="Cambria" w:hAnsi="Cambria" w:cs="Cambria"/>
      <w:b/>
      <w:color w:val="2F5496"/>
      <w:sz w:val="28"/>
      <w:u w:val="single" w:color="2F5496"/>
      <w:lang w:val="en-GB" w:eastAsia="ko-KR"/>
    </w:rPr>
  </w:style>
  <w:style w:type="paragraph" w:styleId="Heading2">
    <w:name w:val="heading 2"/>
    <w:next w:val="Normal"/>
    <w:link w:val="Heading2Char"/>
    <w:uiPriority w:val="9"/>
    <w:unhideWhenUsed/>
    <w:qFormat/>
    <w:rsid w:val="00AB11D8"/>
    <w:pPr>
      <w:keepNext/>
      <w:keepLines/>
      <w:spacing w:after="136"/>
      <w:ind w:left="10" w:hanging="10"/>
      <w:outlineLvl w:val="1"/>
    </w:pPr>
    <w:rPr>
      <w:rFonts w:ascii="Cambria" w:eastAsia="Cambria" w:hAnsi="Cambria" w:cs="Cambria"/>
      <w:b/>
      <w:color w:val="2F5496"/>
      <w:sz w:val="26"/>
      <w:u w:val="single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1D8"/>
    <w:rPr>
      <w:rFonts w:ascii="Cambria" w:eastAsia="Cambria" w:hAnsi="Cambria" w:cs="Cambria"/>
      <w:b/>
      <w:color w:val="2F5496"/>
      <w:sz w:val="28"/>
      <w:u w:val="single" w:color="2F5496"/>
      <w:lang w:val="en-GB"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AB11D8"/>
    <w:rPr>
      <w:rFonts w:ascii="Cambria" w:eastAsia="Cambria" w:hAnsi="Cambria" w:cs="Cambria"/>
      <w:b/>
      <w:color w:val="2F5496"/>
      <w:sz w:val="26"/>
      <w:u w:val="single"/>
      <w:lang w:val="en-GB" w:eastAsia="ko-KR"/>
    </w:rPr>
  </w:style>
  <w:style w:type="paragraph" w:styleId="ListParagraph">
    <w:name w:val="List Paragraph"/>
    <w:basedOn w:val="Normal"/>
    <w:uiPriority w:val="34"/>
    <w:qFormat/>
    <w:rsid w:val="00AB1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11D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1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1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1D8"/>
    <w:rPr>
      <w:rFonts w:ascii="Cambria" w:eastAsia="Cambria" w:hAnsi="Cambria" w:cs="Cambria"/>
      <w:color w:val="000000"/>
      <w:sz w:val="20"/>
      <w:szCs w:val="20"/>
      <w:lang w:val="en-GB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D8"/>
    <w:rPr>
      <w:rFonts w:ascii="Segoe UI" w:eastAsia="Cambria" w:hAnsi="Segoe UI" w:cs="Segoe UI"/>
      <w:color w:val="000000"/>
      <w:sz w:val="18"/>
      <w:szCs w:val="18"/>
      <w:lang w:val="en-GB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6F9"/>
    <w:rPr>
      <w:rFonts w:ascii="Cambria" w:eastAsia="Cambria" w:hAnsi="Cambria" w:cs="Cambria"/>
      <w:b/>
      <w:bCs/>
      <w:color w:val="000000"/>
      <w:sz w:val="20"/>
      <w:szCs w:val="20"/>
      <w:lang w:val="en-GB" w:eastAsia="ko-K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4428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428C"/>
    <w:rPr>
      <w:rFonts w:ascii="Lucida Grande" w:eastAsia="Cambria" w:hAnsi="Lucida Grande" w:cs="Lucida Grande"/>
      <w:color w:val="000000"/>
      <w:sz w:val="24"/>
      <w:szCs w:val="24"/>
      <w:lang w:val="en-GB" w:eastAsia="ko-KR"/>
    </w:rPr>
  </w:style>
  <w:style w:type="paragraph" w:styleId="FootnoteText">
    <w:name w:val="footnote text"/>
    <w:basedOn w:val="Normal"/>
    <w:link w:val="FootnoteTextChar"/>
    <w:uiPriority w:val="99"/>
    <w:unhideWhenUsed/>
    <w:rsid w:val="00C43BC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C4"/>
    <w:rPr>
      <w:rFonts w:ascii="Cambria" w:eastAsia="Cambria" w:hAnsi="Cambria" w:cs="Cambria"/>
      <w:color w:val="000000"/>
      <w:sz w:val="24"/>
      <w:szCs w:val="24"/>
      <w:lang w:val="en-GB" w:eastAsia="ko-KR"/>
    </w:rPr>
  </w:style>
  <w:style w:type="character" w:styleId="FootnoteReference">
    <w:name w:val="footnote reference"/>
    <w:basedOn w:val="DefaultParagraphFont"/>
    <w:uiPriority w:val="99"/>
    <w:unhideWhenUsed/>
    <w:rsid w:val="00C43BC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90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F3C"/>
    <w:rPr>
      <w:rFonts w:ascii="Cambria" w:eastAsia="Cambria" w:hAnsi="Cambria" w:cs="Cambria"/>
      <w:color w:val="000000"/>
      <w:lang w:val="en-GB" w:eastAsia="ko-KR"/>
    </w:rPr>
  </w:style>
  <w:style w:type="paragraph" w:styleId="Footer">
    <w:name w:val="footer"/>
    <w:basedOn w:val="Normal"/>
    <w:link w:val="FooterChar"/>
    <w:uiPriority w:val="99"/>
    <w:unhideWhenUsed/>
    <w:rsid w:val="00590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F3C"/>
    <w:rPr>
      <w:rFonts w:ascii="Cambria" w:eastAsia="Cambria" w:hAnsi="Cambria" w:cs="Cambria"/>
      <w:color w:val="000000"/>
      <w:lang w:val="en-GB" w:eastAsia="ko-KR"/>
    </w:rPr>
  </w:style>
  <w:style w:type="paragraph" w:styleId="NormalWeb">
    <w:name w:val="Normal (Web)"/>
    <w:basedOn w:val="Normal"/>
    <w:uiPriority w:val="99"/>
    <w:semiHidden/>
    <w:unhideWhenUsed/>
    <w:rsid w:val="0059780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A78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ohchr.org/english/issues/water/docs/CESCR_GC_15.pdf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Documents/Publications/GuidingPrinciplesBusinessHR_EN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hchr.org/Documents/Publications/GuidingPrinciplesBusinessHR_EN.pdf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un.org/en/ga/search/view_doc.asp?symbol=A/RES/70/16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@ohch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71A5D3-C8EC-4911-840F-81EDC0BEFA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8DFEC3-34AA-4267-BECE-BEC1A4961BEB}"/>
</file>

<file path=customXml/itemProps3.xml><?xml version="1.0" encoding="utf-8"?>
<ds:datastoreItem xmlns:ds="http://schemas.openxmlformats.org/officeDocument/2006/customXml" ds:itemID="{238B7083-615D-4E9E-B1BC-B6636A8CA9D2}"/>
</file>

<file path=customXml/itemProps4.xml><?xml version="1.0" encoding="utf-8"?>
<ds:datastoreItem xmlns:ds="http://schemas.openxmlformats.org/officeDocument/2006/customXml" ds:itemID="{1EDC7F90-0A4F-448A-B5B2-196403046F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Questionnaire_BUSN</dc:title>
  <dc:creator>Rafael Alamar</dc:creator>
  <cp:lastModifiedBy>Ahreum LEE</cp:lastModifiedBy>
  <cp:revision>5</cp:revision>
  <cp:lastPrinted>2019-01-07T11:39:00Z</cp:lastPrinted>
  <dcterms:created xsi:type="dcterms:W3CDTF">2019-01-17T15:41:00Z</dcterms:created>
  <dcterms:modified xsi:type="dcterms:W3CDTF">2019-01-18T15:25:00Z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