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41B3" w14:textId="55A35F11" w:rsidR="00DB2AFE" w:rsidRPr="0080516E" w:rsidRDefault="00813F75">
      <w:pPr>
        <w:spacing w:after="84"/>
        <w:ind w:left="0" w:right="0" w:firstLine="0"/>
        <w:jc w:val="center"/>
        <w:rPr>
          <w:rFonts w:cs="Arial"/>
          <w:sz w:val="28"/>
          <w:szCs w:val="28"/>
        </w:rPr>
      </w:pPr>
      <w:r>
        <w:rPr>
          <w:rFonts w:cs="Arial"/>
          <w:b/>
          <w:color w:val="2F5496"/>
          <w:sz w:val="28"/>
          <w:szCs w:val="28"/>
        </w:rPr>
        <w:t xml:space="preserve">Expert </w:t>
      </w:r>
      <w:r w:rsidR="005D36AD" w:rsidRPr="0080516E">
        <w:rPr>
          <w:rFonts w:cs="Arial"/>
          <w:b/>
          <w:color w:val="2F5496"/>
          <w:sz w:val="28"/>
          <w:szCs w:val="28"/>
        </w:rPr>
        <w:t xml:space="preserve">Consultation </w:t>
      </w:r>
      <w:r w:rsidR="00A630E6" w:rsidRPr="0080516E">
        <w:rPr>
          <w:rFonts w:cs="Arial"/>
          <w:b/>
          <w:color w:val="2F5496"/>
          <w:sz w:val="28"/>
          <w:szCs w:val="28"/>
        </w:rPr>
        <w:t>on the impact</w:t>
      </w:r>
      <w:r w:rsidR="00DA7DD3" w:rsidRPr="0080516E">
        <w:rPr>
          <w:rFonts w:cs="Arial"/>
          <w:b/>
          <w:color w:val="2F5496"/>
          <w:sz w:val="28"/>
          <w:szCs w:val="28"/>
        </w:rPr>
        <w:t>s</w:t>
      </w:r>
      <w:r w:rsidR="00A630E6" w:rsidRPr="0080516E">
        <w:rPr>
          <w:rFonts w:cs="Arial"/>
          <w:b/>
          <w:color w:val="2F5496"/>
          <w:sz w:val="28"/>
          <w:szCs w:val="28"/>
        </w:rPr>
        <w:t xml:space="preserve"> of mega</w:t>
      </w:r>
      <w:r w:rsidR="00C84EAB" w:rsidRPr="0080516E">
        <w:rPr>
          <w:rFonts w:cs="Arial"/>
          <w:b/>
          <w:color w:val="2F5496"/>
          <w:sz w:val="28"/>
          <w:szCs w:val="28"/>
        </w:rPr>
        <w:t>-</w:t>
      </w:r>
      <w:r w:rsidR="00A630E6" w:rsidRPr="0080516E">
        <w:rPr>
          <w:rFonts w:cs="Arial"/>
          <w:b/>
          <w:color w:val="2F5496"/>
          <w:sz w:val="28"/>
          <w:szCs w:val="28"/>
        </w:rPr>
        <w:t>project</w:t>
      </w:r>
      <w:r w:rsidR="00DA7DD3" w:rsidRPr="0080516E">
        <w:rPr>
          <w:rFonts w:cs="Arial"/>
          <w:b/>
          <w:color w:val="2F5496"/>
          <w:sz w:val="28"/>
          <w:szCs w:val="28"/>
        </w:rPr>
        <w:t>s</w:t>
      </w:r>
      <w:r w:rsidR="00A630E6" w:rsidRPr="0080516E">
        <w:rPr>
          <w:rFonts w:cs="Arial"/>
          <w:b/>
          <w:color w:val="2F5496"/>
          <w:sz w:val="28"/>
          <w:szCs w:val="28"/>
        </w:rPr>
        <w:t xml:space="preserve"> on the human rights to water and sanitation  </w:t>
      </w:r>
    </w:p>
    <w:p w14:paraId="47944A04" w14:textId="77777777" w:rsidR="00DB2AFE" w:rsidRPr="0080516E" w:rsidRDefault="00A630E6" w:rsidP="001239DD">
      <w:pPr>
        <w:spacing w:after="161"/>
        <w:ind w:left="181" w:right="143" w:firstLine="0"/>
        <w:jc w:val="center"/>
        <w:rPr>
          <w:rFonts w:cs="Arial"/>
          <w:b/>
          <w:color w:val="2F5496"/>
        </w:rPr>
      </w:pPr>
      <w:r w:rsidRPr="0080516E">
        <w:rPr>
          <w:rFonts w:cs="Arial"/>
          <w:b/>
          <w:color w:val="2F5496"/>
        </w:rPr>
        <w:t>Organized by the UN Special Rapporteur on the human rights to safe drinking water and sanitation,</w:t>
      </w:r>
      <w:r w:rsidR="008D51C2" w:rsidRPr="0080516E">
        <w:rPr>
          <w:rFonts w:cs="Arial"/>
          <w:b/>
          <w:color w:val="2F5496"/>
        </w:rPr>
        <w:t xml:space="preserve"> </w:t>
      </w:r>
      <w:r w:rsidRPr="0080516E">
        <w:rPr>
          <w:rFonts w:cs="Arial"/>
          <w:b/>
          <w:color w:val="2F5496"/>
        </w:rPr>
        <w:t xml:space="preserve">Mr. Léo Heller </w:t>
      </w:r>
    </w:p>
    <w:p w14:paraId="52FA45F6" w14:textId="47C91D24" w:rsidR="00CB3215" w:rsidRPr="001B2553" w:rsidRDefault="00785AEE" w:rsidP="0080516E">
      <w:pPr>
        <w:pStyle w:val="Heading1"/>
        <w:spacing w:after="100"/>
        <w:ind w:left="14" w:hanging="14"/>
        <w:jc w:val="center"/>
        <w:rPr>
          <w:rFonts w:cs="Arial"/>
          <w:b w:val="0"/>
          <w:i/>
          <w:color w:val="B4C6E7"/>
          <w:sz w:val="22"/>
          <w:u w:val="none" w:color="000000"/>
        </w:rPr>
      </w:pPr>
      <w:r w:rsidRPr="001B2553">
        <w:rPr>
          <w:rFonts w:cs="Arial"/>
          <w:b w:val="0"/>
          <w:i/>
          <w:color w:val="B4C6E7"/>
          <w:sz w:val="22"/>
          <w:u w:val="none" w:color="000000"/>
        </w:rPr>
        <w:t>12</w:t>
      </w:r>
      <w:r w:rsidR="005D36AD" w:rsidRPr="001B2553">
        <w:rPr>
          <w:rFonts w:cs="Arial"/>
          <w:b w:val="0"/>
          <w:i/>
          <w:color w:val="B4C6E7"/>
          <w:sz w:val="22"/>
          <w:u w:val="none" w:color="000000"/>
        </w:rPr>
        <w:t xml:space="preserve"> Novem</w:t>
      </w:r>
      <w:r w:rsidR="00B26355" w:rsidRPr="001B2553">
        <w:rPr>
          <w:rFonts w:cs="Arial"/>
          <w:b w:val="0"/>
          <w:i/>
          <w:color w:val="B4C6E7"/>
          <w:sz w:val="22"/>
          <w:u w:val="none" w:color="000000"/>
        </w:rPr>
        <w:t>ber 2018</w:t>
      </w:r>
      <w:r w:rsidR="001B2553">
        <w:rPr>
          <w:rFonts w:cs="Arial"/>
          <w:b w:val="0"/>
          <w:i/>
          <w:color w:val="B4C6E7"/>
          <w:sz w:val="22"/>
          <w:u w:val="none" w:color="000000"/>
        </w:rPr>
        <w:t xml:space="preserve">, </w:t>
      </w:r>
      <w:r w:rsidR="00555548" w:rsidRPr="001B2553">
        <w:rPr>
          <w:rFonts w:cs="Arial"/>
          <w:b w:val="0"/>
          <w:i/>
          <w:color w:val="B4C6E7"/>
          <w:sz w:val="22"/>
          <w:u w:val="none" w:color="000000"/>
        </w:rPr>
        <w:t>Kuala Lumpur</w:t>
      </w:r>
      <w:r w:rsidR="00555548" w:rsidRPr="001B2553">
        <w:rPr>
          <w:rStyle w:val="FootnoteReference"/>
          <w:rFonts w:cs="Arial"/>
          <w:b w:val="0"/>
          <w:i/>
          <w:color w:val="B4C6E7"/>
          <w:sz w:val="22"/>
          <w:u w:val="none" w:color="000000"/>
        </w:rPr>
        <w:footnoteReference w:id="1"/>
      </w:r>
    </w:p>
    <w:p w14:paraId="665ABD57" w14:textId="77777777" w:rsidR="00DB2AFE" w:rsidRPr="00A64B4D" w:rsidRDefault="00A630E6" w:rsidP="0080516E">
      <w:pPr>
        <w:spacing w:before="80" w:after="140" w:line="240" w:lineRule="auto"/>
        <w:ind w:left="-14" w:right="0" w:firstLine="0"/>
        <w:rPr>
          <w:rFonts w:cs="Arial"/>
          <w:sz w:val="24"/>
          <w:szCs w:val="24"/>
        </w:rPr>
      </w:pPr>
      <w:r w:rsidRPr="00A64B4D">
        <w:rPr>
          <w:rFonts w:cs="Arial"/>
          <w:sz w:val="24"/>
          <w:szCs w:val="24"/>
        </w:rPr>
        <w:t xml:space="preserve">Pursuant to the UN Human Rights Council Resolutions 27/7 of 2014 and 33/10 of 2016, the Special Rapporteur on the human rights to safe drinking water and sanitation, Mr. Léo Heller, is mandated to work on identifying challenges and obstacles to the full realization of the rights, as well as protection gaps, good practices and enabling factors. </w:t>
      </w:r>
    </w:p>
    <w:p w14:paraId="421E9DAE" w14:textId="65E68D6C" w:rsidR="00A63632" w:rsidRPr="00A64B4D" w:rsidRDefault="00DF42DD" w:rsidP="0080516E">
      <w:pPr>
        <w:spacing w:before="140" w:after="0" w:line="240" w:lineRule="auto"/>
        <w:ind w:left="-14" w:right="0" w:firstLine="0"/>
        <w:rPr>
          <w:rFonts w:cs="Arial"/>
          <w:sz w:val="24"/>
          <w:szCs w:val="24"/>
        </w:rPr>
      </w:pPr>
      <w:r w:rsidRPr="00A64B4D">
        <w:rPr>
          <w:rFonts w:cs="Arial"/>
          <w:sz w:val="24"/>
          <w:szCs w:val="24"/>
        </w:rPr>
        <w:t>One of t</w:t>
      </w:r>
      <w:r w:rsidR="00184315" w:rsidRPr="00A64B4D">
        <w:rPr>
          <w:rFonts w:cs="Arial"/>
          <w:sz w:val="24"/>
          <w:szCs w:val="24"/>
        </w:rPr>
        <w:t>he Special Rapporteur’s next thematic report</w:t>
      </w:r>
      <w:r w:rsidRPr="00A64B4D">
        <w:rPr>
          <w:rFonts w:cs="Arial"/>
          <w:sz w:val="24"/>
          <w:szCs w:val="24"/>
        </w:rPr>
        <w:t>s</w:t>
      </w:r>
      <w:r w:rsidR="00184315" w:rsidRPr="00A64B4D">
        <w:rPr>
          <w:rFonts w:cs="Arial"/>
          <w:sz w:val="24"/>
          <w:szCs w:val="24"/>
        </w:rPr>
        <w:t xml:space="preserve"> will focus on the </w:t>
      </w:r>
      <w:r w:rsidR="00DA7DD3" w:rsidRPr="00A64B4D">
        <w:rPr>
          <w:rFonts w:cs="Arial"/>
          <w:sz w:val="24"/>
          <w:szCs w:val="24"/>
        </w:rPr>
        <w:t>impacts</w:t>
      </w:r>
      <w:r w:rsidR="00184315" w:rsidRPr="00A64B4D">
        <w:rPr>
          <w:rFonts w:cs="Arial"/>
          <w:sz w:val="24"/>
          <w:szCs w:val="24"/>
        </w:rPr>
        <w:t xml:space="preserve"> of mega</w:t>
      </w:r>
      <w:r w:rsidR="00C84EAB">
        <w:rPr>
          <w:rFonts w:cs="Arial"/>
          <w:sz w:val="24"/>
          <w:szCs w:val="24"/>
        </w:rPr>
        <w:t>-</w:t>
      </w:r>
      <w:r w:rsidR="00184315" w:rsidRPr="00A64B4D">
        <w:rPr>
          <w:rFonts w:cs="Arial"/>
          <w:sz w:val="24"/>
          <w:szCs w:val="24"/>
        </w:rPr>
        <w:t>projects on the realization of the human rights to water and sanitation. As part of the preparation, the Special Rapporteur convened a roundtable in Geneva on 11 September 2018 (</w:t>
      </w:r>
      <w:hyperlink r:id="rId8" w:history="1">
        <w:r w:rsidR="00184315" w:rsidRPr="00A64B4D">
          <w:rPr>
            <w:rStyle w:val="Hyperlink"/>
            <w:rFonts w:cs="Arial"/>
            <w:sz w:val="24"/>
            <w:szCs w:val="24"/>
          </w:rPr>
          <w:t>concept note</w:t>
        </w:r>
      </w:hyperlink>
      <w:r w:rsidR="00184315" w:rsidRPr="00A64B4D">
        <w:rPr>
          <w:rFonts w:cs="Arial"/>
          <w:sz w:val="24"/>
          <w:szCs w:val="24"/>
        </w:rPr>
        <w:t>)</w:t>
      </w:r>
      <w:r w:rsidR="00007DD3" w:rsidRPr="00A64B4D">
        <w:rPr>
          <w:rFonts w:cs="Arial"/>
          <w:sz w:val="24"/>
          <w:szCs w:val="24"/>
        </w:rPr>
        <w:t xml:space="preserve"> and</w:t>
      </w:r>
      <w:r w:rsidR="00C41C6B" w:rsidRPr="00A64B4D">
        <w:rPr>
          <w:rFonts w:cs="Arial"/>
          <w:sz w:val="24"/>
          <w:szCs w:val="24"/>
        </w:rPr>
        <w:t xml:space="preserve"> </w:t>
      </w:r>
      <w:r w:rsidR="00785AEE" w:rsidRPr="00A64B4D">
        <w:rPr>
          <w:rFonts w:cs="Arial"/>
          <w:sz w:val="24"/>
          <w:szCs w:val="24"/>
        </w:rPr>
        <w:t xml:space="preserve">bilateral </w:t>
      </w:r>
      <w:r w:rsidR="00CB3215">
        <w:rPr>
          <w:rFonts w:cs="Arial"/>
          <w:sz w:val="24"/>
          <w:szCs w:val="24"/>
        </w:rPr>
        <w:t>online consultations from</w:t>
      </w:r>
      <w:r w:rsidR="00C41C6B" w:rsidRPr="00A64B4D">
        <w:rPr>
          <w:rFonts w:cs="Arial"/>
          <w:sz w:val="24"/>
          <w:szCs w:val="24"/>
        </w:rPr>
        <w:t xml:space="preserve"> 17 to 21 </w:t>
      </w:r>
      <w:r w:rsidRPr="00A64B4D">
        <w:rPr>
          <w:rFonts w:cs="Arial"/>
          <w:sz w:val="24"/>
          <w:szCs w:val="24"/>
        </w:rPr>
        <w:t>S</w:t>
      </w:r>
      <w:r w:rsidR="00C41C6B" w:rsidRPr="00A64B4D">
        <w:rPr>
          <w:rFonts w:cs="Arial"/>
          <w:sz w:val="24"/>
          <w:szCs w:val="24"/>
        </w:rPr>
        <w:t>eptember 2018.</w:t>
      </w:r>
      <w:r w:rsidR="00184315" w:rsidRPr="00A64B4D">
        <w:rPr>
          <w:rFonts w:cs="Arial"/>
          <w:sz w:val="24"/>
          <w:szCs w:val="24"/>
        </w:rPr>
        <w:t xml:space="preserve"> Further to the roundtable, the Special Rapporteur </w:t>
      </w:r>
      <w:r w:rsidRPr="00A64B4D">
        <w:rPr>
          <w:rFonts w:cs="Arial"/>
          <w:sz w:val="24"/>
          <w:szCs w:val="24"/>
        </w:rPr>
        <w:t>is</w:t>
      </w:r>
      <w:r w:rsidR="00184315" w:rsidRPr="00A64B4D">
        <w:rPr>
          <w:rFonts w:cs="Arial"/>
          <w:sz w:val="24"/>
          <w:szCs w:val="24"/>
        </w:rPr>
        <w:t xml:space="preserve"> conven</w:t>
      </w:r>
      <w:r w:rsidRPr="00A64B4D">
        <w:rPr>
          <w:rFonts w:cs="Arial"/>
          <w:sz w:val="24"/>
          <w:szCs w:val="24"/>
        </w:rPr>
        <w:t>ing</w:t>
      </w:r>
      <w:r w:rsidR="00184315" w:rsidRPr="00A64B4D">
        <w:rPr>
          <w:rFonts w:cs="Arial"/>
          <w:sz w:val="24"/>
          <w:szCs w:val="24"/>
        </w:rPr>
        <w:t xml:space="preserve"> a series of regional </w:t>
      </w:r>
      <w:r w:rsidR="00813F75">
        <w:rPr>
          <w:rFonts w:cs="Arial"/>
          <w:sz w:val="24"/>
          <w:szCs w:val="24"/>
        </w:rPr>
        <w:t xml:space="preserve">expert </w:t>
      </w:r>
      <w:bookmarkStart w:id="0" w:name="_GoBack"/>
      <w:bookmarkEnd w:id="0"/>
      <w:r w:rsidR="00184315" w:rsidRPr="00A64B4D">
        <w:rPr>
          <w:rFonts w:cs="Arial"/>
          <w:sz w:val="24"/>
          <w:szCs w:val="24"/>
        </w:rPr>
        <w:t>consultations</w:t>
      </w:r>
      <w:r w:rsidR="00CB3215">
        <w:rPr>
          <w:rFonts w:cs="Arial"/>
          <w:sz w:val="24"/>
          <w:szCs w:val="24"/>
        </w:rPr>
        <w:t>:</w:t>
      </w:r>
      <w:r w:rsidR="00184315" w:rsidRPr="00A64B4D">
        <w:rPr>
          <w:rFonts w:cs="Arial"/>
          <w:sz w:val="24"/>
          <w:szCs w:val="24"/>
        </w:rPr>
        <w:t xml:space="preserve"> in Asia-Pacific Regi</w:t>
      </w:r>
      <w:r w:rsidR="00CB3215">
        <w:rPr>
          <w:rFonts w:cs="Arial"/>
          <w:sz w:val="24"/>
          <w:szCs w:val="24"/>
        </w:rPr>
        <w:t>on (12 November 2018, Malaysia);</w:t>
      </w:r>
      <w:r w:rsidR="00184315" w:rsidRPr="00A64B4D">
        <w:rPr>
          <w:rFonts w:cs="Arial"/>
          <w:sz w:val="24"/>
          <w:szCs w:val="24"/>
        </w:rPr>
        <w:t xml:space="preserve"> Latin America and the Caribbean Region (January 2019, Mexico)</w:t>
      </w:r>
      <w:r w:rsidR="00CB3215">
        <w:rPr>
          <w:rFonts w:cs="Arial"/>
          <w:sz w:val="24"/>
          <w:szCs w:val="24"/>
        </w:rPr>
        <w:t>;</w:t>
      </w:r>
      <w:r w:rsidR="00184315" w:rsidRPr="00A64B4D">
        <w:rPr>
          <w:rFonts w:cs="Arial"/>
          <w:sz w:val="24"/>
          <w:szCs w:val="24"/>
        </w:rPr>
        <w:t xml:space="preserve"> and African Region (February 2019, South Africa).</w:t>
      </w:r>
      <w:r w:rsidR="002B7E9E" w:rsidRPr="00A64B4D">
        <w:rPr>
          <w:rFonts w:cs="Arial"/>
          <w:sz w:val="24"/>
          <w:szCs w:val="24"/>
        </w:rPr>
        <w:t xml:space="preserve"> In </w:t>
      </w:r>
      <w:r w:rsidR="00785AEE" w:rsidRPr="00A64B4D">
        <w:rPr>
          <w:rFonts w:cs="Arial"/>
          <w:sz w:val="24"/>
          <w:szCs w:val="24"/>
        </w:rPr>
        <w:t xml:space="preserve">preparation of the </w:t>
      </w:r>
      <w:r w:rsidR="0024120C" w:rsidRPr="00A64B4D">
        <w:rPr>
          <w:rFonts w:cs="Arial"/>
          <w:sz w:val="24"/>
          <w:szCs w:val="24"/>
        </w:rPr>
        <w:t>Asia Pacific</w:t>
      </w:r>
      <w:r w:rsidR="00785AEE" w:rsidRPr="00A64B4D">
        <w:rPr>
          <w:rFonts w:cs="Arial"/>
          <w:sz w:val="24"/>
          <w:szCs w:val="24"/>
        </w:rPr>
        <w:t xml:space="preserve"> Regional consultation</w:t>
      </w:r>
      <w:r w:rsidR="002B7E9E" w:rsidRPr="00A64B4D">
        <w:rPr>
          <w:rFonts w:cs="Arial"/>
          <w:sz w:val="24"/>
          <w:szCs w:val="24"/>
        </w:rPr>
        <w:t>, the Special Rapporteur called for submissions (</w:t>
      </w:r>
      <w:hyperlink r:id="rId9" w:history="1">
        <w:r w:rsidR="002B7E9E" w:rsidRPr="00A64B4D">
          <w:rPr>
            <w:rStyle w:val="Hyperlink"/>
            <w:rFonts w:cs="Arial"/>
            <w:sz w:val="24"/>
            <w:szCs w:val="24"/>
          </w:rPr>
          <w:t>call for inputs</w:t>
        </w:r>
      </w:hyperlink>
      <w:r w:rsidR="002B7E9E" w:rsidRPr="00A64B4D">
        <w:rPr>
          <w:rFonts w:cs="Arial"/>
          <w:sz w:val="24"/>
          <w:szCs w:val="24"/>
        </w:rPr>
        <w:t>)</w:t>
      </w:r>
      <w:r w:rsidR="00642C82" w:rsidRPr="00A64B4D">
        <w:rPr>
          <w:rFonts w:cs="Arial"/>
          <w:sz w:val="24"/>
          <w:szCs w:val="24"/>
        </w:rPr>
        <w:t>.</w:t>
      </w:r>
    </w:p>
    <w:p w14:paraId="2B93E558" w14:textId="522BB26A" w:rsidR="00DB2AFE" w:rsidRPr="0080516E" w:rsidRDefault="0080516E" w:rsidP="0080516E">
      <w:pPr>
        <w:pStyle w:val="Heading1"/>
        <w:spacing w:before="100" w:after="80" w:line="240" w:lineRule="auto"/>
        <w:ind w:left="0" w:hanging="14"/>
        <w:rPr>
          <w:rFonts w:cs="Arial"/>
          <w:sz w:val="24"/>
          <w:szCs w:val="24"/>
        </w:rPr>
      </w:pPr>
      <w:r>
        <w:rPr>
          <w:rFonts w:cs="Arial"/>
          <w:sz w:val="24"/>
          <w:szCs w:val="24"/>
        </w:rPr>
        <w:t>Objective of the report</w:t>
      </w:r>
    </w:p>
    <w:p w14:paraId="63D21F3B" w14:textId="4ECA001D" w:rsidR="00C64EE2" w:rsidRPr="00A64B4D" w:rsidRDefault="00C64EE2" w:rsidP="001B2553">
      <w:pPr>
        <w:numPr>
          <w:ilvl w:val="0"/>
          <w:numId w:val="1"/>
        </w:numPr>
        <w:spacing w:after="80" w:line="240" w:lineRule="auto"/>
        <w:ind w:left="346" w:right="0" w:hanging="360"/>
        <w:rPr>
          <w:rFonts w:cs="Arial"/>
          <w:sz w:val="24"/>
          <w:szCs w:val="24"/>
        </w:rPr>
      </w:pPr>
      <w:r w:rsidRPr="00A64B4D">
        <w:rPr>
          <w:rFonts w:cs="Arial"/>
          <w:sz w:val="24"/>
          <w:szCs w:val="24"/>
        </w:rPr>
        <w:t xml:space="preserve">To examine the </w:t>
      </w:r>
      <w:r w:rsidR="00DF42DD" w:rsidRPr="00A64B4D">
        <w:rPr>
          <w:rFonts w:cs="Arial"/>
          <w:sz w:val="24"/>
          <w:szCs w:val="24"/>
        </w:rPr>
        <w:t>rationale</w:t>
      </w:r>
      <w:r w:rsidRPr="00A64B4D">
        <w:rPr>
          <w:rFonts w:cs="Arial"/>
          <w:sz w:val="24"/>
          <w:szCs w:val="24"/>
        </w:rPr>
        <w:t xml:space="preserve"> </w:t>
      </w:r>
      <w:r w:rsidR="00DF42DD" w:rsidRPr="00A64B4D">
        <w:rPr>
          <w:rFonts w:cs="Arial"/>
          <w:sz w:val="24"/>
          <w:szCs w:val="24"/>
        </w:rPr>
        <w:t xml:space="preserve">behind the </w:t>
      </w:r>
      <w:r w:rsidR="00C94441">
        <w:rPr>
          <w:rFonts w:cs="Arial"/>
          <w:sz w:val="24"/>
          <w:szCs w:val="24"/>
        </w:rPr>
        <w:t>option for</w:t>
      </w:r>
      <w:r w:rsidR="00DF42DD" w:rsidRPr="00A64B4D">
        <w:rPr>
          <w:rFonts w:cs="Arial"/>
          <w:sz w:val="24"/>
          <w:szCs w:val="24"/>
        </w:rPr>
        <w:t xml:space="preserve"> </w:t>
      </w:r>
      <w:r w:rsidRPr="00A64B4D">
        <w:rPr>
          <w:rFonts w:cs="Arial"/>
          <w:sz w:val="24"/>
          <w:szCs w:val="24"/>
        </w:rPr>
        <w:t>mega</w:t>
      </w:r>
      <w:r w:rsidR="00C84EAB">
        <w:rPr>
          <w:rFonts w:cs="Arial"/>
          <w:sz w:val="24"/>
          <w:szCs w:val="24"/>
        </w:rPr>
        <w:t>-</w:t>
      </w:r>
      <w:r w:rsidRPr="00A64B4D">
        <w:rPr>
          <w:rFonts w:cs="Arial"/>
          <w:sz w:val="24"/>
          <w:szCs w:val="24"/>
        </w:rPr>
        <w:t>projects</w:t>
      </w:r>
      <w:r w:rsidR="00DF42DD" w:rsidRPr="00A64B4D">
        <w:rPr>
          <w:rFonts w:cs="Arial"/>
          <w:sz w:val="24"/>
          <w:szCs w:val="24"/>
        </w:rPr>
        <w:t>,</w:t>
      </w:r>
      <w:r w:rsidRPr="00A64B4D">
        <w:rPr>
          <w:rFonts w:cs="Arial"/>
          <w:sz w:val="24"/>
          <w:szCs w:val="24"/>
        </w:rPr>
        <w:t xml:space="preserve"> the</w:t>
      </w:r>
      <w:r w:rsidR="00DF42DD" w:rsidRPr="00A64B4D">
        <w:rPr>
          <w:rFonts w:cs="Arial"/>
          <w:sz w:val="24"/>
          <w:szCs w:val="24"/>
        </w:rPr>
        <w:t>ir</w:t>
      </w:r>
      <w:r w:rsidRPr="00A64B4D">
        <w:rPr>
          <w:rFonts w:cs="Arial"/>
          <w:sz w:val="24"/>
          <w:szCs w:val="24"/>
        </w:rPr>
        <w:t xml:space="preserve"> evolution trends, </w:t>
      </w:r>
      <w:r w:rsidR="001B2553">
        <w:rPr>
          <w:rFonts w:cs="Arial"/>
          <w:sz w:val="24"/>
          <w:szCs w:val="24"/>
        </w:rPr>
        <w:t>and</w:t>
      </w:r>
      <w:r w:rsidRPr="00A64B4D">
        <w:rPr>
          <w:rFonts w:cs="Arial"/>
          <w:sz w:val="24"/>
          <w:szCs w:val="24"/>
        </w:rPr>
        <w:t xml:space="preserve"> areas of improvement in order to understand the underlying causes and governance issues related to their </w:t>
      </w:r>
      <w:r w:rsidR="00DA7DD3" w:rsidRPr="00A64B4D">
        <w:rPr>
          <w:rFonts w:cs="Arial"/>
          <w:sz w:val="24"/>
          <w:szCs w:val="24"/>
        </w:rPr>
        <w:t>impacts</w:t>
      </w:r>
      <w:r w:rsidRPr="00A64B4D">
        <w:rPr>
          <w:rFonts w:cs="Arial"/>
          <w:sz w:val="24"/>
          <w:szCs w:val="24"/>
        </w:rPr>
        <w:t xml:space="preserve"> on the realization of the human rights to water and sanitation. </w:t>
      </w:r>
    </w:p>
    <w:p w14:paraId="0F051877" w14:textId="77777777" w:rsidR="00785AEE" w:rsidRPr="00A64B4D" w:rsidRDefault="00C64EE2" w:rsidP="001B2553">
      <w:pPr>
        <w:numPr>
          <w:ilvl w:val="0"/>
          <w:numId w:val="1"/>
        </w:numPr>
        <w:spacing w:before="80" w:after="80" w:line="240" w:lineRule="auto"/>
        <w:ind w:left="346" w:right="0" w:hanging="360"/>
        <w:rPr>
          <w:rFonts w:cs="Arial"/>
          <w:sz w:val="24"/>
          <w:szCs w:val="24"/>
        </w:rPr>
      </w:pPr>
      <w:r w:rsidRPr="00A64B4D">
        <w:rPr>
          <w:rFonts w:cs="Arial"/>
          <w:sz w:val="24"/>
          <w:szCs w:val="24"/>
        </w:rPr>
        <w:t>To provide analysis of the potential impacts on</w:t>
      </w:r>
      <w:r w:rsidR="00FE400F">
        <w:rPr>
          <w:rFonts w:cs="Arial"/>
          <w:sz w:val="24"/>
          <w:szCs w:val="24"/>
        </w:rPr>
        <w:t xml:space="preserve"> and violation of</w:t>
      </w:r>
      <w:r w:rsidRPr="00A64B4D">
        <w:rPr>
          <w:rFonts w:cs="Arial"/>
          <w:sz w:val="24"/>
          <w:szCs w:val="24"/>
        </w:rPr>
        <w:t xml:space="preserve"> the human rights to water and sanitation as a result of mega</w:t>
      </w:r>
      <w:r w:rsidR="00C84EAB">
        <w:rPr>
          <w:rFonts w:cs="Arial"/>
          <w:sz w:val="24"/>
          <w:szCs w:val="24"/>
        </w:rPr>
        <w:t>-</w:t>
      </w:r>
      <w:r w:rsidRPr="00A64B4D">
        <w:rPr>
          <w:rFonts w:cs="Arial"/>
          <w:sz w:val="24"/>
          <w:szCs w:val="24"/>
        </w:rPr>
        <w:t>projects</w:t>
      </w:r>
      <w:r w:rsidR="0003531B" w:rsidRPr="00A64B4D">
        <w:rPr>
          <w:rFonts w:cs="Arial"/>
          <w:sz w:val="24"/>
          <w:szCs w:val="24"/>
        </w:rPr>
        <w:t xml:space="preserve"> and </w:t>
      </w:r>
      <w:r w:rsidR="00785AEE" w:rsidRPr="00A64B4D">
        <w:rPr>
          <w:rFonts w:cs="Arial"/>
          <w:sz w:val="24"/>
          <w:szCs w:val="24"/>
        </w:rPr>
        <w:t xml:space="preserve">interlinkages </w:t>
      </w:r>
      <w:r w:rsidR="00FE400F">
        <w:rPr>
          <w:rFonts w:cs="Arial"/>
          <w:sz w:val="24"/>
          <w:szCs w:val="24"/>
        </w:rPr>
        <w:t>with</w:t>
      </w:r>
      <w:r w:rsidR="00785AEE" w:rsidRPr="00A64B4D">
        <w:rPr>
          <w:rFonts w:cs="Arial"/>
          <w:sz w:val="24"/>
          <w:szCs w:val="24"/>
        </w:rPr>
        <w:t xml:space="preserve"> other human rights.</w:t>
      </w:r>
    </w:p>
    <w:p w14:paraId="518854A3" w14:textId="77777777" w:rsidR="00CB3215" w:rsidRDefault="00C64EE2" w:rsidP="001B2553">
      <w:pPr>
        <w:numPr>
          <w:ilvl w:val="0"/>
          <w:numId w:val="1"/>
        </w:numPr>
        <w:spacing w:before="80" w:after="80" w:line="240" w:lineRule="auto"/>
        <w:ind w:left="346" w:right="0" w:hanging="360"/>
        <w:rPr>
          <w:rFonts w:cs="Arial"/>
          <w:sz w:val="24"/>
          <w:szCs w:val="24"/>
        </w:rPr>
      </w:pPr>
      <w:r w:rsidRPr="00A64B4D">
        <w:rPr>
          <w:rFonts w:cs="Arial"/>
          <w:sz w:val="24"/>
          <w:szCs w:val="24"/>
        </w:rPr>
        <w:t>To identify challenges</w:t>
      </w:r>
      <w:r w:rsidR="00CB3215">
        <w:rPr>
          <w:rFonts w:cs="Arial"/>
          <w:sz w:val="24"/>
          <w:szCs w:val="24"/>
        </w:rPr>
        <w:t>,</w:t>
      </w:r>
      <w:r w:rsidRPr="00A64B4D">
        <w:rPr>
          <w:rFonts w:cs="Arial"/>
          <w:sz w:val="24"/>
          <w:szCs w:val="24"/>
        </w:rPr>
        <w:t xml:space="preserve"> </w:t>
      </w:r>
      <w:r w:rsidR="00DF42DD" w:rsidRPr="00A64B4D">
        <w:rPr>
          <w:rFonts w:cs="Arial"/>
          <w:sz w:val="24"/>
          <w:szCs w:val="24"/>
        </w:rPr>
        <w:t xml:space="preserve">positive </w:t>
      </w:r>
      <w:r w:rsidR="00C94441">
        <w:rPr>
          <w:rFonts w:cs="Arial"/>
          <w:sz w:val="24"/>
          <w:szCs w:val="24"/>
        </w:rPr>
        <w:t xml:space="preserve">cases </w:t>
      </w:r>
      <w:r w:rsidR="00CB3215">
        <w:rPr>
          <w:rFonts w:cs="Arial"/>
          <w:sz w:val="24"/>
          <w:szCs w:val="24"/>
        </w:rPr>
        <w:t>and</w:t>
      </w:r>
      <w:r w:rsidRPr="00A64B4D">
        <w:rPr>
          <w:rFonts w:cs="Arial"/>
          <w:sz w:val="24"/>
          <w:szCs w:val="24"/>
        </w:rPr>
        <w:t xml:space="preserve"> enabling frameworks to respect, </w:t>
      </w:r>
      <w:r w:rsidR="00DF42DD" w:rsidRPr="00A64B4D">
        <w:rPr>
          <w:rFonts w:cs="Arial"/>
          <w:sz w:val="24"/>
          <w:szCs w:val="24"/>
        </w:rPr>
        <w:t xml:space="preserve">protect, </w:t>
      </w:r>
      <w:r w:rsidRPr="00A64B4D">
        <w:rPr>
          <w:rFonts w:cs="Arial"/>
          <w:sz w:val="24"/>
          <w:szCs w:val="24"/>
        </w:rPr>
        <w:t>promot</w:t>
      </w:r>
      <w:r w:rsidR="00B13E1E" w:rsidRPr="00A64B4D">
        <w:rPr>
          <w:rFonts w:cs="Arial"/>
          <w:sz w:val="24"/>
          <w:szCs w:val="24"/>
        </w:rPr>
        <w:t>e</w:t>
      </w:r>
      <w:r w:rsidRPr="00A64B4D">
        <w:rPr>
          <w:rFonts w:cs="Arial"/>
          <w:sz w:val="24"/>
          <w:szCs w:val="24"/>
        </w:rPr>
        <w:t xml:space="preserve"> or </w:t>
      </w:r>
      <w:r w:rsidR="00007DD3" w:rsidRPr="00A64B4D">
        <w:rPr>
          <w:rFonts w:cs="Arial"/>
          <w:sz w:val="24"/>
          <w:szCs w:val="24"/>
        </w:rPr>
        <w:t>fulfil</w:t>
      </w:r>
      <w:r w:rsidRPr="00A64B4D">
        <w:rPr>
          <w:rFonts w:cs="Arial"/>
          <w:sz w:val="24"/>
          <w:szCs w:val="24"/>
        </w:rPr>
        <w:t xml:space="preserve"> the human rights to water and sanitation related to the </w:t>
      </w:r>
      <w:r w:rsidR="00DF42DD" w:rsidRPr="00A64B4D">
        <w:rPr>
          <w:rFonts w:cs="Arial"/>
          <w:sz w:val="24"/>
          <w:szCs w:val="24"/>
        </w:rPr>
        <w:t xml:space="preserve">implementation and </w:t>
      </w:r>
      <w:r w:rsidRPr="00A64B4D">
        <w:rPr>
          <w:rFonts w:cs="Arial"/>
          <w:sz w:val="24"/>
          <w:szCs w:val="24"/>
        </w:rPr>
        <w:t>operation of mega</w:t>
      </w:r>
      <w:r w:rsidR="00C84EAB">
        <w:rPr>
          <w:rFonts w:cs="Arial"/>
          <w:sz w:val="24"/>
          <w:szCs w:val="24"/>
        </w:rPr>
        <w:t>-</w:t>
      </w:r>
      <w:r w:rsidRPr="00A64B4D">
        <w:rPr>
          <w:rFonts w:cs="Arial"/>
          <w:sz w:val="24"/>
          <w:szCs w:val="24"/>
        </w:rPr>
        <w:t>projects</w:t>
      </w:r>
      <w:r w:rsidR="006E06E7">
        <w:rPr>
          <w:rFonts w:cs="Arial"/>
          <w:sz w:val="24"/>
          <w:szCs w:val="24"/>
        </w:rPr>
        <w:t>.</w:t>
      </w:r>
    </w:p>
    <w:p w14:paraId="56CA02E7" w14:textId="5CCB5DF3" w:rsidR="00B26355" w:rsidRPr="001B2553" w:rsidRDefault="006E06E7" w:rsidP="001B2553">
      <w:pPr>
        <w:numPr>
          <w:ilvl w:val="0"/>
          <w:numId w:val="1"/>
        </w:numPr>
        <w:spacing w:before="80" w:after="80" w:line="240" w:lineRule="auto"/>
        <w:ind w:left="346" w:right="0" w:hanging="360"/>
        <w:rPr>
          <w:rFonts w:cs="Arial"/>
          <w:sz w:val="24"/>
          <w:szCs w:val="24"/>
        </w:rPr>
      </w:pPr>
      <w:r>
        <w:rPr>
          <w:rFonts w:cs="Arial"/>
          <w:sz w:val="24"/>
          <w:szCs w:val="24"/>
        </w:rPr>
        <w:t>T</w:t>
      </w:r>
      <w:r w:rsidR="00C64EE2" w:rsidRPr="00A64B4D">
        <w:rPr>
          <w:rFonts w:cs="Arial"/>
          <w:sz w:val="24"/>
          <w:szCs w:val="24"/>
        </w:rPr>
        <w:t>o compile knowledge and tools to make mega</w:t>
      </w:r>
      <w:r w:rsidR="00C84EAB">
        <w:rPr>
          <w:rFonts w:cs="Arial"/>
          <w:sz w:val="24"/>
          <w:szCs w:val="24"/>
        </w:rPr>
        <w:t>-</w:t>
      </w:r>
      <w:r w:rsidR="00C64EE2" w:rsidRPr="00A64B4D">
        <w:rPr>
          <w:rFonts w:cs="Arial"/>
          <w:sz w:val="24"/>
          <w:szCs w:val="24"/>
        </w:rPr>
        <w:t>projects more in line with the human r</w:t>
      </w:r>
      <w:r w:rsidR="00CB3215">
        <w:rPr>
          <w:rFonts w:cs="Arial"/>
          <w:sz w:val="24"/>
          <w:szCs w:val="24"/>
        </w:rPr>
        <w:t xml:space="preserve">ights standards including identifying human rights obligation and responsibilities of actors and implementation of human rights principles in environmental and social impact assessment. </w:t>
      </w:r>
    </w:p>
    <w:p w14:paraId="0C2EAF6F" w14:textId="5DE9C618" w:rsidR="0080516E" w:rsidRPr="0080516E" w:rsidRDefault="0080516E" w:rsidP="0080516E">
      <w:pPr>
        <w:pStyle w:val="Heading1"/>
        <w:spacing w:before="100" w:after="80" w:line="240" w:lineRule="auto"/>
        <w:ind w:left="0" w:hanging="14"/>
        <w:rPr>
          <w:rFonts w:cs="Arial"/>
          <w:sz w:val="24"/>
          <w:szCs w:val="24"/>
        </w:rPr>
      </w:pPr>
      <w:r>
        <w:rPr>
          <w:rFonts w:cs="Arial"/>
          <w:sz w:val="24"/>
          <w:szCs w:val="24"/>
        </w:rPr>
        <w:t>Human rights cycle of mega-projects</w:t>
      </w:r>
    </w:p>
    <w:p w14:paraId="77A18371" w14:textId="77777777" w:rsidR="001D6ACA" w:rsidRPr="001B2553" w:rsidRDefault="001D6ACA" w:rsidP="001D6ACA">
      <w:pPr>
        <w:spacing w:before="140" w:after="140" w:line="240" w:lineRule="auto"/>
        <w:ind w:left="-11" w:right="0" w:firstLine="0"/>
        <w:rPr>
          <w:rFonts w:cs="Arial"/>
          <w:sz w:val="24"/>
          <w:szCs w:val="24"/>
        </w:rPr>
      </w:pPr>
      <w:r w:rsidRPr="001B2553">
        <w:rPr>
          <w:rFonts w:cs="Arial"/>
          <w:sz w:val="24"/>
          <w:szCs w:val="24"/>
        </w:rPr>
        <w:t>Considering that mega-projects involve long life cycles, the following stages are identified where human rights are implicated (“human rights cycle of mega-projects”):</w:t>
      </w:r>
    </w:p>
    <w:p w14:paraId="0A3C81D6" w14:textId="77777777" w:rsidR="001D6ACA" w:rsidRPr="001B2553" w:rsidRDefault="001D6ACA" w:rsidP="001B2553">
      <w:pPr>
        <w:numPr>
          <w:ilvl w:val="0"/>
          <w:numId w:val="1"/>
        </w:numPr>
        <w:spacing w:after="80" w:line="240" w:lineRule="auto"/>
        <w:ind w:left="346" w:right="0" w:hanging="360"/>
        <w:rPr>
          <w:rFonts w:cs="Arial"/>
          <w:sz w:val="24"/>
          <w:szCs w:val="24"/>
        </w:rPr>
      </w:pPr>
      <w:r w:rsidRPr="001B2553">
        <w:rPr>
          <w:rFonts w:cs="Arial"/>
          <w:sz w:val="24"/>
          <w:szCs w:val="24"/>
        </w:rPr>
        <w:t>First, from a macro planning perspective, the stage when mega-projects are identified as part of the national development agenda of a country;</w:t>
      </w:r>
    </w:p>
    <w:p w14:paraId="4E4DA4EA" w14:textId="6770E0E2" w:rsidR="001D6ACA" w:rsidRPr="001B2553" w:rsidRDefault="001D6ACA" w:rsidP="001B2553">
      <w:pPr>
        <w:numPr>
          <w:ilvl w:val="0"/>
          <w:numId w:val="1"/>
        </w:numPr>
        <w:spacing w:after="80" w:line="240" w:lineRule="auto"/>
        <w:ind w:left="346" w:right="0" w:hanging="360"/>
        <w:rPr>
          <w:rFonts w:cs="Arial"/>
          <w:sz w:val="24"/>
          <w:szCs w:val="24"/>
        </w:rPr>
      </w:pPr>
      <w:r w:rsidRPr="001B2553">
        <w:rPr>
          <w:rFonts w:cs="Arial"/>
          <w:sz w:val="24"/>
          <w:szCs w:val="24"/>
        </w:rPr>
        <w:t>Second, the stage of planning and design of a given mega-projects, involving environment and social impact assessments</w:t>
      </w:r>
      <w:r w:rsidR="001B2553">
        <w:rPr>
          <w:rFonts w:cs="Arial"/>
          <w:sz w:val="24"/>
          <w:szCs w:val="24"/>
        </w:rPr>
        <w:t>;</w:t>
      </w:r>
    </w:p>
    <w:p w14:paraId="13BC8B5D" w14:textId="7FEE7BF4" w:rsidR="001D6ACA" w:rsidRPr="001B2553" w:rsidRDefault="001D6ACA" w:rsidP="001B2553">
      <w:pPr>
        <w:numPr>
          <w:ilvl w:val="0"/>
          <w:numId w:val="1"/>
        </w:numPr>
        <w:spacing w:after="80" w:line="240" w:lineRule="auto"/>
        <w:ind w:left="346" w:right="0" w:hanging="360"/>
        <w:rPr>
          <w:rFonts w:cs="Arial"/>
          <w:sz w:val="24"/>
          <w:szCs w:val="24"/>
        </w:rPr>
      </w:pPr>
      <w:r w:rsidRPr="001B2553">
        <w:rPr>
          <w:rFonts w:cs="Arial"/>
          <w:sz w:val="24"/>
          <w:szCs w:val="24"/>
        </w:rPr>
        <w:t xml:space="preserve">Third, the stage when </w:t>
      </w:r>
      <w:r w:rsidR="001B2553">
        <w:rPr>
          <w:rFonts w:cs="Arial"/>
          <w:sz w:val="24"/>
          <w:szCs w:val="24"/>
        </w:rPr>
        <w:t>the mega-project</w:t>
      </w:r>
      <w:r w:rsidRPr="001B2553">
        <w:rPr>
          <w:rFonts w:cs="Arial"/>
          <w:sz w:val="24"/>
          <w:szCs w:val="24"/>
        </w:rPr>
        <w:t xml:space="preserve"> is licensed by public authorities;</w:t>
      </w:r>
    </w:p>
    <w:p w14:paraId="433B26E8" w14:textId="77777777" w:rsidR="001D6ACA" w:rsidRPr="001B2553" w:rsidRDefault="001D6ACA" w:rsidP="001B2553">
      <w:pPr>
        <w:numPr>
          <w:ilvl w:val="0"/>
          <w:numId w:val="1"/>
        </w:numPr>
        <w:spacing w:after="80" w:line="240" w:lineRule="auto"/>
        <w:ind w:left="346" w:right="0" w:hanging="360"/>
        <w:rPr>
          <w:rFonts w:cs="Arial"/>
          <w:sz w:val="24"/>
          <w:szCs w:val="24"/>
        </w:rPr>
      </w:pPr>
      <w:r w:rsidRPr="001B2553">
        <w:rPr>
          <w:rFonts w:cs="Arial"/>
          <w:sz w:val="24"/>
          <w:szCs w:val="24"/>
        </w:rPr>
        <w:t>Fourth, the stage when the construction of the mega-project is in progress;</w:t>
      </w:r>
    </w:p>
    <w:p w14:paraId="4F506DFE" w14:textId="127D973A" w:rsidR="001D6ACA" w:rsidRPr="001B2553" w:rsidRDefault="001D6ACA" w:rsidP="001B2553">
      <w:pPr>
        <w:numPr>
          <w:ilvl w:val="0"/>
          <w:numId w:val="1"/>
        </w:numPr>
        <w:spacing w:after="80" w:line="240" w:lineRule="auto"/>
        <w:ind w:left="346" w:right="0" w:hanging="360"/>
        <w:rPr>
          <w:rFonts w:cs="Arial"/>
          <w:sz w:val="24"/>
          <w:szCs w:val="24"/>
        </w:rPr>
      </w:pPr>
      <w:r w:rsidRPr="001B2553">
        <w:rPr>
          <w:rFonts w:cs="Arial"/>
          <w:sz w:val="24"/>
          <w:szCs w:val="24"/>
        </w:rPr>
        <w:t>Fifth, when the mega-project commences its operation;</w:t>
      </w:r>
      <w:r w:rsidR="001B2553">
        <w:rPr>
          <w:rFonts w:cs="Arial"/>
          <w:sz w:val="24"/>
          <w:szCs w:val="24"/>
        </w:rPr>
        <w:t xml:space="preserve"> and</w:t>
      </w:r>
    </w:p>
    <w:p w14:paraId="5B988FB3" w14:textId="77777777" w:rsidR="001D6ACA" w:rsidRPr="001B2553" w:rsidRDefault="001D6ACA" w:rsidP="001B2553">
      <w:pPr>
        <w:numPr>
          <w:ilvl w:val="0"/>
          <w:numId w:val="1"/>
        </w:numPr>
        <w:spacing w:after="80" w:line="240" w:lineRule="auto"/>
        <w:ind w:left="346" w:right="0" w:hanging="360"/>
        <w:rPr>
          <w:rFonts w:cs="Arial"/>
          <w:sz w:val="24"/>
          <w:szCs w:val="24"/>
        </w:rPr>
      </w:pPr>
      <w:r w:rsidRPr="001B2553">
        <w:rPr>
          <w:rFonts w:cs="Arial"/>
          <w:sz w:val="24"/>
          <w:szCs w:val="24"/>
        </w:rPr>
        <w:t>Sixth, related to the impacts of the megaproject in the long term.</w:t>
      </w:r>
    </w:p>
    <w:p w14:paraId="1EDE3D26" w14:textId="43B3B454" w:rsidR="0003531B" w:rsidRPr="00A64B4D" w:rsidRDefault="0003531B" w:rsidP="00B26355">
      <w:pPr>
        <w:pStyle w:val="Heading1"/>
        <w:spacing w:before="100" w:beforeAutospacing="1" w:after="100" w:afterAutospacing="1" w:line="240" w:lineRule="auto"/>
        <w:ind w:left="0" w:firstLine="0"/>
        <w:rPr>
          <w:rFonts w:cs="Arial"/>
        </w:rPr>
      </w:pPr>
      <w:r w:rsidRPr="00A64B4D">
        <w:rPr>
          <w:rFonts w:cs="Arial"/>
        </w:rPr>
        <w:lastRenderedPageBreak/>
        <w:t xml:space="preserve">PROGRAMME </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81"/>
        <w:gridCol w:w="1745"/>
      </w:tblGrid>
      <w:tr w:rsidR="00D856A7" w:rsidRPr="005F2486" w14:paraId="17996336" w14:textId="77777777" w:rsidTr="00065BF3">
        <w:tc>
          <w:tcPr>
            <w:tcW w:w="7986" w:type="dxa"/>
            <w:shd w:val="clear" w:color="auto" w:fill="DBE5F1"/>
            <w:hideMark/>
          </w:tcPr>
          <w:p w14:paraId="4EDC9D7E" w14:textId="77777777" w:rsidR="00D856A7" w:rsidRPr="00A64B4D" w:rsidRDefault="00D856A7" w:rsidP="00C94441">
            <w:pPr>
              <w:spacing w:beforeLines="40" w:before="96" w:afterLines="40" w:after="96"/>
              <w:rPr>
                <w:rFonts w:cs="Arial"/>
                <w:b/>
                <w:color w:val="365F91"/>
                <w:sz w:val="24"/>
                <w:szCs w:val="24"/>
              </w:rPr>
            </w:pPr>
            <w:r w:rsidRPr="00A64B4D">
              <w:rPr>
                <w:rFonts w:cs="Arial"/>
                <w:b/>
                <w:color w:val="365F91"/>
                <w:sz w:val="24"/>
                <w:szCs w:val="24"/>
              </w:rPr>
              <w:t xml:space="preserve">Introduction </w:t>
            </w:r>
          </w:p>
        </w:tc>
        <w:tc>
          <w:tcPr>
            <w:tcW w:w="1746" w:type="dxa"/>
            <w:shd w:val="clear" w:color="auto" w:fill="DBE5F1"/>
            <w:hideMark/>
          </w:tcPr>
          <w:p w14:paraId="0092B794" w14:textId="77777777" w:rsidR="00D856A7" w:rsidRPr="00A64B4D" w:rsidRDefault="00D856A7" w:rsidP="00C94441">
            <w:pPr>
              <w:spacing w:beforeLines="40" w:before="96" w:afterLines="40" w:after="96"/>
              <w:rPr>
                <w:rFonts w:cs="Arial"/>
                <w:b/>
                <w:color w:val="365F91"/>
                <w:sz w:val="24"/>
                <w:szCs w:val="24"/>
                <w:u w:val="single"/>
              </w:rPr>
            </w:pPr>
            <w:r w:rsidRPr="00A64B4D">
              <w:rPr>
                <w:rFonts w:cs="Arial"/>
                <w:b/>
                <w:color w:val="365F91"/>
                <w:sz w:val="24"/>
                <w:szCs w:val="24"/>
              </w:rPr>
              <w:t>9:</w:t>
            </w:r>
            <w:r w:rsidR="00F84A5D" w:rsidRPr="00A64B4D">
              <w:rPr>
                <w:rFonts w:cs="Arial"/>
                <w:b/>
                <w:color w:val="365F91"/>
                <w:sz w:val="24"/>
                <w:szCs w:val="24"/>
              </w:rPr>
              <w:t>0</w:t>
            </w:r>
            <w:r w:rsidRPr="00A64B4D">
              <w:rPr>
                <w:rFonts w:cs="Arial"/>
                <w:b/>
                <w:color w:val="365F91"/>
                <w:sz w:val="24"/>
                <w:szCs w:val="24"/>
              </w:rPr>
              <w:t>0 – 9:30</w:t>
            </w:r>
          </w:p>
        </w:tc>
      </w:tr>
    </w:tbl>
    <w:p w14:paraId="727FDC2B" w14:textId="77777777" w:rsidR="00D856A7" w:rsidRPr="00A64B4D" w:rsidRDefault="00D856A7" w:rsidP="009351B9">
      <w:pPr>
        <w:spacing w:before="140" w:after="140" w:line="240" w:lineRule="auto"/>
        <w:ind w:left="-11" w:right="0" w:firstLine="0"/>
        <w:rPr>
          <w:rFonts w:cs="Arial"/>
          <w:color w:val="auto"/>
          <w:sz w:val="24"/>
          <w:szCs w:val="24"/>
          <w:lang w:eastAsia="en-US"/>
        </w:rPr>
      </w:pPr>
      <w:r w:rsidRPr="00A64B4D">
        <w:rPr>
          <w:rFonts w:cs="Arial"/>
          <w:sz w:val="24"/>
          <w:szCs w:val="24"/>
          <w:u w:val="single"/>
        </w:rPr>
        <w:t>Speaker</w:t>
      </w:r>
      <w:r w:rsidRPr="00A64B4D">
        <w:rPr>
          <w:rFonts w:cs="Arial"/>
          <w:sz w:val="24"/>
          <w:szCs w:val="24"/>
        </w:rPr>
        <w:t xml:space="preserve">:  Special Rapporteur </w:t>
      </w:r>
    </w:p>
    <w:p w14:paraId="2E2E42E3" w14:textId="77777777" w:rsidR="00D856A7" w:rsidRPr="00A64B4D" w:rsidRDefault="00D856A7" w:rsidP="009351B9">
      <w:pPr>
        <w:pStyle w:val="LightGrid-Accent31"/>
        <w:numPr>
          <w:ilvl w:val="0"/>
          <w:numId w:val="8"/>
        </w:numPr>
        <w:spacing w:before="140" w:after="140" w:line="240" w:lineRule="auto"/>
        <w:ind w:left="346" w:hanging="357"/>
        <w:contextualSpacing w:val="0"/>
        <w:rPr>
          <w:rFonts w:cs="Arial"/>
          <w:sz w:val="24"/>
          <w:szCs w:val="24"/>
        </w:rPr>
      </w:pPr>
      <w:r w:rsidRPr="00A64B4D">
        <w:rPr>
          <w:rFonts w:cs="Arial"/>
          <w:sz w:val="24"/>
          <w:szCs w:val="24"/>
        </w:rPr>
        <w:t>Purpose and objective of the expert consultation</w:t>
      </w:r>
    </w:p>
    <w:p w14:paraId="3FC8D7DB" w14:textId="77777777" w:rsidR="00FD7ED8" w:rsidRPr="00126A4F" w:rsidRDefault="00D856A7" w:rsidP="00126A4F">
      <w:pPr>
        <w:pStyle w:val="LightGrid-Accent31"/>
        <w:numPr>
          <w:ilvl w:val="0"/>
          <w:numId w:val="8"/>
        </w:numPr>
        <w:spacing w:before="140" w:after="140" w:line="240" w:lineRule="auto"/>
        <w:ind w:left="346" w:hanging="357"/>
        <w:contextualSpacing w:val="0"/>
        <w:rPr>
          <w:rFonts w:cs="Arial"/>
          <w:sz w:val="24"/>
          <w:szCs w:val="24"/>
          <w:lang w:val="fr-FR"/>
        </w:rPr>
      </w:pPr>
      <w:r w:rsidRPr="00A64B4D">
        <w:rPr>
          <w:rFonts w:cs="Arial"/>
          <w:sz w:val="24"/>
          <w:szCs w:val="24"/>
          <w:lang w:val="fr-FR"/>
        </w:rPr>
        <w:t>Tour de table: Introduction of participants</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76"/>
        <w:gridCol w:w="1750"/>
      </w:tblGrid>
      <w:tr w:rsidR="00D856A7" w:rsidRPr="005F2486" w14:paraId="5A9683E8" w14:textId="77777777" w:rsidTr="00065BF3">
        <w:tc>
          <w:tcPr>
            <w:tcW w:w="7982" w:type="dxa"/>
            <w:tcBorders>
              <w:top w:val="single" w:sz="8" w:space="0" w:color="365F91"/>
              <w:left w:val="single" w:sz="8" w:space="0" w:color="365F91"/>
              <w:bottom w:val="single" w:sz="8" w:space="0" w:color="365F91"/>
              <w:right w:val="single" w:sz="8" w:space="0" w:color="365F91"/>
            </w:tcBorders>
            <w:shd w:val="clear" w:color="auto" w:fill="DBE5F1"/>
            <w:hideMark/>
          </w:tcPr>
          <w:p w14:paraId="170DBAC9" w14:textId="77777777" w:rsidR="00D856A7" w:rsidRPr="00A64B4D" w:rsidRDefault="00126A4F" w:rsidP="00C94441">
            <w:pPr>
              <w:pStyle w:val="Heading2"/>
              <w:spacing w:before="96" w:after="96"/>
            </w:pPr>
            <w:r>
              <w:t xml:space="preserve">SESSION 1: </w:t>
            </w:r>
            <w:r w:rsidR="00D856A7" w:rsidRPr="00CB3215">
              <w:t>Background</w:t>
            </w:r>
          </w:p>
        </w:tc>
        <w:tc>
          <w:tcPr>
            <w:tcW w:w="1750" w:type="dxa"/>
            <w:tcBorders>
              <w:top w:val="single" w:sz="8" w:space="0" w:color="365F91"/>
              <w:left w:val="single" w:sz="8" w:space="0" w:color="365F91"/>
              <w:bottom w:val="single" w:sz="8" w:space="0" w:color="365F91"/>
              <w:right w:val="single" w:sz="8" w:space="0" w:color="365F91"/>
            </w:tcBorders>
            <w:shd w:val="clear" w:color="auto" w:fill="DBE5F1"/>
            <w:hideMark/>
          </w:tcPr>
          <w:p w14:paraId="04C37CC7" w14:textId="77777777" w:rsidR="00D856A7" w:rsidRPr="00A64B4D" w:rsidRDefault="00D856A7" w:rsidP="00C94441">
            <w:pPr>
              <w:spacing w:beforeLines="40" w:before="96" w:afterLines="40" w:after="96"/>
              <w:rPr>
                <w:rFonts w:cs="Arial"/>
                <w:b/>
                <w:color w:val="365F91"/>
                <w:sz w:val="24"/>
                <w:szCs w:val="24"/>
                <w:u w:val="single"/>
              </w:rPr>
            </w:pPr>
            <w:r w:rsidRPr="00A64B4D">
              <w:rPr>
                <w:rFonts w:cs="Arial"/>
                <w:b/>
                <w:color w:val="365F91"/>
                <w:sz w:val="24"/>
                <w:szCs w:val="24"/>
              </w:rPr>
              <w:t xml:space="preserve">9:30 – 10:30 </w:t>
            </w:r>
          </w:p>
        </w:tc>
      </w:tr>
    </w:tbl>
    <w:p w14:paraId="5B4F3C2A" w14:textId="77777777" w:rsidR="00126A4F" w:rsidRPr="001B2553" w:rsidRDefault="00126A4F" w:rsidP="009D6BDF">
      <w:pPr>
        <w:pStyle w:val="ListParagraph"/>
        <w:spacing w:before="140" w:after="140" w:line="240" w:lineRule="auto"/>
        <w:ind w:left="-11" w:right="0" w:firstLine="0"/>
        <w:contextualSpacing w:val="0"/>
        <w:rPr>
          <w:rFonts w:cs="Arial"/>
          <w:sz w:val="24"/>
          <w:szCs w:val="24"/>
        </w:rPr>
      </w:pPr>
      <w:r w:rsidRPr="00A64B4D">
        <w:rPr>
          <w:rFonts w:cs="Arial"/>
          <w:sz w:val="24"/>
          <w:szCs w:val="24"/>
        </w:rPr>
        <w:t>Mega</w:t>
      </w:r>
      <w:r>
        <w:rPr>
          <w:rFonts w:cs="Arial"/>
          <w:sz w:val="24"/>
          <w:szCs w:val="24"/>
        </w:rPr>
        <w:t>-</w:t>
      </w:r>
      <w:r w:rsidRPr="00A64B4D">
        <w:rPr>
          <w:rFonts w:cs="Arial"/>
          <w:sz w:val="24"/>
          <w:szCs w:val="24"/>
        </w:rPr>
        <w:t>projects or large-scale projects involve multiple layers of complexity</w:t>
      </w:r>
      <w:r>
        <w:rPr>
          <w:rFonts w:cs="Arial"/>
          <w:sz w:val="24"/>
          <w:szCs w:val="24"/>
        </w:rPr>
        <w:t>,</w:t>
      </w:r>
      <w:r w:rsidRPr="00A64B4D">
        <w:rPr>
          <w:rFonts w:cs="Arial"/>
          <w:sz w:val="24"/>
          <w:szCs w:val="24"/>
        </w:rPr>
        <w:t xml:space="preserve"> involving a wide range of aspects </w:t>
      </w:r>
      <w:r w:rsidRPr="001B2553">
        <w:rPr>
          <w:rFonts w:cs="Arial"/>
          <w:sz w:val="24"/>
          <w:szCs w:val="24"/>
        </w:rPr>
        <w:t xml:space="preserve">such as large budgets, technical means, long-life cycles or different natures of stakeholders. The report will not attempt to define nor adopt an existing definition of mega-projects and thus will not limit its scope to particular types of mega-projects. For the </w:t>
      </w:r>
      <w:r w:rsidR="00C8557D" w:rsidRPr="001B2553">
        <w:rPr>
          <w:rFonts w:cs="Arial"/>
          <w:sz w:val="24"/>
          <w:szCs w:val="24"/>
        </w:rPr>
        <w:t>scope</w:t>
      </w:r>
      <w:r w:rsidRPr="001B2553">
        <w:rPr>
          <w:rFonts w:cs="Arial"/>
          <w:sz w:val="24"/>
          <w:szCs w:val="24"/>
        </w:rPr>
        <w:t xml:space="preserve"> of this report, the </w:t>
      </w:r>
      <w:r w:rsidR="00C8557D" w:rsidRPr="001B2553">
        <w:rPr>
          <w:rFonts w:cs="Arial"/>
          <w:sz w:val="24"/>
          <w:szCs w:val="24"/>
        </w:rPr>
        <w:t>following criteria are taken into account</w:t>
      </w:r>
      <w:r w:rsidRPr="001B2553">
        <w:rPr>
          <w:rFonts w:cs="Arial"/>
          <w:sz w:val="24"/>
          <w:szCs w:val="24"/>
        </w:rPr>
        <w:t xml:space="preserve">: (1) </w:t>
      </w:r>
      <w:r w:rsidR="00543348" w:rsidRPr="001B2553">
        <w:rPr>
          <w:rFonts w:cs="Arial"/>
          <w:sz w:val="24"/>
          <w:szCs w:val="24"/>
        </w:rPr>
        <w:t xml:space="preserve">use of a large size of land </w:t>
      </w:r>
      <w:r w:rsidRPr="001B2553">
        <w:rPr>
          <w:rFonts w:cs="Arial"/>
          <w:sz w:val="24"/>
          <w:szCs w:val="24"/>
        </w:rPr>
        <w:t>or modification of water resources; (2) a</w:t>
      </w:r>
      <w:r w:rsidR="0036621C" w:rsidRPr="001B2553">
        <w:rPr>
          <w:rFonts w:cs="Arial"/>
          <w:sz w:val="24"/>
          <w:szCs w:val="24"/>
        </w:rPr>
        <w:t xml:space="preserve"> long </w:t>
      </w:r>
      <w:r w:rsidRPr="001B2553">
        <w:rPr>
          <w:rFonts w:cs="Arial"/>
          <w:sz w:val="24"/>
          <w:szCs w:val="24"/>
        </w:rPr>
        <w:t>implementation period and; (3) significant impacts on the human rights to water and sanitation and on other related rights.</w:t>
      </w:r>
    </w:p>
    <w:p w14:paraId="09C3EBC8" w14:textId="77777777" w:rsidR="00FE71F2" w:rsidRPr="001B2553" w:rsidRDefault="001B0AB2" w:rsidP="009D6BDF">
      <w:pPr>
        <w:spacing w:before="140" w:after="140" w:line="240" w:lineRule="auto"/>
        <w:ind w:left="-11" w:right="0" w:firstLine="0"/>
        <w:rPr>
          <w:rFonts w:cs="Arial"/>
          <w:sz w:val="24"/>
          <w:szCs w:val="24"/>
        </w:rPr>
      </w:pPr>
      <w:r w:rsidRPr="001B2553">
        <w:rPr>
          <w:rFonts w:cs="Arial"/>
          <w:sz w:val="24"/>
          <w:szCs w:val="24"/>
        </w:rPr>
        <w:t>M</w:t>
      </w:r>
      <w:r w:rsidR="00D50E64" w:rsidRPr="001B2553">
        <w:rPr>
          <w:rFonts w:cs="Arial"/>
          <w:sz w:val="24"/>
          <w:szCs w:val="24"/>
        </w:rPr>
        <w:t>ega</w:t>
      </w:r>
      <w:r w:rsidR="00C84EAB" w:rsidRPr="001B2553">
        <w:rPr>
          <w:rFonts w:cs="Arial"/>
          <w:sz w:val="24"/>
          <w:szCs w:val="24"/>
        </w:rPr>
        <w:t>-</w:t>
      </w:r>
      <w:r w:rsidR="00D50E64" w:rsidRPr="001B2553">
        <w:rPr>
          <w:rFonts w:cs="Arial"/>
          <w:sz w:val="24"/>
          <w:szCs w:val="24"/>
        </w:rPr>
        <w:t>projects are expected to increase to 24</w:t>
      </w:r>
      <w:r w:rsidR="00F84A5D" w:rsidRPr="001B2553">
        <w:rPr>
          <w:rFonts w:cs="Arial"/>
          <w:sz w:val="24"/>
          <w:szCs w:val="24"/>
        </w:rPr>
        <w:t xml:space="preserve"> per cent</w:t>
      </w:r>
      <w:r w:rsidR="00D50E64" w:rsidRPr="001B2553">
        <w:rPr>
          <w:rFonts w:cs="Arial"/>
          <w:sz w:val="24"/>
          <w:szCs w:val="24"/>
        </w:rPr>
        <w:t xml:space="preserve"> of the global GDP in the coming</w:t>
      </w:r>
      <w:r w:rsidR="00A14880" w:rsidRPr="001B2553">
        <w:rPr>
          <w:rFonts w:cs="Arial"/>
          <w:sz w:val="24"/>
          <w:szCs w:val="24"/>
        </w:rPr>
        <w:t xml:space="preserve"> ten</w:t>
      </w:r>
      <w:r w:rsidR="00D50E64" w:rsidRPr="001B2553">
        <w:rPr>
          <w:rFonts w:cs="Arial"/>
          <w:sz w:val="24"/>
          <w:szCs w:val="24"/>
        </w:rPr>
        <w:t xml:space="preserve"> years and the</w:t>
      </w:r>
      <w:r w:rsidRPr="001B2553">
        <w:rPr>
          <w:rFonts w:cs="Arial"/>
          <w:sz w:val="24"/>
          <w:szCs w:val="24"/>
        </w:rPr>
        <w:t xml:space="preserve"> number</w:t>
      </w:r>
      <w:r w:rsidR="00543348" w:rsidRPr="001B2553">
        <w:rPr>
          <w:rFonts w:cs="Arial"/>
          <w:sz w:val="24"/>
          <w:szCs w:val="24"/>
        </w:rPr>
        <w:t>, size and diversity</w:t>
      </w:r>
      <w:r w:rsidRPr="001B2553">
        <w:rPr>
          <w:rFonts w:cs="Arial"/>
          <w:sz w:val="24"/>
          <w:szCs w:val="24"/>
        </w:rPr>
        <w:t xml:space="preserve"> </w:t>
      </w:r>
      <w:r w:rsidR="00543348" w:rsidRPr="001B2553">
        <w:rPr>
          <w:rFonts w:cs="Arial"/>
          <w:sz w:val="24"/>
          <w:szCs w:val="24"/>
        </w:rPr>
        <w:t xml:space="preserve">of projects </w:t>
      </w:r>
      <w:r w:rsidR="00C8557D" w:rsidRPr="001B2553">
        <w:rPr>
          <w:rFonts w:cs="Arial"/>
          <w:sz w:val="24"/>
          <w:szCs w:val="24"/>
        </w:rPr>
        <w:t>are on the increasing trend</w:t>
      </w:r>
      <w:r w:rsidR="003A018B" w:rsidRPr="001B2553">
        <w:rPr>
          <w:rFonts w:cs="Arial"/>
          <w:sz w:val="24"/>
          <w:szCs w:val="24"/>
        </w:rPr>
        <w:t>.</w:t>
      </w:r>
      <w:r w:rsidR="00C54ACA" w:rsidRPr="001B2553">
        <w:rPr>
          <w:rStyle w:val="FootnoteReference"/>
          <w:rFonts w:cs="Arial"/>
          <w:sz w:val="24"/>
          <w:szCs w:val="24"/>
        </w:rPr>
        <w:footnoteReference w:id="2"/>
      </w:r>
      <w:r w:rsidR="009D6BDF" w:rsidRPr="001B2553">
        <w:rPr>
          <w:rFonts w:cs="Arial"/>
          <w:sz w:val="24"/>
          <w:szCs w:val="24"/>
        </w:rPr>
        <w:t xml:space="preserve"> </w:t>
      </w:r>
      <w:r w:rsidR="00C8557D" w:rsidRPr="001B2553">
        <w:rPr>
          <w:rFonts w:cs="Arial"/>
          <w:sz w:val="24"/>
          <w:szCs w:val="24"/>
        </w:rPr>
        <w:t>M</w:t>
      </w:r>
      <w:r w:rsidR="00C54ACA" w:rsidRPr="001B2553">
        <w:rPr>
          <w:rFonts w:cs="Arial"/>
          <w:sz w:val="24"/>
          <w:szCs w:val="24"/>
        </w:rPr>
        <w:t>ega-infrastructure project</w:t>
      </w:r>
      <w:r w:rsidR="00F53696" w:rsidRPr="001B2553">
        <w:rPr>
          <w:rFonts w:cs="Arial"/>
          <w:sz w:val="24"/>
          <w:szCs w:val="24"/>
        </w:rPr>
        <w:t>s</w:t>
      </w:r>
      <w:r w:rsidR="00C54ACA" w:rsidRPr="001B2553">
        <w:rPr>
          <w:rFonts w:cs="Arial"/>
          <w:sz w:val="24"/>
          <w:szCs w:val="24"/>
        </w:rPr>
        <w:t xml:space="preserve"> </w:t>
      </w:r>
      <w:r w:rsidR="00543348" w:rsidRPr="001B2553">
        <w:rPr>
          <w:rFonts w:cs="Arial"/>
          <w:sz w:val="24"/>
          <w:szCs w:val="24"/>
        </w:rPr>
        <w:t xml:space="preserve">are </w:t>
      </w:r>
      <w:r w:rsidR="0024120C" w:rsidRPr="001B2553">
        <w:rPr>
          <w:rFonts w:cs="Arial"/>
          <w:sz w:val="24"/>
          <w:szCs w:val="24"/>
        </w:rPr>
        <w:t>implemented</w:t>
      </w:r>
      <w:r w:rsidRPr="001B2553">
        <w:rPr>
          <w:rFonts w:cs="Arial"/>
          <w:sz w:val="24"/>
          <w:szCs w:val="24"/>
        </w:rPr>
        <w:t xml:space="preserve"> on the grounds of </w:t>
      </w:r>
      <w:r w:rsidR="00C54ACA" w:rsidRPr="001B2553">
        <w:rPr>
          <w:rFonts w:cs="Arial"/>
          <w:sz w:val="24"/>
          <w:szCs w:val="24"/>
        </w:rPr>
        <w:t>facilitat</w:t>
      </w:r>
      <w:r w:rsidRPr="001B2553">
        <w:rPr>
          <w:rFonts w:cs="Arial"/>
          <w:sz w:val="24"/>
          <w:szCs w:val="24"/>
        </w:rPr>
        <w:t>ing</w:t>
      </w:r>
      <w:r w:rsidR="00C54ACA" w:rsidRPr="001B2553">
        <w:rPr>
          <w:rFonts w:cs="Arial"/>
          <w:sz w:val="24"/>
          <w:szCs w:val="24"/>
        </w:rPr>
        <w:t xml:space="preserve"> trade, economic growth and job creation through </w:t>
      </w:r>
      <w:r w:rsidR="0036621C" w:rsidRPr="001B2553">
        <w:rPr>
          <w:rFonts w:cs="Arial"/>
          <w:sz w:val="24"/>
          <w:szCs w:val="24"/>
        </w:rPr>
        <w:t xml:space="preserve">the </w:t>
      </w:r>
      <w:r w:rsidR="00C54ACA" w:rsidRPr="001B2553">
        <w:rPr>
          <w:rFonts w:cs="Arial"/>
          <w:sz w:val="24"/>
          <w:szCs w:val="24"/>
        </w:rPr>
        <w:t>connectivity of goods, services and people.</w:t>
      </w:r>
      <w:r w:rsidR="008A0CDC" w:rsidRPr="001B2553">
        <w:rPr>
          <w:rFonts w:cs="Arial"/>
          <w:sz w:val="24"/>
          <w:szCs w:val="24"/>
        </w:rPr>
        <w:t xml:space="preserve"> However</w:t>
      </w:r>
      <w:r w:rsidR="00A14880" w:rsidRPr="001B2553">
        <w:rPr>
          <w:rFonts w:cs="Arial"/>
          <w:sz w:val="24"/>
          <w:szCs w:val="24"/>
        </w:rPr>
        <w:t xml:space="preserve">, </w:t>
      </w:r>
      <w:r w:rsidR="003C6702" w:rsidRPr="001B2553">
        <w:rPr>
          <w:rFonts w:cs="Arial"/>
          <w:sz w:val="24"/>
          <w:szCs w:val="24"/>
        </w:rPr>
        <w:t>“contrary to the idea of infrastructure as a means to sustainable development and fulfillment of human rights, too many mega-infrastructure projects seem to work in the opposite direction, leaving the vulnerable segments of the society under- or unserved, perpetuating exclusion and discrimination, and exacerbating inequalities between population groups”.</w:t>
      </w:r>
      <w:r w:rsidR="00AB100A" w:rsidRPr="001B2553">
        <w:rPr>
          <w:rStyle w:val="FootnoteReference"/>
          <w:rFonts w:cs="Arial"/>
          <w:sz w:val="24"/>
          <w:szCs w:val="24"/>
        </w:rPr>
        <w:footnoteReference w:id="3"/>
      </w:r>
    </w:p>
    <w:p w14:paraId="3C3906F0" w14:textId="76E0A267" w:rsidR="00076E10" w:rsidRPr="001B2553" w:rsidRDefault="00076E10" w:rsidP="00076E10">
      <w:pPr>
        <w:spacing w:before="140" w:after="140" w:line="240" w:lineRule="auto"/>
        <w:ind w:left="-11" w:right="0" w:firstLine="0"/>
        <w:rPr>
          <w:rFonts w:cs="Arial"/>
          <w:sz w:val="24"/>
          <w:szCs w:val="24"/>
        </w:rPr>
      </w:pPr>
      <w:r w:rsidRPr="001B2553">
        <w:rPr>
          <w:rFonts w:cs="Arial"/>
          <w:sz w:val="24"/>
          <w:szCs w:val="24"/>
          <w:u w:val="single"/>
        </w:rPr>
        <w:t xml:space="preserve">Introductory </w:t>
      </w:r>
      <w:r w:rsidR="00C8557D" w:rsidRPr="001B2553">
        <w:rPr>
          <w:rFonts w:cs="Arial"/>
          <w:sz w:val="24"/>
          <w:szCs w:val="24"/>
          <w:u w:val="single"/>
        </w:rPr>
        <w:t>r</w:t>
      </w:r>
      <w:r w:rsidRPr="001B2553">
        <w:rPr>
          <w:rFonts w:cs="Arial"/>
          <w:sz w:val="24"/>
          <w:szCs w:val="24"/>
          <w:u w:val="single"/>
        </w:rPr>
        <w:t>emarks:</w:t>
      </w:r>
      <w:r w:rsidRPr="001B2553">
        <w:rPr>
          <w:rFonts w:cs="Arial"/>
          <w:sz w:val="24"/>
          <w:szCs w:val="24"/>
        </w:rPr>
        <w:t xml:space="preserve"> Aida Karazhanova </w:t>
      </w:r>
      <w:r w:rsidR="00FE58C1">
        <w:rPr>
          <w:rFonts w:cs="Arial"/>
          <w:sz w:val="24"/>
          <w:szCs w:val="24"/>
        </w:rPr>
        <w:t>(5 minutes)</w:t>
      </w:r>
      <w:r w:rsidRPr="001B2553">
        <w:rPr>
          <w:rFonts w:cs="Arial"/>
          <w:sz w:val="24"/>
          <w:szCs w:val="24"/>
        </w:rPr>
        <w:t>and Apichai Sunchindah</w:t>
      </w:r>
      <w:r w:rsidR="00937B91">
        <w:rPr>
          <w:rFonts w:cs="Arial"/>
          <w:sz w:val="24"/>
          <w:szCs w:val="24"/>
        </w:rPr>
        <w:t xml:space="preserve"> (5 minutes)</w:t>
      </w:r>
    </w:p>
    <w:p w14:paraId="72CBF043" w14:textId="77777777" w:rsidR="00C8557D" w:rsidRPr="001B2553" w:rsidRDefault="00C8557D" w:rsidP="00C8557D">
      <w:pPr>
        <w:spacing w:before="140" w:after="140" w:line="240" w:lineRule="auto"/>
        <w:ind w:left="0" w:right="0" w:firstLine="0"/>
        <w:rPr>
          <w:rFonts w:cs="Arial"/>
          <w:sz w:val="24"/>
          <w:szCs w:val="24"/>
          <w:u w:val="single"/>
        </w:rPr>
      </w:pPr>
      <w:r w:rsidRPr="001B2553">
        <w:rPr>
          <w:rFonts w:cs="Arial"/>
          <w:sz w:val="24"/>
          <w:szCs w:val="24"/>
          <w:u w:val="single"/>
        </w:rPr>
        <w:t>Guiding Questions for discussion:</w:t>
      </w:r>
    </w:p>
    <w:p w14:paraId="14CD3AB2" w14:textId="77777777" w:rsidR="00A94B74" w:rsidRPr="001B2553" w:rsidRDefault="00210E8C" w:rsidP="00CB3215">
      <w:pPr>
        <w:pStyle w:val="ListParagraph"/>
        <w:numPr>
          <w:ilvl w:val="0"/>
          <w:numId w:val="12"/>
        </w:numPr>
        <w:spacing w:before="140" w:after="140" w:line="240" w:lineRule="auto"/>
        <w:ind w:left="346" w:right="0" w:hanging="357"/>
        <w:contextualSpacing w:val="0"/>
        <w:rPr>
          <w:rFonts w:cs="Arial"/>
          <w:sz w:val="24"/>
          <w:szCs w:val="24"/>
        </w:rPr>
      </w:pPr>
      <w:r w:rsidRPr="001B2553">
        <w:rPr>
          <w:rFonts w:cs="Arial"/>
          <w:sz w:val="24"/>
          <w:szCs w:val="24"/>
        </w:rPr>
        <w:t>What is the role of mega</w:t>
      </w:r>
      <w:r w:rsidR="00C84EAB" w:rsidRPr="001B2553">
        <w:rPr>
          <w:rFonts w:cs="Arial"/>
          <w:sz w:val="24"/>
          <w:szCs w:val="24"/>
        </w:rPr>
        <w:t>-</w:t>
      </w:r>
      <w:r w:rsidRPr="001B2553">
        <w:rPr>
          <w:rFonts w:cs="Arial"/>
          <w:sz w:val="24"/>
          <w:szCs w:val="24"/>
        </w:rPr>
        <w:t>projects and their contribution to the livelihood of people in the regional context in Asia and the Pacific as well as in national settings? What trends and evaluations are observed?</w:t>
      </w:r>
    </w:p>
    <w:p w14:paraId="205177FD" w14:textId="05E8D4F8" w:rsidR="004C5748" w:rsidRPr="001B2553" w:rsidRDefault="00543348" w:rsidP="009351B9">
      <w:pPr>
        <w:pStyle w:val="ListParagraph"/>
        <w:numPr>
          <w:ilvl w:val="0"/>
          <w:numId w:val="12"/>
        </w:numPr>
        <w:spacing w:before="140" w:after="140" w:line="240" w:lineRule="auto"/>
        <w:ind w:left="346" w:right="0" w:hanging="357"/>
        <w:contextualSpacing w:val="0"/>
        <w:rPr>
          <w:rFonts w:cs="Arial"/>
          <w:sz w:val="24"/>
          <w:szCs w:val="24"/>
        </w:rPr>
      </w:pPr>
      <w:r w:rsidRPr="001B2553">
        <w:rPr>
          <w:rFonts w:cs="Arial"/>
          <w:sz w:val="24"/>
          <w:szCs w:val="24"/>
        </w:rPr>
        <w:t xml:space="preserve">How does the current trend and landscape of mega-projects </w:t>
      </w:r>
      <w:r w:rsidR="00EA3F4F" w:rsidRPr="001B2553">
        <w:rPr>
          <w:rFonts w:cs="Arial"/>
          <w:sz w:val="24"/>
          <w:szCs w:val="24"/>
        </w:rPr>
        <w:t xml:space="preserve">potentially </w:t>
      </w:r>
      <w:r w:rsidR="00210E8C" w:rsidRPr="001B2553">
        <w:rPr>
          <w:rFonts w:cs="Arial"/>
          <w:sz w:val="24"/>
          <w:szCs w:val="24"/>
        </w:rPr>
        <w:t>affect the enjoyment of human rights in general?</w:t>
      </w:r>
    </w:p>
    <w:p w14:paraId="7074D6A9" w14:textId="16BC9716" w:rsidR="00A94B74" w:rsidRPr="001B2553" w:rsidRDefault="004C5748" w:rsidP="009351B9">
      <w:pPr>
        <w:pStyle w:val="ListParagraph"/>
        <w:numPr>
          <w:ilvl w:val="0"/>
          <w:numId w:val="12"/>
        </w:numPr>
        <w:spacing w:before="140" w:after="140" w:line="240" w:lineRule="auto"/>
        <w:ind w:left="346" w:right="0" w:hanging="357"/>
        <w:contextualSpacing w:val="0"/>
        <w:rPr>
          <w:rFonts w:cs="Arial"/>
          <w:sz w:val="24"/>
          <w:szCs w:val="24"/>
        </w:rPr>
      </w:pPr>
      <w:r w:rsidRPr="001B2553">
        <w:rPr>
          <w:rFonts w:cs="Arial"/>
          <w:sz w:val="24"/>
          <w:szCs w:val="24"/>
        </w:rPr>
        <w:t xml:space="preserve">What are the important root causes </w:t>
      </w:r>
      <w:r w:rsidR="00C8557D" w:rsidRPr="001B2553">
        <w:rPr>
          <w:rFonts w:cs="Arial"/>
          <w:sz w:val="24"/>
          <w:szCs w:val="24"/>
        </w:rPr>
        <w:t>that trigger</w:t>
      </w:r>
      <w:r w:rsidR="00126A4F" w:rsidRPr="001B2553">
        <w:rPr>
          <w:rFonts w:cs="Arial"/>
          <w:sz w:val="24"/>
          <w:szCs w:val="24"/>
        </w:rPr>
        <w:t xml:space="preserve"> </w:t>
      </w:r>
      <w:r w:rsidR="00C8557D" w:rsidRPr="001B2553">
        <w:rPr>
          <w:rFonts w:cs="Arial"/>
          <w:sz w:val="24"/>
          <w:szCs w:val="24"/>
        </w:rPr>
        <w:t>or lead</w:t>
      </w:r>
      <w:r w:rsidR="00126A4F" w:rsidRPr="001B2553">
        <w:rPr>
          <w:rFonts w:cs="Arial"/>
          <w:sz w:val="24"/>
          <w:szCs w:val="24"/>
        </w:rPr>
        <w:t xml:space="preserve"> to the violation and abuse </w:t>
      </w:r>
      <w:r w:rsidRPr="001B2553">
        <w:rPr>
          <w:rFonts w:cs="Arial"/>
          <w:sz w:val="24"/>
          <w:szCs w:val="24"/>
        </w:rPr>
        <w:t>of human</w:t>
      </w:r>
      <w:r w:rsidR="00543348" w:rsidRPr="001B2553">
        <w:rPr>
          <w:rFonts w:cs="Arial"/>
          <w:sz w:val="24"/>
          <w:szCs w:val="24"/>
        </w:rPr>
        <w:t xml:space="preserve"> rights related to mega-projects?</w:t>
      </w:r>
    </w:p>
    <w:p w14:paraId="4D5C029C" w14:textId="77777777" w:rsidR="00EA3F4F" w:rsidRPr="001B2553" w:rsidRDefault="00EA3F4F" w:rsidP="009351B9">
      <w:pPr>
        <w:pStyle w:val="ListParagraph"/>
        <w:numPr>
          <w:ilvl w:val="0"/>
          <w:numId w:val="12"/>
        </w:numPr>
        <w:spacing w:before="140" w:after="140" w:line="240" w:lineRule="auto"/>
        <w:ind w:left="346" w:right="0" w:hanging="357"/>
        <w:contextualSpacing w:val="0"/>
        <w:rPr>
          <w:rFonts w:cs="Arial"/>
          <w:sz w:val="24"/>
          <w:szCs w:val="24"/>
        </w:rPr>
      </w:pPr>
      <w:r w:rsidRPr="001B2553">
        <w:rPr>
          <w:rFonts w:cs="Arial"/>
          <w:sz w:val="24"/>
          <w:szCs w:val="24"/>
        </w:rPr>
        <w:t xml:space="preserve">Are civil society organizations and academics challenging government and international organization’ policies supporting mega-projects? Have alternative models of development  being proposed by those actors? </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74"/>
        <w:gridCol w:w="2152"/>
      </w:tblGrid>
      <w:tr w:rsidR="001D13F3" w:rsidRPr="005F2486" w14:paraId="00D74A05" w14:textId="77777777" w:rsidTr="00065BF3">
        <w:tc>
          <w:tcPr>
            <w:tcW w:w="7986" w:type="dxa"/>
            <w:tcBorders>
              <w:top w:val="single" w:sz="8" w:space="0" w:color="365F91"/>
              <w:left w:val="single" w:sz="8" w:space="0" w:color="365F91"/>
              <w:bottom w:val="single" w:sz="8" w:space="0" w:color="365F91"/>
              <w:right w:val="single" w:sz="8" w:space="0" w:color="365F91"/>
            </w:tcBorders>
            <w:shd w:val="clear" w:color="auto" w:fill="FDE9D9"/>
            <w:hideMark/>
          </w:tcPr>
          <w:p w14:paraId="034378BF" w14:textId="77777777" w:rsidR="001D13F3" w:rsidRPr="00A64B4D" w:rsidRDefault="001D13F3" w:rsidP="001B2553">
            <w:pPr>
              <w:spacing w:beforeLines="40" w:before="96" w:afterLines="40" w:after="96"/>
              <w:ind w:left="1298" w:hanging="1298"/>
              <w:rPr>
                <w:rFonts w:cs="Arial"/>
                <w:b/>
                <w:color w:val="365F91"/>
                <w:sz w:val="24"/>
                <w:szCs w:val="24"/>
              </w:rPr>
            </w:pPr>
            <w:bookmarkStart w:id="1" w:name="_Hlk526514511"/>
            <w:r w:rsidRPr="00A64B4D">
              <w:rPr>
                <w:rFonts w:cs="Arial"/>
                <w:b/>
                <w:color w:val="365F91"/>
                <w:sz w:val="24"/>
                <w:szCs w:val="24"/>
              </w:rPr>
              <w:t>Break</w:t>
            </w:r>
          </w:p>
        </w:tc>
        <w:tc>
          <w:tcPr>
            <w:tcW w:w="1746" w:type="dxa"/>
            <w:tcBorders>
              <w:top w:val="single" w:sz="8" w:space="0" w:color="365F91"/>
              <w:left w:val="single" w:sz="8" w:space="0" w:color="365F91"/>
              <w:bottom w:val="single" w:sz="8" w:space="0" w:color="365F91"/>
              <w:right w:val="single" w:sz="8" w:space="0" w:color="365F91"/>
            </w:tcBorders>
            <w:shd w:val="clear" w:color="auto" w:fill="FDE9D9"/>
            <w:hideMark/>
          </w:tcPr>
          <w:p w14:paraId="4E7BDCED" w14:textId="77777777" w:rsidR="001D13F3" w:rsidRPr="001B2553" w:rsidRDefault="001D13F3" w:rsidP="001B2553">
            <w:pPr>
              <w:spacing w:beforeLines="40" w:before="96" w:afterLines="40" w:after="96"/>
              <w:ind w:left="1298" w:hanging="1298"/>
              <w:rPr>
                <w:rFonts w:cs="Arial"/>
                <w:b/>
                <w:color w:val="365F91"/>
                <w:sz w:val="24"/>
                <w:szCs w:val="24"/>
              </w:rPr>
            </w:pPr>
            <w:r w:rsidRPr="00A64B4D">
              <w:rPr>
                <w:rFonts w:cs="Arial"/>
                <w:b/>
                <w:color w:val="365F91"/>
                <w:sz w:val="24"/>
                <w:szCs w:val="24"/>
              </w:rPr>
              <w:t>10:30 – 10:45</w:t>
            </w:r>
          </w:p>
        </w:tc>
      </w:tr>
      <w:bookmarkEnd w:id="1"/>
    </w:tbl>
    <w:p w14:paraId="5E3F44BB" w14:textId="77777777" w:rsidR="00182B7B" w:rsidRPr="00126A4F" w:rsidRDefault="00182B7B" w:rsidP="00551DA7">
      <w:pPr>
        <w:spacing w:before="140" w:after="140" w:line="240" w:lineRule="auto"/>
        <w:ind w:left="0" w:right="0" w:firstLine="0"/>
        <w:rPr>
          <w:rFonts w:cs="Arial"/>
          <w:sz w:val="8"/>
          <w:szCs w:val="8"/>
        </w:rPr>
      </w:pP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77"/>
        <w:gridCol w:w="1749"/>
      </w:tblGrid>
      <w:tr w:rsidR="00182B7B" w:rsidRPr="00A64B4D" w14:paraId="21B40D78" w14:textId="77777777" w:rsidTr="00065BF3">
        <w:tc>
          <w:tcPr>
            <w:tcW w:w="7982" w:type="dxa"/>
            <w:tcBorders>
              <w:top w:val="single" w:sz="8" w:space="0" w:color="365F91"/>
              <w:left w:val="single" w:sz="8" w:space="0" w:color="365F91"/>
              <w:bottom w:val="single" w:sz="8" w:space="0" w:color="365F91"/>
              <w:right w:val="single" w:sz="8" w:space="0" w:color="365F91"/>
            </w:tcBorders>
            <w:shd w:val="clear" w:color="auto" w:fill="DBE5F1"/>
            <w:hideMark/>
          </w:tcPr>
          <w:p w14:paraId="3C3CAC80" w14:textId="77777777" w:rsidR="00182B7B" w:rsidRPr="00A64B4D" w:rsidRDefault="00182B7B" w:rsidP="00C94441">
            <w:pPr>
              <w:spacing w:beforeLines="40" w:before="96" w:afterLines="40" w:after="96"/>
              <w:ind w:left="1298" w:hanging="1298"/>
              <w:rPr>
                <w:rFonts w:cs="Arial"/>
                <w:b/>
                <w:color w:val="365F91"/>
                <w:sz w:val="24"/>
                <w:szCs w:val="24"/>
              </w:rPr>
            </w:pPr>
            <w:r w:rsidRPr="00182B7B">
              <w:rPr>
                <w:rFonts w:cs="Arial"/>
                <w:b/>
                <w:color w:val="365F91"/>
                <w:sz w:val="24"/>
                <w:szCs w:val="24"/>
              </w:rPr>
              <w:lastRenderedPageBreak/>
              <w:t xml:space="preserve">SESSION </w:t>
            </w:r>
            <w:r>
              <w:rPr>
                <w:rFonts w:cs="Arial"/>
                <w:b/>
                <w:color w:val="365F91"/>
                <w:sz w:val="24"/>
                <w:szCs w:val="24"/>
              </w:rPr>
              <w:t>2</w:t>
            </w:r>
            <w:r w:rsidRPr="00182B7B">
              <w:rPr>
                <w:rFonts w:cs="Arial"/>
                <w:b/>
                <w:color w:val="365F91"/>
                <w:sz w:val="24"/>
                <w:szCs w:val="24"/>
              </w:rPr>
              <w:t>:</w:t>
            </w:r>
            <w:r>
              <w:rPr>
                <w:rFonts w:cs="Arial"/>
                <w:b/>
                <w:color w:val="365F91"/>
                <w:sz w:val="24"/>
                <w:szCs w:val="24"/>
              </w:rPr>
              <w:t xml:space="preserve"> </w:t>
            </w:r>
            <w:r w:rsidRPr="00182B7B">
              <w:rPr>
                <w:rFonts w:cs="Arial"/>
                <w:b/>
                <w:color w:val="365F91"/>
                <w:sz w:val="24"/>
                <w:szCs w:val="24"/>
              </w:rPr>
              <w:t>Impacts of mega</w:t>
            </w:r>
            <w:r w:rsidR="00C84EAB">
              <w:rPr>
                <w:rFonts w:cs="Arial"/>
                <w:b/>
                <w:color w:val="365F91"/>
                <w:sz w:val="24"/>
                <w:szCs w:val="24"/>
              </w:rPr>
              <w:t>-</w:t>
            </w:r>
            <w:r w:rsidRPr="00182B7B">
              <w:rPr>
                <w:rFonts w:cs="Arial"/>
                <w:b/>
                <w:color w:val="365F91"/>
                <w:sz w:val="24"/>
                <w:szCs w:val="24"/>
              </w:rPr>
              <w:t xml:space="preserve">projects on the human rights to drinking water and sanitation   </w:t>
            </w:r>
          </w:p>
        </w:tc>
        <w:tc>
          <w:tcPr>
            <w:tcW w:w="1750" w:type="dxa"/>
            <w:tcBorders>
              <w:top w:val="single" w:sz="8" w:space="0" w:color="365F91"/>
              <w:left w:val="single" w:sz="8" w:space="0" w:color="365F91"/>
              <w:bottom w:val="single" w:sz="8" w:space="0" w:color="365F91"/>
              <w:right w:val="single" w:sz="8" w:space="0" w:color="365F91"/>
            </w:tcBorders>
            <w:shd w:val="clear" w:color="auto" w:fill="DBE5F1"/>
            <w:hideMark/>
          </w:tcPr>
          <w:p w14:paraId="7EB28562" w14:textId="77777777" w:rsidR="00182B7B" w:rsidRPr="00937B91" w:rsidRDefault="00B442EF" w:rsidP="00C94441">
            <w:pPr>
              <w:spacing w:beforeLines="40" w:before="96" w:afterLines="40" w:after="96"/>
              <w:rPr>
                <w:rFonts w:cs="Arial"/>
                <w:b/>
                <w:color w:val="365F91"/>
                <w:sz w:val="24"/>
                <w:szCs w:val="24"/>
              </w:rPr>
            </w:pPr>
            <w:r>
              <w:rPr>
                <w:rFonts w:cs="Arial"/>
                <w:b/>
                <w:color w:val="365F91"/>
                <w:sz w:val="24"/>
                <w:szCs w:val="24"/>
              </w:rPr>
              <w:t>10</w:t>
            </w:r>
            <w:r w:rsidR="00182B7B" w:rsidRPr="00A64B4D">
              <w:rPr>
                <w:rFonts w:cs="Arial"/>
                <w:b/>
                <w:color w:val="365F91"/>
                <w:sz w:val="24"/>
                <w:szCs w:val="24"/>
              </w:rPr>
              <w:t>:</w:t>
            </w:r>
            <w:r>
              <w:rPr>
                <w:rFonts w:cs="Arial"/>
                <w:b/>
                <w:color w:val="365F91"/>
                <w:sz w:val="24"/>
                <w:szCs w:val="24"/>
              </w:rPr>
              <w:t>45</w:t>
            </w:r>
            <w:r w:rsidR="00182B7B" w:rsidRPr="00A64B4D">
              <w:rPr>
                <w:rFonts w:cs="Arial"/>
                <w:b/>
                <w:color w:val="365F91"/>
                <w:sz w:val="24"/>
                <w:szCs w:val="24"/>
              </w:rPr>
              <w:t xml:space="preserve"> – 1</w:t>
            </w:r>
            <w:r>
              <w:rPr>
                <w:rFonts w:cs="Arial"/>
                <w:b/>
                <w:color w:val="365F91"/>
                <w:sz w:val="24"/>
                <w:szCs w:val="24"/>
              </w:rPr>
              <w:t>2</w:t>
            </w:r>
            <w:r w:rsidR="00182B7B" w:rsidRPr="00A64B4D">
              <w:rPr>
                <w:rFonts w:cs="Arial"/>
                <w:b/>
                <w:color w:val="365F91"/>
                <w:sz w:val="24"/>
                <w:szCs w:val="24"/>
              </w:rPr>
              <w:t>:</w:t>
            </w:r>
            <w:r>
              <w:rPr>
                <w:rFonts w:cs="Arial"/>
                <w:b/>
                <w:color w:val="365F91"/>
                <w:sz w:val="24"/>
                <w:szCs w:val="24"/>
              </w:rPr>
              <w:t>15</w:t>
            </w:r>
            <w:r w:rsidR="00182B7B" w:rsidRPr="00A64B4D">
              <w:rPr>
                <w:rFonts w:cs="Arial"/>
                <w:b/>
                <w:color w:val="365F91"/>
                <w:sz w:val="24"/>
                <w:szCs w:val="24"/>
              </w:rPr>
              <w:t xml:space="preserve"> </w:t>
            </w:r>
          </w:p>
        </w:tc>
      </w:tr>
    </w:tbl>
    <w:p w14:paraId="13757AA8" w14:textId="76D32DB8" w:rsidR="00D316D2" w:rsidRPr="00A64B4D" w:rsidRDefault="00126A4F" w:rsidP="00543348">
      <w:pPr>
        <w:spacing w:before="140" w:after="140" w:line="240" w:lineRule="auto"/>
        <w:ind w:left="-11" w:right="0" w:firstLine="0"/>
        <w:rPr>
          <w:rFonts w:cs="Arial"/>
          <w:sz w:val="24"/>
          <w:szCs w:val="24"/>
        </w:rPr>
      </w:pPr>
      <w:r w:rsidRPr="00D00BD2">
        <w:rPr>
          <w:rFonts w:cs="Arial"/>
          <w:sz w:val="24"/>
          <w:szCs w:val="24"/>
        </w:rPr>
        <w:t>Mega</w:t>
      </w:r>
      <w:r>
        <w:rPr>
          <w:rFonts w:cs="Arial"/>
          <w:sz w:val="24"/>
          <w:szCs w:val="24"/>
        </w:rPr>
        <w:t>-</w:t>
      </w:r>
      <w:r w:rsidRPr="00D00BD2">
        <w:rPr>
          <w:rFonts w:cs="Arial"/>
          <w:sz w:val="24"/>
          <w:szCs w:val="24"/>
        </w:rPr>
        <w:t xml:space="preserve">projects have </w:t>
      </w:r>
      <w:r w:rsidR="00C8557D">
        <w:rPr>
          <w:rFonts w:cs="Arial"/>
          <w:sz w:val="24"/>
          <w:szCs w:val="24"/>
        </w:rPr>
        <w:t>both negative and positive impact</w:t>
      </w:r>
      <w:r w:rsidRPr="00D00BD2">
        <w:rPr>
          <w:rFonts w:cs="Arial"/>
          <w:sz w:val="24"/>
          <w:szCs w:val="24"/>
        </w:rPr>
        <w:t xml:space="preserve"> on the environment and the society, particularly on the human r</w:t>
      </w:r>
      <w:r w:rsidR="00C8557D">
        <w:rPr>
          <w:rFonts w:cs="Arial"/>
          <w:sz w:val="24"/>
          <w:szCs w:val="24"/>
        </w:rPr>
        <w:t>ights to water and sanitation. The</w:t>
      </w:r>
      <w:r>
        <w:rPr>
          <w:rFonts w:cs="Arial"/>
          <w:sz w:val="24"/>
          <w:szCs w:val="24"/>
        </w:rPr>
        <w:t xml:space="preserve"> analysis </w:t>
      </w:r>
      <w:r w:rsidR="00C8557D">
        <w:rPr>
          <w:rFonts w:cs="Arial"/>
          <w:sz w:val="24"/>
          <w:szCs w:val="24"/>
        </w:rPr>
        <w:t>of the impact on those rights are based on</w:t>
      </w:r>
      <w:r w:rsidRPr="00A64B4D">
        <w:rPr>
          <w:rFonts w:cs="Arial"/>
          <w:sz w:val="24"/>
          <w:szCs w:val="24"/>
        </w:rPr>
        <w:t xml:space="preserve"> the normative content of the rights to water and sanitation (quality and safety, accessibility, availability, acceptability, affordability, dignity) and relevant human rights principles (access to information, participation, equality and non-discrimination</w:t>
      </w:r>
      <w:r w:rsidR="00C94441">
        <w:rPr>
          <w:rFonts w:cs="Arial"/>
          <w:sz w:val="24"/>
          <w:szCs w:val="24"/>
        </w:rPr>
        <w:t>)</w:t>
      </w:r>
      <w:r w:rsidRPr="00A64B4D">
        <w:rPr>
          <w:rFonts w:cs="Arial"/>
          <w:sz w:val="24"/>
          <w:szCs w:val="24"/>
        </w:rPr>
        <w:t xml:space="preserve">. </w:t>
      </w:r>
      <w:r w:rsidR="0080516E">
        <w:rPr>
          <w:rFonts w:cs="Arial"/>
          <w:sz w:val="24"/>
          <w:szCs w:val="24"/>
        </w:rPr>
        <w:t>In the course of his work, t</w:t>
      </w:r>
      <w:r w:rsidR="00D316D2" w:rsidRPr="00A64B4D">
        <w:rPr>
          <w:rFonts w:cs="Arial"/>
          <w:sz w:val="24"/>
          <w:szCs w:val="24"/>
        </w:rPr>
        <w:t xml:space="preserve">he </w:t>
      </w:r>
      <w:r w:rsidR="00543348">
        <w:rPr>
          <w:rFonts w:cs="Arial"/>
          <w:sz w:val="24"/>
          <w:szCs w:val="24"/>
        </w:rPr>
        <w:t>Special Rapporteur ha</w:t>
      </w:r>
      <w:r w:rsidR="00C94441">
        <w:rPr>
          <w:rFonts w:cs="Arial"/>
          <w:sz w:val="24"/>
          <w:szCs w:val="24"/>
        </w:rPr>
        <w:t xml:space="preserve">s faced </w:t>
      </w:r>
      <w:r w:rsidR="0080516E">
        <w:rPr>
          <w:rFonts w:cs="Arial"/>
          <w:sz w:val="24"/>
          <w:szCs w:val="24"/>
        </w:rPr>
        <w:t xml:space="preserve">the following </w:t>
      </w:r>
      <w:r w:rsidR="00C94441">
        <w:rPr>
          <w:rFonts w:cs="Arial"/>
          <w:sz w:val="24"/>
          <w:szCs w:val="24"/>
        </w:rPr>
        <w:t>concerns related to mega-projects</w:t>
      </w:r>
      <w:r w:rsidR="0080516E">
        <w:rPr>
          <w:rFonts w:cs="Arial"/>
          <w:sz w:val="24"/>
          <w:szCs w:val="24"/>
        </w:rPr>
        <w:t>:</w:t>
      </w:r>
    </w:p>
    <w:p w14:paraId="1CEF2C24" w14:textId="577DA94A" w:rsidR="003A018B" w:rsidRPr="00A64B4D" w:rsidRDefault="00986241" w:rsidP="00986241">
      <w:pPr>
        <w:spacing w:before="140" w:after="140" w:line="240" w:lineRule="auto"/>
        <w:ind w:left="0" w:right="0" w:firstLine="0"/>
        <w:rPr>
          <w:rFonts w:cs="Arial"/>
          <w:b/>
          <w:color w:val="2F5496"/>
          <w:sz w:val="24"/>
          <w:szCs w:val="24"/>
        </w:rPr>
      </w:pPr>
      <w:r w:rsidRPr="00986241">
        <w:rPr>
          <w:rFonts w:cs="Arial"/>
          <w:b/>
          <w:sz w:val="24"/>
          <w:szCs w:val="24"/>
        </w:rPr>
        <w:t>Accessibility:</w:t>
      </w:r>
      <w:r>
        <w:rPr>
          <w:rFonts w:cs="Arial"/>
          <w:sz w:val="24"/>
          <w:szCs w:val="24"/>
        </w:rPr>
        <w:t xml:space="preserve"> </w:t>
      </w:r>
      <w:r w:rsidR="00D316D2" w:rsidRPr="00A64B4D">
        <w:rPr>
          <w:rFonts w:cs="Arial"/>
          <w:sz w:val="24"/>
          <w:szCs w:val="24"/>
        </w:rPr>
        <w:t>In the State of Manipur, India, communities downstream of the Thoubal multipurpose dam project could no longer rely on the river as their source of drinking water, due to the deteriorated water quality and its irregular flow caused by the dam. Therefore, they had to pay for access to the w</w:t>
      </w:r>
      <w:r w:rsidR="00C8557D">
        <w:rPr>
          <w:rFonts w:cs="Arial"/>
          <w:sz w:val="24"/>
          <w:szCs w:val="24"/>
        </w:rPr>
        <w:t>ater source of a nearby village</w:t>
      </w:r>
      <w:r w:rsidR="00D316D2" w:rsidRPr="00A64B4D">
        <w:rPr>
          <w:rFonts w:cs="Arial"/>
          <w:sz w:val="24"/>
          <w:szCs w:val="24"/>
        </w:rPr>
        <w:t xml:space="preserve"> (</w:t>
      </w:r>
      <w:hyperlink r:id="rId10" w:history="1">
        <w:r w:rsidR="00D316D2" w:rsidRPr="00A64B4D">
          <w:rPr>
            <w:rStyle w:val="Hyperlink"/>
            <w:rFonts w:cs="Arial"/>
            <w:sz w:val="24"/>
            <w:szCs w:val="24"/>
          </w:rPr>
          <w:t>A/HRC/39/55/Add.1</w:t>
        </w:r>
      </w:hyperlink>
      <w:r w:rsidR="00D316D2" w:rsidRPr="00A64B4D">
        <w:rPr>
          <w:rFonts w:cs="Arial"/>
          <w:sz w:val="24"/>
          <w:szCs w:val="24"/>
        </w:rPr>
        <w:t xml:space="preserve"> para</w:t>
      </w:r>
      <w:r w:rsidR="0080516E">
        <w:rPr>
          <w:rFonts w:cs="Arial"/>
          <w:sz w:val="24"/>
          <w:szCs w:val="24"/>
        </w:rPr>
        <w:t>.</w:t>
      </w:r>
      <w:r w:rsidR="00D316D2" w:rsidRPr="00A64B4D">
        <w:rPr>
          <w:rFonts w:cs="Arial"/>
          <w:sz w:val="24"/>
          <w:szCs w:val="24"/>
        </w:rPr>
        <w:t xml:space="preserve"> 69).</w:t>
      </w:r>
      <w:r w:rsidR="00D316D2" w:rsidRPr="00A64B4D">
        <w:rPr>
          <w:rFonts w:cs="Arial"/>
          <w:b/>
          <w:color w:val="2F5496"/>
          <w:sz w:val="24"/>
          <w:szCs w:val="24"/>
        </w:rPr>
        <w:t xml:space="preserve"> </w:t>
      </w:r>
    </w:p>
    <w:p w14:paraId="1E7D21E5" w14:textId="77777777" w:rsidR="00D316D2" w:rsidRPr="00D316D2" w:rsidRDefault="00986241" w:rsidP="009351B9">
      <w:pPr>
        <w:spacing w:before="140" w:after="140" w:line="240" w:lineRule="auto"/>
        <w:ind w:left="-11" w:right="0" w:firstLine="0"/>
        <w:rPr>
          <w:rFonts w:cs="Arial"/>
          <w:b/>
          <w:color w:val="2F5496"/>
          <w:sz w:val="24"/>
          <w:szCs w:val="24"/>
        </w:rPr>
      </w:pPr>
      <w:r w:rsidRPr="00986241">
        <w:rPr>
          <w:rFonts w:cs="Arial"/>
          <w:b/>
          <w:sz w:val="24"/>
          <w:szCs w:val="24"/>
        </w:rPr>
        <w:t>Quality:</w:t>
      </w:r>
      <w:r w:rsidRPr="00986241">
        <w:rPr>
          <w:rFonts w:cs="Arial"/>
          <w:sz w:val="24"/>
          <w:szCs w:val="24"/>
        </w:rPr>
        <w:t xml:space="preserve"> </w:t>
      </w:r>
      <w:r>
        <w:rPr>
          <w:rFonts w:cs="Arial"/>
          <w:sz w:val="24"/>
          <w:szCs w:val="24"/>
        </w:rPr>
        <w:t>I</w:t>
      </w:r>
      <w:r w:rsidR="00D316D2" w:rsidRPr="00D316D2">
        <w:rPr>
          <w:rFonts w:cs="Arial"/>
          <w:sz w:val="24"/>
          <w:szCs w:val="24"/>
        </w:rPr>
        <w:t>n Mexico, zones hosting extractive industries (oil and shale gas extraction) in Emiliano Zapata, Papantla, Veracruz State, water resources have been recurrently contaminated due to accidents or deg</w:t>
      </w:r>
      <w:r w:rsidR="0036621C">
        <w:rPr>
          <w:rFonts w:cs="Arial"/>
          <w:sz w:val="24"/>
          <w:szCs w:val="24"/>
        </w:rPr>
        <w:t>raded supply networks. Low-</w:t>
      </w:r>
      <w:r w:rsidR="00D316D2" w:rsidRPr="00D316D2">
        <w:rPr>
          <w:rFonts w:cs="Arial"/>
          <w:sz w:val="24"/>
          <w:szCs w:val="24"/>
        </w:rPr>
        <w:t>quality water, and lack of information and access to justice by</w:t>
      </w:r>
      <w:r w:rsidR="00D13D89">
        <w:rPr>
          <w:rFonts w:cs="Arial"/>
          <w:sz w:val="24"/>
          <w:szCs w:val="24"/>
        </w:rPr>
        <w:t xml:space="preserve"> populations have </w:t>
      </w:r>
      <w:r w:rsidR="003D5420">
        <w:rPr>
          <w:rFonts w:cs="Arial"/>
          <w:sz w:val="24"/>
          <w:szCs w:val="24"/>
        </w:rPr>
        <w:t xml:space="preserve">been reported </w:t>
      </w:r>
      <w:hyperlink r:id="rId11">
        <w:r w:rsidR="00D316D2" w:rsidRPr="00D316D2">
          <w:rPr>
            <w:rFonts w:cs="Arial"/>
            <w:sz w:val="24"/>
            <w:szCs w:val="24"/>
          </w:rPr>
          <w:t>(</w:t>
        </w:r>
      </w:hyperlink>
      <w:hyperlink r:id="rId12">
        <w:r w:rsidR="00D316D2" w:rsidRPr="00D316D2">
          <w:rPr>
            <w:rFonts w:cs="Arial"/>
            <w:color w:val="0563C1"/>
            <w:sz w:val="24"/>
            <w:szCs w:val="24"/>
            <w:u w:val="single" w:color="0563C1"/>
          </w:rPr>
          <w:t>A/HRC/36/45/Add.2</w:t>
        </w:r>
      </w:hyperlink>
      <w:hyperlink r:id="rId13">
        <w:r w:rsidR="00D316D2" w:rsidRPr="00D316D2">
          <w:rPr>
            <w:rFonts w:cs="Arial"/>
            <w:sz w:val="24"/>
            <w:szCs w:val="24"/>
          </w:rPr>
          <w:t xml:space="preserve"> </w:t>
        </w:r>
      </w:hyperlink>
      <w:r w:rsidR="00D316D2" w:rsidRPr="00D316D2">
        <w:rPr>
          <w:rFonts w:cs="Arial"/>
          <w:sz w:val="24"/>
          <w:szCs w:val="24"/>
        </w:rPr>
        <w:t xml:space="preserve">paras. 58 to 62 and 68). </w:t>
      </w:r>
    </w:p>
    <w:p w14:paraId="418A063D" w14:textId="77777777" w:rsidR="00C8557D" w:rsidRDefault="00C8557D" w:rsidP="00C8557D">
      <w:pPr>
        <w:spacing w:after="143"/>
        <w:ind w:left="0" w:right="0" w:firstLine="0"/>
        <w:rPr>
          <w:sz w:val="24"/>
          <w:szCs w:val="24"/>
        </w:rPr>
      </w:pPr>
      <w:r w:rsidRPr="00C8557D">
        <w:rPr>
          <w:b/>
          <w:sz w:val="24"/>
          <w:szCs w:val="24"/>
        </w:rPr>
        <w:t>Availability:</w:t>
      </w:r>
      <w:r w:rsidRPr="00C8557D">
        <w:rPr>
          <w:sz w:val="24"/>
          <w:szCs w:val="24"/>
        </w:rPr>
        <w:t xml:space="preserve"> In Tajikistan</w:t>
      </w:r>
      <w:r w:rsidR="0036621C">
        <w:rPr>
          <w:sz w:val="24"/>
          <w:szCs w:val="24"/>
        </w:rPr>
        <w:t>,</w:t>
      </w:r>
      <w:r w:rsidRPr="00C8557D">
        <w:rPr>
          <w:sz w:val="24"/>
          <w:szCs w:val="24"/>
        </w:rPr>
        <w:t xml:space="preserve"> 42,000 people were relocated due to the Roghun Dam and Hydropower Plant project. Due to the lack of planning, people living in the new settlements were lacking from insufficient amounts of wat</w:t>
      </w:r>
      <w:r w:rsidR="0036621C">
        <w:rPr>
          <w:sz w:val="24"/>
          <w:szCs w:val="24"/>
        </w:rPr>
        <w:t>er for human consumption, and w</w:t>
      </w:r>
      <w:r w:rsidRPr="00C8557D">
        <w:rPr>
          <w:sz w:val="24"/>
          <w:szCs w:val="24"/>
        </w:rPr>
        <w:t>ere sometimes forced to buy insufficient, unsafe and unaffordable water from trucks. Furthermore, resettled people had to build their own toilets</w:t>
      </w:r>
      <w:r w:rsidR="003D5420">
        <w:rPr>
          <w:sz w:val="24"/>
          <w:szCs w:val="24"/>
        </w:rPr>
        <w:t xml:space="preserve"> </w:t>
      </w:r>
      <w:hyperlink r:id="rId14">
        <w:r w:rsidRPr="00C8557D">
          <w:rPr>
            <w:sz w:val="24"/>
            <w:szCs w:val="24"/>
          </w:rPr>
          <w:t>(</w:t>
        </w:r>
      </w:hyperlink>
      <w:hyperlink r:id="rId15">
        <w:r w:rsidRPr="00C8557D">
          <w:rPr>
            <w:color w:val="0563C1"/>
            <w:sz w:val="24"/>
            <w:szCs w:val="24"/>
            <w:u w:val="single" w:color="0563C1"/>
          </w:rPr>
          <w:t>A/HRC/33/49/Add.2</w:t>
        </w:r>
      </w:hyperlink>
      <w:hyperlink r:id="rId16">
        <w:r w:rsidRPr="00C8557D">
          <w:rPr>
            <w:sz w:val="24"/>
            <w:szCs w:val="24"/>
          </w:rPr>
          <w:t xml:space="preserve"> </w:t>
        </w:r>
      </w:hyperlink>
      <w:r w:rsidR="00401960">
        <w:rPr>
          <w:sz w:val="24"/>
          <w:szCs w:val="24"/>
        </w:rPr>
        <w:t>paras. 49, 52</w:t>
      </w:r>
      <w:r w:rsidR="00543348">
        <w:rPr>
          <w:sz w:val="24"/>
          <w:szCs w:val="24"/>
        </w:rPr>
        <w:t xml:space="preserve"> </w:t>
      </w:r>
      <w:r w:rsidR="00401960">
        <w:rPr>
          <w:sz w:val="24"/>
          <w:szCs w:val="24"/>
        </w:rPr>
        <w:t>to 60</w:t>
      </w:r>
      <w:r w:rsidRPr="00C8557D">
        <w:rPr>
          <w:sz w:val="24"/>
          <w:szCs w:val="24"/>
        </w:rPr>
        <w:t xml:space="preserve">). </w:t>
      </w:r>
    </w:p>
    <w:p w14:paraId="671E26E7" w14:textId="504B2EDE" w:rsidR="00D316D2" w:rsidRPr="00C8557D" w:rsidRDefault="00C8557D" w:rsidP="00C8557D">
      <w:pPr>
        <w:spacing w:after="143"/>
        <w:ind w:left="0" w:right="0" w:firstLine="0"/>
        <w:rPr>
          <w:sz w:val="24"/>
          <w:szCs w:val="24"/>
        </w:rPr>
      </w:pPr>
      <w:r w:rsidRPr="00C8557D">
        <w:rPr>
          <w:b/>
          <w:sz w:val="24"/>
          <w:szCs w:val="24"/>
        </w:rPr>
        <w:t xml:space="preserve">Participation: </w:t>
      </w:r>
      <w:r w:rsidR="00D316D2" w:rsidRPr="00A64B4D">
        <w:rPr>
          <w:rFonts w:cs="Arial"/>
          <w:sz w:val="24"/>
          <w:szCs w:val="24"/>
        </w:rPr>
        <w:t>In the United States, an oil pipeline underneath the Lake Oahe, less than a mile away fro</w:t>
      </w:r>
      <w:r w:rsidR="006A036A">
        <w:rPr>
          <w:rFonts w:cs="Arial"/>
          <w:sz w:val="24"/>
          <w:szCs w:val="24"/>
        </w:rPr>
        <w:t>m the Standing Rock Sioux Tribe’</w:t>
      </w:r>
      <w:r w:rsidR="00D316D2" w:rsidRPr="00A64B4D">
        <w:rPr>
          <w:rFonts w:cs="Arial"/>
          <w:sz w:val="24"/>
          <w:szCs w:val="24"/>
        </w:rPr>
        <w:t>s reservation and directly upstream from their drinking water in</w:t>
      </w:r>
      <w:r w:rsidR="0080516E">
        <w:rPr>
          <w:rFonts w:cs="Arial"/>
          <w:sz w:val="24"/>
          <w:szCs w:val="24"/>
        </w:rPr>
        <w:t xml:space="preserve">take started its construction. </w:t>
      </w:r>
      <w:r w:rsidR="00D316D2" w:rsidRPr="00A64B4D">
        <w:rPr>
          <w:rFonts w:cs="Arial"/>
          <w:sz w:val="24"/>
          <w:szCs w:val="24"/>
        </w:rPr>
        <w:t>It was reported that such project was carried out without proper consultation of the Tribe and without prov</w:t>
      </w:r>
      <w:r w:rsidR="003D5420">
        <w:rPr>
          <w:rFonts w:cs="Arial"/>
          <w:sz w:val="24"/>
          <w:szCs w:val="24"/>
        </w:rPr>
        <w:t xml:space="preserve">iding them </w:t>
      </w:r>
      <w:r w:rsidR="00D13D89">
        <w:rPr>
          <w:rFonts w:cs="Arial"/>
          <w:sz w:val="24"/>
          <w:szCs w:val="24"/>
        </w:rPr>
        <w:t xml:space="preserve">with </w:t>
      </w:r>
      <w:r w:rsidR="003D5420">
        <w:rPr>
          <w:rFonts w:cs="Arial"/>
          <w:sz w:val="24"/>
          <w:szCs w:val="24"/>
        </w:rPr>
        <w:t xml:space="preserve">adequate information </w:t>
      </w:r>
      <w:r w:rsidR="00D316D2" w:rsidRPr="00A64B4D">
        <w:rPr>
          <w:rFonts w:cs="Arial"/>
          <w:sz w:val="24"/>
          <w:szCs w:val="24"/>
        </w:rPr>
        <w:t>(</w:t>
      </w:r>
      <w:hyperlink r:id="rId17">
        <w:r w:rsidR="00D316D2" w:rsidRPr="00A64B4D">
          <w:rPr>
            <w:rFonts w:cs="Arial"/>
            <w:color w:val="0563C1"/>
            <w:sz w:val="24"/>
            <w:szCs w:val="24"/>
            <w:u w:val="single" w:color="0563C1"/>
          </w:rPr>
          <w:t>UA USA 7/2016</w:t>
        </w:r>
      </w:hyperlink>
      <w:hyperlink r:id="rId18">
        <w:r w:rsidR="00D316D2" w:rsidRPr="00A64B4D">
          <w:rPr>
            <w:rFonts w:cs="Arial"/>
            <w:sz w:val="24"/>
            <w:szCs w:val="24"/>
          </w:rPr>
          <w:t>)</w:t>
        </w:r>
      </w:hyperlink>
      <w:r w:rsidR="00D316D2" w:rsidRPr="00A64B4D">
        <w:rPr>
          <w:rFonts w:cs="Arial"/>
          <w:sz w:val="24"/>
          <w:szCs w:val="24"/>
        </w:rPr>
        <w:t xml:space="preserve">.  </w:t>
      </w:r>
    </w:p>
    <w:p w14:paraId="0AC75678" w14:textId="7E76ED77" w:rsidR="00C8557D" w:rsidRPr="00C94441" w:rsidRDefault="00C8557D" w:rsidP="00C8557D">
      <w:pPr>
        <w:spacing w:after="0" w:line="240" w:lineRule="auto"/>
        <w:ind w:left="0" w:right="0" w:firstLine="0"/>
        <w:jc w:val="left"/>
        <w:rPr>
          <w:rFonts w:asciiTheme="majorHAnsi" w:eastAsia="Times New Roman" w:hAnsiTheme="majorHAnsi" w:cs="Calibri"/>
          <w:lang w:val="en-US"/>
        </w:rPr>
      </w:pPr>
      <w:r w:rsidRPr="001B2553">
        <w:rPr>
          <w:rFonts w:cs="Arial"/>
          <w:sz w:val="24"/>
          <w:szCs w:val="24"/>
          <w:u w:val="single"/>
        </w:rPr>
        <w:t xml:space="preserve">Introductory </w:t>
      </w:r>
      <w:r w:rsidR="003D5420" w:rsidRPr="001B2553">
        <w:rPr>
          <w:rFonts w:cs="Arial"/>
          <w:sz w:val="24"/>
          <w:szCs w:val="24"/>
          <w:u w:val="single"/>
        </w:rPr>
        <w:t>r</w:t>
      </w:r>
      <w:r w:rsidRPr="001B2553">
        <w:rPr>
          <w:rFonts w:cs="Arial"/>
          <w:sz w:val="24"/>
          <w:szCs w:val="24"/>
          <w:u w:val="single"/>
        </w:rPr>
        <w:t>emarks:</w:t>
      </w:r>
      <w:r w:rsidRPr="001B2553">
        <w:rPr>
          <w:rFonts w:cs="Arial"/>
          <w:sz w:val="24"/>
          <w:szCs w:val="24"/>
        </w:rPr>
        <w:t xml:space="preserve"> </w:t>
      </w:r>
      <w:r w:rsidR="00C45103" w:rsidRPr="001B2553">
        <w:rPr>
          <w:rFonts w:cs="Arial"/>
          <w:sz w:val="24"/>
          <w:szCs w:val="24"/>
        </w:rPr>
        <w:t>Seree Nonthasoot</w:t>
      </w:r>
      <w:r w:rsidR="00FE58C1">
        <w:rPr>
          <w:rFonts w:cs="Arial"/>
          <w:sz w:val="24"/>
          <w:szCs w:val="24"/>
        </w:rPr>
        <w:t xml:space="preserve"> (5 minutes)</w:t>
      </w:r>
      <w:r w:rsidR="00C45103" w:rsidRPr="001B2553">
        <w:rPr>
          <w:rFonts w:cs="Arial"/>
          <w:sz w:val="24"/>
          <w:szCs w:val="24"/>
        </w:rPr>
        <w:t>,</w:t>
      </w:r>
      <w:r w:rsidR="001D6ACA" w:rsidRPr="001B2553">
        <w:rPr>
          <w:rFonts w:cs="Arial"/>
          <w:sz w:val="24"/>
          <w:szCs w:val="24"/>
        </w:rPr>
        <w:t xml:space="preserve"> and Yosepha Aloman </w:t>
      </w:r>
      <w:r w:rsidR="00FE58C1">
        <w:rPr>
          <w:rFonts w:cs="Arial"/>
          <w:sz w:val="24"/>
          <w:szCs w:val="24"/>
        </w:rPr>
        <w:t>(5 minutes)</w:t>
      </w:r>
    </w:p>
    <w:p w14:paraId="1C4CF850" w14:textId="77777777" w:rsidR="00D316D2" w:rsidRPr="00A64B4D" w:rsidRDefault="00C8557D" w:rsidP="009351B9">
      <w:pPr>
        <w:spacing w:before="140" w:after="140" w:line="240" w:lineRule="auto"/>
        <w:ind w:left="-11" w:right="0" w:firstLine="0"/>
        <w:rPr>
          <w:rFonts w:cs="Arial"/>
          <w:sz w:val="24"/>
          <w:szCs w:val="24"/>
          <w:u w:val="single"/>
        </w:rPr>
      </w:pPr>
      <w:r>
        <w:rPr>
          <w:rFonts w:cs="Arial"/>
          <w:sz w:val="24"/>
          <w:szCs w:val="24"/>
          <w:u w:val="single"/>
        </w:rPr>
        <w:t xml:space="preserve">Guiding </w:t>
      </w:r>
      <w:r w:rsidR="003D5420">
        <w:rPr>
          <w:rFonts w:cs="Arial"/>
          <w:sz w:val="24"/>
          <w:szCs w:val="24"/>
          <w:u w:val="single"/>
        </w:rPr>
        <w:t>q</w:t>
      </w:r>
      <w:r>
        <w:rPr>
          <w:rFonts w:cs="Arial"/>
          <w:sz w:val="24"/>
          <w:szCs w:val="24"/>
          <w:u w:val="single"/>
        </w:rPr>
        <w:t>uestions for discussion:</w:t>
      </w:r>
    </w:p>
    <w:p w14:paraId="107DE862" w14:textId="77777777" w:rsidR="0080516E" w:rsidRDefault="00D316D2" w:rsidP="0080516E">
      <w:pPr>
        <w:numPr>
          <w:ilvl w:val="0"/>
          <w:numId w:val="3"/>
        </w:numPr>
        <w:spacing w:before="140" w:after="140" w:line="240" w:lineRule="auto"/>
        <w:ind w:left="346" w:right="0" w:hanging="357"/>
        <w:rPr>
          <w:rFonts w:cs="Arial"/>
          <w:sz w:val="24"/>
          <w:szCs w:val="24"/>
        </w:rPr>
      </w:pPr>
      <w:r w:rsidRPr="00543348">
        <w:rPr>
          <w:rFonts w:cs="Arial"/>
          <w:sz w:val="24"/>
          <w:szCs w:val="24"/>
        </w:rPr>
        <w:t>What are the most relevant impacts that different types of mega</w:t>
      </w:r>
      <w:r w:rsidR="00C84EAB" w:rsidRPr="00543348">
        <w:rPr>
          <w:rFonts w:cs="Arial"/>
          <w:sz w:val="24"/>
          <w:szCs w:val="24"/>
        </w:rPr>
        <w:t>-</w:t>
      </w:r>
      <w:r w:rsidRPr="00543348">
        <w:rPr>
          <w:rFonts w:cs="Arial"/>
          <w:sz w:val="24"/>
          <w:szCs w:val="24"/>
        </w:rPr>
        <w:t xml:space="preserve">projects may have on the </w:t>
      </w:r>
      <w:r w:rsidR="00B46323" w:rsidRPr="00543348">
        <w:rPr>
          <w:rFonts w:cs="Arial"/>
          <w:sz w:val="24"/>
          <w:szCs w:val="24"/>
        </w:rPr>
        <w:t xml:space="preserve">enjoyment of </w:t>
      </w:r>
      <w:r w:rsidRPr="00543348">
        <w:rPr>
          <w:rFonts w:cs="Arial"/>
          <w:sz w:val="24"/>
          <w:szCs w:val="24"/>
        </w:rPr>
        <w:t xml:space="preserve">human rights to water and sanitation in the Asia-Pacific region? </w:t>
      </w:r>
    </w:p>
    <w:p w14:paraId="2970EB5E" w14:textId="60B16509" w:rsidR="00980088" w:rsidRPr="0080516E" w:rsidRDefault="00980088" w:rsidP="0080516E">
      <w:pPr>
        <w:numPr>
          <w:ilvl w:val="0"/>
          <w:numId w:val="3"/>
        </w:numPr>
        <w:spacing w:before="140" w:after="140" w:line="240" w:lineRule="auto"/>
        <w:ind w:left="346" w:right="0" w:hanging="357"/>
        <w:rPr>
          <w:rFonts w:cs="Arial"/>
          <w:sz w:val="24"/>
          <w:szCs w:val="24"/>
        </w:rPr>
      </w:pPr>
      <w:r w:rsidRPr="0080516E">
        <w:rPr>
          <w:rFonts w:cs="Arial"/>
          <w:sz w:val="24"/>
          <w:szCs w:val="24"/>
        </w:rPr>
        <w:t>What impact</w:t>
      </w:r>
      <w:r w:rsidR="0080516E" w:rsidRPr="0080516E">
        <w:rPr>
          <w:rFonts w:cs="Arial"/>
          <w:sz w:val="24"/>
          <w:szCs w:val="24"/>
        </w:rPr>
        <w:t>s</w:t>
      </w:r>
      <w:r w:rsidRPr="0080516E">
        <w:rPr>
          <w:rFonts w:cs="Arial"/>
          <w:sz w:val="24"/>
          <w:szCs w:val="24"/>
        </w:rPr>
        <w:t xml:space="preserve"> on human rights principles are observed that will</w:t>
      </w:r>
      <w:r w:rsidR="00EA3F4F" w:rsidRPr="0080516E">
        <w:rPr>
          <w:rFonts w:cs="Arial"/>
          <w:sz w:val="24"/>
          <w:szCs w:val="24"/>
        </w:rPr>
        <w:t>,</w:t>
      </w:r>
      <w:r w:rsidRPr="0080516E">
        <w:rPr>
          <w:rFonts w:cs="Arial"/>
          <w:sz w:val="24"/>
          <w:szCs w:val="24"/>
        </w:rPr>
        <w:t xml:space="preserve"> in turn, </w:t>
      </w:r>
      <w:r w:rsidR="00543348" w:rsidRPr="0080516E">
        <w:rPr>
          <w:rFonts w:cs="Arial"/>
          <w:sz w:val="24"/>
          <w:szCs w:val="24"/>
        </w:rPr>
        <w:t>affect</w:t>
      </w:r>
      <w:r w:rsidRPr="0080516E">
        <w:rPr>
          <w:rFonts w:cs="Arial"/>
          <w:sz w:val="24"/>
          <w:szCs w:val="24"/>
        </w:rPr>
        <w:t xml:space="preserve"> the exercise of the human rights to water and sanitation?</w:t>
      </w:r>
    </w:p>
    <w:p w14:paraId="6C0249BD" w14:textId="387B3F93" w:rsidR="00D316D2" w:rsidRDefault="00D316D2" w:rsidP="009351B9">
      <w:pPr>
        <w:numPr>
          <w:ilvl w:val="0"/>
          <w:numId w:val="3"/>
        </w:numPr>
        <w:spacing w:before="140" w:after="140" w:line="240" w:lineRule="auto"/>
        <w:ind w:left="346" w:right="0" w:hanging="357"/>
        <w:rPr>
          <w:rFonts w:cs="Arial"/>
          <w:sz w:val="24"/>
          <w:szCs w:val="24"/>
        </w:rPr>
      </w:pPr>
      <w:r w:rsidRPr="00543348">
        <w:rPr>
          <w:rFonts w:cs="Arial"/>
          <w:sz w:val="24"/>
          <w:szCs w:val="24"/>
        </w:rPr>
        <w:t>Are there groups that are more likely to be affected by mega</w:t>
      </w:r>
      <w:r w:rsidR="00C84EAB" w:rsidRPr="00543348">
        <w:rPr>
          <w:rFonts w:cs="Arial"/>
          <w:sz w:val="24"/>
          <w:szCs w:val="24"/>
        </w:rPr>
        <w:t>-</w:t>
      </w:r>
      <w:r w:rsidRPr="00543348">
        <w:rPr>
          <w:rFonts w:cs="Arial"/>
          <w:sz w:val="24"/>
          <w:szCs w:val="24"/>
        </w:rPr>
        <w:t xml:space="preserve">projects and that require a specific focus in the Asia-Pacific Region? </w:t>
      </w:r>
    </w:p>
    <w:p w14:paraId="6F816699" w14:textId="77777777" w:rsidR="001D6ACA" w:rsidRPr="00980088" w:rsidRDefault="001D6ACA" w:rsidP="001D6ACA">
      <w:pPr>
        <w:pStyle w:val="ListParagraph"/>
        <w:numPr>
          <w:ilvl w:val="0"/>
          <w:numId w:val="3"/>
        </w:numPr>
        <w:spacing w:before="140" w:after="140" w:line="240" w:lineRule="auto"/>
        <w:ind w:right="0" w:hanging="360"/>
        <w:contextualSpacing w:val="0"/>
        <w:rPr>
          <w:rFonts w:cs="Arial"/>
          <w:sz w:val="24"/>
          <w:szCs w:val="24"/>
          <w:u w:val="single"/>
        </w:rPr>
      </w:pPr>
      <w:r>
        <w:rPr>
          <w:rFonts w:cs="Arial"/>
          <w:sz w:val="24"/>
          <w:szCs w:val="24"/>
        </w:rPr>
        <w:t xml:space="preserve">What challenges exist to prevent and remedy the negative impact of mega-projects on the human rights to water and sanitation? </w:t>
      </w:r>
      <w:r w:rsidRPr="00A64B4D">
        <w:rPr>
          <w:rFonts w:cs="Arial"/>
          <w:sz w:val="24"/>
          <w:szCs w:val="24"/>
        </w:rPr>
        <w:t>What are positive examples in this respect?</w:t>
      </w:r>
    </w:p>
    <w:p w14:paraId="6B42AE6F" w14:textId="1042F687" w:rsidR="001D6ACA" w:rsidRPr="0080516E" w:rsidRDefault="001D6ACA" w:rsidP="0080516E">
      <w:pPr>
        <w:pStyle w:val="ListParagraph"/>
        <w:numPr>
          <w:ilvl w:val="0"/>
          <w:numId w:val="3"/>
        </w:numPr>
        <w:spacing w:before="140" w:after="140" w:line="240" w:lineRule="auto"/>
        <w:ind w:right="0" w:hanging="360"/>
        <w:contextualSpacing w:val="0"/>
        <w:rPr>
          <w:rFonts w:cs="Arial"/>
          <w:sz w:val="24"/>
          <w:szCs w:val="24"/>
          <w:u w:val="single"/>
        </w:rPr>
      </w:pPr>
      <w:r>
        <w:rPr>
          <w:rFonts w:cs="Arial"/>
          <w:sz w:val="24"/>
          <w:szCs w:val="24"/>
        </w:rPr>
        <w:t>How do the challenges differ for different types of mega-projects? How do the challenges differ in various stages of the human rights cycle (introduced above)?</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80"/>
        <w:gridCol w:w="1746"/>
      </w:tblGrid>
      <w:tr w:rsidR="00182B7B" w:rsidRPr="00A64B4D" w14:paraId="4F978059" w14:textId="77777777" w:rsidTr="00065BF3">
        <w:tc>
          <w:tcPr>
            <w:tcW w:w="7986" w:type="dxa"/>
            <w:tcBorders>
              <w:top w:val="single" w:sz="8" w:space="0" w:color="365F91"/>
              <w:left w:val="single" w:sz="8" w:space="0" w:color="365F91"/>
              <w:bottom w:val="single" w:sz="8" w:space="0" w:color="365F91"/>
              <w:right w:val="single" w:sz="8" w:space="0" w:color="365F91"/>
            </w:tcBorders>
            <w:shd w:val="clear" w:color="auto" w:fill="FDE9D9"/>
            <w:hideMark/>
          </w:tcPr>
          <w:p w14:paraId="2ED3DAA3" w14:textId="77777777" w:rsidR="00182B7B" w:rsidRPr="00A64B4D" w:rsidRDefault="00182B7B" w:rsidP="00C94441">
            <w:pPr>
              <w:spacing w:beforeLines="40" w:before="96" w:afterLines="40" w:after="96"/>
              <w:rPr>
                <w:rFonts w:cs="Arial"/>
                <w:b/>
                <w:color w:val="365F91"/>
                <w:sz w:val="24"/>
                <w:szCs w:val="24"/>
              </w:rPr>
            </w:pPr>
            <w:r>
              <w:rPr>
                <w:rFonts w:cs="Arial"/>
                <w:b/>
                <w:color w:val="365F91"/>
                <w:sz w:val="24"/>
                <w:szCs w:val="24"/>
              </w:rPr>
              <w:t>Lunch break</w:t>
            </w:r>
          </w:p>
        </w:tc>
        <w:tc>
          <w:tcPr>
            <w:tcW w:w="1746" w:type="dxa"/>
            <w:tcBorders>
              <w:top w:val="single" w:sz="8" w:space="0" w:color="365F91"/>
              <w:left w:val="single" w:sz="8" w:space="0" w:color="365F91"/>
              <w:bottom w:val="single" w:sz="8" w:space="0" w:color="365F91"/>
              <w:right w:val="single" w:sz="8" w:space="0" w:color="365F91"/>
            </w:tcBorders>
            <w:shd w:val="clear" w:color="auto" w:fill="FDE9D9"/>
            <w:hideMark/>
          </w:tcPr>
          <w:p w14:paraId="1077662D" w14:textId="77777777" w:rsidR="00182B7B" w:rsidRPr="00A64B4D" w:rsidRDefault="00182B7B" w:rsidP="00C94441">
            <w:pPr>
              <w:spacing w:beforeLines="40" w:before="96" w:afterLines="40" w:after="96"/>
              <w:rPr>
                <w:rFonts w:cs="Arial"/>
                <w:b/>
                <w:color w:val="365F91"/>
                <w:sz w:val="24"/>
                <w:szCs w:val="24"/>
                <w:u w:val="single"/>
              </w:rPr>
            </w:pPr>
            <w:r w:rsidRPr="00A64B4D">
              <w:rPr>
                <w:rFonts w:cs="Arial"/>
                <w:b/>
                <w:color w:val="365F91"/>
                <w:sz w:val="24"/>
                <w:szCs w:val="24"/>
              </w:rPr>
              <w:t>1</w:t>
            </w:r>
            <w:r>
              <w:rPr>
                <w:rFonts w:cs="Arial"/>
                <w:b/>
                <w:color w:val="365F91"/>
                <w:sz w:val="24"/>
                <w:szCs w:val="24"/>
              </w:rPr>
              <w:t>2</w:t>
            </w:r>
            <w:r w:rsidRPr="00A64B4D">
              <w:rPr>
                <w:rFonts w:cs="Arial"/>
                <w:b/>
                <w:color w:val="365F91"/>
                <w:sz w:val="24"/>
                <w:szCs w:val="24"/>
              </w:rPr>
              <w:t>:</w:t>
            </w:r>
            <w:r>
              <w:rPr>
                <w:rFonts w:cs="Arial"/>
                <w:b/>
                <w:color w:val="365F91"/>
                <w:sz w:val="24"/>
                <w:szCs w:val="24"/>
              </w:rPr>
              <w:t>15</w:t>
            </w:r>
            <w:r w:rsidRPr="00A64B4D">
              <w:rPr>
                <w:rFonts w:cs="Arial"/>
                <w:b/>
                <w:color w:val="365F91"/>
                <w:sz w:val="24"/>
                <w:szCs w:val="24"/>
              </w:rPr>
              <w:t xml:space="preserve"> – 1</w:t>
            </w:r>
            <w:r>
              <w:rPr>
                <w:rFonts w:cs="Arial"/>
                <w:b/>
                <w:color w:val="365F91"/>
                <w:sz w:val="24"/>
                <w:szCs w:val="24"/>
              </w:rPr>
              <w:t>4</w:t>
            </w:r>
            <w:r w:rsidRPr="00A64B4D">
              <w:rPr>
                <w:rFonts w:cs="Arial"/>
                <w:b/>
                <w:color w:val="365F91"/>
                <w:sz w:val="24"/>
                <w:szCs w:val="24"/>
              </w:rPr>
              <w:t>:</w:t>
            </w:r>
            <w:r>
              <w:rPr>
                <w:rFonts w:cs="Arial"/>
                <w:b/>
                <w:color w:val="365F91"/>
                <w:sz w:val="24"/>
                <w:szCs w:val="24"/>
              </w:rPr>
              <w:t>00</w:t>
            </w:r>
          </w:p>
        </w:tc>
      </w:tr>
    </w:tbl>
    <w:p w14:paraId="2E8095C7" w14:textId="77777777" w:rsidR="00980088" w:rsidRPr="009D6BDF" w:rsidRDefault="00980088" w:rsidP="00076E10">
      <w:pPr>
        <w:spacing w:before="140" w:after="140" w:line="240" w:lineRule="auto"/>
        <w:ind w:left="0" w:right="0" w:firstLine="0"/>
        <w:rPr>
          <w:rFonts w:cs="Arial"/>
          <w:sz w:val="6"/>
          <w:szCs w:val="6"/>
        </w:rPr>
      </w:pP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76"/>
        <w:gridCol w:w="1750"/>
      </w:tblGrid>
      <w:tr w:rsidR="001D13F3" w:rsidRPr="005F2486" w14:paraId="41248BFD" w14:textId="77777777" w:rsidTr="00980088">
        <w:tc>
          <w:tcPr>
            <w:tcW w:w="7982" w:type="dxa"/>
            <w:tcBorders>
              <w:top w:val="single" w:sz="8" w:space="0" w:color="365F91"/>
              <w:left w:val="single" w:sz="8" w:space="0" w:color="365F91"/>
              <w:bottom w:val="single" w:sz="8" w:space="0" w:color="365F91"/>
              <w:right w:val="single" w:sz="8" w:space="0" w:color="365F91"/>
            </w:tcBorders>
            <w:shd w:val="clear" w:color="auto" w:fill="DBE5F1"/>
            <w:hideMark/>
          </w:tcPr>
          <w:p w14:paraId="15FEC425" w14:textId="77777777" w:rsidR="001D13F3" w:rsidRPr="00A64B4D" w:rsidRDefault="001D13F3" w:rsidP="00C94441">
            <w:pPr>
              <w:spacing w:beforeLines="40" w:before="96" w:afterLines="40" w:after="96"/>
              <w:rPr>
                <w:rFonts w:cs="Arial"/>
                <w:b/>
                <w:color w:val="365F91"/>
                <w:sz w:val="24"/>
                <w:szCs w:val="24"/>
              </w:rPr>
            </w:pPr>
            <w:r w:rsidRPr="00A64B4D">
              <w:rPr>
                <w:rFonts w:cs="Arial"/>
                <w:b/>
                <w:color w:val="365F91"/>
                <w:sz w:val="24"/>
                <w:szCs w:val="24"/>
              </w:rPr>
              <w:lastRenderedPageBreak/>
              <w:t xml:space="preserve">SESSION </w:t>
            </w:r>
            <w:r w:rsidR="00A73D2B">
              <w:rPr>
                <w:rFonts w:cs="Arial"/>
                <w:b/>
                <w:color w:val="365F91"/>
                <w:sz w:val="24"/>
                <w:szCs w:val="24"/>
              </w:rPr>
              <w:t>3</w:t>
            </w:r>
            <w:r w:rsidRPr="00A64B4D">
              <w:rPr>
                <w:rFonts w:cs="Arial"/>
                <w:b/>
                <w:color w:val="365F91"/>
                <w:sz w:val="24"/>
                <w:szCs w:val="24"/>
              </w:rPr>
              <w:t xml:space="preserve">: </w:t>
            </w:r>
            <w:r w:rsidR="00AE7618">
              <w:rPr>
                <w:rFonts w:cs="Arial"/>
                <w:b/>
                <w:color w:val="365F91"/>
                <w:sz w:val="24"/>
                <w:szCs w:val="24"/>
              </w:rPr>
              <w:t>Role</w:t>
            </w:r>
            <w:r w:rsidR="00401960">
              <w:rPr>
                <w:rFonts w:cs="Arial"/>
                <w:b/>
                <w:color w:val="365F91"/>
                <w:sz w:val="24"/>
                <w:szCs w:val="24"/>
              </w:rPr>
              <w:t>s</w:t>
            </w:r>
            <w:r w:rsidR="00AE7618">
              <w:rPr>
                <w:rFonts w:cs="Arial"/>
                <w:b/>
                <w:color w:val="365F91"/>
                <w:sz w:val="24"/>
                <w:szCs w:val="24"/>
              </w:rPr>
              <w:t xml:space="preserve"> of actors and c</w:t>
            </w:r>
            <w:r w:rsidRPr="00A64B4D">
              <w:rPr>
                <w:rFonts w:cs="Arial"/>
                <w:b/>
                <w:color w:val="365F91"/>
                <w:sz w:val="24"/>
                <w:szCs w:val="24"/>
              </w:rPr>
              <w:t xml:space="preserve">hallenges </w:t>
            </w:r>
          </w:p>
        </w:tc>
        <w:tc>
          <w:tcPr>
            <w:tcW w:w="1750" w:type="dxa"/>
            <w:tcBorders>
              <w:top w:val="single" w:sz="8" w:space="0" w:color="365F91"/>
              <w:left w:val="single" w:sz="8" w:space="0" w:color="365F91"/>
              <w:bottom w:val="single" w:sz="8" w:space="0" w:color="365F91"/>
              <w:right w:val="single" w:sz="8" w:space="0" w:color="365F91"/>
            </w:tcBorders>
            <w:shd w:val="clear" w:color="auto" w:fill="DBE5F1"/>
            <w:hideMark/>
          </w:tcPr>
          <w:p w14:paraId="69B7898B" w14:textId="77777777" w:rsidR="001D13F3" w:rsidRPr="00A64B4D" w:rsidRDefault="00A601FD" w:rsidP="00C94441">
            <w:pPr>
              <w:spacing w:beforeLines="40" w:before="96" w:afterLines="40" w:after="96"/>
              <w:rPr>
                <w:rFonts w:cs="Arial"/>
                <w:b/>
                <w:color w:val="365F91"/>
                <w:sz w:val="24"/>
                <w:szCs w:val="24"/>
                <w:u w:val="single"/>
              </w:rPr>
            </w:pPr>
            <w:r w:rsidRPr="00A64B4D">
              <w:rPr>
                <w:rFonts w:cs="Arial"/>
                <w:b/>
                <w:color w:val="365F91"/>
                <w:sz w:val="24"/>
                <w:szCs w:val="24"/>
              </w:rPr>
              <w:t>1</w:t>
            </w:r>
            <w:r w:rsidR="00182B7B">
              <w:rPr>
                <w:rFonts w:cs="Arial"/>
                <w:b/>
                <w:color w:val="365F91"/>
                <w:sz w:val="24"/>
                <w:szCs w:val="24"/>
              </w:rPr>
              <w:t>4</w:t>
            </w:r>
            <w:r w:rsidRPr="00A64B4D">
              <w:rPr>
                <w:rFonts w:cs="Arial"/>
                <w:b/>
                <w:color w:val="365F91"/>
                <w:sz w:val="24"/>
                <w:szCs w:val="24"/>
              </w:rPr>
              <w:t>:</w:t>
            </w:r>
            <w:r w:rsidR="00182B7B">
              <w:rPr>
                <w:rFonts w:cs="Arial"/>
                <w:b/>
                <w:color w:val="365F91"/>
                <w:sz w:val="24"/>
                <w:szCs w:val="24"/>
              </w:rPr>
              <w:t>00</w:t>
            </w:r>
            <w:r w:rsidR="001D13F3" w:rsidRPr="00A64B4D">
              <w:rPr>
                <w:rFonts w:cs="Arial"/>
                <w:b/>
                <w:color w:val="365F91"/>
                <w:sz w:val="24"/>
                <w:szCs w:val="24"/>
              </w:rPr>
              <w:t xml:space="preserve"> – 1</w:t>
            </w:r>
            <w:r w:rsidR="00182B7B">
              <w:rPr>
                <w:rFonts w:cs="Arial"/>
                <w:b/>
                <w:color w:val="365F91"/>
                <w:sz w:val="24"/>
                <w:szCs w:val="24"/>
              </w:rPr>
              <w:t>5</w:t>
            </w:r>
            <w:r w:rsidR="001D13F3" w:rsidRPr="00A64B4D">
              <w:rPr>
                <w:rFonts w:cs="Arial"/>
                <w:b/>
                <w:color w:val="365F91"/>
                <w:sz w:val="24"/>
                <w:szCs w:val="24"/>
              </w:rPr>
              <w:t>:</w:t>
            </w:r>
            <w:r w:rsidR="00182B7B">
              <w:rPr>
                <w:rFonts w:cs="Arial"/>
                <w:b/>
                <w:color w:val="365F91"/>
                <w:sz w:val="24"/>
                <w:szCs w:val="24"/>
              </w:rPr>
              <w:t>30</w:t>
            </w:r>
            <w:r w:rsidR="001D13F3" w:rsidRPr="00A64B4D">
              <w:rPr>
                <w:rFonts w:cs="Arial"/>
                <w:b/>
                <w:color w:val="365F91"/>
                <w:sz w:val="24"/>
                <w:szCs w:val="24"/>
              </w:rPr>
              <w:t xml:space="preserve">      </w:t>
            </w:r>
          </w:p>
        </w:tc>
      </w:tr>
    </w:tbl>
    <w:p w14:paraId="321B315E" w14:textId="77C8B83E" w:rsidR="00AE7618" w:rsidRDefault="00AE7618" w:rsidP="009D6BDF">
      <w:pPr>
        <w:spacing w:before="140" w:after="140" w:line="240" w:lineRule="auto"/>
        <w:ind w:left="-11" w:right="0" w:firstLine="0"/>
        <w:rPr>
          <w:rFonts w:cs="Arial"/>
          <w:sz w:val="24"/>
          <w:szCs w:val="24"/>
        </w:rPr>
      </w:pPr>
      <w:r>
        <w:rPr>
          <w:rFonts w:cs="Arial"/>
          <w:sz w:val="24"/>
          <w:szCs w:val="24"/>
        </w:rPr>
        <w:t>There are many</w:t>
      </w:r>
      <w:r w:rsidRPr="00AE7618">
        <w:rPr>
          <w:rFonts w:cs="Arial"/>
          <w:sz w:val="24"/>
          <w:szCs w:val="24"/>
        </w:rPr>
        <w:t xml:space="preserve"> actors</w:t>
      </w:r>
      <w:r w:rsidR="00543348">
        <w:rPr>
          <w:rFonts w:cs="Arial"/>
          <w:sz w:val="24"/>
          <w:szCs w:val="24"/>
        </w:rPr>
        <w:t xml:space="preserve"> involved in mega-projects and they </w:t>
      </w:r>
      <w:r w:rsidR="003D5420">
        <w:rPr>
          <w:rFonts w:cs="Arial"/>
          <w:sz w:val="24"/>
          <w:szCs w:val="24"/>
        </w:rPr>
        <w:t>bear</w:t>
      </w:r>
      <w:r w:rsidRPr="00AE7618">
        <w:rPr>
          <w:rFonts w:cs="Arial"/>
          <w:sz w:val="24"/>
          <w:szCs w:val="24"/>
        </w:rPr>
        <w:t xml:space="preserve"> human rights responsibilities or obligations for the impact</w:t>
      </w:r>
      <w:r w:rsidR="003D5420">
        <w:rPr>
          <w:rFonts w:cs="Arial"/>
          <w:sz w:val="24"/>
          <w:szCs w:val="24"/>
        </w:rPr>
        <w:t xml:space="preserve"> mega-projects</w:t>
      </w:r>
      <w:r w:rsidRPr="00AE7618">
        <w:rPr>
          <w:rFonts w:cs="Arial"/>
          <w:sz w:val="24"/>
          <w:szCs w:val="24"/>
        </w:rPr>
        <w:t xml:space="preserve"> have on the human rights to water and sanitation. These actors may be States and public authorities (e.g. central, regional and local authorities, publicly owned </w:t>
      </w:r>
      <w:r w:rsidR="003D5420">
        <w:rPr>
          <w:rFonts w:cs="Arial"/>
          <w:sz w:val="24"/>
          <w:szCs w:val="24"/>
        </w:rPr>
        <w:t>corporations, regulators), non-</w:t>
      </w:r>
      <w:r w:rsidRPr="00AE7618">
        <w:rPr>
          <w:rFonts w:cs="Arial"/>
          <w:sz w:val="24"/>
          <w:szCs w:val="24"/>
        </w:rPr>
        <w:t xml:space="preserve">State private actors (e.g. companies, groups, transnational companies, outsourced corporations), or </w:t>
      </w:r>
      <w:r w:rsidR="00EA3F4F">
        <w:rPr>
          <w:rFonts w:cs="Arial"/>
          <w:sz w:val="24"/>
          <w:szCs w:val="24"/>
        </w:rPr>
        <w:t>multilateral and bilateral</w:t>
      </w:r>
      <w:r w:rsidR="003D5420">
        <w:rPr>
          <w:rFonts w:cs="Arial"/>
          <w:sz w:val="24"/>
          <w:szCs w:val="24"/>
        </w:rPr>
        <w:t xml:space="preserve"> funders.</w:t>
      </w:r>
      <w:r w:rsidRPr="00AE7618">
        <w:rPr>
          <w:rFonts w:cs="Arial"/>
          <w:sz w:val="24"/>
          <w:szCs w:val="24"/>
        </w:rPr>
        <w:t xml:space="preserve"> </w:t>
      </w:r>
    </w:p>
    <w:p w14:paraId="5691CA72" w14:textId="7DC74822" w:rsidR="003F0091" w:rsidRDefault="003F0091" w:rsidP="003F0091">
      <w:pPr>
        <w:spacing w:before="140" w:after="140" w:line="240" w:lineRule="auto"/>
        <w:ind w:left="0" w:right="0" w:firstLine="0"/>
        <w:rPr>
          <w:rFonts w:cs="Arial"/>
          <w:sz w:val="24"/>
          <w:szCs w:val="24"/>
        </w:rPr>
      </w:pPr>
      <w:r>
        <w:rPr>
          <w:rFonts w:cs="Arial"/>
          <w:sz w:val="24"/>
          <w:szCs w:val="24"/>
        </w:rPr>
        <w:t xml:space="preserve">Throughout the stages of the “human rights cycle of mega-projects”, several challenges exist to realize the human rights to water and sanitation. These include, among others, </w:t>
      </w:r>
      <w:r w:rsidRPr="001B2553">
        <w:rPr>
          <w:rFonts w:cs="Arial"/>
          <w:sz w:val="24"/>
          <w:szCs w:val="24"/>
        </w:rPr>
        <w:t>corruption practices; imbalance of power between companies and affected populations; lack of transparency on the information related to project</w:t>
      </w:r>
      <w:r>
        <w:rPr>
          <w:rFonts w:cs="Arial"/>
          <w:sz w:val="24"/>
          <w:szCs w:val="24"/>
        </w:rPr>
        <w:t>s</w:t>
      </w:r>
      <w:r w:rsidRPr="001B2553">
        <w:rPr>
          <w:rFonts w:cs="Arial"/>
          <w:sz w:val="24"/>
          <w:szCs w:val="24"/>
        </w:rPr>
        <w:t xml:space="preserve">; inadequate participatory spaces; difficulties in demonstrating the health impacts of mega-projects; violence or criminalization against affected population; lack of access to justice or to reparation mechanisms by affected populations; </w:t>
      </w:r>
      <w:r>
        <w:rPr>
          <w:rFonts w:cs="Arial"/>
          <w:sz w:val="24"/>
          <w:szCs w:val="24"/>
        </w:rPr>
        <w:t xml:space="preserve">and </w:t>
      </w:r>
      <w:r w:rsidRPr="001B2553">
        <w:rPr>
          <w:rFonts w:cs="Arial"/>
          <w:sz w:val="24"/>
          <w:szCs w:val="24"/>
        </w:rPr>
        <w:t>weak normative frameworks and regulation.</w:t>
      </w:r>
    </w:p>
    <w:p w14:paraId="0084143D" w14:textId="748CD98C" w:rsidR="003F0091" w:rsidRDefault="003F0091" w:rsidP="003F0091">
      <w:pPr>
        <w:spacing w:before="140" w:after="140" w:line="240" w:lineRule="auto"/>
        <w:ind w:left="0" w:right="0" w:firstLine="0"/>
        <w:rPr>
          <w:rFonts w:cs="Arial"/>
          <w:sz w:val="24"/>
          <w:szCs w:val="24"/>
        </w:rPr>
      </w:pPr>
      <w:r>
        <w:rPr>
          <w:rFonts w:cs="Arial"/>
          <w:sz w:val="24"/>
          <w:szCs w:val="24"/>
        </w:rPr>
        <w:t>In this connection, the Special Rapporteur emphasizes that the accountability must be upheld and reiterates the accountability framework introduced in his report (</w:t>
      </w:r>
      <w:hyperlink r:id="rId19" w:history="1">
        <w:r w:rsidRPr="003F0091">
          <w:rPr>
            <w:rStyle w:val="Hyperlink"/>
            <w:rFonts w:cs="Arial"/>
            <w:sz w:val="24"/>
            <w:szCs w:val="24"/>
          </w:rPr>
          <w:t>A/73/162</w:t>
        </w:r>
      </w:hyperlink>
      <w:r>
        <w:rPr>
          <w:rFonts w:cs="Arial"/>
          <w:sz w:val="24"/>
          <w:szCs w:val="24"/>
        </w:rPr>
        <w:t xml:space="preserve">): </w:t>
      </w:r>
    </w:p>
    <w:p w14:paraId="24CB17EE" w14:textId="77777777" w:rsidR="00920792" w:rsidRDefault="00920792" w:rsidP="00920792">
      <w:pPr>
        <w:spacing w:before="140" w:after="140" w:line="240" w:lineRule="auto"/>
        <w:ind w:left="0" w:right="0" w:firstLine="0"/>
        <w:rPr>
          <w:rFonts w:cs="Arial"/>
          <w:sz w:val="24"/>
          <w:szCs w:val="24"/>
        </w:rPr>
      </w:pPr>
      <w:r>
        <w:rPr>
          <w:rFonts w:cs="Arial"/>
          <w:sz w:val="24"/>
          <w:szCs w:val="24"/>
        </w:rPr>
        <w:t>First, t</w:t>
      </w:r>
      <w:r w:rsidRPr="003F0091">
        <w:rPr>
          <w:rFonts w:cs="Arial"/>
          <w:sz w:val="24"/>
          <w:szCs w:val="24"/>
        </w:rPr>
        <w:t xml:space="preserve">he adequate implementation of accountability requires a clear definition of who is accountable, who may hold actors accountable and what actors must be accountable for. Affected populations can hold States and other accountable actors to account for failing to adhere to predetermined performance standards or to comply with human rights obligations. </w:t>
      </w:r>
    </w:p>
    <w:p w14:paraId="1E61D6D6" w14:textId="77777777" w:rsidR="00920792" w:rsidRDefault="00920792" w:rsidP="00920792">
      <w:pPr>
        <w:spacing w:before="140" w:after="140" w:line="240" w:lineRule="auto"/>
        <w:ind w:left="0" w:right="0" w:firstLine="0"/>
        <w:rPr>
          <w:rFonts w:cs="Arial"/>
          <w:sz w:val="24"/>
          <w:szCs w:val="24"/>
        </w:rPr>
      </w:pPr>
      <w:r>
        <w:rPr>
          <w:rFonts w:cs="Arial"/>
          <w:sz w:val="24"/>
          <w:szCs w:val="24"/>
        </w:rPr>
        <w:t>Second, t</w:t>
      </w:r>
      <w:r w:rsidRPr="003F0091">
        <w:rPr>
          <w:rFonts w:cs="Arial"/>
          <w:sz w:val="24"/>
          <w:szCs w:val="24"/>
        </w:rPr>
        <w:t xml:space="preserve">he provision of proper explanations and justification requires that States and other accountable actors be able to answer questions and give the information requested. </w:t>
      </w:r>
    </w:p>
    <w:p w14:paraId="2A7B8D43" w14:textId="2382441D" w:rsidR="00920792" w:rsidRDefault="00920792" w:rsidP="00920792">
      <w:pPr>
        <w:spacing w:before="140" w:after="140" w:line="240" w:lineRule="auto"/>
        <w:ind w:left="0" w:right="0" w:firstLine="0"/>
        <w:rPr>
          <w:rFonts w:cs="Arial"/>
          <w:sz w:val="24"/>
          <w:szCs w:val="24"/>
        </w:rPr>
      </w:pPr>
      <w:r w:rsidRPr="003F0091">
        <w:rPr>
          <w:rFonts w:cs="Arial"/>
          <w:sz w:val="24"/>
          <w:szCs w:val="24"/>
        </w:rPr>
        <w:t>Third, enforceability is critical to ensure accountability by imposing sanctions and remedial actions for violations and abuses by different actors. This is preceded by a process whereby bodies and mechanisms oversee actors’ compliance trough performance standards that should be in line with human rights</w:t>
      </w:r>
      <w:r>
        <w:rPr>
          <w:rFonts w:cs="Arial"/>
          <w:sz w:val="24"/>
          <w:szCs w:val="24"/>
        </w:rPr>
        <w:t xml:space="preserve">. Judicial, </w:t>
      </w:r>
      <w:r w:rsidRPr="003F0091">
        <w:rPr>
          <w:rFonts w:cs="Arial"/>
          <w:sz w:val="24"/>
          <w:szCs w:val="24"/>
        </w:rPr>
        <w:t xml:space="preserve">quasi-judicial </w:t>
      </w:r>
      <w:r>
        <w:rPr>
          <w:rFonts w:cs="Arial"/>
          <w:sz w:val="24"/>
          <w:szCs w:val="24"/>
        </w:rPr>
        <w:t>and other accountability mechanisms need</w:t>
      </w:r>
      <w:r w:rsidRPr="003F0091">
        <w:rPr>
          <w:rFonts w:cs="Arial"/>
          <w:sz w:val="24"/>
          <w:szCs w:val="24"/>
        </w:rPr>
        <w:t xml:space="preserve"> to be complemented by an enabling environment that empowers the affected populations to lodge claims and that builds</w:t>
      </w:r>
      <w:r>
        <w:rPr>
          <w:rFonts w:cs="Arial"/>
          <w:sz w:val="24"/>
          <w:szCs w:val="24"/>
        </w:rPr>
        <w:t xml:space="preserve"> trust and effectiveness in the </w:t>
      </w:r>
      <w:r w:rsidRPr="003F0091">
        <w:rPr>
          <w:rFonts w:cs="Arial"/>
          <w:sz w:val="24"/>
          <w:szCs w:val="24"/>
        </w:rPr>
        <w:t>mechanisms</w:t>
      </w:r>
      <w:r>
        <w:rPr>
          <w:rFonts w:cs="Arial"/>
          <w:sz w:val="24"/>
          <w:szCs w:val="24"/>
        </w:rPr>
        <w:t>.</w:t>
      </w:r>
    </w:p>
    <w:p w14:paraId="041E9E36" w14:textId="0C616CFB" w:rsidR="003D5420" w:rsidRPr="0080516E" w:rsidRDefault="003D5420" w:rsidP="003D5420">
      <w:pPr>
        <w:spacing w:before="140" w:after="140" w:line="240" w:lineRule="auto"/>
        <w:ind w:left="-11" w:right="0" w:firstLine="0"/>
        <w:rPr>
          <w:rFonts w:cs="Arial"/>
          <w:sz w:val="24"/>
          <w:szCs w:val="24"/>
        </w:rPr>
      </w:pPr>
      <w:r w:rsidRPr="001B2553">
        <w:rPr>
          <w:rFonts w:cs="Arial"/>
          <w:sz w:val="24"/>
          <w:szCs w:val="24"/>
          <w:u w:val="single"/>
        </w:rPr>
        <w:t xml:space="preserve">Introductory </w:t>
      </w:r>
      <w:r w:rsidRPr="0080516E">
        <w:rPr>
          <w:rFonts w:cs="Arial"/>
          <w:sz w:val="24"/>
          <w:szCs w:val="24"/>
          <w:u w:val="single"/>
        </w:rPr>
        <w:t>Remarks:</w:t>
      </w:r>
      <w:r w:rsidRPr="0080516E">
        <w:rPr>
          <w:rFonts w:cs="Arial"/>
          <w:sz w:val="24"/>
          <w:szCs w:val="24"/>
        </w:rPr>
        <w:t xml:space="preserve"> Ming Chee Ang </w:t>
      </w:r>
      <w:r w:rsidR="00FE58C1">
        <w:rPr>
          <w:rFonts w:cs="Arial"/>
          <w:sz w:val="24"/>
          <w:szCs w:val="24"/>
        </w:rPr>
        <w:t xml:space="preserve">(5 minutes) </w:t>
      </w:r>
      <w:r w:rsidRPr="0080516E">
        <w:rPr>
          <w:rFonts w:cs="Arial"/>
          <w:sz w:val="24"/>
          <w:szCs w:val="24"/>
        </w:rPr>
        <w:t>and Scott Hawken</w:t>
      </w:r>
      <w:r w:rsidR="00FE58C1">
        <w:rPr>
          <w:rFonts w:cs="Arial"/>
          <w:sz w:val="24"/>
          <w:szCs w:val="24"/>
        </w:rPr>
        <w:t xml:space="preserve"> (5 minutes)</w:t>
      </w:r>
    </w:p>
    <w:p w14:paraId="25A82209" w14:textId="77777777" w:rsidR="003D5420" w:rsidRPr="0080516E" w:rsidRDefault="003D5420" w:rsidP="003D5420">
      <w:pPr>
        <w:spacing w:before="140" w:after="140" w:line="240" w:lineRule="auto"/>
        <w:ind w:left="0" w:right="0" w:firstLine="0"/>
        <w:rPr>
          <w:rFonts w:cs="Arial"/>
          <w:sz w:val="24"/>
          <w:szCs w:val="24"/>
          <w:u w:val="single"/>
        </w:rPr>
      </w:pPr>
      <w:r w:rsidRPr="0080516E">
        <w:rPr>
          <w:rFonts w:cs="Arial"/>
          <w:sz w:val="24"/>
          <w:szCs w:val="24"/>
          <w:u w:val="single"/>
        </w:rPr>
        <w:t>Guiding questions for discussion:</w:t>
      </w:r>
    </w:p>
    <w:p w14:paraId="3E2E7163" w14:textId="269D9224" w:rsidR="009D6BDF" w:rsidRPr="0080516E" w:rsidRDefault="00FE79EF" w:rsidP="00980088">
      <w:pPr>
        <w:pStyle w:val="ListParagraph"/>
        <w:numPr>
          <w:ilvl w:val="0"/>
          <w:numId w:val="13"/>
        </w:numPr>
        <w:spacing w:before="140" w:after="140" w:line="240" w:lineRule="auto"/>
        <w:ind w:left="346" w:right="0" w:hanging="357"/>
        <w:contextualSpacing w:val="0"/>
        <w:rPr>
          <w:rFonts w:cs="Arial"/>
          <w:sz w:val="24"/>
          <w:szCs w:val="24"/>
          <w:u w:val="single"/>
        </w:rPr>
      </w:pPr>
      <w:r w:rsidRPr="0080516E">
        <w:rPr>
          <w:rFonts w:cs="Arial"/>
          <w:sz w:val="24"/>
          <w:szCs w:val="24"/>
        </w:rPr>
        <w:t xml:space="preserve">How </w:t>
      </w:r>
      <w:r w:rsidR="0080516E" w:rsidRPr="0080516E">
        <w:rPr>
          <w:rFonts w:cs="Arial"/>
          <w:sz w:val="24"/>
          <w:szCs w:val="24"/>
        </w:rPr>
        <w:t xml:space="preserve">has </w:t>
      </w:r>
      <w:r w:rsidRPr="0080516E">
        <w:rPr>
          <w:rFonts w:cs="Arial"/>
          <w:sz w:val="24"/>
          <w:szCs w:val="24"/>
        </w:rPr>
        <w:t xml:space="preserve">the roles of actors </w:t>
      </w:r>
      <w:r w:rsidR="00980088" w:rsidRPr="0080516E">
        <w:rPr>
          <w:rFonts w:cs="Arial"/>
          <w:sz w:val="24"/>
          <w:szCs w:val="24"/>
        </w:rPr>
        <w:t xml:space="preserve">in the Asia-Pacific </w:t>
      </w:r>
      <w:r w:rsidR="0080516E" w:rsidRPr="0080516E">
        <w:rPr>
          <w:rFonts w:cs="Arial"/>
          <w:sz w:val="24"/>
          <w:szCs w:val="24"/>
        </w:rPr>
        <w:t>region related to mega-projects</w:t>
      </w:r>
      <w:r w:rsidR="00980088" w:rsidRPr="0080516E">
        <w:rPr>
          <w:rFonts w:cs="Arial"/>
          <w:sz w:val="24"/>
          <w:szCs w:val="24"/>
        </w:rPr>
        <w:t xml:space="preserve"> hinder</w:t>
      </w:r>
      <w:r w:rsidRPr="0080516E">
        <w:rPr>
          <w:rFonts w:cs="Arial"/>
          <w:sz w:val="24"/>
          <w:szCs w:val="24"/>
        </w:rPr>
        <w:t>ed</w:t>
      </w:r>
      <w:r w:rsidR="00980088" w:rsidRPr="0080516E">
        <w:rPr>
          <w:rFonts w:cs="Arial"/>
          <w:sz w:val="24"/>
          <w:szCs w:val="24"/>
        </w:rPr>
        <w:t xml:space="preserve"> the enjoyment of the rights to water and sanitat</w:t>
      </w:r>
      <w:r w:rsidR="00AE7618" w:rsidRPr="0080516E">
        <w:rPr>
          <w:rFonts w:cs="Arial"/>
          <w:sz w:val="24"/>
          <w:szCs w:val="24"/>
        </w:rPr>
        <w:t>ion by the affected population?</w:t>
      </w:r>
    </w:p>
    <w:p w14:paraId="16C0ACB2" w14:textId="51CFC49B" w:rsidR="003D5420" w:rsidRDefault="003D5420" w:rsidP="003D5420">
      <w:pPr>
        <w:pStyle w:val="ListParagraph"/>
        <w:numPr>
          <w:ilvl w:val="0"/>
          <w:numId w:val="13"/>
        </w:numPr>
        <w:spacing w:before="140" w:after="140" w:line="240" w:lineRule="auto"/>
        <w:ind w:left="346" w:right="0" w:hanging="357"/>
        <w:contextualSpacing w:val="0"/>
        <w:rPr>
          <w:rFonts w:cs="Arial"/>
          <w:sz w:val="24"/>
          <w:szCs w:val="24"/>
          <w:u w:val="single"/>
        </w:rPr>
      </w:pPr>
      <w:r w:rsidRPr="0080516E">
        <w:rPr>
          <w:rFonts w:cs="Arial"/>
          <w:sz w:val="24"/>
          <w:szCs w:val="24"/>
        </w:rPr>
        <w:t>What challenges exist for the relevant actors to implement their human rights obligations and responsibilities throughout</w:t>
      </w:r>
      <w:r>
        <w:rPr>
          <w:rFonts w:cs="Arial"/>
          <w:sz w:val="24"/>
          <w:szCs w:val="24"/>
        </w:rPr>
        <w:t xml:space="preserve"> the stages of the human rights cycle of mega-projects (introduced above)</w:t>
      </w:r>
      <w:r w:rsidRPr="00210E8C">
        <w:rPr>
          <w:rFonts w:cs="Arial"/>
          <w:sz w:val="24"/>
          <w:szCs w:val="24"/>
        </w:rPr>
        <w:t>? How have these challenges been addressed and overcome, if any?</w:t>
      </w:r>
      <w:r w:rsidRPr="00210E8C">
        <w:rPr>
          <w:rFonts w:cs="Arial"/>
          <w:sz w:val="24"/>
          <w:szCs w:val="24"/>
          <w:u w:val="single"/>
        </w:rPr>
        <w:t xml:space="preserve"> </w:t>
      </w:r>
    </w:p>
    <w:p w14:paraId="4D67B7FC" w14:textId="77777777" w:rsidR="001D6ACA" w:rsidRPr="00A64B4D" w:rsidRDefault="001D6ACA" w:rsidP="001D6ACA">
      <w:pPr>
        <w:pStyle w:val="ListParagraph"/>
        <w:numPr>
          <w:ilvl w:val="0"/>
          <w:numId w:val="13"/>
        </w:numPr>
        <w:spacing w:before="140" w:after="140" w:line="240" w:lineRule="auto"/>
        <w:ind w:right="0"/>
        <w:contextualSpacing w:val="0"/>
        <w:rPr>
          <w:rFonts w:eastAsiaTheme="minorEastAsia" w:cs="CIDFont+F1"/>
          <w:color w:val="auto"/>
          <w:sz w:val="24"/>
          <w:szCs w:val="24"/>
        </w:rPr>
      </w:pPr>
      <w:r w:rsidRPr="00A64B4D">
        <w:rPr>
          <w:rFonts w:cs="Arial"/>
          <w:sz w:val="24"/>
          <w:szCs w:val="24"/>
        </w:rPr>
        <w:t xml:space="preserve">What </w:t>
      </w:r>
      <w:r>
        <w:rPr>
          <w:rFonts w:cs="Arial"/>
          <w:sz w:val="24"/>
          <w:szCs w:val="24"/>
        </w:rPr>
        <w:t>are some</w:t>
      </w:r>
      <w:r w:rsidRPr="00A64B4D">
        <w:rPr>
          <w:rFonts w:cs="Arial"/>
          <w:sz w:val="24"/>
          <w:szCs w:val="24"/>
        </w:rPr>
        <w:t xml:space="preserve"> successful cases or elements to </w:t>
      </w:r>
      <w:r>
        <w:rPr>
          <w:rFonts w:cs="Arial"/>
          <w:sz w:val="24"/>
          <w:szCs w:val="24"/>
        </w:rPr>
        <w:t xml:space="preserve">prevent and </w:t>
      </w:r>
      <w:r w:rsidRPr="00A64B4D">
        <w:rPr>
          <w:rFonts w:cs="Arial"/>
          <w:sz w:val="24"/>
          <w:szCs w:val="24"/>
        </w:rPr>
        <w:t xml:space="preserve">redress harm </w:t>
      </w:r>
      <w:r>
        <w:rPr>
          <w:rFonts w:cs="Arial"/>
          <w:sz w:val="24"/>
          <w:szCs w:val="24"/>
        </w:rPr>
        <w:t>and/</w:t>
      </w:r>
      <w:r w:rsidRPr="00A64B4D">
        <w:rPr>
          <w:rFonts w:cs="Arial"/>
          <w:sz w:val="24"/>
          <w:szCs w:val="24"/>
        </w:rPr>
        <w:t>or reduce power imbalances between affected populations and actors behind mega</w:t>
      </w:r>
      <w:r>
        <w:rPr>
          <w:rFonts w:cs="Arial"/>
          <w:sz w:val="24"/>
          <w:szCs w:val="24"/>
        </w:rPr>
        <w:t>-</w:t>
      </w:r>
      <w:r w:rsidRPr="00A64B4D">
        <w:rPr>
          <w:rFonts w:cs="Arial"/>
          <w:sz w:val="24"/>
          <w:szCs w:val="24"/>
        </w:rPr>
        <w:t>projects?</w:t>
      </w:r>
    </w:p>
    <w:p w14:paraId="1F0A1CE2" w14:textId="04ABFB62" w:rsidR="001D6ACA" w:rsidRPr="00920792" w:rsidRDefault="001D6ACA" w:rsidP="001D6ACA">
      <w:pPr>
        <w:pStyle w:val="ListParagraph"/>
        <w:numPr>
          <w:ilvl w:val="0"/>
          <w:numId w:val="13"/>
        </w:numPr>
        <w:spacing w:before="140" w:after="140" w:line="240" w:lineRule="auto"/>
        <w:ind w:right="0"/>
        <w:contextualSpacing w:val="0"/>
        <w:rPr>
          <w:rFonts w:eastAsiaTheme="minorEastAsia" w:cs="CIDFont+F1"/>
          <w:color w:val="auto"/>
          <w:sz w:val="24"/>
          <w:szCs w:val="24"/>
        </w:rPr>
      </w:pPr>
      <w:r w:rsidRPr="00A64B4D">
        <w:rPr>
          <w:rFonts w:cs="Arial"/>
          <w:sz w:val="24"/>
          <w:szCs w:val="24"/>
        </w:rPr>
        <w:t>Which measures should be adopted</w:t>
      </w:r>
      <w:r>
        <w:rPr>
          <w:rFonts w:cs="Arial"/>
          <w:sz w:val="24"/>
          <w:szCs w:val="24"/>
        </w:rPr>
        <w:t xml:space="preserve"> by relevant actors</w:t>
      </w:r>
      <w:r w:rsidRPr="00A64B4D">
        <w:rPr>
          <w:rFonts w:cs="Arial"/>
          <w:sz w:val="24"/>
          <w:szCs w:val="24"/>
        </w:rPr>
        <w:t xml:space="preserve"> to </w:t>
      </w:r>
      <w:r>
        <w:rPr>
          <w:rFonts w:cs="Arial"/>
          <w:sz w:val="24"/>
          <w:szCs w:val="24"/>
        </w:rPr>
        <w:t xml:space="preserve">ensure </w:t>
      </w:r>
      <w:r w:rsidRPr="00F1757F">
        <w:rPr>
          <w:rFonts w:cs="Arial"/>
          <w:sz w:val="24"/>
          <w:szCs w:val="24"/>
        </w:rPr>
        <w:t>that mega-projects respect, protect, and fulfil</w:t>
      </w:r>
      <w:r>
        <w:rPr>
          <w:rFonts w:cs="Arial"/>
          <w:sz w:val="24"/>
          <w:szCs w:val="24"/>
        </w:rPr>
        <w:t>l</w:t>
      </w:r>
      <w:r w:rsidRPr="00F1757F">
        <w:rPr>
          <w:rFonts w:cs="Arial"/>
          <w:sz w:val="24"/>
          <w:szCs w:val="24"/>
        </w:rPr>
        <w:t xml:space="preserve"> the human rights to water and sanitation and other interrelated rights? </w:t>
      </w:r>
    </w:p>
    <w:p w14:paraId="54D790CD" w14:textId="548B3CF7" w:rsidR="00920792" w:rsidRPr="00920792" w:rsidRDefault="00920792" w:rsidP="00920792">
      <w:pPr>
        <w:pStyle w:val="ListParagraph"/>
        <w:numPr>
          <w:ilvl w:val="0"/>
          <w:numId w:val="13"/>
        </w:numPr>
        <w:spacing w:before="140" w:after="140" w:line="240" w:lineRule="auto"/>
        <w:ind w:right="0"/>
        <w:contextualSpacing w:val="0"/>
        <w:rPr>
          <w:rFonts w:eastAsiaTheme="minorEastAsia" w:cs="CIDFont+F1"/>
          <w:color w:val="auto"/>
          <w:sz w:val="24"/>
          <w:szCs w:val="24"/>
        </w:rPr>
      </w:pPr>
      <w:r w:rsidRPr="00210E8C">
        <w:rPr>
          <w:rFonts w:cs="Arial"/>
          <w:sz w:val="24"/>
          <w:szCs w:val="24"/>
        </w:rPr>
        <w:t>What are the strengths and weaknesses of the existing human rights framework and accountability mechanisms – at the regional and national level – that safeguards the human rights to water and sanitation from the impacts of activities related to mega</w:t>
      </w:r>
      <w:r>
        <w:rPr>
          <w:rFonts w:cs="Arial"/>
          <w:sz w:val="24"/>
          <w:szCs w:val="24"/>
        </w:rPr>
        <w:t>-</w:t>
      </w:r>
      <w:r w:rsidRPr="00210E8C">
        <w:rPr>
          <w:rFonts w:cs="Arial"/>
          <w:sz w:val="24"/>
          <w:szCs w:val="24"/>
        </w:rPr>
        <w:t>projects?</w:t>
      </w:r>
    </w:p>
    <w:tbl>
      <w:tblPr>
        <w:tblW w:w="9771"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017"/>
        <w:gridCol w:w="1754"/>
      </w:tblGrid>
      <w:tr w:rsidR="00717426" w:rsidRPr="005F2486" w14:paraId="653E17A2" w14:textId="77777777" w:rsidTr="00B01AC5">
        <w:tc>
          <w:tcPr>
            <w:tcW w:w="8017" w:type="dxa"/>
            <w:tcBorders>
              <w:top w:val="single" w:sz="8" w:space="0" w:color="365F91"/>
              <w:left w:val="single" w:sz="8" w:space="0" w:color="365F91"/>
              <w:bottom w:val="single" w:sz="8" w:space="0" w:color="365F91"/>
              <w:right w:val="single" w:sz="8" w:space="0" w:color="365F91"/>
            </w:tcBorders>
            <w:shd w:val="clear" w:color="auto" w:fill="FDE9D9"/>
            <w:hideMark/>
          </w:tcPr>
          <w:p w14:paraId="7F563448" w14:textId="77777777" w:rsidR="00717426" w:rsidRPr="00A64B4D" w:rsidRDefault="00717426" w:rsidP="00C94441">
            <w:pPr>
              <w:spacing w:beforeLines="40" w:before="96" w:afterLines="40" w:after="96"/>
              <w:rPr>
                <w:rFonts w:cs="Arial"/>
                <w:b/>
                <w:color w:val="365F91"/>
                <w:sz w:val="24"/>
                <w:szCs w:val="24"/>
              </w:rPr>
            </w:pPr>
            <w:r w:rsidRPr="00A64B4D">
              <w:rPr>
                <w:rFonts w:cs="Arial"/>
                <w:b/>
                <w:color w:val="365F91"/>
                <w:sz w:val="24"/>
                <w:szCs w:val="24"/>
              </w:rPr>
              <w:lastRenderedPageBreak/>
              <w:t>Coff</w:t>
            </w:r>
            <w:r w:rsidRPr="0080516E">
              <w:rPr>
                <w:rFonts w:cs="Arial"/>
                <w:b/>
                <w:color w:val="365F91"/>
                <w:sz w:val="24"/>
                <w:szCs w:val="24"/>
              </w:rPr>
              <w:t>ee Break</w:t>
            </w:r>
            <w:r w:rsidRPr="00A64B4D">
              <w:rPr>
                <w:rFonts w:cs="Arial"/>
                <w:b/>
                <w:color w:val="365F91"/>
                <w:sz w:val="24"/>
                <w:szCs w:val="24"/>
              </w:rPr>
              <w:t xml:space="preserve"> </w:t>
            </w:r>
          </w:p>
        </w:tc>
        <w:tc>
          <w:tcPr>
            <w:tcW w:w="1754" w:type="dxa"/>
            <w:tcBorders>
              <w:top w:val="single" w:sz="8" w:space="0" w:color="365F91"/>
              <w:left w:val="single" w:sz="8" w:space="0" w:color="365F91"/>
              <w:bottom w:val="single" w:sz="8" w:space="0" w:color="365F91"/>
              <w:right w:val="single" w:sz="8" w:space="0" w:color="365F91"/>
            </w:tcBorders>
            <w:shd w:val="clear" w:color="auto" w:fill="FDE9D9"/>
            <w:hideMark/>
          </w:tcPr>
          <w:p w14:paraId="2920AA9D" w14:textId="77777777" w:rsidR="00717426" w:rsidRPr="0080516E" w:rsidRDefault="00717426" w:rsidP="00C94441">
            <w:pPr>
              <w:spacing w:beforeLines="40" w:before="96" w:afterLines="40" w:after="96"/>
              <w:ind w:hanging="329"/>
              <w:rPr>
                <w:rFonts w:cs="Arial"/>
                <w:b/>
                <w:color w:val="365F91"/>
                <w:sz w:val="24"/>
                <w:szCs w:val="24"/>
              </w:rPr>
            </w:pPr>
            <w:r w:rsidRPr="00A64B4D">
              <w:rPr>
                <w:rFonts w:cs="Arial"/>
                <w:b/>
                <w:color w:val="365F91"/>
                <w:sz w:val="24"/>
                <w:szCs w:val="24"/>
              </w:rPr>
              <w:t>1</w:t>
            </w:r>
            <w:r w:rsidR="009C69CF">
              <w:rPr>
                <w:rFonts w:cs="Arial"/>
                <w:b/>
                <w:color w:val="365F91"/>
                <w:sz w:val="24"/>
                <w:szCs w:val="24"/>
              </w:rPr>
              <w:t>5</w:t>
            </w:r>
            <w:r w:rsidRPr="00A64B4D">
              <w:rPr>
                <w:rFonts w:cs="Arial"/>
                <w:b/>
                <w:color w:val="365F91"/>
                <w:sz w:val="24"/>
                <w:szCs w:val="24"/>
              </w:rPr>
              <w:t>:</w:t>
            </w:r>
            <w:r w:rsidR="009C69CF">
              <w:rPr>
                <w:rFonts w:cs="Arial"/>
                <w:b/>
                <w:color w:val="365F91"/>
                <w:sz w:val="24"/>
                <w:szCs w:val="24"/>
              </w:rPr>
              <w:t>30</w:t>
            </w:r>
            <w:r w:rsidR="00065BF3">
              <w:rPr>
                <w:rFonts w:cs="Arial"/>
                <w:b/>
                <w:color w:val="365F91"/>
                <w:sz w:val="24"/>
                <w:szCs w:val="24"/>
              </w:rPr>
              <w:t xml:space="preserve"> </w:t>
            </w:r>
            <w:r w:rsidRPr="00A64B4D">
              <w:rPr>
                <w:rFonts w:cs="Arial"/>
                <w:b/>
                <w:color w:val="365F91"/>
                <w:sz w:val="24"/>
                <w:szCs w:val="24"/>
              </w:rPr>
              <w:t>– 1</w:t>
            </w:r>
            <w:r w:rsidR="009C69CF">
              <w:rPr>
                <w:rFonts w:cs="Arial"/>
                <w:b/>
                <w:color w:val="365F91"/>
                <w:sz w:val="24"/>
                <w:szCs w:val="24"/>
              </w:rPr>
              <w:t>5</w:t>
            </w:r>
            <w:r w:rsidRPr="00A64B4D">
              <w:rPr>
                <w:rFonts w:cs="Arial"/>
                <w:b/>
                <w:color w:val="365F91"/>
                <w:sz w:val="24"/>
                <w:szCs w:val="24"/>
              </w:rPr>
              <w:t>:</w:t>
            </w:r>
            <w:r w:rsidR="009C69CF">
              <w:rPr>
                <w:rFonts w:cs="Arial"/>
                <w:b/>
                <w:color w:val="365F91"/>
                <w:sz w:val="24"/>
                <w:szCs w:val="24"/>
              </w:rPr>
              <w:t>45</w:t>
            </w:r>
          </w:p>
        </w:tc>
      </w:tr>
    </w:tbl>
    <w:p w14:paraId="1A1D9073" w14:textId="77777777" w:rsidR="00B26355" w:rsidRDefault="00B26355" w:rsidP="004D6ACC">
      <w:pPr>
        <w:ind w:left="0" w:firstLine="0"/>
      </w:pPr>
    </w:p>
    <w:tbl>
      <w:tblPr>
        <w:tblW w:w="9771"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8017"/>
        <w:gridCol w:w="1754"/>
      </w:tblGrid>
      <w:tr w:rsidR="00717426" w:rsidRPr="005F2486" w14:paraId="31D8B660" w14:textId="77777777" w:rsidTr="00B26355">
        <w:tc>
          <w:tcPr>
            <w:tcW w:w="8017" w:type="dxa"/>
            <w:tcBorders>
              <w:top w:val="single" w:sz="8" w:space="0" w:color="365F91"/>
              <w:left w:val="single" w:sz="8" w:space="0" w:color="365F91"/>
              <w:bottom w:val="single" w:sz="8" w:space="0" w:color="365F91"/>
              <w:right w:val="single" w:sz="8" w:space="0" w:color="365F91"/>
            </w:tcBorders>
            <w:shd w:val="clear" w:color="auto" w:fill="DBE5F1"/>
            <w:hideMark/>
          </w:tcPr>
          <w:p w14:paraId="7B3B4325" w14:textId="77777777" w:rsidR="00717426" w:rsidRPr="00A64B4D" w:rsidRDefault="00717426" w:rsidP="00C94441">
            <w:pPr>
              <w:spacing w:beforeLines="40" w:before="96" w:afterLines="40" w:after="96"/>
              <w:rPr>
                <w:rFonts w:cs="Arial"/>
                <w:b/>
                <w:color w:val="365F91"/>
                <w:sz w:val="24"/>
                <w:szCs w:val="24"/>
              </w:rPr>
            </w:pPr>
            <w:r w:rsidRPr="00A64B4D">
              <w:rPr>
                <w:rFonts w:cs="Arial"/>
                <w:b/>
                <w:color w:val="365F91"/>
                <w:sz w:val="24"/>
                <w:szCs w:val="24"/>
              </w:rPr>
              <w:t xml:space="preserve">SESSION 4: </w:t>
            </w:r>
            <w:r w:rsidR="00137A75" w:rsidRPr="00A64B4D">
              <w:rPr>
                <w:rFonts w:cs="Arial"/>
                <w:b/>
                <w:color w:val="365F91"/>
                <w:sz w:val="24"/>
                <w:szCs w:val="24"/>
              </w:rPr>
              <w:t xml:space="preserve">Way forward </w:t>
            </w:r>
          </w:p>
        </w:tc>
        <w:tc>
          <w:tcPr>
            <w:tcW w:w="1754" w:type="dxa"/>
            <w:tcBorders>
              <w:top w:val="single" w:sz="8" w:space="0" w:color="365F91"/>
              <w:left w:val="single" w:sz="8" w:space="0" w:color="365F91"/>
              <w:bottom w:val="single" w:sz="8" w:space="0" w:color="365F91"/>
              <w:right w:val="single" w:sz="8" w:space="0" w:color="365F91"/>
            </w:tcBorders>
            <w:shd w:val="clear" w:color="auto" w:fill="DBE5F1"/>
            <w:hideMark/>
          </w:tcPr>
          <w:p w14:paraId="2B8BEB90" w14:textId="77777777" w:rsidR="00717426" w:rsidRPr="0080516E" w:rsidRDefault="00717426" w:rsidP="00C94441">
            <w:pPr>
              <w:spacing w:beforeLines="40" w:before="96" w:afterLines="40" w:after="96"/>
              <w:rPr>
                <w:rFonts w:cs="Arial"/>
                <w:b/>
                <w:color w:val="365F91"/>
                <w:sz w:val="24"/>
                <w:szCs w:val="24"/>
              </w:rPr>
            </w:pPr>
            <w:r w:rsidRPr="00A64B4D">
              <w:rPr>
                <w:rFonts w:cs="Arial"/>
                <w:b/>
                <w:color w:val="365F91"/>
                <w:sz w:val="24"/>
                <w:szCs w:val="24"/>
              </w:rPr>
              <w:t>1</w:t>
            </w:r>
            <w:r w:rsidR="009C69CF">
              <w:rPr>
                <w:rFonts w:cs="Arial"/>
                <w:b/>
                <w:color w:val="365F91"/>
                <w:sz w:val="24"/>
                <w:szCs w:val="24"/>
              </w:rPr>
              <w:t>5:45</w:t>
            </w:r>
            <w:r w:rsidRPr="00A64B4D">
              <w:rPr>
                <w:rFonts w:cs="Arial"/>
                <w:b/>
                <w:color w:val="365F91"/>
                <w:sz w:val="24"/>
                <w:szCs w:val="24"/>
              </w:rPr>
              <w:t xml:space="preserve"> – 1</w:t>
            </w:r>
            <w:r w:rsidR="009C69CF">
              <w:rPr>
                <w:rFonts w:cs="Arial"/>
                <w:b/>
                <w:color w:val="365F91"/>
                <w:sz w:val="24"/>
                <w:szCs w:val="24"/>
              </w:rPr>
              <w:t>7</w:t>
            </w:r>
            <w:r w:rsidRPr="00A64B4D">
              <w:rPr>
                <w:rFonts w:cs="Arial"/>
                <w:b/>
                <w:color w:val="365F91"/>
                <w:sz w:val="24"/>
                <w:szCs w:val="24"/>
              </w:rPr>
              <w:t>:</w:t>
            </w:r>
            <w:r w:rsidR="0006515A">
              <w:rPr>
                <w:rFonts w:cs="Arial"/>
                <w:b/>
                <w:color w:val="365F91"/>
                <w:sz w:val="24"/>
                <w:szCs w:val="24"/>
              </w:rPr>
              <w:t>30</w:t>
            </w:r>
            <w:r w:rsidRPr="00A64B4D">
              <w:rPr>
                <w:rFonts w:cs="Arial"/>
                <w:b/>
                <w:color w:val="365F91"/>
                <w:sz w:val="24"/>
                <w:szCs w:val="24"/>
              </w:rPr>
              <w:t xml:space="preserve">      </w:t>
            </w:r>
          </w:p>
        </w:tc>
      </w:tr>
    </w:tbl>
    <w:p w14:paraId="61D94A27" w14:textId="77777777" w:rsidR="009D6BDF" w:rsidRPr="001B2553" w:rsidRDefault="00B167F7" w:rsidP="009D6BDF">
      <w:pPr>
        <w:spacing w:before="140" w:after="140" w:line="240" w:lineRule="auto"/>
        <w:ind w:left="-11" w:right="0" w:firstLine="0"/>
        <w:rPr>
          <w:rFonts w:cs="Arial"/>
          <w:sz w:val="24"/>
          <w:szCs w:val="24"/>
        </w:rPr>
      </w:pPr>
      <w:r w:rsidRPr="00A64B4D">
        <w:rPr>
          <w:rFonts w:cs="Arial"/>
          <w:sz w:val="24"/>
          <w:szCs w:val="24"/>
        </w:rPr>
        <w:t>The issue of how mega</w:t>
      </w:r>
      <w:r w:rsidR="00C84EAB">
        <w:rPr>
          <w:rFonts w:cs="Arial"/>
          <w:sz w:val="24"/>
          <w:szCs w:val="24"/>
        </w:rPr>
        <w:t>-</w:t>
      </w:r>
      <w:r w:rsidRPr="00A64B4D">
        <w:rPr>
          <w:rFonts w:cs="Arial"/>
          <w:sz w:val="24"/>
          <w:szCs w:val="24"/>
        </w:rPr>
        <w:t xml:space="preserve">projects affect human rights </w:t>
      </w:r>
      <w:r w:rsidR="00F84A5D" w:rsidRPr="00A64B4D">
        <w:rPr>
          <w:rFonts w:cs="Arial"/>
          <w:sz w:val="24"/>
          <w:szCs w:val="24"/>
        </w:rPr>
        <w:t xml:space="preserve">in general and particularly the human rights to water and sanitation </w:t>
      </w:r>
      <w:r w:rsidRPr="00A64B4D">
        <w:rPr>
          <w:rFonts w:cs="Arial"/>
          <w:sz w:val="24"/>
          <w:szCs w:val="24"/>
        </w:rPr>
        <w:t>has been addressed by different organisations</w:t>
      </w:r>
      <w:r w:rsidR="00DA1546" w:rsidRPr="00A64B4D">
        <w:rPr>
          <w:rFonts w:cs="Arial"/>
          <w:sz w:val="24"/>
          <w:szCs w:val="24"/>
        </w:rPr>
        <w:t>,</w:t>
      </w:r>
      <w:r w:rsidR="00F1757F">
        <w:rPr>
          <w:rFonts w:cs="Arial"/>
          <w:sz w:val="24"/>
          <w:szCs w:val="24"/>
        </w:rPr>
        <w:t xml:space="preserve"> researchers and</w:t>
      </w:r>
      <w:r w:rsidRPr="00A64B4D">
        <w:rPr>
          <w:rFonts w:cs="Arial"/>
          <w:sz w:val="24"/>
          <w:szCs w:val="24"/>
        </w:rPr>
        <w:t xml:space="preserve"> other </w:t>
      </w:r>
      <w:r w:rsidR="00F1757F">
        <w:rPr>
          <w:rFonts w:cs="Arial"/>
          <w:sz w:val="24"/>
          <w:szCs w:val="24"/>
        </w:rPr>
        <w:t xml:space="preserve">UN Special Procedures </w:t>
      </w:r>
      <w:r w:rsidRPr="00A64B4D">
        <w:rPr>
          <w:rFonts w:cs="Arial"/>
          <w:sz w:val="24"/>
          <w:szCs w:val="24"/>
        </w:rPr>
        <w:t xml:space="preserve">mandates. </w:t>
      </w:r>
      <w:r w:rsidR="009D6BDF">
        <w:rPr>
          <w:rFonts w:cs="Arial"/>
          <w:sz w:val="24"/>
          <w:szCs w:val="24"/>
        </w:rPr>
        <w:t>Several measures</w:t>
      </w:r>
      <w:r w:rsidRPr="00A64B4D">
        <w:rPr>
          <w:rFonts w:cs="Arial"/>
          <w:sz w:val="24"/>
          <w:szCs w:val="24"/>
        </w:rPr>
        <w:t xml:space="preserve"> </w:t>
      </w:r>
      <w:r w:rsidR="004D6ACC">
        <w:rPr>
          <w:rFonts w:cs="Arial"/>
          <w:sz w:val="24"/>
          <w:szCs w:val="24"/>
        </w:rPr>
        <w:t>are</w:t>
      </w:r>
      <w:r w:rsidRPr="00A64B4D">
        <w:rPr>
          <w:rFonts w:cs="Arial"/>
          <w:sz w:val="24"/>
          <w:szCs w:val="24"/>
        </w:rPr>
        <w:t xml:space="preserve"> put forward </w:t>
      </w:r>
      <w:r w:rsidR="00B510D7" w:rsidRPr="00A64B4D">
        <w:rPr>
          <w:rFonts w:cs="Arial"/>
          <w:sz w:val="24"/>
          <w:szCs w:val="24"/>
        </w:rPr>
        <w:t>for a better compliance of mega</w:t>
      </w:r>
      <w:r w:rsidR="00C84EAB">
        <w:rPr>
          <w:rFonts w:cs="Arial"/>
          <w:sz w:val="24"/>
          <w:szCs w:val="24"/>
        </w:rPr>
        <w:t>-</w:t>
      </w:r>
      <w:r w:rsidR="00B510D7" w:rsidRPr="00A64B4D">
        <w:rPr>
          <w:rFonts w:cs="Arial"/>
          <w:sz w:val="24"/>
          <w:szCs w:val="24"/>
        </w:rPr>
        <w:t xml:space="preserve">projects </w:t>
      </w:r>
      <w:r w:rsidR="00F84A5D" w:rsidRPr="00A64B4D">
        <w:rPr>
          <w:rFonts w:cs="Arial"/>
          <w:sz w:val="24"/>
          <w:szCs w:val="24"/>
        </w:rPr>
        <w:t xml:space="preserve">in accordance </w:t>
      </w:r>
      <w:r w:rsidR="00B510D7" w:rsidRPr="00A64B4D">
        <w:rPr>
          <w:rFonts w:cs="Arial"/>
          <w:sz w:val="24"/>
          <w:szCs w:val="24"/>
        </w:rPr>
        <w:t>with human rights</w:t>
      </w:r>
      <w:r w:rsidR="00F84A5D" w:rsidRPr="00A64B4D">
        <w:rPr>
          <w:rFonts w:cs="Arial"/>
          <w:sz w:val="24"/>
          <w:szCs w:val="24"/>
        </w:rPr>
        <w:t xml:space="preserve"> standards</w:t>
      </w:r>
      <w:r w:rsidR="009D6BDF">
        <w:rPr>
          <w:rFonts w:cs="Arial"/>
          <w:sz w:val="24"/>
          <w:szCs w:val="24"/>
        </w:rPr>
        <w:t>.</w:t>
      </w:r>
      <w:r w:rsidR="00210E8C" w:rsidRPr="00A64B4D">
        <w:rPr>
          <w:rStyle w:val="FootnoteReference"/>
          <w:rFonts w:cs="Arial"/>
          <w:sz w:val="24"/>
          <w:szCs w:val="24"/>
        </w:rPr>
        <w:footnoteReference w:id="4"/>
      </w:r>
      <w:r w:rsidR="009D6BDF">
        <w:rPr>
          <w:rFonts w:cs="Arial"/>
          <w:sz w:val="24"/>
          <w:szCs w:val="24"/>
        </w:rPr>
        <w:t xml:space="preserve"> These include, among others, ensuring that project selection and design </w:t>
      </w:r>
      <w:r w:rsidR="009D6BDF" w:rsidRPr="001B2553">
        <w:rPr>
          <w:rFonts w:cs="Arial"/>
          <w:sz w:val="24"/>
          <w:szCs w:val="24"/>
        </w:rPr>
        <w:t>are in line with international human rights and environmental standards, develop policy and institutional frameworks to enhance disclosure of information and to improve transparency, participation and accountability in mega-project.</w:t>
      </w:r>
    </w:p>
    <w:p w14:paraId="67FEACBB" w14:textId="2958027E" w:rsidR="003D5420" w:rsidRPr="001B2553" w:rsidRDefault="003D5420" w:rsidP="003D5420">
      <w:pPr>
        <w:spacing w:after="0" w:line="240" w:lineRule="auto"/>
        <w:ind w:left="0" w:right="0" w:firstLine="0"/>
        <w:jc w:val="left"/>
        <w:rPr>
          <w:rFonts w:cs="Arial"/>
          <w:sz w:val="24"/>
          <w:szCs w:val="24"/>
        </w:rPr>
      </w:pPr>
      <w:r w:rsidRPr="001B2553">
        <w:rPr>
          <w:rFonts w:cs="Arial"/>
          <w:sz w:val="24"/>
          <w:szCs w:val="24"/>
          <w:u w:val="single"/>
        </w:rPr>
        <w:t xml:space="preserve">Introductory remarks: </w:t>
      </w:r>
      <w:r w:rsidRPr="001B2553">
        <w:rPr>
          <w:rFonts w:asciiTheme="majorHAnsi" w:eastAsia="Times New Roman" w:hAnsiTheme="majorHAnsi" w:cs="Calibri"/>
          <w:lang w:val="en-US"/>
        </w:rPr>
        <w:t xml:space="preserve"> </w:t>
      </w:r>
      <w:r w:rsidRPr="001B2553">
        <w:rPr>
          <w:rFonts w:cs="Arial"/>
          <w:sz w:val="24"/>
          <w:szCs w:val="24"/>
        </w:rPr>
        <w:t xml:space="preserve">Vicky Taulicorpuz </w:t>
      </w:r>
      <w:r w:rsidR="00FE58C1">
        <w:rPr>
          <w:rFonts w:cs="Arial"/>
          <w:sz w:val="24"/>
          <w:szCs w:val="24"/>
        </w:rPr>
        <w:t xml:space="preserve">(5 minutes) </w:t>
      </w:r>
      <w:r w:rsidRPr="001B2553">
        <w:rPr>
          <w:rFonts w:cs="Arial"/>
          <w:sz w:val="24"/>
          <w:szCs w:val="24"/>
        </w:rPr>
        <w:t>and Cynthia Gabriel</w:t>
      </w:r>
      <w:r w:rsidR="00FE58C1">
        <w:rPr>
          <w:rFonts w:cs="Arial"/>
          <w:sz w:val="24"/>
          <w:szCs w:val="24"/>
        </w:rPr>
        <w:t xml:space="preserve"> (5 minutes)</w:t>
      </w:r>
    </w:p>
    <w:p w14:paraId="303577B9" w14:textId="77777777" w:rsidR="00436140" w:rsidRPr="00A64B4D" w:rsidRDefault="003D5420" w:rsidP="003D5420">
      <w:pPr>
        <w:spacing w:before="140" w:after="140" w:line="240" w:lineRule="auto"/>
        <w:ind w:left="-11" w:right="0" w:firstLine="0"/>
        <w:rPr>
          <w:rFonts w:cs="Arial"/>
          <w:sz w:val="24"/>
          <w:szCs w:val="24"/>
          <w:u w:val="single"/>
        </w:rPr>
      </w:pPr>
      <w:r w:rsidRPr="001B2553">
        <w:rPr>
          <w:rFonts w:cs="Arial"/>
          <w:sz w:val="24"/>
          <w:szCs w:val="24"/>
          <w:u w:val="single"/>
        </w:rPr>
        <w:t>Guiding questions for discussion:</w:t>
      </w:r>
    </w:p>
    <w:p w14:paraId="0E3EBC5E" w14:textId="77777777" w:rsidR="00921BBD" w:rsidRPr="00F1757F" w:rsidRDefault="00AE7618" w:rsidP="00C51E98">
      <w:pPr>
        <w:pStyle w:val="ListParagraph"/>
        <w:numPr>
          <w:ilvl w:val="0"/>
          <w:numId w:val="18"/>
        </w:numPr>
        <w:spacing w:before="140" w:after="140" w:line="240" w:lineRule="auto"/>
        <w:ind w:left="346" w:right="0" w:hanging="357"/>
        <w:contextualSpacing w:val="0"/>
        <w:rPr>
          <w:rFonts w:eastAsiaTheme="minorEastAsia" w:cs="CIDFont+F1"/>
          <w:color w:val="auto"/>
          <w:sz w:val="24"/>
          <w:szCs w:val="24"/>
        </w:rPr>
      </w:pPr>
      <w:r>
        <w:rPr>
          <w:rFonts w:cs="Arial"/>
          <w:sz w:val="24"/>
          <w:szCs w:val="24"/>
        </w:rPr>
        <w:t>What changes</w:t>
      </w:r>
      <w:r w:rsidR="00921BBD" w:rsidRPr="00A64B4D">
        <w:rPr>
          <w:rFonts w:cs="Arial"/>
          <w:sz w:val="24"/>
          <w:szCs w:val="24"/>
        </w:rPr>
        <w:t xml:space="preserve"> are required </w:t>
      </w:r>
      <w:r w:rsidR="004D6ACC">
        <w:rPr>
          <w:rFonts w:cs="Arial"/>
          <w:sz w:val="24"/>
          <w:szCs w:val="24"/>
        </w:rPr>
        <w:t>to</w:t>
      </w:r>
      <w:r w:rsidR="00921BBD" w:rsidRPr="00A64B4D">
        <w:rPr>
          <w:rFonts w:cs="Arial"/>
          <w:sz w:val="24"/>
          <w:szCs w:val="24"/>
        </w:rPr>
        <w:t xml:space="preserve"> the existing international, regional and national framework</w:t>
      </w:r>
      <w:r w:rsidR="009046CA">
        <w:rPr>
          <w:rFonts w:cs="Arial"/>
          <w:sz w:val="24"/>
          <w:szCs w:val="24"/>
        </w:rPr>
        <w:t>s</w:t>
      </w:r>
      <w:r w:rsidR="00921BBD" w:rsidRPr="00A64B4D">
        <w:rPr>
          <w:rFonts w:cs="Arial"/>
          <w:sz w:val="24"/>
          <w:szCs w:val="24"/>
        </w:rPr>
        <w:t xml:space="preserve"> </w:t>
      </w:r>
      <w:r w:rsidR="00DA1546" w:rsidRPr="00A64B4D">
        <w:rPr>
          <w:rFonts w:cs="Arial"/>
          <w:sz w:val="24"/>
          <w:szCs w:val="24"/>
        </w:rPr>
        <w:t>related to mega</w:t>
      </w:r>
      <w:r w:rsidR="00C84EAB">
        <w:rPr>
          <w:rFonts w:cs="Arial"/>
          <w:sz w:val="24"/>
          <w:szCs w:val="24"/>
        </w:rPr>
        <w:t>-</w:t>
      </w:r>
      <w:r w:rsidR="00DA1546" w:rsidRPr="00A64B4D">
        <w:rPr>
          <w:rFonts w:cs="Arial"/>
          <w:sz w:val="24"/>
          <w:szCs w:val="24"/>
        </w:rPr>
        <w:t xml:space="preserve">projects in order </w:t>
      </w:r>
      <w:r w:rsidR="00921BBD" w:rsidRPr="00A64B4D">
        <w:rPr>
          <w:rFonts w:cs="Arial"/>
          <w:sz w:val="24"/>
          <w:szCs w:val="24"/>
        </w:rPr>
        <w:t xml:space="preserve">to incorporate specific features of the </w:t>
      </w:r>
      <w:r w:rsidR="00DA1546" w:rsidRPr="00A64B4D">
        <w:rPr>
          <w:rFonts w:cs="Arial"/>
          <w:sz w:val="24"/>
          <w:szCs w:val="24"/>
        </w:rPr>
        <w:t xml:space="preserve">human rights to </w:t>
      </w:r>
      <w:r w:rsidR="00921BBD" w:rsidRPr="00A64B4D">
        <w:rPr>
          <w:rFonts w:cs="Arial"/>
          <w:sz w:val="24"/>
          <w:szCs w:val="24"/>
        </w:rPr>
        <w:t>water and sanitation?</w:t>
      </w:r>
    </w:p>
    <w:p w14:paraId="17CD128E" w14:textId="6495C1BD" w:rsidR="00F1757F" w:rsidRPr="0080516E" w:rsidRDefault="00F1757F" w:rsidP="00C51E98">
      <w:pPr>
        <w:pStyle w:val="ListParagraph"/>
        <w:numPr>
          <w:ilvl w:val="0"/>
          <w:numId w:val="18"/>
        </w:numPr>
        <w:spacing w:before="140" w:after="140" w:line="240" w:lineRule="auto"/>
        <w:ind w:left="346" w:right="0" w:hanging="357"/>
        <w:contextualSpacing w:val="0"/>
        <w:rPr>
          <w:rFonts w:eastAsiaTheme="minorEastAsia" w:cs="CIDFont+F1"/>
          <w:color w:val="auto"/>
          <w:sz w:val="24"/>
          <w:szCs w:val="24"/>
        </w:rPr>
      </w:pPr>
      <w:r>
        <w:rPr>
          <w:rFonts w:cs="Arial"/>
          <w:sz w:val="24"/>
          <w:szCs w:val="24"/>
        </w:rPr>
        <w:t>What elements are required for better compliance of mega-projects in accordance with the framework of the human rights to water and sanitation?</w:t>
      </w:r>
    </w:p>
    <w:p w14:paraId="51BACF69" w14:textId="48135E12" w:rsidR="00436140" w:rsidRPr="00126A4F" w:rsidRDefault="00F84A5D" w:rsidP="00C51E98">
      <w:pPr>
        <w:pStyle w:val="ListParagraph"/>
        <w:numPr>
          <w:ilvl w:val="0"/>
          <w:numId w:val="18"/>
        </w:numPr>
        <w:spacing w:before="140" w:after="140" w:line="240" w:lineRule="auto"/>
        <w:ind w:left="346" w:right="0" w:hanging="357"/>
        <w:contextualSpacing w:val="0"/>
        <w:rPr>
          <w:rFonts w:eastAsiaTheme="minorEastAsia" w:cs="CIDFont+F1"/>
          <w:color w:val="auto"/>
          <w:sz w:val="24"/>
          <w:szCs w:val="24"/>
        </w:rPr>
      </w:pPr>
      <w:r w:rsidRPr="00A64B4D">
        <w:rPr>
          <w:rFonts w:cs="Arial"/>
          <w:sz w:val="24"/>
          <w:szCs w:val="24"/>
        </w:rPr>
        <w:t xml:space="preserve">How can human rights be integrated </w:t>
      </w:r>
      <w:r w:rsidR="00F1757F">
        <w:rPr>
          <w:rFonts w:cs="Arial"/>
          <w:sz w:val="24"/>
          <w:szCs w:val="24"/>
        </w:rPr>
        <w:t xml:space="preserve">as core </w:t>
      </w:r>
      <w:r w:rsidR="003F0091">
        <w:rPr>
          <w:rFonts w:cs="Arial"/>
          <w:sz w:val="24"/>
          <w:szCs w:val="24"/>
        </w:rPr>
        <w:t xml:space="preserve">requisite in the </w:t>
      </w:r>
      <w:r w:rsidR="004C7846" w:rsidRPr="00A64B4D">
        <w:rPr>
          <w:rFonts w:cs="Arial"/>
          <w:sz w:val="24"/>
          <w:szCs w:val="24"/>
        </w:rPr>
        <w:t xml:space="preserve">environmental </w:t>
      </w:r>
      <w:r w:rsidR="007E45E9">
        <w:rPr>
          <w:rFonts w:cs="Arial"/>
          <w:sz w:val="24"/>
          <w:szCs w:val="24"/>
        </w:rPr>
        <w:t xml:space="preserve">and social </w:t>
      </w:r>
      <w:r w:rsidRPr="00A64B4D">
        <w:rPr>
          <w:rFonts w:cs="Arial"/>
          <w:sz w:val="24"/>
          <w:szCs w:val="24"/>
        </w:rPr>
        <w:t>impact assessments?</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80"/>
        <w:gridCol w:w="1746"/>
      </w:tblGrid>
      <w:tr w:rsidR="0006515A" w:rsidRPr="005F2486" w14:paraId="01ECA1B0" w14:textId="77777777" w:rsidTr="001B2553">
        <w:tc>
          <w:tcPr>
            <w:tcW w:w="7980" w:type="dxa"/>
            <w:shd w:val="clear" w:color="auto" w:fill="DBE5F1"/>
            <w:hideMark/>
          </w:tcPr>
          <w:p w14:paraId="3C79C2F7" w14:textId="77777777" w:rsidR="0006515A" w:rsidRPr="00A64B4D" w:rsidRDefault="0006515A" w:rsidP="00C94441">
            <w:pPr>
              <w:spacing w:beforeLines="40" w:before="96" w:afterLines="40" w:after="96"/>
              <w:rPr>
                <w:rFonts w:cs="Arial"/>
                <w:b/>
                <w:color w:val="365F91"/>
                <w:sz w:val="24"/>
                <w:szCs w:val="24"/>
              </w:rPr>
            </w:pPr>
            <w:r>
              <w:rPr>
                <w:rFonts w:cs="Arial"/>
                <w:b/>
                <w:color w:val="365F91"/>
                <w:sz w:val="24"/>
                <w:szCs w:val="24"/>
              </w:rPr>
              <w:t>Wrap-up</w:t>
            </w:r>
            <w:r w:rsidRPr="00A64B4D">
              <w:rPr>
                <w:rFonts w:cs="Arial"/>
                <w:b/>
                <w:color w:val="365F91"/>
                <w:sz w:val="24"/>
                <w:szCs w:val="24"/>
              </w:rPr>
              <w:t xml:space="preserve"> </w:t>
            </w:r>
          </w:p>
        </w:tc>
        <w:tc>
          <w:tcPr>
            <w:tcW w:w="1746" w:type="dxa"/>
            <w:shd w:val="clear" w:color="auto" w:fill="DBE5F1"/>
            <w:hideMark/>
          </w:tcPr>
          <w:p w14:paraId="26395E8A" w14:textId="77777777" w:rsidR="0006515A" w:rsidRPr="00A64B4D" w:rsidRDefault="0006515A" w:rsidP="00C94441">
            <w:pPr>
              <w:spacing w:beforeLines="40" w:before="96" w:afterLines="40" w:after="96"/>
              <w:rPr>
                <w:rFonts w:cs="Arial"/>
                <w:b/>
                <w:color w:val="365F91"/>
                <w:sz w:val="24"/>
                <w:szCs w:val="24"/>
                <w:u w:val="single"/>
              </w:rPr>
            </w:pPr>
            <w:r>
              <w:rPr>
                <w:rFonts w:cs="Arial"/>
                <w:b/>
                <w:color w:val="365F91"/>
                <w:sz w:val="24"/>
                <w:szCs w:val="24"/>
              </w:rPr>
              <w:t>17</w:t>
            </w:r>
            <w:r w:rsidRPr="00A64B4D">
              <w:rPr>
                <w:rFonts w:cs="Arial"/>
                <w:b/>
                <w:color w:val="365F91"/>
                <w:sz w:val="24"/>
                <w:szCs w:val="24"/>
              </w:rPr>
              <w:t>:</w:t>
            </w:r>
            <w:r>
              <w:rPr>
                <w:rFonts w:cs="Arial"/>
                <w:b/>
                <w:color w:val="365F91"/>
                <w:sz w:val="24"/>
                <w:szCs w:val="24"/>
              </w:rPr>
              <w:t>3</w:t>
            </w:r>
            <w:r w:rsidRPr="00A64B4D">
              <w:rPr>
                <w:rFonts w:cs="Arial"/>
                <w:b/>
                <w:color w:val="365F91"/>
                <w:sz w:val="24"/>
                <w:szCs w:val="24"/>
              </w:rPr>
              <w:t xml:space="preserve">0 – </w:t>
            </w:r>
            <w:r>
              <w:rPr>
                <w:rFonts w:cs="Arial"/>
                <w:b/>
                <w:color w:val="365F91"/>
                <w:sz w:val="24"/>
                <w:szCs w:val="24"/>
              </w:rPr>
              <w:t>18:0</w:t>
            </w:r>
            <w:r w:rsidRPr="00A64B4D">
              <w:rPr>
                <w:rFonts w:cs="Arial"/>
                <w:b/>
                <w:color w:val="365F91"/>
                <w:sz w:val="24"/>
                <w:szCs w:val="24"/>
              </w:rPr>
              <w:t>0</w:t>
            </w:r>
          </w:p>
        </w:tc>
      </w:tr>
    </w:tbl>
    <w:p w14:paraId="6E039056" w14:textId="07C8B07C" w:rsidR="0006515A" w:rsidRDefault="0006515A" w:rsidP="0006515A">
      <w:pPr>
        <w:spacing w:before="140" w:after="140" w:line="240" w:lineRule="auto"/>
        <w:ind w:left="-11" w:right="0" w:firstLine="0"/>
        <w:rPr>
          <w:rFonts w:cs="Arial"/>
          <w:sz w:val="24"/>
          <w:szCs w:val="24"/>
        </w:rPr>
      </w:pPr>
      <w:r w:rsidRPr="00A64B4D">
        <w:rPr>
          <w:rFonts w:cs="Arial"/>
          <w:sz w:val="24"/>
          <w:szCs w:val="24"/>
          <w:u w:val="single"/>
        </w:rPr>
        <w:t>Speaker</w:t>
      </w:r>
      <w:r w:rsidRPr="00A64B4D">
        <w:rPr>
          <w:rFonts w:cs="Arial"/>
          <w:sz w:val="24"/>
          <w:szCs w:val="24"/>
        </w:rPr>
        <w:t xml:space="preserve">:  Special Rapporteur </w:t>
      </w:r>
    </w:p>
    <w:p w14:paraId="59138C2D" w14:textId="77777777" w:rsidR="00580BAB" w:rsidRPr="00580BAB" w:rsidRDefault="00580BAB" w:rsidP="00580BAB">
      <w:pPr>
        <w:pStyle w:val="ListParagraph"/>
        <w:numPr>
          <w:ilvl w:val="0"/>
          <w:numId w:val="18"/>
        </w:numPr>
        <w:spacing w:before="140" w:after="140" w:line="240" w:lineRule="auto"/>
        <w:ind w:left="346" w:right="0" w:hanging="357"/>
        <w:contextualSpacing w:val="0"/>
        <w:rPr>
          <w:rFonts w:cs="Arial"/>
          <w:sz w:val="24"/>
          <w:szCs w:val="24"/>
        </w:rPr>
      </w:pPr>
      <w:r w:rsidRPr="00580BAB">
        <w:rPr>
          <w:rFonts w:cs="Arial"/>
          <w:sz w:val="24"/>
          <w:szCs w:val="24"/>
        </w:rPr>
        <w:t xml:space="preserve">Remaining issues to be discussed </w:t>
      </w:r>
    </w:p>
    <w:p w14:paraId="65EED35D" w14:textId="5DF576BC" w:rsidR="00580BAB" w:rsidRPr="00580BAB" w:rsidRDefault="00580BAB" w:rsidP="00580BAB">
      <w:pPr>
        <w:pStyle w:val="ListParagraph"/>
        <w:numPr>
          <w:ilvl w:val="0"/>
          <w:numId w:val="18"/>
        </w:numPr>
        <w:spacing w:before="140" w:after="140" w:line="240" w:lineRule="auto"/>
        <w:ind w:left="346" w:right="0" w:hanging="357"/>
        <w:contextualSpacing w:val="0"/>
        <w:rPr>
          <w:rFonts w:cs="Arial"/>
          <w:sz w:val="24"/>
          <w:szCs w:val="24"/>
        </w:rPr>
      </w:pPr>
      <w:r w:rsidRPr="00580BAB">
        <w:rPr>
          <w:rFonts w:cs="Arial"/>
          <w:sz w:val="24"/>
          <w:szCs w:val="24"/>
        </w:rPr>
        <w:t>Closing the session by the Special Rapporteur</w:t>
      </w:r>
    </w:p>
    <w:p w14:paraId="449605C4" w14:textId="77777777" w:rsidR="00C4605F" w:rsidRPr="00580BAB" w:rsidRDefault="00C4605F" w:rsidP="00C4605F">
      <w:pPr>
        <w:pStyle w:val="LightGrid-Accent31"/>
        <w:spacing w:before="140" w:after="140" w:line="240" w:lineRule="auto"/>
        <w:contextualSpacing w:val="0"/>
        <w:rPr>
          <w:rFonts w:cs="Arial"/>
          <w:sz w:val="24"/>
          <w:szCs w:val="24"/>
        </w:rPr>
      </w:pPr>
    </w:p>
    <w:p w14:paraId="77730093" w14:textId="5A04B9AF" w:rsidR="00B26355" w:rsidRPr="00B26355" w:rsidRDefault="00B26355" w:rsidP="00B95D34">
      <w:pPr>
        <w:spacing w:after="160" w:line="259" w:lineRule="auto"/>
        <w:ind w:left="0" w:right="0" w:firstLine="0"/>
        <w:jc w:val="left"/>
        <w:rPr>
          <w:rFonts w:cs="Arial"/>
          <w:sz w:val="24"/>
          <w:szCs w:val="24"/>
        </w:rPr>
      </w:pPr>
    </w:p>
    <w:sectPr w:rsidR="00B26355" w:rsidRPr="00B26355" w:rsidSect="00B26355">
      <w:footerReference w:type="even" r:id="rId20"/>
      <w:footerReference w:type="default" r:id="rId21"/>
      <w:footerReference w:type="first" r:id="rId22"/>
      <w:pgSz w:w="11906" w:h="16838"/>
      <w:pgMar w:top="1440" w:right="1080" w:bottom="1440" w:left="1080" w:header="720" w:footer="68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7B81A" w16cid:durableId="1F61DDF4"/>
  <w16cid:commentId w16cid:paraId="3FFEF140" w16cid:durableId="1F61DE03"/>
  <w16cid:commentId w16cid:paraId="5E2BC6F8" w16cid:durableId="1F61F0EF"/>
  <w16cid:commentId w16cid:paraId="568FBE9F" w16cid:durableId="1F61DDFC"/>
  <w16cid:commentId w16cid:paraId="2929DE34" w16cid:durableId="1F61DE04"/>
  <w16cid:commentId w16cid:paraId="463E32E7" w16cid:durableId="1F61DE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C67E" w14:textId="77777777" w:rsidR="00963934" w:rsidRDefault="00963934">
      <w:pPr>
        <w:spacing w:after="0" w:line="240" w:lineRule="auto"/>
      </w:pPr>
      <w:r>
        <w:separator/>
      </w:r>
    </w:p>
    <w:p w14:paraId="785094C7" w14:textId="77777777" w:rsidR="00963934" w:rsidRDefault="00963934"/>
    <w:p w14:paraId="4668A1A9" w14:textId="77777777" w:rsidR="00963934" w:rsidRDefault="00963934" w:rsidP="008D51C2"/>
  </w:endnote>
  <w:endnote w:type="continuationSeparator" w:id="0">
    <w:p w14:paraId="47CB1B4C" w14:textId="77777777" w:rsidR="00963934" w:rsidRDefault="00963934">
      <w:pPr>
        <w:spacing w:after="0" w:line="240" w:lineRule="auto"/>
      </w:pPr>
      <w:r>
        <w:continuationSeparator/>
      </w:r>
    </w:p>
    <w:p w14:paraId="55E3124B" w14:textId="77777777" w:rsidR="00963934" w:rsidRDefault="00963934"/>
    <w:p w14:paraId="03419F5E" w14:textId="77777777" w:rsidR="00963934" w:rsidRDefault="00963934" w:rsidP="008D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DFont+F1">
    <w:altName w:val="Arial"/>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C1AB" w14:textId="77777777" w:rsidR="00DA1546" w:rsidRDefault="00DA1546">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rsidR="008D7182">
      <w:fldChar w:fldCharType="begin"/>
    </w:r>
    <w:r>
      <w:instrText xml:space="preserve"> PAGE   \* MERGEFORMAT </w:instrText>
    </w:r>
    <w:r w:rsidR="008D7182">
      <w:fldChar w:fldCharType="separate"/>
    </w:r>
    <w:r>
      <w:rPr>
        <w:rFonts w:ascii="Calibri" w:eastAsia="Calibri" w:hAnsi="Calibri" w:cs="Calibri"/>
      </w:rPr>
      <w:t>1</w:t>
    </w:r>
    <w:r w:rsidR="008D7182">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p w14:paraId="2D95735C" w14:textId="77777777" w:rsidR="00483664" w:rsidRDefault="00483664"/>
  <w:p w14:paraId="59776E7E" w14:textId="77777777" w:rsidR="00483664" w:rsidRDefault="00483664" w:rsidP="008D51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D157" w14:textId="2C5F519B" w:rsidR="00DA1546" w:rsidRDefault="00DA1546">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rsidR="008D7182">
      <w:fldChar w:fldCharType="begin"/>
    </w:r>
    <w:r>
      <w:instrText xml:space="preserve"> PAGE   \* MERGEFORMAT </w:instrText>
    </w:r>
    <w:r w:rsidR="008D7182">
      <w:fldChar w:fldCharType="separate"/>
    </w:r>
    <w:r w:rsidR="00813F75" w:rsidRPr="00813F75">
      <w:rPr>
        <w:rFonts w:ascii="Calibri" w:eastAsia="Calibri" w:hAnsi="Calibri" w:cs="Calibri"/>
        <w:noProof/>
      </w:rPr>
      <w:t>1</w:t>
    </w:r>
    <w:r w:rsidR="008D7182">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srwatsan@ohchr.org | www.ohchr.org/sr</w:t>
    </w:r>
    <w:r w:rsidR="000811BC">
      <w:rPr>
        <w:rFonts w:ascii="Arial" w:eastAsia="Arial" w:hAnsi="Arial" w:cs="Arial"/>
        <w:b/>
        <w:color w:val="4472C4"/>
        <w:sz w:val="16"/>
      </w:rPr>
      <w:t>waterandsanitation | @srwatsan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C1B2" w14:textId="77777777" w:rsidR="00DA1546" w:rsidRDefault="00DA1546">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rsidR="008D7182">
      <w:fldChar w:fldCharType="begin"/>
    </w:r>
    <w:r>
      <w:instrText xml:space="preserve"> PAGE   \* MERGEFORMAT </w:instrText>
    </w:r>
    <w:r w:rsidR="008D7182">
      <w:fldChar w:fldCharType="separate"/>
    </w:r>
    <w:r>
      <w:rPr>
        <w:rFonts w:ascii="Calibri" w:eastAsia="Calibri" w:hAnsi="Calibri" w:cs="Calibri"/>
      </w:rPr>
      <w:t>1</w:t>
    </w:r>
    <w:r w:rsidR="008D7182">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p w14:paraId="5BB47559" w14:textId="77777777" w:rsidR="00483664" w:rsidRDefault="00483664"/>
  <w:p w14:paraId="3506AD33" w14:textId="77777777" w:rsidR="00483664" w:rsidRDefault="00483664" w:rsidP="008D51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52D4" w14:textId="77777777" w:rsidR="00963934" w:rsidRDefault="00963934" w:rsidP="008D51C2">
      <w:r>
        <w:separator/>
      </w:r>
    </w:p>
  </w:footnote>
  <w:footnote w:type="continuationSeparator" w:id="0">
    <w:p w14:paraId="63318125" w14:textId="77777777" w:rsidR="00963934" w:rsidRDefault="00963934">
      <w:pPr>
        <w:spacing w:after="0" w:line="240" w:lineRule="auto"/>
      </w:pPr>
      <w:r>
        <w:continuationSeparator/>
      </w:r>
    </w:p>
    <w:p w14:paraId="7D34480C" w14:textId="77777777" w:rsidR="00963934" w:rsidRDefault="00963934"/>
    <w:p w14:paraId="59BCEBDE" w14:textId="77777777" w:rsidR="00963934" w:rsidRDefault="00963934" w:rsidP="008D51C2"/>
  </w:footnote>
  <w:footnote w:id="1">
    <w:p w14:paraId="023076B8" w14:textId="7E309022" w:rsidR="00555548" w:rsidRPr="00C94441" w:rsidRDefault="00555548" w:rsidP="00555548">
      <w:pPr>
        <w:pStyle w:val="FootnoteText"/>
        <w:contextualSpacing/>
        <w:rPr>
          <w:rFonts w:asciiTheme="majorHAnsi" w:hAnsiTheme="majorHAnsi" w:cstheme="majorHAnsi"/>
          <w:lang w:val="en-US"/>
        </w:rPr>
      </w:pPr>
      <w:r w:rsidRPr="00551DA7">
        <w:rPr>
          <w:rStyle w:val="FootnoteReference"/>
          <w:rFonts w:asciiTheme="majorHAnsi" w:hAnsiTheme="majorHAnsi" w:cstheme="majorHAnsi"/>
        </w:rPr>
        <w:footnoteRef/>
      </w:r>
      <w:r w:rsidRPr="00C94441">
        <w:rPr>
          <w:rFonts w:asciiTheme="majorHAnsi" w:hAnsiTheme="majorHAnsi" w:cstheme="majorHAnsi"/>
          <w:lang w:val="en-US"/>
        </w:rPr>
        <w:t xml:space="preserve"> </w:t>
      </w:r>
      <w:r w:rsidR="0080516E" w:rsidRPr="0080516E">
        <w:rPr>
          <w:rFonts w:asciiTheme="majorHAnsi" w:hAnsiTheme="majorHAnsi" w:cstheme="majorHAnsi"/>
          <w:lang w:val="en-US"/>
        </w:rPr>
        <w:t>Malaysian Centre for Constitutionalism and Human Rights (MCCHR),</w:t>
      </w:r>
      <w:r w:rsidR="0080516E">
        <w:rPr>
          <w:rFonts w:asciiTheme="majorHAnsi" w:hAnsiTheme="majorHAnsi" w:cstheme="majorHAnsi"/>
          <w:lang w:val="en-US"/>
        </w:rPr>
        <w:t xml:space="preserve"> </w:t>
      </w:r>
      <w:r w:rsidRPr="00C94441">
        <w:rPr>
          <w:rFonts w:asciiTheme="majorHAnsi" w:hAnsiTheme="majorHAnsi" w:cstheme="majorHAnsi"/>
          <w:lang w:val="en-US"/>
        </w:rPr>
        <w:t>A-03-08, Pantai Business Park, Jalan Pantai Baharu 59200 Kuala Lumpur  Tel / fax:  + 6-03-2201-1454 Website: mcchr.org</w:t>
      </w:r>
    </w:p>
  </w:footnote>
  <w:footnote w:id="2">
    <w:p w14:paraId="18471111" w14:textId="77777777" w:rsidR="00DA1546" w:rsidRPr="00551DA7" w:rsidRDefault="00DA1546" w:rsidP="00FD7ED8">
      <w:pPr>
        <w:pStyle w:val="FootnoteText"/>
        <w:spacing w:before="100" w:after="100"/>
        <w:ind w:left="-11"/>
        <w:contextualSpacing/>
        <w:jc w:val="both"/>
        <w:rPr>
          <w:rFonts w:asciiTheme="majorHAnsi" w:hAnsiTheme="majorHAnsi" w:cstheme="majorHAnsi"/>
          <w:sz w:val="18"/>
          <w:szCs w:val="18"/>
          <w:lang w:val="en-GB"/>
        </w:rPr>
      </w:pPr>
      <w:r w:rsidRPr="00551DA7">
        <w:rPr>
          <w:rStyle w:val="FootnoteReference"/>
          <w:rFonts w:asciiTheme="majorHAnsi" w:hAnsiTheme="majorHAnsi" w:cstheme="majorHAnsi"/>
          <w:sz w:val="18"/>
          <w:szCs w:val="18"/>
        </w:rPr>
        <w:footnoteRef/>
      </w:r>
      <w:r w:rsidRPr="00551DA7">
        <w:rPr>
          <w:rFonts w:asciiTheme="majorHAnsi" w:hAnsiTheme="majorHAnsi" w:cstheme="majorHAnsi"/>
          <w:sz w:val="18"/>
          <w:szCs w:val="18"/>
          <w:lang w:val="en-GB"/>
        </w:rPr>
        <w:t xml:space="preserve"> Jonas Söderlund, Shankar Shankaran and Christopher Biesnthal, </w:t>
      </w:r>
      <w:r w:rsidRPr="00551DA7">
        <w:rPr>
          <w:rFonts w:asciiTheme="majorHAnsi" w:hAnsiTheme="majorHAnsi" w:cstheme="majorHAnsi"/>
          <w:i/>
          <w:sz w:val="18"/>
          <w:szCs w:val="18"/>
          <w:lang w:val="en-GB"/>
        </w:rPr>
        <w:t>“The Past and Present of Megaprojects”</w:t>
      </w:r>
      <w:r w:rsidRPr="00551DA7">
        <w:rPr>
          <w:rFonts w:asciiTheme="majorHAnsi" w:hAnsiTheme="majorHAnsi" w:cstheme="majorHAnsi"/>
          <w:sz w:val="18"/>
          <w:szCs w:val="18"/>
          <w:lang w:val="en-GB"/>
        </w:rPr>
        <w:t>, 2017 The Project Management Journal, Vol 48, pg 5.</w:t>
      </w:r>
    </w:p>
  </w:footnote>
  <w:footnote w:id="3">
    <w:p w14:paraId="796670B2" w14:textId="77777777" w:rsidR="00DA1546" w:rsidRPr="00551DA7" w:rsidRDefault="00DA1546" w:rsidP="00FD7ED8">
      <w:pPr>
        <w:pStyle w:val="FootnoteText"/>
        <w:spacing w:before="100" w:after="100"/>
        <w:ind w:left="-11"/>
        <w:contextualSpacing/>
        <w:jc w:val="both"/>
        <w:rPr>
          <w:rFonts w:asciiTheme="majorHAnsi" w:hAnsiTheme="majorHAnsi" w:cstheme="majorHAnsi"/>
          <w:sz w:val="18"/>
          <w:szCs w:val="18"/>
          <w:lang w:val="en-GB"/>
        </w:rPr>
      </w:pPr>
      <w:r w:rsidRPr="00551DA7">
        <w:rPr>
          <w:rStyle w:val="FootnoteReference"/>
          <w:rFonts w:asciiTheme="majorHAnsi" w:hAnsiTheme="majorHAnsi" w:cstheme="majorHAnsi"/>
          <w:sz w:val="18"/>
          <w:szCs w:val="18"/>
        </w:rPr>
        <w:footnoteRef/>
      </w:r>
      <w:r w:rsidRPr="00551DA7">
        <w:rPr>
          <w:rFonts w:asciiTheme="majorHAnsi" w:hAnsiTheme="majorHAnsi" w:cstheme="majorHAnsi"/>
          <w:sz w:val="18"/>
          <w:szCs w:val="18"/>
          <w:lang w:val="en-GB"/>
        </w:rPr>
        <w:t xml:space="preserve"> OHCHR, </w:t>
      </w:r>
      <w:hyperlink r:id="rId1" w:history="1">
        <w:r w:rsidRPr="00551DA7">
          <w:rPr>
            <w:rStyle w:val="Hyperlink"/>
            <w:rFonts w:asciiTheme="majorHAnsi" w:hAnsiTheme="majorHAnsi" w:cstheme="majorHAnsi"/>
            <w:sz w:val="18"/>
            <w:szCs w:val="18"/>
            <w:lang w:val="en-GB"/>
          </w:rPr>
          <w:t>Baseline Study on the Human Rights Impacts and Implications of Mega-Infrastructure Investment</w:t>
        </w:r>
      </w:hyperlink>
      <w:r w:rsidR="00551DA7">
        <w:rPr>
          <w:rFonts w:asciiTheme="majorHAnsi" w:hAnsiTheme="majorHAnsi" w:cstheme="majorHAnsi"/>
          <w:sz w:val="18"/>
          <w:szCs w:val="18"/>
          <w:lang w:val="en-GB"/>
        </w:rPr>
        <w:t>, 6 July 2017,</w:t>
      </w:r>
      <w:r w:rsidRPr="00551DA7">
        <w:rPr>
          <w:rFonts w:asciiTheme="majorHAnsi" w:hAnsiTheme="majorHAnsi" w:cstheme="majorHAnsi"/>
          <w:sz w:val="18"/>
          <w:szCs w:val="18"/>
          <w:lang w:val="en-GB"/>
        </w:rPr>
        <w:t xml:space="preserve"> pg 2.</w:t>
      </w:r>
    </w:p>
  </w:footnote>
  <w:footnote w:id="4">
    <w:p w14:paraId="69FE645B" w14:textId="77777777" w:rsidR="00210E8C" w:rsidRPr="00551DA7" w:rsidRDefault="00210E8C" w:rsidP="00210E8C">
      <w:pPr>
        <w:pStyle w:val="FootnoteText"/>
        <w:spacing w:before="140" w:after="140"/>
        <w:ind w:left="-11"/>
        <w:contextualSpacing/>
        <w:jc w:val="both"/>
        <w:rPr>
          <w:rFonts w:asciiTheme="majorHAnsi" w:hAnsiTheme="majorHAnsi" w:cstheme="majorHAnsi"/>
          <w:sz w:val="18"/>
          <w:szCs w:val="18"/>
          <w:lang w:val="en-GB"/>
        </w:rPr>
      </w:pPr>
      <w:r w:rsidRPr="00551DA7">
        <w:rPr>
          <w:rStyle w:val="FootnoteReference"/>
          <w:rFonts w:asciiTheme="majorHAnsi" w:hAnsiTheme="majorHAnsi" w:cstheme="majorHAnsi"/>
          <w:sz w:val="18"/>
          <w:szCs w:val="18"/>
        </w:rPr>
        <w:footnoteRef/>
      </w:r>
      <w:r w:rsidRPr="00551DA7">
        <w:rPr>
          <w:rFonts w:asciiTheme="majorHAnsi" w:hAnsiTheme="majorHAnsi" w:cstheme="majorHAnsi"/>
          <w:sz w:val="18"/>
          <w:szCs w:val="18"/>
          <w:lang w:val="en-GB"/>
        </w:rPr>
        <w:t xml:space="preserve"> OHCHR, </w:t>
      </w:r>
      <w:hyperlink r:id="rId2" w:history="1">
        <w:r w:rsidRPr="00551DA7">
          <w:rPr>
            <w:rStyle w:val="Hyperlink"/>
            <w:rFonts w:asciiTheme="majorHAnsi" w:hAnsiTheme="majorHAnsi" w:cstheme="majorHAnsi"/>
            <w:sz w:val="18"/>
            <w:szCs w:val="18"/>
            <w:lang w:val="en-GB"/>
          </w:rPr>
          <w:t>Baseline Study on the Human Rights Impacts and Implications of Mega-Infrastructure Investment</w:t>
        </w:r>
      </w:hyperlink>
      <w:r w:rsidR="000811BC">
        <w:rPr>
          <w:rFonts w:asciiTheme="majorHAnsi" w:hAnsiTheme="majorHAnsi" w:cstheme="majorHAnsi"/>
          <w:sz w:val="18"/>
          <w:szCs w:val="18"/>
          <w:lang w:val="en-GB"/>
        </w:rPr>
        <w:t xml:space="preserve">, 6 July 2017, </w:t>
      </w:r>
      <w:r w:rsidRPr="00551DA7">
        <w:rPr>
          <w:rFonts w:asciiTheme="majorHAnsi" w:hAnsiTheme="majorHAnsi" w:cstheme="majorHAnsi"/>
          <w:sz w:val="18"/>
          <w:szCs w:val="18"/>
          <w:lang w:val="en-GB"/>
        </w:rPr>
        <w:t xml:space="preserve">pg 61; and OHCHR and the Heinrich-Böll-Stiftung, </w:t>
      </w:r>
      <w:r w:rsidRPr="00551DA7">
        <w:rPr>
          <w:rFonts w:asciiTheme="majorHAnsi" w:hAnsiTheme="majorHAnsi" w:cstheme="majorHAnsi"/>
          <w:i/>
          <w:sz w:val="18"/>
          <w:szCs w:val="18"/>
          <w:lang w:val="en-GB"/>
        </w:rPr>
        <w:t>“The Other Infrastructure Gap Sustainability, Human Rights and Environmental Perspectives, Executive Summary”,</w:t>
      </w:r>
      <w:r w:rsidR="000811BC">
        <w:rPr>
          <w:rFonts w:asciiTheme="majorHAnsi" w:hAnsiTheme="majorHAnsi" w:cstheme="majorHAnsi"/>
          <w:sz w:val="18"/>
          <w:szCs w:val="18"/>
          <w:lang w:val="en-GB"/>
        </w:rPr>
        <w:t xml:space="preserve"> 2018,</w:t>
      </w:r>
      <w:r w:rsidRPr="00551DA7">
        <w:rPr>
          <w:rFonts w:asciiTheme="majorHAnsi" w:hAnsiTheme="majorHAnsi" w:cstheme="majorHAnsi"/>
          <w:sz w:val="18"/>
          <w:szCs w:val="18"/>
          <w:lang w:val="en-GB"/>
        </w:rPr>
        <w:t xml:space="preserve"> pgs. 11-15.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336"/>
    <w:multiLevelType w:val="hybridMultilevel"/>
    <w:tmpl w:val="C6229BCE"/>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20148"/>
    <w:multiLevelType w:val="hybridMultilevel"/>
    <w:tmpl w:val="8ADCC17A"/>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C978BD"/>
    <w:multiLevelType w:val="hybridMultilevel"/>
    <w:tmpl w:val="A080C6D4"/>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016374"/>
    <w:multiLevelType w:val="hybridMultilevel"/>
    <w:tmpl w:val="E0CE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0C5974"/>
    <w:multiLevelType w:val="hybridMultilevel"/>
    <w:tmpl w:val="FDF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51C8"/>
    <w:multiLevelType w:val="hybridMultilevel"/>
    <w:tmpl w:val="A41AF7DC"/>
    <w:lvl w:ilvl="0" w:tplc="75B64A24">
      <w:start w:val="1"/>
      <w:numFmt w:val="bullet"/>
      <w:lvlText w:val="•"/>
      <w:lvlJc w:val="left"/>
      <w:pPr>
        <w:ind w:left="360"/>
      </w:pPr>
      <w:rPr>
        <w:rFonts w:ascii="Arial" w:eastAsia="Arial" w:hAnsi="Arial" w:cs="Arial"/>
        <w:b w:val="0"/>
        <w:bCs/>
        <w:i w:val="0"/>
        <w:strike w:val="0"/>
        <w:dstrike w:val="0"/>
        <w:color w:val="4472C4"/>
        <w:sz w:val="22"/>
        <w:szCs w:val="22"/>
        <w:u w:val="none" w:color="000000"/>
        <w:bdr w:val="none" w:sz="0" w:space="0" w:color="auto"/>
        <w:shd w:val="clear" w:color="auto" w:fill="auto"/>
        <w:vertAlign w:val="baseline"/>
      </w:rPr>
    </w:lvl>
    <w:lvl w:ilvl="1" w:tplc="B046084C">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CB7CC8B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BE287E1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F1866278">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1FA320E">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C57A88EA">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EED04422">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519E92B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6" w15:restartNumberingAfterBreak="0">
    <w:nsid w:val="212C3E11"/>
    <w:multiLevelType w:val="hybridMultilevel"/>
    <w:tmpl w:val="72CEE2BA"/>
    <w:lvl w:ilvl="0" w:tplc="C6900DE4">
      <w:start w:val="1"/>
      <w:numFmt w:val="decimal"/>
      <w:lvlText w:val="%1."/>
      <w:lvlJc w:val="left"/>
      <w:pPr>
        <w:ind w:left="360" w:hanging="360"/>
      </w:pPr>
    </w:lvl>
    <w:lvl w:ilvl="1" w:tplc="2FC87234">
      <w:start w:val="1"/>
      <w:numFmt w:val="lowerLetter"/>
      <w:lvlText w:val="%2."/>
      <w:lvlJc w:val="left"/>
      <w:pPr>
        <w:ind w:left="1080" w:hanging="360"/>
      </w:pPr>
    </w:lvl>
    <w:lvl w:ilvl="2" w:tplc="9DF07EC4">
      <w:start w:val="1"/>
      <w:numFmt w:val="lowerRoman"/>
      <w:lvlText w:val="%3."/>
      <w:lvlJc w:val="right"/>
      <w:pPr>
        <w:ind w:left="1800" w:hanging="180"/>
      </w:pPr>
    </w:lvl>
    <w:lvl w:ilvl="3" w:tplc="BC7ED668">
      <w:start w:val="1"/>
      <w:numFmt w:val="decimal"/>
      <w:lvlText w:val="%4."/>
      <w:lvlJc w:val="left"/>
      <w:pPr>
        <w:ind w:left="2520" w:hanging="360"/>
      </w:pPr>
    </w:lvl>
    <w:lvl w:ilvl="4" w:tplc="CF487356">
      <w:start w:val="1"/>
      <w:numFmt w:val="lowerLetter"/>
      <w:lvlText w:val="%5."/>
      <w:lvlJc w:val="left"/>
      <w:pPr>
        <w:ind w:left="3240" w:hanging="360"/>
      </w:pPr>
    </w:lvl>
    <w:lvl w:ilvl="5" w:tplc="38F8DEFA">
      <w:start w:val="1"/>
      <w:numFmt w:val="lowerRoman"/>
      <w:lvlText w:val="%6."/>
      <w:lvlJc w:val="right"/>
      <w:pPr>
        <w:ind w:left="3960" w:hanging="180"/>
      </w:pPr>
    </w:lvl>
    <w:lvl w:ilvl="6" w:tplc="AD0641A0">
      <w:start w:val="1"/>
      <w:numFmt w:val="decimal"/>
      <w:lvlText w:val="%7."/>
      <w:lvlJc w:val="left"/>
      <w:pPr>
        <w:ind w:left="4680" w:hanging="360"/>
      </w:pPr>
    </w:lvl>
    <w:lvl w:ilvl="7" w:tplc="0FB28ACC">
      <w:start w:val="1"/>
      <w:numFmt w:val="lowerLetter"/>
      <w:lvlText w:val="%8."/>
      <w:lvlJc w:val="left"/>
      <w:pPr>
        <w:ind w:left="5400" w:hanging="360"/>
      </w:pPr>
    </w:lvl>
    <w:lvl w:ilvl="8" w:tplc="4C26D88E">
      <w:start w:val="1"/>
      <w:numFmt w:val="lowerRoman"/>
      <w:lvlText w:val="%9."/>
      <w:lvlJc w:val="right"/>
      <w:pPr>
        <w:ind w:left="6120" w:hanging="180"/>
      </w:pPr>
    </w:lvl>
  </w:abstractNum>
  <w:abstractNum w:abstractNumId="7" w15:restartNumberingAfterBreak="0">
    <w:nsid w:val="236C2364"/>
    <w:multiLevelType w:val="hybridMultilevel"/>
    <w:tmpl w:val="E7485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D2530"/>
    <w:multiLevelType w:val="hybridMultilevel"/>
    <w:tmpl w:val="81E476DC"/>
    <w:lvl w:ilvl="0" w:tplc="2660820A">
      <w:start w:val="1"/>
      <w:numFmt w:val="decimal"/>
      <w:suff w:val="space"/>
      <w:lvlText w:val="%1."/>
      <w:lvlJc w:val="left"/>
      <w:pPr>
        <w:ind w:left="0" w:firstLine="0"/>
      </w:pPr>
      <w:rPr>
        <w:rFonts w:asciiTheme="majorHAnsi" w:hAnsiTheme="majorHAnsi" w:cstheme="majorHAnsi" w:hint="default"/>
        <w:b w:val="0"/>
        <w:i w:val="0"/>
        <w:strike w:val="0"/>
        <w:dstrike w:val="0"/>
        <w:sz w:val="22"/>
        <w:szCs w:val="22"/>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6610F0E"/>
    <w:multiLevelType w:val="hybridMultilevel"/>
    <w:tmpl w:val="6C545B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743354"/>
    <w:multiLevelType w:val="hybridMultilevel"/>
    <w:tmpl w:val="B4C43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240AD2"/>
    <w:multiLevelType w:val="hybridMultilevel"/>
    <w:tmpl w:val="C74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B368C"/>
    <w:multiLevelType w:val="hybridMultilevel"/>
    <w:tmpl w:val="C43E0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A60EB6"/>
    <w:multiLevelType w:val="hybridMultilevel"/>
    <w:tmpl w:val="1FBE1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C4132"/>
    <w:multiLevelType w:val="hybridMultilevel"/>
    <w:tmpl w:val="AB5EAC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B5EB2"/>
    <w:multiLevelType w:val="hybridMultilevel"/>
    <w:tmpl w:val="1F6E3E40"/>
    <w:lvl w:ilvl="0" w:tplc="85766E76">
      <w:start w:val="1"/>
      <w:numFmt w:val="bullet"/>
      <w:lvlText w:val="•"/>
      <w:lvlJc w:val="left"/>
      <w:pPr>
        <w:ind w:left="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3F50542E">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DAF206DE">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D57A5CAC">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B32880F0">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E1562406">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461C307C">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6D36106E">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BB5410D2">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6" w15:restartNumberingAfterBreak="0">
    <w:nsid w:val="374A542C"/>
    <w:multiLevelType w:val="hybridMultilevel"/>
    <w:tmpl w:val="E1A647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3531785"/>
    <w:multiLevelType w:val="hybridMultilevel"/>
    <w:tmpl w:val="212E2C00"/>
    <w:lvl w:ilvl="0" w:tplc="75B64A24">
      <w:start w:val="1"/>
      <w:numFmt w:val="bullet"/>
      <w:lvlText w:val="•"/>
      <w:lvlJc w:val="left"/>
      <w:pPr>
        <w:ind w:left="72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7039F"/>
    <w:multiLevelType w:val="hybridMultilevel"/>
    <w:tmpl w:val="40CC5698"/>
    <w:lvl w:ilvl="0" w:tplc="75B64A24">
      <w:start w:val="1"/>
      <w:numFmt w:val="bullet"/>
      <w:lvlText w:val="•"/>
      <w:lvlJc w:val="left"/>
      <w:pPr>
        <w:ind w:left="360"/>
      </w:pPr>
      <w:rPr>
        <w:rFonts w:ascii="Arial" w:eastAsia="Arial" w:hAnsi="Arial" w:cs="Arial"/>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19" w15:restartNumberingAfterBreak="0">
    <w:nsid w:val="45BC016B"/>
    <w:multiLevelType w:val="hybridMultilevel"/>
    <w:tmpl w:val="4C3AD90E"/>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9EE64C0"/>
    <w:multiLevelType w:val="hybridMultilevel"/>
    <w:tmpl w:val="D642373E"/>
    <w:lvl w:ilvl="0" w:tplc="BE287E18">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DAB5645"/>
    <w:multiLevelType w:val="hybridMultilevel"/>
    <w:tmpl w:val="DFAC6B98"/>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7495F63"/>
    <w:multiLevelType w:val="hybridMultilevel"/>
    <w:tmpl w:val="41D297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75434F"/>
    <w:multiLevelType w:val="hybridMultilevel"/>
    <w:tmpl w:val="FC9C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20979"/>
    <w:multiLevelType w:val="hybridMultilevel"/>
    <w:tmpl w:val="4470EDF4"/>
    <w:lvl w:ilvl="0" w:tplc="75B64A24">
      <w:start w:val="1"/>
      <w:numFmt w:val="bullet"/>
      <w:lvlText w:val="•"/>
      <w:lvlJc w:val="left"/>
      <w:pPr>
        <w:ind w:left="72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4A37BE"/>
    <w:multiLevelType w:val="hybridMultilevel"/>
    <w:tmpl w:val="4566A8CC"/>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F9C109F"/>
    <w:multiLevelType w:val="hybridMultilevel"/>
    <w:tmpl w:val="8A9E41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0C5167B"/>
    <w:multiLevelType w:val="hybridMultilevel"/>
    <w:tmpl w:val="548C157C"/>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59F2D48"/>
    <w:multiLevelType w:val="hybridMultilevel"/>
    <w:tmpl w:val="C17A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F5413"/>
    <w:multiLevelType w:val="hybridMultilevel"/>
    <w:tmpl w:val="9E9C2EA8"/>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8"/>
  </w:num>
  <w:num w:numId="4">
    <w:abstractNumId w:val="16"/>
  </w:num>
  <w:num w:numId="5">
    <w:abstractNumId w:val="26"/>
  </w:num>
  <w:num w:numId="6">
    <w:abstractNumId w:val="21"/>
  </w:num>
  <w:num w:numId="7">
    <w:abstractNumId w:val="1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9"/>
  </w:num>
  <w:num w:numId="13">
    <w:abstractNumId w:val="0"/>
  </w:num>
  <w:num w:numId="14">
    <w:abstractNumId w:val="25"/>
  </w:num>
  <w:num w:numId="15">
    <w:abstractNumId w:val="27"/>
  </w:num>
  <w:num w:numId="16">
    <w:abstractNumId w:val="24"/>
  </w:num>
  <w:num w:numId="17">
    <w:abstractNumId w:val="17"/>
  </w:num>
  <w:num w:numId="18">
    <w:abstractNumId w:val="1"/>
  </w:num>
  <w:num w:numId="19">
    <w:abstractNumId w:val="11"/>
  </w:num>
  <w:num w:numId="20">
    <w:abstractNumId w:val="12"/>
  </w:num>
  <w:num w:numId="21">
    <w:abstractNumId w:val="20"/>
  </w:num>
  <w:num w:numId="22">
    <w:abstractNumId w:val="28"/>
  </w:num>
  <w:num w:numId="23">
    <w:abstractNumId w:val="23"/>
  </w:num>
  <w:num w:numId="24">
    <w:abstractNumId w:val="7"/>
  </w:num>
  <w:num w:numId="25">
    <w:abstractNumId w:val="10"/>
  </w:num>
  <w:num w:numId="26">
    <w:abstractNumId w:val="22"/>
  </w:num>
  <w:num w:numId="27">
    <w:abstractNumId w:val="9"/>
  </w:num>
  <w:num w:numId="28">
    <w:abstractNumId w:val="14"/>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FE"/>
    <w:rsid w:val="00007DD3"/>
    <w:rsid w:val="00013B43"/>
    <w:rsid w:val="0003531B"/>
    <w:rsid w:val="00036F3A"/>
    <w:rsid w:val="00042B95"/>
    <w:rsid w:val="000561AC"/>
    <w:rsid w:val="0006515A"/>
    <w:rsid w:val="00065BF3"/>
    <w:rsid w:val="00076E10"/>
    <w:rsid w:val="00077683"/>
    <w:rsid w:val="000811BC"/>
    <w:rsid w:val="000932FB"/>
    <w:rsid w:val="000F339D"/>
    <w:rsid w:val="001239DD"/>
    <w:rsid w:val="00126A4F"/>
    <w:rsid w:val="00137A75"/>
    <w:rsid w:val="00146545"/>
    <w:rsid w:val="001563D6"/>
    <w:rsid w:val="001706C2"/>
    <w:rsid w:val="0018214B"/>
    <w:rsid w:val="00182B7B"/>
    <w:rsid w:val="00184315"/>
    <w:rsid w:val="001874FE"/>
    <w:rsid w:val="001A7482"/>
    <w:rsid w:val="001B0AB2"/>
    <w:rsid w:val="001B2553"/>
    <w:rsid w:val="001B78C9"/>
    <w:rsid w:val="001D13F3"/>
    <w:rsid w:val="001D6ACA"/>
    <w:rsid w:val="00210E8C"/>
    <w:rsid w:val="002161A3"/>
    <w:rsid w:val="0024120C"/>
    <w:rsid w:val="00265B74"/>
    <w:rsid w:val="00266062"/>
    <w:rsid w:val="002B7E9E"/>
    <w:rsid w:val="002C53C0"/>
    <w:rsid w:val="002D1FC6"/>
    <w:rsid w:val="002F083C"/>
    <w:rsid w:val="00306704"/>
    <w:rsid w:val="00310CBD"/>
    <w:rsid w:val="003344F2"/>
    <w:rsid w:val="0034312B"/>
    <w:rsid w:val="00347940"/>
    <w:rsid w:val="0036621C"/>
    <w:rsid w:val="00396F9C"/>
    <w:rsid w:val="003A018B"/>
    <w:rsid w:val="003A726C"/>
    <w:rsid w:val="003C6702"/>
    <w:rsid w:val="003D5420"/>
    <w:rsid w:val="003F0091"/>
    <w:rsid w:val="00400CB2"/>
    <w:rsid w:val="00401960"/>
    <w:rsid w:val="00412156"/>
    <w:rsid w:val="00416A6B"/>
    <w:rsid w:val="00436140"/>
    <w:rsid w:val="00436E2A"/>
    <w:rsid w:val="0044125A"/>
    <w:rsid w:val="00457F90"/>
    <w:rsid w:val="00483664"/>
    <w:rsid w:val="004855D1"/>
    <w:rsid w:val="004A0671"/>
    <w:rsid w:val="004A6509"/>
    <w:rsid w:val="004B3C9D"/>
    <w:rsid w:val="004C5748"/>
    <w:rsid w:val="004C7846"/>
    <w:rsid w:val="004D6ACC"/>
    <w:rsid w:val="004D6DF1"/>
    <w:rsid w:val="004E2027"/>
    <w:rsid w:val="004E50D6"/>
    <w:rsid w:val="00506247"/>
    <w:rsid w:val="0052119A"/>
    <w:rsid w:val="00537C28"/>
    <w:rsid w:val="00543348"/>
    <w:rsid w:val="00543403"/>
    <w:rsid w:val="00551DA7"/>
    <w:rsid w:val="00555548"/>
    <w:rsid w:val="00580BAB"/>
    <w:rsid w:val="005C3B3E"/>
    <w:rsid w:val="005C5CAC"/>
    <w:rsid w:val="005D36AD"/>
    <w:rsid w:val="005D49AF"/>
    <w:rsid w:val="005E78E5"/>
    <w:rsid w:val="005F2486"/>
    <w:rsid w:val="00605A66"/>
    <w:rsid w:val="0062281C"/>
    <w:rsid w:val="00632074"/>
    <w:rsid w:val="006423F9"/>
    <w:rsid w:val="00642C82"/>
    <w:rsid w:val="006773AB"/>
    <w:rsid w:val="00684177"/>
    <w:rsid w:val="00697C23"/>
    <w:rsid w:val="006A036A"/>
    <w:rsid w:val="006A2C78"/>
    <w:rsid w:val="006A7F5F"/>
    <w:rsid w:val="006B6894"/>
    <w:rsid w:val="006B7C7D"/>
    <w:rsid w:val="006E06E7"/>
    <w:rsid w:val="007022E9"/>
    <w:rsid w:val="00717426"/>
    <w:rsid w:val="00785AEE"/>
    <w:rsid w:val="007B799D"/>
    <w:rsid w:val="007D618F"/>
    <w:rsid w:val="007E0706"/>
    <w:rsid w:val="007E232A"/>
    <w:rsid w:val="007E45E9"/>
    <w:rsid w:val="0080516E"/>
    <w:rsid w:val="00806D10"/>
    <w:rsid w:val="00813F75"/>
    <w:rsid w:val="00832B2E"/>
    <w:rsid w:val="00834394"/>
    <w:rsid w:val="0083553A"/>
    <w:rsid w:val="0084491A"/>
    <w:rsid w:val="0084537C"/>
    <w:rsid w:val="00875E2B"/>
    <w:rsid w:val="00894BB1"/>
    <w:rsid w:val="008A0CDC"/>
    <w:rsid w:val="008B55C9"/>
    <w:rsid w:val="008B7BDF"/>
    <w:rsid w:val="008C296B"/>
    <w:rsid w:val="008D112C"/>
    <w:rsid w:val="008D51C2"/>
    <w:rsid w:val="008D7182"/>
    <w:rsid w:val="009046CA"/>
    <w:rsid w:val="00911D80"/>
    <w:rsid w:val="00920792"/>
    <w:rsid w:val="00920E78"/>
    <w:rsid w:val="00921BBD"/>
    <w:rsid w:val="009351B9"/>
    <w:rsid w:val="00937B91"/>
    <w:rsid w:val="00962358"/>
    <w:rsid w:val="00963934"/>
    <w:rsid w:val="00980088"/>
    <w:rsid w:val="00986241"/>
    <w:rsid w:val="009C2444"/>
    <w:rsid w:val="009C69CF"/>
    <w:rsid w:val="009D4DF9"/>
    <w:rsid w:val="009D6BDF"/>
    <w:rsid w:val="009E5698"/>
    <w:rsid w:val="009F0D36"/>
    <w:rsid w:val="00A14880"/>
    <w:rsid w:val="00A45DBA"/>
    <w:rsid w:val="00A601FD"/>
    <w:rsid w:val="00A623B6"/>
    <w:rsid w:val="00A630E6"/>
    <w:rsid w:val="00A63632"/>
    <w:rsid w:val="00A64B4D"/>
    <w:rsid w:val="00A73D2B"/>
    <w:rsid w:val="00A810D4"/>
    <w:rsid w:val="00A94B74"/>
    <w:rsid w:val="00AB100A"/>
    <w:rsid w:val="00AB6093"/>
    <w:rsid w:val="00AC546C"/>
    <w:rsid w:val="00AE1AB8"/>
    <w:rsid w:val="00AE7618"/>
    <w:rsid w:val="00AF1E7D"/>
    <w:rsid w:val="00B01AC5"/>
    <w:rsid w:val="00B13E1E"/>
    <w:rsid w:val="00B167F7"/>
    <w:rsid w:val="00B26355"/>
    <w:rsid w:val="00B30F79"/>
    <w:rsid w:val="00B442EF"/>
    <w:rsid w:val="00B46323"/>
    <w:rsid w:val="00B510D7"/>
    <w:rsid w:val="00B56BC5"/>
    <w:rsid w:val="00B57C72"/>
    <w:rsid w:val="00B72885"/>
    <w:rsid w:val="00B82CAC"/>
    <w:rsid w:val="00B95D34"/>
    <w:rsid w:val="00BB11EE"/>
    <w:rsid w:val="00BB1942"/>
    <w:rsid w:val="00BC74B9"/>
    <w:rsid w:val="00BD7368"/>
    <w:rsid w:val="00BF6EEB"/>
    <w:rsid w:val="00C34E0B"/>
    <w:rsid w:val="00C41C6B"/>
    <w:rsid w:val="00C45103"/>
    <w:rsid w:val="00C4605F"/>
    <w:rsid w:val="00C51E98"/>
    <w:rsid w:val="00C54ACA"/>
    <w:rsid w:val="00C64EE2"/>
    <w:rsid w:val="00C66247"/>
    <w:rsid w:val="00C84EAB"/>
    <w:rsid w:val="00C8557D"/>
    <w:rsid w:val="00C91B5E"/>
    <w:rsid w:val="00C94441"/>
    <w:rsid w:val="00CA264C"/>
    <w:rsid w:val="00CB3215"/>
    <w:rsid w:val="00CB5AA7"/>
    <w:rsid w:val="00CC424E"/>
    <w:rsid w:val="00CD6886"/>
    <w:rsid w:val="00D01249"/>
    <w:rsid w:val="00D13D89"/>
    <w:rsid w:val="00D316D2"/>
    <w:rsid w:val="00D50E64"/>
    <w:rsid w:val="00D75C20"/>
    <w:rsid w:val="00D856A7"/>
    <w:rsid w:val="00D938CE"/>
    <w:rsid w:val="00DA1546"/>
    <w:rsid w:val="00DA7DD3"/>
    <w:rsid w:val="00DB2AFE"/>
    <w:rsid w:val="00DB56A3"/>
    <w:rsid w:val="00DB6777"/>
    <w:rsid w:val="00DE11AB"/>
    <w:rsid w:val="00DF1DE4"/>
    <w:rsid w:val="00DF42DD"/>
    <w:rsid w:val="00DF5F9E"/>
    <w:rsid w:val="00E702F3"/>
    <w:rsid w:val="00E85756"/>
    <w:rsid w:val="00E900F9"/>
    <w:rsid w:val="00E91699"/>
    <w:rsid w:val="00EA3F4F"/>
    <w:rsid w:val="00EC5AA2"/>
    <w:rsid w:val="00EE4350"/>
    <w:rsid w:val="00F1757F"/>
    <w:rsid w:val="00F30453"/>
    <w:rsid w:val="00F46F9D"/>
    <w:rsid w:val="00F53696"/>
    <w:rsid w:val="00F5779A"/>
    <w:rsid w:val="00F60825"/>
    <w:rsid w:val="00F84A5D"/>
    <w:rsid w:val="00F951DD"/>
    <w:rsid w:val="00FA7017"/>
    <w:rsid w:val="00FD7ED8"/>
    <w:rsid w:val="00FE400F"/>
    <w:rsid w:val="00FE58C1"/>
    <w:rsid w:val="00FE71F2"/>
    <w:rsid w:val="00FE79EF"/>
    <w:rsid w:val="00FF78F4"/>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3A1A"/>
  <w15:docId w15:val="{7D46D31E-4570-4EF6-A7EB-827CBD86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7B"/>
    <w:pPr>
      <w:spacing w:after="28" w:line="257" w:lineRule="auto"/>
      <w:ind w:left="370" w:right="2" w:hanging="370"/>
      <w:jc w:val="both"/>
    </w:pPr>
    <w:rPr>
      <w:rFonts w:ascii="Cambria" w:eastAsia="Cambria" w:hAnsi="Cambria" w:cs="Cambria"/>
      <w:color w:val="000000"/>
    </w:rPr>
  </w:style>
  <w:style w:type="paragraph" w:styleId="Heading1">
    <w:name w:val="heading 1"/>
    <w:next w:val="Normal"/>
    <w:link w:val="Heading1Char"/>
    <w:uiPriority w:val="9"/>
    <w:unhideWhenUsed/>
    <w:qFormat/>
    <w:rsid w:val="00013B43"/>
    <w:pPr>
      <w:keepNext/>
      <w:keepLines/>
      <w:spacing w:after="159"/>
      <w:ind w:left="10" w:hanging="10"/>
      <w:outlineLvl w:val="0"/>
    </w:pPr>
    <w:rPr>
      <w:rFonts w:ascii="Cambria" w:eastAsia="Cambria" w:hAnsi="Cambria" w:cs="Cambria"/>
      <w:b/>
      <w:color w:val="2F5496"/>
      <w:sz w:val="26"/>
      <w:u w:val="single" w:color="2F5496"/>
    </w:rPr>
  </w:style>
  <w:style w:type="paragraph" w:styleId="Heading2">
    <w:name w:val="heading 2"/>
    <w:basedOn w:val="Normal"/>
    <w:next w:val="Normal"/>
    <w:link w:val="Heading2Char"/>
    <w:uiPriority w:val="9"/>
    <w:unhideWhenUsed/>
    <w:qFormat/>
    <w:rsid w:val="00CB3215"/>
    <w:pPr>
      <w:spacing w:beforeLines="40" w:afterLines="40"/>
      <w:outlineLvl w:val="1"/>
    </w:pPr>
    <w:rPr>
      <w:rFonts w:cs="Arial"/>
      <w:b/>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B3215"/>
    <w:rPr>
      <w:rFonts w:ascii="Cambria" w:eastAsia="Cambria" w:hAnsi="Cambria" w:cs="Arial"/>
      <w:b/>
      <w:color w:val="365F91"/>
      <w:sz w:val="24"/>
      <w:szCs w:val="24"/>
    </w:rPr>
  </w:style>
  <w:style w:type="character" w:customStyle="1" w:styleId="Heading1Char">
    <w:name w:val="Heading 1 Char"/>
    <w:link w:val="Heading1"/>
    <w:rsid w:val="00013B43"/>
    <w:rPr>
      <w:rFonts w:ascii="Cambria" w:eastAsia="Cambria" w:hAnsi="Cambria" w:cs="Cambria"/>
      <w:b/>
      <w:color w:val="2F5496"/>
      <w:sz w:val="26"/>
      <w:u w:val="single" w:color="2F5496"/>
    </w:rPr>
  </w:style>
  <w:style w:type="paragraph" w:styleId="BalloonText">
    <w:name w:val="Balloon Text"/>
    <w:basedOn w:val="Normal"/>
    <w:link w:val="BalloonTextChar"/>
    <w:uiPriority w:val="99"/>
    <w:semiHidden/>
    <w:unhideWhenUsed/>
    <w:rsid w:val="0009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FB"/>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184315"/>
    <w:rPr>
      <w:sz w:val="16"/>
      <w:szCs w:val="16"/>
    </w:rPr>
  </w:style>
  <w:style w:type="paragraph" w:styleId="CommentText">
    <w:name w:val="annotation text"/>
    <w:basedOn w:val="Normal"/>
    <w:link w:val="CommentTextChar"/>
    <w:uiPriority w:val="99"/>
    <w:semiHidden/>
    <w:unhideWhenUsed/>
    <w:rsid w:val="00184315"/>
    <w:pPr>
      <w:spacing w:line="240" w:lineRule="auto"/>
    </w:pPr>
    <w:rPr>
      <w:sz w:val="20"/>
      <w:szCs w:val="20"/>
    </w:rPr>
  </w:style>
  <w:style w:type="character" w:customStyle="1" w:styleId="CommentTextChar">
    <w:name w:val="Comment Text Char"/>
    <w:basedOn w:val="DefaultParagraphFont"/>
    <w:link w:val="CommentText"/>
    <w:uiPriority w:val="99"/>
    <w:semiHidden/>
    <w:rsid w:val="0018431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84315"/>
    <w:rPr>
      <w:b/>
      <w:bCs/>
    </w:rPr>
  </w:style>
  <w:style w:type="character" w:customStyle="1" w:styleId="CommentSubjectChar">
    <w:name w:val="Comment Subject Char"/>
    <w:basedOn w:val="CommentTextChar"/>
    <w:link w:val="CommentSubject"/>
    <w:uiPriority w:val="99"/>
    <w:semiHidden/>
    <w:rsid w:val="00184315"/>
    <w:rPr>
      <w:rFonts w:ascii="Cambria" w:eastAsia="Cambria" w:hAnsi="Cambria" w:cs="Cambria"/>
      <w:b/>
      <w:bCs/>
      <w:color w:val="000000"/>
      <w:sz w:val="20"/>
      <w:szCs w:val="20"/>
    </w:rPr>
  </w:style>
  <w:style w:type="character" w:styleId="Hyperlink">
    <w:name w:val="Hyperlink"/>
    <w:basedOn w:val="DefaultParagraphFont"/>
    <w:uiPriority w:val="99"/>
    <w:unhideWhenUsed/>
    <w:rsid w:val="00184315"/>
    <w:rPr>
      <w:color w:val="0563C1" w:themeColor="hyperlink"/>
      <w:u w:val="single"/>
    </w:rPr>
  </w:style>
  <w:style w:type="paragraph" w:styleId="ListParagraph">
    <w:name w:val="List Paragraph"/>
    <w:basedOn w:val="Normal"/>
    <w:uiPriority w:val="34"/>
    <w:qFormat/>
    <w:rsid w:val="004E2027"/>
    <w:pPr>
      <w:ind w:left="720"/>
      <w:contextualSpacing/>
    </w:pPr>
  </w:style>
  <w:style w:type="character" w:styleId="FollowedHyperlink">
    <w:name w:val="FollowedHyperlink"/>
    <w:basedOn w:val="DefaultParagraphFont"/>
    <w:uiPriority w:val="99"/>
    <w:semiHidden/>
    <w:unhideWhenUsed/>
    <w:rsid w:val="004E2027"/>
    <w:rPr>
      <w:color w:val="954F72" w:themeColor="followedHyperlink"/>
      <w:u w:val="single"/>
    </w:rPr>
  </w:style>
  <w:style w:type="character" w:customStyle="1" w:styleId="Mencinsinresolver1">
    <w:name w:val="Mención sin resolver1"/>
    <w:basedOn w:val="DefaultParagraphFont"/>
    <w:uiPriority w:val="99"/>
    <w:semiHidden/>
    <w:unhideWhenUsed/>
    <w:rsid w:val="004E2027"/>
    <w:rPr>
      <w:color w:val="605E5C"/>
      <w:shd w:val="clear" w:color="auto" w:fill="E1DFDD"/>
    </w:rPr>
  </w:style>
  <w:style w:type="table" w:styleId="TableGrid">
    <w:name w:val="Table Grid"/>
    <w:basedOn w:val="TableNormal"/>
    <w:uiPriority w:val="39"/>
    <w:rsid w:val="007E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E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3E1E"/>
    <w:rPr>
      <w:rFonts w:ascii="Cambria" w:eastAsia="Cambria" w:hAnsi="Cambria" w:cs="Cambria"/>
      <w:color w:val="000000"/>
    </w:rPr>
  </w:style>
  <w:style w:type="paragraph" w:customStyle="1" w:styleId="LightGrid-Accent31">
    <w:name w:val="Light Grid - Accent 31"/>
    <w:basedOn w:val="Normal"/>
    <w:uiPriority w:val="34"/>
    <w:qFormat/>
    <w:rsid w:val="008D112C"/>
    <w:pPr>
      <w:spacing w:after="160" w:line="256" w:lineRule="auto"/>
      <w:ind w:left="720" w:right="0" w:firstLine="0"/>
      <w:contextualSpacing/>
      <w:jc w:val="left"/>
    </w:pPr>
    <w:rPr>
      <w:rFonts w:cs="Times New Roman"/>
      <w:color w:val="auto"/>
      <w:lang w:eastAsia="en-US"/>
    </w:rPr>
  </w:style>
  <w:style w:type="paragraph" w:styleId="FootnoteText">
    <w:name w:val="footnote text"/>
    <w:basedOn w:val="Normal"/>
    <w:link w:val="FootnoteTextChar"/>
    <w:uiPriority w:val="99"/>
    <w:semiHidden/>
    <w:unhideWhenUsed/>
    <w:rsid w:val="00D50E64"/>
    <w:pPr>
      <w:spacing w:after="0" w:line="240" w:lineRule="auto"/>
      <w:ind w:left="0" w:right="0" w:firstLine="0"/>
      <w:jc w:val="left"/>
    </w:pPr>
    <w:rPr>
      <w:rFonts w:asciiTheme="minorHAnsi" w:eastAsiaTheme="minorHAnsi" w:hAnsiTheme="minorHAnsi" w:cstheme="minorBidi"/>
      <w:color w:val="auto"/>
      <w:sz w:val="20"/>
      <w:szCs w:val="20"/>
      <w:lang w:val="es-ES" w:eastAsia="en-US"/>
    </w:rPr>
  </w:style>
  <w:style w:type="character" w:customStyle="1" w:styleId="FootnoteTextChar">
    <w:name w:val="Footnote Text Char"/>
    <w:basedOn w:val="DefaultParagraphFont"/>
    <w:link w:val="FootnoteText"/>
    <w:uiPriority w:val="99"/>
    <w:semiHidden/>
    <w:rsid w:val="00D50E64"/>
    <w:rPr>
      <w:rFonts w:eastAsiaTheme="minorHAnsi"/>
      <w:sz w:val="20"/>
      <w:szCs w:val="20"/>
      <w:lang w:val="es-ES" w:eastAsia="en-US"/>
    </w:rPr>
  </w:style>
  <w:style w:type="character" w:styleId="FootnoteReference">
    <w:name w:val="footnote reference"/>
    <w:basedOn w:val="DefaultParagraphFont"/>
    <w:uiPriority w:val="99"/>
    <w:semiHidden/>
    <w:unhideWhenUsed/>
    <w:rsid w:val="00D50E64"/>
    <w:rPr>
      <w:vertAlign w:val="superscript"/>
    </w:rPr>
  </w:style>
  <w:style w:type="paragraph" w:customStyle="1" w:styleId="Default">
    <w:name w:val="Default"/>
    <w:rsid w:val="00F46F9D"/>
    <w:pPr>
      <w:autoSpaceDE w:val="0"/>
      <w:autoSpaceDN w:val="0"/>
      <w:adjustRightInd w:val="0"/>
      <w:spacing w:after="0" w:line="240" w:lineRule="auto"/>
    </w:pPr>
    <w:rPr>
      <w:rFonts w:ascii="Arial" w:hAnsi="Arial" w:cs="Arial"/>
      <w:color w:val="000000"/>
      <w:sz w:val="24"/>
      <w:szCs w:val="24"/>
      <w:lang w:val="es-ES"/>
    </w:rPr>
  </w:style>
  <w:style w:type="table" w:customStyle="1" w:styleId="GridTable7Colorful-Accent51">
    <w:name w:val="Grid Table 7 Colorful - Accent 51"/>
    <w:basedOn w:val="TableNormal"/>
    <w:uiPriority w:val="52"/>
    <w:rsid w:val="00EC5AA2"/>
    <w:pPr>
      <w:spacing w:after="0" w:line="240" w:lineRule="auto"/>
    </w:pPr>
    <w:rPr>
      <w:rFonts w:ascii="Cambria" w:eastAsia="MS Mincho" w:hAnsi="Cambria" w:cs="Times New Roman"/>
      <w:color w:val="2F5496" w:themeColor="accent5" w:themeShade="BF"/>
      <w:sz w:val="20"/>
      <w:szCs w:val="20"/>
      <w:lang w:val="pt-BR"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EC5AA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C460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GridTable6Colorful-Accent11">
    <w:name w:val="Grid Table 6 Colorful - Accent 11"/>
    <w:basedOn w:val="TableNormal"/>
    <w:uiPriority w:val="51"/>
    <w:rsid w:val="0098624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56">
      <w:bodyDiv w:val="1"/>
      <w:marLeft w:val="0"/>
      <w:marRight w:val="0"/>
      <w:marTop w:val="0"/>
      <w:marBottom w:val="0"/>
      <w:divBdr>
        <w:top w:val="none" w:sz="0" w:space="0" w:color="auto"/>
        <w:left w:val="none" w:sz="0" w:space="0" w:color="auto"/>
        <w:bottom w:val="none" w:sz="0" w:space="0" w:color="auto"/>
        <w:right w:val="none" w:sz="0" w:space="0" w:color="auto"/>
      </w:divBdr>
    </w:div>
    <w:div w:id="73675224">
      <w:bodyDiv w:val="1"/>
      <w:marLeft w:val="0"/>
      <w:marRight w:val="0"/>
      <w:marTop w:val="0"/>
      <w:marBottom w:val="0"/>
      <w:divBdr>
        <w:top w:val="none" w:sz="0" w:space="0" w:color="auto"/>
        <w:left w:val="none" w:sz="0" w:space="0" w:color="auto"/>
        <w:bottom w:val="none" w:sz="0" w:space="0" w:color="auto"/>
        <w:right w:val="none" w:sz="0" w:space="0" w:color="auto"/>
      </w:divBdr>
    </w:div>
    <w:div w:id="448398014">
      <w:bodyDiv w:val="1"/>
      <w:marLeft w:val="0"/>
      <w:marRight w:val="0"/>
      <w:marTop w:val="0"/>
      <w:marBottom w:val="0"/>
      <w:divBdr>
        <w:top w:val="none" w:sz="0" w:space="0" w:color="auto"/>
        <w:left w:val="none" w:sz="0" w:space="0" w:color="auto"/>
        <w:bottom w:val="none" w:sz="0" w:space="0" w:color="auto"/>
        <w:right w:val="none" w:sz="0" w:space="0" w:color="auto"/>
      </w:divBdr>
    </w:div>
    <w:div w:id="513227363">
      <w:bodyDiv w:val="1"/>
      <w:marLeft w:val="0"/>
      <w:marRight w:val="0"/>
      <w:marTop w:val="0"/>
      <w:marBottom w:val="0"/>
      <w:divBdr>
        <w:top w:val="none" w:sz="0" w:space="0" w:color="auto"/>
        <w:left w:val="none" w:sz="0" w:space="0" w:color="auto"/>
        <w:bottom w:val="none" w:sz="0" w:space="0" w:color="auto"/>
        <w:right w:val="none" w:sz="0" w:space="0" w:color="auto"/>
      </w:divBdr>
    </w:div>
    <w:div w:id="547838571">
      <w:bodyDiv w:val="1"/>
      <w:marLeft w:val="0"/>
      <w:marRight w:val="0"/>
      <w:marTop w:val="0"/>
      <w:marBottom w:val="0"/>
      <w:divBdr>
        <w:top w:val="none" w:sz="0" w:space="0" w:color="auto"/>
        <w:left w:val="none" w:sz="0" w:space="0" w:color="auto"/>
        <w:bottom w:val="none" w:sz="0" w:space="0" w:color="auto"/>
        <w:right w:val="none" w:sz="0" w:space="0" w:color="auto"/>
      </w:divBdr>
    </w:div>
    <w:div w:id="670528011">
      <w:bodyDiv w:val="1"/>
      <w:marLeft w:val="0"/>
      <w:marRight w:val="0"/>
      <w:marTop w:val="0"/>
      <w:marBottom w:val="0"/>
      <w:divBdr>
        <w:top w:val="none" w:sz="0" w:space="0" w:color="auto"/>
        <w:left w:val="none" w:sz="0" w:space="0" w:color="auto"/>
        <w:bottom w:val="none" w:sz="0" w:space="0" w:color="auto"/>
        <w:right w:val="none" w:sz="0" w:space="0" w:color="auto"/>
      </w:divBdr>
    </w:div>
    <w:div w:id="788165297">
      <w:bodyDiv w:val="1"/>
      <w:marLeft w:val="0"/>
      <w:marRight w:val="0"/>
      <w:marTop w:val="0"/>
      <w:marBottom w:val="0"/>
      <w:divBdr>
        <w:top w:val="none" w:sz="0" w:space="0" w:color="auto"/>
        <w:left w:val="none" w:sz="0" w:space="0" w:color="auto"/>
        <w:bottom w:val="none" w:sz="0" w:space="0" w:color="auto"/>
        <w:right w:val="none" w:sz="0" w:space="0" w:color="auto"/>
      </w:divBdr>
    </w:div>
    <w:div w:id="816842640">
      <w:bodyDiv w:val="1"/>
      <w:marLeft w:val="0"/>
      <w:marRight w:val="0"/>
      <w:marTop w:val="0"/>
      <w:marBottom w:val="0"/>
      <w:divBdr>
        <w:top w:val="none" w:sz="0" w:space="0" w:color="auto"/>
        <w:left w:val="none" w:sz="0" w:space="0" w:color="auto"/>
        <w:bottom w:val="none" w:sz="0" w:space="0" w:color="auto"/>
        <w:right w:val="none" w:sz="0" w:space="0" w:color="auto"/>
      </w:divBdr>
    </w:div>
    <w:div w:id="833764416">
      <w:bodyDiv w:val="1"/>
      <w:marLeft w:val="0"/>
      <w:marRight w:val="0"/>
      <w:marTop w:val="0"/>
      <w:marBottom w:val="0"/>
      <w:divBdr>
        <w:top w:val="none" w:sz="0" w:space="0" w:color="auto"/>
        <w:left w:val="none" w:sz="0" w:space="0" w:color="auto"/>
        <w:bottom w:val="none" w:sz="0" w:space="0" w:color="auto"/>
        <w:right w:val="none" w:sz="0" w:space="0" w:color="auto"/>
      </w:divBdr>
    </w:div>
    <w:div w:id="1016033926">
      <w:bodyDiv w:val="1"/>
      <w:marLeft w:val="0"/>
      <w:marRight w:val="0"/>
      <w:marTop w:val="0"/>
      <w:marBottom w:val="0"/>
      <w:divBdr>
        <w:top w:val="none" w:sz="0" w:space="0" w:color="auto"/>
        <w:left w:val="none" w:sz="0" w:space="0" w:color="auto"/>
        <w:bottom w:val="none" w:sz="0" w:space="0" w:color="auto"/>
        <w:right w:val="none" w:sz="0" w:space="0" w:color="auto"/>
      </w:divBdr>
    </w:div>
    <w:div w:id="1155489476">
      <w:bodyDiv w:val="1"/>
      <w:marLeft w:val="0"/>
      <w:marRight w:val="0"/>
      <w:marTop w:val="0"/>
      <w:marBottom w:val="0"/>
      <w:divBdr>
        <w:top w:val="none" w:sz="0" w:space="0" w:color="auto"/>
        <w:left w:val="none" w:sz="0" w:space="0" w:color="auto"/>
        <w:bottom w:val="none" w:sz="0" w:space="0" w:color="auto"/>
        <w:right w:val="none" w:sz="0" w:space="0" w:color="auto"/>
      </w:divBdr>
    </w:div>
    <w:div w:id="1237285335">
      <w:bodyDiv w:val="1"/>
      <w:marLeft w:val="0"/>
      <w:marRight w:val="0"/>
      <w:marTop w:val="0"/>
      <w:marBottom w:val="0"/>
      <w:divBdr>
        <w:top w:val="none" w:sz="0" w:space="0" w:color="auto"/>
        <w:left w:val="none" w:sz="0" w:space="0" w:color="auto"/>
        <w:bottom w:val="none" w:sz="0" w:space="0" w:color="auto"/>
        <w:right w:val="none" w:sz="0" w:space="0" w:color="auto"/>
      </w:divBdr>
    </w:div>
    <w:div w:id="1383021357">
      <w:bodyDiv w:val="1"/>
      <w:marLeft w:val="0"/>
      <w:marRight w:val="0"/>
      <w:marTop w:val="0"/>
      <w:marBottom w:val="0"/>
      <w:divBdr>
        <w:top w:val="none" w:sz="0" w:space="0" w:color="auto"/>
        <w:left w:val="none" w:sz="0" w:space="0" w:color="auto"/>
        <w:bottom w:val="none" w:sz="0" w:space="0" w:color="auto"/>
        <w:right w:val="none" w:sz="0" w:space="0" w:color="auto"/>
      </w:divBdr>
    </w:div>
    <w:div w:id="1407722123">
      <w:bodyDiv w:val="1"/>
      <w:marLeft w:val="0"/>
      <w:marRight w:val="0"/>
      <w:marTop w:val="0"/>
      <w:marBottom w:val="0"/>
      <w:divBdr>
        <w:top w:val="none" w:sz="0" w:space="0" w:color="auto"/>
        <w:left w:val="none" w:sz="0" w:space="0" w:color="auto"/>
        <w:bottom w:val="none" w:sz="0" w:space="0" w:color="auto"/>
        <w:right w:val="none" w:sz="0" w:space="0" w:color="auto"/>
      </w:divBdr>
    </w:div>
    <w:div w:id="1572422810">
      <w:bodyDiv w:val="1"/>
      <w:marLeft w:val="0"/>
      <w:marRight w:val="0"/>
      <w:marTop w:val="0"/>
      <w:marBottom w:val="0"/>
      <w:divBdr>
        <w:top w:val="none" w:sz="0" w:space="0" w:color="auto"/>
        <w:left w:val="none" w:sz="0" w:space="0" w:color="auto"/>
        <w:bottom w:val="none" w:sz="0" w:space="0" w:color="auto"/>
        <w:right w:val="none" w:sz="0" w:space="0" w:color="auto"/>
      </w:divBdr>
    </w:div>
    <w:div w:id="1628732023">
      <w:bodyDiv w:val="1"/>
      <w:marLeft w:val="0"/>
      <w:marRight w:val="0"/>
      <w:marTop w:val="0"/>
      <w:marBottom w:val="0"/>
      <w:divBdr>
        <w:top w:val="none" w:sz="0" w:space="0" w:color="auto"/>
        <w:left w:val="none" w:sz="0" w:space="0" w:color="auto"/>
        <w:bottom w:val="none" w:sz="0" w:space="0" w:color="auto"/>
        <w:right w:val="none" w:sz="0" w:space="0" w:color="auto"/>
      </w:divBdr>
    </w:div>
    <w:div w:id="1670981719">
      <w:bodyDiv w:val="1"/>
      <w:marLeft w:val="0"/>
      <w:marRight w:val="0"/>
      <w:marTop w:val="0"/>
      <w:marBottom w:val="0"/>
      <w:divBdr>
        <w:top w:val="none" w:sz="0" w:space="0" w:color="auto"/>
        <w:left w:val="none" w:sz="0" w:space="0" w:color="auto"/>
        <w:bottom w:val="none" w:sz="0" w:space="0" w:color="auto"/>
        <w:right w:val="none" w:sz="0" w:space="0" w:color="auto"/>
      </w:divBdr>
    </w:div>
    <w:div w:id="1764446686">
      <w:bodyDiv w:val="1"/>
      <w:marLeft w:val="0"/>
      <w:marRight w:val="0"/>
      <w:marTop w:val="0"/>
      <w:marBottom w:val="0"/>
      <w:divBdr>
        <w:top w:val="none" w:sz="0" w:space="0" w:color="auto"/>
        <w:left w:val="none" w:sz="0" w:space="0" w:color="auto"/>
        <w:bottom w:val="none" w:sz="0" w:space="0" w:color="auto"/>
        <w:right w:val="none" w:sz="0" w:space="0" w:color="auto"/>
      </w:divBdr>
    </w:div>
    <w:div w:id="1816489844">
      <w:bodyDiv w:val="1"/>
      <w:marLeft w:val="0"/>
      <w:marRight w:val="0"/>
      <w:marTop w:val="0"/>
      <w:marBottom w:val="0"/>
      <w:divBdr>
        <w:top w:val="none" w:sz="0" w:space="0" w:color="auto"/>
        <w:left w:val="none" w:sz="0" w:space="0" w:color="auto"/>
        <w:bottom w:val="none" w:sz="0" w:space="0" w:color="auto"/>
        <w:right w:val="none" w:sz="0" w:space="0" w:color="auto"/>
      </w:divBdr>
    </w:div>
    <w:div w:id="187677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Water/CN_MegaProjects.pdf" TargetMode="External"/><Relationship Id="rId13" Type="http://schemas.openxmlformats.org/officeDocument/2006/relationships/hyperlink" Target="https://documents-dds-ny.un.org/doc/UNDOC/GEN/G17/229/49/PDF/G1722949.pdf?OpenElement" TargetMode="External"/><Relationship Id="rId18" Type="http://schemas.openxmlformats.org/officeDocument/2006/relationships/hyperlink" Target="https://spcommreports.ohchr.org/TMResultsBase/DownLoadPublicCommunicationFile?gId=334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uments-dds-ny.un.org/doc/UNDOC/GEN/G17/229/49/PDF/G1722949.pdf?OpenElement" TargetMode="External"/><Relationship Id="rId17" Type="http://schemas.openxmlformats.org/officeDocument/2006/relationships/hyperlink" Target="https://spcommreports.ohchr.org/TMResultsBase/DownLoadPublicCommunicationFile?gId=3344"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ocuments-dds-ny.un.org/doc/UNDOC/GEN/G16/151/61/PDF/G1615161.pdf?OpenE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7/229/49/PDF/G1722949.pdf?OpenElement" TargetMode="External"/><Relationship Id="rId24" Type="http://schemas.openxmlformats.org/officeDocument/2006/relationships/theme" Target="theme/theme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cuments-dds-ny.un.org/doc/UNDOC/GEN/G16/151/61/PDF/G1615161.pdf?OpenElement" TargetMode="External"/><Relationship Id="rId23" Type="http://schemas.openxmlformats.org/officeDocument/2006/relationships/fontTable" Target="fontTable.xml"/><Relationship Id="rId36" Type="http://schemas.openxmlformats.org/officeDocument/2006/relationships/customXml" Target="../customXml/item2.xml"/><Relationship Id="rId10" Type="http://schemas.openxmlformats.org/officeDocument/2006/relationships/hyperlink" Target="https://undocs.org/A/HRC/39/55/ADD.1" TargetMode="External"/><Relationship Id="rId19" Type="http://schemas.openxmlformats.org/officeDocument/2006/relationships/hyperlink" Target="http://undocs.org/A/73/162" TargetMode="External"/><Relationship Id="rId4" Type="http://schemas.openxmlformats.org/officeDocument/2006/relationships/settings" Target="settings.xml"/><Relationship Id="rId9" Type="http://schemas.openxmlformats.org/officeDocument/2006/relationships/hyperlink" Target="https://www.ohchr.org/Documents/Issues/Water/Consultations/AsiaPacificConsultation12Nov2018.docx" TargetMode="External"/><Relationship Id="rId14" Type="http://schemas.openxmlformats.org/officeDocument/2006/relationships/hyperlink" Target="https://documents-dds-ny.un.org/doc/UNDOC/GEN/G16/151/61/PDF/G1615161.pdf?OpenElement" TargetMode="External"/><Relationship Id="rId22" Type="http://schemas.openxmlformats.org/officeDocument/2006/relationships/footer" Target="footer3.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Issues/Development/DFI/MappingStudyontheHRRiskImplications_MegaInfrastructureInvestment.pdf" TargetMode="External"/><Relationship Id="rId1" Type="http://schemas.openxmlformats.org/officeDocument/2006/relationships/hyperlink" Target="https://www.ohchr.org/Documents/Issues/Development/DFI/MappingStudyontheHRRiskImplications_MegaInfrastructure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10D8F-B4D3-4CBA-9C0A-88B5B5FA3175}">
  <ds:schemaRefs>
    <ds:schemaRef ds:uri="http://schemas.openxmlformats.org/officeDocument/2006/bibliography"/>
  </ds:schemaRefs>
</ds:datastoreItem>
</file>

<file path=customXml/itemProps2.xml><?xml version="1.0" encoding="utf-8"?>
<ds:datastoreItem xmlns:ds="http://schemas.openxmlformats.org/officeDocument/2006/customXml" ds:itemID="{8D88EF8E-F828-4E98-B3DA-D69FB9FE0C15}"/>
</file>

<file path=customXml/itemProps3.xml><?xml version="1.0" encoding="utf-8"?>
<ds:datastoreItem xmlns:ds="http://schemas.openxmlformats.org/officeDocument/2006/customXml" ds:itemID="{41CB70CF-B5B2-43AE-BEF9-6375499530F6}"/>
</file>

<file path=customXml/itemProps4.xml><?xml version="1.0" encoding="utf-8"?>
<ds:datastoreItem xmlns:ds="http://schemas.openxmlformats.org/officeDocument/2006/customXml" ds:itemID="{2AD34E64-BAD9-4AD0-A141-2482E58ADD66}"/>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12445</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CN_Mega_ASIAregional_Consultation</dc:title>
  <dc:creator>Rafael Alamar Oliver</dc:creator>
  <cp:lastModifiedBy>Ahreum LEE</cp:lastModifiedBy>
  <cp:revision>4</cp:revision>
  <cp:lastPrinted>2018-10-25T15:10:00Z</cp:lastPrinted>
  <dcterms:created xsi:type="dcterms:W3CDTF">2018-11-12T13:41:00Z</dcterms:created>
  <dcterms:modified xsi:type="dcterms:W3CDTF">2018-11-13T01:29:00Z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