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22C" w:rsidRDefault="00F9422C" w:rsidP="00550B98">
      <w:pPr>
        <w:spacing w:line="360" w:lineRule="auto"/>
        <w:jc w:val="center"/>
        <w:rPr>
          <w:rFonts w:ascii="Palatino Linotype" w:hAnsi="Palatino Linotype"/>
          <w:b/>
          <w:bCs/>
          <w:sz w:val="24"/>
          <w:szCs w:val="24"/>
          <w:u w:val="single"/>
        </w:rPr>
      </w:pPr>
      <w:bookmarkStart w:id="0" w:name="_GoBack"/>
      <w:bookmarkEnd w:id="0"/>
      <w:r>
        <w:rPr>
          <w:rFonts w:ascii="Palatino Linotype" w:hAnsi="Palatino Linotype"/>
          <w:b/>
          <w:bCs/>
          <w:noProof/>
          <w:sz w:val="24"/>
          <w:szCs w:val="24"/>
          <w:u w:val="single"/>
        </w:rPr>
        <w:drawing>
          <wp:inline distT="0" distB="0" distL="0" distR="0" wp14:anchorId="59A8A51A">
            <wp:extent cx="1335405" cy="1621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5405" cy="1621790"/>
                    </a:xfrm>
                    <a:prstGeom prst="rect">
                      <a:avLst/>
                    </a:prstGeom>
                    <a:noFill/>
                  </pic:spPr>
                </pic:pic>
              </a:graphicData>
            </a:graphic>
          </wp:inline>
        </w:drawing>
      </w:r>
    </w:p>
    <w:p w:rsidR="00C6484C" w:rsidRPr="004E33E2" w:rsidRDefault="00172FA5" w:rsidP="00550B98">
      <w:pPr>
        <w:spacing w:line="360" w:lineRule="auto"/>
        <w:jc w:val="center"/>
        <w:rPr>
          <w:rFonts w:ascii="Palatino Linotype" w:hAnsi="Palatino Linotype"/>
          <w:b/>
          <w:bCs/>
          <w:sz w:val="24"/>
          <w:szCs w:val="24"/>
          <w:u w:val="single"/>
        </w:rPr>
      </w:pPr>
      <w:r w:rsidRPr="004E33E2">
        <w:rPr>
          <w:rFonts w:ascii="Palatino Linotype" w:hAnsi="Palatino Linotype"/>
          <w:b/>
          <w:bCs/>
          <w:sz w:val="24"/>
          <w:szCs w:val="24"/>
          <w:u w:val="single"/>
        </w:rPr>
        <w:t>PSYCHOSOCIAL DYNAMICS CONDUCIVE TO TORTURE AND ILL-TREATMENT</w:t>
      </w:r>
    </w:p>
    <w:p w:rsidR="007A43B0" w:rsidRPr="004E33E2" w:rsidRDefault="007A43B0" w:rsidP="00550B98">
      <w:pPr>
        <w:spacing w:line="360" w:lineRule="auto"/>
        <w:rPr>
          <w:rFonts w:ascii="Palatino Linotype" w:hAnsi="Palatino Linotype"/>
          <w:b/>
          <w:bCs/>
          <w:sz w:val="24"/>
          <w:szCs w:val="24"/>
          <w:u w:val="single"/>
        </w:rPr>
      </w:pPr>
      <w:r w:rsidRPr="004E33E2">
        <w:rPr>
          <w:rFonts w:ascii="Palatino Linotype" w:hAnsi="Palatino Linotype"/>
          <w:b/>
          <w:bCs/>
          <w:sz w:val="24"/>
          <w:szCs w:val="24"/>
          <w:u w:val="single"/>
        </w:rPr>
        <w:t>Introduction</w:t>
      </w:r>
    </w:p>
    <w:p w:rsidR="00E406FF" w:rsidRPr="004E33E2" w:rsidRDefault="00E406FF" w:rsidP="00550B98">
      <w:pPr>
        <w:spacing w:line="360" w:lineRule="auto"/>
        <w:jc w:val="both"/>
        <w:rPr>
          <w:rFonts w:ascii="Palatino Linotype" w:hAnsi="Palatino Linotype"/>
          <w:sz w:val="24"/>
          <w:szCs w:val="24"/>
        </w:rPr>
      </w:pPr>
      <w:r w:rsidRPr="004E33E2">
        <w:rPr>
          <w:rFonts w:ascii="Palatino Linotype" w:hAnsi="Palatino Linotype"/>
          <w:sz w:val="24"/>
          <w:szCs w:val="24"/>
        </w:rPr>
        <w:t>The Independent Medico Legal Unit’s work under the Rehabilitation Programme involves provision of medical and psychological care to survivors and victims of torture through a network of medical practitioners and counselors, conducting of postmortems for deaths in places of detention or through action of state actors, counseling and medical care to victims of torture and forensic documentation for purposes of effective prosecution of state perpetrated torture</w:t>
      </w:r>
      <w:r w:rsidR="00DC201E" w:rsidRPr="004E33E2">
        <w:rPr>
          <w:rFonts w:ascii="Palatino Linotype" w:hAnsi="Palatino Linotype"/>
          <w:sz w:val="24"/>
          <w:szCs w:val="24"/>
        </w:rPr>
        <w:t xml:space="preserve">. This work is often underpinned by the need to balance between response and prevention. We have supported thousands of victims over the years through this approach, which has been a key aspect of addressing psychosocial dynamics that come into play when engaging victims and their families. </w:t>
      </w:r>
    </w:p>
    <w:p w:rsidR="00142529" w:rsidRPr="004E33E2" w:rsidRDefault="00142529" w:rsidP="00550B98">
      <w:pPr>
        <w:spacing w:line="360" w:lineRule="auto"/>
        <w:jc w:val="both"/>
        <w:rPr>
          <w:rFonts w:ascii="Palatino Linotype" w:hAnsi="Palatino Linotype"/>
          <w:sz w:val="24"/>
          <w:szCs w:val="24"/>
        </w:rPr>
      </w:pPr>
      <w:r w:rsidRPr="004E33E2">
        <w:rPr>
          <w:rFonts w:ascii="Palatino Linotype" w:hAnsi="Palatino Linotype"/>
          <w:sz w:val="24"/>
          <w:szCs w:val="24"/>
        </w:rPr>
        <w:t>State</w:t>
      </w:r>
      <w:r w:rsidR="00E406FF" w:rsidRPr="004E33E2">
        <w:rPr>
          <w:rFonts w:ascii="Palatino Linotype" w:hAnsi="Palatino Linotype"/>
          <w:sz w:val="24"/>
          <w:szCs w:val="24"/>
        </w:rPr>
        <w:t xml:space="preserve"> violence and its effects </w:t>
      </w:r>
      <w:r w:rsidRPr="004E33E2">
        <w:rPr>
          <w:rFonts w:ascii="Palatino Linotype" w:hAnsi="Palatino Linotype"/>
          <w:sz w:val="24"/>
          <w:szCs w:val="24"/>
        </w:rPr>
        <w:t xml:space="preserve">however </w:t>
      </w:r>
      <w:r w:rsidR="00E406FF" w:rsidRPr="004E33E2">
        <w:rPr>
          <w:rFonts w:ascii="Palatino Linotype" w:hAnsi="Palatino Linotype"/>
          <w:sz w:val="24"/>
          <w:szCs w:val="24"/>
        </w:rPr>
        <w:t>cannot easily be divided into prevention and rehabilitation</w:t>
      </w:r>
      <w:r w:rsidRPr="004E33E2">
        <w:rPr>
          <w:rFonts w:ascii="Palatino Linotype" w:hAnsi="Palatino Linotype"/>
          <w:sz w:val="24"/>
          <w:szCs w:val="24"/>
        </w:rPr>
        <w:t>, because it is often times</w:t>
      </w:r>
      <w:r w:rsidR="00E406FF" w:rsidRPr="004E33E2">
        <w:rPr>
          <w:rFonts w:ascii="Palatino Linotype" w:hAnsi="Palatino Linotype"/>
          <w:sz w:val="24"/>
          <w:szCs w:val="24"/>
        </w:rPr>
        <w:t xml:space="preserve"> chronic and repetitive. </w:t>
      </w:r>
      <w:r w:rsidRPr="004E33E2">
        <w:rPr>
          <w:rFonts w:ascii="Palatino Linotype" w:hAnsi="Palatino Linotype"/>
          <w:sz w:val="24"/>
          <w:szCs w:val="24"/>
        </w:rPr>
        <w:t xml:space="preserve">We have found that for many victims, giving a clear distinction of before, during and after ‘the’ traumatic event can sometimes be hard to establish, because often times people’s experiences are laced and intertwined with other factors, and not just a singular life event. In essence, one’s response to a traumatic event, is compounded by other experiences </w:t>
      </w:r>
      <w:r w:rsidR="00E00B97" w:rsidRPr="004E33E2">
        <w:rPr>
          <w:rFonts w:ascii="Palatino Linotype" w:hAnsi="Palatino Linotype"/>
          <w:sz w:val="24"/>
          <w:szCs w:val="24"/>
        </w:rPr>
        <w:t xml:space="preserve">that </w:t>
      </w:r>
      <w:r w:rsidRPr="004E33E2">
        <w:rPr>
          <w:rFonts w:ascii="Palatino Linotype" w:hAnsi="Palatino Linotype"/>
          <w:sz w:val="24"/>
          <w:szCs w:val="24"/>
        </w:rPr>
        <w:t xml:space="preserve">they may have previously gone through, their state of mental health wellbeing, among others. This </w:t>
      </w:r>
      <w:r w:rsidRPr="004E33E2">
        <w:rPr>
          <w:rFonts w:ascii="Palatino Linotype" w:hAnsi="Palatino Linotype"/>
          <w:sz w:val="24"/>
          <w:szCs w:val="24"/>
        </w:rPr>
        <w:lastRenderedPageBreak/>
        <w:t xml:space="preserve">therefore means that there as service providers we must always think outside the professional boundaries, where finding a middle ground where rehabilitation and prevention overlap becomes key. </w:t>
      </w:r>
    </w:p>
    <w:p w:rsidR="007A43B0" w:rsidRPr="004E33E2" w:rsidRDefault="007A43B0" w:rsidP="00550B98">
      <w:pPr>
        <w:spacing w:line="360" w:lineRule="auto"/>
        <w:jc w:val="both"/>
        <w:rPr>
          <w:rFonts w:ascii="Palatino Linotype" w:hAnsi="Palatino Linotype"/>
          <w:b/>
          <w:sz w:val="24"/>
          <w:szCs w:val="24"/>
          <w:u w:val="single"/>
        </w:rPr>
      </w:pPr>
      <w:r w:rsidRPr="004E33E2">
        <w:rPr>
          <w:rFonts w:ascii="Palatino Linotype" w:hAnsi="Palatino Linotype"/>
          <w:b/>
          <w:sz w:val="24"/>
          <w:szCs w:val="24"/>
          <w:u w:val="single"/>
        </w:rPr>
        <w:t>Psychosocial Dynamics</w:t>
      </w:r>
      <w:r w:rsidR="00523C42" w:rsidRPr="004E33E2">
        <w:rPr>
          <w:rFonts w:ascii="Palatino Linotype" w:hAnsi="Palatino Linotype"/>
          <w:b/>
          <w:sz w:val="24"/>
          <w:szCs w:val="24"/>
          <w:u w:val="single"/>
        </w:rPr>
        <w:t xml:space="preserve"> to consider </w:t>
      </w:r>
    </w:p>
    <w:p w:rsidR="004B7D2A" w:rsidRPr="004E33E2" w:rsidRDefault="00E00B97" w:rsidP="00550B98">
      <w:pPr>
        <w:spacing w:line="360" w:lineRule="auto"/>
        <w:jc w:val="both"/>
        <w:rPr>
          <w:rFonts w:ascii="Palatino Linotype" w:hAnsi="Palatino Linotype"/>
          <w:sz w:val="24"/>
          <w:szCs w:val="24"/>
        </w:rPr>
      </w:pPr>
      <w:r w:rsidRPr="004E33E2">
        <w:rPr>
          <w:rFonts w:ascii="Palatino Linotype" w:hAnsi="Palatino Linotype"/>
          <w:sz w:val="24"/>
          <w:szCs w:val="24"/>
        </w:rPr>
        <w:t>Supporting victims of torture and their families requires</w:t>
      </w:r>
      <w:r w:rsidR="005445C3" w:rsidRPr="004E33E2">
        <w:rPr>
          <w:rFonts w:ascii="Palatino Linotype" w:hAnsi="Palatino Linotype"/>
          <w:sz w:val="24"/>
          <w:szCs w:val="24"/>
        </w:rPr>
        <w:t xml:space="preserve"> that we must address</w:t>
      </w:r>
      <w:r w:rsidRPr="004E33E2">
        <w:rPr>
          <w:rFonts w:ascii="Palatino Linotype" w:hAnsi="Palatino Linotype"/>
          <w:sz w:val="24"/>
          <w:szCs w:val="24"/>
        </w:rPr>
        <w:t xml:space="preserve"> </w:t>
      </w:r>
      <w:r w:rsidR="007A43B0" w:rsidRPr="004E33E2">
        <w:rPr>
          <w:rFonts w:ascii="Palatino Linotype" w:hAnsi="Palatino Linotype"/>
          <w:sz w:val="24"/>
          <w:szCs w:val="24"/>
        </w:rPr>
        <w:t xml:space="preserve">psychosocial </w:t>
      </w:r>
      <w:r w:rsidR="005445C3" w:rsidRPr="004E33E2">
        <w:rPr>
          <w:rFonts w:ascii="Palatino Linotype" w:hAnsi="Palatino Linotype"/>
          <w:sz w:val="24"/>
          <w:szCs w:val="24"/>
        </w:rPr>
        <w:t>dynamics</w:t>
      </w:r>
      <w:r w:rsidR="007A43B0" w:rsidRPr="004E33E2">
        <w:rPr>
          <w:rFonts w:ascii="Palatino Linotype" w:hAnsi="Palatino Linotype"/>
          <w:sz w:val="24"/>
          <w:szCs w:val="24"/>
        </w:rPr>
        <w:t xml:space="preserve"> that focus on </w:t>
      </w:r>
      <w:r w:rsidRPr="004E33E2">
        <w:rPr>
          <w:rFonts w:ascii="Palatino Linotype" w:hAnsi="Palatino Linotype"/>
          <w:sz w:val="24"/>
          <w:szCs w:val="24"/>
        </w:rPr>
        <w:t xml:space="preserve">engaging the duty bearers (perpetrators) </w:t>
      </w:r>
      <w:r w:rsidR="00BE03C6" w:rsidRPr="004E33E2">
        <w:rPr>
          <w:rFonts w:ascii="Palatino Linotype" w:hAnsi="Palatino Linotype"/>
          <w:sz w:val="24"/>
          <w:szCs w:val="24"/>
        </w:rPr>
        <w:t>and r</w:t>
      </w:r>
      <w:r w:rsidRPr="004E33E2">
        <w:rPr>
          <w:rFonts w:ascii="Palatino Linotype" w:hAnsi="Palatino Linotype"/>
          <w:sz w:val="24"/>
          <w:szCs w:val="24"/>
        </w:rPr>
        <w:t xml:space="preserve">ight holders (the victims). Working with </w:t>
      </w:r>
      <w:r w:rsidR="005445C3" w:rsidRPr="004E33E2">
        <w:rPr>
          <w:rFonts w:ascii="Palatino Linotype" w:hAnsi="Palatino Linotype"/>
          <w:sz w:val="24"/>
          <w:szCs w:val="24"/>
        </w:rPr>
        <w:t>victims and perpetrators</w:t>
      </w:r>
      <w:r w:rsidRPr="004E33E2">
        <w:rPr>
          <w:rFonts w:ascii="Palatino Linotype" w:hAnsi="Palatino Linotype"/>
          <w:sz w:val="24"/>
          <w:szCs w:val="24"/>
        </w:rPr>
        <w:t xml:space="preserve"> in essence boils down to the preventive and responsive measures in addressing torture/violence. In order to address and respond to victim needs, it is important to understand the drivers and or patterns of violence/torture</w:t>
      </w:r>
      <w:r w:rsidR="00BE03C6" w:rsidRPr="004E33E2">
        <w:rPr>
          <w:rFonts w:ascii="Palatino Linotype" w:hAnsi="Palatino Linotype"/>
          <w:sz w:val="24"/>
          <w:szCs w:val="24"/>
        </w:rPr>
        <w:t xml:space="preserve"> which often times get lost in normative acceptance of the use of excessive force especially when security forces are ‘dealing’ with suspected criminals or community delinquents; where the community feel that the police are justified in ‘wiping out’ criminal elements from the community, under the guise of avoiding the exhausting</w:t>
      </w:r>
      <w:r w:rsidR="007472C2" w:rsidRPr="004E33E2">
        <w:rPr>
          <w:rFonts w:ascii="Palatino Linotype" w:hAnsi="Palatino Linotype"/>
          <w:sz w:val="24"/>
          <w:szCs w:val="24"/>
        </w:rPr>
        <w:t>, bureaucratic</w:t>
      </w:r>
      <w:r w:rsidR="00BE03C6" w:rsidRPr="004E33E2">
        <w:rPr>
          <w:rFonts w:ascii="Palatino Linotype" w:hAnsi="Palatino Linotype"/>
          <w:sz w:val="24"/>
          <w:szCs w:val="24"/>
        </w:rPr>
        <w:t xml:space="preserve"> and long process of going through the criminal justice system. </w:t>
      </w:r>
      <w:r w:rsidR="007472C2" w:rsidRPr="004E33E2">
        <w:rPr>
          <w:rFonts w:ascii="Palatino Linotype" w:hAnsi="Palatino Linotype"/>
          <w:sz w:val="24"/>
          <w:szCs w:val="24"/>
        </w:rPr>
        <w:t xml:space="preserve">Buying into the narrative of legitimizing torture/violence (often by police) by </w:t>
      </w:r>
      <w:r w:rsidR="005445C3" w:rsidRPr="004E33E2">
        <w:rPr>
          <w:rFonts w:ascii="Palatino Linotype" w:hAnsi="Palatino Linotype"/>
          <w:sz w:val="24"/>
          <w:szCs w:val="24"/>
        </w:rPr>
        <w:t>communities</w:t>
      </w:r>
      <w:r w:rsidR="007472C2" w:rsidRPr="004E33E2">
        <w:rPr>
          <w:rFonts w:ascii="Palatino Linotype" w:hAnsi="Palatino Linotype"/>
          <w:sz w:val="24"/>
          <w:szCs w:val="24"/>
        </w:rPr>
        <w:t xml:space="preserve"> seems to be fueling these acts of violence against the backdrop that the </w:t>
      </w:r>
      <w:r w:rsidR="005445C3" w:rsidRPr="004E33E2">
        <w:rPr>
          <w:rFonts w:ascii="Palatino Linotype" w:hAnsi="Palatino Linotype"/>
          <w:sz w:val="24"/>
          <w:szCs w:val="24"/>
        </w:rPr>
        <w:t>public</w:t>
      </w:r>
      <w:r w:rsidR="007472C2" w:rsidRPr="004E33E2">
        <w:rPr>
          <w:rFonts w:ascii="Palatino Linotype" w:hAnsi="Palatino Linotype"/>
          <w:sz w:val="24"/>
          <w:szCs w:val="24"/>
        </w:rPr>
        <w:t xml:space="preserve"> cannot rely on the criminal justice system to take its course in dealing with suspected cases of criminal behavior. </w:t>
      </w:r>
      <w:r w:rsidR="00220CDD" w:rsidRPr="004E33E2">
        <w:rPr>
          <w:rFonts w:ascii="Palatino Linotype" w:hAnsi="Palatino Linotype"/>
          <w:sz w:val="24"/>
          <w:szCs w:val="24"/>
        </w:rPr>
        <w:t xml:space="preserve">In order to address this anomaly, it is paramount that the community, government and civil society plays a critical role in reversing this </w:t>
      </w:r>
      <w:r w:rsidR="00EE7F56" w:rsidRPr="004E33E2">
        <w:rPr>
          <w:rFonts w:ascii="Palatino Linotype" w:hAnsi="Palatino Linotype"/>
          <w:sz w:val="24"/>
          <w:szCs w:val="24"/>
        </w:rPr>
        <w:t>through</w:t>
      </w:r>
      <w:r w:rsidR="00220CDD" w:rsidRPr="004E33E2">
        <w:rPr>
          <w:rFonts w:ascii="Palatino Linotype" w:hAnsi="Palatino Linotype"/>
          <w:sz w:val="24"/>
          <w:szCs w:val="24"/>
        </w:rPr>
        <w:t xml:space="preserve"> </w:t>
      </w:r>
      <w:r w:rsidR="00EA60CC" w:rsidRPr="004E33E2">
        <w:rPr>
          <w:rFonts w:ascii="Palatino Linotype" w:hAnsi="Palatino Linotype"/>
          <w:sz w:val="24"/>
          <w:szCs w:val="24"/>
        </w:rPr>
        <w:t xml:space="preserve">public </w:t>
      </w:r>
      <w:r w:rsidR="00220CDD" w:rsidRPr="004E33E2">
        <w:rPr>
          <w:rFonts w:ascii="Palatino Linotype" w:hAnsi="Palatino Linotype"/>
          <w:sz w:val="24"/>
          <w:szCs w:val="24"/>
        </w:rPr>
        <w:t xml:space="preserve">educating </w:t>
      </w:r>
      <w:r w:rsidR="00EA60CC" w:rsidRPr="004E33E2">
        <w:rPr>
          <w:rFonts w:ascii="Palatino Linotype" w:hAnsi="Palatino Linotype"/>
          <w:sz w:val="24"/>
          <w:szCs w:val="24"/>
        </w:rPr>
        <w:t xml:space="preserve">in order to change </w:t>
      </w:r>
      <w:r w:rsidR="00220CDD" w:rsidRPr="004E33E2">
        <w:rPr>
          <w:rFonts w:ascii="Palatino Linotype" w:hAnsi="Palatino Linotype"/>
          <w:sz w:val="24"/>
          <w:szCs w:val="24"/>
        </w:rPr>
        <w:t>the public</w:t>
      </w:r>
      <w:r w:rsidR="00EA60CC" w:rsidRPr="004E33E2">
        <w:rPr>
          <w:rFonts w:ascii="Palatino Linotype" w:hAnsi="Palatino Linotype"/>
          <w:sz w:val="24"/>
          <w:szCs w:val="24"/>
        </w:rPr>
        <w:t xml:space="preserve">’s acceptance of police’s excessive use </w:t>
      </w:r>
      <w:r w:rsidR="00220CDD" w:rsidRPr="004E33E2">
        <w:rPr>
          <w:rFonts w:ascii="Palatino Linotype" w:hAnsi="Palatino Linotype"/>
          <w:sz w:val="24"/>
          <w:szCs w:val="24"/>
        </w:rPr>
        <w:t xml:space="preserve"> </w:t>
      </w:r>
      <w:r w:rsidR="00EA60CC" w:rsidRPr="004E33E2">
        <w:rPr>
          <w:rFonts w:ascii="Palatino Linotype" w:hAnsi="Palatino Linotype"/>
          <w:sz w:val="24"/>
          <w:szCs w:val="24"/>
        </w:rPr>
        <w:t>of force and violence</w:t>
      </w:r>
      <w:r w:rsidR="00EA60CC" w:rsidRPr="004E33E2">
        <w:rPr>
          <w:rStyle w:val="FootnoteReference"/>
          <w:rFonts w:ascii="Palatino Linotype" w:hAnsi="Palatino Linotype"/>
          <w:sz w:val="24"/>
          <w:szCs w:val="24"/>
        </w:rPr>
        <w:footnoteReference w:id="1"/>
      </w:r>
      <w:r w:rsidR="00220CDD" w:rsidRPr="004E33E2">
        <w:rPr>
          <w:rFonts w:ascii="Palatino Linotype" w:hAnsi="Palatino Linotype"/>
          <w:sz w:val="24"/>
          <w:szCs w:val="24"/>
        </w:rPr>
        <w:t xml:space="preserve">. </w:t>
      </w:r>
      <w:r w:rsidR="00EE7F56" w:rsidRPr="004E33E2">
        <w:rPr>
          <w:rFonts w:ascii="Palatino Linotype" w:hAnsi="Palatino Linotype"/>
          <w:sz w:val="24"/>
          <w:szCs w:val="24"/>
        </w:rPr>
        <w:t xml:space="preserve">The Police have the duty to maintain law and order, investigate crime and apprehend offenders. In doing so, they are allowed to use force, but only to directly protect themselves and/or the lives of others. Where the police kill or subject suspects to torture cruel and inhumane treatment, the public ought to know that this happens in </w:t>
      </w:r>
      <w:r w:rsidR="00EE7F56" w:rsidRPr="004E33E2">
        <w:rPr>
          <w:rFonts w:ascii="Palatino Linotype" w:hAnsi="Palatino Linotype"/>
          <w:sz w:val="24"/>
          <w:szCs w:val="24"/>
        </w:rPr>
        <w:lastRenderedPageBreak/>
        <w:t>contravention to article 48-51 of our constitution which guarantees every person the right to due process.</w:t>
      </w:r>
    </w:p>
    <w:p w:rsidR="006A1668" w:rsidRPr="004E33E2" w:rsidRDefault="00E3443D" w:rsidP="00550B98">
      <w:pPr>
        <w:spacing w:line="360" w:lineRule="auto"/>
        <w:jc w:val="both"/>
        <w:rPr>
          <w:rFonts w:ascii="Palatino Linotype" w:hAnsi="Palatino Linotype"/>
          <w:sz w:val="24"/>
          <w:szCs w:val="24"/>
        </w:rPr>
      </w:pPr>
      <w:r w:rsidRPr="004E33E2">
        <w:rPr>
          <w:rFonts w:ascii="Palatino Linotype" w:hAnsi="Palatino Linotype"/>
          <w:sz w:val="24"/>
          <w:szCs w:val="24"/>
        </w:rPr>
        <w:t>Another key dynamic to consider is the need to understand the patterns and drivers of torture/violence. State perpetrated torture/violence is often times guised und</w:t>
      </w:r>
      <w:r w:rsidR="00DC1FC3" w:rsidRPr="004E33E2">
        <w:rPr>
          <w:rFonts w:ascii="Palatino Linotype" w:hAnsi="Palatino Linotype"/>
          <w:sz w:val="24"/>
          <w:szCs w:val="24"/>
        </w:rPr>
        <w:t xml:space="preserve">er the backdrop of self-defense, which is disproportionate to the threat it purports to counter. </w:t>
      </w:r>
      <w:r w:rsidR="00092C86" w:rsidRPr="004E33E2">
        <w:rPr>
          <w:rFonts w:ascii="Palatino Linotype" w:hAnsi="Palatino Linotype"/>
          <w:sz w:val="24"/>
          <w:szCs w:val="24"/>
        </w:rPr>
        <w:t>Torture is often</w:t>
      </w:r>
      <w:r w:rsidR="00523C42" w:rsidRPr="004E33E2">
        <w:rPr>
          <w:rFonts w:ascii="Palatino Linotype" w:hAnsi="Palatino Linotype"/>
          <w:sz w:val="24"/>
          <w:szCs w:val="24"/>
        </w:rPr>
        <w:t xml:space="preserve"> considered to be an extraordinary event. Focusing on the mundane nature of torture and ill-treatment, </w:t>
      </w:r>
      <w:r w:rsidR="00092C86" w:rsidRPr="004E33E2">
        <w:rPr>
          <w:rFonts w:ascii="Palatino Linotype" w:hAnsi="Palatino Linotype"/>
          <w:sz w:val="24"/>
          <w:szCs w:val="24"/>
        </w:rPr>
        <w:t>high risk</w:t>
      </w:r>
      <w:r w:rsidR="00523C42" w:rsidRPr="004E33E2">
        <w:rPr>
          <w:rFonts w:ascii="Palatino Linotype" w:hAnsi="Palatino Linotype"/>
          <w:sz w:val="24"/>
          <w:szCs w:val="24"/>
        </w:rPr>
        <w:t xml:space="preserve"> groups emerge like young men or children in conflict with the law and the community they inhabit</w:t>
      </w:r>
      <w:r w:rsidR="00092C86" w:rsidRPr="004E33E2">
        <w:rPr>
          <w:rFonts w:ascii="Palatino Linotype" w:hAnsi="Palatino Linotype"/>
          <w:sz w:val="24"/>
          <w:szCs w:val="24"/>
        </w:rPr>
        <w:t xml:space="preserve">, and </w:t>
      </w:r>
      <w:r w:rsidR="00523C42" w:rsidRPr="004E33E2">
        <w:rPr>
          <w:rFonts w:ascii="Palatino Linotype" w:hAnsi="Palatino Linotype"/>
          <w:sz w:val="24"/>
          <w:szCs w:val="24"/>
        </w:rPr>
        <w:t>sexual minorities</w:t>
      </w:r>
      <w:r w:rsidR="00092C86" w:rsidRPr="004E33E2">
        <w:rPr>
          <w:rFonts w:ascii="Palatino Linotype" w:hAnsi="Palatino Linotype"/>
          <w:sz w:val="24"/>
          <w:szCs w:val="24"/>
        </w:rPr>
        <w:t xml:space="preserve">. </w:t>
      </w:r>
      <w:r w:rsidR="00D313D0" w:rsidRPr="004E33E2">
        <w:rPr>
          <w:rFonts w:ascii="Palatino Linotype" w:hAnsi="Palatino Linotype"/>
          <w:sz w:val="24"/>
          <w:szCs w:val="24"/>
        </w:rPr>
        <w:t>These groups</w:t>
      </w:r>
      <w:r w:rsidR="00523C42" w:rsidRPr="004E33E2">
        <w:rPr>
          <w:rFonts w:ascii="Palatino Linotype" w:hAnsi="Palatino Linotype"/>
          <w:sz w:val="24"/>
          <w:szCs w:val="24"/>
        </w:rPr>
        <w:t xml:space="preserve">, are </w:t>
      </w:r>
      <w:r w:rsidR="00D313D0" w:rsidRPr="004E33E2">
        <w:rPr>
          <w:rFonts w:ascii="Palatino Linotype" w:hAnsi="Palatino Linotype"/>
          <w:sz w:val="24"/>
          <w:szCs w:val="24"/>
        </w:rPr>
        <w:t xml:space="preserve">often </w:t>
      </w:r>
      <w:r w:rsidR="00523C42" w:rsidRPr="004E33E2">
        <w:rPr>
          <w:rFonts w:ascii="Palatino Linotype" w:hAnsi="Palatino Linotype"/>
          <w:sz w:val="24"/>
          <w:szCs w:val="24"/>
        </w:rPr>
        <w:t>seen as affronts to public morality, sometimes because of their actions and sometimes because of what danger they are seen to represent (crime, drugs, terror, moral decay, threats to livelihoods, economic burdens etc.) and they are vulnerable to attacks from state officials</w:t>
      </w:r>
      <w:r w:rsidR="006A1668" w:rsidRPr="004E33E2">
        <w:rPr>
          <w:rFonts w:ascii="Palatino Linotype" w:hAnsi="Palatino Linotype"/>
          <w:sz w:val="24"/>
          <w:szCs w:val="24"/>
        </w:rPr>
        <w:t xml:space="preserve"> and as a result they suffer from traumas from being both victims and perpetrators at a very young stage in their development.</w:t>
      </w:r>
      <w:r w:rsidR="006A1668" w:rsidRPr="004E33E2">
        <w:rPr>
          <w:rStyle w:val="FootnoteReference"/>
          <w:rFonts w:ascii="Palatino Linotype" w:hAnsi="Palatino Linotype"/>
          <w:sz w:val="24"/>
          <w:szCs w:val="24"/>
        </w:rPr>
        <w:footnoteReference w:id="2"/>
      </w:r>
    </w:p>
    <w:p w:rsidR="00131581" w:rsidRPr="004E33E2" w:rsidRDefault="00131581" w:rsidP="00550B98">
      <w:pPr>
        <w:spacing w:line="360" w:lineRule="auto"/>
        <w:jc w:val="both"/>
        <w:rPr>
          <w:rFonts w:ascii="Palatino Linotype" w:hAnsi="Palatino Linotype"/>
          <w:b/>
          <w:sz w:val="24"/>
          <w:szCs w:val="24"/>
          <w:u w:val="single"/>
        </w:rPr>
      </w:pPr>
      <w:r w:rsidRPr="004E33E2">
        <w:rPr>
          <w:rFonts w:ascii="Palatino Linotype" w:hAnsi="Palatino Linotype"/>
          <w:b/>
          <w:sz w:val="24"/>
          <w:szCs w:val="24"/>
          <w:u w:val="single"/>
        </w:rPr>
        <w:t>Recommended Normative</w:t>
      </w:r>
    </w:p>
    <w:p w:rsidR="00131581" w:rsidRPr="004E33E2" w:rsidRDefault="00131581" w:rsidP="00550B98">
      <w:pPr>
        <w:spacing w:line="360" w:lineRule="auto"/>
        <w:jc w:val="both"/>
        <w:rPr>
          <w:rFonts w:ascii="Palatino Linotype" w:hAnsi="Palatino Linotype"/>
          <w:sz w:val="24"/>
          <w:szCs w:val="24"/>
        </w:rPr>
      </w:pPr>
      <w:r w:rsidRPr="004E33E2">
        <w:rPr>
          <w:rFonts w:ascii="Palatino Linotype" w:hAnsi="Palatino Linotype"/>
          <w:sz w:val="24"/>
          <w:szCs w:val="24"/>
        </w:rPr>
        <w:t xml:space="preserve">It is imperative to factor in state and non-state authorities when responding/addressing torture/violence and ill treatment. State authorities are especially important as they often command considerable resources to support the wellbeing of its people as a duty bearer. Human rights approaches will often target state authorities to ensure critical institutional reforms, to train and capacitate its workers. While this is a central approach to working with state authorities, especially at a policy level the psychosocial model for prevention of violence and treating its consequences must work at a different, more relational level. </w:t>
      </w:r>
    </w:p>
    <w:p w:rsidR="004E33E2" w:rsidRPr="004E33E2" w:rsidRDefault="00131581" w:rsidP="00550B98">
      <w:pPr>
        <w:spacing w:line="360" w:lineRule="auto"/>
        <w:jc w:val="both"/>
        <w:rPr>
          <w:rFonts w:ascii="Palatino Linotype" w:hAnsi="Palatino Linotype"/>
          <w:sz w:val="24"/>
          <w:szCs w:val="24"/>
        </w:rPr>
      </w:pPr>
      <w:r w:rsidRPr="004E33E2">
        <w:rPr>
          <w:rFonts w:ascii="Palatino Linotype" w:hAnsi="Palatino Linotype"/>
          <w:sz w:val="24"/>
          <w:szCs w:val="24"/>
        </w:rPr>
        <w:t>It is imperative that the State and State Actors</w:t>
      </w:r>
      <w:r w:rsidR="004E33E2" w:rsidRPr="004E33E2">
        <w:rPr>
          <w:rFonts w:ascii="Palatino Linotype" w:hAnsi="Palatino Linotype"/>
          <w:sz w:val="24"/>
          <w:szCs w:val="24"/>
        </w:rPr>
        <w:t xml:space="preserve"> promote</w:t>
      </w:r>
      <w:r w:rsidRPr="004E33E2">
        <w:rPr>
          <w:rFonts w:ascii="Palatino Linotype" w:hAnsi="Palatino Linotype"/>
          <w:sz w:val="24"/>
          <w:szCs w:val="24"/>
        </w:rPr>
        <w:t xml:space="preserve"> people’s dignity rather than strip them of it-which in essence, is what torture does-. Psychosocial studies indicate that </w:t>
      </w:r>
      <w:r w:rsidRPr="004E33E2">
        <w:rPr>
          <w:rFonts w:ascii="Palatino Linotype" w:hAnsi="Palatino Linotype"/>
          <w:sz w:val="24"/>
          <w:szCs w:val="24"/>
        </w:rPr>
        <w:lastRenderedPageBreak/>
        <w:t xml:space="preserve">humiliation and the stripping of one’s dignity and self-worth is at the core of violence in urban settings. </w:t>
      </w:r>
      <w:r w:rsidR="008B211D" w:rsidRPr="004E33E2">
        <w:rPr>
          <w:rFonts w:ascii="Palatino Linotype" w:hAnsi="Palatino Linotype"/>
          <w:sz w:val="24"/>
          <w:szCs w:val="24"/>
        </w:rPr>
        <w:t xml:space="preserve">Psychosocial studies in the field of trauma indicate that if individuals have unresolved histories of being violated, a current experience that reminds them of the trauma could serve as a trigger, leading to them acting out their pain through violence, thus propagating the cycle of violence. In other words, interactions with hostile, uncaring and violent state institutions (such as the Police) can set in motion a replay of unresolved historical injustices. Thus functional, respectful government institutions can be a powerful vehicle of both healing and prevention. </w:t>
      </w:r>
    </w:p>
    <w:p w:rsidR="006F16E8" w:rsidRDefault="00A21872" w:rsidP="00550B98">
      <w:pPr>
        <w:spacing w:line="360" w:lineRule="auto"/>
        <w:jc w:val="both"/>
        <w:rPr>
          <w:rFonts w:ascii="Palatino Linotype" w:hAnsi="Palatino Linotype"/>
          <w:b/>
          <w:sz w:val="24"/>
          <w:szCs w:val="24"/>
        </w:rPr>
      </w:pPr>
      <w:r>
        <w:rPr>
          <w:rFonts w:ascii="Palatino Linotype" w:hAnsi="Palatino Linotype"/>
          <w:b/>
          <w:sz w:val="24"/>
          <w:szCs w:val="24"/>
        </w:rPr>
        <w:t xml:space="preserve">Finally, </w:t>
      </w:r>
      <w:r w:rsidR="00487590">
        <w:rPr>
          <w:rFonts w:ascii="Palatino Linotype" w:hAnsi="Palatino Linotype"/>
          <w:b/>
          <w:sz w:val="24"/>
          <w:szCs w:val="24"/>
        </w:rPr>
        <w:t>these</w:t>
      </w:r>
      <w:r w:rsidR="006F16E8">
        <w:rPr>
          <w:rFonts w:ascii="Palatino Linotype" w:hAnsi="Palatino Linotype"/>
          <w:b/>
          <w:sz w:val="24"/>
          <w:szCs w:val="24"/>
        </w:rPr>
        <w:t xml:space="preserve"> key</w:t>
      </w:r>
      <w:r w:rsidR="008B211D" w:rsidRPr="004E33E2">
        <w:rPr>
          <w:rFonts w:ascii="Palatino Linotype" w:hAnsi="Palatino Linotype"/>
          <w:b/>
          <w:sz w:val="24"/>
          <w:szCs w:val="24"/>
        </w:rPr>
        <w:t xml:space="preserve"> considerations</w:t>
      </w:r>
      <w:r w:rsidR="006F16E8">
        <w:rPr>
          <w:rFonts w:ascii="Palatino Linotype" w:hAnsi="Palatino Linotype"/>
          <w:b/>
          <w:sz w:val="24"/>
          <w:szCs w:val="24"/>
        </w:rPr>
        <w:t xml:space="preserve"> are </w:t>
      </w:r>
      <w:r>
        <w:rPr>
          <w:rFonts w:ascii="Palatino Linotype" w:hAnsi="Palatino Linotype"/>
          <w:b/>
          <w:sz w:val="24"/>
          <w:szCs w:val="24"/>
        </w:rPr>
        <w:t>important</w:t>
      </w:r>
      <w:r w:rsidR="008B211D" w:rsidRPr="004E33E2">
        <w:rPr>
          <w:rFonts w:ascii="Palatino Linotype" w:hAnsi="Palatino Linotype"/>
          <w:b/>
          <w:sz w:val="24"/>
          <w:szCs w:val="24"/>
        </w:rPr>
        <w:t>:</w:t>
      </w:r>
    </w:p>
    <w:p w:rsidR="006F16E8" w:rsidRPr="007E1538" w:rsidRDefault="007E1538" w:rsidP="00550B98">
      <w:pPr>
        <w:pStyle w:val="ListParagraph"/>
        <w:numPr>
          <w:ilvl w:val="0"/>
          <w:numId w:val="3"/>
        </w:numPr>
        <w:spacing w:line="360" w:lineRule="auto"/>
        <w:jc w:val="both"/>
        <w:rPr>
          <w:rFonts w:ascii="Palatino Linotype" w:hAnsi="Palatino Linotype"/>
          <w:sz w:val="24"/>
          <w:szCs w:val="24"/>
        </w:rPr>
      </w:pPr>
      <w:r w:rsidRPr="006F16E8">
        <w:rPr>
          <w:rFonts w:ascii="Palatino Linotype" w:hAnsi="Palatino Linotype"/>
          <w:sz w:val="24"/>
          <w:szCs w:val="24"/>
        </w:rPr>
        <w:t xml:space="preserve">State authorities should assume their responsibilities as duty bearers towards </w:t>
      </w:r>
      <w:r>
        <w:rPr>
          <w:rFonts w:ascii="Palatino Linotype" w:hAnsi="Palatino Linotype"/>
          <w:sz w:val="24"/>
          <w:szCs w:val="24"/>
        </w:rPr>
        <w:t>vulnerable</w:t>
      </w:r>
      <w:r w:rsidRPr="006F16E8">
        <w:rPr>
          <w:rFonts w:ascii="Palatino Linotype" w:hAnsi="Palatino Linotype"/>
          <w:sz w:val="24"/>
          <w:szCs w:val="24"/>
        </w:rPr>
        <w:t xml:space="preserve"> groups, families and communities as integral </w:t>
      </w:r>
      <w:r>
        <w:rPr>
          <w:rFonts w:ascii="Palatino Linotype" w:hAnsi="Palatino Linotype"/>
          <w:sz w:val="24"/>
          <w:szCs w:val="24"/>
        </w:rPr>
        <w:t xml:space="preserve">part to </w:t>
      </w:r>
      <w:r w:rsidRPr="006F16E8">
        <w:rPr>
          <w:rFonts w:ascii="Palatino Linotype" w:hAnsi="Palatino Linotype"/>
          <w:sz w:val="24"/>
          <w:szCs w:val="24"/>
        </w:rPr>
        <w:t xml:space="preserve">maintaining </w:t>
      </w:r>
      <w:r>
        <w:rPr>
          <w:rFonts w:ascii="Palatino Linotype" w:hAnsi="Palatino Linotype"/>
          <w:sz w:val="24"/>
          <w:szCs w:val="24"/>
        </w:rPr>
        <w:t xml:space="preserve">order. </w:t>
      </w:r>
      <w:r w:rsidR="006F16E8" w:rsidRPr="007E1538">
        <w:rPr>
          <w:rFonts w:ascii="Palatino Linotype" w:hAnsi="Palatino Linotype"/>
          <w:sz w:val="24"/>
          <w:szCs w:val="24"/>
        </w:rPr>
        <w:t>The State and State agencies</w:t>
      </w:r>
      <w:r w:rsidR="008B211D" w:rsidRPr="007E1538">
        <w:rPr>
          <w:rFonts w:ascii="Palatino Linotype" w:hAnsi="Palatino Linotype"/>
          <w:sz w:val="24"/>
          <w:szCs w:val="24"/>
        </w:rPr>
        <w:t xml:space="preserve"> need to </w:t>
      </w:r>
      <w:r w:rsidR="006F16E8" w:rsidRPr="007E1538">
        <w:rPr>
          <w:rFonts w:ascii="Palatino Linotype" w:hAnsi="Palatino Linotype"/>
          <w:sz w:val="24"/>
          <w:szCs w:val="24"/>
        </w:rPr>
        <w:t>constantly reflect a positive/helping/protecting attitude/approach</w:t>
      </w:r>
      <w:r w:rsidR="008B211D" w:rsidRPr="007E1538">
        <w:rPr>
          <w:rFonts w:ascii="Palatino Linotype" w:hAnsi="Palatino Linotype"/>
          <w:sz w:val="24"/>
          <w:szCs w:val="24"/>
        </w:rPr>
        <w:t xml:space="preserve"> towards </w:t>
      </w:r>
      <w:r w:rsidR="006F16E8" w:rsidRPr="007E1538">
        <w:rPr>
          <w:rFonts w:ascii="Palatino Linotype" w:hAnsi="Palatino Linotype"/>
          <w:sz w:val="24"/>
          <w:szCs w:val="24"/>
        </w:rPr>
        <w:t>vulnerable</w:t>
      </w:r>
      <w:r w:rsidR="008B211D" w:rsidRPr="007E1538">
        <w:rPr>
          <w:rFonts w:ascii="Palatino Linotype" w:hAnsi="Palatino Linotype"/>
          <w:sz w:val="24"/>
          <w:szCs w:val="24"/>
        </w:rPr>
        <w:t xml:space="preserve"> groups that are based on sound understanding of the</w:t>
      </w:r>
      <w:r w:rsidR="006F16E8" w:rsidRPr="007E1538">
        <w:rPr>
          <w:rFonts w:ascii="Palatino Linotype" w:hAnsi="Palatino Linotype"/>
          <w:sz w:val="24"/>
          <w:szCs w:val="24"/>
        </w:rPr>
        <w:t>ir</w:t>
      </w:r>
      <w:r w:rsidR="008B211D" w:rsidRPr="007E1538">
        <w:rPr>
          <w:rFonts w:ascii="Palatino Linotype" w:hAnsi="Palatino Linotype"/>
          <w:sz w:val="24"/>
          <w:szCs w:val="24"/>
        </w:rPr>
        <w:t xml:space="preserve"> problems</w:t>
      </w:r>
      <w:r w:rsidR="006F16E8" w:rsidRPr="007E1538">
        <w:rPr>
          <w:rFonts w:ascii="Palatino Linotype" w:hAnsi="Palatino Linotype"/>
          <w:sz w:val="24"/>
          <w:szCs w:val="24"/>
        </w:rPr>
        <w:t xml:space="preserve"> and risk factors</w:t>
      </w:r>
      <w:r w:rsidR="008B211D" w:rsidRPr="007E1538">
        <w:rPr>
          <w:rFonts w:ascii="Palatino Linotype" w:hAnsi="Palatino Linotype"/>
          <w:sz w:val="24"/>
          <w:szCs w:val="24"/>
        </w:rPr>
        <w:t xml:space="preserve"> rather than stereotypical notions of </w:t>
      </w:r>
      <w:r w:rsidR="006F16E8" w:rsidRPr="007E1538">
        <w:rPr>
          <w:rFonts w:ascii="Palatino Linotype" w:hAnsi="Palatino Linotype"/>
          <w:sz w:val="24"/>
          <w:szCs w:val="24"/>
        </w:rPr>
        <w:t xml:space="preserve">poverty and or unemployment being synonymous with crime </w:t>
      </w:r>
      <w:r w:rsidR="008B211D" w:rsidRPr="007E1538">
        <w:rPr>
          <w:rFonts w:ascii="Palatino Linotype" w:hAnsi="Palatino Linotype"/>
          <w:sz w:val="24"/>
          <w:szCs w:val="24"/>
        </w:rPr>
        <w:t xml:space="preserve">danger; </w:t>
      </w:r>
    </w:p>
    <w:p w:rsidR="006F16E8" w:rsidRPr="006F16E8" w:rsidRDefault="006F16E8" w:rsidP="00550B98">
      <w:pPr>
        <w:pStyle w:val="ListParagraph"/>
        <w:numPr>
          <w:ilvl w:val="0"/>
          <w:numId w:val="3"/>
        </w:numPr>
        <w:spacing w:line="360" w:lineRule="auto"/>
        <w:jc w:val="both"/>
        <w:rPr>
          <w:rFonts w:ascii="Palatino Linotype" w:hAnsi="Palatino Linotype"/>
          <w:sz w:val="24"/>
          <w:szCs w:val="24"/>
        </w:rPr>
      </w:pPr>
      <w:r>
        <w:rPr>
          <w:rFonts w:ascii="Palatino Linotype" w:hAnsi="Palatino Linotype"/>
          <w:sz w:val="24"/>
          <w:szCs w:val="24"/>
        </w:rPr>
        <w:t>Communities and the public ought to have a clear understanding of their rights and responsibilities seeing as they are an integral part of fighting the stereotypes on both government as well as vulnerable groups that are prone to police violence</w:t>
      </w:r>
    </w:p>
    <w:p w:rsidR="008B211D" w:rsidRPr="004E33E2" w:rsidRDefault="008B211D" w:rsidP="00550B98">
      <w:pPr>
        <w:spacing w:line="360" w:lineRule="auto"/>
        <w:jc w:val="both"/>
        <w:rPr>
          <w:rFonts w:ascii="Palatino Linotype" w:hAnsi="Palatino Linotype"/>
          <w:sz w:val="24"/>
          <w:szCs w:val="24"/>
        </w:rPr>
      </w:pPr>
    </w:p>
    <w:p w:rsidR="0048319D" w:rsidRPr="004E33E2" w:rsidRDefault="0048319D" w:rsidP="00550B98">
      <w:pPr>
        <w:spacing w:line="360" w:lineRule="auto"/>
        <w:jc w:val="both"/>
        <w:rPr>
          <w:rFonts w:ascii="Palatino Linotype" w:hAnsi="Palatino Linotype"/>
          <w:b/>
          <w:sz w:val="24"/>
          <w:szCs w:val="24"/>
          <w:u w:val="single"/>
        </w:rPr>
      </w:pPr>
    </w:p>
    <w:p w:rsidR="004B7D2A" w:rsidRPr="004E33E2" w:rsidRDefault="005A6C33" w:rsidP="00550B98">
      <w:pPr>
        <w:spacing w:line="360" w:lineRule="auto"/>
        <w:jc w:val="both"/>
        <w:rPr>
          <w:rFonts w:ascii="Palatino Linotype" w:hAnsi="Palatino Linotype"/>
          <w:b/>
          <w:sz w:val="24"/>
          <w:szCs w:val="24"/>
          <w:u w:val="single"/>
        </w:rPr>
      </w:pPr>
      <w:r>
        <w:rPr>
          <w:rFonts w:ascii="Palatino Linotype" w:hAnsi="Palatino Linotype"/>
          <w:b/>
          <w:sz w:val="24"/>
          <w:szCs w:val="24"/>
          <w:u w:val="single"/>
        </w:rPr>
        <w:t xml:space="preserve"> </w:t>
      </w:r>
      <w:r w:rsidR="00E80F20">
        <w:rPr>
          <w:rFonts w:ascii="Palatino Linotype" w:hAnsi="Palatino Linotype"/>
          <w:b/>
          <w:sz w:val="24"/>
          <w:szCs w:val="24"/>
          <w:u w:val="single"/>
        </w:rPr>
        <w:t xml:space="preserve"> </w:t>
      </w:r>
    </w:p>
    <w:sectPr w:rsidR="004B7D2A" w:rsidRPr="004E33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2A7" w:rsidRDefault="008212A7" w:rsidP="00EA60CC">
      <w:pPr>
        <w:spacing w:after="0" w:line="240" w:lineRule="auto"/>
      </w:pPr>
      <w:r>
        <w:separator/>
      </w:r>
    </w:p>
  </w:endnote>
  <w:endnote w:type="continuationSeparator" w:id="0">
    <w:p w:rsidR="008212A7" w:rsidRDefault="008212A7" w:rsidP="00EA6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2A7" w:rsidRDefault="008212A7" w:rsidP="00EA60CC">
      <w:pPr>
        <w:spacing w:after="0" w:line="240" w:lineRule="auto"/>
      </w:pPr>
      <w:r>
        <w:separator/>
      </w:r>
    </w:p>
  </w:footnote>
  <w:footnote w:type="continuationSeparator" w:id="0">
    <w:p w:rsidR="008212A7" w:rsidRDefault="008212A7" w:rsidP="00EA60CC">
      <w:pPr>
        <w:spacing w:after="0" w:line="240" w:lineRule="auto"/>
      </w:pPr>
      <w:r>
        <w:continuationSeparator/>
      </w:r>
    </w:p>
  </w:footnote>
  <w:footnote w:id="1">
    <w:p w:rsidR="00EA60CC" w:rsidRPr="00EA60CC" w:rsidRDefault="00EA60CC">
      <w:pPr>
        <w:pStyle w:val="FootnoteText"/>
        <w:rPr>
          <w:rFonts w:ascii="Palatino Linotype" w:hAnsi="Palatino Linotype"/>
        </w:rPr>
      </w:pPr>
      <w:r w:rsidRPr="00EA60CC">
        <w:rPr>
          <w:rStyle w:val="FootnoteReference"/>
          <w:rFonts w:ascii="Palatino Linotype" w:hAnsi="Palatino Linotype"/>
        </w:rPr>
        <w:footnoteRef/>
      </w:r>
      <w:r w:rsidRPr="00EA60CC">
        <w:rPr>
          <w:rFonts w:ascii="Palatino Linotype" w:hAnsi="Palatino Linotype"/>
        </w:rPr>
        <w:t xml:space="preserve"> file:///C:/Users/IMLU/Desktop/violence_among_urban_poor_in_nairobi.pdf</w:t>
      </w:r>
    </w:p>
  </w:footnote>
  <w:footnote w:id="2">
    <w:p w:rsidR="006A1668" w:rsidRPr="006A1668" w:rsidRDefault="006A1668">
      <w:pPr>
        <w:pStyle w:val="FootnoteText"/>
        <w:rPr>
          <w:rFonts w:ascii="Palatino Linotype" w:hAnsi="Palatino Linotype"/>
        </w:rPr>
      </w:pPr>
      <w:r>
        <w:rPr>
          <w:rStyle w:val="FootnoteReference"/>
        </w:rPr>
        <w:footnoteRef/>
      </w:r>
      <w:r>
        <w:t xml:space="preserve"> </w:t>
      </w:r>
      <w:r w:rsidRPr="006A1668">
        <w:rPr>
          <w:rFonts w:ascii="Palatino Linotype" w:hAnsi="Palatino Linotype"/>
        </w:rPr>
        <w:t>https://www.researchgate.net/publication/338115663_Psychosocial_Drivers_Prevention_and_Sequelae_of_Engaging_in_Torture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97B52"/>
    <w:multiLevelType w:val="hybridMultilevel"/>
    <w:tmpl w:val="49C69A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017A1A"/>
    <w:multiLevelType w:val="hybridMultilevel"/>
    <w:tmpl w:val="08646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352FBA"/>
    <w:multiLevelType w:val="hybridMultilevel"/>
    <w:tmpl w:val="49C69A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84C"/>
    <w:rsid w:val="00092C86"/>
    <w:rsid w:val="00131581"/>
    <w:rsid w:val="00142529"/>
    <w:rsid w:val="00172FA5"/>
    <w:rsid w:val="00194E59"/>
    <w:rsid w:val="001E36A5"/>
    <w:rsid w:val="00220CDD"/>
    <w:rsid w:val="0039713C"/>
    <w:rsid w:val="0048319D"/>
    <w:rsid w:val="00487590"/>
    <w:rsid w:val="004B7D2A"/>
    <w:rsid w:val="004C1D49"/>
    <w:rsid w:val="004E33E2"/>
    <w:rsid w:val="00523C42"/>
    <w:rsid w:val="005445C3"/>
    <w:rsid w:val="00550B98"/>
    <w:rsid w:val="005A6C33"/>
    <w:rsid w:val="00633D60"/>
    <w:rsid w:val="00655236"/>
    <w:rsid w:val="00661D2E"/>
    <w:rsid w:val="006A1668"/>
    <w:rsid w:val="006F16E8"/>
    <w:rsid w:val="00710533"/>
    <w:rsid w:val="007472C2"/>
    <w:rsid w:val="00770AB5"/>
    <w:rsid w:val="007A43B0"/>
    <w:rsid w:val="007E1538"/>
    <w:rsid w:val="008212A7"/>
    <w:rsid w:val="008B211D"/>
    <w:rsid w:val="009A48D4"/>
    <w:rsid w:val="00A21872"/>
    <w:rsid w:val="00A65F61"/>
    <w:rsid w:val="00B75176"/>
    <w:rsid w:val="00BE03C6"/>
    <w:rsid w:val="00C6484C"/>
    <w:rsid w:val="00C81DD4"/>
    <w:rsid w:val="00CA11DC"/>
    <w:rsid w:val="00CE56FC"/>
    <w:rsid w:val="00D313D0"/>
    <w:rsid w:val="00D5118A"/>
    <w:rsid w:val="00DC1FC3"/>
    <w:rsid w:val="00DC201E"/>
    <w:rsid w:val="00E00B97"/>
    <w:rsid w:val="00E3443D"/>
    <w:rsid w:val="00E406FF"/>
    <w:rsid w:val="00E775F2"/>
    <w:rsid w:val="00E80F20"/>
    <w:rsid w:val="00EA2D33"/>
    <w:rsid w:val="00EA60CC"/>
    <w:rsid w:val="00EE7F56"/>
    <w:rsid w:val="00F94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76C1B-262B-4176-B800-448F0C37B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A60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60CC"/>
    <w:rPr>
      <w:sz w:val="20"/>
      <w:szCs w:val="20"/>
    </w:rPr>
  </w:style>
  <w:style w:type="character" w:styleId="FootnoteReference">
    <w:name w:val="footnote reference"/>
    <w:basedOn w:val="DefaultParagraphFont"/>
    <w:uiPriority w:val="99"/>
    <w:semiHidden/>
    <w:unhideWhenUsed/>
    <w:rsid w:val="00EA60CC"/>
    <w:rPr>
      <w:vertAlign w:val="superscript"/>
    </w:rPr>
  </w:style>
  <w:style w:type="character" w:styleId="Hyperlink">
    <w:name w:val="Hyperlink"/>
    <w:basedOn w:val="DefaultParagraphFont"/>
    <w:uiPriority w:val="99"/>
    <w:semiHidden/>
    <w:unhideWhenUsed/>
    <w:rsid w:val="00633D60"/>
    <w:rPr>
      <w:color w:val="0000FF"/>
      <w:u w:val="single"/>
    </w:rPr>
  </w:style>
  <w:style w:type="paragraph" w:styleId="ListParagraph">
    <w:name w:val="List Paragraph"/>
    <w:basedOn w:val="Normal"/>
    <w:uiPriority w:val="34"/>
    <w:qFormat/>
    <w:rsid w:val="006F1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8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C95BCC3-A721-4D7B-A676-42D0C425F610}">
  <ds:schemaRefs>
    <ds:schemaRef ds:uri="http://schemas.openxmlformats.org/officeDocument/2006/bibliography"/>
  </ds:schemaRefs>
</ds:datastoreItem>
</file>

<file path=customXml/itemProps2.xml><?xml version="1.0" encoding="utf-8"?>
<ds:datastoreItem xmlns:ds="http://schemas.openxmlformats.org/officeDocument/2006/customXml" ds:itemID="{EB31EBA1-DD24-4B8A-9B60-996E3D364EAB}"/>
</file>

<file path=customXml/itemProps3.xml><?xml version="1.0" encoding="utf-8"?>
<ds:datastoreItem xmlns:ds="http://schemas.openxmlformats.org/officeDocument/2006/customXml" ds:itemID="{F8D8F7F1-4E23-482F-8F17-E6C028F62B74}"/>
</file>

<file path=customXml/itemProps4.xml><?xml version="1.0" encoding="utf-8"?>
<ds:datastoreItem xmlns:ds="http://schemas.openxmlformats.org/officeDocument/2006/customXml" ds:itemID="{C93C99BA-6998-4852-8945-1E81C57BF6B7}"/>
</file>

<file path=docProps/app.xml><?xml version="1.0" encoding="utf-8"?>
<Properties xmlns="http://schemas.openxmlformats.org/officeDocument/2006/extended-properties" xmlns:vt="http://schemas.openxmlformats.org/officeDocument/2006/docPropsVTypes">
  <Template>Normal</Template>
  <TotalTime>0</TotalTime>
  <Pages>4</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IMLU</dc:creator>
  <cp:keywords/>
  <dc:description/>
  <cp:lastModifiedBy>IMLU</cp:lastModifiedBy>
  <cp:revision>2</cp:revision>
  <dcterms:created xsi:type="dcterms:W3CDTF">2020-06-22T11:27:00Z</dcterms:created>
  <dcterms:modified xsi:type="dcterms:W3CDTF">2020-06-22T11:27:00Z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