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C5E0E" w14:textId="77777777" w:rsidR="000123A3" w:rsidRDefault="000123A3" w:rsidP="00B73FD1">
      <w:pPr>
        <w:jc w:val="center"/>
        <w:rPr>
          <w:noProof/>
          <w:sz w:val="24"/>
          <w:szCs w:val="24"/>
        </w:rPr>
      </w:pPr>
      <w:bookmarkStart w:id="0" w:name="_GoBack"/>
      <w:bookmarkEnd w:id="0"/>
    </w:p>
    <w:p w14:paraId="3F7143B6" w14:textId="04343096" w:rsidR="003744D5" w:rsidRPr="003744D5" w:rsidRDefault="003744D5" w:rsidP="003744D5">
      <w:pPr>
        <w:spacing w:line="276" w:lineRule="auto"/>
        <w:jc w:val="center"/>
        <w:rPr>
          <w:rFonts w:ascii="Calibri" w:eastAsia="Calibri" w:hAnsi="Calibri" w:cs="Arial"/>
          <w:b/>
          <w:sz w:val="32"/>
          <w:u w:val="single"/>
        </w:rPr>
      </w:pPr>
      <w:r w:rsidRPr="003744D5">
        <w:rPr>
          <w:rFonts w:ascii="Calibri" w:eastAsia="Calibri" w:hAnsi="Calibri" w:cs="Arial"/>
          <w:b/>
          <w:sz w:val="32"/>
          <w:u w:val="single"/>
        </w:rPr>
        <w:t>STATE CONSULTATION</w:t>
      </w:r>
    </w:p>
    <w:p w14:paraId="773F6412" w14:textId="77777777" w:rsidR="003744D5" w:rsidRPr="003744D5" w:rsidRDefault="003744D5" w:rsidP="003744D5">
      <w:pPr>
        <w:spacing w:after="160" w:line="276" w:lineRule="auto"/>
        <w:jc w:val="center"/>
        <w:rPr>
          <w:rFonts w:ascii="Calibri" w:eastAsia="Calibri" w:hAnsi="Calibri" w:cs="Arial"/>
          <w:b/>
          <w:sz w:val="24"/>
        </w:rPr>
      </w:pPr>
      <w:r w:rsidRPr="003744D5">
        <w:rPr>
          <w:rFonts w:ascii="Calibri" w:eastAsia="Calibri" w:hAnsi="Calibri" w:cs="Arial"/>
          <w:b/>
          <w:sz w:val="24"/>
        </w:rPr>
        <w:t xml:space="preserve">Call for input to thematic report of the SR Torture to HRC46 (March 2021): </w:t>
      </w:r>
    </w:p>
    <w:p w14:paraId="55EF0744" w14:textId="77777777" w:rsidR="003744D5" w:rsidRPr="003744D5" w:rsidRDefault="003744D5" w:rsidP="003744D5">
      <w:pPr>
        <w:spacing w:after="160" w:line="276" w:lineRule="auto"/>
        <w:jc w:val="center"/>
        <w:rPr>
          <w:rFonts w:ascii="Calibri" w:eastAsia="Calibri" w:hAnsi="Calibri" w:cs="Arial"/>
          <w:b/>
          <w:sz w:val="24"/>
        </w:rPr>
      </w:pPr>
      <w:r w:rsidRPr="003744D5">
        <w:rPr>
          <w:rFonts w:ascii="Calibri" w:eastAsia="Calibri" w:hAnsi="Calibri" w:cs="Arial"/>
          <w:b/>
          <w:sz w:val="24"/>
        </w:rPr>
        <w:t>“Effectiveness of States’ responses and follow-up to communications and visit requests transmitted by the Special Rapporteur on Torture”</w:t>
      </w:r>
    </w:p>
    <w:p w14:paraId="4DF697F0" w14:textId="77777777" w:rsidR="003744D5" w:rsidRPr="003744D5" w:rsidRDefault="008875A7" w:rsidP="003744D5">
      <w:pPr>
        <w:spacing w:after="160" w:line="276" w:lineRule="auto"/>
        <w:jc w:val="both"/>
        <w:rPr>
          <w:rFonts w:ascii="Calibri" w:eastAsia="Calibri" w:hAnsi="Calibri" w:cs="Arial"/>
          <w:sz w:val="22"/>
          <w:szCs w:val="22"/>
        </w:rPr>
      </w:pPr>
      <w:r>
        <w:rPr>
          <w:rFonts w:ascii="Calibri" w:eastAsia="Calibri" w:hAnsi="Calibri" w:cs="Arial"/>
          <w:noProof/>
          <w:sz w:val="22"/>
          <w:szCs w:val="22"/>
        </w:rPr>
        <w:pict w14:anchorId="737C8106">
          <v:rect id="_x0000_i1025" alt="" style="width:425.2pt;height:.05pt;mso-width-percent:0;mso-height-percent:0;mso-width-percent:0;mso-height-percent:0" o:hralign="center" o:hrstd="t" o:hr="t" fillcolor="#a0a0a0" stroked="f"/>
        </w:pict>
      </w:r>
    </w:p>
    <w:p w14:paraId="082FC309" w14:textId="77777777" w:rsidR="003744D5" w:rsidRPr="003744D5" w:rsidRDefault="003744D5" w:rsidP="003744D5">
      <w:pPr>
        <w:numPr>
          <w:ilvl w:val="0"/>
          <w:numId w:val="33"/>
        </w:numPr>
        <w:spacing w:after="160" w:line="276" w:lineRule="auto"/>
        <w:contextualSpacing/>
        <w:jc w:val="both"/>
        <w:rPr>
          <w:rFonts w:ascii="Calibri" w:eastAsia="Calibri" w:hAnsi="Calibri" w:cs="Arial"/>
          <w:b/>
          <w:bCs/>
          <w:sz w:val="24"/>
          <w:szCs w:val="24"/>
        </w:rPr>
      </w:pPr>
      <w:r w:rsidRPr="003744D5">
        <w:rPr>
          <w:rFonts w:ascii="Calibri" w:eastAsia="Calibri" w:hAnsi="Calibri" w:cs="Arial"/>
          <w:b/>
          <w:bCs/>
          <w:sz w:val="24"/>
          <w:szCs w:val="24"/>
        </w:rPr>
        <w:t>Introduction</w:t>
      </w:r>
    </w:p>
    <w:p w14:paraId="2B59D283"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In 1985, the Human Rights Commission adopted resolution 1985/33 creating the mandate of the Special Rapporteur on torture and other cruel, inhuman or degrading treatment or punishment. Since then, the Commission, and subsequently the Human Rights Council, have consistently renewed the mandate of the Special Rapporteur (most recently: A/HRC/43/L.30 of 31 March 2020). Pursuant to the HRC resolution, the Special Rapporteur on torture and other cruel, inhuman and degrading treatment or punishment, Professor Nils Melzer, is initiating the consultation to the next thematic report to the Human Rights Council.</w:t>
      </w:r>
    </w:p>
    <w:p w14:paraId="2FEDC5CE" w14:textId="77777777" w:rsidR="003744D5" w:rsidRPr="003744D5" w:rsidRDefault="003744D5" w:rsidP="003744D5">
      <w:pPr>
        <w:spacing w:after="160" w:line="276" w:lineRule="auto"/>
        <w:ind w:left="1080"/>
        <w:contextualSpacing/>
        <w:jc w:val="both"/>
        <w:rPr>
          <w:rFonts w:ascii="Calibri" w:eastAsia="Calibri" w:hAnsi="Calibri" w:cs="Arial"/>
          <w:b/>
          <w:bCs/>
          <w:sz w:val="24"/>
          <w:szCs w:val="24"/>
        </w:rPr>
      </w:pPr>
    </w:p>
    <w:p w14:paraId="4FCA3DFC" w14:textId="77777777" w:rsidR="003744D5" w:rsidRPr="003744D5" w:rsidRDefault="003744D5" w:rsidP="003744D5">
      <w:pPr>
        <w:numPr>
          <w:ilvl w:val="0"/>
          <w:numId w:val="33"/>
        </w:numPr>
        <w:spacing w:after="160" w:line="276" w:lineRule="auto"/>
        <w:contextualSpacing/>
        <w:jc w:val="both"/>
        <w:rPr>
          <w:rFonts w:ascii="Calibri" w:eastAsia="Calibri" w:hAnsi="Calibri" w:cs="Arial"/>
          <w:b/>
          <w:bCs/>
          <w:sz w:val="24"/>
          <w:szCs w:val="24"/>
        </w:rPr>
      </w:pPr>
      <w:r w:rsidRPr="003744D5">
        <w:rPr>
          <w:rFonts w:ascii="Calibri" w:eastAsia="Calibri" w:hAnsi="Calibri" w:cs="Arial"/>
          <w:b/>
          <w:bCs/>
          <w:sz w:val="24"/>
          <w:szCs w:val="24"/>
        </w:rPr>
        <w:t>Background</w:t>
      </w:r>
    </w:p>
    <w:p w14:paraId="1CB8D7B2" w14:textId="77777777" w:rsidR="003744D5" w:rsidRPr="003744D5" w:rsidRDefault="003744D5" w:rsidP="003744D5">
      <w:pPr>
        <w:spacing w:after="160" w:line="276" w:lineRule="auto"/>
        <w:ind w:left="1080"/>
        <w:contextualSpacing/>
        <w:jc w:val="both"/>
        <w:rPr>
          <w:rFonts w:ascii="Calibri" w:eastAsia="Calibri" w:hAnsi="Calibri" w:cs="Arial"/>
          <w:b/>
          <w:bCs/>
          <w:sz w:val="24"/>
          <w:szCs w:val="24"/>
        </w:rPr>
      </w:pPr>
    </w:p>
    <w:p w14:paraId="7A3797C2" w14:textId="77777777" w:rsidR="003744D5" w:rsidRPr="003744D5" w:rsidRDefault="003744D5" w:rsidP="003744D5">
      <w:pPr>
        <w:numPr>
          <w:ilvl w:val="0"/>
          <w:numId w:val="35"/>
        </w:numPr>
        <w:spacing w:after="160" w:line="276" w:lineRule="auto"/>
        <w:contextualSpacing/>
        <w:jc w:val="both"/>
        <w:rPr>
          <w:rFonts w:ascii="Calibri" w:eastAsia="Calibri" w:hAnsi="Calibri" w:cs="Arial"/>
          <w:b/>
          <w:sz w:val="24"/>
          <w:szCs w:val="22"/>
        </w:rPr>
      </w:pPr>
      <w:r w:rsidRPr="003744D5">
        <w:rPr>
          <w:rFonts w:ascii="Calibri" w:eastAsia="Calibri" w:hAnsi="Calibri" w:cs="Arial"/>
          <w:b/>
          <w:sz w:val="24"/>
          <w:szCs w:val="22"/>
        </w:rPr>
        <w:t>Responsibilities of the mandate</w:t>
      </w:r>
    </w:p>
    <w:p w14:paraId="41C5F459"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 xml:space="preserve">In terms of thematic scope, the mandate of the Special Rapporteur covers any act or omission amounting to torture or other cruel, inhuman or degrading treatment or punishment (hereafter: torture and ill-treatment) under applicable international customary and treaty law. The Special Rapporteur </w:t>
      </w:r>
      <w:proofErr w:type="gramStart"/>
      <w:r w:rsidRPr="003744D5">
        <w:rPr>
          <w:rFonts w:ascii="Calibri" w:eastAsia="Calibri" w:hAnsi="Calibri" w:cs="Arial"/>
          <w:sz w:val="22"/>
          <w:szCs w:val="22"/>
        </w:rPr>
        <w:t>is mandated</w:t>
      </w:r>
      <w:proofErr w:type="gramEnd"/>
      <w:r w:rsidRPr="003744D5">
        <w:rPr>
          <w:rFonts w:ascii="Calibri" w:eastAsia="Calibri" w:hAnsi="Calibri" w:cs="Arial"/>
          <w:sz w:val="22"/>
          <w:szCs w:val="22"/>
        </w:rPr>
        <w:t xml:space="preserve"> to examine questions relating to the prohibition, prevention and redress of such abuse in all current and aspiring member States of the United Nations, regardless of their treaty obligations.</w:t>
      </w:r>
    </w:p>
    <w:p w14:paraId="623BD25F"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The Council stressed that the mandate holder shall discharge his or her duties in accordance with Human Rights Council resolutions 5/1 (</w:t>
      </w:r>
      <w:proofErr w:type="gramStart"/>
      <w:r w:rsidRPr="003744D5">
        <w:rPr>
          <w:rFonts w:ascii="Calibri" w:eastAsia="Calibri" w:hAnsi="Calibri" w:cs="Arial"/>
          <w:sz w:val="22"/>
          <w:szCs w:val="22"/>
        </w:rPr>
        <w:t>institution-building</w:t>
      </w:r>
      <w:proofErr w:type="gramEnd"/>
      <w:r w:rsidRPr="003744D5">
        <w:rPr>
          <w:rFonts w:ascii="Calibri" w:eastAsia="Calibri" w:hAnsi="Calibri" w:cs="Arial"/>
          <w:sz w:val="22"/>
          <w:szCs w:val="22"/>
        </w:rPr>
        <w:t>) and 5/2 (Code of Conduct), of 18 June 2007, and the annexes thereto. In particular, the Council has mandated the Special Rapporteur:</w:t>
      </w:r>
    </w:p>
    <w:p w14:paraId="2C0270C3"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(a) To seek, receive, examine and act on information (…) regarding issues and alleged cases concerning torture or ill-treatment</w:t>
      </w:r>
      <w:proofErr w:type="gramStart"/>
      <w:r w:rsidRPr="003744D5">
        <w:rPr>
          <w:rFonts w:ascii="Calibri" w:eastAsia="Calibri" w:hAnsi="Calibri" w:cs="Arial"/>
          <w:sz w:val="22"/>
          <w:szCs w:val="22"/>
        </w:rPr>
        <w:t>;</w:t>
      </w:r>
      <w:proofErr w:type="gramEnd"/>
    </w:p>
    <w:p w14:paraId="74ACB20B"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 xml:space="preserve">(b) To conduct country visits with the consent or at the invitation </w:t>
      </w:r>
      <w:proofErr w:type="gramStart"/>
      <w:r w:rsidRPr="003744D5">
        <w:rPr>
          <w:rFonts w:ascii="Calibri" w:eastAsia="Calibri" w:hAnsi="Calibri" w:cs="Arial"/>
          <w:sz w:val="22"/>
          <w:szCs w:val="22"/>
        </w:rPr>
        <w:t>of Governments and to enhance further dialogue with them, and to follow up on recommendations</w:t>
      </w:r>
      <w:proofErr w:type="gramEnd"/>
      <w:r w:rsidRPr="003744D5">
        <w:rPr>
          <w:rFonts w:ascii="Calibri" w:eastAsia="Calibri" w:hAnsi="Calibri" w:cs="Arial"/>
          <w:sz w:val="22"/>
          <w:szCs w:val="22"/>
        </w:rPr>
        <w:t xml:space="preserve"> made in visit reports;</w:t>
      </w:r>
    </w:p>
    <w:p w14:paraId="20373B98" w14:textId="77777777" w:rsidR="003744D5" w:rsidRPr="003744D5" w:rsidRDefault="003744D5" w:rsidP="003744D5">
      <w:pPr>
        <w:spacing w:after="160" w:line="276" w:lineRule="auto"/>
        <w:jc w:val="both"/>
        <w:rPr>
          <w:rFonts w:ascii="Calibri" w:eastAsia="Calibri" w:hAnsi="Calibri" w:cs="Arial"/>
          <w:sz w:val="22"/>
          <w:szCs w:val="22"/>
        </w:rPr>
      </w:pPr>
      <w:proofErr w:type="gramStart"/>
      <w:r w:rsidRPr="003744D5">
        <w:rPr>
          <w:rFonts w:ascii="Calibri" w:eastAsia="Calibri" w:hAnsi="Calibri" w:cs="Arial"/>
          <w:sz w:val="22"/>
          <w:szCs w:val="22"/>
        </w:rPr>
        <w:t>(c) To</w:t>
      </w:r>
      <w:proofErr w:type="gramEnd"/>
      <w:r w:rsidRPr="003744D5">
        <w:rPr>
          <w:rFonts w:ascii="Calibri" w:eastAsia="Calibri" w:hAnsi="Calibri" w:cs="Arial"/>
          <w:sz w:val="22"/>
          <w:szCs w:val="22"/>
        </w:rPr>
        <w:t xml:space="preserve"> comprehensively study trends, developments and challenges in relation to combating and preventing torture and ill-treatment, and to make recommendations and observations concerning appropriate measures to prevent and eradicate such practices;</w:t>
      </w:r>
    </w:p>
    <w:p w14:paraId="01F609C5"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 xml:space="preserve">(d) To </w:t>
      </w:r>
      <w:proofErr w:type="gramStart"/>
      <w:r w:rsidRPr="003744D5">
        <w:rPr>
          <w:rFonts w:ascii="Calibri" w:eastAsia="Calibri" w:hAnsi="Calibri" w:cs="Arial"/>
          <w:sz w:val="22"/>
          <w:szCs w:val="22"/>
        </w:rPr>
        <w:t>identify,</w:t>
      </w:r>
      <w:proofErr w:type="gramEnd"/>
      <w:r w:rsidRPr="003744D5">
        <w:rPr>
          <w:rFonts w:ascii="Calibri" w:eastAsia="Calibri" w:hAnsi="Calibri" w:cs="Arial"/>
          <w:sz w:val="22"/>
          <w:szCs w:val="22"/>
        </w:rPr>
        <w:t xml:space="preserve"> exchange and promote best practices on measures to prevent, punish and eradicate torture and ill-treatment;</w:t>
      </w:r>
    </w:p>
    <w:p w14:paraId="56E16BFC"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(e) To integrate a gender perspective and a victim-centred approach;</w:t>
      </w:r>
    </w:p>
    <w:p w14:paraId="20F87CD7"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lastRenderedPageBreak/>
        <w:t>(f) To cooperate with, and promote the cooperation between, universal, regional and national mechanisms, as well as civil society, on matters pertaining to the mandate;</w:t>
      </w:r>
    </w:p>
    <w:p w14:paraId="77DA09DC"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(g) To report on all of the mandate’s activities, observations, conclusions and recommendations to the Human Rights Council, and annually on relevant overall trends and developments to the General Assembly, with a view to maximizing the benefits of the reporting process.</w:t>
      </w:r>
    </w:p>
    <w:p w14:paraId="02B94140" w14:textId="77777777" w:rsidR="003744D5" w:rsidRPr="003744D5" w:rsidRDefault="003744D5" w:rsidP="003744D5">
      <w:pPr>
        <w:spacing w:line="276" w:lineRule="auto"/>
        <w:jc w:val="both"/>
        <w:rPr>
          <w:rFonts w:ascii="Calibri" w:eastAsia="Calibri" w:hAnsi="Calibri" w:cs="Arial"/>
          <w:b/>
          <w:sz w:val="24"/>
          <w:szCs w:val="22"/>
        </w:rPr>
      </w:pPr>
    </w:p>
    <w:p w14:paraId="1808DF56" w14:textId="77777777" w:rsidR="003744D5" w:rsidRPr="003744D5" w:rsidRDefault="003744D5" w:rsidP="003744D5">
      <w:pPr>
        <w:numPr>
          <w:ilvl w:val="0"/>
          <w:numId w:val="35"/>
        </w:numPr>
        <w:spacing w:after="160" w:line="276" w:lineRule="auto"/>
        <w:contextualSpacing/>
        <w:jc w:val="both"/>
        <w:rPr>
          <w:rFonts w:ascii="Calibri" w:eastAsia="Calibri" w:hAnsi="Calibri" w:cs="Arial"/>
          <w:b/>
          <w:sz w:val="22"/>
          <w:szCs w:val="22"/>
        </w:rPr>
      </w:pPr>
      <w:r w:rsidRPr="003744D5">
        <w:rPr>
          <w:rFonts w:ascii="Calibri" w:eastAsia="Calibri" w:hAnsi="Calibri" w:cs="Arial"/>
          <w:b/>
          <w:sz w:val="24"/>
          <w:szCs w:val="22"/>
        </w:rPr>
        <w:t>Responsibilities of States</w:t>
      </w:r>
    </w:p>
    <w:p w14:paraId="276CAABB"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 xml:space="preserve">Recognizing the importance of the work of the Special Rapporteur in the prevention and fight against torture and ill-treatment, the Council urged States, most notably: </w:t>
      </w:r>
    </w:p>
    <w:p w14:paraId="0EDE932A" w14:textId="77777777" w:rsidR="003744D5" w:rsidRPr="003744D5" w:rsidRDefault="003744D5" w:rsidP="003744D5">
      <w:pPr>
        <w:spacing w:after="160" w:line="276" w:lineRule="auto"/>
        <w:jc w:val="both"/>
        <w:rPr>
          <w:rFonts w:ascii="Calibri" w:eastAsia="Calibri" w:hAnsi="Calibri" w:cs="Arial"/>
          <w:sz w:val="22"/>
          <w:szCs w:val="22"/>
        </w:rPr>
      </w:pPr>
      <w:proofErr w:type="gramStart"/>
      <w:r w:rsidRPr="003744D5">
        <w:rPr>
          <w:rFonts w:ascii="Calibri" w:eastAsia="Calibri" w:hAnsi="Calibri" w:cs="Arial"/>
          <w:sz w:val="22"/>
          <w:szCs w:val="22"/>
        </w:rPr>
        <w:t>(a) To cooperate fully with and to assist the Special Rapporteur in the performance of his or her tasks, to supply all necessary information requested by him or her and to fully and expeditiously respond to his or her urgent appeals, and urges those Governments that have not yet responded to communications transmitted to them by the Special Rapporteur to answer without further delay;</w:t>
      </w:r>
      <w:proofErr w:type="gramEnd"/>
    </w:p>
    <w:p w14:paraId="0BC073D3"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(b) To respond favourably to the Special Rapporteur’s requests to visit their countries, and to enter into a constructive dialogue with the Special Rapporteur on requested visits to their countries</w:t>
      </w:r>
      <w:proofErr w:type="gramStart"/>
      <w:r w:rsidRPr="003744D5">
        <w:rPr>
          <w:rFonts w:ascii="Calibri" w:eastAsia="Calibri" w:hAnsi="Calibri" w:cs="Arial"/>
          <w:sz w:val="22"/>
          <w:szCs w:val="22"/>
        </w:rPr>
        <w:t>;</w:t>
      </w:r>
      <w:proofErr w:type="gramEnd"/>
    </w:p>
    <w:p w14:paraId="712816A7"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(c) To prevent any sanction, reprisal, intimidation or other prejudice against any person, group or association, including persons deprived of their liberty, for contacting, seeking to contact or having been in contact with the Special Rapporteur (…);</w:t>
      </w:r>
    </w:p>
    <w:p w14:paraId="29F9FCEE"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(d) To ensure proper follow-up to the recommendations and conclusions of the Special Rapporteur;</w:t>
      </w:r>
    </w:p>
    <w:p w14:paraId="7668FE77"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(e) To adopt a victim-centred and gender-sensitive approach in the fight against torture and ill-treatment (…);</w:t>
      </w:r>
    </w:p>
    <w:p w14:paraId="34F70A6D" w14:textId="77777777" w:rsidR="003744D5" w:rsidRPr="003744D5" w:rsidRDefault="003744D5" w:rsidP="003744D5">
      <w:pPr>
        <w:spacing w:line="276" w:lineRule="auto"/>
        <w:jc w:val="both"/>
        <w:rPr>
          <w:rFonts w:ascii="Calibri" w:eastAsia="Calibri" w:hAnsi="Calibri" w:cs="Arial"/>
          <w:sz w:val="22"/>
          <w:szCs w:val="22"/>
        </w:rPr>
      </w:pPr>
    </w:p>
    <w:p w14:paraId="0457C05B" w14:textId="77777777" w:rsidR="003744D5" w:rsidRPr="003744D5" w:rsidRDefault="003744D5" w:rsidP="003744D5">
      <w:pPr>
        <w:numPr>
          <w:ilvl w:val="0"/>
          <w:numId w:val="35"/>
        </w:numPr>
        <w:spacing w:after="160" w:line="276" w:lineRule="auto"/>
        <w:contextualSpacing/>
        <w:jc w:val="both"/>
        <w:rPr>
          <w:rFonts w:ascii="Calibri" w:eastAsia="Calibri" w:hAnsi="Calibri" w:cs="Arial"/>
          <w:b/>
          <w:sz w:val="24"/>
          <w:szCs w:val="22"/>
        </w:rPr>
      </w:pPr>
      <w:r w:rsidRPr="003744D5">
        <w:rPr>
          <w:rFonts w:ascii="Calibri" w:eastAsia="Calibri" w:hAnsi="Calibri" w:cs="Arial"/>
          <w:b/>
          <w:sz w:val="24"/>
          <w:szCs w:val="22"/>
        </w:rPr>
        <w:t>Responsibilities of the United Nations</w:t>
      </w:r>
    </w:p>
    <w:p w14:paraId="357B24D9"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 xml:space="preserve">Finally, the Council requested the Secretary-General to ensure, from within the overall budget of the United Nations, the provision of an adequate and stable level of staffing and the facilities and resources necessary for the Special Rapporteur, bearing in mind the strong support expressed by Member States for preventing and combating torture and assisting victims of torture. </w:t>
      </w:r>
    </w:p>
    <w:p w14:paraId="50415EBD"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Like all other special procedures of the Human Rights Council, the mandate of the Special Rapporteur is supported by the Office of the High Commissioner for Human Rights through thematic, fact-finding, policy and legal expertise, research and analytical work, and administrative and logistical services (Manual of Operations of the Special Procedures of the Human Rights Council, August 2008, para 21).</w:t>
      </w:r>
    </w:p>
    <w:p w14:paraId="76DC648E" w14:textId="77777777" w:rsidR="003744D5" w:rsidRPr="003744D5" w:rsidRDefault="003744D5" w:rsidP="003744D5">
      <w:pPr>
        <w:spacing w:after="160" w:line="276" w:lineRule="auto"/>
        <w:jc w:val="both"/>
        <w:rPr>
          <w:rFonts w:ascii="Calibri" w:eastAsia="Calibri" w:hAnsi="Calibri" w:cs="Arial"/>
          <w:sz w:val="22"/>
          <w:szCs w:val="22"/>
        </w:rPr>
      </w:pPr>
    </w:p>
    <w:p w14:paraId="000A8B02" w14:textId="77777777" w:rsidR="003744D5" w:rsidRPr="003744D5" w:rsidRDefault="003744D5" w:rsidP="003744D5">
      <w:pPr>
        <w:numPr>
          <w:ilvl w:val="0"/>
          <w:numId w:val="33"/>
        </w:numPr>
        <w:spacing w:after="160" w:line="276" w:lineRule="auto"/>
        <w:contextualSpacing/>
        <w:jc w:val="both"/>
        <w:rPr>
          <w:rFonts w:ascii="Calibri" w:eastAsia="Calibri" w:hAnsi="Calibri" w:cs="Arial"/>
          <w:b/>
          <w:sz w:val="24"/>
          <w:szCs w:val="22"/>
        </w:rPr>
      </w:pPr>
      <w:r w:rsidRPr="003744D5">
        <w:rPr>
          <w:rFonts w:ascii="Calibri" w:eastAsia="Calibri" w:hAnsi="Calibri" w:cs="Arial"/>
          <w:b/>
          <w:sz w:val="24"/>
          <w:szCs w:val="22"/>
        </w:rPr>
        <w:t>The Report: Evaluating the effectiveness of States’ interaction with the mandate</w:t>
      </w:r>
    </w:p>
    <w:p w14:paraId="2F83831A"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rPr>
        <w:lastRenderedPageBreak/>
        <w:t xml:space="preserve">a) Purpose </w:t>
      </w:r>
    </w:p>
    <w:p w14:paraId="634938D6"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 xml:space="preserve">Thirty-five years after the creation of the mandate, and mindful of the “need to be able to respond effectively to credible and reliable information that comes before him” as evoked by the Human Rights Commission (E/CN.4/res/1985/33, para. 6), the Special Rapporteur deems it timely </w:t>
      </w:r>
      <w:proofErr w:type="gramStart"/>
      <w:r w:rsidRPr="003744D5">
        <w:rPr>
          <w:rFonts w:ascii="Calibri" w:eastAsia="Calibri" w:hAnsi="Calibri" w:cs="Arial"/>
          <w:sz w:val="22"/>
          <w:szCs w:val="22"/>
        </w:rPr>
        <w:t>to</w:t>
      </w:r>
      <w:proofErr w:type="gramEnd"/>
      <w:r w:rsidRPr="003744D5">
        <w:rPr>
          <w:rFonts w:ascii="Calibri" w:eastAsia="Calibri" w:hAnsi="Calibri" w:cs="Arial"/>
          <w:sz w:val="22"/>
          <w:szCs w:val="22"/>
        </w:rPr>
        <w:t>:</w:t>
      </w:r>
    </w:p>
    <w:p w14:paraId="0B1660A8" w14:textId="77777777" w:rsidR="003744D5" w:rsidRPr="003744D5" w:rsidRDefault="003744D5" w:rsidP="003744D5">
      <w:pPr>
        <w:numPr>
          <w:ilvl w:val="0"/>
          <w:numId w:val="27"/>
        </w:numPr>
        <w:spacing w:after="160" w:line="276" w:lineRule="auto"/>
        <w:contextualSpacing/>
        <w:jc w:val="both"/>
        <w:rPr>
          <w:rFonts w:ascii="Calibri" w:eastAsia="Calibri" w:hAnsi="Calibri" w:cs="Arial"/>
          <w:sz w:val="22"/>
          <w:szCs w:val="22"/>
        </w:rPr>
      </w:pPr>
      <w:r w:rsidRPr="003744D5">
        <w:rPr>
          <w:rFonts w:ascii="Calibri" w:eastAsia="Calibri" w:hAnsi="Calibri" w:cs="Arial"/>
          <w:sz w:val="22"/>
          <w:szCs w:val="22"/>
        </w:rPr>
        <w:t>conduct a longitudinal study, through statistical analysis and State consultation by questionnaire, evaluating the effectiveness of the cooperation shown by Governments in their responses and follow-up to official communications, country visit requests, as well as country visit reports and thematic reports transmitted by the Special Rapporteur, and</w:t>
      </w:r>
    </w:p>
    <w:p w14:paraId="7486CA9F" w14:textId="77777777" w:rsidR="003744D5" w:rsidRPr="003744D5" w:rsidRDefault="003744D5" w:rsidP="003744D5">
      <w:pPr>
        <w:numPr>
          <w:ilvl w:val="0"/>
          <w:numId w:val="27"/>
        </w:numPr>
        <w:spacing w:after="160" w:line="276" w:lineRule="auto"/>
        <w:contextualSpacing/>
        <w:jc w:val="both"/>
        <w:rPr>
          <w:rFonts w:ascii="Calibri" w:eastAsia="Calibri" w:hAnsi="Calibri" w:cs="Arial"/>
          <w:sz w:val="22"/>
          <w:szCs w:val="22"/>
        </w:rPr>
      </w:pPr>
      <w:r w:rsidRPr="003744D5">
        <w:rPr>
          <w:rFonts w:ascii="Calibri" w:eastAsia="Calibri" w:hAnsi="Calibri" w:cs="Arial"/>
          <w:sz w:val="22"/>
          <w:szCs w:val="22"/>
        </w:rPr>
        <w:t>where appropriate, recommend effective measures to be taken by States in order for them to: (a) achieve the standard of “full cooperation” set by the Human Rights Council for their interaction with the mandate of the Special Rapporteur, and (b) meet their universally recognized legal obligations arising from the absolute and non-</w:t>
      </w:r>
      <w:proofErr w:type="spellStart"/>
      <w:r w:rsidRPr="003744D5">
        <w:rPr>
          <w:rFonts w:ascii="Calibri" w:eastAsia="Calibri" w:hAnsi="Calibri" w:cs="Arial"/>
          <w:sz w:val="22"/>
          <w:szCs w:val="22"/>
        </w:rPr>
        <w:t>derogable</w:t>
      </w:r>
      <w:proofErr w:type="spellEnd"/>
      <w:r w:rsidRPr="003744D5">
        <w:rPr>
          <w:rFonts w:ascii="Calibri" w:eastAsia="Calibri" w:hAnsi="Calibri" w:cs="Arial"/>
          <w:sz w:val="22"/>
          <w:szCs w:val="22"/>
        </w:rPr>
        <w:t xml:space="preserve"> prohibition of torture and ill-treatment.</w:t>
      </w:r>
    </w:p>
    <w:p w14:paraId="72181B70" w14:textId="77777777" w:rsidR="003744D5" w:rsidRPr="003744D5" w:rsidRDefault="003744D5" w:rsidP="003744D5">
      <w:pPr>
        <w:spacing w:after="160" w:line="276" w:lineRule="auto"/>
        <w:jc w:val="both"/>
        <w:rPr>
          <w:rFonts w:ascii="Calibri" w:eastAsia="Calibri" w:hAnsi="Calibri" w:cs="Arial"/>
          <w:b/>
          <w:sz w:val="22"/>
          <w:szCs w:val="22"/>
        </w:rPr>
      </w:pPr>
    </w:p>
    <w:p w14:paraId="21E18443"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rPr>
        <w:t>b) Process</w:t>
      </w:r>
    </w:p>
    <w:p w14:paraId="639BB975"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 xml:space="preserve">Mindful of the significant amount of information to be </w:t>
      </w:r>
      <w:proofErr w:type="gramStart"/>
      <w:r w:rsidRPr="003744D5">
        <w:rPr>
          <w:rFonts w:ascii="Calibri" w:eastAsia="Calibri" w:hAnsi="Calibri" w:cs="Arial"/>
          <w:sz w:val="22"/>
          <w:szCs w:val="22"/>
        </w:rPr>
        <w:t>collected</w:t>
      </w:r>
      <w:proofErr w:type="gramEnd"/>
      <w:r w:rsidRPr="003744D5">
        <w:rPr>
          <w:rFonts w:ascii="Calibri" w:eastAsia="Calibri" w:hAnsi="Calibri" w:cs="Arial"/>
          <w:sz w:val="22"/>
          <w:szCs w:val="22"/>
        </w:rPr>
        <w:t xml:space="preserve"> and analysed, the Special Rapporteur intends divide this process into two parts, dedicating his last two reports to the Human Rights Council to this process as follows:</w:t>
      </w:r>
    </w:p>
    <w:p w14:paraId="6826A367" w14:textId="77777777" w:rsidR="003744D5" w:rsidRPr="003744D5" w:rsidRDefault="003744D5" w:rsidP="003744D5">
      <w:pPr>
        <w:numPr>
          <w:ilvl w:val="0"/>
          <w:numId w:val="27"/>
        </w:numPr>
        <w:spacing w:after="160" w:line="276" w:lineRule="auto"/>
        <w:contextualSpacing/>
        <w:jc w:val="both"/>
        <w:rPr>
          <w:rFonts w:ascii="Calibri" w:eastAsia="Calibri" w:hAnsi="Calibri" w:cs="Arial"/>
          <w:sz w:val="22"/>
          <w:szCs w:val="22"/>
        </w:rPr>
      </w:pPr>
      <w:r w:rsidRPr="003744D5">
        <w:rPr>
          <w:rFonts w:ascii="Calibri" w:eastAsia="Calibri" w:hAnsi="Calibri" w:cs="Arial"/>
          <w:sz w:val="22"/>
          <w:szCs w:val="22"/>
        </w:rPr>
        <w:t xml:space="preserve">Report to HRC46 (March 2021): Evaluation of States’ responses to </w:t>
      </w:r>
      <w:r w:rsidRPr="003744D5">
        <w:rPr>
          <w:rFonts w:ascii="Calibri" w:eastAsia="Calibri" w:hAnsi="Calibri" w:cs="Arial"/>
          <w:b/>
          <w:sz w:val="22"/>
          <w:szCs w:val="22"/>
        </w:rPr>
        <w:t>communications and country visit requests</w:t>
      </w:r>
      <w:r w:rsidRPr="003744D5">
        <w:rPr>
          <w:rFonts w:ascii="Calibri" w:eastAsia="Calibri" w:hAnsi="Calibri" w:cs="Arial"/>
          <w:sz w:val="22"/>
          <w:szCs w:val="22"/>
        </w:rPr>
        <w:t xml:space="preserve"> transmitted by the Special Rapporteur from 1 November 2016 to 31 October 2020.</w:t>
      </w:r>
    </w:p>
    <w:p w14:paraId="2D57A7D2" w14:textId="77777777" w:rsidR="003744D5" w:rsidRPr="003744D5" w:rsidRDefault="003744D5" w:rsidP="003744D5">
      <w:pPr>
        <w:numPr>
          <w:ilvl w:val="0"/>
          <w:numId w:val="27"/>
        </w:numPr>
        <w:spacing w:after="160" w:line="276" w:lineRule="auto"/>
        <w:contextualSpacing/>
        <w:jc w:val="both"/>
        <w:rPr>
          <w:rFonts w:ascii="Calibri" w:eastAsia="Calibri" w:hAnsi="Calibri" w:cs="Arial"/>
          <w:sz w:val="22"/>
          <w:szCs w:val="22"/>
        </w:rPr>
      </w:pPr>
      <w:r w:rsidRPr="003744D5">
        <w:rPr>
          <w:rFonts w:ascii="Calibri" w:eastAsia="Calibri" w:hAnsi="Calibri" w:cs="Arial"/>
          <w:sz w:val="22"/>
          <w:szCs w:val="22"/>
        </w:rPr>
        <w:t xml:space="preserve">Report to HRC49 (March 2022): Evaluation of States’ follow-up on </w:t>
      </w:r>
      <w:r w:rsidRPr="003744D5">
        <w:rPr>
          <w:rFonts w:ascii="Calibri" w:eastAsia="Calibri" w:hAnsi="Calibri" w:cs="Arial"/>
          <w:b/>
          <w:sz w:val="22"/>
          <w:szCs w:val="22"/>
        </w:rPr>
        <w:t xml:space="preserve">thematic reports and country visit reports </w:t>
      </w:r>
      <w:r w:rsidRPr="003744D5">
        <w:rPr>
          <w:rFonts w:ascii="Calibri" w:eastAsia="Calibri" w:hAnsi="Calibri" w:cs="Arial"/>
          <w:sz w:val="22"/>
          <w:szCs w:val="22"/>
        </w:rPr>
        <w:t>transmitted by the Special Rapporteur from 1 November 2016 to 31 October 2020.</w:t>
      </w:r>
    </w:p>
    <w:p w14:paraId="16CDF15E" w14:textId="77777777" w:rsidR="003744D5" w:rsidRPr="003744D5" w:rsidRDefault="003744D5" w:rsidP="003744D5">
      <w:pPr>
        <w:spacing w:after="160" w:line="276" w:lineRule="auto"/>
        <w:jc w:val="both"/>
        <w:rPr>
          <w:rFonts w:ascii="Calibri" w:eastAsia="Calibri" w:hAnsi="Calibri" w:cs="Arial"/>
          <w:b/>
          <w:sz w:val="22"/>
          <w:szCs w:val="22"/>
        </w:rPr>
      </w:pPr>
    </w:p>
    <w:p w14:paraId="75B160F6"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rPr>
        <w:t>c) State consultation</w:t>
      </w:r>
    </w:p>
    <w:p w14:paraId="30E1B7F3"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sz w:val="22"/>
          <w:szCs w:val="22"/>
        </w:rPr>
        <w:t xml:space="preserve">These reports will be based on a comprehensive analysis of all information made available to the mandate including, most notably, the </w:t>
      </w:r>
      <w:r w:rsidRPr="003744D5">
        <w:rPr>
          <w:rFonts w:ascii="Calibri" w:eastAsia="Calibri" w:hAnsi="Calibri" w:cs="Arial"/>
          <w:b/>
          <w:sz w:val="22"/>
          <w:szCs w:val="22"/>
        </w:rPr>
        <w:t>responses received from States to official communications, requests and reports</w:t>
      </w:r>
      <w:r w:rsidRPr="003744D5">
        <w:rPr>
          <w:rFonts w:ascii="Calibri" w:eastAsia="Calibri" w:hAnsi="Calibri" w:cs="Arial"/>
          <w:sz w:val="22"/>
          <w:szCs w:val="22"/>
        </w:rPr>
        <w:t xml:space="preserve">, as well as the </w:t>
      </w:r>
      <w:r w:rsidRPr="003744D5">
        <w:rPr>
          <w:rFonts w:ascii="Calibri" w:eastAsia="Calibri" w:hAnsi="Calibri" w:cs="Arial"/>
          <w:b/>
          <w:sz w:val="22"/>
          <w:szCs w:val="22"/>
        </w:rPr>
        <w:t>responses received from States to two Questionnaires</w:t>
      </w:r>
      <w:r w:rsidRPr="003744D5">
        <w:rPr>
          <w:rFonts w:ascii="Calibri" w:eastAsia="Calibri" w:hAnsi="Calibri" w:cs="Arial"/>
          <w:sz w:val="22"/>
          <w:szCs w:val="22"/>
        </w:rPr>
        <w:t xml:space="preserve"> - one for each report - aiming to systematize the required data through governmental reporting and self-evaluation.</w:t>
      </w:r>
      <w:r w:rsidRPr="003744D5">
        <w:rPr>
          <w:rFonts w:ascii="Calibri" w:eastAsia="Calibri" w:hAnsi="Calibri" w:cs="Arial"/>
          <w:b/>
          <w:sz w:val="22"/>
          <w:szCs w:val="22"/>
        </w:rPr>
        <w:t xml:space="preserve"> </w:t>
      </w:r>
    </w:p>
    <w:p w14:paraId="5E5AC569" w14:textId="77777777" w:rsidR="003744D5" w:rsidRPr="003744D5" w:rsidRDefault="003744D5" w:rsidP="003744D5">
      <w:pPr>
        <w:spacing w:after="160" w:line="276" w:lineRule="auto"/>
        <w:jc w:val="both"/>
        <w:rPr>
          <w:rFonts w:ascii="Calibri" w:eastAsia="Calibri" w:hAnsi="Calibri" w:cs="Arial"/>
          <w:b/>
          <w:sz w:val="22"/>
          <w:szCs w:val="22"/>
        </w:rPr>
      </w:pPr>
    </w:p>
    <w:p w14:paraId="5B5428B5"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rPr>
        <w:t>d) Reporting period</w:t>
      </w:r>
    </w:p>
    <w:p w14:paraId="46AA803E"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 xml:space="preserve">Both reports will cover the first four years of the current Special Rapporteur’s tenure </w:t>
      </w:r>
      <w:r w:rsidRPr="003744D5">
        <w:rPr>
          <w:rFonts w:ascii="Calibri" w:eastAsia="Calibri" w:hAnsi="Calibri" w:cs="Arial"/>
          <w:b/>
          <w:sz w:val="22"/>
          <w:szCs w:val="22"/>
        </w:rPr>
        <w:t>(1 November 2016 until 31 October 2020</w:t>
      </w:r>
      <w:r w:rsidRPr="003744D5">
        <w:rPr>
          <w:rFonts w:ascii="Calibri" w:eastAsia="Calibri" w:hAnsi="Calibri" w:cs="Arial"/>
          <w:sz w:val="22"/>
          <w:szCs w:val="22"/>
        </w:rPr>
        <w:t xml:space="preserve">) but, where available and specifically indicated, will also take into account systematized information made available by his predecessors through means such as their “Observations Reports on Communications”. </w:t>
      </w:r>
    </w:p>
    <w:p w14:paraId="1606B839" w14:textId="77777777" w:rsidR="003744D5" w:rsidRPr="003744D5" w:rsidRDefault="003744D5" w:rsidP="003744D5">
      <w:pPr>
        <w:numPr>
          <w:ilvl w:val="0"/>
          <w:numId w:val="33"/>
        </w:numPr>
        <w:spacing w:after="160" w:line="276" w:lineRule="auto"/>
        <w:contextualSpacing/>
        <w:jc w:val="center"/>
        <w:rPr>
          <w:rFonts w:ascii="Calibri" w:eastAsia="Calibri" w:hAnsi="Calibri" w:cs="Arial"/>
          <w:b/>
          <w:bCs/>
          <w:sz w:val="32"/>
          <w:szCs w:val="28"/>
        </w:rPr>
      </w:pPr>
      <w:r w:rsidRPr="003744D5">
        <w:rPr>
          <w:rFonts w:ascii="Calibri" w:eastAsia="Calibri" w:hAnsi="Calibri" w:cs="Arial"/>
          <w:b/>
          <w:bCs/>
          <w:sz w:val="32"/>
          <w:szCs w:val="22"/>
        </w:rPr>
        <w:br w:type="column"/>
      </w:r>
      <w:r w:rsidRPr="003744D5">
        <w:rPr>
          <w:rFonts w:ascii="Calibri" w:eastAsia="Calibri" w:hAnsi="Calibri" w:cs="Arial"/>
          <w:b/>
          <w:bCs/>
          <w:sz w:val="28"/>
          <w:szCs w:val="22"/>
        </w:rPr>
        <w:lastRenderedPageBreak/>
        <w:t xml:space="preserve">Questionnaire for States </w:t>
      </w:r>
    </w:p>
    <w:p w14:paraId="1AD61330" w14:textId="77777777" w:rsidR="003744D5" w:rsidRPr="003744D5" w:rsidRDefault="003744D5" w:rsidP="003744D5">
      <w:pPr>
        <w:spacing w:after="160" w:line="276" w:lineRule="auto"/>
        <w:jc w:val="center"/>
        <w:rPr>
          <w:rFonts w:ascii="Calibri" w:eastAsia="Calibri" w:hAnsi="Calibri" w:cs="Arial"/>
          <w:b/>
          <w:bCs/>
          <w:sz w:val="24"/>
          <w:szCs w:val="24"/>
        </w:rPr>
      </w:pPr>
      <w:r w:rsidRPr="003744D5">
        <w:rPr>
          <w:rFonts w:ascii="Calibri" w:eastAsia="Calibri" w:hAnsi="Calibri" w:cs="Arial"/>
          <w:b/>
          <w:bCs/>
          <w:sz w:val="28"/>
          <w:szCs w:val="24"/>
        </w:rPr>
        <w:t>(Communications and Visit Requests of the Special Rapporteur)</w:t>
      </w:r>
    </w:p>
    <w:p w14:paraId="21AADFEC" w14:textId="77777777" w:rsidR="003744D5" w:rsidRPr="003744D5" w:rsidRDefault="003744D5" w:rsidP="003744D5">
      <w:pPr>
        <w:pBdr>
          <w:top w:val="single" w:sz="4" w:space="1" w:color="auto"/>
          <w:left w:val="single" w:sz="4" w:space="4" w:color="auto"/>
          <w:bottom w:val="single" w:sz="4" w:space="1" w:color="auto"/>
          <w:right w:val="single" w:sz="4" w:space="4" w:color="auto"/>
        </w:pBdr>
        <w:spacing w:after="160" w:line="276" w:lineRule="auto"/>
        <w:ind w:left="360" w:right="95" w:firstLine="360"/>
        <w:rPr>
          <w:rFonts w:ascii="Calibri" w:eastAsia="Calibri" w:hAnsi="Calibri" w:cs="Arial"/>
          <w:b/>
          <w:bCs/>
          <w:i/>
          <w:sz w:val="22"/>
          <w:szCs w:val="22"/>
          <w:u w:val="single"/>
        </w:rPr>
      </w:pPr>
      <w:r w:rsidRPr="003744D5">
        <w:rPr>
          <w:rFonts w:ascii="Calibri" w:eastAsia="Calibri" w:hAnsi="Calibri" w:cs="Arial"/>
          <w:b/>
          <w:bCs/>
          <w:i/>
          <w:sz w:val="22"/>
          <w:szCs w:val="22"/>
          <w:u w:val="single"/>
        </w:rPr>
        <w:t>Remarks:</w:t>
      </w:r>
    </w:p>
    <w:p w14:paraId="335D1F27" w14:textId="77777777" w:rsidR="003744D5" w:rsidRPr="003744D5" w:rsidRDefault="003744D5" w:rsidP="003744D5">
      <w:pPr>
        <w:numPr>
          <w:ilvl w:val="0"/>
          <w:numId w:val="31"/>
        </w:numPr>
        <w:pBdr>
          <w:top w:val="single" w:sz="4" w:space="1" w:color="auto"/>
          <w:left w:val="single" w:sz="4" w:space="4" w:color="auto"/>
          <w:bottom w:val="single" w:sz="4" w:space="1" w:color="auto"/>
          <w:right w:val="single" w:sz="4" w:space="4" w:color="auto"/>
        </w:pBdr>
        <w:spacing w:after="160" w:line="276" w:lineRule="auto"/>
        <w:ind w:right="95"/>
        <w:contextualSpacing/>
        <w:rPr>
          <w:rFonts w:ascii="Calibri" w:eastAsia="Calibri" w:hAnsi="Calibri" w:cs="Arial"/>
          <w:bCs/>
          <w:sz w:val="22"/>
          <w:szCs w:val="22"/>
        </w:rPr>
      </w:pPr>
      <w:r w:rsidRPr="003744D5">
        <w:rPr>
          <w:rFonts w:ascii="Calibri" w:eastAsia="Calibri" w:hAnsi="Calibri" w:cs="Arial"/>
          <w:bCs/>
          <w:i/>
          <w:sz w:val="22"/>
          <w:szCs w:val="22"/>
        </w:rPr>
        <w:t xml:space="preserve">Please </w:t>
      </w:r>
      <w:r w:rsidRPr="003744D5">
        <w:rPr>
          <w:rFonts w:ascii="Calibri" w:eastAsia="Calibri" w:hAnsi="Calibri" w:cs="Arial"/>
          <w:b/>
          <w:bCs/>
          <w:i/>
          <w:sz w:val="22"/>
          <w:szCs w:val="22"/>
        </w:rPr>
        <w:t>keep your responses concise</w:t>
      </w:r>
      <w:r w:rsidRPr="003744D5">
        <w:rPr>
          <w:rFonts w:ascii="Calibri" w:eastAsia="Calibri" w:hAnsi="Calibri" w:cs="Arial"/>
          <w:bCs/>
          <w:i/>
          <w:sz w:val="22"/>
          <w:szCs w:val="22"/>
        </w:rPr>
        <w:t xml:space="preserve">, either directly in the space provided below or in a separate document. </w:t>
      </w:r>
    </w:p>
    <w:p w14:paraId="1680DA69" w14:textId="77777777" w:rsidR="003744D5" w:rsidRPr="003744D5" w:rsidRDefault="003744D5" w:rsidP="003744D5">
      <w:pPr>
        <w:numPr>
          <w:ilvl w:val="0"/>
          <w:numId w:val="31"/>
        </w:numPr>
        <w:pBdr>
          <w:top w:val="single" w:sz="4" w:space="1" w:color="auto"/>
          <w:left w:val="single" w:sz="4" w:space="4" w:color="auto"/>
          <w:bottom w:val="single" w:sz="4" w:space="1" w:color="auto"/>
          <w:right w:val="single" w:sz="4" w:space="4" w:color="auto"/>
        </w:pBdr>
        <w:spacing w:after="160" w:line="276" w:lineRule="auto"/>
        <w:ind w:right="95"/>
        <w:contextualSpacing/>
        <w:rPr>
          <w:rFonts w:ascii="Calibri" w:eastAsia="Calibri" w:hAnsi="Calibri" w:cs="Arial"/>
          <w:bCs/>
          <w:sz w:val="22"/>
          <w:szCs w:val="22"/>
        </w:rPr>
      </w:pPr>
      <w:r w:rsidRPr="003744D5">
        <w:rPr>
          <w:rFonts w:ascii="Calibri" w:eastAsia="Calibri" w:hAnsi="Calibri" w:cs="Arial"/>
          <w:bCs/>
          <w:i/>
          <w:sz w:val="22"/>
          <w:szCs w:val="22"/>
        </w:rPr>
        <w:t xml:space="preserve">In the absence of translation services, </w:t>
      </w:r>
      <w:r w:rsidRPr="003744D5">
        <w:rPr>
          <w:rFonts w:ascii="Calibri" w:eastAsia="Calibri" w:hAnsi="Calibri" w:cs="Arial"/>
          <w:b/>
          <w:bCs/>
          <w:i/>
          <w:sz w:val="22"/>
          <w:szCs w:val="22"/>
        </w:rPr>
        <w:t>please provide responses in English only, if possible</w:t>
      </w:r>
      <w:r w:rsidRPr="003744D5">
        <w:rPr>
          <w:rFonts w:ascii="Calibri" w:eastAsia="Calibri" w:hAnsi="Calibri" w:cs="Arial"/>
          <w:bCs/>
          <w:i/>
          <w:sz w:val="22"/>
          <w:szCs w:val="22"/>
        </w:rPr>
        <w:t>.</w:t>
      </w:r>
    </w:p>
    <w:p w14:paraId="6847AD4F" w14:textId="77777777" w:rsidR="003744D5" w:rsidRPr="003744D5" w:rsidRDefault="003744D5" w:rsidP="003744D5">
      <w:pPr>
        <w:numPr>
          <w:ilvl w:val="0"/>
          <w:numId w:val="31"/>
        </w:numPr>
        <w:pBdr>
          <w:top w:val="single" w:sz="4" w:space="1" w:color="auto"/>
          <w:left w:val="single" w:sz="4" w:space="4" w:color="auto"/>
          <w:bottom w:val="single" w:sz="4" w:space="1" w:color="auto"/>
          <w:right w:val="single" w:sz="4" w:space="4" w:color="auto"/>
        </w:pBdr>
        <w:spacing w:after="160" w:line="276" w:lineRule="auto"/>
        <w:ind w:right="95"/>
        <w:contextualSpacing/>
        <w:rPr>
          <w:rFonts w:ascii="Calibri" w:eastAsia="Calibri" w:hAnsi="Calibri" w:cs="Arial"/>
          <w:bCs/>
          <w:i/>
          <w:sz w:val="22"/>
          <w:szCs w:val="22"/>
        </w:rPr>
      </w:pPr>
      <w:r w:rsidRPr="003744D5">
        <w:rPr>
          <w:rFonts w:ascii="Calibri" w:eastAsia="Calibri" w:hAnsi="Calibri" w:cs="Arial"/>
          <w:b/>
          <w:bCs/>
          <w:i/>
          <w:sz w:val="22"/>
          <w:szCs w:val="22"/>
        </w:rPr>
        <w:t>Please submit your response by 15 October 2020</w:t>
      </w:r>
      <w:r w:rsidRPr="003744D5">
        <w:rPr>
          <w:rFonts w:ascii="Calibri" w:eastAsia="Calibri" w:hAnsi="Calibri" w:cs="Arial"/>
          <w:bCs/>
          <w:i/>
          <w:sz w:val="22"/>
          <w:szCs w:val="22"/>
        </w:rPr>
        <w:t>.</w:t>
      </w:r>
    </w:p>
    <w:p w14:paraId="20D08E43" w14:textId="77777777" w:rsidR="003744D5" w:rsidRPr="003744D5" w:rsidRDefault="003744D5" w:rsidP="003744D5">
      <w:pPr>
        <w:numPr>
          <w:ilvl w:val="0"/>
          <w:numId w:val="31"/>
        </w:numPr>
        <w:pBdr>
          <w:top w:val="single" w:sz="4" w:space="1" w:color="auto"/>
          <w:left w:val="single" w:sz="4" w:space="4" w:color="auto"/>
          <w:bottom w:val="single" w:sz="4" w:space="1" w:color="auto"/>
          <w:right w:val="single" w:sz="4" w:space="4" w:color="auto"/>
        </w:pBdr>
        <w:spacing w:after="160" w:line="276" w:lineRule="auto"/>
        <w:ind w:right="95"/>
        <w:contextualSpacing/>
        <w:rPr>
          <w:rFonts w:ascii="Calibri" w:eastAsia="Calibri" w:hAnsi="Calibri" w:cs="Arial"/>
          <w:bCs/>
          <w:i/>
          <w:sz w:val="22"/>
          <w:szCs w:val="22"/>
        </w:rPr>
      </w:pPr>
      <w:r w:rsidRPr="003744D5">
        <w:rPr>
          <w:rFonts w:ascii="Calibri" w:eastAsia="Calibri" w:hAnsi="Calibri" w:cs="Arial"/>
          <w:bCs/>
          <w:i/>
          <w:sz w:val="22"/>
          <w:szCs w:val="22"/>
        </w:rPr>
        <w:t xml:space="preserve">All responses provided by Governments </w:t>
      </w:r>
      <w:proofErr w:type="gramStart"/>
      <w:r w:rsidRPr="003744D5">
        <w:rPr>
          <w:rFonts w:ascii="Calibri" w:eastAsia="Calibri" w:hAnsi="Calibri" w:cs="Arial"/>
          <w:bCs/>
          <w:i/>
          <w:sz w:val="22"/>
          <w:szCs w:val="22"/>
        </w:rPr>
        <w:t xml:space="preserve">will be </w:t>
      </w:r>
      <w:r w:rsidRPr="003744D5">
        <w:rPr>
          <w:rFonts w:ascii="Calibri" w:eastAsia="Calibri" w:hAnsi="Calibri" w:cs="Arial"/>
          <w:b/>
          <w:bCs/>
          <w:i/>
          <w:sz w:val="22"/>
          <w:szCs w:val="22"/>
        </w:rPr>
        <w:t>published</w:t>
      </w:r>
      <w:proofErr w:type="gramEnd"/>
      <w:r w:rsidRPr="003744D5">
        <w:rPr>
          <w:rFonts w:ascii="Calibri" w:eastAsia="Calibri" w:hAnsi="Calibri" w:cs="Arial"/>
          <w:b/>
          <w:bCs/>
          <w:i/>
          <w:sz w:val="22"/>
          <w:szCs w:val="22"/>
        </w:rPr>
        <w:t xml:space="preserve"> on the mandate’s webpage</w:t>
      </w:r>
      <w:r w:rsidRPr="003744D5">
        <w:rPr>
          <w:rFonts w:ascii="Calibri" w:eastAsia="Calibri" w:hAnsi="Calibri" w:cs="Arial"/>
          <w:bCs/>
          <w:i/>
          <w:sz w:val="22"/>
          <w:szCs w:val="22"/>
        </w:rPr>
        <w:t>: (</w:t>
      </w:r>
      <w:hyperlink r:id="rId11" w:history="1">
        <w:r w:rsidRPr="003744D5">
          <w:rPr>
            <w:rFonts w:ascii="Calibri" w:eastAsia="Calibri" w:hAnsi="Calibri" w:cs="Arial"/>
            <w:bCs/>
            <w:i/>
            <w:color w:val="0563C1"/>
            <w:sz w:val="22"/>
            <w:szCs w:val="22"/>
            <w:u w:val="single"/>
          </w:rPr>
          <w:t>https://www.ohchr.org/en/issues/torture/srtorture/pages/srtortureindex.aspx</w:t>
        </w:r>
      </w:hyperlink>
      <w:r w:rsidRPr="003744D5">
        <w:rPr>
          <w:rFonts w:ascii="Calibri" w:eastAsia="Calibri" w:hAnsi="Calibri" w:cs="Arial"/>
          <w:bCs/>
          <w:i/>
          <w:sz w:val="22"/>
          <w:szCs w:val="22"/>
        </w:rPr>
        <w:t>).</w:t>
      </w:r>
    </w:p>
    <w:p w14:paraId="7BEE5CA7" w14:textId="77777777" w:rsidR="003744D5" w:rsidRPr="003744D5" w:rsidRDefault="008875A7" w:rsidP="003744D5">
      <w:pPr>
        <w:spacing w:after="160" w:line="276" w:lineRule="auto"/>
        <w:jc w:val="both"/>
        <w:rPr>
          <w:rFonts w:ascii="Calibri" w:eastAsia="Calibri" w:hAnsi="Calibri" w:cs="Arial"/>
          <w:bCs/>
          <w:sz w:val="22"/>
          <w:szCs w:val="22"/>
        </w:rPr>
      </w:pPr>
      <w:r>
        <w:rPr>
          <w:rFonts w:ascii="Calibri" w:eastAsia="Calibri" w:hAnsi="Calibri" w:cs="Arial"/>
          <w:bCs/>
          <w:noProof/>
          <w:sz w:val="22"/>
          <w:szCs w:val="22"/>
        </w:rPr>
        <w:pict w14:anchorId="56785647">
          <v:rect id="_x0000_i1026" alt="" style="width:425.2pt;height:.05pt;mso-width-percent:0;mso-height-percent:0;mso-width-percent:0;mso-height-percent:0" o:hralign="center" o:hrstd="t" o:hr="t" fillcolor="#a0a0a0" stroked="f"/>
        </w:pict>
      </w:r>
    </w:p>
    <w:p w14:paraId="02657B57" w14:textId="77777777" w:rsidR="003744D5" w:rsidRPr="003744D5" w:rsidRDefault="003744D5" w:rsidP="003744D5">
      <w:pPr>
        <w:numPr>
          <w:ilvl w:val="0"/>
          <w:numId w:val="36"/>
        </w:numPr>
        <w:tabs>
          <w:tab w:val="left" w:pos="709"/>
        </w:tabs>
        <w:spacing w:after="160" w:line="276" w:lineRule="auto"/>
        <w:contextualSpacing/>
        <w:jc w:val="center"/>
        <w:rPr>
          <w:rFonts w:ascii="Calibri" w:eastAsia="Calibri" w:hAnsi="Calibri" w:cs="Arial"/>
          <w:b/>
          <w:bCs/>
          <w:color w:val="000000"/>
          <w:sz w:val="28"/>
          <w:szCs w:val="22"/>
        </w:rPr>
      </w:pPr>
      <w:r w:rsidRPr="003744D5">
        <w:rPr>
          <w:rFonts w:ascii="Calibri" w:eastAsia="Calibri" w:hAnsi="Calibri" w:cs="Arial"/>
          <w:b/>
          <w:bCs/>
          <w:color w:val="000000"/>
          <w:sz w:val="28"/>
          <w:szCs w:val="22"/>
        </w:rPr>
        <w:t>Procedures for the processing of official communications and requests</w:t>
      </w:r>
    </w:p>
    <w:p w14:paraId="0A397813" w14:textId="77777777" w:rsidR="003744D5" w:rsidRPr="003744D5" w:rsidRDefault="003744D5" w:rsidP="003744D5">
      <w:pPr>
        <w:pBdr>
          <w:top w:val="single" w:sz="4" w:space="1" w:color="auto"/>
          <w:left w:val="single" w:sz="4" w:space="4" w:color="auto"/>
          <w:bottom w:val="single" w:sz="4" w:space="1" w:color="auto"/>
          <w:right w:val="single" w:sz="4" w:space="4" w:color="auto"/>
        </w:pBdr>
        <w:spacing w:after="160" w:line="276" w:lineRule="auto"/>
        <w:jc w:val="both"/>
        <w:rPr>
          <w:rFonts w:ascii="Calibri" w:eastAsia="Calibri" w:hAnsi="Calibri" w:cs="Arial"/>
          <w:sz w:val="22"/>
          <w:szCs w:val="22"/>
        </w:rPr>
      </w:pPr>
      <w:proofErr w:type="gramStart"/>
      <w:r w:rsidRPr="003744D5">
        <w:rPr>
          <w:rFonts w:ascii="Calibri" w:eastAsia="Calibri" w:hAnsi="Calibri" w:cs="Arial"/>
          <w:b/>
          <w:bCs/>
          <w:sz w:val="22"/>
          <w:szCs w:val="22"/>
          <w:u w:val="single"/>
        </w:rPr>
        <w:t>Question</w:t>
      </w:r>
      <w:r w:rsidRPr="003744D5">
        <w:rPr>
          <w:rFonts w:ascii="Calibri" w:eastAsia="Calibri" w:hAnsi="Calibri" w:cs="Arial"/>
          <w:b/>
          <w:bCs/>
          <w:sz w:val="22"/>
          <w:szCs w:val="22"/>
        </w:rPr>
        <w:t xml:space="preserve">: </w:t>
      </w:r>
      <w:r w:rsidRPr="003744D5">
        <w:rPr>
          <w:rFonts w:ascii="Calibri" w:eastAsia="Calibri" w:hAnsi="Calibri" w:cs="Arial"/>
          <w:bCs/>
          <w:sz w:val="22"/>
          <w:szCs w:val="22"/>
        </w:rPr>
        <w:t xml:space="preserve">Please describe the procedures applied by your Government in responding to / following-up on official communications transmitted by the Special Rapporteur, in line with the responsibilities of States outlined in para 2 of Human Rights Council resolution A/HRC/43/L.30 of 31 March 2020, including the initiation of </w:t>
      </w:r>
      <w:r w:rsidRPr="003744D5">
        <w:rPr>
          <w:rFonts w:ascii="Calibri" w:eastAsia="Calibri" w:hAnsi="Calibri" w:cs="Arial"/>
          <w:sz w:val="22"/>
          <w:szCs w:val="22"/>
        </w:rPr>
        <w:t>measures of prevention, investigation, prosecution and redress as may be required under applicable international law.</w:t>
      </w:r>
      <w:proofErr w:type="gramEnd"/>
    </w:p>
    <w:p w14:paraId="59C01E9C" w14:textId="77777777" w:rsidR="003744D5" w:rsidRPr="003744D5" w:rsidRDefault="003744D5" w:rsidP="003744D5">
      <w:pPr>
        <w:spacing w:line="276" w:lineRule="auto"/>
        <w:jc w:val="both"/>
        <w:rPr>
          <w:rFonts w:ascii="Calibri" w:eastAsia="Calibri" w:hAnsi="Calibri" w:cs="Arial"/>
          <w:b/>
          <w:sz w:val="22"/>
          <w:szCs w:val="22"/>
          <w:u w:val="single"/>
        </w:rPr>
      </w:pPr>
    </w:p>
    <w:p w14:paraId="3A632FDD"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u w:val="single"/>
        </w:rPr>
        <w:t>Response</w:t>
      </w:r>
      <w:r w:rsidRPr="003744D5">
        <w:rPr>
          <w:rFonts w:ascii="Calibri" w:eastAsia="Calibri" w:hAnsi="Calibri" w:cs="Arial"/>
          <w:b/>
          <w:sz w:val="22"/>
          <w:szCs w:val="22"/>
        </w:rPr>
        <w:t>:</w:t>
      </w:r>
    </w:p>
    <w:p w14:paraId="0A2FFCBE" w14:textId="77777777" w:rsidR="003744D5" w:rsidRPr="003744D5" w:rsidRDefault="003744D5" w:rsidP="003744D5">
      <w:pPr>
        <w:pStyle w:val="ListParagraph"/>
        <w:numPr>
          <w:ilvl w:val="0"/>
          <w:numId w:val="37"/>
        </w:numPr>
        <w:spacing w:after="160" w:line="276" w:lineRule="auto"/>
        <w:rPr>
          <w:rFonts w:ascii="Calibri" w:eastAsia="Calibri" w:hAnsi="Calibri" w:cs="Arial"/>
          <w:sz w:val="22"/>
          <w:szCs w:val="22"/>
        </w:rPr>
      </w:pPr>
      <w:r w:rsidRPr="003744D5">
        <w:rPr>
          <w:rFonts w:ascii="Calibri" w:eastAsia="Calibri" w:hAnsi="Calibri" w:cs="Arial"/>
          <w:sz w:val="22"/>
          <w:szCs w:val="22"/>
        </w:rPr>
        <w:t>‘Allegation letters’ (AL) and ‘urgent appeals’ (UA) on specific alleged specific acts or risks of torture or ill-treatment:</w:t>
      </w:r>
    </w:p>
    <w:p w14:paraId="6DFFB520" w14:textId="77777777" w:rsidR="003744D5" w:rsidRPr="003744D5" w:rsidRDefault="003744D5" w:rsidP="003744D5">
      <w:pPr>
        <w:spacing w:after="160" w:line="276" w:lineRule="auto"/>
        <w:jc w:val="both"/>
        <w:rPr>
          <w:rFonts w:ascii="Calibri" w:eastAsia="Calibri" w:hAnsi="Calibri" w:cs="Arial"/>
          <w:sz w:val="22"/>
          <w:szCs w:val="22"/>
          <w:u w:val="single"/>
        </w:rPr>
      </w:pP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p>
    <w:p w14:paraId="05D47DFF" w14:textId="77777777" w:rsidR="003744D5" w:rsidRPr="003744D5" w:rsidRDefault="003744D5" w:rsidP="003744D5">
      <w:pPr>
        <w:pStyle w:val="ListParagraph"/>
        <w:numPr>
          <w:ilvl w:val="0"/>
          <w:numId w:val="37"/>
        </w:numPr>
        <w:spacing w:after="160" w:line="276" w:lineRule="auto"/>
        <w:rPr>
          <w:rFonts w:ascii="Calibri" w:eastAsia="Calibri" w:hAnsi="Calibri" w:cs="Arial"/>
          <w:sz w:val="22"/>
          <w:szCs w:val="22"/>
        </w:rPr>
      </w:pPr>
      <w:r w:rsidRPr="003744D5">
        <w:rPr>
          <w:rFonts w:ascii="Calibri" w:eastAsia="Calibri" w:hAnsi="Calibri" w:cs="Arial"/>
          <w:sz w:val="22"/>
          <w:szCs w:val="22"/>
        </w:rPr>
        <w:t>‘Other letters’ (OL) relating to current or envisaged legislation, regulation or policy measures:</w:t>
      </w:r>
    </w:p>
    <w:p w14:paraId="43F24C5E" w14:textId="77777777" w:rsidR="003744D5" w:rsidRPr="003744D5" w:rsidRDefault="003744D5" w:rsidP="003744D5">
      <w:pPr>
        <w:spacing w:after="160" w:line="276" w:lineRule="auto"/>
        <w:jc w:val="both"/>
        <w:rPr>
          <w:rFonts w:ascii="Calibri" w:eastAsia="Calibri" w:hAnsi="Calibri" w:cs="Arial"/>
          <w:sz w:val="22"/>
          <w:szCs w:val="22"/>
          <w:u w:val="single"/>
        </w:rPr>
      </w:pP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p>
    <w:p w14:paraId="41689CD9" w14:textId="77777777" w:rsidR="003744D5" w:rsidRPr="003744D5" w:rsidRDefault="003744D5" w:rsidP="003744D5">
      <w:pPr>
        <w:pStyle w:val="ListParagraph"/>
        <w:numPr>
          <w:ilvl w:val="0"/>
          <w:numId w:val="37"/>
        </w:numPr>
        <w:spacing w:after="160" w:line="276" w:lineRule="auto"/>
        <w:rPr>
          <w:rFonts w:ascii="Calibri" w:eastAsia="Calibri" w:hAnsi="Calibri" w:cs="Arial"/>
          <w:sz w:val="22"/>
          <w:szCs w:val="22"/>
        </w:rPr>
      </w:pPr>
      <w:r w:rsidRPr="003744D5">
        <w:rPr>
          <w:rFonts w:ascii="Calibri" w:eastAsia="Calibri" w:hAnsi="Calibri" w:cs="Arial"/>
          <w:sz w:val="22"/>
          <w:szCs w:val="22"/>
        </w:rPr>
        <w:t xml:space="preserve">Country visit requests: </w:t>
      </w:r>
    </w:p>
    <w:p w14:paraId="6555FD7B" w14:textId="77777777" w:rsidR="003744D5" w:rsidRPr="003744D5" w:rsidRDefault="003744D5" w:rsidP="003744D5">
      <w:pPr>
        <w:spacing w:after="160" w:line="276" w:lineRule="auto"/>
        <w:jc w:val="both"/>
        <w:rPr>
          <w:rFonts w:ascii="Calibri" w:eastAsia="Calibri" w:hAnsi="Calibri" w:cs="Arial"/>
          <w:sz w:val="22"/>
          <w:szCs w:val="22"/>
          <w:u w:val="single"/>
        </w:rPr>
      </w:pP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p>
    <w:p w14:paraId="2EEA50EB" w14:textId="77777777" w:rsidR="003744D5" w:rsidRPr="003744D5" w:rsidRDefault="003744D5" w:rsidP="003744D5">
      <w:pPr>
        <w:numPr>
          <w:ilvl w:val="0"/>
          <w:numId w:val="36"/>
        </w:numPr>
        <w:spacing w:after="160" w:line="276" w:lineRule="auto"/>
        <w:contextualSpacing/>
        <w:jc w:val="center"/>
        <w:rPr>
          <w:rFonts w:ascii="Calibri" w:eastAsia="Calibri" w:hAnsi="Calibri" w:cs="Arial"/>
          <w:b/>
          <w:bCs/>
          <w:color w:val="000000"/>
          <w:sz w:val="32"/>
          <w:szCs w:val="22"/>
        </w:rPr>
      </w:pPr>
      <w:r w:rsidRPr="003744D5">
        <w:rPr>
          <w:rFonts w:ascii="Calibri" w:eastAsia="Calibri" w:hAnsi="Calibri" w:cs="Arial"/>
          <w:b/>
          <w:bCs/>
          <w:color w:val="000000"/>
          <w:sz w:val="24"/>
          <w:szCs w:val="22"/>
        </w:rPr>
        <w:br w:type="column"/>
      </w:r>
      <w:r w:rsidRPr="003744D5">
        <w:rPr>
          <w:rFonts w:ascii="Calibri" w:eastAsia="Calibri" w:hAnsi="Calibri" w:cs="Arial"/>
          <w:b/>
          <w:bCs/>
          <w:color w:val="000000"/>
          <w:sz w:val="32"/>
          <w:szCs w:val="22"/>
        </w:rPr>
        <w:lastRenderedPageBreak/>
        <w:t>Interaction regarding ‘Urgent Appeals’, ‘Allegation Letters’ and ‘Other Letters’</w:t>
      </w:r>
    </w:p>
    <w:p w14:paraId="6E2F1D29" w14:textId="77777777" w:rsidR="003744D5" w:rsidRPr="003744D5" w:rsidRDefault="003744D5" w:rsidP="003744D5">
      <w:pPr>
        <w:pBdr>
          <w:top w:val="single" w:sz="4" w:space="1" w:color="auto"/>
          <w:left w:val="single" w:sz="4" w:space="4" w:color="auto"/>
          <w:bottom w:val="single" w:sz="4" w:space="1" w:color="auto"/>
          <w:right w:val="single" w:sz="4" w:space="4" w:color="auto"/>
        </w:pBdr>
        <w:spacing w:after="160" w:line="276" w:lineRule="auto"/>
        <w:jc w:val="both"/>
        <w:rPr>
          <w:rFonts w:ascii="Calibri" w:eastAsia="Calibri" w:hAnsi="Calibri" w:cs="Arial"/>
          <w:b/>
          <w:bCs/>
          <w:sz w:val="22"/>
          <w:szCs w:val="22"/>
        </w:rPr>
      </w:pPr>
      <w:r w:rsidRPr="003744D5">
        <w:rPr>
          <w:rFonts w:ascii="Calibri" w:eastAsia="Calibri" w:hAnsi="Calibri" w:cs="Arial"/>
          <w:b/>
          <w:bCs/>
          <w:sz w:val="22"/>
          <w:szCs w:val="22"/>
          <w:u w:val="single"/>
        </w:rPr>
        <w:t>Question</w:t>
      </w:r>
      <w:r w:rsidRPr="003744D5">
        <w:rPr>
          <w:rFonts w:ascii="Calibri" w:eastAsia="Calibri" w:hAnsi="Calibri" w:cs="Arial"/>
          <w:b/>
          <w:bCs/>
          <w:sz w:val="22"/>
          <w:szCs w:val="22"/>
        </w:rPr>
        <w:t xml:space="preserve">: </w:t>
      </w:r>
      <w:r w:rsidRPr="003744D5">
        <w:rPr>
          <w:rFonts w:ascii="Calibri" w:eastAsia="Calibri" w:hAnsi="Calibri" w:cs="Arial"/>
          <w:bCs/>
          <w:sz w:val="22"/>
          <w:szCs w:val="22"/>
        </w:rPr>
        <w:t>How does your Government self-evaluate its interactions with the mandate of the Special Rapporteur relating to official communications on specific concerns or allegations regarding torture or ill-treatment during the past four years (</w:t>
      </w:r>
      <w:r w:rsidRPr="003744D5">
        <w:rPr>
          <w:rFonts w:ascii="Calibri" w:eastAsia="Calibri" w:hAnsi="Calibri" w:cs="Arial"/>
          <w:sz w:val="22"/>
          <w:szCs w:val="22"/>
        </w:rPr>
        <w:t>1 November 2016 until 31 October 2020</w:t>
      </w:r>
      <w:r w:rsidRPr="003744D5">
        <w:rPr>
          <w:rFonts w:ascii="Calibri" w:eastAsia="Calibri" w:hAnsi="Calibri" w:cs="Arial"/>
          <w:bCs/>
          <w:sz w:val="22"/>
          <w:szCs w:val="22"/>
        </w:rPr>
        <w:t xml:space="preserve">)? </w:t>
      </w:r>
    </w:p>
    <w:p w14:paraId="207EAD46" w14:textId="77777777" w:rsidR="003744D5" w:rsidRPr="003744D5" w:rsidRDefault="003744D5" w:rsidP="003744D5">
      <w:pPr>
        <w:spacing w:after="160" w:line="276" w:lineRule="auto"/>
        <w:jc w:val="both"/>
        <w:rPr>
          <w:rFonts w:ascii="Calibri" w:eastAsia="Calibri" w:hAnsi="Calibri" w:cs="Arial"/>
          <w:b/>
          <w:bCs/>
          <w:sz w:val="22"/>
          <w:szCs w:val="22"/>
          <w:u w:val="single"/>
        </w:rPr>
      </w:pPr>
    </w:p>
    <w:p w14:paraId="36CA282D" w14:textId="77777777" w:rsidR="003744D5" w:rsidRPr="003744D5" w:rsidRDefault="003744D5" w:rsidP="003744D5">
      <w:pPr>
        <w:spacing w:after="160" w:line="276" w:lineRule="auto"/>
        <w:jc w:val="both"/>
        <w:rPr>
          <w:rFonts w:ascii="Calibri" w:eastAsia="Calibri" w:hAnsi="Calibri" w:cs="Arial"/>
          <w:bCs/>
          <w:sz w:val="22"/>
          <w:szCs w:val="22"/>
        </w:rPr>
      </w:pPr>
      <w:r w:rsidRPr="003744D5">
        <w:rPr>
          <w:rFonts w:ascii="Calibri" w:eastAsia="Calibri" w:hAnsi="Calibri" w:cs="Arial"/>
          <w:b/>
          <w:bCs/>
          <w:sz w:val="22"/>
          <w:szCs w:val="22"/>
          <w:u w:val="single"/>
        </w:rPr>
        <w:t>Remarks</w:t>
      </w:r>
      <w:r w:rsidRPr="003744D5">
        <w:rPr>
          <w:rFonts w:ascii="Calibri" w:eastAsia="Calibri" w:hAnsi="Calibri" w:cs="Arial"/>
          <w:b/>
          <w:bCs/>
          <w:sz w:val="22"/>
          <w:szCs w:val="22"/>
        </w:rPr>
        <w:t>:</w:t>
      </w:r>
      <w:r w:rsidRPr="003744D5">
        <w:rPr>
          <w:rFonts w:ascii="Calibri" w:eastAsia="Calibri" w:hAnsi="Calibri" w:cs="Arial"/>
          <w:bCs/>
          <w:sz w:val="22"/>
          <w:szCs w:val="22"/>
        </w:rPr>
        <w:t xml:space="preserve"> For your response, </w:t>
      </w:r>
      <w:r w:rsidRPr="003744D5">
        <w:rPr>
          <w:rFonts w:ascii="Calibri" w:eastAsia="Calibri" w:hAnsi="Calibri" w:cs="Arial"/>
          <w:b/>
          <w:bCs/>
          <w:sz w:val="22"/>
          <w:szCs w:val="22"/>
        </w:rPr>
        <w:t>please choose one or several options from the four-step classification system explained below</w:t>
      </w:r>
      <w:r w:rsidRPr="003744D5">
        <w:rPr>
          <w:rFonts w:ascii="Calibri" w:eastAsia="Calibri" w:hAnsi="Calibri" w:cs="Arial"/>
          <w:bCs/>
          <w:sz w:val="22"/>
          <w:szCs w:val="22"/>
        </w:rPr>
        <w:t>, which builds on Human Rights Council in resolution A/HRC/43/L.30 of 31 March 2020, and on universally recognized international legal obligations arising from the absolute and non-</w:t>
      </w:r>
      <w:proofErr w:type="spellStart"/>
      <w:r w:rsidRPr="003744D5">
        <w:rPr>
          <w:rFonts w:ascii="Calibri" w:eastAsia="Calibri" w:hAnsi="Calibri" w:cs="Arial"/>
          <w:bCs/>
          <w:sz w:val="22"/>
          <w:szCs w:val="22"/>
        </w:rPr>
        <w:t>derogable</w:t>
      </w:r>
      <w:proofErr w:type="spellEnd"/>
      <w:r w:rsidRPr="003744D5">
        <w:rPr>
          <w:rFonts w:ascii="Calibri" w:eastAsia="Calibri" w:hAnsi="Calibri" w:cs="Arial"/>
          <w:bCs/>
          <w:sz w:val="22"/>
          <w:szCs w:val="22"/>
        </w:rPr>
        <w:t xml:space="preserve"> prohibition of torture and ill-treatment:</w:t>
      </w:r>
    </w:p>
    <w:p w14:paraId="047426B6" w14:textId="77777777" w:rsidR="003744D5" w:rsidRPr="003744D5" w:rsidRDefault="003744D5" w:rsidP="003744D5">
      <w:pPr>
        <w:numPr>
          <w:ilvl w:val="0"/>
          <w:numId w:val="28"/>
        </w:numPr>
        <w:spacing w:after="160" w:line="276" w:lineRule="auto"/>
        <w:contextualSpacing/>
        <w:jc w:val="both"/>
        <w:rPr>
          <w:rFonts w:ascii="Calibri" w:eastAsia="Calibri" w:hAnsi="Calibri" w:cs="Arial"/>
          <w:sz w:val="22"/>
          <w:szCs w:val="22"/>
        </w:rPr>
      </w:pPr>
      <w:r w:rsidRPr="003744D5">
        <w:rPr>
          <w:rFonts w:ascii="Calibri" w:eastAsia="Calibri" w:hAnsi="Calibri" w:cs="Arial"/>
          <w:b/>
          <w:sz w:val="22"/>
          <w:szCs w:val="22"/>
        </w:rPr>
        <w:t>“Fully cooperative”:</w:t>
      </w:r>
      <w:r w:rsidRPr="003744D5">
        <w:rPr>
          <w:rFonts w:ascii="Calibri" w:eastAsia="Calibri" w:hAnsi="Calibri" w:cs="Arial"/>
          <w:sz w:val="22"/>
          <w:szCs w:val="22"/>
        </w:rPr>
        <w:t xml:space="preserve"> (a) Full and expeditious responses, which (b) supply all information requested and (c) ensure proper follow-up to the recommendations and conclusions of the Special Rapporteur including, as a minimum, (d) evidence for the initiation of all measures of prevention, investigation, prosecution and redress required by applicable international law. </w:t>
      </w:r>
    </w:p>
    <w:p w14:paraId="76FDB7DB" w14:textId="77777777" w:rsidR="003744D5" w:rsidRPr="003744D5" w:rsidRDefault="003744D5" w:rsidP="003744D5">
      <w:pPr>
        <w:numPr>
          <w:ilvl w:val="0"/>
          <w:numId w:val="28"/>
        </w:numPr>
        <w:spacing w:after="160" w:line="276" w:lineRule="auto"/>
        <w:contextualSpacing/>
        <w:jc w:val="both"/>
        <w:rPr>
          <w:rFonts w:ascii="Calibri" w:eastAsia="Calibri" w:hAnsi="Calibri" w:cs="Arial"/>
          <w:sz w:val="22"/>
          <w:szCs w:val="22"/>
        </w:rPr>
      </w:pPr>
      <w:r w:rsidRPr="003744D5">
        <w:rPr>
          <w:rFonts w:ascii="Calibri" w:eastAsia="Calibri" w:hAnsi="Calibri" w:cs="Arial"/>
          <w:b/>
          <w:sz w:val="22"/>
          <w:szCs w:val="22"/>
        </w:rPr>
        <w:t xml:space="preserve">“Partially cooperative”: </w:t>
      </w:r>
      <w:r w:rsidRPr="003744D5">
        <w:rPr>
          <w:rFonts w:ascii="Calibri" w:eastAsia="Calibri" w:hAnsi="Calibri" w:cs="Arial"/>
          <w:sz w:val="22"/>
          <w:szCs w:val="22"/>
        </w:rPr>
        <w:t xml:space="preserve">Responses which fail to meet one or several of the criteria listed under </w:t>
      </w:r>
      <w:proofErr w:type="gramStart"/>
      <w:r w:rsidRPr="003744D5">
        <w:rPr>
          <w:rFonts w:ascii="Calibri" w:eastAsia="Calibri" w:hAnsi="Calibri" w:cs="Arial"/>
          <w:sz w:val="22"/>
          <w:szCs w:val="22"/>
        </w:rPr>
        <w:t>1</w:t>
      </w:r>
      <w:proofErr w:type="gramEnd"/>
      <w:r w:rsidRPr="003744D5">
        <w:rPr>
          <w:rFonts w:ascii="Calibri" w:eastAsia="Calibri" w:hAnsi="Calibri" w:cs="Arial"/>
          <w:sz w:val="22"/>
          <w:szCs w:val="22"/>
        </w:rPr>
        <w:t xml:space="preserve"> (a) – (d) above, but which have entailed some level of constructive dialogue between the Government and the Special Rapporteur.</w:t>
      </w:r>
    </w:p>
    <w:p w14:paraId="7E833F0C" w14:textId="77777777" w:rsidR="003744D5" w:rsidRPr="003744D5" w:rsidRDefault="003744D5" w:rsidP="003744D5">
      <w:pPr>
        <w:numPr>
          <w:ilvl w:val="0"/>
          <w:numId w:val="28"/>
        </w:numPr>
        <w:spacing w:after="160" w:line="276" w:lineRule="auto"/>
        <w:contextualSpacing/>
        <w:jc w:val="both"/>
        <w:rPr>
          <w:rFonts w:ascii="Calibri" w:eastAsia="Calibri" w:hAnsi="Calibri" w:cs="Arial"/>
          <w:sz w:val="22"/>
          <w:szCs w:val="22"/>
        </w:rPr>
      </w:pPr>
      <w:r w:rsidRPr="003744D5">
        <w:rPr>
          <w:rFonts w:ascii="Calibri" w:eastAsia="Calibri" w:hAnsi="Calibri" w:cs="Arial"/>
          <w:b/>
          <w:sz w:val="22"/>
          <w:szCs w:val="22"/>
        </w:rPr>
        <w:t>“Non-responsive”:</w:t>
      </w:r>
      <w:r w:rsidRPr="003744D5">
        <w:rPr>
          <w:rFonts w:ascii="Calibri" w:eastAsia="Calibri" w:hAnsi="Calibri" w:cs="Arial"/>
          <w:sz w:val="22"/>
          <w:szCs w:val="22"/>
        </w:rPr>
        <w:t xml:space="preserve"> Failure or refusal to respond to the official communications transmitted by the Special Rapporteur.</w:t>
      </w:r>
    </w:p>
    <w:p w14:paraId="0C169E2F" w14:textId="77777777" w:rsidR="003744D5" w:rsidRPr="003744D5" w:rsidRDefault="003744D5" w:rsidP="003744D5">
      <w:pPr>
        <w:numPr>
          <w:ilvl w:val="0"/>
          <w:numId w:val="28"/>
        </w:numPr>
        <w:spacing w:after="160" w:line="276" w:lineRule="auto"/>
        <w:contextualSpacing/>
        <w:jc w:val="both"/>
        <w:rPr>
          <w:rFonts w:ascii="Calibri" w:eastAsia="Calibri" w:hAnsi="Calibri" w:cs="Arial"/>
          <w:sz w:val="22"/>
          <w:szCs w:val="22"/>
        </w:rPr>
      </w:pPr>
      <w:r w:rsidRPr="003744D5">
        <w:rPr>
          <w:rFonts w:ascii="Calibri" w:eastAsia="Calibri" w:hAnsi="Calibri" w:cs="Arial"/>
          <w:b/>
          <w:sz w:val="22"/>
          <w:szCs w:val="22"/>
        </w:rPr>
        <w:t xml:space="preserve"> “No communication received”: </w:t>
      </w:r>
      <w:r w:rsidRPr="003744D5">
        <w:rPr>
          <w:rFonts w:ascii="Calibri" w:eastAsia="Calibri" w:hAnsi="Calibri" w:cs="Arial"/>
          <w:sz w:val="22"/>
          <w:szCs w:val="22"/>
        </w:rPr>
        <w:t>During the past four years (2017-2020), no official communication has been transmitted by the Special Rapporteur.</w:t>
      </w:r>
    </w:p>
    <w:p w14:paraId="5ABF1710"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Please explain your Government’s response and, where appropriate, describe any challenges, concerns, grievances or other causes, which may be preventing your Government from achieving a “fully cooperative” interaction.</w:t>
      </w:r>
    </w:p>
    <w:p w14:paraId="6FE49E2C" w14:textId="77777777" w:rsidR="003744D5" w:rsidRPr="003744D5" w:rsidRDefault="003744D5" w:rsidP="003744D5">
      <w:pPr>
        <w:spacing w:after="160" w:line="276" w:lineRule="auto"/>
        <w:jc w:val="both"/>
        <w:rPr>
          <w:rFonts w:ascii="Calibri" w:eastAsia="Calibri" w:hAnsi="Calibri" w:cs="Arial"/>
          <w:sz w:val="22"/>
          <w:szCs w:val="22"/>
        </w:rPr>
      </w:pPr>
    </w:p>
    <w:p w14:paraId="3094E443"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u w:val="single"/>
        </w:rPr>
        <w:t>Response</w:t>
      </w:r>
      <w:r w:rsidRPr="003744D5">
        <w:rPr>
          <w:rFonts w:ascii="Calibri" w:eastAsia="Calibri" w:hAnsi="Calibri" w:cs="Arial"/>
          <w:b/>
          <w:sz w:val="22"/>
          <w:szCs w:val="22"/>
        </w:rPr>
        <w:t>:</w:t>
      </w:r>
    </w:p>
    <w:p w14:paraId="5B05B5EE" w14:textId="77777777" w:rsidR="003744D5" w:rsidRPr="003744D5" w:rsidRDefault="003744D5" w:rsidP="003744D5">
      <w:pPr>
        <w:spacing w:after="160" w:line="276" w:lineRule="auto"/>
        <w:jc w:val="both"/>
        <w:rPr>
          <w:rFonts w:ascii="Calibri" w:eastAsia="Calibri" w:hAnsi="Calibri" w:cs="Arial"/>
          <w:sz w:val="22"/>
          <w:szCs w:val="22"/>
          <w:u w:val="single"/>
        </w:rPr>
      </w:pP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p>
    <w:p w14:paraId="05215244" w14:textId="77777777" w:rsidR="003744D5" w:rsidRPr="003744D5" w:rsidRDefault="003744D5" w:rsidP="003744D5">
      <w:pPr>
        <w:spacing w:after="160" w:line="276" w:lineRule="auto"/>
        <w:jc w:val="center"/>
        <w:rPr>
          <w:rFonts w:ascii="Calibri" w:eastAsia="Calibri" w:hAnsi="Calibri" w:cs="Arial"/>
          <w:b/>
          <w:bCs/>
          <w:color w:val="000000"/>
          <w:sz w:val="22"/>
          <w:szCs w:val="22"/>
        </w:rPr>
      </w:pPr>
      <w:r w:rsidRPr="003744D5">
        <w:rPr>
          <w:rFonts w:ascii="Calibri" w:eastAsia="Calibri" w:hAnsi="Calibri" w:cs="Arial"/>
          <w:b/>
          <w:bCs/>
          <w:color w:val="000000"/>
          <w:sz w:val="22"/>
          <w:szCs w:val="22"/>
        </w:rPr>
        <w:br w:type="column"/>
      </w:r>
    </w:p>
    <w:p w14:paraId="6A5DB645" w14:textId="77777777" w:rsidR="003744D5" w:rsidRPr="003744D5" w:rsidRDefault="003744D5" w:rsidP="003744D5">
      <w:pPr>
        <w:numPr>
          <w:ilvl w:val="0"/>
          <w:numId w:val="36"/>
        </w:numPr>
        <w:spacing w:after="160" w:line="276" w:lineRule="auto"/>
        <w:contextualSpacing/>
        <w:jc w:val="center"/>
        <w:rPr>
          <w:rFonts w:ascii="Calibri" w:eastAsia="Calibri" w:hAnsi="Calibri" w:cs="Arial"/>
          <w:b/>
          <w:bCs/>
          <w:color w:val="000000"/>
          <w:sz w:val="32"/>
          <w:szCs w:val="22"/>
        </w:rPr>
      </w:pPr>
      <w:r w:rsidRPr="003744D5">
        <w:rPr>
          <w:rFonts w:ascii="Calibri" w:eastAsia="Calibri" w:hAnsi="Calibri" w:cs="Arial"/>
          <w:b/>
          <w:bCs/>
          <w:color w:val="000000"/>
          <w:sz w:val="32"/>
          <w:szCs w:val="22"/>
        </w:rPr>
        <w:t>Interaction regarding Country Visit Requests</w:t>
      </w:r>
    </w:p>
    <w:p w14:paraId="28265E6B" w14:textId="77777777" w:rsidR="003744D5" w:rsidRPr="003744D5" w:rsidRDefault="003744D5" w:rsidP="003744D5">
      <w:pPr>
        <w:spacing w:after="160" w:line="276" w:lineRule="auto"/>
        <w:jc w:val="both"/>
        <w:rPr>
          <w:rFonts w:ascii="Calibri" w:eastAsia="Calibri" w:hAnsi="Calibri" w:cs="Arial"/>
          <w:bCs/>
          <w:sz w:val="22"/>
          <w:szCs w:val="22"/>
        </w:rPr>
      </w:pPr>
    </w:p>
    <w:p w14:paraId="6300F12E" w14:textId="77777777" w:rsidR="003744D5" w:rsidRPr="003744D5" w:rsidRDefault="003744D5" w:rsidP="003744D5">
      <w:pPr>
        <w:pBdr>
          <w:top w:val="single" w:sz="4" w:space="1" w:color="auto"/>
          <w:left w:val="single" w:sz="4" w:space="4" w:color="auto"/>
          <w:bottom w:val="single" w:sz="4" w:space="1" w:color="auto"/>
          <w:right w:val="single" w:sz="4" w:space="4" w:color="auto"/>
        </w:pBdr>
        <w:spacing w:after="160" w:line="276" w:lineRule="auto"/>
        <w:jc w:val="both"/>
        <w:rPr>
          <w:rFonts w:ascii="Calibri" w:eastAsia="Calibri" w:hAnsi="Calibri" w:cs="Arial"/>
          <w:b/>
          <w:bCs/>
          <w:sz w:val="22"/>
          <w:szCs w:val="22"/>
        </w:rPr>
      </w:pPr>
      <w:r w:rsidRPr="003744D5">
        <w:rPr>
          <w:rFonts w:ascii="Calibri" w:eastAsia="Calibri" w:hAnsi="Calibri" w:cs="Arial"/>
          <w:b/>
          <w:bCs/>
          <w:sz w:val="22"/>
          <w:szCs w:val="22"/>
          <w:u w:val="single"/>
        </w:rPr>
        <w:t>Question</w:t>
      </w:r>
      <w:r w:rsidRPr="003744D5">
        <w:rPr>
          <w:rFonts w:ascii="Calibri" w:eastAsia="Calibri" w:hAnsi="Calibri" w:cs="Arial"/>
          <w:b/>
          <w:bCs/>
          <w:sz w:val="22"/>
          <w:szCs w:val="22"/>
        </w:rPr>
        <w:t xml:space="preserve">: </w:t>
      </w:r>
      <w:r w:rsidRPr="003744D5">
        <w:rPr>
          <w:rFonts w:ascii="Calibri" w:eastAsia="Calibri" w:hAnsi="Calibri" w:cs="Arial"/>
          <w:bCs/>
          <w:sz w:val="22"/>
          <w:szCs w:val="22"/>
        </w:rPr>
        <w:t>How does your Government self-evaluate its interactions with the mandate in response to official requests transmitted by the Special Rapporteur to conduct a country visit during the past four years during the past four years (</w:t>
      </w:r>
      <w:r w:rsidRPr="003744D5">
        <w:rPr>
          <w:rFonts w:ascii="Calibri" w:eastAsia="Calibri" w:hAnsi="Calibri" w:cs="Arial"/>
          <w:sz w:val="22"/>
          <w:szCs w:val="22"/>
        </w:rPr>
        <w:t>1 November 2016 until 31 October 2020</w:t>
      </w:r>
      <w:r w:rsidRPr="003744D5">
        <w:rPr>
          <w:rFonts w:ascii="Calibri" w:eastAsia="Calibri" w:hAnsi="Calibri" w:cs="Arial"/>
          <w:bCs/>
          <w:sz w:val="22"/>
          <w:szCs w:val="22"/>
        </w:rPr>
        <w:t xml:space="preserve">)? </w:t>
      </w:r>
    </w:p>
    <w:p w14:paraId="36316866" w14:textId="77777777" w:rsidR="003744D5" w:rsidRPr="003744D5" w:rsidRDefault="003744D5" w:rsidP="003744D5">
      <w:pPr>
        <w:spacing w:after="160" w:line="276" w:lineRule="auto"/>
        <w:jc w:val="both"/>
        <w:rPr>
          <w:rFonts w:ascii="Calibri" w:eastAsia="Calibri" w:hAnsi="Calibri" w:cs="Arial"/>
          <w:b/>
          <w:bCs/>
          <w:sz w:val="22"/>
          <w:szCs w:val="22"/>
          <w:u w:val="single"/>
        </w:rPr>
      </w:pPr>
    </w:p>
    <w:p w14:paraId="207EE01B" w14:textId="77777777" w:rsidR="003744D5" w:rsidRPr="003744D5" w:rsidRDefault="003744D5" w:rsidP="003744D5">
      <w:pPr>
        <w:spacing w:after="160" w:line="276" w:lineRule="auto"/>
        <w:jc w:val="both"/>
        <w:rPr>
          <w:rFonts w:ascii="Calibri" w:eastAsia="Calibri" w:hAnsi="Calibri" w:cs="Arial"/>
          <w:bCs/>
          <w:sz w:val="22"/>
          <w:szCs w:val="22"/>
        </w:rPr>
      </w:pPr>
      <w:r w:rsidRPr="003744D5">
        <w:rPr>
          <w:rFonts w:ascii="Calibri" w:eastAsia="Calibri" w:hAnsi="Calibri" w:cs="Arial"/>
          <w:b/>
          <w:bCs/>
          <w:sz w:val="22"/>
          <w:szCs w:val="22"/>
          <w:u w:val="single"/>
        </w:rPr>
        <w:t>Remarks</w:t>
      </w:r>
      <w:r w:rsidRPr="003744D5">
        <w:rPr>
          <w:rFonts w:ascii="Calibri" w:eastAsia="Calibri" w:hAnsi="Calibri" w:cs="Arial"/>
          <w:b/>
          <w:bCs/>
          <w:sz w:val="22"/>
          <w:szCs w:val="22"/>
        </w:rPr>
        <w:t>:</w:t>
      </w:r>
      <w:r w:rsidRPr="003744D5">
        <w:rPr>
          <w:rFonts w:ascii="Calibri" w:eastAsia="Calibri" w:hAnsi="Calibri" w:cs="Arial"/>
          <w:bCs/>
          <w:sz w:val="22"/>
          <w:szCs w:val="22"/>
        </w:rPr>
        <w:t xml:space="preserve"> For your response, </w:t>
      </w:r>
      <w:r w:rsidRPr="003744D5">
        <w:rPr>
          <w:rFonts w:ascii="Calibri" w:eastAsia="Calibri" w:hAnsi="Calibri" w:cs="Arial"/>
          <w:b/>
          <w:bCs/>
          <w:sz w:val="22"/>
          <w:szCs w:val="22"/>
        </w:rPr>
        <w:t>please choose one or several options from the four-step classification system explained below</w:t>
      </w:r>
      <w:r w:rsidRPr="003744D5">
        <w:rPr>
          <w:rFonts w:ascii="Calibri" w:eastAsia="Calibri" w:hAnsi="Calibri" w:cs="Arial"/>
          <w:bCs/>
          <w:sz w:val="22"/>
          <w:szCs w:val="22"/>
        </w:rPr>
        <w:t>, which builds on Human Rights Council in resolution A/HRC/43/L.30 of 31 March 2020:</w:t>
      </w:r>
    </w:p>
    <w:p w14:paraId="3E68377D" w14:textId="77777777" w:rsidR="003744D5" w:rsidRPr="003744D5" w:rsidRDefault="003744D5" w:rsidP="003744D5">
      <w:pPr>
        <w:numPr>
          <w:ilvl w:val="0"/>
          <w:numId w:val="29"/>
        </w:numPr>
        <w:spacing w:after="160" w:line="276" w:lineRule="auto"/>
        <w:contextualSpacing/>
        <w:jc w:val="both"/>
        <w:rPr>
          <w:rFonts w:ascii="Calibri" w:eastAsia="Calibri" w:hAnsi="Calibri" w:cs="Arial"/>
          <w:sz w:val="22"/>
          <w:szCs w:val="22"/>
        </w:rPr>
      </w:pPr>
      <w:proofErr w:type="gramStart"/>
      <w:r w:rsidRPr="003744D5">
        <w:rPr>
          <w:rFonts w:ascii="Calibri" w:eastAsia="Calibri" w:hAnsi="Calibri" w:cs="Arial"/>
          <w:b/>
          <w:sz w:val="22"/>
          <w:szCs w:val="22"/>
        </w:rPr>
        <w:t>“Fully cooperative”:</w:t>
      </w:r>
      <w:r w:rsidRPr="003744D5">
        <w:rPr>
          <w:rFonts w:ascii="Calibri" w:eastAsia="Calibri" w:hAnsi="Calibri" w:cs="Arial"/>
          <w:sz w:val="22"/>
          <w:szCs w:val="22"/>
        </w:rPr>
        <w:t xml:space="preserve"> During the past four years </w:t>
      </w:r>
      <w:r w:rsidRPr="003744D5">
        <w:rPr>
          <w:rFonts w:ascii="Calibri" w:eastAsia="Calibri" w:hAnsi="Calibri" w:cs="Arial"/>
          <w:bCs/>
          <w:sz w:val="22"/>
          <w:szCs w:val="22"/>
        </w:rPr>
        <w:t>(</w:t>
      </w:r>
      <w:r w:rsidRPr="003744D5">
        <w:rPr>
          <w:rFonts w:ascii="Calibri" w:eastAsia="Calibri" w:hAnsi="Calibri" w:cs="Arial"/>
          <w:sz w:val="22"/>
          <w:szCs w:val="22"/>
        </w:rPr>
        <w:t>1 November 2016 until 31 October 2020</w:t>
      </w:r>
      <w:r w:rsidRPr="003744D5">
        <w:rPr>
          <w:rFonts w:ascii="Calibri" w:eastAsia="Calibri" w:hAnsi="Calibri" w:cs="Arial"/>
          <w:bCs/>
          <w:sz w:val="22"/>
          <w:szCs w:val="22"/>
        </w:rPr>
        <w:t>)</w:t>
      </w:r>
      <w:r w:rsidRPr="003744D5">
        <w:rPr>
          <w:rFonts w:ascii="Calibri" w:eastAsia="Calibri" w:hAnsi="Calibri" w:cs="Arial"/>
          <w:sz w:val="22"/>
          <w:szCs w:val="22"/>
        </w:rPr>
        <w:t xml:space="preserve">, the Government has extended either a standing invitation or an bilateral invitation to the Special Rapporteur to conduct a country visit in full compliance with the terms of reference of the mandate, </w:t>
      </w:r>
      <w:r w:rsidRPr="003744D5">
        <w:rPr>
          <w:rFonts w:ascii="Calibri" w:eastAsia="Calibri" w:hAnsi="Calibri" w:cs="Arial"/>
          <w:b/>
          <w:sz w:val="22"/>
          <w:szCs w:val="22"/>
          <w:u w:val="single"/>
        </w:rPr>
        <w:t>and</w:t>
      </w:r>
      <w:r w:rsidRPr="003744D5">
        <w:rPr>
          <w:rFonts w:ascii="Calibri" w:eastAsia="Calibri" w:hAnsi="Calibri" w:cs="Arial"/>
          <w:sz w:val="22"/>
          <w:szCs w:val="22"/>
        </w:rPr>
        <w:t xml:space="preserve"> the visit: (a) has taken place, </w:t>
      </w:r>
      <w:r w:rsidRPr="003744D5">
        <w:rPr>
          <w:rFonts w:ascii="Calibri" w:eastAsia="Calibri" w:hAnsi="Calibri" w:cs="Arial"/>
          <w:sz w:val="22"/>
          <w:szCs w:val="22"/>
          <w:u w:val="single"/>
        </w:rPr>
        <w:t>or</w:t>
      </w:r>
      <w:r w:rsidRPr="003744D5">
        <w:rPr>
          <w:rFonts w:ascii="Calibri" w:eastAsia="Calibri" w:hAnsi="Calibri" w:cs="Arial"/>
          <w:sz w:val="22"/>
          <w:szCs w:val="22"/>
        </w:rPr>
        <w:t xml:space="preserve"> (b) has been scheduled, </w:t>
      </w:r>
      <w:r w:rsidRPr="003744D5">
        <w:rPr>
          <w:rFonts w:ascii="Calibri" w:eastAsia="Calibri" w:hAnsi="Calibri" w:cs="Arial"/>
          <w:sz w:val="22"/>
          <w:szCs w:val="22"/>
          <w:u w:val="single"/>
        </w:rPr>
        <w:t>or</w:t>
      </w:r>
      <w:r w:rsidRPr="003744D5">
        <w:rPr>
          <w:rFonts w:ascii="Calibri" w:eastAsia="Calibri" w:hAnsi="Calibri" w:cs="Arial"/>
          <w:sz w:val="22"/>
          <w:szCs w:val="22"/>
        </w:rPr>
        <w:t xml:space="preserve"> (c) has been postponed or declined by the Special Rapporteur for reasons not in the responsibility of the Government.</w:t>
      </w:r>
      <w:proofErr w:type="gramEnd"/>
    </w:p>
    <w:p w14:paraId="3F257B6B" w14:textId="77777777" w:rsidR="003744D5" w:rsidRPr="003744D5" w:rsidRDefault="003744D5" w:rsidP="003744D5">
      <w:pPr>
        <w:numPr>
          <w:ilvl w:val="0"/>
          <w:numId w:val="29"/>
        </w:numPr>
        <w:spacing w:after="160" w:line="276" w:lineRule="auto"/>
        <w:contextualSpacing/>
        <w:jc w:val="both"/>
        <w:rPr>
          <w:rFonts w:ascii="Calibri" w:eastAsia="Calibri" w:hAnsi="Calibri" w:cs="Arial"/>
          <w:sz w:val="22"/>
          <w:szCs w:val="22"/>
        </w:rPr>
      </w:pPr>
      <w:r w:rsidRPr="003744D5">
        <w:rPr>
          <w:rFonts w:ascii="Calibri" w:eastAsia="Calibri" w:hAnsi="Calibri" w:cs="Arial"/>
          <w:b/>
          <w:sz w:val="22"/>
          <w:szCs w:val="22"/>
        </w:rPr>
        <w:t xml:space="preserve">“Partially cooperative”: </w:t>
      </w:r>
      <w:r w:rsidRPr="003744D5">
        <w:rPr>
          <w:rFonts w:ascii="Calibri" w:eastAsia="Calibri" w:hAnsi="Calibri" w:cs="Arial"/>
          <w:sz w:val="22"/>
          <w:szCs w:val="22"/>
        </w:rPr>
        <w:t xml:space="preserve">During the past four years </w:t>
      </w:r>
      <w:r w:rsidRPr="003744D5">
        <w:rPr>
          <w:rFonts w:ascii="Calibri" w:eastAsia="Calibri" w:hAnsi="Calibri" w:cs="Arial"/>
          <w:bCs/>
          <w:sz w:val="22"/>
          <w:szCs w:val="22"/>
        </w:rPr>
        <w:t>(</w:t>
      </w:r>
      <w:r w:rsidRPr="003744D5">
        <w:rPr>
          <w:rFonts w:ascii="Calibri" w:eastAsia="Calibri" w:hAnsi="Calibri" w:cs="Arial"/>
          <w:sz w:val="22"/>
          <w:szCs w:val="22"/>
        </w:rPr>
        <w:t>1 November 2016 until 31 October 2020</w:t>
      </w:r>
      <w:r w:rsidRPr="003744D5">
        <w:rPr>
          <w:rFonts w:ascii="Calibri" w:eastAsia="Calibri" w:hAnsi="Calibri" w:cs="Arial"/>
          <w:bCs/>
          <w:sz w:val="22"/>
          <w:szCs w:val="22"/>
        </w:rPr>
        <w:t>)</w:t>
      </w:r>
      <w:r w:rsidRPr="003744D5">
        <w:rPr>
          <w:rFonts w:ascii="Calibri" w:eastAsia="Calibri" w:hAnsi="Calibri" w:cs="Arial"/>
          <w:sz w:val="22"/>
          <w:szCs w:val="22"/>
        </w:rPr>
        <w:t>, the Special Rapporteur has transmitted one or several official country visit requests, which have not received a favourable response, but which have entailed some level of constructive dialogue between the Government and the Special Rapporteur.</w:t>
      </w:r>
    </w:p>
    <w:p w14:paraId="1BFC9CE1" w14:textId="77777777" w:rsidR="003744D5" w:rsidRPr="003744D5" w:rsidRDefault="003744D5" w:rsidP="003744D5">
      <w:pPr>
        <w:numPr>
          <w:ilvl w:val="0"/>
          <w:numId w:val="29"/>
        </w:numPr>
        <w:spacing w:after="160" w:line="276" w:lineRule="auto"/>
        <w:contextualSpacing/>
        <w:jc w:val="both"/>
        <w:rPr>
          <w:rFonts w:ascii="Calibri" w:eastAsia="Calibri" w:hAnsi="Calibri" w:cs="Arial"/>
          <w:sz w:val="22"/>
          <w:szCs w:val="22"/>
        </w:rPr>
      </w:pPr>
      <w:r w:rsidRPr="003744D5">
        <w:rPr>
          <w:rFonts w:ascii="Calibri" w:eastAsia="Calibri" w:hAnsi="Calibri" w:cs="Arial"/>
          <w:b/>
          <w:sz w:val="22"/>
          <w:szCs w:val="22"/>
        </w:rPr>
        <w:t>“Non-responsive”:</w:t>
      </w:r>
      <w:r w:rsidRPr="003744D5">
        <w:rPr>
          <w:rFonts w:ascii="Calibri" w:eastAsia="Calibri" w:hAnsi="Calibri" w:cs="Arial"/>
          <w:sz w:val="22"/>
          <w:szCs w:val="22"/>
        </w:rPr>
        <w:t xml:space="preserve"> Failure or refusal to respond to the official country visit requests transmitted by the Special Rapporteur.</w:t>
      </w:r>
    </w:p>
    <w:p w14:paraId="451B1185" w14:textId="77777777" w:rsidR="003744D5" w:rsidRPr="003744D5" w:rsidRDefault="003744D5" w:rsidP="003744D5">
      <w:pPr>
        <w:numPr>
          <w:ilvl w:val="0"/>
          <w:numId w:val="29"/>
        </w:numPr>
        <w:spacing w:after="160" w:line="276" w:lineRule="auto"/>
        <w:contextualSpacing/>
        <w:jc w:val="both"/>
        <w:rPr>
          <w:rFonts w:ascii="Calibri" w:eastAsia="Calibri" w:hAnsi="Calibri" w:cs="Arial"/>
          <w:sz w:val="22"/>
          <w:szCs w:val="22"/>
        </w:rPr>
      </w:pPr>
      <w:r w:rsidRPr="003744D5">
        <w:rPr>
          <w:rFonts w:ascii="Calibri" w:eastAsia="Calibri" w:hAnsi="Calibri" w:cs="Arial"/>
          <w:b/>
          <w:sz w:val="22"/>
          <w:szCs w:val="22"/>
        </w:rPr>
        <w:t xml:space="preserve">“No request received”: </w:t>
      </w:r>
      <w:r w:rsidRPr="003744D5">
        <w:rPr>
          <w:rFonts w:ascii="Calibri" w:eastAsia="Calibri" w:hAnsi="Calibri" w:cs="Arial"/>
          <w:sz w:val="22"/>
          <w:szCs w:val="22"/>
        </w:rPr>
        <w:t xml:space="preserve">During the past four years </w:t>
      </w:r>
      <w:r w:rsidRPr="003744D5">
        <w:rPr>
          <w:rFonts w:ascii="Calibri" w:eastAsia="Calibri" w:hAnsi="Calibri" w:cs="Arial"/>
          <w:bCs/>
          <w:sz w:val="22"/>
          <w:szCs w:val="22"/>
        </w:rPr>
        <w:t>(</w:t>
      </w:r>
      <w:r w:rsidRPr="003744D5">
        <w:rPr>
          <w:rFonts w:ascii="Calibri" w:eastAsia="Calibri" w:hAnsi="Calibri" w:cs="Arial"/>
          <w:sz w:val="22"/>
          <w:szCs w:val="22"/>
        </w:rPr>
        <w:t>1 November 2016 until 31 October 2020</w:t>
      </w:r>
      <w:r w:rsidRPr="003744D5">
        <w:rPr>
          <w:rFonts w:ascii="Calibri" w:eastAsia="Calibri" w:hAnsi="Calibri" w:cs="Arial"/>
          <w:bCs/>
          <w:sz w:val="22"/>
          <w:szCs w:val="22"/>
        </w:rPr>
        <w:t>)</w:t>
      </w:r>
      <w:r w:rsidRPr="003744D5">
        <w:rPr>
          <w:rFonts w:ascii="Calibri" w:eastAsia="Calibri" w:hAnsi="Calibri" w:cs="Arial"/>
          <w:sz w:val="22"/>
          <w:szCs w:val="22"/>
        </w:rPr>
        <w:t xml:space="preserve">, no </w:t>
      </w:r>
      <w:proofErr w:type="gramStart"/>
      <w:r w:rsidRPr="003744D5">
        <w:rPr>
          <w:rFonts w:ascii="Calibri" w:eastAsia="Calibri" w:hAnsi="Calibri" w:cs="Arial"/>
          <w:sz w:val="22"/>
          <w:szCs w:val="22"/>
        </w:rPr>
        <w:t>official country visit request has been transmitted by the Special Rapporteur</w:t>
      </w:r>
      <w:proofErr w:type="gramEnd"/>
      <w:r w:rsidRPr="003744D5">
        <w:rPr>
          <w:rFonts w:ascii="Calibri" w:eastAsia="Calibri" w:hAnsi="Calibri" w:cs="Arial"/>
          <w:sz w:val="22"/>
          <w:szCs w:val="22"/>
        </w:rPr>
        <w:t>.</w:t>
      </w:r>
    </w:p>
    <w:p w14:paraId="3A7BF47B"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rPr>
        <w:t>Please explain your Government’s response and, where appropriate, describe any challenges, concerns, grievances or other causes, which may be preventing your Government from achieving a “fully cooperative” interaction with the mandate as expected by the Council.</w:t>
      </w:r>
    </w:p>
    <w:p w14:paraId="405EF25E" w14:textId="77777777" w:rsidR="003744D5" w:rsidRPr="003744D5" w:rsidRDefault="003744D5" w:rsidP="003744D5">
      <w:pPr>
        <w:spacing w:after="160" w:line="276" w:lineRule="auto"/>
        <w:jc w:val="both"/>
        <w:rPr>
          <w:rFonts w:ascii="Calibri" w:eastAsia="Calibri" w:hAnsi="Calibri" w:cs="Arial"/>
          <w:sz w:val="22"/>
          <w:szCs w:val="22"/>
        </w:rPr>
      </w:pPr>
    </w:p>
    <w:p w14:paraId="1584D844"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u w:val="single"/>
        </w:rPr>
        <w:t>Response</w:t>
      </w:r>
      <w:r w:rsidRPr="003744D5">
        <w:rPr>
          <w:rFonts w:ascii="Calibri" w:eastAsia="Calibri" w:hAnsi="Calibri" w:cs="Arial"/>
          <w:b/>
          <w:sz w:val="22"/>
          <w:szCs w:val="22"/>
        </w:rPr>
        <w:t>:</w:t>
      </w:r>
    </w:p>
    <w:p w14:paraId="2469738F" w14:textId="77777777" w:rsidR="003744D5" w:rsidRPr="003744D5" w:rsidRDefault="003744D5" w:rsidP="003744D5">
      <w:pPr>
        <w:spacing w:after="160" w:line="276" w:lineRule="auto"/>
        <w:jc w:val="both"/>
        <w:rPr>
          <w:rFonts w:ascii="Calibri" w:eastAsia="Calibri" w:hAnsi="Calibri" w:cs="Arial"/>
          <w:sz w:val="22"/>
          <w:szCs w:val="22"/>
        </w:rPr>
      </w:pP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p>
    <w:p w14:paraId="7C82FA08" w14:textId="77777777" w:rsidR="003744D5" w:rsidRPr="003744D5" w:rsidRDefault="003744D5" w:rsidP="003744D5">
      <w:pPr>
        <w:numPr>
          <w:ilvl w:val="0"/>
          <w:numId w:val="36"/>
        </w:numPr>
        <w:spacing w:after="160" w:line="276" w:lineRule="auto"/>
        <w:contextualSpacing/>
        <w:jc w:val="center"/>
        <w:rPr>
          <w:rFonts w:ascii="Calibri" w:eastAsia="Calibri" w:hAnsi="Calibri" w:cs="Arial"/>
          <w:b/>
          <w:bCs/>
          <w:color w:val="000000"/>
          <w:sz w:val="32"/>
          <w:szCs w:val="22"/>
        </w:rPr>
      </w:pPr>
      <w:r w:rsidRPr="003744D5">
        <w:rPr>
          <w:rFonts w:ascii="Calibri" w:eastAsia="Calibri" w:hAnsi="Calibri" w:cs="Arial"/>
          <w:b/>
          <w:bCs/>
          <w:color w:val="000000"/>
          <w:sz w:val="22"/>
          <w:szCs w:val="22"/>
        </w:rPr>
        <w:br w:type="column"/>
      </w:r>
      <w:r w:rsidRPr="003744D5">
        <w:rPr>
          <w:rFonts w:ascii="Calibri" w:eastAsia="Calibri" w:hAnsi="Calibri" w:cs="Arial"/>
          <w:b/>
          <w:bCs/>
          <w:color w:val="000000"/>
          <w:sz w:val="32"/>
          <w:szCs w:val="22"/>
        </w:rPr>
        <w:lastRenderedPageBreak/>
        <w:t>State recommendations / requests</w:t>
      </w:r>
    </w:p>
    <w:p w14:paraId="47BEF0E1" w14:textId="77777777" w:rsidR="003744D5" w:rsidRPr="003744D5" w:rsidRDefault="003744D5" w:rsidP="003744D5">
      <w:pPr>
        <w:spacing w:after="160" w:line="276" w:lineRule="auto"/>
        <w:jc w:val="center"/>
        <w:rPr>
          <w:rFonts w:ascii="Calibri" w:eastAsia="Calibri" w:hAnsi="Calibri" w:cs="Arial"/>
          <w:b/>
          <w:bCs/>
          <w:color w:val="000000"/>
          <w:sz w:val="24"/>
          <w:szCs w:val="22"/>
        </w:rPr>
      </w:pPr>
    </w:p>
    <w:p w14:paraId="032BB7D7" w14:textId="77777777" w:rsidR="003744D5" w:rsidRPr="003744D5" w:rsidRDefault="003744D5" w:rsidP="003744D5">
      <w:pPr>
        <w:pBdr>
          <w:top w:val="single" w:sz="4" w:space="1" w:color="auto"/>
          <w:left w:val="single" w:sz="4" w:space="4" w:color="auto"/>
          <w:bottom w:val="single" w:sz="4" w:space="1" w:color="auto"/>
          <w:right w:val="single" w:sz="4" w:space="4" w:color="auto"/>
        </w:pBdr>
        <w:spacing w:after="160" w:line="276" w:lineRule="auto"/>
        <w:jc w:val="both"/>
        <w:rPr>
          <w:rFonts w:ascii="Calibri" w:eastAsia="Calibri" w:hAnsi="Calibri" w:cs="Arial"/>
          <w:bCs/>
          <w:sz w:val="22"/>
          <w:szCs w:val="22"/>
        </w:rPr>
      </w:pPr>
      <w:r w:rsidRPr="003744D5">
        <w:rPr>
          <w:rFonts w:ascii="Calibri" w:eastAsia="Calibri" w:hAnsi="Calibri" w:cs="Arial"/>
          <w:b/>
          <w:bCs/>
          <w:sz w:val="22"/>
          <w:szCs w:val="22"/>
          <w:u w:val="single"/>
        </w:rPr>
        <w:t>Question</w:t>
      </w:r>
      <w:r w:rsidRPr="003744D5">
        <w:rPr>
          <w:rFonts w:ascii="Calibri" w:eastAsia="Calibri" w:hAnsi="Calibri" w:cs="Arial"/>
          <w:b/>
          <w:bCs/>
          <w:sz w:val="22"/>
          <w:szCs w:val="22"/>
        </w:rPr>
        <w:t xml:space="preserve">: </w:t>
      </w:r>
      <w:r w:rsidRPr="003744D5">
        <w:rPr>
          <w:rFonts w:ascii="Calibri" w:eastAsia="Calibri" w:hAnsi="Calibri" w:cs="Arial"/>
          <w:bCs/>
          <w:sz w:val="22"/>
          <w:szCs w:val="22"/>
        </w:rPr>
        <w:t xml:space="preserve">Please describe and explain any </w:t>
      </w:r>
      <w:proofErr w:type="gramStart"/>
      <w:r w:rsidRPr="003744D5">
        <w:rPr>
          <w:rFonts w:ascii="Calibri" w:eastAsia="Calibri" w:hAnsi="Calibri" w:cs="Arial"/>
          <w:bCs/>
          <w:sz w:val="22"/>
          <w:szCs w:val="22"/>
        </w:rPr>
        <w:t>measures which</w:t>
      </w:r>
      <w:proofErr w:type="gramEnd"/>
      <w:r w:rsidRPr="003744D5">
        <w:rPr>
          <w:rFonts w:ascii="Calibri" w:eastAsia="Calibri" w:hAnsi="Calibri" w:cs="Arial"/>
          <w:bCs/>
          <w:sz w:val="22"/>
          <w:szCs w:val="22"/>
        </w:rPr>
        <w:t xml:space="preserve"> should be taken, and by which authority, mechanism or institution, in order for your Government to achieve a “fully cooperative” interaction on official communications and visit requests transmitted by the Special Rapporteur, in line with resolution A/HRC/43/L.30 of 31 March 2020 and applicable norms of international law. </w:t>
      </w:r>
    </w:p>
    <w:p w14:paraId="3F386D40" w14:textId="77777777" w:rsidR="003744D5" w:rsidRPr="003744D5" w:rsidRDefault="003744D5" w:rsidP="003744D5">
      <w:pPr>
        <w:spacing w:after="160" w:line="276" w:lineRule="auto"/>
        <w:jc w:val="both"/>
        <w:rPr>
          <w:rFonts w:ascii="Calibri" w:eastAsia="Calibri" w:hAnsi="Calibri" w:cs="Arial"/>
          <w:sz w:val="22"/>
          <w:szCs w:val="22"/>
        </w:rPr>
      </w:pPr>
    </w:p>
    <w:p w14:paraId="72C4084A"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u w:val="single"/>
        </w:rPr>
        <w:t>Response</w:t>
      </w:r>
      <w:r w:rsidRPr="003744D5">
        <w:rPr>
          <w:rFonts w:ascii="Calibri" w:eastAsia="Calibri" w:hAnsi="Calibri" w:cs="Arial"/>
          <w:b/>
          <w:sz w:val="22"/>
          <w:szCs w:val="22"/>
        </w:rPr>
        <w:t>:</w:t>
      </w:r>
    </w:p>
    <w:p w14:paraId="657F0022" w14:textId="77777777" w:rsidR="003744D5" w:rsidRPr="003744D5" w:rsidRDefault="003744D5" w:rsidP="003744D5">
      <w:pPr>
        <w:spacing w:after="160" w:line="276" w:lineRule="auto"/>
        <w:jc w:val="both"/>
        <w:rPr>
          <w:rFonts w:ascii="Calibri" w:eastAsia="Calibri" w:hAnsi="Calibri" w:cs="Arial"/>
          <w:sz w:val="22"/>
          <w:szCs w:val="22"/>
          <w:u w:val="single"/>
        </w:rPr>
      </w:pP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r w:rsidRPr="003744D5">
        <w:rPr>
          <w:rFonts w:ascii="Calibri" w:eastAsia="Calibri" w:hAnsi="Calibri" w:cs="Arial"/>
          <w:sz w:val="22"/>
          <w:szCs w:val="22"/>
          <w:u w:val="single"/>
        </w:rPr>
        <w:tab/>
      </w:r>
    </w:p>
    <w:p w14:paraId="5434FEED" w14:textId="77777777" w:rsidR="003744D5" w:rsidRPr="003744D5" w:rsidRDefault="003744D5" w:rsidP="003744D5">
      <w:pPr>
        <w:spacing w:after="160" w:line="276" w:lineRule="auto"/>
        <w:jc w:val="both"/>
        <w:rPr>
          <w:rFonts w:ascii="Calibri" w:eastAsia="Calibri" w:hAnsi="Calibri" w:cs="Arial"/>
          <w:b/>
          <w:bCs/>
          <w:sz w:val="22"/>
          <w:szCs w:val="22"/>
        </w:rPr>
      </w:pPr>
    </w:p>
    <w:p w14:paraId="1024BD7E" w14:textId="77777777" w:rsidR="003744D5" w:rsidRPr="003744D5" w:rsidRDefault="003744D5" w:rsidP="003744D5">
      <w:pPr>
        <w:spacing w:after="160" w:line="276" w:lineRule="auto"/>
        <w:rPr>
          <w:rFonts w:ascii="Calibri" w:eastAsia="Calibri" w:hAnsi="Calibri" w:cs="Arial"/>
          <w:sz w:val="22"/>
          <w:szCs w:val="22"/>
        </w:rPr>
      </w:pPr>
    </w:p>
    <w:p w14:paraId="6C8633C2" w14:textId="77777777" w:rsidR="000123A3" w:rsidRDefault="000123A3" w:rsidP="003744D5">
      <w:pPr>
        <w:spacing w:line="276" w:lineRule="auto"/>
        <w:jc w:val="center"/>
        <w:rPr>
          <w:noProof/>
          <w:sz w:val="24"/>
          <w:szCs w:val="24"/>
        </w:rPr>
      </w:pPr>
    </w:p>
    <w:sectPr w:rsidR="000123A3" w:rsidSect="00C772EF">
      <w:headerReference w:type="default" r:id="rId12"/>
      <w:footerReference w:type="default" r:id="rId13"/>
      <w:footerReference w:type="first" r:id="rId14"/>
      <w:pgSz w:w="11906" w:h="16838" w:code="9"/>
      <w:pgMar w:top="1134" w:right="1701" w:bottom="1134" w:left="1701" w:header="284" w:footer="567"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3E13D" w16cid:durableId="22D6B6F2"/>
  <w16cid:commentId w16cid:paraId="7CC4C8A2" w16cid:durableId="22D6B794"/>
  <w16cid:commentId w16cid:paraId="2451E936" w16cid:durableId="22D6B8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BAE3" w14:textId="77777777" w:rsidR="00DA6872" w:rsidRDefault="00DA6872">
      <w:r>
        <w:separator/>
      </w:r>
    </w:p>
  </w:endnote>
  <w:endnote w:type="continuationSeparator" w:id="0">
    <w:p w14:paraId="5C24B498" w14:textId="77777777" w:rsidR="00DA6872" w:rsidRDefault="00DA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D191" w14:textId="77777777" w:rsidR="003214AE" w:rsidRDefault="003214AE"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9D9B" w14:textId="77777777" w:rsidR="003214AE" w:rsidRDefault="003214AE" w:rsidP="00B73FD1">
    <w:pPr>
      <w:pStyle w:val="Footer"/>
    </w:pPr>
  </w:p>
  <w:p w14:paraId="52198C12" w14:textId="77777777" w:rsidR="003214AE" w:rsidRPr="002873B2" w:rsidRDefault="003214AE"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76DB" w14:textId="77777777" w:rsidR="00DA6872" w:rsidRDefault="00DA6872">
      <w:r>
        <w:separator/>
      </w:r>
    </w:p>
  </w:footnote>
  <w:footnote w:type="continuationSeparator" w:id="0">
    <w:p w14:paraId="0DD11CC6" w14:textId="77777777" w:rsidR="00DA6872" w:rsidRDefault="00DA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850B" w14:textId="77777777" w:rsidR="003214AE" w:rsidRPr="00AD4CA9" w:rsidRDefault="003214AE"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EE8538B"/>
    <w:multiLevelType w:val="hybridMultilevel"/>
    <w:tmpl w:val="A61E6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02589"/>
    <w:multiLevelType w:val="hybridMultilevel"/>
    <w:tmpl w:val="47028770"/>
    <w:lvl w:ilvl="0" w:tplc="1286E10C">
      <w:start w:val="3"/>
      <w:numFmt w:val="bullet"/>
      <w:lvlText w:val=""/>
      <w:lvlJc w:val="left"/>
      <w:pPr>
        <w:ind w:left="720" w:hanging="360"/>
      </w:pPr>
      <w:rPr>
        <w:rFonts w:ascii="Wingdings" w:eastAsiaTheme="minorHAnsi" w:hAnsi="Wingding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85096C"/>
    <w:multiLevelType w:val="hybridMultilevel"/>
    <w:tmpl w:val="F9EA0CD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F559D"/>
    <w:multiLevelType w:val="hybridMultilevel"/>
    <w:tmpl w:val="6A165116"/>
    <w:lvl w:ilvl="0" w:tplc="B360E0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C7D73"/>
    <w:multiLevelType w:val="hybridMultilevel"/>
    <w:tmpl w:val="40521BCE"/>
    <w:lvl w:ilvl="0" w:tplc="9F58A0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216B3"/>
    <w:multiLevelType w:val="hybridMultilevel"/>
    <w:tmpl w:val="F15E4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6045E"/>
    <w:multiLevelType w:val="hybridMultilevel"/>
    <w:tmpl w:val="C1F6B1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EE64D2"/>
    <w:multiLevelType w:val="hybridMultilevel"/>
    <w:tmpl w:val="36362E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17B43"/>
    <w:multiLevelType w:val="hybridMultilevel"/>
    <w:tmpl w:val="444A5A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8816D5"/>
    <w:multiLevelType w:val="hybridMultilevel"/>
    <w:tmpl w:val="F276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15:restartNumberingAfterBreak="0">
    <w:nsid w:val="5D595A21"/>
    <w:multiLevelType w:val="hybridMultilevel"/>
    <w:tmpl w:val="A7A2775A"/>
    <w:lvl w:ilvl="0" w:tplc="0B749FB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54BD9"/>
    <w:multiLevelType w:val="hybridMultilevel"/>
    <w:tmpl w:val="C7CA445E"/>
    <w:lvl w:ilvl="0" w:tplc="27986C9C">
      <w:start w:val="1"/>
      <w:numFmt w:val="upperLetter"/>
      <w:lvlText w:val="%1."/>
      <w:lvlJc w:val="left"/>
      <w:pPr>
        <w:ind w:left="720" w:hanging="360"/>
      </w:pPr>
      <w:rPr>
        <w:rFonts w:hint="default"/>
        <w:sz w:val="24"/>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797DAC"/>
    <w:multiLevelType w:val="hybridMultilevel"/>
    <w:tmpl w:val="F9EA0CD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3A564AD"/>
    <w:multiLevelType w:val="multilevel"/>
    <w:tmpl w:val="157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6"/>
  </w:num>
  <w:num w:numId="4">
    <w:abstractNumId w:val="9"/>
  </w:num>
  <w:num w:numId="5">
    <w:abstractNumId w:val="27"/>
  </w:num>
  <w:num w:numId="6">
    <w:abstractNumId w:val="16"/>
  </w:num>
  <w:num w:numId="7">
    <w:abstractNumId w:val="2"/>
  </w:num>
  <w:num w:numId="8">
    <w:abstractNumId w:val="18"/>
  </w:num>
  <w:num w:numId="9">
    <w:abstractNumId w:val="3"/>
  </w:num>
  <w:num w:numId="10">
    <w:abstractNumId w:val="1"/>
  </w:num>
  <w:num w:numId="11">
    <w:abstractNumId w:val="10"/>
  </w:num>
  <w:num w:numId="12">
    <w:abstractNumId w:val="33"/>
  </w:num>
  <w:num w:numId="13">
    <w:abstractNumId w:val="35"/>
  </w:num>
  <w:num w:numId="14">
    <w:abstractNumId w:val="23"/>
  </w:num>
  <w:num w:numId="15">
    <w:abstractNumId w:val="5"/>
  </w:num>
  <w:num w:numId="16">
    <w:abstractNumId w:val="0"/>
  </w:num>
  <w:num w:numId="17">
    <w:abstractNumId w:val="29"/>
  </w:num>
  <w:num w:numId="18">
    <w:abstractNumId w:val="6"/>
  </w:num>
  <w:num w:numId="19">
    <w:abstractNumId w:val="22"/>
  </w:num>
  <w:num w:numId="20">
    <w:abstractNumId w:val="4"/>
  </w:num>
  <w:num w:numId="21">
    <w:abstractNumId w:val="28"/>
  </w:num>
  <w:num w:numId="22">
    <w:abstractNumId w:val="25"/>
  </w:num>
  <w:num w:numId="23">
    <w:abstractNumId w:val="19"/>
  </w:num>
  <w:num w:numId="24">
    <w:abstractNumId w:val="34"/>
  </w:num>
  <w:num w:numId="25">
    <w:abstractNumId w:val="14"/>
  </w:num>
  <w:num w:numId="26">
    <w:abstractNumId w:val="7"/>
  </w:num>
  <w:num w:numId="27">
    <w:abstractNumId w:val="30"/>
  </w:num>
  <w:num w:numId="28">
    <w:abstractNumId w:val="32"/>
  </w:num>
  <w:num w:numId="29">
    <w:abstractNumId w:val="11"/>
  </w:num>
  <w:num w:numId="30">
    <w:abstractNumId w:val="20"/>
  </w:num>
  <w:num w:numId="31">
    <w:abstractNumId w:val="8"/>
  </w:num>
  <w:num w:numId="32">
    <w:abstractNumId w:val="13"/>
  </w:num>
  <w:num w:numId="33">
    <w:abstractNumId w:val="12"/>
  </w:num>
  <w:num w:numId="34">
    <w:abstractNumId w:val="31"/>
  </w:num>
  <w:num w:numId="35">
    <w:abstractNumId w:val="21"/>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23A3"/>
    <w:rsid w:val="000138F6"/>
    <w:rsid w:val="00020D95"/>
    <w:rsid w:val="000225FC"/>
    <w:rsid w:val="00026D1F"/>
    <w:rsid w:val="00034418"/>
    <w:rsid w:val="0003674D"/>
    <w:rsid w:val="000506FF"/>
    <w:rsid w:val="0005390B"/>
    <w:rsid w:val="00063BFD"/>
    <w:rsid w:val="00077294"/>
    <w:rsid w:val="000875C6"/>
    <w:rsid w:val="00091BF0"/>
    <w:rsid w:val="000A2B89"/>
    <w:rsid w:val="000A6F03"/>
    <w:rsid w:val="000B224A"/>
    <w:rsid w:val="000C3A89"/>
    <w:rsid w:val="000C7660"/>
    <w:rsid w:val="000D210E"/>
    <w:rsid w:val="000D34F2"/>
    <w:rsid w:val="000D5600"/>
    <w:rsid w:val="000E2860"/>
    <w:rsid w:val="000E42EE"/>
    <w:rsid w:val="000F183C"/>
    <w:rsid w:val="000F20BE"/>
    <w:rsid w:val="00103AE3"/>
    <w:rsid w:val="00106F64"/>
    <w:rsid w:val="00115798"/>
    <w:rsid w:val="00117F5F"/>
    <w:rsid w:val="001205D6"/>
    <w:rsid w:val="0013487C"/>
    <w:rsid w:val="001456CB"/>
    <w:rsid w:val="00150F5D"/>
    <w:rsid w:val="001516DD"/>
    <w:rsid w:val="001537CC"/>
    <w:rsid w:val="00153DB2"/>
    <w:rsid w:val="0015615C"/>
    <w:rsid w:val="001676BA"/>
    <w:rsid w:val="00183B60"/>
    <w:rsid w:val="00194332"/>
    <w:rsid w:val="001A2281"/>
    <w:rsid w:val="001B2693"/>
    <w:rsid w:val="001B59BB"/>
    <w:rsid w:val="001B7B09"/>
    <w:rsid w:val="001C4360"/>
    <w:rsid w:val="001D3313"/>
    <w:rsid w:val="001D763F"/>
    <w:rsid w:val="001E3384"/>
    <w:rsid w:val="002028A9"/>
    <w:rsid w:val="0021296A"/>
    <w:rsid w:val="002129D5"/>
    <w:rsid w:val="00215C19"/>
    <w:rsid w:val="00221893"/>
    <w:rsid w:val="00224386"/>
    <w:rsid w:val="00227E2F"/>
    <w:rsid w:val="00230775"/>
    <w:rsid w:val="00235A1A"/>
    <w:rsid w:val="002431DB"/>
    <w:rsid w:val="00244860"/>
    <w:rsid w:val="0024583B"/>
    <w:rsid w:val="0025174E"/>
    <w:rsid w:val="00257195"/>
    <w:rsid w:val="00266D70"/>
    <w:rsid w:val="00270418"/>
    <w:rsid w:val="00282E14"/>
    <w:rsid w:val="0028624E"/>
    <w:rsid w:val="002863A2"/>
    <w:rsid w:val="002873B2"/>
    <w:rsid w:val="00293243"/>
    <w:rsid w:val="002969BF"/>
    <w:rsid w:val="002A21C3"/>
    <w:rsid w:val="002A2F06"/>
    <w:rsid w:val="002B38CC"/>
    <w:rsid w:val="002B7819"/>
    <w:rsid w:val="002D2F84"/>
    <w:rsid w:val="002E65F4"/>
    <w:rsid w:val="00305B08"/>
    <w:rsid w:val="003214AE"/>
    <w:rsid w:val="00327EF9"/>
    <w:rsid w:val="00335FB9"/>
    <w:rsid w:val="00356299"/>
    <w:rsid w:val="003577DB"/>
    <w:rsid w:val="003632D8"/>
    <w:rsid w:val="003744D5"/>
    <w:rsid w:val="00380489"/>
    <w:rsid w:val="00382C40"/>
    <w:rsid w:val="003956EF"/>
    <w:rsid w:val="00396E4C"/>
    <w:rsid w:val="003A3957"/>
    <w:rsid w:val="003B776F"/>
    <w:rsid w:val="003C37C3"/>
    <w:rsid w:val="003D0C10"/>
    <w:rsid w:val="003D34E2"/>
    <w:rsid w:val="003D3D66"/>
    <w:rsid w:val="003E3607"/>
    <w:rsid w:val="003E552B"/>
    <w:rsid w:val="00401FD2"/>
    <w:rsid w:val="00404A0D"/>
    <w:rsid w:val="00410560"/>
    <w:rsid w:val="00411C0A"/>
    <w:rsid w:val="004153DE"/>
    <w:rsid w:val="00415EFC"/>
    <w:rsid w:val="00431490"/>
    <w:rsid w:val="00440385"/>
    <w:rsid w:val="00440E30"/>
    <w:rsid w:val="00440ED0"/>
    <w:rsid w:val="0044387F"/>
    <w:rsid w:val="00443DF5"/>
    <w:rsid w:val="00447412"/>
    <w:rsid w:val="00455C6D"/>
    <w:rsid w:val="00456419"/>
    <w:rsid w:val="00460258"/>
    <w:rsid w:val="00461E0B"/>
    <w:rsid w:val="004831E7"/>
    <w:rsid w:val="00483FC0"/>
    <w:rsid w:val="00486362"/>
    <w:rsid w:val="004A5D9B"/>
    <w:rsid w:val="004B4CAC"/>
    <w:rsid w:val="004B709A"/>
    <w:rsid w:val="004C044F"/>
    <w:rsid w:val="004D21C9"/>
    <w:rsid w:val="004D3D30"/>
    <w:rsid w:val="004D5717"/>
    <w:rsid w:val="004D5D19"/>
    <w:rsid w:val="004E0AB6"/>
    <w:rsid w:val="004E49EC"/>
    <w:rsid w:val="004E4D86"/>
    <w:rsid w:val="004F4DB0"/>
    <w:rsid w:val="005140BC"/>
    <w:rsid w:val="005167F0"/>
    <w:rsid w:val="00520DCB"/>
    <w:rsid w:val="00523E81"/>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96CFB"/>
    <w:rsid w:val="005B284C"/>
    <w:rsid w:val="005B4015"/>
    <w:rsid w:val="005C0336"/>
    <w:rsid w:val="005C2811"/>
    <w:rsid w:val="005C677D"/>
    <w:rsid w:val="005D622D"/>
    <w:rsid w:val="005E7C37"/>
    <w:rsid w:val="005F283E"/>
    <w:rsid w:val="0060068B"/>
    <w:rsid w:val="0060785C"/>
    <w:rsid w:val="00627A52"/>
    <w:rsid w:val="0063240F"/>
    <w:rsid w:val="00634C24"/>
    <w:rsid w:val="00635102"/>
    <w:rsid w:val="00636BD7"/>
    <w:rsid w:val="006375A5"/>
    <w:rsid w:val="006412EA"/>
    <w:rsid w:val="00645695"/>
    <w:rsid w:val="00650CD4"/>
    <w:rsid w:val="00651436"/>
    <w:rsid w:val="006605E5"/>
    <w:rsid w:val="00660EDA"/>
    <w:rsid w:val="006617A4"/>
    <w:rsid w:val="00667227"/>
    <w:rsid w:val="006749F6"/>
    <w:rsid w:val="00682D26"/>
    <w:rsid w:val="00682DDB"/>
    <w:rsid w:val="006834E4"/>
    <w:rsid w:val="00687E4F"/>
    <w:rsid w:val="00695D3E"/>
    <w:rsid w:val="006A7352"/>
    <w:rsid w:val="006B5A71"/>
    <w:rsid w:val="006D0083"/>
    <w:rsid w:val="006D5B97"/>
    <w:rsid w:val="006E6CC3"/>
    <w:rsid w:val="006F790C"/>
    <w:rsid w:val="007114F8"/>
    <w:rsid w:val="00712363"/>
    <w:rsid w:val="00712EFD"/>
    <w:rsid w:val="00716D30"/>
    <w:rsid w:val="007210F6"/>
    <w:rsid w:val="00723438"/>
    <w:rsid w:val="00733660"/>
    <w:rsid w:val="00741EBC"/>
    <w:rsid w:val="007432E5"/>
    <w:rsid w:val="007450E8"/>
    <w:rsid w:val="0075359B"/>
    <w:rsid w:val="00756037"/>
    <w:rsid w:val="007625BA"/>
    <w:rsid w:val="00776BDB"/>
    <w:rsid w:val="00777CE8"/>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205D"/>
    <w:rsid w:val="007F73A1"/>
    <w:rsid w:val="007F7DA3"/>
    <w:rsid w:val="0081788D"/>
    <w:rsid w:val="00827C8F"/>
    <w:rsid w:val="00842120"/>
    <w:rsid w:val="00842220"/>
    <w:rsid w:val="008427AA"/>
    <w:rsid w:val="00846B4A"/>
    <w:rsid w:val="008553DE"/>
    <w:rsid w:val="008568EA"/>
    <w:rsid w:val="008656FA"/>
    <w:rsid w:val="00874280"/>
    <w:rsid w:val="008774E3"/>
    <w:rsid w:val="008875A7"/>
    <w:rsid w:val="008A2623"/>
    <w:rsid w:val="008A2957"/>
    <w:rsid w:val="008B33E8"/>
    <w:rsid w:val="008B4DD7"/>
    <w:rsid w:val="008B4F3E"/>
    <w:rsid w:val="008B6B53"/>
    <w:rsid w:val="008C2924"/>
    <w:rsid w:val="008C60C0"/>
    <w:rsid w:val="008D1A3C"/>
    <w:rsid w:val="008D3B8A"/>
    <w:rsid w:val="008E179D"/>
    <w:rsid w:val="008E46C1"/>
    <w:rsid w:val="008E69FF"/>
    <w:rsid w:val="008F3473"/>
    <w:rsid w:val="009066BC"/>
    <w:rsid w:val="009240B2"/>
    <w:rsid w:val="00925A9D"/>
    <w:rsid w:val="009337F5"/>
    <w:rsid w:val="009358CD"/>
    <w:rsid w:val="009436A7"/>
    <w:rsid w:val="00944040"/>
    <w:rsid w:val="00944E25"/>
    <w:rsid w:val="00945265"/>
    <w:rsid w:val="009469B5"/>
    <w:rsid w:val="00946B6F"/>
    <w:rsid w:val="00951601"/>
    <w:rsid w:val="00977C96"/>
    <w:rsid w:val="00982FCF"/>
    <w:rsid w:val="00983FB8"/>
    <w:rsid w:val="009842D2"/>
    <w:rsid w:val="0098565E"/>
    <w:rsid w:val="00986237"/>
    <w:rsid w:val="00997618"/>
    <w:rsid w:val="009A2849"/>
    <w:rsid w:val="009A437A"/>
    <w:rsid w:val="009B459A"/>
    <w:rsid w:val="009D76A9"/>
    <w:rsid w:val="009E00AF"/>
    <w:rsid w:val="009F18EC"/>
    <w:rsid w:val="009F2043"/>
    <w:rsid w:val="00A01741"/>
    <w:rsid w:val="00A12F38"/>
    <w:rsid w:val="00A13A97"/>
    <w:rsid w:val="00A153DB"/>
    <w:rsid w:val="00A21EF1"/>
    <w:rsid w:val="00A34DA7"/>
    <w:rsid w:val="00A364CF"/>
    <w:rsid w:val="00A3761B"/>
    <w:rsid w:val="00A40490"/>
    <w:rsid w:val="00A439B9"/>
    <w:rsid w:val="00A54482"/>
    <w:rsid w:val="00A564C7"/>
    <w:rsid w:val="00A61E26"/>
    <w:rsid w:val="00A63977"/>
    <w:rsid w:val="00A86516"/>
    <w:rsid w:val="00A86B19"/>
    <w:rsid w:val="00A86E08"/>
    <w:rsid w:val="00A9048E"/>
    <w:rsid w:val="00A92159"/>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37BE8"/>
    <w:rsid w:val="00B42B30"/>
    <w:rsid w:val="00B43D96"/>
    <w:rsid w:val="00B458F6"/>
    <w:rsid w:val="00B54DD5"/>
    <w:rsid w:val="00B61545"/>
    <w:rsid w:val="00B73FA8"/>
    <w:rsid w:val="00B73FD1"/>
    <w:rsid w:val="00B7425B"/>
    <w:rsid w:val="00B84F46"/>
    <w:rsid w:val="00BD2C78"/>
    <w:rsid w:val="00BD39C9"/>
    <w:rsid w:val="00BD6119"/>
    <w:rsid w:val="00BF539E"/>
    <w:rsid w:val="00BF69D2"/>
    <w:rsid w:val="00C07B5F"/>
    <w:rsid w:val="00C12BED"/>
    <w:rsid w:val="00C13F30"/>
    <w:rsid w:val="00C162CD"/>
    <w:rsid w:val="00C17B65"/>
    <w:rsid w:val="00C234D8"/>
    <w:rsid w:val="00C23DDD"/>
    <w:rsid w:val="00C27AF2"/>
    <w:rsid w:val="00C31D9C"/>
    <w:rsid w:val="00C35851"/>
    <w:rsid w:val="00C50365"/>
    <w:rsid w:val="00C6141D"/>
    <w:rsid w:val="00C64254"/>
    <w:rsid w:val="00C707EA"/>
    <w:rsid w:val="00C73CD7"/>
    <w:rsid w:val="00C74811"/>
    <w:rsid w:val="00C772EF"/>
    <w:rsid w:val="00C81A81"/>
    <w:rsid w:val="00C82CCE"/>
    <w:rsid w:val="00CA65D2"/>
    <w:rsid w:val="00CB1C6E"/>
    <w:rsid w:val="00CB49D0"/>
    <w:rsid w:val="00CC5BEF"/>
    <w:rsid w:val="00CD3302"/>
    <w:rsid w:val="00CE6A0E"/>
    <w:rsid w:val="00D00DDC"/>
    <w:rsid w:val="00D02F61"/>
    <w:rsid w:val="00D044FA"/>
    <w:rsid w:val="00D075E5"/>
    <w:rsid w:val="00D111AF"/>
    <w:rsid w:val="00D1125E"/>
    <w:rsid w:val="00D115F7"/>
    <w:rsid w:val="00D129FA"/>
    <w:rsid w:val="00D230B7"/>
    <w:rsid w:val="00D32E5B"/>
    <w:rsid w:val="00D3608E"/>
    <w:rsid w:val="00D36635"/>
    <w:rsid w:val="00D4007B"/>
    <w:rsid w:val="00D4635B"/>
    <w:rsid w:val="00D5082F"/>
    <w:rsid w:val="00D539BB"/>
    <w:rsid w:val="00D67524"/>
    <w:rsid w:val="00D67DD6"/>
    <w:rsid w:val="00D70178"/>
    <w:rsid w:val="00D82BE4"/>
    <w:rsid w:val="00D84C7E"/>
    <w:rsid w:val="00D963DD"/>
    <w:rsid w:val="00D968C8"/>
    <w:rsid w:val="00DA5FC2"/>
    <w:rsid w:val="00DA6872"/>
    <w:rsid w:val="00DB415F"/>
    <w:rsid w:val="00DB5055"/>
    <w:rsid w:val="00DB5616"/>
    <w:rsid w:val="00DC0CA6"/>
    <w:rsid w:val="00DC3BAB"/>
    <w:rsid w:val="00DC529B"/>
    <w:rsid w:val="00DD4909"/>
    <w:rsid w:val="00DE5C84"/>
    <w:rsid w:val="00E15347"/>
    <w:rsid w:val="00E22392"/>
    <w:rsid w:val="00E30296"/>
    <w:rsid w:val="00E4367D"/>
    <w:rsid w:val="00E5067E"/>
    <w:rsid w:val="00E56372"/>
    <w:rsid w:val="00E60057"/>
    <w:rsid w:val="00E612CC"/>
    <w:rsid w:val="00E664A6"/>
    <w:rsid w:val="00E679E8"/>
    <w:rsid w:val="00E73155"/>
    <w:rsid w:val="00E73F13"/>
    <w:rsid w:val="00E81768"/>
    <w:rsid w:val="00E8258F"/>
    <w:rsid w:val="00E84288"/>
    <w:rsid w:val="00E97A8F"/>
    <w:rsid w:val="00EA6B3E"/>
    <w:rsid w:val="00EB4CDE"/>
    <w:rsid w:val="00EC123F"/>
    <w:rsid w:val="00EC3E83"/>
    <w:rsid w:val="00ED6F1E"/>
    <w:rsid w:val="00EE0A7C"/>
    <w:rsid w:val="00EE5BA8"/>
    <w:rsid w:val="00EE6765"/>
    <w:rsid w:val="00EF0B0D"/>
    <w:rsid w:val="00F006B5"/>
    <w:rsid w:val="00F0710E"/>
    <w:rsid w:val="00F07C8F"/>
    <w:rsid w:val="00F130B3"/>
    <w:rsid w:val="00F14740"/>
    <w:rsid w:val="00F161EC"/>
    <w:rsid w:val="00F17811"/>
    <w:rsid w:val="00F208B1"/>
    <w:rsid w:val="00F44EA7"/>
    <w:rsid w:val="00F47B64"/>
    <w:rsid w:val="00F57066"/>
    <w:rsid w:val="00F611C6"/>
    <w:rsid w:val="00F62027"/>
    <w:rsid w:val="00F80A14"/>
    <w:rsid w:val="00F80D28"/>
    <w:rsid w:val="00F927D4"/>
    <w:rsid w:val="00FA61F7"/>
    <w:rsid w:val="00FA70EE"/>
    <w:rsid w:val="00FB1650"/>
    <w:rsid w:val="00FB32FB"/>
    <w:rsid w:val="00FB365F"/>
    <w:rsid w:val="00FB41B6"/>
    <w:rsid w:val="00FB61D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1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0123A3"/>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01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torture/srtorture/pages/srtortureindex.aspx"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07C4393-DDB2-47BB-A396-B449147A0B1C}"/>
</file>

<file path=customXml/itemProps4.xml><?xml version="1.0" encoding="utf-8"?>
<ds:datastoreItem xmlns:ds="http://schemas.openxmlformats.org/officeDocument/2006/customXml" ds:itemID="{7FD8EDAF-9CAC-412A-8ECE-E1BF91B2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11582</Characters>
  <Application>Microsoft Office Word</Application>
  <DocSecurity>0</DocSecurity>
  <Lines>96</Lines>
  <Paragraphs>26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2020-08-12T13:35:00Z</dcterms:created>
  <dcterms:modified xsi:type="dcterms:W3CDTF">2020-08-12T13:35:00Z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