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612D" w14:textId="77777777" w:rsidR="005F460D" w:rsidRPr="000E3424" w:rsidRDefault="005F460D" w:rsidP="005F460D">
      <w:pPr>
        <w:pStyle w:val="uLinie"/>
        <w:spacing w:after="454"/>
        <w:rPr>
          <w:rFonts w:cs="Arial"/>
          <w:lang w:val="fr-CH"/>
        </w:rPr>
      </w:pPr>
    </w:p>
    <w:p w14:paraId="2E3FBB90" w14:textId="77777777" w:rsidR="007D49BA" w:rsidRPr="00E015B7" w:rsidRDefault="007D49BA" w:rsidP="007D49BA">
      <w:pPr>
        <w:pBdr>
          <w:bottom w:val="single" w:sz="4" w:space="5" w:color="auto"/>
        </w:pBdr>
        <w:jc w:val="center"/>
        <w:rPr>
          <w:rFonts w:cs="Arial"/>
          <w:b/>
          <w:i/>
          <w:sz w:val="24"/>
          <w:szCs w:val="24"/>
          <w:lang w:val="en-US"/>
        </w:rPr>
      </w:pPr>
      <w:r w:rsidRPr="00E015B7">
        <w:rPr>
          <w:rFonts w:cs="Arial"/>
          <w:b/>
          <w:i/>
          <w:sz w:val="24"/>
          <w:szCs w:val="24"/>
          <w:lang w:val="en-US"/>
        </w:rPr>
        <w:t>Switzerland Submission for</w:t>
      </w:r>
    </w:p>
    <w:p w14:paraId="5E0B5056" w14:textId="77777777" w:rsidR="007D49BA" w:rsidRPr="00E015B7" w:rsidRDefault="007D49BA" w:rsidP="007D49BA">
      <w:pPr>
        <w:pBdr>
          <w:bottom w:val="single" w:sz="4" w:space="5" w:color="auto"/>
        </w:pBdr>
        <w:jc w:val="center"/>
        <w:rPr>
          <w:rFonts w:cs="Arial"/>
          <w:b/>
          <w:i/>
          <w:sz w:val="24"/>
          <w:szCs w:val="24"/>
          <w:lang w:val="en-US"/>
        </w:rPr>
      </w:pPr>
    </w:p>
    <w:p w14:paraId="7315E8F4" w14:textId="77777777" w:rsidR="005F460D" w:rsidRPr="00E015B7" w:rsidRDefault="007D49BA" w:rsidP="007D49BA">
      <w:pPr>
        <w:pBdr>
          <w:bottom w:val="single" w:sz="4" w:space="5" w:color="auto"/>
        </w:pBdr>
        <w:jc w:val="center"/>
        <w:rPr>
          <w:rFonts w:cs="Arial"/>
          <w:b/>
          <w:i/>
          <w:sz w:val="24"/>
          <w:szCs w:val="24"/>
          <w:lang w:val="en-US"/>
        </w:rPr>
      </w:pPr>
      <w:r w:rsidRPr="00E015B7">
        <w:rPr>
          <w:rFonts w:cs="Arial"/>
          <w:b/>
          <w:i/>
          <w:sz w:val="24"/>
          <w:szCs w:val="24"/>
          <w:lang w:val="en-US"/>
        </w:rPr>
        <w:t>SRCT report on human rights, humanitarian law and counter-terrorism</w:t>
      </w:r>
    </w:p>
    <w:p w14:paraId="2A96C031" w14:textId="77777777" w:rsidR="007D49BA" w:rsidRPr="007D49BA" w:rsidRDefault="007D49BA" w:rsidP="005F460D">
      <w:pPr>
        <w:pBdr>
          <w:bottom w:val="single" w:sz="4" w:space="5" w:color="auto"/>
        </w:pBdr>
        <w:rPr>
          <w:rFonts w:cs="Arial"/>
          <w:sz w:val="16"/>
          <w:szCs w:val="16"/>
          <w:lang w:val="en-US"/>
        </w:rPr>
      </w:pPr>
    </w:p>
    <w:p w14:paraId="7457F2D6" w14:textId="77777777" w:rsidR="00860139" w:rsidRPr="007D49BA" w:rsidRDefault="00860139" w:rsidP="00860139">
      <w:pPr>
        <w:rPr>
          <w:rFonts w:cs="Arial"/>
          <w:b/>
          <w:sz w:val="16"/>
          <w:szCs w:val="16"/>
          <w:u w:val="single"/>
          <w:lang w:val="en-US"/>
        </w:rPr>
      </w:pPr>
    </w:p>
    <w:p w14:paraId="6D0BF02E" w14:textId="77777777" w:rsidR="00246627" w:rsidRDefault="00280EB0" w:rsidP="007D49BA">
      <w:pPr>
        <w:pStyle w:val="ListParagraph"/>
        <w:numPr>
          <w:ilvl w:val="0"/>
          <w:numId w:val="1"/>
        </w:numPr>
        <w:spacing w:before="240" w:after="120" w:line="276" w:lineRule="auto"/>
        <w:ind w:left="357" w:hanging="357"/>
        <w:jc w:val="both"/>
        <w:rPr>
          <w:rFonts w:ascii="Arial" w:hAnsi="Arial" w:cs="Arial"/>
          <w:b/>
          <w:lang w:val="fr-CH"/>
        </w:rPr>
      </w:pPr>
      <w:r>
        <w:rPr>
          <w:rFonts w:ascii="Arial" w:hAnsi="Arial" w:cs="Arial"/>
          <w:b/>
          <w:lang w:val="fr-CH"/>
        </w:rPr>
        <w:t>Introduction</w:t>
      </w:r>
    </w:p>
    <w:p w14:paraId="7E09F909" w14:textId="162DB2F7" w:rsidR="00672CB5" w:rsidRPr="00F13074" w:rsidRDefault="00D724C5" w:rsidP="00AF34C0">
      <w:pPr>
        <w:spacing w:before="160" w:after="120" w:line="276" w:lineRule="auto"/>
        <w:jc w:val="both"/>
        <w:rPr>
          <w:sz w:val="22"/>
          <w:szCs w:val="22"/>
          <w:lang w:val="fr-CH"/>
        </w:rPr>
      </w:pPr>
      <w:r w:rsidRPr="00F13074">
        <w:rPr>
          <w:rFonts w:cs="Arial"/>
          <w:sz w:val="22"/>
          <w:szCs w:val="22"/>
          <w:lang w:val="fr-FR"/>
        </w:rPr>
        <w:t xml:space="preserve">La Suisse </w:t>
      </w:r>
      <w:r w:rsidR="007D49BA" w:rsidRPr="00F13074">
        <w:rPr>
          <w:rFonts w:cs="Arial"/>
          <w:sz w:val="22"/>
          <w:szCs w:val="22"/>
          <w:lang w:val="fr-FR"/>
        </w:rPr>
        <w:t xml:space="preserve">s’engage </w:t>
      </w:r>
      <w:r w:rsidRPr="00F13074">
        <w:rPr>
          <w:rFonts w:cs="Arial"/>
          <w:sz w:val="22"/>
          <w:szCs w:val="22"/>
          <w:lang w:val="fr-FR"/>
        </w:rPr>
        <w:t xml:space="preserve">pour </w:t>
      </w:r>
      <w:r w:rsidR="007061F7" w:rsidRPr="00F13074">
        <w:rPr>
          <w:rFonts w:cs="Arial"/>
          <w:sz w:val="22"/>
          <w:szCs w:val="22"/>
          <w:lang w:val="fr-FR"/>
        </w:rPr>
        <w:t>l’</w:t>
      </w:r>
      <w:r w:rsidRPr="00F13074">
        <w:rPr>
          <w:rFonts w:cs="Arial"/>
          <w:sz w:val="22"/>
          <w:szCs w:val="22"/>
          <w:lang w:val="fr-FR"/>
        </w:rPr>
        <w:t>intégration des règles du droit international public, notamment des droits de l’homme et du droit international humanitaire</w:t>
      </w:r>
      <w:r w:rsidR="007061F7" w:rsidRPr="00F13074">
        <w:rPr>
          <w:rFonts w:cs="Arial"/>
          <w:sz w:val="22"/>
          <w:szCs w:val="22"/>
          <w:lang w:val="fr-FR"/>
        </w:rPr>
        <w:t xml:space="preserve"> (DIH) dans la </w:t>
      </w:r>
      <w:r w:rsidR="007061F7" w:rsidRPr="00F13074">
        <w:rPr>
          <w:rFonts w:cs="Arial"/>
          <w:b/>
          <w:sz w:val="22"/>
          <w:szCs w:val="22"/>
          <w:lang w:val="fr-FR"/>
        </w:rPr>
        <w:t>Stratégie antiterroriste mondiale de l’ONU</w:t>
      </w:r>
      <w:r w:rsidR="007061F7" w:rsidRPr="00F13074">
        <w:rPr>
          <w:rFonts w:cs="Arial"/>
          <w:sz w:val="22"/>
          <w:szCs w:val="22"/>
          <w:lang w:val="fr-FR"/>
        </w:rPr>
        <w:t xml:space="preserve"> (GCTS)</w:t>
      </w:r>
      <w:r w:rsidRPr="00F13074">
        <w:rPr>
          <w:rFonts w:cs="Arial"/>
          <w:sz w:val="22"/>
          <w:szCs w:val="22"/>
          <w:lang w:val="fr-FR"/>
        </w:rPr>
        <w:t xml:space="preserve">. </w:t>
      </w:r>
      <w:r w:rsidR="007061F7" w:rsidRPr="00F13074">
        <w:rPr>
          <w:rFonts w:cs="Arial"/>
          <w:sz w:val="22"/>
          <w:szCs w:val="22"/>
          <w:lang w:val="fr-FR"/>
        </w:rPr>
        <w:t xml:space="preserve">La Suisse </w:t>
      </w:r>
      <w:r w:rsidRPr="00F13074">
        <w:rPr>
          <w:rFonts w:cs="Arial"/>
          <w:sz w:val="22"/>
          <w:szCs w:val="22"/>
          <w:lang w:val="fr-FR"/>
        </w:rPr>
        <w:t>s’en</w:t>
      </w:r>
      <w:r w:rsidR="00067A1D" w:rsidRPr="00F13074">
        <w:rPr>
          <w:rFonts w:cs="Arial"/>
          <w:sz w:val="22"/>
          <w:szCs w:val="22"/>
          <w:lang w:val="fr-FR"/>
        </w:rPr>
        <w:t xml:space="preserve"> est</w:t>
      </w:r>
      <w:r w:rsidR="00651D20" w:rsidRPr="00F13074">
        <w:rPr>
          <w:rFonts w:cs="Arial"/>
          <w:sz w:val="22"/>
          <w:szCs w:val="22"/>
          <w:lang w:val="fr-FR"/>
        </w:rPr>
        <w:t xml:space="preserve"> </w:t>
      </w:r>
      <w:r w:rsidR="007061F7" w:rsidRPr="00F13074">
        <w:rPr>
          <w:rFonts w:cs="Arial"/>
          <w:sz w:val="22"/>
          <w:szCs w:val="22"/>
          <w:lang w:val="fr-FR"/>
        </w:rPr>
        <w:t xml:space="preserve">d’ailleurs </w:t>
      </w:r>
      <w:r w:rsidR="00287388" w:rsidRPr="00F13074">
        <w:rPr>
          <w:rFonts w:cs="Arial"/>
          <w:sz w:val="22"/>
          <w:szCs w:val="22"/>
          <w:lang w:val="fr-FR"/>
        </w:rPr>
        <w:t xml:space="preserve">inspirée </w:t>
      </w:r>
      <w:r w:rsidR="00672CB5" w:rsidRPr="00F13074">
        <w:rPr>
          <w:rFonts w:cs="Arial"/>
          <w:sz w:val="22"/>
          <w:szCs w:val="22"/>
          <w:lang w:val="fr-FR"/>
        </w:rPr>
        <w:t>pour adopter sa</w:t>
      </w:r>
      <w:r w:rsidR="007061F7" w:rsidRPr="00F13074">
        <w:rPr>
          <w:rFonts w:cs="Arial"/>
          <w:sz w:val="22"/>
          <w:szCs w:val="22"/>
          <w:lang w:val="fr-FR"/>
        </w:rPr>
        <w:t xml:space="preserve"> </w:t>
      </w:r>
      <w:r w:rsidR="00672CB5" w:rsidRPr="00F13074">
        <w:rPr>
          <w:rFonts w:cs="Arial"/>
          <w:sz w:val="22"/>
          <w:szCs w:val="22"/>
          <w:lang w:val="fr-FR"/>
        </w:rPr>
        <w:t xml:space="preserve">Stratégie </w:t>
      </w:r>
      <w:r w:rsidR="002A74BD" w:rsidRPr="00F13074">
        <w:rPr>
          <w:rFonts w:cs="Arial"/>
          <w:sz w:val="22"/>
          <w:szCs w:val="22"/>
          <w:lang w:val="fr-FR"/>
        </w:rPr>
        <w:t xml:space="preserve">nationale </w:t>
      </w:r>
      <w:r w:rsidR="007061F7" w:rsidRPr="00F13074">
        <w:rPr>
          <w:rFonts w:cs="Arial"/>
          <w:sz w:val="22"/>
          <w:szCs w:val="22"/>
          <w:lang w:val="fr-FR"/>
        </w:rPr>
        <w:t>de</w:t>
      </w:r>
      <w:r w:rsidR="00672CB5" w:rsidRPr="00F13074">
        <w:rPr>
          <w:rFonts w:cs="Arial"/>
          <w:sz w:val="22"/>
          <w:szCs w:val="22"/>
          <w:lang w:val="fr-FR"/>
        </w:rPr>
        <w:t xml:space="preserve"> lutte antiterroriste </w:t>
      </w:r>
      <w:r w:rsidR="008B677D" w:rsidRPr="00F13074">
        <w:rPr>
          <w:rFonts w:cs="Arial"/>
          <w:sz w:val="22"/>
          <w:szCs w:val="22"/>
          <w:lang w:val="fr-FR"/>
        </w:rPr>
        <w:t>en</w:t>
      </w:r>
      <w:r w:rsidR="00672CB5" w:rsidRPr="00F13074">
        <w:rPr>
          <w:rFonts w:cs="Arial"/>
          <w:sz w:val="22"/>
          <w:szCs w:val="22"/>
          <w:lang w:val="fr-FR"/>
        </w:rPr>
        <w:t xml:space="preserve"> 2015</w:t>
      </w:r>
      <w:r w:rsidR="00651D20" w:rsidRPr="00F13074">
        <w:rPr>
          <w:rFonts w:cs="Arial"/>
          <w:sz w:val="22"/>
          <w:szCs w:val="22"/>
          <w:lang w:val="fr-FR"/>
        </w:rPr>
        <w:t>.</w:t>
      </w:r>
      <w:r w:rsidR="008B4BE3" w:rsidRPr="00F13074">
        <w:rPr>
          <w:rFonts w:cs="Arial"/>
          <w:sz w:val="22"/>
          <w:szCs w:val="22"/>
          <w:lang w:val="fr-FR"/>
        </w:rPr>
        <w:t xml:space="preserve"> </w:t>
      </w:r>
      <w:r w:rsidR="007061F7" w:rsidRPr="00F13074">
        <w:rPr>
          <w:rFonts w:cs="Arial"/>
          <w:sz w:val="22"/>
          <w:szCs w:val="22"/>
          <w:lang w:val="fr-FR"/>
        </w:rPr>
        <w:t>En outre</w:t>
      </w:r>
      <w:r w:rsidR="00373222" w:rsidRPr="00F13074">
        <w:rPr>
          <w:rFonts w:cs="Arial"/>
          <w:sz w:val="22"/>
          <w:szCs w:val="22"/>
          <w:lang w:val="fr-FR"/>
        </w:rPr>
        <w:t>, la</w:t>
      </w:r>
      <w:r w:rsidR="008B677D" w:rsidRPr="00F13074">
        <w:rPr>
          <w:rFonts w:cs="Arial"/>
          <w:sz w:val="22"/>
          <w:szCs w:val="22"/>
          <w:lang w:val="fr-FR"/>
        </w:rPr>
        <w:t xml:space="preserve"> Suisse</w:t>
      </w:r>
      <w:r w:rsidR="00DA0C0A" w:rsidRPr="00F13074">
        <w:rPr>
          <w:rFonts w:cs="Arial"/>
          <w:sz w:val="22"/>
          <w:szCs w:val="22"/>
          <w:lang w:val="fr-FR"/>
        </w:rPr>
        <w:t xml:space="preserve"> </w:t>
      </w:r>
      <w:r w:rsidR="008B677D" w:rsidRPr="00F13074">
        <w:rPr>
          <w:rFonts w:cs="Arial"/>
          <w:sz w:val="22"/>
          <w:szCs w:val="22"/>
          <w:lang w:val="fr-FR"/>
        </w:rPr>
        <w:t xml:space="preserve">s’engage </w:t>
      </w:r>
      <w:r w:rsidR="00373222" w:rsidRPr="00F13074">
        <w:rPr>
          <w:rFonts w:cs="Arial"/>
          <w:sz w:val="22"/>
          <w:szCs w:val="22"/>
          <w:lang w:val="fr-FR"/>
        </w:rPr>
        <w:t xml:space="preserve">activement </w:t>
      </w:r>
      <w:r w:rsidR="008B677D" w:rsidRPr="00F13074">
        <w:rPr>
          <w:rFonts w:cs="Arial"/>
          <w:sz w:val="22"/>
          <w:szCs w:val="22"/>
          <w:lang w:val="fr-FR"/>
        </w:rPr>
        <w:t>pour</w:t>
      </w:r>
      <w:r w:rsidR="00373222" w:rsidRPr="00F13074">
        <w:rPr>
          <w:rFonts w:cs="Arial"/>
          <w:sz w:val="22"/>
          <w:szCs w:val="22"/>
          <w:lang w:val="fr-FR"/>
        </w:rPr>
        <w:t xml:space="preserve"> que</w:t>
      </w:r>
      <w:r w:rsidR="008B677D" w:rsidRPr="00F13074">
        <w:rPr>
          <w:rFonts w:cs="Arial"/>
          <w:sz w:val="22"/>
          <w:szCs w:val="22"/>
          <w:lang w:val="fr-FR"/>
        </w:rPr>
        <w:t xml:space="preserve"> </w:t>
      </w:r>
      <w:r w:rsidR="00DA0C0A" w:rsidRPr="00F13074">
        <w:rPr>
          <w:rFonts w:cs="Arial"/>
          <w:sz w:val="22"/>
          <w:szCs w:val="22"/>
          <w:lang w:val="fr-FR"/>
        </w:rPr>
        <w:t>le travail</w:t>
      </w:r>
      <w:r w:rsidR="00845F9C" w:rsidRPr="00F13074">
        <w:rPr>
          <w:rFonts w:cs="Arial"/>
          <w:sz w:val="22"/>
          <w:szCs w:val="22"/>
          <w:lang w:val="fr-FR"/>
        </w:rPr>
        <w:t xml:space="preserve"> des organisations et forums internationaux</w:t>
      </w:r>
      <w:r w:rsidR="00DA0C0A" w:rsidRPr="00F13074">
        <w:rPr>
          <w:rFonts w:cs="Arial"/>
          <w:sz w:val="22"/>
          <w:szCs w:val="22"/>
          <w:lang w:val="fr-FR"/>
        </w:rPr>
        <w:t xml:space="preserve"> </w:t>
      </w:r>
      <w:r w:rsidR="00845F9C" w:rsidRPr="00F13074">
        <w:rPr>
          <w:rFonts w:cs="Arial"/>
          <w:sz w:val="22"/>
          <w:szCs w:val="22"/>
          <w:lang w:val="fr-FR"/>
        </w:rPr>
        <w:t>dont elle est membre</w:t>
      </w:r>
      <w:r w:rsidR="00B2651B" w:rsidRPr="00F13074">
        <w:rPr>
          <w:rFonts w:cs="Arial"/>
          <w:sz w:val="22"/>
          <w:szCs w:val="22"/>
          <w:lang w:val="fr-FR"/>
        </w:rPr>
        <w:t xml:space="preserve"> – </w:t>
      </w:r>
      <w:r w:rsidR="00E015B7" w:rsidRPr="00F13074">
        <w:rPr>
          <w:rFonts w:cs="Arial"/>
          <w:sz w:val="22"/>
          <w:szCs w:val="22"/>
          <w:lang w:val="fr-FR"/>
        </w:rPr>
        <w:t>parmi lesquels</w:t>
      </w:r>
      <w:r w:rsidR="00FE07FC" w:rsidRPr="00F13074">
        <w:rPr>
          <w:rFonts w:cs="Arial"/>
          <w:sz w:val="22"/>
          <w:szCs w:val="22"/>
          <w:lang w:val="fr-FR"/>
        </w:rPr>
        <w:t xml:space="preserve"> </w:t>
      </w:r>
      <w:r w:rsidR="00373222" w:rsidRPr="00F13074">
        <w:rPr>
          <w:rFonts w:cs="Arial"/>
          <w:sz w:val="22"/>
          <w:szCs w:val="22"/>
          <w:lang w:val="fr-FR"/>
        </w:rPr>
        <w:t>le</w:t>
      </w:r>
      <w:r w:rsidR="00DA0C0A" w:rsidRPr="00F13074">
        <w:rPr>
          <w:rFonts w:cs="Arial"/>
          <w:sz w:val="22"/>
          <w:szCs w:val="22"/>
          <w:lang w:val="fr-FR"/>
        </w:rPr>
        <w:t xml:space="preserve"> </w:t>
      </w:r>
      <w:r w:rsidR="00373222" w:rsidRPr="00F13074">
        <w:rPr>
          <w:rFonts w:cs="Arial"/>
          <w:sz w:val="22"/>
          <w:szCs w:val="22"/>
          <w:lang w:val="fr-FR"/>
        </w:rPr>
        <w:t xml:space="preserve">Forum mondial pour la lutte contre le terrorisme </w:t>
      </w:r>
      <w:r w:rsidR="00DA0C0A" w:rsidRPr="00F13074">
        <w:rPr>
          <w:rFonts w:cs="Arial"/>
          <w:sz w:val="22"/>
          <w:szCs w:val="22"/>
          <w:lang w:val="fr-FR"/>
        </w:rPr>
        <w:t>(GCTF)</w:t>
      </w:r>
      <w:r w:rsidR="007D49BA" w:rsidRPr="00F13074">
        <w:rPr>
          <w:rFonts w:cs="Arial"/>
          <w:sz w:val="22"/>
          <w:szCs w:val="22"/>
          <w:lang w:val="fr-FR"/>
        </w:rPr>
        <w:t xml:space="preserve"> </w:t>
      </w:r>
      <w:r w:rsidR="00B2651B" w:rsidRPr="00F13074">
        <w:rPr>
          <w:rFonts w:cs="Arial"/>
          <w:sz w:val="22"/>
          <w:szCs w:val="22"/>
          <w:lang w:val="fr-FR"/>
        </w:rPr>
        <w:t xml:space="preserve">– </w:t>
      </w:r>
      <w:r w:rsidR="003B4C9B" w:rsidRPr="00F13074">
        <w:rPr>
          <w:rFonts w:cs="Arial"/>
          <w:sz w:val="22"/>
          <w:szCs w:val="22"/>
          <w:lang w:val="fr-FR"/>
        </w:rPr>
        <w:t>contribue</w:t>
      </w:r>
      <w:r w:rsidR="00B2651B" w:rsidRPr="00F13074">
        <w:rPr>
          <w:sz w:val="22"/>
          <w:szCs w:val="22"/>
          <w:lang w:val="fr-CH"/>
        </w:rPr>
        <w:t xml:space="preserve"> à la mise en œuvre complète et équilibrée de</w:t>
      </w:r>
      <w:r w:rsidR="007061F7" w:rsidRPr="00F13074">
        <w:rPr>
          <w:sz w:val="22"/>
          <w:szCs w:val="22"/>
          <w:lang w:val="fr-CH"/>
        </w:rPr>
        <w:t>s quatre piliers de</w:t>
      </w:r>
      <w:r w:rsidR="00B2651B" w:rsidRPr="00F13074">
        <w:rPr>
          <w:sz w:val="22"/>
          <w:szCs w:val="22"/>
          <w:lang w:val="fr-CH"/>
        </w:rPr>
        <w:t xml:space="preserve"> la </w:t>
      </w:r>
      <w:r w:rsidR="007061F7" w:rsidRPr="00F13074">
        <w:rPr>
          <w:sz w:val="22"/>
          <w:szCs w:val="22"/>
          <w:lang w:val="fr-CH"/>
        </w:rPr>
        <w:t>GCTS</w:t>
      </w:r>
      <w:r w:rsidR="002A74BD" w:rsidRPr="00F13074">
        <w:rPr>
          <w:sz w:val="22"/>
          <w:szCs w:val="22"/>
          <w:lang w:val="fr-CH"/>
        </w:rPr>
        <w:t xml:space="preserve">, </w:t>
      </w:r>
      <w:r w:rsidR="00B2651B" w:rsidRPr="00F13074">
        <w:rPr>
          <w:sz w:val="22"/>
          <w:szCs w:val="22"/>
          <w:lang w:val="fr-CH"/>
        </w:rPr>
        <w:t xml:space="preserve">notamment </w:t>
      </w:r>
      <w:r w:rsidR="002A74BD" w:rsidRPr="00F13074">
        <w:rPr>
          <w:sz w:val="22"/>
          <w:szCs w:val="22"/>
          <w:lang w:val="fr-CH"/>
        </w:rPr>
        <w:t xml:space="preserve">en </w:t>
      </w:r>
      <w:r w:rsidR="00B2651B" w:rsidRPr="00F13074">
        <w:rPr>
          <w:sz w:val="22"/>
          <w:szCs w:val="22"/>
          <w:lang w:val="fr-CH"/>
        </w:rPr>
        <w:t>garanti</w:t>
      </w:r>
      <w:r w:rsidR="002A74BD" w:rsidRPr="00F13074">
        <w:rPr>
          <w:sz w:val="22"/>
          <w:szCs w:val="22"/>
          <w:lang w:val="fr-CH"/>
        </w:rPr>
        <w:t>ssant</w:t>
      </w:r>
      <w:r w:rsidR="00B2651B" w:rsidRPr="00F13074">
        <w:rPr>
          <w:sz w:val="22"/>
          <w:szCs w:val="22"/>
          <w:lang w:val="fr-CH"/>
        </w:rPr>
        <w:t xml:space="preserve"> le respect des droits de l’homme</w:t>
      </w:r>
      <w:r w:rsidR="007061F7" w:rsidRPr="00F13074">
        <w:rPr>
          <w:sz w:val="22"/>
          <w:szCs w:val="22"/>
          <w:lang w:val="fr-CH"/>
        </w:rPr>
        <w:t>,</w:t>
      </w:r>
      <w:r w:rsidR="00B2651B" w:rsidRPr="00F13074">
        <w:rPr>
          <w:sz w:val="22"/>
          <w:szCs w:val="22"/>
          <w:lang w:val="fr-CH"/>
        </w:rPr>
        <w:t xml:space="preserve"> la primauté du droit</w:t>
      </w:r>
      <w:r w:rsidR="007061F7" w:rsidRPr="00F13074">
        <w:rPr>
          <w:sz w:val="22"/>
          <w:szCs w:val="22"/>
          <w:lang w:val="fr-CH"/>
        </w:rPr>
        <w:t>, ainsi qu’une meilleure inclusion des acteurs de la société civile</w:t>
      </w:r>
    </w:p>
    <w:p w14:paraId="5FA3D6DD" w14:textId="250B864B" w:rsidR="00783ACE" w:rsidRPr="00F13074" w:rsidRDefault="00783ACE" w:rsidP="00AF34C0">
      <w:pPr>
        <w:spacing w:before="160" w:after="120" w:line="276" w:lineRule="auto"/>
        <w:jc w:val="both"/>
        <w:rPr>
          <w:rFonts w:ascii="Calibri" w:hAnsi="Calibri" w:cs="Calibri"/>
          <w:sz w:val="22"/>
          <w:szCs w:val="22"/>
          <w:lang w:val="fr-CH" w:eastAsia="zh-CN"/>
        </w:rPr>
      </w:pPr>
      <w:r w:rsidRPr="00F13074">
        <w:rPr>
          <w:sz w:val="22"/>
          <w:szCs w:val="22"/>
          <w:lang w:val="fr-CH"/>
        </w:rPr>
        <w:t xml:space="preserve">La Suisse veille à une mise en œuvre des résolutions du Conseil de sécurité de manière conforme au droit international </w:t>
      </w:r>
      <w:r w:rsidR="007061F7" w:rsidRPr="00F13074">
        <w:rPr>
          <w:sz w:val="22"/>
          <w:szCs w:val="22"/>
          <w:lang w:val="fr-CH"/>
        </w:rPr>
        <w:t xml:space="preserve">public, </w:t>
      </w:r>
      <w:r w:rsidRPr="00F13074">
        <w:rPr>
          <w:sz w:val="22"/>
          <w:szCs w:val="22"/>
          <w:lang w:val="fr-CH"/>
        </w:rPr>
        <w:t xml:space="preserve">notamment aux droits de l’homme et au </w:t>
      </w:r>
      <w:r w:rsidR="007061F7" w:rsidRPr="00F13074">
        <w:rPr>
          <w:sz w:val="22"/>
          <w:szCs w:val="22"/>
          <w:lang w:val="fr-CH"/>
        </w:rPr>
        <w:t>DIH</w:t>
      </w:r>
      <w:r w:rsidRPr="00F13074">
        <w:rPr>
          <w:sz w:val="22"/>
          <w:szCs w:val="22"/>
          <w:lang w:val="fr-CH"/>
        </w:rPr>
        <w:t>. Ses efforts dans ce sens ont été salués par le Comité de la lutte contre le terrorisme (CTC) du Conseil de sécurité à l’occasion de sa visit</w:t>
      </w:r>
      <w:r w:rsidR="00637E8B" w:rsidRPr="00F13074">
        <w:rPr>
          <w:sz w:val="22"/>
          <w:szCs w:val="22"/>
          <w:lang w:val="fr-CH"/>
        </w:rPr>
        <w:t>e d’évaluation en Suisse en 2018</w:t>
      </w:r>
      <w:r w:rsidRPr="00F13074">
        <w:rPr>
          <w:sz w:val="22"/>
          <w:szCs w:val="22"/>
          <w:lang w:val="fr-CH"/>
        </w:rPr>
        <w:t>.</w:t>
      </w:r>
    </w:p>
    <w:p w14:paraId="2B76BB39" w14:textId="0BA05168" w:rsidR="0069685B" w:rsidRPr="00F13074" w:rsidRDefault="003F1643" w:rsidP="0069685B">
      <w:pPr>
        <w:pStyle w:val="ListParagraph"/>
        <w:numPr>
          <w:ilvl w:val="0"/>
          <w:numId w:val="1"/>
        </w:numPr>
        <w:spacing w:before="240" w:after="120" w:line="276" w:lineRule="auto"/>
        <w:ind w:left="357" w:hanging="357"/>
        <w:jc w:val="both"/>
        <w:rPr>
          <w:rFonts w:ascii="Arial" w:hAnsi="Arial" w:cs="Arial"/>
          <w:b/>
          <w:lang w:val="fr-CH"/>
        </w:rPr>
      </w:pPr>
      <w:r w:rsidRPr="00F13074">
        <w:rPr>
          <w:rFonts w:ascii="Arial" w:hAnsi="Arial" w:cs="Arial"/>
          <w:b/>
          <w:lang w:val="fr-CH"/>
        </w:rPr>
        <w:t>Respect du droit international humanitaire</w:t>
      </w:r>
    </w:p>
    <w:p w14:paraId="3C84A852" w14:textId="77777777" w:rsidR="00CF76DD" w:rsidRPr="00F13074" w:rsidRDefault="00CF76DD" w:rsidP="00CF76DD">
      <w:pPr>
        <w:spacing w:before="240" w:after="120" w:line="276" w:lineRule="auto"/>
        <w:jc w:val="both"/>
        <w:rPr>
          <w:rFonts w:cs="Arial"/>
          <w:sz w:val="22"/>
          <w:szCs w:val="22"/>
          <w:lang w:val="fr-CH"/>
        </w:rPr>
      </w:pPr>
      <w:r w:rsidRPr="00F13074">
        <w:rPr>
          <w:rFonts w:cs="Arial"/>
          <w:sz w:val="22"/>
          <w:szCs w:val="22"/>
          <w:lang w:val="fr-CH"/>
        </w:rPr>
        <w:t xml:space="preserve">La Suisse considère que les entités onusiennes traitant de questions liées au contre-terrorisme devraient prendre pleinement en compte le DIH lorsqu’il est pertinent pour leurs activités et encourager les Etats à le respecter lorsqu’ils prennent des mesures de lutte contre le terrorisme dans des conflits armés. La Suisse estime que ces entités devraient tenir dûment compte de l’interprétation des Etats parties aux Conventions de DIH et du Comité international de la Croix-Rouge, en sa qualité de promoteur et gardien du DIH.  </w:t>
      </w:r>
    </w:p>
    <w:p w14:paraId="483A3020" w14:textId="14F724D0" w:rsidR="00CF76DD" w:rsidRPr="00F13074" w:rsidRDefault="00CF76DD" w:rsidP="00CF76DD">
      <w:pPr>
        <w:spacing w:before="240" w:after="120" w:line="276" w:lineRule="auto"/>
        <w:jc w:val="both"/>
        <w:rPr>
          <w:rFonts w:cs="Arial"/>
          <w:b/>
          <w:sz w:val="22"/>
          <w:szCs w:val="22"/>
          <w:lang w:val="fr-CH"/>
        </w:rPr>
      </w:pPr>
      <w:r w:rsidRPr="00F13074">
        <w:rPr>
          <w:rFonts w:cs="Arial"/>
          <w:sz w:val="22"/>
          <w:szCs w:val="22"/>
          <w:lang w:val="fr-CH"/>
        </w:rPr>
        <w:t>La Suisse s’inquiète de l’amalgame de plus en plus communément opéré entre conflit armé et terrorisme ou entre groupe armé et groupe terroriste, susceptible d’</w:t>
      </w:r>
      <w:r w:rsidR="003805F1" w:rsidRPr="00F13074">
        <w:rPr>
          <w:rFonts w:cs="Arial"/>
          <w:sz w:val="22"/>
          <w:szCs w:val="22"/>
          <w:lang w:val="fr-CH"/>
        </w:rPr>
        <w:t xml:space="preserve">entraver </w:t>
      </w:r>
      <w:r w:rsidRPr="00F13074">
        <w:rPr>
          <w:rFonts w:cs="Arial"/>
          <w:sz w:val="22"/>
          <w:szCs w:val="22"/>
          <w:lang w:val="fr-CH"/>
        </w:rPr>
        <w:t>l’action humanitaire</w:t>
      </w:r>
      <w:r w:rsidR="003805F1" w:rsidRPr="00F13074">
        <w:rPr>
          <w:rFonts w:cs="Arial"/>
          <w:sz w:val="22"/>
          <w:szCs w:val="22"/>
          <w:lang w:val="fr-CH"/>
        </w:rPr>
        <w:t xml:space="preserve"> et le respect du DIH</w:t>
      </w:r>
      <w:r w:rsidRPr="00F13074">
        <w:rPr>
          <w:rFonts w:cs="Arial"/>
          <w:sz w:val="22"/>
          <w:szCs w:val="22"/>
          <w:lang w:val="fr-CH"/>
        </w:rPr>
        <w:t>.</w:t>
      </w:r>
    </w:p>
    <w:p w14:paraId="7B550966" w14:textId="77777777" w:rsidR="00CF76DD" w:rsidRPr="00F13074" w:rsidRDefault="00CF76DD" w:rsidP="00CF76DD">
      <w:pPr>
        <w:spacing w:before="160" w:after="120" w:line="276" w:lineRule="auto"/>
        <w:jc w:val="both"/>
        <w:rPr>
          <w:rFonts w:cs="Arial"/>
          <w:sz w:val="22"/>
          <w:szCs w:val="22"/>
          <w:lang w:val="fr-CH"/>
        </w:rPr>
      </w:pPr>
      <w:r w:rsidRPr="00F13074">
        <w:rPr>
          <w:rFonts w:cs="Arial"/>
          <w:sz w:val="22"/>
          <w:szCs w:val="22"/>
          <w:lang w:val="fr-CH"/>
        </w:rPr>
        <w:t>Premièrement, cela peut laisser entendre à tort que le DIH n'est pas applicable à un conflit ou à groupe armé donné et que le cadre juridique à appliquer est premièrement, sinon exclusivement, celui régissant la lutte contre le terrorisme. Cela suggère également que certaines ou toutes les parties au conflit ne sont pas tenues de respecter le DIH. Or, une telle interprétation est erronée et risque d’affaiblir le respect du DIH. La Suisse rappelle que la seule condition pour l’applicabilité du DIH est l’existence d’un conflit armé, qui est une question de fait. Cette applicabilité ne dépend pas de la légitimité, de la conduite, des méthodes ou des objectifs d’une partie au conflit armé. Dès lors qu’il existe un conflit armé, le DIH doit être appliqué par toutes les parties au conflit et en toutes circonstances, y compris lors d’opérations contre-</w:t>
      </w:r>
      <w:r w:rsidRPr="00F13074">
        <w:rPr>
          <w:rFonts w:cs="Arial"/>
          <w:sz w:val="22"/>
          <w:szCs w:val="22"/>
          <w:lang w:val="fr-CH"/>
        </w:rPr>
        <w:lastRenderedPageBreak/>
        <w:t>terroristes. Deuxièmement, un tel amalgame pourrait encourager la criminalisation d’activités humanitaires impartiales, ce qui est contraire au DIH.</w:t>
      </w:r>
      <w:r w:rsidRPr="00F13074">
        <w:rPr>
          <w:rStyle w:val="FootnoteReference"/>
          <w:rFonts w:cs="Arial"/>
          <w:sz w:val="22"/>
          <w:szCs w:val="22"/>
          <w:lang w:val="fr-CH"/>
        </w:rPr>
        <w:footnoteReference w:id="1"/>
      </w:r>
      <w:r w:rsidRPr="00F13074">
        <w:rPr>
          <w:rFonts w:cs="Arial"/>
          <w:sz w:val="22"/>
          <w:szCs w:val="22"/>
          <w:lang w:val="fr-CH"/>
        </w:rPr>
        <w:t xml:space="preserve"> Il pourrait aussi encourager la criminalisation d’autres actes licites au regard du DIH. Cela pourrait empêcher l’octroi d’amnisties, alors que celles-ci sont recommandées par le DIH</w:t>
      </w:r>
      <w:r w:rsidRPr="00F13074">
        <w:rPr>
          <w:rStyle w:val="FootnoteReference"/>
          <w:rFonts w:cs="Arial"/>
          <w:sz w:val="22"/>
          <w:szCs w:val="22"/>
          <w:lang w:val="fr-CH"/>
        </w:rPr>
        <w:t xml:space="preserve"> </w:t>
      </w:r>
      <w:r w:rsidRPr="00F13074">
        <w:rPr>
          <w:rStyle w:val="FootnoteReference"/>
          <w:rFonts w:cs="Arial"/>
          <w:sz w:val="22"/>
          <w:szCs w:val="22"/>
          <w:lang w:val="en-GB"/>
        </w:rPr>
        <w:footnoteReference w:id="2"/>
      </w:r>
      <w:r w:rsidRPr="00F13074">
        <w:rPr>
          <w:rFonts w:cs="Arial"/>
          <w:sz w:val="22"/>
          <w:szCs w:val="22"/>
          <w:lang w:val="fr-CH"/>
        </w:rPr>
        <w:t>. En conséquence, les groupes armés pourraient être moins enclins à respecter le DIH. Les processus de paix et de réconciliation pourraient être aussi plus difficiles.</w:t>
      </w:r>
      <w:r w:rsidRPr="00F13074">
        <w:rPr>
          <w:rStyle w:val="FootnoteReference"/>
          <w:rFonts w:cs="Arial"/>
          <w:sz w:val="22"/>
          <w:szCs w:val="22"/>
          <w:lang w:val="fr-CH"/>
        </w:rPr>
        <w:footnoteReference w:id="3"/>
      </w:r>
    </w:p>
    <w:p w14:paraId="08567CBA" w14:textId="112CC2C9" w:rsidR="00CF76DD" w:rsidRPr="00F13074" w:rsidRDefault="00CF76DD" w:rsidP="00CF76DD">
      <w:pPr>
        <w:spacing w:before="160" w:after="120" w:line="276" w:lineRule="auto"/>
        <w:jc w:val="both"/>
        <w:rPr>
          <w:rFonts w:cs="Arial"/>
          <w:sz w:val="22"/>
          <w:szCs w:val="22"/>
          <w:lang w:val="fr-CH"/>
        </w:rPr>
      </w:pPr>
      <w:r w:rsidRPr="00F13074">
        <w:rPr>
          <w:rFonts w:cs="Arial"/>
          <w:sz w:val="22"/>
          <w:szCs w:val="22"/>
          <w:lang w:val="fr-CH"/>
        </w:rPr>
        <w:t>La Suisse est également préoccupée par l’impact des mesures contre le financement du terrorisme sur les activités humanitaires. Elle soutient l’introduction de clauses d’exemption humanitaire dans les normes contre le terrorisme, notamment celles relatives à la lutte contre le financement du terrorisme. La question des envois de fonds (</w:t>
      </w:r>
      <w:r w:rsidRPr="00F13074">
        <w:rPr>
          <w:rFonts w:cs="Arial"/>
          <w:i/>
          <w:sz w:val="22"/>
          <w:szCs w:val="22"/>
          <w:lang w:val="fr-CH"/>
        </w:rPr>
        <w:t>remittances</w:t>
      </w:r>
      <w:r w:rsidRPr="00F13074">
        <w:rPr>
          <w:rFonts w:cs="Arial"/>
          <w:sz w:val="22"/>
          <w:szCs w:val="22"/>
          <w:lang w:val="fr-CH"/>
        </w:rPr>
        <w:t xml:space="preserve">) par les diasporas dans leurs pays d’origine est également délicate et à considérer de manière attentive et non discriminatoire. La Suisse et l’UE ont coprésidé le groupe </w:t>
      </w:r>
      <w:r w:rsidRPr="00F13074">
        <w:rPr>
          <w:rFonts w:cs="Arial"/>
          <w:i/>
          <w:sz w:val="22"/>
          <w:szCs w:val="22"/>
          <w:lang w:val="fr-CH"/>
        </w:rPr>
        <w:t>Good Humanitarian Donorship</w:t>
      </w:r>
      <w:r w:rsidRPr="00F13074">
        <w:rPr>
          <w:rFonts w:cs="Arial"/>
          <w:sz w:val="22"/>
          <w:szCs w:val="22"/>
          <w:lang w:val="fr-CH"/>
        </w:rPr>
        <w:t xml:space="preserve"> en 2019 et 2020. Dans ce cadre, les donateurs ont échangé au sujet de leurs pratiques et politiques à l’intersection entre la lutte contre le terrorisme et l’action humanitaire (par exemple les clauses contre le terrorisme contenues dans certains accords de financement conclus avec des organisations humanitaires). La Suisse a aussi soutenu l’élaboration du </w:t>
      </w:r>
      <w:r w:rsidRPr="00F13074">
        <w:rPr>
          <w:rFonts w:cs="Arial"/>
          <w:i/>
          <w:sz w:val="22"/>
          <w:szCs w:val="22"/>
          <w:lang w:val="fr-CH"/>
        </w:rPr>
        <w:t>Risk Management Principles Guide for Sending Humanitarian Funds into Syria and Similar High-Risk Jurisdiction</w:t>
      </w:r>
      <w:r w:rsidRPr="00F13074">
        <w:rPr>
          <w:rFonts w:cs="Arial"/>
          <w:sz w:val="22"/>
          <w:szCs w:val="22"/>
          <w:lang w:val="fr-CH"/>
        </w:rPr>
        <w:t>. Ce guide vise à améliorer la collaboration entre banques, organisations humanitaires et donateurs afin d</w:t>
      </w:r>
      <w:r w:rsidR="006232DE" w:rsidRPr="00F13074">
        <w:rPr>
          <w:rFonts w:cs="Arial"/>
          <w:sz w:val="22"/>
          <w:szCs w:val="22"/>
          <w:lang w:val="fr-CH"/>
        </w:rPr>
        <w:t>e faciliter les transferts financiers humanitaires et d</w:t>
      </w:r>
      <w:r w:rsidRPr="00F13074">
        <w:rPr>
          <w:rFonts w:cs="Arial"/>
          <w:sz w:val="22"/>
          <w:szCs w:val="22"/>
          <w:lang w:val="fr-CH"/>
        </w:rPr>
        <w:t>’assurer qu’une aide puisse parvenir aux civils dans le besoin en Syrie, dans le respect des sanctions et régulations, y compris contre-terroristes, existantes.</w:t>
      </w:r>
      <w:r w:rsidRPr="00F13074">
        <w:rPr>
          <w:rStyle w:val="FootnoteReference"/>
          <w:rFonts w:cs="Arial"/>
          <w:sz w:val="22"/>
          <w:szCs w:val="22"/>
          <w:lang w:val="fr-CH"/>
        </w:rPr>
        <w:footnoteReference w:id="4"/>
      </w:r>
      <w:r w:rsidRPr="00F13074">
        <w:rPr>
          <w:rFonts w:cs="Arial"/>
          <w:sz w:val="22"/>
          <w:szCs w:val="22"/>
          <w:lang w:val="fr-CH"/>
        </w:rPr>
        <w:t xml:space="preserve"> Par ailleurs, au niveau interne, la Suisse veille à ce que les mesures de lutte contre le financement du terrorisme n’impactent pas le travail humanitaire. Par exemple, la norme du code pénal suisse réprimant le financement du terrorisme ne s’applique pas si les fonds sont destinés à soutenir l’aide humanitaire menée conformément au DIH.</w:t>
      </w:r>
      <w:r w:rsidRPr="00F13074">
        <w:rPr>
          <w:rStyle w:val="FootnoteReference"/>
          <w:rFonts w:cs="Arial"/>
          <w:sz w:val="22"/>
          <w:szCs w:val="22"/>
          <w:lang w:val="fr-CH"/>
        </w:rPr>
        <w:footnoteReference w:id="5"/>
      </w:r>
      <w:r w:rsidRPr="00F13074">
        <w:rPr>
          <w:rFonts w:cs="Arial"/>
          <w:sz w:val="22"/>
          <w:szCs w:val="22"/>
          <w:lang w:val="fr-CH"/>
        </w:rPr>
        <w:t xml:space="preserve"> </w:t>
      </w:r>
    </w:p>
    <w:p w14:paraId="7903312F" w14:textId="5E05B9CB" w:rsidR="00CF76DD" w:rsidRPr="00F13074" w:rsidRDefault="00CF76DD" w:rsidP="00360E15">
      <w:pPr>
        <w:spacing w:before="160" w:after="120" w:line="276" w:lineRule="auto"/>
        <w:jc w:val="both"/>
        <w:rPr>
          <w:rFonts w:cs="Arial"/>
          <w:sz w:val="22"/>
          <w:szCs w:val="22"/>
          <w:lang w:val="fr-CH"/>
        </w:rPr>
      </w:pPr>
      <w:r w:rsidRPr="00F13074">
        <w:rPr>
          <w:rFonts w:cs="Arial"/>
          <w:sz w:val="22"/>
          <w:szCs w:val="22"/>
          <w:lang w:val="fr-CH"/>
        </w:rPr>
        <w:t xml:space="preserve">La Suisse soutient la recherche juridique indépendante. Par exemple, le Fonds national suisse de la recherche scientifique (FNS) finance le projet </w:t>
      </w:r>
      <w:r w:rsidRPr="00F13074">
        <w:rPr>
          <w:rFonts w:cs="Arial"/>
          <w:i/>
          <w:sz w:val="22"/>
          <w:szCs w:val="22"/>
          <w:lang w:val="fr-CH"/>
        </w:rPr>
        <w:t xml:space="preserve">Counter-Terror Pro LegEm </w:t>
      </w:r>
      <w:r w:rsidRPr="00F13074">
        <w:rPr>
          <w:rFonts w:cs="Arial"/>
          <w:sz w:val="22"/>
          <w:szCs w:val="22"/>
          <w:lang w:val="fr-CH"/>
        </w:rPr>
        <w:t>de l’Université de Genève.</w:t>
      </w:r>
      <w:r w:rsidRPr="00F13074">
        <w:rPr>
          <w:rStyle w:val="FootnoteReference"/>
          <w:rFonts w:cs="Arial"/>
          <w:sz w:val="22"/>
          <w:szCs w:val="22"/>
          <w:lang w:val="fr-CH"/>
        </w:rPr>
        <w:footnoteReference w:id="6"/>
      </w:r>
      <w:r w:rsidRPr="00F13074">
        <w:rPr>
          <w:rFonts w:cs="Arial"/>
          <w:sz w:val="22"/>
          <w:szCs w:val="22"/>
          <w:lang w:val="fr-CH"/>
        </w:rPr>
        <w:t xml:space="preserve"> Le Gouvernement suisse soutient aussi la recherche du </w:t>
      </w:r>
      <w:r w:rsidRPr="00F13074">
        <w:rPr>
          <w:rFonts w:cs="Arial"/>
          <w:i/>
          <w:sz w:val="22"/>
          <w:szCs w:val="22"/>
          <w:lang w:val="fr-CH"/>
        </w:rPr>
        <w:t xml:space="preserve">Harvard Law School Program on International Law and Armed Conflict </w:t>
      </w:r>
      <w:r w:rsidRPr="00F13074">
        <w:rPr>
          <w:rFonts w:cs="Arial"/>
          <w:sz w:val="22"/>
          <w:szCs w:val="22"/>
          <w:lang w:val="fr-CH"/>
        </w:rPr>
        <w:t xml:space="preserve">(HLS PILAC), notamment en lien avec le DIH, l’action humanitaire et le contre-terrorisme. Il cherche également à apporter un soutien concret aux organisations humanitaires sur ces questions. Il continue à soutenir et à participer à des dialogues entre les acteurs concernés (Etats, entités spécialisées dans la lutte contre le terrorisme comme le Bureau des Nations Unies contre le terrorisme, Direction exécutive du </w:t>
      </w:r>
      <w:r w:rsidRPr="00F13074">
        <w:rPr>
          <w:rFonts w:cs="Arial"/>
          <w:sz w:val="22"/>
          <w:szCs w:val="22"/>
          <w:lang w:val="fr-CH"/>
        </w:rPr>
        <w:lastRenderedPageBreak/>
        <w:t xml:space="preserve">Comité contre le terrorisme, CICR, acteurs de la société civile) afin de clarifier l’impact de la lutte contre le terrorisme sur le DIH et l’action humanitaire et de discuter de possibles solutions. </w:t>
      </w:r>
      <w:r w:rsidR="0069685B" w:rsidRPr="00F13074">
        <w:rPr>
          <w:rFonts w:cs="Arial"/>
          <w:sz w:val="22"/>
          <w:szCs w:val="22"/>
          <w:lang w:val="fr-CH"/>
        </w:rPr>
        <w:t xml:space="preserve"> </w:t>
      </w:r>
    </w:p>
    <w:p w14:paraId="02DEFB99" w14:textId="2A80E15B" w:rsidR="007B0ADA" w:rsidRPr="00F13074" w:rsidRDefault="000F077F" w:rsidP="007B0ADA">
      <w:pPr>
        <w:pStyle w:val="ListParagraph"/>
        <w:numPr>
          <w:ilvl w:val="0"/>
          <w:numId w:val="1"/>
        </w:numPr>
        <w:spacing w:before="240" w:after="120" w:line="276" w:lineRule="auto"/>
        <w:ind w:left="357" w:hanging="357"/>
        <w:jc w:val="both"/>
        <w:rPr>
          <w:rFonts w:cs="Arial"/>
          <w:b/>
          <w:lang w:val="fr-CH"/>
        </w:rPr>
      </w:pPr>
      <w:r w:rsidRPr="00F13074">
        <w:rPr>
          <w:rFonts w:ascii="Arial" w:hAnsi="Arial" w:cs="Arial"/>
          <w:b/>
          <w:i/>
          <w:lang w:val="fr-CH"/>
        </w:rPr>
        <w:t>D</w:t>
      </w:r>
      <w:r w:rsidR="00421894" w:rsidRPr="00F13074">
        <w:rPr>
          <w:rFonts w:ascii="Arial" w:hAnsi="Arial" w:cs="Arial"/>
          <w:b/>
          <w:i/>
          <w:lang w:val="fr-CH"/>
        </w:rPr>
        <w:t>ue process</w:t>
      </w:r>
      <w:r w:rsidRPr="00F13074">
        <w:rPr>
          <w:rFonts w:ascii="Arial" w:hAnsi="Arial" w:cs="Arial"/>
          <w:b/>
          <w:lang w:val="fr-CH"/>
        </w:rPr>
        <w:t xml:space="preserve"> </w:t>
      </w:r>
      <w:r w:rsidR="003F1643" w:rsidRPr="00F13074">
        <w:rPr>
          <w:rFonts w:ascii="Arial" w:hAnsi="Arial" w:cs="Arial"/>
          <w:b/>
          <w:lang w:val="fr-CH"/>
        </w:rPr>
        <w:t>et</w:t>
      </w:r>
      <w:r w:rsidR="00A8770D" w:rsidRPr="00F13074">
        <w:rPr>
          <w:rFonts w:ascii="Arial" w:hAnsi="Arial" w:cs="Arial"/>
          <w:b/>
          <w:lang w:val="fr-CH"/>
        </w:rPr>
        <w:t xml:space="preserve"> système de sanctions de l’ONU</w:t>
      </w:r>
    </w:p>
    <w:p w14:paraId="60B90D76" w14:textId="5B87C565" w:rsidR="007B0ADA" w:rsidRPr="00F13074" w:rsidRDefault="007B0ADA" w:rsidP="007B0ADA">
      <w:pPr>
        <w:spacing w:line="276" w:lineRule="auto"/>
        <w:jc w:val="both"/>
        <w:rPr>
          <w:sz w:val="22"/>
          <w:szCs w:val="22"/>
          <w:lang w:val="fr-CH"/>
        </w:rPr>
      </w:pPr>
      <w:r w:rsidRPr="00F13074">
        <w:rPr>
          <w:sz w:val="22"/>
          <w:szCs w:val="22"/>
          <w:lang w:val="fr-CH"/>
        </w:rPr>
        <w:t xml:space="preserve">La Suisse s’engage depuis 2005 avec un Groupe d’Etats de même sensibilité (dit « </w:t>
      </w:r>
      <w:r w:rsidRPr="00F13074">
        <w:rPr>
          <w:i/>
          <w:sz w:val="22"/>
          <w:szCs w:val="22"/>
          <w:lang w:val="fr-CH"/>
        </w:rPr>
        <w:t>Like-Minded</w:t>
      </w:r>
      <w:r w:rsidRPr="00F13074">
        <w:rPr>
          <w:sz w:val="22"/>
          <w:szCs w:val="22"/>
          <w:lang w:val="fr-CH"/>
        </w:rPr>
        <w:t xml:space="preserve"> ») pour </w:t>
      </w:r>
      <w:r w:rsidR="003F1643" w:rsidRPr="00F13074">
        <w:rPr>
          <w:sz w:val="22"/>
          <w:szCs w:val="22"/>
          <w:lang w:val="fr-CH"/>
        </w:rPr>
        <w:t>un meilleur respect de</w:t>
      </w:r>
      <w:r w:rsidRPr="00F13074">
        <w:rPr>
          <w:sz w:val="22"/>
          <w:szCs w:val="22"/>
          <w:lang w:val="fr-CH"/>
        </w:rPr>
        <w:t xml:space="preserve"> l’</w:t>
      </w:r>
      <w:r w:rsidR="00FE1487">
        <w:rPr>
          <w:sz w:val="22"/>
          <w:szCs w:val="22"/>
          <w:lang w:val="fr-CH"/>
        </w:rPr>
        <w:t>E</w:t>
      </w:r>
      <w:r w:rsidRPr="00F13074">
        <w:rPr>
          <w:sz w:val="22"/>
          <w:szCs w:val="22"/>
          <w:lang w:val="fr-CH"/>
        </w:rPr>
        <w:t xml:space="preserve">tat de droit dans la mise en œuvre des sanctions onusiennes. Cet engagement vise à renforcer la prise en compte et le respect des droits de l’homme dans le système de sanctions </w:t>
      </w:r>
      <w:r w:rsidR="005574AE" w:rsidRPr="00F13074">
        <w:rPr>
          <w:sz w:val="22"/>
          <w:szCs w:val="22"/>
          <w:lang w:val="fr-CH"/>
        </w:rPr>
        <w:t>de l’ONU</w:t>
      </w:r>
      <w:r w:rsidRPr="00F13074">
        <w:rPr>
          <w:sz w:val="22"/>
          <w:szCs w:val="22"/>
          <w:lang w:val="fr-CH"/>
        </w:rPr>
        <w:t xml:space="preserve">, </w:t>
      </w:r>
      <w:r w:rsidR="00DB614F" w:rsidRPr="00F13074">
        <w:rPr>
          <w:sz w:val="22"/>
          <w:szCs w:val="22"/>
          <w:lang w:val="fr-CH"/>
        </w:rPr>
        <w:t>et partant</w:t>
      </w:r>
      <w:r w:rsidR="00FE1487">
        <w:rPr>
          <w:sz w:val="22"/>
          <w:szCs w:val="22"/>
          <w:lang w:val="fr-CH"/>
        </w:rPr>
        <w:t>,</w:t>
      </w:r>
      <w:r w:rsidR="00DB614F" w:rsidRPr="00F13074">
        <w:rPr>
          <w:sz w:val="22"/>
          <w:szCs w:val="22"/>
          <w:lang w:val="fr-CH"/>
        </w:rPr>
        <w:t xml:space="preserve"> à rendre ce dernier plus efficace, légitime et conforme à l’</w:t>
      </w:r>
      <w:r w:rsidR="00FE1487">
        <w:rPr>
          <w:sz w:val="22"/>
          <w:szCs w:val="22"/>
          <w:lang w:val="fr-CH"/>
        </w:rPr>
        <w:t>E</w:t>
      </w:r>
      <w:r w:rsidR="00DB614F" w:rsidRPr="00F13074">
        <w:rPr>
          <w:sz w:val="22"/>
          <w:szCs w:val="22"/>
          <w:lang w:val="fr-CH"/>
        </w:rPr>
        <w:t>tat de droit.</w:t>
      </w:r>
      <w:r w:rsidRPr="00F13074">
        <w:rPr>
          <w:sz w:val="22"/>
          <w:szCs w:val="22"/>
          <w:lang w:val="fr-CH"/>
        </w:rPr>
        <w:t xml:space="preserve"> La Suisse a été l'un des principaux initiateurs du concept de sanctions "ciblées" ou "intelligentes" (« </w:t>
      </w:r>
      <w:r w:rsidRPr="00F13074">
        <w:rPr>
          <w:i/>
          <w:sz w:val="22"/>
          <w:szCs w:val="22"/>
          <w:lang w:val="fr-CH"/>
        </w:rPr>
        <w:t>smart sanctions</w:t>
      </w:r>
      <w:r w:rsidRPr="00F13074">
        <w:rPr>
          <w:sz w:val="22"/>
          <w:szCs w:val="22"/>
          <w:lang w:val="fr-CH"/>
        </w:rPr>
        <w:t xml:space="preserve"> ») qui vise précisément à éviter des conséquences négatives et non-voulues sur les individus et les entités faisant l’objet de sanctions.</w:t>
      </w:r>
    </w:p>
    <w:p w14:paraId="364641C8" w14:textId="77777777" w:rsidR="007B0ADA" w:rsidRPr="00F13074" w:rsidRDefault="007B0ADA" w:rsidP="007B0ADA">
      <w:pPr>
        <w:spacing w:line="276" w:lineRule="auto"/>
        <w:jc w:val="both"/>
        <w:rPr>
          <w:sz w:val="22"/>
          <w:szCs w:val="22"/>
          <w:lang w:val="fr-CH"/>
        </w:rPr>
      </w:pPr>
    </w:p>
    <w:p w14:paraId="40566E4C" w14:textId="02AC87FB" w:rsidR="007B0ADA" w:rsidRPr="00F13074" w:rsidRDefault="007B0ADA" w:rsidP="007B0ADA">
      <w:pPr>
        <w:spacing w:line="276" w:lineRule="auto"/>
        <w:jc w:val="both"/>
        <w:rPr>
          <w:sz w:val="22"/>
          <w:szCs w:val="22"/>
          <w:lang w:val="fr-CH"/>
        </w:rPr>
      </w:pPr>
      <w:r w:rsidRPr="00F13074">
        <w:rPr>
          <w:sz w:val="22"/>
          <w:szCs w:val="22"/>
          <w:lang w:val="fr-CH"/>
        </w:rPr>
        <w:t xml:space="preserve">La Suisse déploie des efforts diplomatiques importants pour </w:t>
      </w:r>
      <w:r w:rsidR="00DB614F" w:rsidRPr="00F13074">
        <w:rPr>
          <w:sz w:val="22"/>
          <w:szCs w:val="22"/>
          <w:lang w:val="fr-CH"/>
        </w:rPr>
        <w:t>un meilleur</w:t>
      </w:r>
      <w:r w:rsidRPr="00F13074">
        <w:rPr>
          <w:sz w:val="22"/>
          <w:szCs w:val="22"/>
          <w:lang w:val="fr-CH"/>
        </w:rPr>
        <w:t xml:space="preserve"> respect de l’</w:t>
      </w:r>
      <w:r w:rsidR="00FE1487">
        <w:rPr>
          <w:sz w:val="22"/>
          <w:szCs w:val="22"/>
          <w:lang w:val="fr-CH"/>
        </w:rPr>
        <w:t>E</w:t>
      </w:r>
      <w:r w:rsidRPr="00F13074">
        <w:rPr>
          <w:sz w:val="22"/>
          <w:szCs w:val="22"/>
          <w:lang w:val="fr-CH"/>
        </w:rPr>
        <w:t xml:space="preserve">tat de droit lors de l’inscription et de la radiation d’individus et d’entités sur les listes de sanctions de l’ONU. Elle a œuvré aux côtés d’autres Etats </w:t>
      </w:r>
      <w:r w:rsidR="00DB614F" w:rsidRPr="00F13074">
        <w:rPr>
          <w:sz w:val="22"/>
          <w:szCs w:val="22"/>
          <w:lang w:val="fr-CH"/>
        </w:rPr>
        <w:t>afin que le</w:t>
      </w:r>
      <w:r w:rsidRPr="00F13074">
        <w:rPr>
          <w:sz w:val="22"/>
          <w:szCs w:val="22"/>
          <w:lang w:val="fr-CH"/>
        </w:rPr>
        <w:t xml:space="preserve"> Bureau du Médiateur </w:t>
      </w:r>
      <w:r w:rsidR="00DB614F" w:rsidRPr="00F13074">
        <w:rPr>
          <w:sz w:val="22"/>
          <w:szCs w:val="22"/>
          <w:lang w:val="fr-CH"/>
        </w:rPr>
        <w:t>relatif au</w:t>
      </w:r>
      <w:r w:rsidRPr="00F13074">
        <w:rPr>
          <w:sz w:val="22"/>
          <w:szCs w:val="22"/>
          <w:lang w:val="fr-CH"/>
        </w:rPr>
        <w:t xml:space="preserve"> comité de sanctions contre l’Etat islamique et Al-Qaïda</w:t>
      </w:r>
      <w:r w:rsidR="00DB614F" w:rsidRPr="00F13074">
        <w:rPr>
          <w:sz w:val="22"/>
          <w:szCs w:val="22"/>
          <w:lang w:val="fr-CH"/>
        </w:rPr>
        <w:t xml:space="preserve"> voi</w:t>
      </w:r>
      <w:r w:rsidR="003E0E32" w:rsidRPr="00F13074">
        <w:rPr>
          <w:sz w:val="22"/>
          <w:szCs w:val="22"/>
          <w:lang w:val="fr-CH"/>
        </w:rPr>
        <w:t>e le jour</w:t>
      </w:r>
      <w:r w:rsidRPr="00F13074">
        <w:rPr>
          <w:sz w:val="22"/>
          <w:szCs w:val="22"/>
          <w:lang w:val="fr-CH"/>
        </w:rPr>
        <w:t xml:space="preserve"> et </w:t>
      </w:r>
      <w:r w:rsidR="00DB614F" w:rsidRPr="00F13074">
        <w:rPr>
          <w:sz w:val="22"/>
          <w:szCs w:val="22"/>
          <w:lang w:val="fr-CH"/>
        </w:rPr>
        <w:t xml:space="preserve">pour </w:t>
      </w:r>
      <w:r w:rsidR="003E0E32" w:rsidRPr="00F13074">
        <w:rPr>
          <w:sz w:val="22"/>
          <w:szCs w:val="22"/>
          <w:lang w:val="fr-CH"/>
        </w:rPr>
        <w:t>que le</w:t>
      </w:r>
      <w:r w:rsidRPr="00F13074">
        <w:rPr>
          <w:sz w:val="22"/>
          <w:szCs w:val="22"/>
          <w:lang w:val="fr-CH"/>
        </w:rPr>
        <w:t xml:space="preserve"> mandat</w:t>
      </w:r>
      <w:r w:rsidR="00DB614F" w:rsidRPr="00F13074">
        <w:rPr>
          <w:sz w:val="22"/>
          <w:szCs w:val="22"/>
          <w:lang w:val="fr-CH"/>
        </w:rPr>
        <w:t xml:space="preserve"> du Médiateur</w:t>
      </w:r>
      <w:r w:rsidR="003E0E32" w:rsidRPr="00F13074">
        <w:rPr>
          <w:sz w:val="22"/>
          <w:szCs w:val="22"/>
          <w:lang w:val="fr-CH"/>
        </w:rPr>
        <w:t xml:space="preserve"> soit graduellement renforcé</w:t>
      </w:r>
      <w:r w:rsidRPr="00F13074">
        <w:rPr>
          <w:sz w:val="22"/>
          <w:szCs w:val="22"/>
          <w:lang w:val="fr-CH"/>
        </w:rPr>
        <w:t xml:space="preserve">. Les individus et </w:t>
      </w:r>
      <w:r w:rsidR="00DB614F" w:rsidRPr="00F13074">
        <w:rPr>
          <w:sz w:val="22"/>
          <w:szCs w:val="22"/>
          <w:lang w:val="fr-CH"/>
        </w:rPr>
        <w:t xml:space="preserve">les </w:t>
      </w:r>
      <w:r w:rsidRPr="00F13074">
        <w:rPr>
          <w:sz w:val="22"/>
          <w:szCs w:val="22"/>
          <w:lang w:val="fr-CH"/>
        </w:rPr>
        <w:t xml:space="preserve">entités listés dans le régime de sanctions à l’encontre de l’Etat islamique et d’Al-Qaida peuvent désormais s’adresser au Médiateur et soumettre une demande de radiation. </w:t>
      </w:r>
    </w:p>
    <w:p w14:paraId="4ED22EE1" w14:textId="77777777" w:rsidR="007B0ADA" w:rsidRPr="00F13074" w:rsidRDefault="007B0ADA" w:rsidP="007B0ADA">
      <w:pPr>
        <w:spacing w:line="276" w:lineRule="auto"/>
        <w:jc w:val="both"/>
        <w:rPr>
          <w:sz w:val="22"/>
          <w:szCs w:val="22"/>
          <w:lang w:val="fr-CH"/>
        </w:rPr>
      </w:pPr>
    </w:p>
    <w:p w14:paraId="705D3C56" w14:textId="4EF82BFD" w:rsidR="007B0ADA" w:rsidRPr="00F13074" w:rsidRDefault="007B0ADA" w:rsidP="007B0ADA">
      <w:pPr>
        <w:spacing w:line="276" w:lineRule="auto"/>
        <w:jc w:val="both"/>
        <w:rPr>
          <w:sz w:val="22"/>
          <w:szCs w:val="22"/>
          <w:lang w:val="fr-CH"/>
        </w:rPr>
      </w:pPr>
      <w:r w:rsidRPr="00F13074">
        <w:rPr>
          <w:sz w:val="22"/>
          <w:szCs w:val="22"/>
          <w:lang w:val="fr-CH"/>
        </w:rPr>
        <w:t>Dans la pratique, ce mécanisme équivaut à une fonction quasi judiciaire. Depuis sa création, le Médiateur a traité près de 90 cas et soumis des recommandations au Comité de sanctions antiterroristes. Dans 75% des cas soumis, le Médiateur a recommandé la radiation de la liste des sanctions. A ce jour, et ceci est re</w:t>
      </w:r>
      <w:r w:rsidR="003E0E32" w:rsidRPr="00F13074">
        <w:rPr>
          <w:sz w:val="22"/>
          <w:szCs w:val="22"/>
          <w:lang w:val="fr-CH"/>
        </w:rPr>
        <w:t>marquable, le Comité a suivi 100% des recommandations</w:t>
      </w:r>
      <w:r w:rsidRPr="00F13074">
        <w:rPr>
          <w:sz w:val="22"/>
          <w:szCs w:val="22"/>
          <w:lang w:val="fr-CH"/>
        </w:rPr>
        <w:t xml:space="preserve"> du Médiateur. Ce résultat démontre l’importance et l’efficacité du mécanisme. Le manque de protection juridique au niveau de l’ONU, notamment au niveau des 13 autres régimes de sanctions qui ne bénéficient pas de l’accès au Bureau du Médiateur, a mené à la saisine de tribunaux nationaux et régionaux par des individus et entités listés contre des Etats membres, y compris la Suisse. La contestation judiciaire des sanctions onusiennes risque de fragmenter les régimes de sanction</w:t>
      </w:r>
      <w:r w:rsidR="009210CB" w:rsidRPr="00F13074">
        <w:rPr>
          <w:sz w:val="22"/>
          <w:szCs w:val="22"/>
          <w:lang w:val="fr-CH"/>
        </w:rPr>
        <w:t>s</w:t>
      </w:r>
      <w:r w:rsidRPr="00F13074">
        <w:rPr>
          <w:sz w:val="22"/>
          <w:szCs w:val="22"/>
          <w:lang w:val="fr-CH"/>
        </w:rPr>
        <w:t xml:space="preserve"> de l’ONU et à terme rendre l’application au niveau national difficile ou impossible. Il s’agit dès lors d’éviter</w:t>
      </w:r>
      <w:r w:rsidR="009210CB" w:rsidRPr="00F13074">
        <w:rPr>
          <w:sz w:val="22"/>
          <w:szCs w:val="22"/>
          <w:lang w:val="fr-CH"/>
        </w:rPr>
        <w:t xml:space="preserve"> que</w:t>
      </w:r>
      <w:r w:rsidRPr="00F13074">
        <w:rPr>
          <w:sz w:val="22"/>
          <w:szCs w:val="22"/>
          <w:lang w:val="fr-CH"/>
        </w:rPr>
        <w:t xml:space="preserve"> les Etats se trouvent </w:t>
      </w:r>
      <w:r w:rsidR="009210CB" w:rsidRPr="00F13074">
        <w:rPr>
          <w:sz w:val="22"/>
          <w:szCs w:val="22"/>
          <w:lang w:val="fr-CH"/>
        </w:rPr>
        <w:t>face à un</w:t>
      </w:r>
      <w:r w:rsidRPr="00F13074">
        <w:rPr>
          <w:sz w:val="22"/>
          <w:szCs w:val="22"/>
          <w:lang w:val="fr-CH"/>
        </w:rPr>
        <w:t xml:space="preserve"> dilemme</w:t>
      </w:r>
      <w:r w:rsidR="009210CB" w:rsidRPr="00F13074">
        <w:rPr>
          <w:sz w:val="22"/>
          <w:szCs w:val="22"/>
          <w:lang w:val="fr-CH"/>
        </w:rPr>
        <w:t xml:space="preserve">, devant faire un choix entre respecter les droits de l’homme ou mettre en œuvre correctement les </w:t>
      </w:r>
      <w:r w:rsidRPr="00F13074">
        <w:rPr>
          <w:sz w:val="22"/>
          <w:szCs w:val="22"/>
          <w:lang w:val="fr-CH"/>
        </w:rPr>
        <w:t>sanctions de l’ONU.</w:t>
      </w:r>
    </w:p>
    <w:p w14:paraId="43E09DD6" w14:textId="77777777" w:rsidR="007B0ADA" w:rsidRPr="00F13074" w:rsidRDefault="007B0ADA" w:rsidP="007B0ADA">
      <w:pPr>
        <w:spacing w:line="276" w:lineRule="auto"/>
        <w:jc w:val="both"/>
        <w:rPr>
          <w:sz w:val="22"/>
          <w:szCs w:val="22"/>
          <w:lang w:val="fr-CH"/>
        </w:rPr>
      </w:pPr>
    </w:p>
    <w:p w14:paraId="41575BE1" w14:textId="78472B5E" w:rsidR="007B0ADA" w:rsidRPr="00F13074" w:rsidRDefault="00A61FF6" w:rsidP="007B0ADA">
      <w:pPr>
        <w:spacing w:line="276" w:lineRule="auto"/>
        <w:jc w:val="both"/>
        <w:rPr>
          <w:sz w:val="22"/>
          <w:szCs w:val="22"/>
          <w:lang w:val="fr-CH"/>
        </w:rPr>
      </w:pPr>
      <w:r w:rsidRPr="00F13074">
        <w:rPr>
          <w:sz w:val="22"/>
          <w:szCs w:val="22"/>
          <w:lang w:val="fr-CH"/>
        </w:rPr>
        <w:t>L</w:t>
      </w:r>
      <w:r w:rsidR="007B0ADA" w:rsidRPr="00F13074">
        <w:rPr>
          <w:sz w:val="22"/>
          <w:szCs w:val="22"/>
          <w:lang w:val="fr-CH"/>
        </w:rPr>
        <w:t xml:space="preserve">a Suisse continue ses démarches avec le Groupe d’Etats </w:t>
      </w:r>
      <w:r w:rsidR="007B0ADA" w:rsidRPr="00F13074">
        <w:rPr>
          <w:i/>
          <w:sz w:val="22"/>
          <w:szCs w:val="22"/>
          <w:lang w:val="fr-CH"/>
        </w:rPr>
        <w:t>Like-Minded</w:t>
      </w:r>
      <w:r w:rsidR="007B0ADA" w:rsidRPr="00F13074">
        <w:rPr>
          <w:sz w:val="22"/>
          <w:szCs w:val="22"/>
          <w:lang w:val="fr-CH"/>
        </w:rPr>
        <w:t xml:space="preserve"> pour renforcer le </w:t>
      </w:r>
      <w:r w:rsidR="008F7335" w:rsidRPr="00F13074">
        <w:rPr>
          <w:sz w:val="22"/>
          <w:szCs w:val="22"/>
          <w:lang w:val="fr-CH"/>
        </w:rPr>
        <w:t>mandat</w:t>
      </w:r>
      <w:r w:rsidR="007B0ADA" w:rsidRPr="00F13074">
        <w:rPr>
          <w:sz w:val="22"/>
          <w:szCs w:val="22"/>
          <w:lang w:val="fr-CH"/>
        </w:rPr>
        <w:t xml:space="preserve"> du Médiateur</w:t>
      </w:r>
      <w:r w:rsidR="008F7335" w:rsidRPr="00F13074">
        <w:rPr>
          <w:sz w:val="22"/>
          <w:szCs w:val="22"/>
          <w:lang w:val="fr-CH"/>
        </w:rPr>
        <w:t xml:space="preserve"> d’une part,</w:t>
      </w:r>
      <w:r w:rsidR="007B0ADA" w:rsidRPr="00F13074">
        <w:rPr>
          <w:sz w:val="22"/>
          <w:szCs w:val="22"/>
          <w:lang w:val="fr-CH"/>
        </w:rPr>
        <w:t xml:space="preserve"> et mettre en place un méc</w:t>
      </w:r>
      <w:r w:rsidR="008F7335" w:rsidRPr="00F13074">
        <w:rPr>
          <w:sz w:val="22"/>
          <w:szCs w:val="22"/>
          <w:lang w:val="fr-CH"/>
        </w:rPr>
        <w:t>anisme de protection équivalent</w:t>
      </w:r>
      <w:r w:rsidR="007B0ADA" w:rsidRPr="00F13074">
        <w:rPr>
          <w:sz w:val="22"/>
          <w:szCs w:val="22"/>
          <w:lang w:val="fr-CH"/>
        </w:rPr>
        <w:t xml:space="preserve"> pour les treize autres régimes de sanctions</w:t>
      </w:r>
      <w:r w:rsidR="008F7335" w:rsidRPr="00F13074">
        <w:rPr>
          <w:sz w:val="22"/>
          <w:szCs w:val="22"/>
          <w:lang w:val="fr-CH"/>
        </w:rPr>
        <w:t xml:space="preserve"> d’autre part</w:t>
      </w:r>
      <w:r w:rsidR="007B0ADA" w:rsidRPr="00F13074">
        <w:rPr>
          <w:sz w:val="22"/>
          <w:szCs w:val="22"/>
          <w:lang w:val="fr-CH"/>
        </w:rPr>
        <w:t xml:space="preserve">. Le 7 décembre 2018, le Groupe avait soumis des propositions </w:t>
      </w:r>
      <w:r w:rsidR="008F7335" w:rsidRPr="00F13074">
        <w:rPr>
          <w:sz w:val="22"/>
          <w:szCs w:val="22"/>
          <w:lang w:val="fr-CH"/>
        </w:rPr>
        <w:t>concernant</w:t>
      </w:r>
      <w:r w:rsidR="007B0ADA" w:rsidRPr="00F13074">
        <w:rPr>
          <w:sz w:val="22"/>
          <w:szCs w:val="22"/>
          <w:lang w:val="fr-CH"/>
        </w:rPr>
        <w:t xml:space="preserve"> l’institutionnalisation, l’indépendance et la transparence du Bureau du Médiateur. Une étude financée par la Suisse et publiée en 2018 par l’Université des Nations Unies (UNU), intitulée « </w:t>
      </w:r>
      <w:r w:rsidR="007B0ADA" w:rsidRPr="00F13074">
        <w:rPr>
          <w:i/>
          <w:sz w:val="22"/>
          <w:szCs w:val="22"/>
          <w:lang w:val="fr-CH"/>
        </w:rPr>
        <w:t>Fairly Clear Risks: Protecting UN sanctions’ legitimacy and effectiveness through fair and clear procedures</w:t>
      </w:r>
      <w:r w:rsidR="00DB614F" w:rsidRPr="00F13074">
        <w:rPr>
          <w:sz w:val="22"/>
          <w:szCs w:val="22"/>
          <w:lang w:val="fr-CH"/>
        </w:rPr>
        <w:t xml:space="preserve"> </w:t>
      </w:r>
      <w:r w:rsidR="007B0ADA" w:rsidRPr="00F13074">
        <w:rPr>
          <w:sz w:val="22"/>
          <w:szCs w:val="22"/>
          <w:lang w:val="fr-CH"/>
        </w:rPr>
        <w:t xml:space="preserve">» témoigne de l’ampleur du problème lié au manque de garanties procédurales et propose une nouvelle approche pour renforcer </w:t>
      </w:r>
      <w:r w:rsidR="008F7335" w:rsidRPr="00F13074">
        <w:rPr>
          <w:sz w:val="22"/>
          <w:szCs w:val="22"/>
          <w:lang w:val="fr-CH"/>
        </w:rPr>
        <w:t>ces dernières</w:t>
      </w:r>
      <w:r w:rsidR="007B0ADA" w:rsidRPr="00F13074">
        <w:rPr>
          <w:sz w:val="22"/>
          <w:szCs w:val="22"/>
          <w:lang w:val="fr-CH"/>
        </w:rPr>
        <w:t>. La Suisse a également organisé une retraite avec UNU et la Belgique en novembre 2019 pour explorer des solutions et la mise en place d’un s</w:t>
      </w:r>
      <w:r w:rsidR="008F7335" w:rsidRPr="00F13074">
        <w:rPr>
          <w:sz w:val="22"/>
          <w:szCs w:val="22"/>
          <w:lang w:val="fr-CH"/>
        </w:rPr>
        <w:t>ystème de protection équivalent</w:t>
      </w:r>
      <w:r w:rsidR="007B0ADA" w:rsidRPr="00F13074">
        <w:rPr>
          <w:sz w:val="22"/>
          <w:szCs w:val="22"/>
          <w:lang w:val="fr-CH"/>
        </w:rPr>
        <w:t xml:space="preserve"> à celui du </w:t>
      </w:r>
      <w:r w:rsidR="008F7335" w:rsidRPr="00F13074">
        <w:rPr>
          <w:sz w:val="22"/>
          <w:szCs w:val="22"/>
          <w:lang w:val="fr-CH"/>
        </w:rPr>
        <w:t xml:space="preserve">Bureau du </w:t>
      </w:r>
      <w:r w:rsidR="007B0ADA" w:rsidRPr="00F13074">
        <w:rPr>
          <w:sz w:val="22"/>
          <w:szCs w:val="22"/>
          <w:lang w:val="fr-CH"/>
        </w:rPr>
        <w:t>Médiateur pour tous les régimes de sanction</w:t>
      </w:r>
      <w:r w:rsidR="009210CB" w:rsidRPr="00F13074">
        <w:rPr>
          <w:sz w:val="22"/>
          <w:szCs w:val="22"/>
          <w:lang w:val="fr-CH"/>
        </w:rPr>
        <w:t>s</w:t>
      </w:r>
      <w:r w:rsidR="007B0ADA" w:rsidRPr="00F13074">
        <w:rPr>
          <w:sz w:val="22"/>
          <w:szCs w:val="22"/>
          <w:lang w:val="fr-CH"/>
        </w:rPr>
        <w:t>. Des mécanismes d’examen indépendants pourraient être adapté</w:t>
      </w:r>
      <w:r w:rsidR="003E0E32" w:rsidRPr="00F13074">
        <w:rPr>
          <w:sz w:val="22"/>
          <w:szCs w:val="22"/>
          <w:lang w:val="fr-CH"/>
        </w:rPr>
        <w:t>s</w:t>
      </w:r>
      <w:r w:rsidR="007B0ADA" w:rsidRPr="00F13074">
        <w:rPr>
          <w:sz w:val="22"/>
          <w:szCs w:val="22"/>
          <w:lang w:val="fr-CH"/>
        </w:rPr>
        <w:t xml:space="preserve"> aux caractéristiques des différents types de sanctions.</w:t>
      </w:r>
    </w:p>
    <w:p w14:paraId="1F8E8B94" w14:textId="77777777" w:rsidR="00384AEF" w:rsidRPr="00F13074" w:rsidRDefault="009703C2" w:rsidP="007D49BA">
      <w:pPr>
        <w:pStyle w:val="ListParagraph"/>
        <w:numPr>
          <w:ilvl w:val="0"/>
          <w:numId w:val="1"/>
        </w:numPr>
        <w:spacing w:before="240" w:after="120" w:line="276" w:lineRule="auto"/>
        <w:ind w:left="357" w:hanging="357"/>
        <w:jc w:val="both"/>
        <w:rPr>
          <w:rFonts w:ascii="Arial" w:hAnsi="Arial" w:cs="Arial"/>
          <w:b/>
          <w:lang w:val="fr-CH"/>
        </w:rPr>
      </w:pPr>
      <w:r w:rsidRPr="00F13074">
        <w:rPr>
          <w:rFonts w:ascii="Arial" w:hAnsi="Arial" w:cs="Arial"/>
          <w:b/>
          <w:lang w:val="fr-CH"/>
        </w:rPr>
        <w:lastRenderedPageBreak/>
        <w:t>Rôle de la s</w:t>
      </w:r>
      <w:r w:rsidR="007D49BA" w:rsidRPr="00F13074">
        <w:rPr>
          <w:rFonts w:ascii="Arial" w:hAnsi="Arial" w:cs="Arial"/>
          <w:b/>
          <w:lang w:val="fr-CH"/>
        </w:rPr>
        <w:t>ociété civile</w:t>
      </w:r>
    </w:p>
    <w:p w14:paraId="3A8D5CDF" w14:textId="77777777" w:rsidR="00FB5F81" w:rsidRPr="00F13074" w:rsidRDefault="001A7571" w:rsidP="00FB5F81">
      <w:pPr>
        <w:spacing w:line="276" w:lineRule="auto"/>
        <w:jc w:val="both"/>
        <w:rPr>
          <w:sz w:val="22"/>
          <w:szCs w:val="22"/>
          <w:lang w:val="fr-CH"/>
        </w:rPr>
      </w:pPr>
      <w:r w:rsidRPr="00F13074">
        <w:rPr>
          <w:sz w:val="22"/>
          <w:szCs w:val="22"/>
          <w:lang w:val="fr-CH"/>
        </w:rPr>
        <w:t xml:space="preserve">La Suisse </w:t>
      </w:r>
      <w:r w:rsidR="00FB5F81" w:rsidRPr="00F13074">
        <w:rPr>
          <w:sz w:val="22"/>
          <w:szCs w:val="22"/>
          <w:lang w:val="fr-CH"/>
        </w:rPr>
        <w:t>s</w:t>
      </w:r>
      <w:r w:rsidRPr="00F13074">
        <w:rPr>
          <w:sz w:val="22"/>
          <w:szCs w:val="22"/>
          <w:lang w:val="fr-CH"/>
        </w:rPr>
        <w:t xml:space="preserve">ouligne la </w:t>
      </w:r>
      <w:r w:rsidR="00FB5F81" w:rsidRPr="00F13074">
        <w:rPr>
          <w:sz w:val="22"/>
          <w:szCs w:val="22"/>
          <w:lang w:val="fr-CH"/>
        </w:rPr>
        <w:t xml:space="preserve">nécessité de la consultation et de la participation des communautés touchées ou menacées par l’extrémisme violent </w:t>
      </w:r>
      <w:r w:rsidRPr="00F13074">
        <w:rPr>
          <w:sz w:val="22"/>
          <w:szCs w:val="22"/>
          <w:lang w:val="fr-CH"/>
        </w:rPr>
        <w:t xml:space="preserve">et le terrorisme </w:t>
      </w:r>
      <w:r w:rsidR="00FB5F81" w:rsidRPr="00F13074">
        <w:rPr>
          <w:sz w:val="22"/>
          <w:szCs w:val="22"/>
          <w:lang w:val="fr-CH"/>
        </w:rPr>
        <w:t>dans l’élaboration et la mise en œuvre de mesures de prévention</w:t>
      </w:r>
      <w:r w:rsidRPr="00F13074">
        <w:rPr>
          <w:sz w:val="22"/>
          <w:szCs w:val="22"/>
          <w:lang w:val="fr-CH"/>
        </w:rPr>
        <w:t xml:space="preserve"> et de lutte contre le terrorisme, aussi bien sur le plan international que sur le plan national</w:t>
      </w:r>
      <w:r w:rsidR="00FB5F81" w:rsidRPr="00F13074">
        <w:rPr>
          <w:sz w:val="22"/>
          <w:szCs w:val="22"/>
          <w:lang w:val="fr-CH"/>
        </w:rPr>
        <w:t>.</w:t>
      </w:r>
    </w:p>
    <w:p w14:paraId="5C30A203" w14:textId="77777777" w:rsidR="00C23ED3" w:rsidRPr="00F13074" w:rsidRDefault="00C23ED3" w:rsidP="00FB5F81">
      <w:pPr>
        <w:spacing w:line="276" w:lineRule="auto"/>
        <w:jc w:val="both"/>
        <w:rPr>
          <w:sz w:val="22"/>
          <w:szCs w:val="22"/>
          <w:lang w:val="fr-CH"/>
        </w:rPr>
      </w:pPr>
    </w:p>
    <w:p w14:paraId="50C44679" w14:textId="2FE959A3" w:rsidR="00C23ED3" w:rsidRPr="00F13074" w:rsidRDefault="001A7571" w:rsidP="001A7571">
      <w:pPr>
        <w:spacing w:line="276" w:lineRule="auto"/>
        <w:jc w:val="both"/>
        <w:rPr>
          <w:sz w:val="22"/>
          <w:szCs w:val="22"/>
          <w:lang w:val="fr-CH"/>
        </w:rPr>
      </w:pPr>
      <w:r w:rsidRPr="00F13074">
        <w:rPr>
          <w:sz w:val="22"/>
          <w:szCs w:val="22"/>
          <w:lang w:val="fr-CH"/>
        </w:rPr>
        <w:t>Sur le plan international</w:t>
      </w:r>
      <w:r w:rsidR="00656ECA" w:rsidRPr="00F13074">
        <w:rPr>
          <w:sz w:val="22"/>
          <w:szCs w:val="22"/>
          <w:lang w:val="fr-CH"/>
        </w:rPr>
        <w:t>, la Suisse a récemment soutenu</w:t>
      </w:r>
      <w:r w:rsidRPr="00F13074">
        <w:rPr>
          <w:sz w:val="22"/>
          <w:szCs w:val="22"/>
          <w:lang w:val="fr-CH"/>
        </w:rPr>
        <w:t xml:space="preserve"> l’élaboration d’une stratégie par le Bureau de lutte contre le terrorisme </w:t>
      </w:r>
      <w:r w:rsidR="005574AE" w:rsidRPr="00F13074">
        <w:rPr>
          <w:sz w:val="22"/>
          <w:szCs w:val="22"/>
          <w:lang w:val="fr-CH"/>
        </w:rPr>
        <w:t>de l’ONU</w:t>
      </w:r>
      <w:r w:rsidRPr="00F13074">
        <w:rPr>
          <w:sz w:val="22"/>
          <w:szCs w:val="22"/>
          <w:lang w:val="fr-CH"/>
        </w:rPr>
        <w:t xml:space="preserve"> (OCT) pour l’engagement des acteurs de la société civile</w:t>
      </w:r>
      <w:r w:rsidR="00656ECA" w:rsidRPr="00F13074">
        <w:rPr>
          <w:sz w:val="22"/>
          <w:szCs w:val="22"/>
          <w:lang w:val="fr-CH"/>
        </w:rPr>
        <w:t xml:space="preserve"> (</w:t>
      </w:r>
      <w:r w:rsidR="00656ECA" w:rsidRPr="00F13074">
        <w:rPr>
          <w:i/>
          <w:sz w:val="22"/>
          <w:szCs w:val="22"/>
          <w:lang w:val="fr-CH"/>
        </w:rPr>
        <w:t>CSO-Strategy</w:t>
      </w:r>
      <w:r w:rsidR="00656ECA" w:rsidRPr="00F13074">
        <w:rPr>
          <w:sz w:val="22"/>
          <w:szCs w:val="22"/>
          <w:lang w:val="fr-CH"/>
        </w:rPr>
        <w:t>)</w:t>
      </w:r>
      <w:r w:rsidRPr="00F13074">
        <w:rPr>
          <w:sz w:val="22"/>
          <w:szCs w:val="22"/>
          <w:lang w:val="fr-CH"/>
        </w:rPr>
        <w:t xml:space="preserve">. </w:t>
      </w:r>
      <w:r w:rsidR="00783ACE" w:rsidRPr="00F13074">
        <w:rPr>
          <w:sz w:val="22"/>
          <w:szCs w:val="22"/>
          <w:lang w:val="fr-CH"/>
        </w:rPr>
        <w:t>R</w:t>
      </w:r>
      <w:r w:rsidRPr="00F13074">
        <w:rPr>
          <w:sz w:val="22"/>
          <w:szCs w:val="22"/>
          <w:lang w:val="fr-CH"/>
        </w:rPr>
        <w:t xml:space="preserve">appelons que le Pilier 1 de la </w:t>
      </w:r>
      <w:r w:rsidR="00A97D2A" w:rsidRPr="00F13074">
        <w:rPr>
          <w:sz w:val="22"/>
          <w:szCs w:val="22"/>
          <w:lang w:val="fr-CH"/>
        </w:rPr>
        <w:t>GCTS</w:t>
      </w:r>
      <w:r w:rsidRPr="00F13074">
        <w:rPr>
          <w:sz w:val="22"/>
          <w:szCs w:val="22"/>
          <w:lang w:val="fr-CH"/>
        </w:rPr>
        <w:t xml:space="preserve"> </w:t>
      </w:r>
      <w:r w:rsidR="00783ACE" w:rsidRPr="00F13074">
        <w:rPr>
          <w:sz w:val="22"/>
          <w:szCs w:val="22"/>
          <w:lang w:val="fr-CH"/>
        </w:rPr>
        <w:t xml:space="preserve">implique </w:t>
      </w:r>
      <w:r w:rsidRPr="00F13074">
        <w:rPr>
          <w:sz w:val="22"/>
          <w:szCs w:val="22"/>
          <w:lang w:val="fr-CH"/>
        </w:rPr>
        <w:t>une approche multi</w:t>
      </w:r>
      <w:r w:rsidR="00783ACE" w:rsidRPr="00F13074">
        <w:rPr>
          <w:sz w:val="22"/>
          <w:szCs w:val="22"/>
          <w:lang w:val="fr-CH"/>
        </w:rPr>
        <w:t>-</w:t>
      </w:r>
      <w:r w:rsidRPr="00F13074">
        <w:rPr>
          <w:sz w:val="22"/>
          <w:szCs w:val="22"/>
          <w:lang w:val="fr-CH"/>
        </w:rPr>
        <w:t>acteurs et le dialogue entre les responsables publics et les citoyens</w:t>
      </w:r>
      <w:r w:rsidR="00783ACE" w:rsidRPr="00F13074">
        <w:rPr>
          <w:sz w:val="22"/>
          <w:szCs w:val="22"/>
          <w:lang w:val="fr-CH"/>
        </w:rPr>
        <w:t>, plaçant</w:t>
      </w:r>
      <w:r w:rsidR="00A97D2A" w:rsidRPr="00F13074">
        <w:rPr>
          <w:sz w:val="22"/>
          <w:szCs w:val="22"/>
          <w:lang w:val="fr-CH"/>
        </w:rPr>
        <w:t xml:space="preserve"> </w:t>
      </w:r>
      <w:r w:rsidRPr="00F13074">
        <w:rPr>
          <w:sz w:val="22"/>
          <w:szCs w:val="22"/>
          <w:lang w:val="fr-CH"/>
        </w:rPr>
        <w:t xml:space="preserve">la prévention </w:t>
      </w:r>
      <w:r w:rsidR="008F1F52" w:rsidRPr="00F13074">
        <w:rPr>
          <w:sz w:val="22"/>
          <w:szCs w:val="22"/>
          <w:lang w:val="fr-CH"/>
        </w:rPr>
        <w:t xml:space="preserve">comme un élément essentiel pour </w:t>
      </w:r>
      <w:r w:rsidR="00C23ED3" w:rsidRPr="00F13074">
        <w:rPr>
          <w:sz w:val="22"/>
          <w:szCs w:val="22"/>
          <w:lang w:val="fr-CH"/>
        </w:rPr>
        <w:t>éradiquer l</w:t>
      </w:r>
      <w:r w:rsidRPr="00F13074">
        <w:rPr>
          <w:sz w:val="22"/>
          <w:szCs w:val="22"/>
          <w:lang w:val="fr-CH"/>
        </w:rPr>
        <w:t>es causes du terrorisme</w:t>
      </w:r>
      <w:r w:rsidR="00C23ED3" w:rsidRPr="00F13074">
        <w:rPr>
          <w:sz w:val="22"/>
          <w:szCs w:val="22"/>
          <w:lang w:val="fr-CH"/>
        </w:rPr>
        <w:t>. Qu</w:t>
      </w:r>
      <w:r w:rsidR="00701589" w:rsidRPr="00F13074">
        <w:rPr>
          <w:sz w:val="22"/>
          <w:szCs w:val="22"/>
          <w:lang w:val="fr-CH"/>
        </w:rPr>
        <w:t>ant au P</w:t>
      </w:r>
      <w:r w:rsidR="00C23ED3" w:rsidRPr="00F13074">
        <w:rPr>
          <w:sz w:val="22"/>
          <w:szCs w:val="22"/>
          <w:lang w:val="fr-CH"/>
        </w:rPr>
        <w:t>ilier 4</w:t>
      </w:r>
      <w:r w:rsidRPr="00F13074">
        <w:rPr>
          <w:sz w:val="22"/>
          <w:szCs w:val="22"/>
          <w:lang w:val="fr-CH"/>
        </w:rPr>
        <w:t xml:space="preserve">, </w:t>
      </w:r>
      <w:r w:rsidR="00C23ED3" w:rsidRPr="00F13074">
        <w:rPr>
          <w:sz w:val="22"/>
          <w:szCs w:val="22"/>
          <w:lang w:val="fr-CH"/>
        </w:rPr>
        <w:t>il promeut une approche de lutte contre le terrorisme</w:t>
      </w:r>
      <w:r w:rsidR="00656ECA" w:rsidRPr="00F13074">
        <w:rPr>
          <w:sz w:val="22"/>
          <w:szCs w:val="22"/>
          <w:lang w:val="fr-CH"/>
        </w:rPr>
        <w:t xml:space="preserve"> </w:t>
      </w:r>
      <w:r w:rsidR="00FE1487">
        <w:rPr>
          <w:sz w:val="22"/>
          <w:szCs w:val="22"/>
          <w:lang w:val="fr-CH"/>
        </w:rPr>
        <w:t xml:space="preserve">qui soit </w:t>
      </w:r>
      <w:r w:rsidR="00656ECA" w:rsidRPr="00F13074">
        <w:rPr>
          <w:sz w:val="22"/>
          <w:szCs w:val="22"/>
          <w:lang w:val="fr-CH"/>
        </w:rPr>
        <w:t>respect</w:t>
      </w:r>
      <w:r w:rsidR="00C23ED3" w:rsidRPr="00F13074">
        <w:rPr>
          <w:sz w:val="22"/>
          <w:szCs w:val="22"/>
          <w:lang w:val="fr-CH"/>
        </w:rPr>
        <w:t>ueuse</w:t>
      </w:r>
      <w:r w:rsidR="00656ECA" w:rsidRPr="00F13074">
        <w:rPr>
          <w:sz w:val="22"/>
          <w:szCs w:val="22"/>
          <w:lang w:val="fr-CH"/>
        </w:rPr>
        <w:t xml:space="preserve"> </w:t>
      </w:r>
      <w:r w:rsidR="00C23ED3" w:rsidRPr="00F13074">
        <w:rPr>
          <w:sz w:val="22"/>
          <w:szCs w:val="22"/>
          <w:lang w:val="fr-CH"/>
        </w:rPr>
        <w:t>du droit international</w:t>
      </w:r>
      <w:r w:rsidR="00FB08CA" w:rsidRPr="00F13074">
        <w:rPr>
          <w:sz w:val="22"/>
          <w:szCs w:val="22"/>
          <w:lang w:val="fr-CH"/>
        </w:rPr>
        <w:t xml:space="preserve"> public</w:t>
      </w:r>
      <w:r w:rsidR="00C23ED3" w:rsidRPr="00F13074">
        <w:rPr>
          <w:sz w:val="22"/>
          <w:szCs w:val="22"/>
          <w:lang w:val="fr-CH"/>
        </w:rPr>
        <w:t xml:space="preserve"> (droit</w:t>
      </w:r>
      <w:r w:rsidR="00FB08CA" w:rsidRPr="00F13074">
        <w:rPr>
          <w:sz w:val="22"/>
          <w:szCs w:val="22"/>
          <w:lang w:val="fr-CH"/>
        </w:rPr>
        <w:t>s</w:t>
      </w:r>
      <w:r w:rsidR="00C23ED3" w:rsidRPr="00F13074">
        <w:rPr>
          <w:sz w:val="22"/>
          <w:szCs w:val="22"/>
          <w:lang w:val="fr-CH"/>
        </w:rPr>
        <w:t xml:space="preserve"> de l’homme et </w:t>
      </w:r>
      <w:r w:rsidR="00FB08CA" w:rsidRPr="00F13074">
        <w:rPr>
          <w:sz w:val="22"/>
          <w:szCs w:val="22"/>
          <w:lang w:val="fr-CH"/>
        </w:rPr>
        <w:t>DIH</w:t>
      </w:r>
      <w:r w:rsidR="00C23ED3" w:rsidRPr="00F13074">
        <w:rPr>
          <w:sz w:val="22"/>
          <w:szCs w:val="22"/>
          <w:lang w:val="fr-CH"/>
        </w:rPr>
        <w:t>)</w:t>
      </w:r>
      <w:r w:rsidR="00656ECA" w:rsidRPr="00F13074">
        <w:rPr>
          <w:sz w:val="22"/>
          <w:szCs w:val="22"/>
          <w:lang w:val="fr-CH"/>
        </w:rPr>
        <w:t xml:space="preserve"> et </w:t>
      </w:r>
      <w:r w:rsidR="00C23ED3" w:rsidRPr="00F13074">
        <w:rPr>
          <w:sz w:val="22"/>
          <w:szCs w:val="22"/>
          <w:lang w:val="fr-CH"/>
        </w:rPr>
        <w:t>de l’</w:t>
      </w:r>
      <w:r w:rsidR="00FE1487">
        <w:rPr>
          <w:sz w:val="22"/>
          <w:szCs w:val="22"/>
          <w:lang w:val="fr-CH"/>
        </w:rPr>
        <w:t>E</w:t>
      </w:r>
      <w:r w:rsidR="00C23ED3" w:rsidRPr="00F13074">
        <w:rPr>
          <w:sz w:val="22"/>
          <w:szCs w:val="22"/>
          <w:lang w:val="fr-CH"/>
        </w:rPr>
        <w:t>tat de</w:t>
      </w:r>
      <w:r w:rsidR="00656ECA" w:rsidRPr="00F13074">
        <w:rPr>
          <w:sz w:val="22"/>
          <w:szCs w:val="22"/>
          <w:lang w:val="fr-CH"/>
        </w:rPr>
        <w:t xml:space="preserve"> droit.</w:t>
      </w:r>
      <w:r w:rsidRPr="00F13074">
        <w:rPr>
          <w:sz w:val="22"/>
          <w:szCs w:val="22"/>
          <w:lang w:val="fr-CH"/>
        </w:rPr>
        <w:t xml:space="preserve"> </w:t>
      </w:r>
      <w:r w:rsidR="00C23ED3" w:rsidRPr="00F13074">
        <w:rPr>
          <w:sz w:val="22"/>
          <w:szCs w:val="22"/>
          <w:lang w:val="fr-CH"/>
        </w:rPr>
        <w:t>Ces principes fondent également l</w:t>
      </w:r>
      <w:r w:rsidRPr="00F13074">
        <w:rPr>
          <w:sz w:val="22"/>
          <w:szCs w:val="22"/>
          <w:lang w:val="fr-CH"/>
        </w:rPr>
        <w:t xml:space="preserve">a </w:t>
      </w:r>
      <w:r w:rsidR="00656ECA" w:rsidRPr="00F13074">
        <w:rPr>
          <w:i/>
          <w:sz w:val="22"/>
          <w:szCs w:val="22"/>
          <w:lang w:val="fr-CH"/>
        </w:rPr>
        <w:t>CSO-Stra</w:t>
      </w:r>
      <w:r w:rsidR="00C23ED3" w:rsidRPr="00F13074">
        <w:rPr>
          <w:i/>
          <w:sz w:val="22"/>
          <w:szCs w:val="22"/>
          <w:lang w:val="fr-CH"/>
        </w:rPr>
        <w:t>t</w:t>
      </w:r>
      <w:r w:rsidR="00656ECA" w:rsidRPr="00F13074">
        <w:rPr>
          <w:i/>
          <w:sz w:val="22"/>
          <w:szCs w:val="22"/>
          <w:lang w:val="fr-CH"/>
        </w:rPr>
        <w:t>egy</w:t>
      </w:r>
      <w:r w:rsidR="00656ECA" w:rsidRPr="00F13074">
        <w:rPr>
          <w:sz w:val="22"/>
          <w:szCs w:val="22"/>
          <w:lang w:val="fr-CH"/>
        </w:rPr>
        <w:t xml:space="preserve"> </w:t>
      </w:r>
      <w:r w:rsidR="00C23ED3" w:rsidRPr="00F13074">
        <w:rPr>
          <w:sz w:val="22"/>
          <w:szCs w:val="22"/>
          <w:lang w:val="fr-CH"/>
        </w:rPr>
        <w:t>qui</w:t>
      </w:r>
      <w:r w:rsidRPr="00F13074">
        <w:rPr>
          <w:sz w:val="22"/>
          <w:szCs w:val="22"/>
          <w:lang w:val="fr-CH"/>
        </w:rPr>
        <w:t xml:space="preserve"> se concentre sur les thématiques « droits humains, genre et jeunesse »</w:t>
      </w:r>
      <w:r w:rsidR="00C23ED3" w:rsidRPr="00F13074">
        <w:rPr>
          <w:sz w:val="22"/>
          <w:szCs w:val="22"/>
          <w:lang w:val="fr-CH"/>
        </w:rPr>
        <w:t>. La Suisse estime qu’il</w:t>
      </w:r>
      <w:r w:rsidRPr="00F13074">
        <w:rPr>
          <w:sz w:val="22"/>
          <w:szCs w:val="22"/>
          <w:lang w:val="fr-CH"/>
        </w:rPr>
        <w:t xml:space="preserve"> est essentiel qu’OCT </w:t>
      </w:r>
      <w:r w:rsidR="00C23ED3" w:rsidRPr="00F13074">
        <w:rPr>
          <w:sz w:val="22"/>
          <w:szCs w:val="22"/>
          <w:lang w:val="fr-CH"/>
        </w:rPr>
        <w:t xml:space="preserve">ainsi que </w:t>
      </w:r>
      <w:r w:rsidRPr="00F13074">
        <w:rPr>
          <w:sz w:val="22"/>
          <w:szCs w:val="22"/>
          <w:lang w:val="fr-CH"/>
        </w:rPr>
        <w:t xml:space="preserve">tous les Etats membres dédient des ressources suffisantes </w:t>
      </w:r>
      <w:r w:rsidR="009703C2" w:rsidRPr="00F13074">
        <w:rPr>
          <w:sz w:val="22"/>
          <w:szCs w:val="22"/>
          <w:lang w:val="fr-CH"/>
        </w:rPr>
        <w:t>à ces</w:t>
      </w:r>
      <w:r w:rsidRPr="00F13074">
        <w:rPr>
          <w:sz w:val="22"/>
          <w:szCs w:val="22"/>
          <w:lang w:val="fr-CH"/>
        </w:rPr>
        <w:t xml:space="preserve"> dimension</w:t>
      </w:r>
      <w:r w:rsidR="009703C2" w:rsidRPr="00F13074">
        <w:rPr>
          <w:sz w:val="22"/>
          <w:szCs w:val="22"/>
          <w:lang w:val="fr-CH"/>
        </w:rPr>
        <w:t>s</w:t>
      </w:r>
      <w:r w:rsidR="00701589" w:rsidRPr="00F13074">
        <w:rPr>
          <w:sz w:val="22"/>
          <w:szCs w:val="22"/>
          <w:lang w:val="fr-CH"/>
        </w:rPr>
        <w:t xml:space="preserve"> et en particulier au Pilier 4 de la </w:t>
      </w:r>
      <w:r w:rsidR="00FB08CA" w:rsidRPr="00F13074">
        <w:rPr>
          <w:sz w:val="22"/>
          <w:szCs w:val="22"/>
          <w:lang w:val="fr-CH"/>
        </w:rPr>
        <w:t>GCTS</w:t>
      </w:r>
      <w:r w:rsidR="008F1F52" w:rsidRPr="00F13074">
        <w:rPr>
          <w:sz w:val="22"/>
          <w:szCs w:val="22"/>
          <w:lang w:val="fr-CH"/>
        </w:rPr>
        <w:t xml:space="preserve"> afin de le renforcer et de rééquilibrer ainsi </w:t>
      </w:r>
      <w:r w:rsidR="00701589" w:rsidRPr="00F13074">
        <w:rPr>
          <w:sz w:val="22"/>
          <w:szCs w:val="22"/>
          <w:lang w:val="fr-CH"/>
        </w:rPr>
        <w:t>l’architecture onusienne</w:t>
      </w:r>
      <w:r w:rsidRPr="00F13074">
        <w:rPr>
          <w:sz w:val="22"/>
          <w:szCs w:val="22"/>
          <w:lang w:val="fr-CH"/>
        </w:rPr>
        <w:t>.</w:t>
      </w:r>
      <w:r w:rsidR="009703C2" w:rsidRPr="00F13074">
        <w:rPr>
          <w:sz w:val="22"/>
          <w:szCs w:val="22"/>
          <w:lang w:val="fr-CH"/>
        </w:rPr>
        <w:t xml:space="preserve"> A cet égard, l</w:t>
      </w:r>
      <w:r w:rsidR="00C23ED3" w:rsidRPr="00F13074">
        <w:rPr>
          <w:sz w:val="22"/>
          <w:szCs w:val="22"/>
          <w:lang w:val="fr-CH"/>
        </w:rPr>
        <w:t>a Suisse soutient le projet de</w:t>
      </w:r>
      <w:r w:rsidRPr="00F13074">
        <w:rPr>
          <w:sz w:val="22"/>
          <w:szCs w:val="22"/>
          <w:lang w:val="fr-CH"/>
        </w:rPr>
        <w:t xml:space="preserve"> création d’une entité dont la mission consistera</w:t>
      </w:r>
      <w:r w:rsidR="00A65AB2" w:rsidRPr="00F13074">
        <w:rPr>
          <w:sz w:val="22"/>
          <w:szCs w:val="22"/>
          <w:lang w:val="fr-CH"/>
        </w:rPr>
        <w:t>it</w:t>
      </w:r>
      <w:r w:rsidRPr="00F13074">
        <w:rPr>
          <w:sz w:val="22"/>
          <w:szCs w:val="22"/>
          <w:lang w:val="fr-CH"/>
        </w:rPr>
        <w:t xml:space="preserve"> à créer un pont entre les acteurs de la société civile, les entités o</w:t>
      </w:r>
      <w:r w:rsidR="00C23ED3" w:rsidRPr="00F13074">
        <w:rPr>
          <w:sz w:val="22"/>
          <w:szCs w:val="22"/>
          <w:lang w:val="fr-CH"/>
        </w:rPr>
        <w:t>nusiennes et les Etats membres.</w:t>
      </w:r>
    </w:p>
    <w:p w14:paraId="14D073B1" w14:textId="77777777" w:rsidR="00C23ED3" w:rsidRPr="00F13074" w:rsidRDefault="00C23ED3" w:rsidP="001A7571">
      <w:pPr>
        <w:spacing w:line="276" w:lineRule="auto"/>
        <w:jc w:val="both"/>
        <w:rPr>
          <w:sz w:val="22"/>
          <w:szCs w:val="22"/>
          <w:lang w:val="fr-CH"/>
        </w:rPr>
      </w:pPr>
    </w:p>
    <w:p w14:paraId="1BF2F7B6" w14:textId="1B4F30D4" w:rsidR="009703C2" w:rsidRPr="00F13074" w:rsidRDefault="00C23ED3" w:rsidP="001A7571">
      <w:pPr>
        <w:spacing w:line="276" w:lineRule="auto"/>
        <w:jc w:val="both"/>
        <w:rPr>
          <w:sz w:val="22"/>
          <w:szCs w:val="22"/>
          <w:lang w:val="fr-CH"/>
        </w:rPr>
      </w:pPr>
      <w:r w:rsidRPr="00F13074">
        <w:rPr>
          <w:sz w:val="22"/>
          <w:szCs w:val="22"/>
          <w:lang w:val="fr-CH"/>
        </w:rPr>
        <w:t xml:space="preserve">Sur le plan national, </w:t>
      </w:r>
      <w:r w:rsidR="00FF3920" w:rsidRPr="00F13074">
        <w:rPr>
          <w:sz w:val="22"/>
          <w:szCs w:val="22"/>
          <w:lang w:val="fr-CH"/>
        </w:rPr>
        <w:t xml:space="preserve">le système démocratique suisse </w:t>
      </w:r>
      <w:r w:rsidR="004E68C9" w:rsidRPr="00F13074">
        <w:rPr>
          <w:sz w:val="22"/>
          <w:szCs w:val="22"/>
          <w:lang w:val="fr-CH"/>
        </w:rPr>
        <w:t>offre</w:t>
      </w:r>
      <w:r w:rsidR="00B67D43" w:rsidRPr="00F13074">
        <w:rPr>
          <w:sz w:val="22"/>
          <w:szCs w:val="22"/>
          <w:lang w:val="fr-CH"/>
        </w:rPr>
        <w:t xml:space="preserve"> aux acteurs de la société civile</w:t>
      </w:r>
      <w:r w:rsidR="004E68C9" w:rsidRPr="00F13074">
        <w:rPr>
          <w:sz w:val="22"/>
          <w:szCs w:val="22"/>
          <w:lang w:val="fr-CH"/>
        </w:rPr>
        <w:t xml:space="preserve"> l’opportunité d’une</w:t>
      </w:r>
      <w:r w:rsidRPr="00F13074">
        <w:rPr>
          <w:sz w:val="22"/>
          <w:szCs w:val="22"/>
          <w:lang w:val="fr-CH"/>
        </w:rPr>
        <w:t xml:space="preserve"> participation accrue </w:t>
      </w:r>
      <w:r w:rsidR="00B67D43" w:rsidRPr="00F13074">
        <w:rPr>
          <w:sz w:val="22"/>
          <w:szCs w:val="22"/>
          <w:lang w:val="fr-CH"/>
        </w:rPr>
        <w:t>dans le processus législatif</w:t>
      </w:r>
      <w:r w:rsidR="00FF3920" w:rsidRPr="00F13074">
        <w:rPr>
          <w:sz w:val="22"/>
          <w:szCs w:val="22"/>
          <w:lang w:val="fr-CH"/>
        </w:rPr>
        <w:t xml:space="preserve">, </w:t>
      </w:r>
      <w:r w:rsidR="004E68C9" w:rsidRPr="00F13074">
        <w:rPr>
          <w:sz w:val="22"/>
          <w:szCs w:val="22"/>
          <w:lang w:val="fr-CH"/>
        </w:rPr>
        <w:t>à l’occasion de</w:t>
      </w:r>
      <w:r w:rsidR="00FF3920" w:rsidRPr="00F13074">
        <w:rPr>
          <w:sz w:val="22"/>
          <w:szCs w:val="22"/>
          <w:lang w:val="fr-CH"/>
        </w:rPr>
        <w:t xml:space="preserve"> consultations officielles </w:t>
      </w:r>
      <w:r w:rsidR="004E68C9" w:rsidRPr="00F13074">
        <w:rPr>
          <w:sz w:val="22"/>
          <w:szCs w:val="22"/>
          <w:lang w:val="fr-CH"/>
        </w:rPr>
        <w:t xml:space="preserve">de la société civile d’une part, ainsi que lors </w:t>
      </w:r>
      <w:r w:rsidR="00FF3920" w:rsidRPr="00F13074">
        <w:rPr>
          <w:sz w:val="22"/>
          <w:szCs w:val="22"/>
          <w:lang w:val="fr-CH"/>
        </w:rPr>
        <w:t>d’</w:t>
      </w:r>
      <w:r w:rsidRPr="00F13074">
        <w:rPr>
          <w:sz w:val="22"/>
          <w:szCs w:val="22"/>
          <w:lang w:val="fr-CH"/>
        </w:rPr>
        <w:t>échange</w:t>
      </w:r>
      <w:r w:rsidR="00FF3920" w:rsidRPr="00F13074">
        <w:rPr>
          <w:sz w:val="22"/>
          <w:szCs w:val="22"/>
          <w:lang w:val="fr-CH"/>
        </w:rPr>
        <w:t>s</w:t>
      </w:r>
      <w:r w:rsidRPr="00F13074">
        <w:rPr>
          <w:sz w:val="22"/>
          <w:szCs w:val="22"/>
          <w:lang w:val="fr-CH"/>
        </w:rPr>
        <w:t xml:space="preserve"> ouvert</w:t>
      </w:r>
      <w:r w:rsidR="00FF3920" w:rsidRPr="00F13074">
        <w:rPr>
          <w:sz w:val="22"/>
          <w:szCs w:val="22"/>
          <w:lang w:val="fr-CH"/>
        </w:rPr>
        <w:t>s</w:t>
      </w:r>
      <w:r w:rsidRPr="00F13074">
        <w:rPr>
          <w:sz w:val="22"/>
          <w:szCs w:val="22"/>
          <w:lang w:val="fr-CH"/>
        </w:rPr>
        <w:t xml:space="preserve"> entre les acteurs de la société civile et le gouvernement</w:t>
      </w:r>
      <w:r w:rsidR="00FF3920" w:rsidRPr="00F13074">
        <w:rPr>
          <w:sz w:val="22"/>
          <w:szCs w:val="22"/>
          <w:lang w:val="fr-CH"/>
        </w:rPr>
        <w:t xml:space="preserve"> </w:t>
      </w:r>
      <w:r w:rsidR="004E68C9" w:rsidRPr="00F13074">
        <w:rPr>
          <w:sz w:val="22"/>
          <w:szCs w:val="22"/>
          <w:lang w:val="fr-CH"/>
        </w:rPr>
        <w:t>d’autre part. Ces échanges permettent la tenue de discussions approfondies</w:t>
      </w:r>
      <w:r w:rsidR="00B67D43" w:rsidRPr="00F13074">
        <w:rPr>
          <w:sz w:val="22"/>
          <w:szCs w:val="22"/>
          <w:lang w:val="fr-CH"/>
        </w:rPr>
        <w:t xml:space="preserve"> </w:t>
      </w:r>
      <w:r w:rsidR="005E2E41" w:rsidRPr="00F13074">
        <w:rPr>
          <w:sz w:val="22"/>
          <w:szCs w:val="22"/>
          <w:lang w:val="fr-CH"/>
        </w:rPr>
        <w:t xml:space="preserve">concernant, </w:t>
      </w:r>
      <w:r w:rsidR="00B67D43" w:rsidRPr="00F13074">
        <w:rPr>
          <w:sz w:val="22"/>
          <w:szCs w:val="22"/>
          <w:lang w:val="fr-CH"/>
        </w:rPr>
        <w:t>entre autre</w:t>
      </w:r>
      <w:r w:rsidR="005E2E41" w:rsidRPr="00F13074">
        <w:rPr>
          <w:sz w:val="22"/>
          <w:szCs w:val="22"/>
          <w:lang w:val="fr-CH"/>
        </w:rPr>
        <w:t>s,</w:t>
      </w:r>
      <w:r w:rsidR="00B67D43" w:rsidRPr="00F13074">
        <w:rPr>
          <w:sz w:val="22"/>
          <w:szCs w:val="22"/>
          <w:lang w:val="fr-CH"/>
        </w:rPr>
        <w:t xml:space="preserve"> </w:t>
      </w:r>
      <w:r w:rsidR="00FF3920" w:rsidRPr="00F13074">
        <w:rPr>
          <w:sz w:val="22"/>
          <w:szCs w:val="22"/>
          <w:lang w:val="fr-CH"/>
        </w:rPr>
        <w:t>la thématique</w:t>
      </w:r>
      <w:r w:rsidR="009703C2" w:rsidRPr="00F13074">
        <w:rPr>
          <w:sz w:val="22"/>
          <w:szCs w:val="22"/>
          <w:lang w:val="fr-CH"/>
        </w:rPr>
        <w:t xml:space="preserve"> du respect </w:t>
      </w:r>
      <w:r w:rsidR="00FF3920" w:rsidRPr="00F13074">
        <w:rPr>
          <w:sz w:val="22"/>
          <w:szCs w:val="22"/>
          <w:lang w:val="fr-CH"/>
        </w:rPr>
        <w:t>du droit international public d</w:t>
      </w:r>
      <w:r w:rsidR="009703C2" w:rsidRPr="00F13074">
        <w:rPr>
          <w:sz w:val="22"/>
          <w:szCs w:val="22"/>
          <w:lang w:val="fr-CH"/>
        </w:rPr>
        <w:t>ans le cadre d</w:t>
      </w:r>
      <w:r w:rsidR="00FF3920" w:rsidRPr="00F13074">
        <w:rPr>
          <w:sz w:val="22"/>
          <w:szCs w:val="22"/>
          <w:lang w:val="fr-CH"/>
        </w:rPr>
        <w:t>e la lutte contre le terrorisme.</w:t>
      </w:r>
      <w:r w:rsidR="009703C2" w:rsidRPr="00F13074">
        <w:rPr>
          <w:sz w:val="22"/>
          <w:szCs w:val="22"/>
          <w:lang w:val="fr-CH"/>
        </w:rPr>
        <w:t xml:space="preserve"> </w:t>
      </w:r>
    </w:p>
    <w:p w14:paraId="39623684" w14:textId="55315C63" w:rsidR="00FB5F81" w:rsidRPr="00F13074" w:rsidRDefault="00FB5F81" w:rsidP="00FF3920">
      <w:pPr>
        <w:spacing w:before="160" w:after="120" w:line="276" w:lineRule="auto"/>
        <w:rPr>
          <w:rFonts w:cs="Arial"/>
          <w:sz w:val="22"/>
          <w:szCs w:val="22"/>
          <w:lang w:val="fr-CH"/>
        </w:rPr>
      </w:pPr>
    </w:p>
    <w:sectPr w:rsidR="00FB5F81" w:rsidRPr="00F13074" w:rsidSect="00E015B7">
      <w:headerReference w:type="default" r:id="rId8"/>
      <w:footerReference w:type="default" r:id="rId9"/>
      <w:headerReference w:type="first" r:id="rId10"/>
      <w:pgSz w:w="11907" w:h="16840" w:code="9"/>
      <w:pgMar w:top="1701" w:right="1134" w:bottom="907" w:left="1701" w:header="680" w:footer="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063AB" w14:textId="77777777" w:rsidR="00EC48F7" w:rsidRDefault="00EC48F7">
      <w:pPr>
        <w:spacing w:line="240" w:lineRule="auto"/>
      </w:pPr>
      <w:r>
        <w:separator/>
      </w:r>
    </w:p>
  </w:endnote>
  <w:endnote w:type="continuationSeparator" w:id="0">
    <w:p w14:paraId="3F9B1FDF" w14:textId="77777777" w:rsidR="00EC48F7" w:rsidRDefault="00EC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4" w:type="dxa"/>
      <w:tblLayout w:type="fixed"/>
      <w:tblLook w:val="01E0" w:firstRow="1" w:lastRow="1" w:firstColumn="1" w:lastColumn="1" w:noHBand="0" w:noVBand="0"/>
    </w:tblPr>
    <w:tblGrid>
      <w:gridCol w:w="9894"/>
    </w:tblGrid>
    <w:tr w:rsidR="0069685B" w:rsidRPr="00D33E17" w14:paraId="1D9E872B" w14:textId="77777777" w:rsidTr="00C3538E">
      <w:trPr>
        <w:cantSplit/>
      </w:trPr>
      <w:tc>
        <w:tcPr>
          <w:tcW w:w="9894" w:type="dxa"/>
          <w:vAlign w:val="bottom"/>
        </w:tcPr>
        <w:p w14:paraId="1FABD1DB" w14:textId="3C60CB54" w:rsidR="0069685B" w:rsidRPr="00D33E17" w:rsidRDefault="0069685B">
          <w:pPr>
            <w:pStyle w:val="Seite"/>
          </w:pPr>
          <w:r>
            <w:fldChar w:fldCharType="begin"/>
          </w:r>
          <w:r>
            <w:instrText xml:space="preserve"> PAGE  </w:instrText>
          </w:r>
          <w:r>
            <w:fldChar w:fldCharType="separate"/>
          </w:r>
          <w:r w:rsidR="00582D7B">
            <w:rPr>
              <w:noProof/>
            </w:rPr>
            <w:t>3</w:t>
          </w:r>
          <w:r>
            <w:rPr>
              <w:noProof/>
            </w:rPr>
            <w:fldChar w:fldCharType="end"/>
          </w:r>
          <w:r w:rsidRPr="00D33E17">
            <w:t>/</w:t>
          </w:r>
          <w:r>
            <w:fldChar w:fldCharType="begin"/>
          </w:r>
          <w:r>
            <w:instrText xml:space="preserve"> NUMPAGES  </w:instrText>
          </w:r>
          <w:r>
            <w:fldChar w:fldCharType="separate"/>
          </w:r>
          <w:r w:rsidR="00582D7B">
            <w:rPr>
              <w:noProof/>
            </w:rPr>
            <w:t>4</w:t>
          </w:r>
          <w:r>
            <w:rPr>
              <w:noProof/>
            </w:rPr>
            <w:fldChar w:fldCharType="end"/>
          </w:r>
        </w:p>
      </w:tc>
    </w:tr>
  </w:tbl>
  <w:p w14:paraId="65B43078" w14:textId="77777777" w:rsidR="0069685B" w:rsidRPr="00CD5B06" w:rsidRDefault="0069685B">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5C27" w14:textId="77777777" w:rsidR="00EC48F7" w:rsidRDefault="00EC48F7">
      <w:pPr>
        <w:spacing w:line="240" w:lineRule="auto"/>
      </w:pPr>
      <w:r>
        <w:separator/>
      </w:r>
    </w:p>
  </w:footnote>
  <w:footnote w:type="continuationSeparator" w:id="0">
    <w:p w14:paraId="0AB87CD9" w14:textId="77777777" w:rsidR="00EC48F7" w:rsidRDefault="00EC48F7">
      <w:pPr>
        <w:spacing w:line="240" w:lineRule="auto"/>
      </w:pPr>
      <w:r>
        <w:continuationSeparator/>
      </w:r>
    </w:p>
  </w:footnote>
  <w:footnote w:id="1">
    <w:p w14:paraId="69B50E26" w14:textId="2BD60AC5" w:rsidR="00CF76DD" w:rsidRPr="00B45A92" w:rsidRDefault="00CF76DD" w:rsidP="00CF76DD">
      <w:pPr>
        <w:pStyle w:val="FootnoteText"/>
        <w:jc w:val="both"/>
        <w:rPr>
          <w:rFonts w:ascii="Arial" w:hAnsi="Arial" w:cs="Arial"/>
          <w:sz w:val="16"/>
          <w:szCs w:val="16"/>
          <w:lang w:val="fr-CH"/>
        </w:rPr>
      </w:pPr>
      <w:r w:rsidRPr="00B45A92">
        <w:rPr>
          <w:rStyle w:val="FootnoteReference"/>
          <w:rFonts w:cs="Arial"/>
          <w:sz w:val="16"/>
          <w:szCs w:val="16"/>
        </w:rPr>
        <w:footnoteRef/>
      </w:r>
      <w:r w:rsidRPr="00B45A92">
        <w:rPr>
          <w:rFonts w:ascii="Arial" w:hAnsi="Arial" w:cs="Arial"/>
          <w:sz w:val="16"/>
          <w:szCs w:val="16"/>
          <w:lang w:val="fr-CH"/>
        </w:rPr>
        <w:t xml:space="preserve"> L’article 3 commun des Conventions de Genève (CG) dispose que les organisations humanitaires peuvent offrir leurs services aux Parties au conflit. </w:t>
      </w:r>
      <w:r>
        <w:rPr>
          <w:rFonts w:ascii="Arial" w:hAnsi="Arial" w:cs="Arial"/>
          <w:sz w:val="16"/>
          <w:szCs w:val="16"/>
          <w:lang w:val="fr-CH"/>
        </w:rPr>
        <w:t xml:space="preserve">La criminalisation de l’action humanitaire est donc </w:t>
      </w:r>
      <w:r w:rsidR="00FE1487" w:rsidRPr="00FE1487">
        <w:rPr>
          <w:rFonts w:ascii="Arial" w:hAnsi="Arial" w:cs="Arial"/>
          <w:sz w:val="16"/>
          <w:szCs w:val="16"/>
          <w:lang w:val="fr-CH"/>
        </w:rPr>
        <w:t>contraire </w:t>
      </w:r>
      <w:r>
        <w:rPr>
          <w:rFonts w:ascii="Arial" w:hAnsi="Arial" w:cs="Arial"/>
          <w:sz w:val="16"/>
          <w:szCs w:val="16"/>
          <w:lang w:val="fr-CH"/>
        </w:rPr>
        <w:t xml:space="preserve">à la lettre et à l’esprit des Conventions de Genève. </w:t>
      </w:r>
      <w:r w:rsidRPr="00B45A92">
        <w:rPr>
          <w:rFonts w:ascii="Arial" w:hAnsi="Arial" w:cs="Arial"/>
          <w:sz w:val="16"/>
          <w:szCs w:val="16"/>
          <w:lang w:val="fr-CH"/>
        </w:rPr>
        <w:t>La criminalisation des activités de caractère médical est explicit</w:t>
      </w:r>
      <w:r>
        <w:rPr>
          <w:rFonts w:ascii="Arial" w:hAnsi="Arial" w:cs="Arial"/>
          <w:sz w:val="16"/>
          <w:szCs w:val="16"/>
          <w:lang w:val="fr-CH"/>
        </w:rPr>
        <w:t>ement interdite</w:t>
      </w:r>
      <w:r w:rsidRPr="00B45A92">
        <w:rPr>
          <w:rFonts w:ascii="Arial" w:hAnsi="Arial" w:cs="Arial"/>
          <w:sz w:val="16"/>
          <w:szCs w:val="16"/>
          <w:lang w:val="fr-CH"/>
        </w:rPr>
        <w:t xml:space="preserve"> par le DIH (art. 18(3) CG I ; art. 16(1) and 17(1) du Protocole addition</w:t>
      </w:r>
      <w:r>
        <w:rPr>
          <w:rFonts w:ascii="Arial" w:hAnsi="Arial" w:cs="Arial"/>
          <w:sz w:val="16"/>
          <w:szCs w:val="16"/>
          <w:lang w:val="fr-CH"/>
        </w:rPr>
        <w:t xml:space="preserve">nel I aux Conventions de Genève ; art. 10(1) du Protocole additionnel II aux Conventions de Genève (PA II) ; règle 26 de l’étude du CICR sur le DIH coutumier. </w:t>
      </w:r>
    </w:p>
  </w:footnote>
  <w:footnote w:id="2">
    <w:p w14:paraId="61ECAD55" w14:textId="77777777" w:rsidR="00CF76DD" w:rsidRPr="002F4C71" w:rsidRDefault="00CF76DD" w:rsidP="00CF76DD">
      <w:pPr>
        <w:pStyle w:val="FootnoteText"/>
        <w:jc w:val="both"/>
        <w:rPr>
          <w:rFonts w:ascii="Arial" w:hAnsi="Arial" w:cs="Arial"/>
          <w:sz w:val="16"/>
          <w:szCs w:val="16"/>
          <w:lang w:val="fr-CH"/>
        </w:rPr>
      </w:pPr>
      <w:r w:rsidRPr="005C03C0">
        <w:rPr>
          <w:rStyle w:val="FootnoteReference"/>
          <w:rFonts w:cs="Arial"/>
          <w:sz w:val="16"/>
          <w:szCs w:val="16"/>
        </w:rPr>
        <w:footnoteRef/>
      </w:r>
      <w:r w:rsidRPr="00B45A92">
        <w:rPr>
          <w:rFonts w:ascii="Arial" w:hAnsi="Arial" w:cs="Arial"/>
          <w:sz w:val="16"/>
          <w:szCs w:val="16"/>
          <w:lang w:val="fr-CH"/>
        </w:rPr>
        <w:t xml:space="preserve"> L’article 6(5) </w:t>
      </w:r>
      <w:r>
        <w:rPr>
          <w:rFonts w:ascii="Arial" w:hAnsi="Arial" w:cs="Arial"/>
          <w:sz w:val="16"/>
          <w:szCs w:val="16"/>
          <w:lang w:val="fr-CH"/>
        </w:rPr>
        <w:t xml:space="preserve">PA II </w:t>
      </w:r>
      <w:r w:rsidRPr="00B45A92">
        <w:rPr>
          <w:rFonts w:ascii="Arial" w:hAnsi="Arial" w:cs="Arial"/>
          <w:sz w:val="16"/>
          <w:szCs w:val="16"/>
          <w:lang w:val="fr-CH"/>
        </w:rPr>
        <w:t>dispose qu’</w:t>
      </w:r>
      <w:r>
        <w:rPr>
          <w:rFonts w:ascii="Arial" w:hAnsi="Arial" w:cs="Arial"/>
          <w:sz w:val="16"/>
          <w:szCs w:val="16"/>
          <w:lang w:val="fr-CH"/>
        </w:rPr>
        <w:t> « </w:t>
      </w:r>
      <w:r w:rsidRPr="00B45A92">
        <w:rPr>
          <w:rFonts w:ascii="Arial" w:hAnsi="Arial" w:cs="Arial"/>
          <w:sz w:val="16"/>
          <w:szCs w:val="16"/>
          <w:lang w:val="fr-CH"/>
        </w:rPr>
        <w:t xml:space="preserve">[à] la fin des </w:t>
      </w:r>
      <w:r>
        <w:rPr>
          <w:rFonts w:ascii="Arial" w:hAnsi="Arial" w:cs="Arial"/>
          <w:sz w:val="16"/>
          <w:szCs w:val="16"/>
          <w:lang w:val="fr-CH"/>
        </w:rPr>
        <w:t>hostilités, les autorités au pouvoir s’efforceront d’accorder la plus large amnistie possible aux personnes qui auront pris part au conflit armé (… ». La règle 159 de l’étude du CICR sur le DIH coutumier précise toutefois que de telles amnisties ne doivent pas être octroyées aux « personnes soupçonnées ou accusées de crimes de guerre ou condamnées pour crimes de guerre. »</w:t>
      </w:r>
    </w:p>
  </w:footnote>
  <w:footnote w:id="3">
    <w:p w14:paraId="4FC27470" w14:textId="2C4C541B" w:rsidR="00CF76DD" w:rsidRPr="00323435" w:rsidRDefault="00CF76DD" w:rsidP="00CF76DD">
      <w:pPr>
        <w:pStyle w:val="FootnoteText"/>
        <w:jc w:val="both"/>
        <w:rPr>
          <w:rFonts w:ascii="Arial" w:hAnsi="Arial" w:cs="Arial"/>
          <w:sz w:val="16"/>
          <w:szCs w:val="16"/>
          <w:lang w:val="fr-CH"/>
        </w:rPr>
      </w:pPr>
      <w:r w:rsidRPr="00323435">
        <w:rPr>
          <w:rStyle w:val="FootnoteReference"/>
          <w:rFonts w:cs="Arial"/>
          <w:sz w:val="16"/>
          <w:szCs w:val="16"/>
        </w:rPr>
        <w:footnoteRef/>
      </w:r>
      <w:r w:rsidRPr="00323435">
        <w:rPr>
          <w:rFonts w:ascii="Arial" w:hAnsi="Arial" w:cs="Arial"/>
          <w:sz w:val="16"/>
          <w:szCs w:val="16"/>
          <w:lang w:val="fr-CH"/>
        </w:rPr>
        <w:t xml:space="preserve"> Pour plus d’informations sur les effets d’un tel amalgame dans la pratique, voir notamment le rapport publié par </w:t>
      </w:r>
      <w:r w:rsidR="00FE1487">
        <w:rPr>
          <w:rFonts w:ascii="Arial" w:hAnsi="Arial" w:cs="Arial"/>
          <w:sz w:val="16"/>
          <w:szCs w:val="16"/>
          <w:lang w:val="fr-CH"/>
        </w:rPr>
        <w:t xml:space="preserve">le </w:t>
      </w:r>
      <w:r w:rsidRPr="00323435">
        <w:rPr>
          <w:rFonts w:ascii="Arial" w:hAnsi="Arial" w:cs="Arial"/>
          <w:sz w:val="16"/>
          <w:szCs w:val="16"/>
          <w:lang w:val="fr-CH"/>
        </w:rPr>
        <w:t>CICR à l’occasion de la 31</w:t>
      </w:r>
      <w:r w:rsidRPr="00323435">
        <w:rPr>
          <w:rFonts w:ascii="Arial" w:hAnsi="Arial" w:cs="Arial"/>
          <w:sz w:val="16"/>
          <w:szCs w:val="16"/>
          <w:vertAlign w:val="superscript"/>
          <w:lang w:val="fr-CH"/>
        </w:rPr>
        <w:t>ème</w:t>
      </w:r>
      <w:r w:rsidRPr="00323435">
        <w:rPr>
          <w:rFonts w:ascii="Arial" w:hAnsi="Arial" w:cs="Arial"/>
          <w:sz w:val="16"/>
          <w:szCs w:val="16"/>
          <w:lang w:val="fr-CH"/>
        </w:rPr>
        <w:t xml:space="preserve"> conférence international</w:t>
      </w:r>
      <w:r w:rsidR="00FE1487">
        <w:rPr>
          <w:rFonts w:ascii="Arial" w:hAnsi="Arial" w:cs="Arial"/>
          <w:sz w:val="16"/>
          <w:szCs w:val="16"/>
          <w:lang w:val="fr-CH"/>
        </w:rPr>
        <w:t>e</w:t>
      </w:r>
      <w:r w:rsidRPr="00323435">
        <w:rPr>
          <w:rFonts w:ascii="Arial" w:hAnsi="Arial" w:cs="Arial"/>
          <w:sz w:val="16"/>
          <w:szCs w:val="16"/>
          <w:lang w:val="fr-CH"/>
        </w:rPr>
        <w:t xml:space="preserve"> de la Croix-Rouge et du croissant rouge, ‘International Humanitarian Law and the challenges of contemporary armed conflicts’, p. 48 et suivantes, disponible en ligne : </w:t>
      </w:r>
      <w:hyperlink r:id="rId1" w:history="1">
        <w:r w:rsidRPr="00323435">
          <w:rPr>
            <w:rStyle w:val="Hyperlink"/>
            <w:rFonts w:ascii="Arial" w:hAnsi="Arial" w:cs="Arial"/>
            <w:sz w:val="16"/>
            <w:szCs w:val="16"/>
            <w:lang w:val="fr-CH"/>
          </w:rPr>
          <w:t>https://www.icrc.org/en/doc/assets/files/red-cross-crescent-movement/31st-international-conference/31-int-conference-ihl-challenges-report-11-5-1-2-en.pdf</w:t>
        </w:r>
      </w:hyperlink>
      <w:r>
        <w:rPr>
          <w:rFonts w:ascii="Arial" w:hAnsi="Arial" w:cs="Arial"/>
          <w:sz w:val="16"/>
          <w:szCs w:val="16"/>
          <w:lang w:val="fr-CH"/>
        </w:rPr>
        <w:t>.</w:t>
      </w:r>
    </w:p>
  </w:footnote>
  <w:footnote w:id="4">
    <w:p w14:paraId="71F9CF5E" w14:textId="77777777" w:rsidR="00CF76DD" w:rsidRPr="004B6AFC" w:rsidRDefault="00CF76DD" w:rsidP="00CF76DD">
      <w:pPr>
        <w:pStyle w:val="FootnoteText"/>
        <w:rPr>
          <w:rFonts w:ascii="Arial" w:hAnsi="Arial" w:cs="Arial"/>
          <w:sz w:val="16"/>
          <w:szCs w:val="16"/>
          <w:lang w:val="fr-CH"/>
        </w:rPr>
      </w:pPr>
      <w:r w:rsidRPr="004B6AFC">
        <w:rPr>
          <w:rStyle w:val="FootnoteReference"/>
          <w:rFonts w:cs="Arial"/>
          <w:sz w:val="16"/>
          <w:szCs w:val="16"/>
        </w:rPr>
        <w:footnoteRef/>
      </w:r>
      <w:r w:rsidRPr="004B6AFC">
        <w:rPr>
          <w:rFonts w:ascii="Arial" w:hAnsi="Arial" w:cs="Arial"/>
          <w:sz w:val="16"/>
          <w:szCs w:val="16"/>
        </w:rPr>
        <w:t xml:space="preserve"> Justine Walker, </w:t>
      </w:r>
      <w:r w:rsidRPr="004B6AFC">
        <w:rPr>
          <w:rFonts w:ascii="Arial" w:hAnsi="Arial" w:cs="Arial"/>
          <w:i/>
          <w:sz w:val="16"/>
          <w:szCs w:val="16"/>
        </w:rPr>
        <w:t>‘Risk Management for Principes Guide for Sending Humanitarian Funds into Syria and Similar High-Risk Jurisdiction’</w:t>
      </w:r>
      <w:r w:rsidRPr="004B6AFC">
        <w:rPr>
          <w:rFonts w:ascii="Arial" w:hAnsi="Arial" w:cs="Arial"/>
          <w:sz w:val="16"/>
          <w:szCs w:val="16"/>
        </w:rPr>
        <w:t xml:space="preserve">, </w:t>
      </w:r>
      <w:r>
        <w:rPr>
          <w:rFonts w:ascii="Arial" w:hAnsi="Arial" w:cs="Arial"/>
          <w:sz w:val="16"/>
          <w:szCs w:val="16"/>
        </w:rPr>
        <w:t xml:space="preserve">(mai 2020), </w:t>
      </w:r>
      <w:r w:rsidRPr="004B6AFC">
        <w:rPr>
          <w:rFonts w:ascii="Arial" w:hAnsi="Arial" w:cs="Arial"/>
          <w:sz w:val="16"/>
          <w:szCs w:val="16"/>
        </w:rPr>
        <w:t xml:space="preserve">disponible en ligne: </w:t>
      </w:r>
      <w:hyperlink r:id="rId2" w:history="1">
        <w:r w:rsidRPr="00F86D7D">
          <w:rPr>
            <w:rStyle w:val="Hyperlink"/>
            <w:rFonts w:ascii="Arial" w:hAnsi="Arial" w:cs="Arial"/>
            <w:sz w:val="16"/>
            <w:szCs w:val="16"/>
          </w:rPr>
          <w:t>https://graduateinstitute.ch/sites/internet/files/2020-05/26-MAY-SYRIA-Risk%20Management%20GuideFINAL.pdf?_ga=2.166354750.1677013782.1593178731-316801190.1558975481</w:t>
        </w:r>
      </w:hyperlink>
      <w:r>
        <w:rPr>
          <w:rFonts w:ascii="Arial" w:hAnsi="Arial" w:cs="Arial"/>
          <w:sz w:val="16"/>
          <w:szCs w:val="16"/>
        </w:rPr>
        <w:t xml:space="preserve">. </w:t>
      </w:r>
      <w:r w:rsidRPr="004B6AFC">
        <w:rPr>
          <w:rFonts w:ascii="Arial" w:hAnsi="Arial" w:cs="Arial"/>
          <w:sz w:val="16"/>
          <w:szCs w:val="16"/>
          <w:lang w:val="fr-CH"/>
        </w:rPr>
        <w:t>Ce guide a été développé principalement en lien avec le context</w:t>
      </w:r>
      <w:r>
        <w:rPr>
          <w:rFonts w:ascii="Arial" w:hAnsi="Arial" w:cs="Arial"/>
          <w:sz w:val="16"/>
          <w:szCs w:val="16"/>
          <w:lang w:val="fr-CH"/>
        </w:rPr>
        <w:t>e</w:t>
      </w:r>
      <w:r w:rsidRPr="004B6AFC">
        <w:rPr>
          <w:rFonts w:ascii="Arial" w:hAnsi="Arial" w:cs="Arial"/>
          <w:sz w:val="16"/>
          <w:szCs w:val="16"/>
          <w:lang w:val="fr-CH"/>
        </w:rPr>
        <w:t xml:space="preserve"> syrien mais offre des enseignements transférables à d’autres </w:t>
      </w:r>
      <w:r>
        <w:rPr>
          <w:rFonts w:ascii="Arial" w:hAnsi="Arial" w:cs="Arial"/>
          <w:sz w:val="16"/>
          <w:szCs w:val="16"/>
          <w:lang w:val="fr-CH"/>
        </w:rPr>
        <w:t xml:space="preserve">contextes, notamment lorsqu’il existe des mesures de lutte contre le financement du terrorisme. </w:t>
      </w:r>
    </w:p>
  </w:footnote>
  <w:footnote w:id="5">
    <w:p w14:paraId="17952B75" w14:textId="380910B9" w:rsidR="00CF76DD" w:rsidRPr="00EF25FA" w:rsidRDefault="00CF76DD" w:rsidP="00CF76DD">
      <w:pPr>
        <w:pStyle w:val="FootnoteText"/>
        <w:rPr>
          <w:rFonts w:ascii="Arial" w:hAnsi="Arial" w:cs="Arial"/>
          <w:sz w:val="16"/>
          <w:szCs w:val="16"/>
          <w:lang w:val="fr-CH"/>
        </w:rPr>
      </w:pPr>
      <w:r w:rsidRPr="00EF25FA">
        <w:rPr>
          <w:rStyle w:val="FootnoteReference"/>
          <w:rFonts w:cs="Arial"/>
          <w:sz w:val="16"/>
          <w:szCs w:val="16"/>
        </w:rPr>
        <w:footnoteRef/>
      </w:r>
      <w:r w:rsidRPr="00EF25FA">
        <w:rPr>
          <w:rFonts w:ascii="Arial" w:hAnsi="Arial" w:cs="Arial"/>
          <w:sz w:val="16"/>
          <w:szCs w:val="16"/>
          <w:lang w:val="fr-CH"/>
        </w:rPr>
        <w:t xml:space="preserve"> Article 260quinquies du code pénal </w:t>
      </w:r>
      <w:r w:rsidR="00FE1487">
        <w:rPr>
          <w:rFonts w:ascii="Arial" w:hAnsi="Arial" w:cs="Arial"/>
          <w:sz w:val="16"/>
          <w:szCs w:val="16"/>
          <w:lang w:val="fr-CH"/>
        </w:rPr>
        <w:t>s</w:t>
      </w:r>
      <w:r w:rsidRPr="00EF25FA">
        <w:rPr>
          <w:rFonts w:ascii="Arial" w:hAnsi="Arial" w:cs="Arial"/>
          <w:sz w:val="16"/>
          <w:szCs w:val="16"/>
          <w:lang w:val="fr-CH"/>
        </w:rPr>
        <w:t>uisse</w:t>
      </w:r>
      <w:r>
        <w:rPr>
          <w:rFonts w:ascii="Arial" w:hAnsi="Arial" w:cs="Arial"/>
          <w:sz w:val="16"/>
          <w:szCs w:val="16"/>
          <w:lang w:val="fr-CH"/>
        </w:rPr>
        <w:t>. Il dispose qu’il « ne s’applique pas si le financement est destiné à soutenir des actes qui ne sont pas en contradiction avec les règles du droit international applicable en cas de conflit armé. » (Art. 260 quinquies alinéa 4).</w:t>
      </w:r>
    </w:p>
  </w:footnote>
  <w:footnote w:id="6">
    <w:p w14:paraId="2CB5E8D5" w14:textId="3E019A35" w:rsidR="00F13074" w:rsidRPr="00EF25FA" w:rsidRDefault="00CF76DD" w:rsidP="00CF76DD">
      <w:pPr>
        <w:pStyle w:val="FootnoteText"/>
        <w:rPr>
          <w:rFonts w:ascii="Arial" w:hAnsi="Arial" w:cs="Arial"/>
          <w:sz w:val="16"/>
          <w:szCs w:val="16"/>
          <w:lang w:val="fr-CH"/>
        </w:rPr>
      </w:pPr>
      <w:r w:rsidRPr="00EF25FA">
        <w:rPr>
          <w:rStyle w:val="FootnoteReference"/>
          <w:rFonts w:cs="Arial"/>
          <w:sz w:val="16"/>
          <w:szCs w:val="16"/>
        </w:rPr>
        <w:footnoteRef/>
      </w:r>
      <w:r w:rsidRPr="00EF25FA">
        <w:rPr>
          <w:rFonts w:ascii="Arial" w:hAnsi="Arial" w:cs="Arial"/>
          <w:sz w:val="16"/>
          <w:szCs w:val="16"/>
          <w:lang w:val="fr-CH"/>
        </w:rPr>
        <w:t xml:space="preserve"> </w:t>
      </w:r>
      <w:hyperlink r:id="rId3" w:history="1">
        <w:r w:rsidR="00F13074">
          <w:rPr>
            <w:rStyle w:val="Hyperlink"/>
            <w:rFonts w:ascii="Arial" w:hAnsi="Arial" w:cs="Arial"/>
            <w:sz w:val="16"/>
            <w:szCs w:val="16"/>
            <w:lang w:val="fr-CH"/>
          </w:rPr>
          <w:t>https://counter-terror-project.org/project-details-1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9" w:type="dxa"/>
      <w:tblInd w:w="-595" w:type="dxa"/>
      <w:tblLayout w:type="fixed"/>
      <w:tblLook w:val="01E0" w:firstRow="1" w:lastRow="1" w:firstColumn="1" w:lastColumn="1" w:noHBand="0" w:noVBand="0"/>
    </w:tblPr>
    <w:tblGrid>
      <w:gridCol w:w="4848"/>
      <w:gridCol w:w="4961"/>
    </w:tblGrid>
    <w:tr w:rsidR="0069685B" w14:paraId="7BADBFF8" w14:textId="77777777">
      <w:trPr>
        <w:cantSplit/>
        <w:trHeight w:hRule="exact" w:val="20"/>
      </w:trPr>
      <w:tc>
        <w:tcPr>
          <w:tcW w:w="4848" w:type="dxa"/>
        </w:tcPr>
        <w:p w14:paraId="2106A38F" w14:textId="77777777" w:rsidR="0069685B" w:rsidRPr="00E534A0" w:rsidRDefault="0069685B">
          <w:pPr>
            <w:pStyle w:val="Logo"/>
          </w:pPr>
        </w:p>
      </w:tc>
      <w:tc>
        <w:tcPr>
          <w:tcW w:w="4961" w:type="dxa"/>
        </w:tcPr>
        <w:p w14:paraId="16BD6A8F" w14:textId="77777777" w:rsidR="0069685B" w:rsidRPr="00D33E17" w:rsidRDefault="0069685B">
          <w:pPr>
            <w:pStyle w:val="Header"/>
          </w:pPr>
        </w:p>
      </w:tc>
    </w:tr>
  </w:tbl>
  <w:p w14:paraId="53AA8CFF" w14:textId="77777777" w:rsidR="0069685B" w:rsidRPr="00CE2474" w:rsidRDefault="0069685B" w:rsidP="00476CD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9" w:type="dxa"/>
      <w:tblInd w:w="-595" w:type="dxa"/>
      <w:tblLayout w:type="fixed"/>
      <w:tblLook w:val="01E0" w:firstRow="1" w:lastRow="1" w:firstColumn="1" w:lastColumn="1" w:noHBand="0" w:noVBand="0"/>
    </w:tblPr>
    <w:tblGrid>
      <w:gridCol w:w="4848"/>
      <w:gridCol w:w="4961"/>
    </w:tblGrid>
    <w:tr w:rsidR="0069685B" w:rsidRPr="0048700D" w14:paraId="26739923" w14:textId="77777777" w:rsidTr="00C57B8E">
      <w:trPr>
        <w:cantSplit/>
        <w:trHeight w:hRule="exact" w:val="1134"/>
      </w:trPr>
      <w:tc>
        <w:tcPr>
          <w:tcW w:w="4848" w:type="dxa"/>
        </w:tcPr>
        <w:p w14:paraId="3ED7D6F5" w14:textId="77777777" w:rsidR="0069685B" w:rsidRPr="00E534A0" w:rsidRDefault="0069685B">
          <w:pPr>
            <w:pStyle w:val="Logo"/>
          </w:pPr>
          <w:r>
            <w:drawing>
              <wp:inline distT="0" distB="0" distL="0" distR="0" wp14:anchorId="5F344E49" wp14:editId="74AC3E41">
                <wp:extent cx="2009775" cy="876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9775" cy="876300"/>
                        </a:xfrm>
                        <a:prstGeom prst="rect">
                          <a:avLst/>
                        </a:prstGeom>
                        <a:noFill/>
                        <a:ln w="9525">
                          <a:noFill/>
                          <a:miter lim="800000"/>
                          <a:headEnd/>
                          <a:tailEnd/>
                        </a:ln>
                      </pic:spPr>
                    </pic:pic>
                  </a:graphicData>
                </a:graphic>
              </wp:inline>
            </w:drawing>
          </w:r>
        </w:p>
      </w:tc>
      <w:tc>
        <w:tcPr>
          <w:tcW w:w="4961" w:type="dxa"/>
        </w:tcPr>
        <w:tbl>
          <w:tblPr>
            <w:tblW w:w="9809" w:type="dxa"/>
            <w:tblLayout w:type="fixed"/>
            <w:tblLook w:val="01E0" w:firstRow="1" w:lastRow="1" w:firstColumn="1" w:lastColumn="1" w:noHBand="0" w:noVBand="0"/>
          </w:tblPr>
          <w:tblGrid>
            <w:gridCol w:w="9809"/>
          </w:tblGrid>
          <w:tr w:rsidR="0069685B" w:rsidRPr="0048700D" w14:paraId="51E4CB75" w14:textId="77777777" w:rsidTr="00983042">
            <w:trPr>
              <w:cantSplit/>
              <w:trHeight w:hRule="exact" w:val="1131"/>
            </w:trPr>
            <w:tc>
              <w:tcPr>
                <w:tcW w:w="4961" w:type="dxa"/>
              </w:tcPr>
              <w:p w14:paraId="4C7C26AE" w14:textId="77777777" w:rsidR="0069685B" w:rsidRPr="0056352F" w:rsidRDefault="0069685B">
                <w:pPr>
                  <w:pStyle w:val="Header"/>
                  <w:rPr>
                    <w:lang w:val="fr-CH"/>
                  </w:rPr>
                </w:pPr>
              </w:p>
            </w:tc>
          </w:tr>
        </w:tbl>
        <w:p w14:paraId="515E3712" w14:textId="77777777" w:rsidR="0069685B" w:rsidRPr="0056352F" w:rsidRDefault="0069685B" w:rsidP="004B1784">
          <w:pPr>
            <w:pStyle w:val="Header"/>
            <w:rPr>
              <w:lang w:val="fr-CH"/>
            </w:rPr>
          </w:pPr>
        </w:p>
      </w:tc>
    </w:tr>
  </w:tbl>
  <w:p w14:paraId="3BC6A743" w14:textId="77777777" w:rsidR="0069685B" w:rsidRDefault="0069685B" w:rsidP="007A1E20">
    <w:pPr>
      <w:pStyle w:val="Header"/>
      <w:rPr>
        <w:sz w:val="18"/>
        <w:szCs w:val="18"/>
        <w:lang w:val="en-US"/>
      </w:rPr>
    </w:pPr>
  </w:p>
  <w:p w14:paraId="4F0B7D1F" w14:textId="77777777" w:rsidR="0069685B" w:rsidRDefault="0069685B" w:rsidP="005F460D">
    <w:pPr>
      <w:pStyle w:val="Header"/>
      <w:rPr>
        <w:sz w:val="18"/>
        <w:szCs w:val="18"/>
        <w:lang w:val="en-US"/>
      </w:rPr>
    </w:pPr>
  </w:p>
  <w:p w14:paraId="06CBE88E" w14:textId="5A6814C1" w:rsidR="0069685B" w:rsidRDefault="00637E8B" w:rsidP="005F460D">
    <w:pPr>
      <w:pStyle w:val="Header"/>
      <w:rPr>
        <w:sz w:val="18"/>
        <w:szCs w:val="24"/>
        <w:lang w:val="en-US"/>
      </w:rPr>
    </w:pPr>
    <w:r>
      <w:rPr>
        <w:sz w:val="18"/>
        <w:szCs w:val="18"/>
        <w:lang w:val="en-US"/>
      </w:rPr>
      <w:t>01.</w:t>
    </w:r>
    <w:r w:rsidR="0069685B" w:rsidRPr="007D49BA">
      <w:rPr>
        <w:sz w:val="18"/>
        <w:szCs w:val="18"/>
        <w:lang w:val="en-US"/>
      </w:rPr>
      <w:t>0</w:t>
    </w:r>
    <w:r>
      <w:rPr>
        <w:sz w:val="18"/>
        <w:szCs w:val="18"/>
        <w:lang w:val="en-US"/>
      </w:rPr>
      <w:t>7</w:t>
    </w:r>
    <w:r w:rsidR="0069685B" w:rsidRPr="007D49BA">
      <w:rPr>
        <w:sz w:val="18"/>
        <w:szCs w:val="18"/>
        <w:lang w:val="en-US"/>
      </w:rPr>
      <w:t>.2020</w:t>
    </w:r>
  </w:p>
  <w:p w14:paraId="57A53E57" w14:textId="77777777" w:rsidR="0069685B" w:rsidRPr="003748C2" w:rsidRDefault="0069685B" w:rsidP="005F460D">
    <w:pPr>
      <w:pStyle w:val="Header"/>
      <w:rPr>
        <w:sz w:val="18"/>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1288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43BB1"/>
    <w:multiLevelType w:val="hybridMultilevel"/>
    <w:tmpl w:val="5FFC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5725"/>
    <w:multiLevelType w:val="multilevel"/>
    <w:tmpl w:val="DD7ECF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2B35CA"/>
    <w:multiLevelType w:val="hybridMultilevel"/>
    <w:tmpl w:val="92E25B68"/>
    <w:lvl w:ilvl="0" w:tplc="F4389BA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3F5194"/>
    <w:multiLevelType w:val="hybridMultilevel"/>
    <w:tmpl w:val="12466F34"/>
    <w:lvl w:ilvl="0" w:tplc="B986EF0E">
      <w:start w:val="1"/>
      <w:numFmt w:val="bullet"/>
      <w:lvlText w:val=""/>
      <w:lvlJc w:val="left"/>
      <w:pPr>
        <w:ind w:left="716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3B76906A">
      <w:numFmt w:val="bullet"/>
      <w:lvlText w:val="–"/>
      <w:lvlJc w:val="left"/>
      <w:pPr>
        <w:ind w:left="2160" w:hanging="360"/>
      </w:pPr>
      <w:rPr>
        <w:rFonts w:ascii="Arial" w:eastAsia="Times New Roman" w:hAnsi="Arial" w:cs="Arial" w:hint="default"/>
        <w:b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51578"/>
    <w:multiLevelType w:val="multilevel"/>
    <w:tmpl w:val="50229456"/>
    <w:lvl w:ilvl="0">
      <w:start w:val="1"/>
      <w:numFmt w:val="decimal"/>
      <w:lvlText w:val="%1."/>
      <w:lvlJc w:val="left"/>
      <w:pPr>
        <w:ind w:left="360" w:hanging="360"/>
      </w:pPr>
      <w:rPr>
        <w:lang w:val="fr-CH"/>
      </w:r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B85B00"/>
    <w:multiLevelType w:val="hybridMultilevel"/>
    <w:tmpl w:val="09FC7F3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4F27502"/>
    <w:multiLevelType w:val="hybridMultilevel"/>
    <w:tmpl w:val="C49E5C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15"/>
    <w:rsid w:val="0001628A"/>
    <w:rsid w:val="000171D2"/>
    <w:rsid w:val="00031948"/>
    <w:rsid w:val="0003302B"/>
    <w:rsid w:val="0004079A"/>
    <w:rsid w:val="00042769"/>
    <w:rsid w:val="00043C33"/>
    <w:rsid w:val="00055057"/>
    <w:rsid w:val="00064C83"/>
    <w:rsid w:val="00067A1D"/>
    <w:rsid w:val="00080050"/>
    <w:rsid w:val="000855F8"/>
    <w:rsid w:val="00095FEA"/>
    <w:rsid w:val="000A066E"/>
    <w:rsid w:val="000B08BF"/>
    <w:rsid w:val="000B0986"/>
    <w:rsid w:val="000C2365"/>
    <w:rsid w:val="000D761B"/>
    <w:rsid w:val="000E3424"/>
    <w:rsid w:val="000F077F"/>
    <w:rsid w:val="000F63D6"/>
    <w:rsid w:val="0011042E"/>
    <w:rsid w:val="001175C7"/>
    <w:rsid w:val="0012120A"/>
    <w:rsid w:val="0013612D"/>
    <w:rsid w:val="00137582"/>
    <w:rsid w:val="00137E8E"/>
    <w:rsid w:val="00152CAC"/>
    <w:rsid w:val="00157DDA"/>
    <w:rsid w:val="001640DF"/>
    <w:rsid w:val="00177AB1"/>
    <w:rsid w:val="00181D22"/>
    <w:rsid w:val="00183233"/>
    <w:rsid w:val="00185226"/>
    <w:rsid w:val="001876B0"/>
    <w:rsid w:val="001920FA"/>
    <w:rsid w:val="00192274"/>
    <w:rsid w:val="001A4098"/>
    <w:rsid w:val="001A659A"/>
    <w:rsid w:val="001A6AB5"/>
    <w:rsid w:val="001A7571"/>
    <w:rsid w:val="001B34CA"/>
    <w:rsid w:val="001B60F5"/>
    <w:rsid w:val="001C01D3"/>
    <w:rsid w:val="001C5DD0"/>
    <w:rsid w:val="001C63CE"/>
    <w:rsid w:val="001C6A27"/>
    <w:rsid w:val="001D7625"/>
    <w:rsid w:val="001E5E7B"/>
    <w:rsid w:val="001E7C59"/>
    <w:rsid w:val="001F0B6F"/>
    <w:rsid w:val="002024E4"/>
    <w:rsid w:val="00210521"/>
    <w:rsid w:val="0023118D"/>
    <w:rsid w:val="00235FDA"/>
    <w:rsid w:val="00244C70"/>
    <w:rsid w:val="00246627"/>
    <w:rsid w:val="00247EC0"/>
    <w:rsid w:val="00251EAE"/>
    <w:rsid w:val="00263C4E"/>
    <w:rsid w:val="00266B59"/>
    <w:rsid w:val="002704F1"/>
    <w:rsid w:val="00270C8D"/>
    <w:rsid w:val="00275055"/>
    <w:rsid w:val="0027736D"/>
    <w:rsid w:val="00280EB0"/>
    <w:rsid w:val="00282448"/>
    <w:rsid w:val="00282668"/>
    <w:rsid w:val="00284EFF"/>
    <w:rsid w:val="00285959"/>
    <w:rsid w:val="00287388"/>
    <w:rsid w:val="0029033B"/>
    <w:rsid w:val="002918E8"/>
    <w:rsid w:val="002920E4"/>
    <w:rsid w:val="002A74BD"/>
    <w:rsid w:val="002A76DF"/>
    <w:rsid w:val="002B2806"/>
    <w:rsid w:val="002B5227"/>
    <w:rsid w:val="002C3A4D"/>
    <w:rsid w:val="002D5D14"/>
    <w:rsid w:val="002E246F"/>
    <w:rsid w:val="002E2EF8"/>
    <w:rsid w:val="002E6A76"/>
    <w:rsid w:val="002F07B3"/>
    <w:rsid w:val="002F4C71"/>
    <w:rsid w:val="002F5702"/>
    <w:rsid w:val="002F582B"/>
    <w:rsid w:val="00310372"/>
    <w:rsid w:val="00311717"/>
    <w:rsid w:val="00315526"/>
    <w:rsid w:val="00316983"/>
    <w:rsid w:val="0033674B"/>
    <w:rsid w:val="00340C2E"/>
    <w:rsid w:val="00340E1B"/>
    <w:rsid w:val="00346A7E"/>
    <w:rsid w:val="00354E44"/>
    <w:rsid w:val="00360E15"/>
    <w:rsid w:val="00373222"/>
    <w:rsid w:val="003748C2"/>
    <w:rsid w:val="0037579B"/>
    <w:rsid w:val="00377E08"/>
    <w:rsid w:val="003805F1"/>
    <w:rsid w:val="00384AEF"/>
    <w:rsid w:val="00384F55"/>
    <w:rsid w:val="00391F72"/>
    <w:rsid w:val="00393DCC"/>
    <w:rsid w:val="00394853"/>
    <w:rsid w:val="003A5009"/>
    <w:rsid w:val="003B37D6"/>
    <w:rsid w:val="003B4C9B"/>
    <w:rsid w:val="003B5440"/>
    <w:rsid w:val="003B75CE"/>
    <w:rsid w:val="003D1012"/>
    <w:rsid w:val="003D3C57"/>
    <w:rsid w:val="003E0E32"/>
    <w:rsid w:val="003E28B6"/>
    <w:rsid w:val="003E3219"/>
    <w:rsid w:val="003E33EB"/>
    <w:rsid w:val="003E78AA"/>
    <w:rsid w:val="003F1643"/>
    <w:rsid w:val="00400FB1"/>
    <w:rsid w:val="004017EB"/>
    <w:rsid w:val="004028D6"/>
    <w:rsid w:val="00413E2C"/>
    <w:rsid w:val="00413F3D"/>
    <w:rsid w:val="0041434E"/>
    <w:rsid w:val="00420E3A"/>
    <w:rsid w:val="00421894"/>
    <w:rsid w:val="00427132"/>
    <w:rsid w:val="004321F8"/>
    <w:rsid w:val="00433124"/>
    <w:rsid w:val="00442808"/>
    <w:rsid w:val="00444068"/>
    <w:rsid w:val="00463204"/>
    <w:rsid w:val="00466D3E"/>
    <w:rsid w:val="004719C0"/>
    <w:rsid w:val="0047406C"/>
    <w:rsid w:val="004753CD"/>
    <w:rsid w:val="00475F16"/>
    <w:rsid w:val="00476CD7"/>
    <w:rsid w:val="0048700D"/>
    <w:rsid w:val="00492C7F"/>
    <w:rsid w:val="00494E52"/>
    <w:rsid w:val="004A354F"/>
    <w:rsid w:val="004A60B9"/>
    <w:rsid w:val="004B1784"/>
    <w:rsid w:val="004B2E15"/>
    <w:rsid w:val="004B48BE"/>
    <w:rsid w:val="004B5C94"/>
    <w:rsid w:val="004C09DF"/>
    <w:rsid w:val="004D4142"/>
    <w:rsid w:val="004D7977"/>
    <w:rsid w:val="004E168D"/>
    <w:rsid w:val="004E31BF"/>
    <w:rsid w:val="004E53F0"/>
    <w:rsid w:val="004E68C9"/>
    <w:rsid w:val="004E7233"/>
    <w:rsid w:val="004E775E"/>
    <w:rsid w:val="0051271D"/>
    <w:rsid w:val="005138B5"/>
    <w:rsid w:val="00517738"/>
    <w:rsid w:val="00523219"/>
    <w:rsid w:val="00530B14"/>
    <w:rsid w:val="005319EA"/>
    <w:rsid w:val="0053347B"/>
    <w:rsid w:val="0054336A"/>
    <w:rsid w:val="00546AC5"/>
    <w:rsid w:val="005574AE"/>
    <w:rsid w:val="0056352F"/>
    <w:rsid w:val="00563E9B"/>
    <w:rsid w:val="00566E13"/>
    <w:rsid w:val="00567D1F"/>
    <w:rsid w:val="005707B1"/>
    <w:rsid w:val="00574903"/>
    <w:rsid w:val="00582D7B"/>
    <w:rsid w:val="00585D13"/>
    <w:rsid w:val="005962FC"/>
    <w:rsid w:val="005A0898"/>
    <w:rsid w:val="005A242E"/>
    <w:rsid w:val="005A47BE"/>
    <w:rsid w:val="005B0025"/>
    <w:rsid w:val="005B1A2C"/>
    <w:rsid w:val="005B2A70"/>
    <w:rsid w:val="005C14DF"/>
    <w:rsid w:val="005C2BF2"/>
    <w:rsid w:val="005C3CEB"/>
    <w:rsid w:val="005C7697"/>
    <w:rsid w:val="005D3D85"/>
    <w:rsid w:val="005E2E41"/>
    <w:rsid w:val="005E7DE1"/>
    <w:rsid w:val="005F460D"/>
    <w:rsid w:val="006023E8"/>
    <w:rsid w:val="006043C5"/>
    <w:rsid w:val="00606A98"/>
    <w:rsid w:val="00611C5E"/>
    <w:rsid w:val="00613A98"/>
    <w:rsid w:val="006171E5"/>
    <w:rsid w:val="00621C7C"/>
    <w:rsid w:val="00622B65"/>
    <w:rsid w:val="006232DE"/>
    <w:rsid w:val="00624989"/>
    <w:rsid w:val="00637E8B"/>
    <w:rsid w:val="00637F5A"/>
    <w:rsid w:val="00642DC0"/>
    <w:rsid w:val="00647AB8"/>
    <w:rsid w:val="00651D20"/>
    <w:rsid w:val="00651DDD"/>
    <w:rsid w:val="00656ECA"/>
    <w:rsid w:val="00666A72"/>
    <w:rsid w:val="00670532"/>
    <w:rsid w:val="006716B1"/>
    <w:rsid w:val="00672CB5"/>
    <w:rsid w:val="00673ABE"/>
    <w:rsid w:val="00677EE7"/>
    <w:rsid w:val="0069114F"/>
    <w:rsid w:val="00693E9B"/>
    <w:rsid w:val="00694D16"/>
    <w:rsid w:val="0069685B"/>
    <w:rsid w:val="00697146"/>
    <w:rsid w:val="00697C7B"/>
    <w:rsid w:val="006A06CC"/>
    <w:rsid w:val="006A42CF"/>
    <w:rsid w:val="006A6168"/>
    <w:rsid w:val="006B0A2B"/>
    <w:rsid w:val="006B3C20"/>
    <w:rsid w:val="006C00EF"/>
    <w:rsid w:val="006C14D8"/>
    <w:rsid w:val="006C2152"/>
    <w:rsid w:val="006D500C"/>
    <w:rsid w:val="006D65B6"/>
    <w:rsid w:val="006D6997"/>
    <w:rsid w:val="006E2563"/>
    <w:rsid w:val="006F4A60"/>
    <w:rsid w:val="006F5001"/>
    <w:rsid w:val="00701589"/>
    <w:rsid w:val="007061F7"/>
    <w:rsid w:val="00712CDB"/>
    <w:rsid w:val="0071697C"/>
    <w:rsid w:val="0072315A"/>
    <w:rsid w:val="00724854"/>
    <w:rsid w:val="00725670"/>
    <w:rsid w:val="007356B9"/>
    <w:rsid w:val="007373DE"/>
    <w:rsid w:val="00746815"/>
    <w:rsid w:val="007535E4"/>
    <w:rsid w:val="00757154"/>
    <w:rsid w:val="007612D8"/>
    <w:rsid w:val="007645C8"/>
    <w:rsid w:val="0076659E"/>
    <w:rsid w:val="00767649"/>
    <w:rsid w:val="00772EDD"/>
    <w:rsid w:val="00781E47"/>
    <w:rsid w:val="00783ACE"/>
    <w:rsid w:val="00786122"/>
    <w:rsid w:val="0079466B"/>
    <w:rsid w:val="00797464"/>
    <w:rsid w:val="007A1E20"/>
    <w:rsid w:val="007B0ADA"/>
    <w:rsid w:val="007B1BCA"/>
    <w:rsid w:val="007B47F5"/>
    <w:rsid w:val="007B79F8"/>
    <w:rsid w:val="007C4C44"/>
    <w:rsid w:val="007D20A8"/>
    <w:rsid w:val="007D49BA"/>
    <w:rsid w:val="007D4E42"/>
    <w:rsid w:val="007D5FE1"/>
    <w:rsid w:val="007D7FCB"/>
    <w:rsid w:val="007E116D"/>
    <w:rsid w:val="007E22BE"/>
    <w:rsid w:val="007E45CF"/>
    <w:rsid w:val="007E49BC"/>
    <w:rsid w:val="007F0197"/>
    <w:rsid w:val="007F25C3"/>
    <w:rsid w:val="00803E36"/>
    <w:rsid w:val="00806DBB"/>
    <w:rsid w:val="00817CA5"/>
    <w:rsid w:val="00826ABF"/>
    <w:rsid w:val="008272EE"/>
    <w:rsid w:val="00835FE9"/>
    <w:rsid w:val="00843BC1"/>
    <w:rsid w:val="00845F9C"/>
    <w:rsid w:val="00847085"/>
    <w:rsid w:val="008514FA"/>
    <w:rsid w:val="008519D6"/>
    <w:rsid w:val="00854E7D"/>
    <w:rsid w:val="00860139"/>
    <w:rsid w:val="00861D44"/>
    <w:rsid w:val="00871214"/>
    <w:rsid w:val="008732D9"/>
    <w:rsid w:val="008748DF"/>
    <w:rsid w:val="00875562"/>
    <w:rsid w:val="00880230"/>
    <w:rsid w:val="00892FE4"/>
    <w:rsid w:val="008A2170"/>
    <w:rsid w:val="008B4BE3"/>
    <w:rsid w:val="008B669B"/>
    <w:rsid w:val="008B677D"/>
    <w:rsid w:val="008B6F92"/>
    <w:rsid w:val="008C0DED"/>
    <w:rsid w:val="008C20CF"/>
    <w:rsid w:val="008C62DD"/>
    <w:rsid w:val="008D41C0"/>
    <w:rsid w:val="008D6B6E"/>
    <w:rsid w:val="008E23DE"/>
    <w:rsid w:val="008E2D73"/>
    <w:rsid w:val="008E3035"/>
    <w:rsid w:val="008E6D25"/>
    <w:rsid w:val="008E6F7A"/>
    <w:rsid w:val="008F057B"/>
    <w:rsid w:val="008F1F52"/>
    <w:rsid w:val="008F283D"/>
    <w:rsid w:val="008F7335"/>
    <w:rsid w:val="008F78D6"/>
    <w:rsid w:val="00901573"/>
    <w:rsid w:val="009050CB"/>
    <w:rsid w:val="009102ED"/>
    <w:rsid w:val="009210CB"/>
    <w:rsid w:val="00922FCE"/>
    <w:rsid w:val="009258BE"/>
    <w:rsid w:val="009271D5"/>
    <w:rsid w:val="00930DF7"/>
    <w:rsid w:val="00932235"/>
    <w:rsid w:val="009464CD"/>
    <w:rsid w:val="0095020B"/>
    <w:rsid w:val="00953DE4"/>
    <w:rsid w:val="009628C8"/>
    <w:rsid w:val="009703C2"/>
    <w:rsid w:val="00981FDA"/>
    <w:rsid w:val="00983042"/>
    <w:rsid w:val="009841C1"/>
    <w:rsid w:val="00991098"/>
    <w:rsid w:val="00992771"/>
    <w:rsid w:val="0099474E"/>
    <w:rsid w:val="009A638E"/>
    <w:rsid w:val="009A6A3C"/>
    <w:rsid w:val="009A6DA2"/>
    <w:rsid w:val="009A7488"/>
    <w:rsid w:val="009B7A10"/>
    <w:rsid w:val="009C44AC"/>
    <w:rsid w:val="009D5A5D"/>
    <w:rsid w:val="009E4E84"/>
    <w:rsid w:val="009F01AA"/>
    <w:rsid w:val="009F440E"/>
    <w:rsid w:val="00A01AEC"/>
    <w:rsid w:val="00A11BDE"/>
    <w:rsid w:val="00A20017"/>
    <w:rsid w:val="00A21BFF"/>
    <w:rsid w:val="00A266C9"/>
    <w:rsid w:val="00A27C19"/>
    <w:rsid w:val="00A27F07"/>
    <w:rsid w:val="00A36DC8"/>
    <w:rsid w:val="00A37967"/>
    <w:rsid w:val="00A40C90"/>
    <w:rsid w:val="00A53DF9"/>
    <w:rsid w:val="00A57F73"/>
    <w:rsid w:val="00A60DAF"/>
    <w:rsid w:val="00A61FF6"/>
    <w:rsid w:val="00A65AB2"/>
    <w:rsid w:val="00A74C30"/>
    <w:rsid w:val="00A8770D"/>
    <w:rsid w:val="00A87C1D"/>
    <w:rsid w:val="00A9400B"/>
    <w:rsid w:val="00A94508"/>
    <w:rsid w:val="00A9681F"/>
    <w:rsid w:val="00A979F4"/>
    <w:rsid w:val="00A97D2A"/>
    <w:rsid w:val="00AA2724"/>
    <w:rsid w:val="00AA39AC"/>
    <w:rsid w:val="00AA5738"/>
    <w:rsid w:val="00AA75BF"/>
    <w:rsid w:val="00AC16C8"/>
    <w:rsid w:val="00AD3BBC"/>
    <w:rsid w:val="00AE0D32"/>
    <w:rsid w:val="00AE0E6A"/>
    <w:rsid w:val="00AE2855"/>
    <w:rsid w:val="00AE53A5"/>
    <w:rsid w:val="00AE555E"/>
    <w:rsid w:val="00AF34C0"/>
    <w:rsid w:val="00B00C0D"/>
    <w:rsid w:val="00B01BE1"/>
    <w:rsid w:val="00B0621E"/>
    <w:rsid w:val="00B06231"/>
    <w:rsid w:val="00B0692D"/>
    <w:rsid w:val="00B074EB"/>
    <w:rsid w:val="00B11464"/>
    <w:rsid w:val="00B15F26"/>
    <w:rsid w:val="00B1649A"/>
    <w:rsid w:val="00B17AFE"/>
    <w:rsid w:val="00B21416"/>
    <w:rsid w:val="00B2651B"/>
    <w:rsid w:val="00B3116B"/>
    <w:rsid w:val="00B314D0"/>
    <w:rsid w:val="00B31B0C"/>
    <w:rsid w:val="00B35827"/>
    <w:rsid w:val="00B4041E"/>
    <w:rsid w:val="00B45A92"/>
    <w:rsid w:val="00B45B1F"/>
    <w:rsid w:val="00B4701B"/>
    <w:rsid w:val="00B54018"/>
    <w:rsid w:val="00B54C5C"/>
    <w:rsid w:val="00B67D43"/>
    <w:rsid w:val="00B75199"/>
    <w:rsid w:val="00B8196B"/>
    <w:rsid w:val="00B81E20"/>
    <w:rsid w:val="00B90E18"/>
    <w:rsid w:val="00B91CAB"/>
    <w:rsid w:val="00BA0C27"/>
    <w:rsid w:val="00BA4D23"/>
    <w:rsid w:val="00BB103E"/>
    <w:rsid w:val="00BD13A5"/>
    <w:rsid w:val="00BD2794"/>
    <w:rsid w:val="00BD32B3"/>
    <w:rsid w:val="00BE1BF5"/>
    <w:rsid w:val="00BE310B"/>
    <w:rsid w:val="00BE4ECD"/>
    <w:rsid w:val="00BF04B5"/>
    <w:rsid w:val="00BF1B65"/>
    <w:rsid w:val="00BF3A9E"/>
    <w:rsid w:val="00BF5EC5"/>
    <w:rsid w:val="00C067E3"/>
    <w:rsid w:val="00C22C9A"/>
    <w:rsid w:val="00C23ED3"/>
    <w:rsid w:val="00C26ECC"/>
    <w:rsid w:val="00C3538E"/>
    <w:rsid w:val="00C410B8"/>
    <w:rsid w:val="00C44362"/>
    <w:rsid w:val="00C45860"/>
    <w:rsid w:val="00C46DCE"/>
    <w:rsid w:val="00C47DFA"/>
    <w:rsid w:val="00C57B8E"/>
    <w:rsid w:val="00C607A4"/>
    <w:rsid w:val="00C64FB5"/>
    <w:rsid w:val="00C720C9"/>
    <w:rsid w:val="00C73E90"/>
    <w:rsid w:val="00C7497D"/>
    <w:rsid w:val="00C74E2C"/>
    <w:rsid w:val="00C76248"/>
    <w:rsid w:val="00C8196C"/>
    <w:rsid w:val="00C8330C"/>
    <w:rsid w:val="00C902D2"/>
    <w:rsid w:val="00C92CD6"/>
    <w:rsid w:val="00C94661"/>
    <w:rsid w:val="00C94D59"/>
    <w:rsid w:val="00C951FE"/>
    <w:rsid w:val="00C96DDD"/>
    <w:rsid w:val="00CB12A7"/>
    <w:rsid w:val="00CC126A"/>
    <w:rsid w:val="00CC4AE9"/>
    <w:rsid w:val="00CC54D4"/>
    <w:rsid w:val="00CC5806"/>
    <w:rsid w:val="00CD5B06"/>
    <w:rsid w:val="00CD62DC"/>
    <w:rsid w:val="00CD730B"/>
    <w:rsid w:val="00CE1619"/>
    <w:rsid w:val="00CE2474"/>
    <w:rsid w:val="00CF730B"/>
    <w:rsid w:val="00CF76DD"/>
    <w:rsid w:val="00D02F9C"/>
    <w:rsid w:val="00D06FAE"/>
    <w:rsid w:val="00D1299F"/>
    <w:rsid w:val="00D20AED"/>
    <w:rsid w:val="00D25157"/>
    <w:rsid w:val="00D3072E"/>
    <w:rsid w:val="00D4084D"/>
    <w:rsid w:val="00D46714"/>
    <w:rsid w:val="00D46AC3"/>
    <w:rsid w:val="00D46C9B"/>
    <w:rsid w:val="00D5728D"/>
    <w:rsid w:val="00D724C5"/>
    <w:rsid w:val="00D73497"/>
    <w:rsid w:val="00D73E5B"/>
    <w:rsid w:val="00D874F1"/>
    <w:rsid w:val="00D91471"/>
    <w:rsid w:val="00D92870"/>
    <w:rsid w:val="00D97DDF"/>
    <w:rsid w:val="00DA0C0A"/>
    <w:rsid w:val="00DA4237"/>
    <w:rsid w:val="00DA649F"/>
    <w:rsid w:val="00DB32A7"/>
    <w:rsid w:val="00DB614F"/>
    <w:rsid w:val="00DB6F7D"/>
    <w:rsid w:val="00DD2B12"/>
    <w:rsid w:val="00DF21B3"/>
    <w:rsid w:val="00DF3B2B"/>
    <w:rsid w:val="00DF71BC"/>
    <w:rsid w:val="00E015B7"/>
    <w:rsid w:val="00E21715"/>
    <w:rsid w:val="00E3702B"/>
    <w:rsid w:val="00E47334"/>
    <w:rsid w:val="00E55853"/>
    <w:rsid w:val="00E60398"/>
    <w:rsid w:val="00E849C0"/>
    <w:rsid w:val="00EA1E64"/>
    <w:rsid w:val="00EA1EBD"/>
    <w:rsid w:val="00EA4C00"/>
    <w:rsid w:val="00EA4D12"/>
    <w:rsid w:val="00EA6668"/>
    <w:rsid w:val="00EB21F9"/>
    <w:rsid w:val="00EC187F"/>
    <w:rsid w:val="00EC48F7"/>
    <w:rsid w:val="00EC6151"/>
    <w:rsid w:val="00EC69E8"/>
    <w:rsid w:val="00EC6C03"/>
    <w:rsid w:val="00ED244A"/>
    <w:rsid w:val="00EE5F6A"/>
    <w:rsid w:val="00EF57CF"/>
    <w:rsid w:val="00F02913"/>
    <w:rsid w:val="00F04666"/>
    <w:rsid w:val="00F04DE7"/>
    <w:rsid w:val="00F12237"/>
    <w:rsid w:val="00F129FA"/>
    <w:rsid w:val="00F13074"/>
    <w:rsid w:val="00F17B0E"/>
    <w:rsid w:val="00F2183C"/>
    <w:rsid w:val="00F453B2"/>
    <w:rsid w:val="00F503EF"/>
    <w:rsid w:val="00F566DB"/>
    <w:rsid w:val="00F85D53"/>
    <w:rsid w:val="00F928F1"/>
    <w:rsid w:val="00FB03CD"/>
    <w:rsid w:val="00FB08CA"/>
    <w:rsid w:val="00FB5F81"/>
    <w:rsid w:val="00FC0469"/>
    <w:rsid w:val="00FC0FE8"/>
    <w:rsid w:val="00FC1102"/>
    <w:rsid w:val="00FC1440"/>
    <w:rsid w:val="00FC5A35"/>
    <w:rsid w:val="00FC7479"/>
    <w:rsid w:val="00FD0A50"/>
    <w:rsid w:val="00FD1853"/>
    <w:rsid w:val="00FD198A"/>
    <w:rsid w:val="00FE07FC"/>
    <w:rsid w:val="00FE1487"/>
    <w:rsid w:val="00FE3487"/>
    <w:rsid w:val="00FE3C8E"/>
    <w:rsid w:val="00FF23F7"/>
    <w:rsid w:val="00FF28ED"/>
    <w:rsid w:val="00FF3920"/>
    <w:rsid w:val="00FF5656"/>
    <w:rsid w:val="00FF5BED"/>
    <w:rsid w:val="00FF7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6D701"/>
  <w15:docId w15:val="{F5179668-7CB7-46E8-BFEA-880F581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C5"/>
    <w:pPr>
      <w:spacing w:line="260" w:lineRule="exact"/>
    </w:pPr>
    <w:rPr>
      <w:rFonts w:ascii="Arial" w:hAnsi="Arial"/>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AC5"/>
    <w:pPr>
      <w:suppressAutoHyphens/>
      <w:spacing w:line="200" w:lineRule="exact"/>
    </w:pPr>
    <w:rPr>
      <w:noProof/>
      <w:sz w:val="15"/>
    </w:rPr>
  </w:style>
  <w:style w:type="paragraph" w:styleId="Footer">
    <w:name w:val="footer"/>
    <w:basedOn w:val="Normal"/>
    <w:rsid w:val="00546AC5"/>
    <w:pPr>
      <w:suppressAutoHyphens/>
      <w:spacing w:line="200" w:lineRule="exact"/>
    </w:pPr>
    <w:rPr>
      <w:noProof/>
      <w:sz w:val="15"/>
      <w:szCs w:val="15"/>
    </w:rPr>
  </w:style>
  <w:style w:type="paragraph" w:customStyle="1" w:styleId="KopfDept">
    <w:name w:val="KopfDept"/>
    <w:basedOn w:val="Header"/>
    <w:next w:val="Normal"/>
    <w:rsid w:val="00546AC5"/>
    <w:pPr>
      <w:spacing w:after="100"/>
      <w:contextualSpacing/>
    </w:pPr>
  </w:style>
  <w:style w:type="paragraph" w:customStyle="1" w:styleId="Logo">
    <w:name w:val="Logo"/>
    <w:rsid w:val="00546AC5"/>
    <w:rPr>
      <w:rFonts w:ascii="Arial" w:hAnsi="Arial"/>
      <w:noProof/>
      <w:sz w:val="15"/>
      <w:lang w:val="de-CH" w:eastAsia="de-CH"/>
    </w:rPr>
  </w:style>
  <w:style w:type="paragraph" w:customStyle="1" w:styleId="Ref">
    <w:name w:val="Ref"/>
    <w:basedOn w:val="Normal"/>
    <w:next w:val="Normal"/>
    <w:rsid w:val="00546AC5"/>
    <w:pPr>
      <w:spacing w:line="200" w:lineRule="exact"/>
    </w:pPr>
    <w:rPr>
      <w:sz w:val="15"/>
    </w:rPr>
  </w:style>
  <w:style w:type="paragraph" w:customStyle="1" w:styleId="Form">
    <w:name w:val="Form"/>
    <w:basedOn w:val="Normal"/>
    <w:rsid w:val="00546AC5"/>
    <w:rPr>
      <w:sz w:val="15"/>
    </w:rPr>
  </w:style>
  <w:style w:type="paragraph" w:styleId="Title">
    <w:name w:val="Title"/>
    <w:basedOn w:val="Normal"/>
    <w:next w:val="Normal"/>
    <w:qFormat/>
    <w:rsid w:val="00546AC5"/>
    <w:pPr>
      <w:spacing w:line="480" w:lineRule="exact"/>
      <w:outlineLvl w:val="0"/>
    </w:pPr>
    <w:rPr>
      <w:rFonts w:cs="Arial"/>
      <w:b/>
      <w:bCs/>
      <w:kern w:val="28"/>
      <w:sz w:val="42"/>
      <w:szCs w:val="32"/>
    </w:rPr>
  </w:style>
  <w:style w:type="paragraph" w:customStyle="1" w:styleId="Pfad">
    <w:name w:val="Pfad"/>
    <w:next w:val="Footer"/>
    <w:rsid w:val="00546AC5"/>
    <w:pPr>
      <w:spacing w:line="160" w:lineRule="exact"/>
    </w:pPr>
    <w:rPr>
      <w:rFonts w:ascii="Arial" w:hAnsi="Arial"/>
      <w:noProof/>
      <w:sz w:val="12"/>
      <w:szCs w:val="12"/>
      <w:lang w:val="de-CH" w:eastAsia="de-CH"/>
    </w:rPr>
  </w:style>
  <w:style w:type="paragraph" w:customStyle="1" w:styleId="Linie1">
    <w:name w:val="Linie1"/>
    <w:basedOn w:val="Normal"/>
    <w:next w:val="Normal"/>
    <w:rsid w:val="00546AC5"/>
    <w:pPr>
      <w:pBdr>
        <w:top w:val="single" w:sz="2" w:space="1" w:color="auto"/>
      </w:pBdr>
      <w:spacing w:before="270" w:line="160" w:lineRule="exact"/>
      <w:ind w:left="28" w:right="28"/>
    </w:pPr>
  </w:style>
  <w:style w:type="paragraph" w:customStyle="1" w:styleId="Seite">
    <w:name w:val="Seite"/>
    <w:basedOn w:val="Normal"/>
    <w:rsid w:val="00546AC5"/>
    <w:pPr>
      <w:suppressAutoHyphens/>
      <w:spacing w:line="200" w:lineRule="exact"/>
      <w:jc w:val="right"/>
    </w:pPr>
    <w:rPr>
      <w:sz w:val="14"/>
      <w:szCs w:val="14"/>
    </w:rPr>
  </w:style>
  <w:style w:type="paragraph" w:customStyle="1" w:styleId="Linie2">
    <w:name w:val="Linie2"/>
    <w:basedOn w:val="Normal"/>
    <w:next w:val="Normal"/>
    <w:rsid w:val="00546AC5"/>
    <w:pPr>
      <w:pBdr>
        <w:bottom w:val="single" w:sz="2" w:space="1" w:color="auto"/>
      </w:pBdr>
      <w:spacing w:before="90" w:after="340"/>
    </w:pPr>
  </w:style>
  <w:style w:type="paragraph" w:customStyle="1" w:styleId="Platzhalter">
    <w:name w:val="Platzhalter"/>
    <w:basedOn w:val="Normal"/>
    <w:rsid w:val="00546AC5"/>
    <w:pPr>
      <w:spacing w:line="240" w:lineRule="auto"/>
    </w:pPr>
    <w:rPr>
      <w:sz w:val="2"/>
      <w:szCs w:val="2"/>
    </w:rPr>
  </w:style>
  <w:style w:type="paragraph" w:styleId="BalloonText">
    <w:name w:val="Balloon Text"/>
    <w:basedOn w:val="Normal"/>
    <w:semiHidden/>
    <w:rsid w:val="00FC5A35"/>
    <w:rPr>
      <w:rFonts w:ascii="Tahoma" w:hAnsi="Tahoma" w:cs="Tahoma"/>
      <w:sz w:val="16"/>
      <w:szCs w:val="16"/>
    </w:rPr>
  </w:style>
  <w:style w:type="character" w:styleId="Hyperlink">
    <w:name w:val="Hyperlink"/>
    <w:basedOn w:val="DefaultParagraphFont"/>
    <w:rsid w:val="00A60DAF"/>
    <w:rPr>
      <w:color w:val="0000FF"/>
      <w:u w:val="single"/>
    </w:rPr>
  </w:style>
  <w:style w:type="paragraph" w:customStyle="1" w:styleId="Char">
    <w:name w:val="Char"/>
    <w:basedOn w:val="Normal"/>
    <w:rsid w:val="00A60DAF"/>
    <w:pPr>
      <w:spacing w:after="160" w:line="240" w:lineRule="exact"/>
    </w:pPr>
    <w:rPr>
      <w:rFonts w:cs="Arial"/>
      <w:lang w:val="en-US" w:eastAsia="en-US"/>
    </w:rPr>
  </w:style>
  <w:style w:type="paragraph" w:styleId="ListParagraph">
    <w:name w:val="List Paragraph"/>
    <w:aliases w:val="List Paragraph 1"/>
    <w:basedOn w:val="Normal"/>
    <w:link w:val="ListParagraphChar"/>
    <w:uiPriority w:val="34"/>
    <w:qFormat/>
    <w:rsid w:val="004B5C94"/>
    <w:pPr>
      <w:spacing w:line="240" w:lineRule="auto"/>
      <w:ind w:left="720"/>
    </w:pPr>
    <w:rPr>
      <w:rFonts w:ascii="Calibri" w:eastAsia="SimSun" w:hAnsi="Calibri"/>
      <w:sz w:val="22"/>
      <w:szCs w:val="22"/>
      <w:lang w:val="en-US" w:eastAsia="zh-CN"/>
    </w:rPr>
  </w:style>
  <w:style w:type="paragraph" w:styleId="BodyText">
    <w:name w:val="Body Text"/>
    <w:basedOn w:val="Normal"/>
    <w:link w:val="BodyTextChar"/>
    <w:rsid w:val="004B1784"/>
    <w:pPr>
      <w:tabs>
        <w:tab w:val="num" w:pos="0"/>
      </w:tabs>
      <w:spacing w:after="100" w:line="240" w:lineRule="auto"/>
      <w:jc w:val="both"/>
    </w:pPr>
    <w:rPr>
      <w:sz w:val="24"/>
      <w:szCs w:val="24"/>
      <w:lang w:val="fr-FR" w:eastAsia="fr-FR"/>
    </w:rPr>
  </w:style>
  <w:style w:type="character" w:customStyle="1" w:styleId="BodyTextChar">
    <w:name w:val="Body Text Char"/>
    <w:basedOn w:val="DefaultParagraphFont"/>
    <w:link w:val="BodyText"/>
    <w:rsid w:val="004B1784"/>
    <w:rPr>
      <w:rFonts w:ascii="Arial" w:hAnsi="Arial"/>
      <w:sz w:val="24"/>
      <w:szCs w:val="24"/>
      <w:lang w:val="fr-FR" w:eastAsia="fr-FR"/>
    </w:rPr>
  </w:style>
  <w:style w:type="paragraph" w:customStyle="1" w:styleId="Absatz">
    <w:name w:val="Absatz"/>
    <w:rsid w:val="004B1784"/>
    <w:pPr>
      <w:spacing w:before="80" w:line="200" w:lineRule="exact"/>
      <w:jc w:val="both"/>
    </w:pPr>
    <w:rPr>
      <w:noProof/>
      <w:sz w:val="18"/>
      <w:lang w:val="de-CH" w:eastAsia="de-DE"/>
    </w:rPr>
  </w:style>
  <w:style w:type="character" w:styleId="CommentReference">
    <w:name w:val="annotation reference"/>
    <w:basedOn w:val="DefaultParagraphFont"/>
    <w:uiPriority w:val="99"/>
    <w:semiHidden/>
    <w:unhideWhenUsed/>
    <w:rsid w:val="00FE3487"/>
    <w:rPr>
      <w:sz w:val="16"/>
      <w:szCs w:val="16"/>
    </w:rPr>
  </w:style>
  <w:style w:type="paragraph" w:styleId="CommentText">
    <w:name w:val="annotation text"/>
    <w:basedOn w:val="Normal"/>
    <w:link w:val="CommentTextChar"/>
    <w:uiPriority w:val="99"/>
    <w:unhideWhenUsed/>
    <w:rsid w:val="00FE3487"/>
    <w:pPr>
      <w:spacing w:line="240" w:lineRule="auto"/>
    </w:pPr>
  </w:style>
  <w:style w:type="character" w:customStyle="1" w:styleId="CommentTextChar">
    <w:name w:val="Comment Text Char"/>
    <w:basedOn w:val="DefaultParagraphFont"/>
    <w:link w:val="CommentText"/>
    <w:uiPriority w:val="99"/>
    <w:rsid w:val="00FE3487"/>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FE3487"/>
    <w:rPr>
      <w:b/>
      <w:bCs/>
    </w:rPr>
  </w:style>
  <w:style w:type="character" w:customStyle="1" w:styleId="CommentSubjectChar">
    <w:name w:val="Comment Subject Char"/>
    <w:basedOn w:val="CommentTextChar"/>
    <w:link w:val="CommentSubject"/>
    <w:uiPriority w:val="99"/>
    <w:semiHidden/>
    <w:rsid w:val="00FE3487"/>
    <w:rPr>
      <w:rFonts w:ascii="Arial" w:hAnsi="Arial"/>
      <w:b/>
      <w:bCs/>
      <w:lang w:val="de-CH" w:eastAsia="de-CH"/>
    </w:rPr>
  </w:style>
  <w:style w:type="character" w:customStyle="1" w:styleId="HeaderChar">
    <w:name w:val="Header Char"/>
    <w:basedOn w:val="DefaultParagraphFont"/>
    <w:link w:val="Header"/>
    <w:rsid w:val="00F02913"/>
    <w:rPr>
      <w:rFonts w:ascii="Arial" w:hAnsi="Arial"/>
      <w:noProof/>
      <w:sz w:val="15"/>
      <w:lang w:val="de-CH" w:eastAsia="de-CH"/>
    </w:rPr>
  </w:style>
  <w:style w:type="character" w:customStyle="1" w:styleId="ListParagraphChar">
    <w:name w:val="List Paragraph Char"/>
    <w:aliases w:val="List Paragraph 1 Char"/>
    <w:basedOn w:val="DefaultParagraphFont"/>
    <w:link w:val="ListParagraph"/>
    <w:uiPriority w:val="34"/>
    <w:locked/>
    <w:rsid w:val="000855F8"/>
    <w:rPr>
      <w:rFonts w:ascii="Calibri" w:eastAsia="SimSun" w:hAnsi="Calibri"/>
      <w:sz w:val="22"/>
      <w:szCs w:val="22"/>
    </w:rPr>
  </w:style>
  <w:style w:type="paragraph" w:styleId="FootnoteText">
    <w:name w:val="footnote text"/>
    <w:basedOn w:val="Normal"/>
    <w:link w:val="FootnoteTextChar"/>
    <w:uiPriority w:val="99"/>
    <w:unhideWhenUsed/>
    <w:rsid w:val="00523219"/>
    <w:pPr>
      <w:spacing w:line="240" w:lineRule="auto"/>
    </w:pPr>
    <w:rPr>
      <w:rFonts w:ascii="Calibri" w:eastAsia="SimSun" w:hAnsi="Calibri"/>
      <w:lang w:val="en-US" w:eastAsia="en-US"/>
    </w:rPr>
  </w:style>
  <w:style w:type="character" w:customStyle="1" w:styleId="FootnoteTextChar">
    <w:name w:val="Footnote Text Char"/>
    <w:basedOn w:val="DefaultParagraphFont"/>
    <w:link w:val="FootnoteText"/>
    <w:uiPriority w:val="99"/>
    <w:rsid w:val="00523219"/>
    <w:rPr>
      <w:rFonts w:ascii="Calibri" w:eastAsia="SimSun" w:hAnsi="Calibri"/>
      <w:lang w:eastAsia="en-US"/>
    </w:rPr>
  </w:style>
  <w:style w:type="character" w:styleId="FootnoteReference">
    <w:name w:val="footnote reference"/>
    <w:basedOn w:val="DefaultParagraphFont"/>
    <w:uiPriority w:val="99"/>
    <w:semiHidden/>
    <w:rsid w:val="00523219"/>
    <w:rPr>
      <w:rFonts w:ascii="Arial" w:hAnsi="Arial"/>
      <w:sz w:val="18"/>
      <w:vertAlign w:val="superscript"/>
    </w:rPr>
  </w:style>
  <w:style w:type="paragraph" w:styleId="NormalWeb">
    <w:name w:val="Normal (Web)"/>
    <w:basedOn w:val="Normal"/>
    <w:uiPriority w:val="99"/>
    <w:rsid w:val="00880230"/>
    <w:pPr>
      <w:spacing w:after="100" w:afterAutospacing="1" w:line="240" w:lineRule="auto"/>
    </w:pPr>
    <w:rPr>
      <w:rFonts w:ascii="Times New Roman" w:hAnsi="Times New Roman"/>
      <w:sz w:val="24"/>
      <w:szCs w:val="24"/>
    </w:rPr>
  </w:style>
  <w:style w:type="paragraph" w:customStyle="1" w:styleId="uLinie">
    <w:name w:val="uLinie"/>
    <w:basedOn w:val="Normal"/>
    <w:next w:val="Normal"/>
    <w:rsid w:val="005F460D"/>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5F460D"/>
    <w:pPr>
      <w:outlineLvl w:val="1"/>
    </w:pPr>
    <w:rPr>
      <w:b w:val="0"/>
      <w:szCs w:val="24"/>
    </w:rPr>
  </w:style>
  <w:style w:type="character" w:customStyle="1" w:styleId="SubtitleChar">
    <w:name w:val="Subtitle Char"/>
    <w:basedOn w:val="DefaultParagraphFont"/>
    <w:link w:val="Subtitle"/>
    <w:rsid w:val="005F460D"/>
    <w:rPr>
      <w:rFonts w:ascii="Arial" w:hAnsi="Arial" w:cs="Arial"/>
      <w:bCs/>
      <w:kern w:val="28"/>
      <w:sz w:val="42"/>
      <w:szCs w:val="24"/>
      <w:lang w:val="de-CH" w:eastAsia="de-CH"/>
    </w:rPr>
  </w:style>
  <w:style w:type="character" w:styleId="Strong">
    <w:name w:val="Strong"/>
    <w:basedOn w:val="DefaultParagraphFont"/>
    <w:uiPriority w:val="22"/>
    <w:qFormat/>
    <w:rsid w:val="00246627"/>
    <w:rPr>
      <w:b/>
      <w:bCs/>
    </w:rPr>
  </w:style>
  <w:style w:type="paragraph" w:customStyle="1" w:styleId="Default">
    <w:name w:val="Default"/>
    <w:rsid w:val="00D46AC3"/>
    <w:pPr>
      <w:autoSpaceDE w:val="0"/>
      <w:autoSpaceDN w:val="0"/>
      <w:adjustRightInd w:val="0"/>
    </w:pPr>
    <w:rPr>
      <w:rFonts w:ascii="Arial" w:hAnsi="Arial" w:cs="Arial"/>
      <w:color w:val="000000"/>
      <w:sz w:val="24"/>
      <w:szCs w:val="24"/>
      <w:lang w:val="de-CH"/>
    </w:rPr>
  </w:style>
  <w:style w:type="character" w:styleId="FollowedHyperlink">
    <w:name w:val="FollowedHyperlink"/>
    <w:basedOn w:val="DefaultParagraphFont"/>
    <w:uiPriority w:val="99"/>
    <w:semiHidden/>
    <w:unhideWhenUsed/>
    <w:rsid w:val="000171D2"/>
    <w:rPr>
      <w:color w:val="800080" w:themeColor="followedHyperlink"/>
      <w:u w:val="single"/>
    </w:rPr>
  </w:style>
  <w:style w:type="paragraph" w:styleId="Revision">
    <w:name w:val="Revision"/>
    <w:hidden/>
    <w:uiPriority w:val="99"/>
    <w:semiHidden/>
    <w:rsid w:val="00235FDA"/>
    <w:rPr>
      <w:rFonts w:ascii="Arial" w:hAnsi="Arial"/>
      <w:lang w:val="de-CH" w:eastAsia="de-CH"/>
    </w:rPr>
  </w:style>
  <w:style w:type="paragraph" w:styleId="ListBullet">
    <w:name w:val="List Bullet"/>
    <w:basedOn w:val="Normal"/>
    <w:uiPriority w:val="99"/>
    <w:unhideWhenUsed/>
    <w:rsid w:val="00DF71B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359">
      <w:bodyDiv w:val="1"/>
      <w:marLeft w:val="0"/>
      <w:marRight w:val="0"/>
      <w:marTop w:val="0"/>
      <w:marBottom w:val="0"/>
      <w:divBdr>
        <w:top w:val="none" w:sz="0" w:space="0" w:color="auto"/>
        <w:left w:val="none" w:sz="0" w:space="0" w:color="auto"/>
        <w:bottom w:val="none" w:sz="0" w:space="0" w:color="auto"/>
        <w:right w:val="none" w:sz="0" w:space="0" w:color="auto"/>
      </w:divBdr>
    </w:div>
    <w:div w:id="84889085">
      <w:bodyDiv w:val="1"/>
      <w:marLeft w:val="0"/>
      <w:marRight w:val="0"/>
      <w:marTop w:val="0"/>
      <w:marBottom w:val="0"/>
      <w:divBdr>
        <w:top w:val="none" w:sz="0" w:space="0" w:color="auto"/>
        <w:left w:val="none" w:sz="0" w:space="0" w:color="auto"/>
        <w:bottom w:val="none" w:sz="0" w:space="0" w:color="auto"/>
        <w:right w:val="none" w:sz="0" w:space="0" w:color="auto"/>
      </w:divBdr>
    </w:div>
    <w:div w:id="90783392">
      <w:bodyDiv w:val="1"/>
      <w:marLeft w:val="0"/>
      <w:marRight w:val="0"/>
      <w:marTop w:val="0"/>
      <w:marBottom w:val="0"/>
      <w:divBdr>
        <w:top w:val="none" w:sz="0" w:space="0" w:color="auto"/>
        <w:left w:val="none" w:sz="0" w:space="0" w:color="auto"/>
        <w:bottom w:val="none" w:sz="0" w:space="0" w:color="auto"/>
        <w:right w:val="none" w:sz="0" w:space="0" w:color="auto"/>
      </w:divBdr>
      <w:divsChild>
        <w:div w:id="1313564703">
          <w:marLeft w:val="0"/>
          <w:marRight w:val="0"/>
          <w:marTop w:val="0"/>
          <w:marBottom w:val="0"/>
          <w:divBdr>
            <w:top w:val="none" w:sz="0" w:space="0" w:color="auto"/>
            <w:left w:val="none" w:sz="0" w:space="0" w:color="auto"/>
            <w:bottom w:val="none" w:sz="0" w:space="0" w:color="auto"/>
            <w:right w:val="none" w:sz="0" w:space="0" w:color="auto"/>
          </w:divBdr>
          <w:divsChild>
            <w:div w:id="380403406">
              <w:marLeft w:val="0"/>
              <w:marRight w:val="0"/>
              <w:marTop w:val="0"/>
              <w:marBottom w:val="0"/>
              <w:divBdr>
                <w:top w:val="none" w:sz="0" w:space="0" w:color="auto"/>
                <w:left w:val="none" w:sz="0" w:space="0" w:color="auto"/>
                <w:bottom w:val="none" w:sz="0" w:space="0" w:color="auto"/>
                <w:right w:val="none" w:sz="0" w:space="0" w:color="auto"/>
              </w:divBdr>
            </w:div>
            <w:div w:id="11009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2894">
      <w:bodyDiv w:val="1"/>
      <w:marLeft w:val="0"/>
      <w:marRight w:val="0"/>
      <w:marTop w:val="0"/>
      <w:marBottom w:val="0"/>
      <w:divBdr>
        <w:top w:val="none" w:sz="0" w:space="0" w:color="auto"/>
        <w:left w:val="none" w:sz="0" w:space="0" w:color="auto"/>
        <w:bottom w:val="none" w:sz="0" w:space="0" w:color="auto"/>
        <w:right w:val="none" w:sz="0" w:space="0" w:color="auto"/>
      </w:divBdr>
      <w:divsChild>
        <w:div w:id="409042182">
          <w:marLeft w:val="0"/>
          <w:marRight w:val="0"/>
          <w:marTop w:val="0"/>
          <w:marBottom w:val="0"/>
          <w:divBdr>
            <w:top w:val="none" w:sz="0" w:space="0" w:color="auto"/>
            <w:left w:val="none" w:sz="0" w:space="0" w:color="auto"/>
            <w:bottom w:val="none" w:sz="0" w:space="0" w:color="auto"/>
            <w:right w:val="none" w:sz="0" w:space="0" w:color="auto"/>
          </w:divBdr>
          <w:divsChild>
            <w:div w:id="16094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719">
      <w:bodyDiv w:val="1"/>
      <w:marLeft w:val="0"/>
      <w:marRight w:val="0"/>
      <w:marTop w:val="0"/>
      <w:marBottom w:val="0"/>
      <w:divBdr>
        <w:top w:val="none" w:sz="0" w:space="0" w:color="auto"/>
        <w:left w:val="none" w:sz="0" w:space="0" w:color="auto"/>
        <w:bottom w:val="none" w:sz="0" w:space="0" w:color="auto"/>
        <w:right w:val="none" w:sz="0" w:space="0" w:color="auto"/>
      </w:divBdr>
    </w:div>
    <w:div w:id="501631669">
      <w:bodyDiv w:val="1"/>
      <w:marLeft w:val="0"/>
      <w:marRight w:val="0"/>
      <w:marTop w:val="0"/>
      <w:marBottom w:val="0"/>
      <w:divBdr>
        <w:top w:val="none" w:sz="0" w:space="0" w:color="auto"/>
        <w:left w:val="none" w:sz="0" w:space="0" w:color="auto"/>
        <w:bottom w:val="none" w:sz="0" w:space="0" w:color="auto"/>
        <w:right w:val="none" w:sz="0" w:space="0" w:color="auto"/>
      </w:divBdr>
    </w:div>
    <w:div w:id="519702742">
      <w:bodyDiv w:val="1"/>
      <w:marLeft w:val="0"/>
      <w:marRight w:val="0"/>
      <w:marTop w:val="0"/>
      <w:marBottom w:val="0"/>
      <w:divBdr>
        <w:top w:val="none" w:sz="0" w:space="0" w:color="auto"/>
        <w:left w:val="none" w:sz="0" w:space="0" w:color="auto"/>
        <w:bottom w:val="none" w:sz="0" w:space="0" w:color="auto"/>
        <w:right w:val="none" w:sz="0" w:space="0" w:color="auto"/>
      </w:divBdr>
    </w:div>
    <w:div w:id="608322620">
      <w:bodyDiv w:val="1"/>
      <w:marLeft w:val="0"/>
      <w:marRight w:val="0"/>
      <w:marTop w:val="0"/>
      <w:marBottom w:val="0"/>
      <w:divBdr>
        <w:top w:val="none" w:sz="0" w:space="0" w:color="auto"/>
        <w:left w:val="none" w:sz="0" w:space="0" w:color="auto"/>
        <w:bottom w:val="none" w:sz="0" w:space="0" w:color="auto"/>
        <w:right w:val="none" w:sz="0" w:space="0" w:color="auto"/>
      </w:divBdr>
    </w:div>
    <w:div w:id="643395605">
      <w:bodyDiv w:val="1"/>
      <w:marLeft w:val="0"/>
      <w:marRight w:val="0"/>
      <w:marTop w:val="0"/>
      <w:marBottom w:val="0"/>
      <w:divBdr>
        <w:top w:val="none" w:sz="0" w:space="0" w:color="auto"/>
        <w:left w:val="none" w:sz="0" w:space="0" w:color="auto"/>
        <w:bottom w:val="none" w:sz="0" w:space="0" w:color="auto"/>
        <w:right w:val="none" w:sz="0" w:space="0" w:color="auto"/>
      </w:divBdr>
    </w:div>
    <w:div w:id="793598170">
      <w:bodyDiv w:val="1"/>
      <w:marLeft w:val="0"/>
      <w:marRight w:val="0"/>
      <w:marTop w:val="0"/>
      <w:marBottom w:val="0"/>
      <w:divBdr>
        <w:top w:val="none" w:sz="0" w:space="0" w:color="auto"/>
        <w:left w:val="none" w:sz="0" w:space="0" w:color="auto"/>
        <w:bottom w:val="none" w:sz="0" w:space="0" w:color="auto"/>
        <w:right w:val="none" w:sz="0" w:space="0" w:color="auto"/>
      </w:divBdr>
    </w:div>
    <w:div w:id="814563732">
      <w:bodyDiv w:val="1"/>
      <w:marLeft w:val="0"/>
      <w:marRight w:val="0"/>
      <w:marTop w:val="0"/>
      <w:marBottom w:val="0"/>
      <w:divBdr>
        <w:top w:val="none" w:sz="0" w:space="0" w:color="auto"/>
        <w:left w:val="none" w:sz="0" w:space="0" w:color="auto"/>
        <w:bottom w:val="none" w:sz="0" w:space="0" w:color="auto"/>
        <w:right w:val="none" w:sz="0" w:space="0" w:color="auto"/>
      </w:divBdr>
      <w:divsChild>
        <w:div w:id="774859308">
          <w:marLeft w:val="0"/>
          <w:marRight w:val="0"/>
          <w:marTop w:val="0"/>
          <w:marBottom w:val="0"/>
          <w:divBdr>
            <w:top w:val="none" w:sz="0" w:space="0" w:color="auto"/>
            <w:left w:val="none" w:sz="0" w:space="0" w:color="auto"/>
            <w:bottom w:val="none" w:sz="0" w:space="0" w:color="auto"/>
            <w:right w:val="none" w:sz="0" w:space="0" w:color="auto"/>
          </w:divBdr>
          <w:divsChild>
            <w:div w:id="1900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20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4">
          <w:marLeft w:val="0"/>
          <w:marRight w:val="0"/>
          <w:marTop w:val="0"/>
          <w:marBottom w:val="0"/>
          <w:divBdr>
            <w:top w:val="none" w:sz="0" w:space="0" w:color="auto"/>
            <w:left w:val="none" w:sz="0" w:space="0" w:color="auto"/>
            <w:bottom w:val="none" w:sz="0" w:space="0" w:color="auto"/>
            <w:right w:val="none" w:sz="0" w:space="0" w:color="auto"/>
          </w:divBdr>
          <w:divsChild>
            <w:div w:id="1852336578">
              <w:marLeft w:val="0"/>
              <w:marRight w:val="0"/>
              <w:marTop w:val="0"/>
              <w:marBottom w:val="0"/>
              <w:divBdr>
                <w:top w:val="none" w:sz="0" w:space="0" w:color="auto"/>
                <w:left w:val="none" w:sz="0" w:space="0" w:color="auto"/>
                <w:bottom w:val="none" w:sz="0" w:space="0" w:color="auto"/>
                <w:right w:val="none" w:sz="0" w:space="0" w:color="auto"/>
              </w:divBdr>
              <w:divsChild>
                <w:div w:id="165093665">
                  <w:marLeft w:val="0"/>
                  <w:marRight w:val="0"/>
                  <w:marTop w:val="0"/>
                  <w:marBottom w:val="0"/>
                  <w:divBdr>
                    <w:top w:val="none" w:sz="0" w:space="0" w:color="auto"/>
                    <w:left w:val="none" w:sz="0" w:space="0" w:color="auto"/>
                    <w:bottom w:val="none" w:sz="0" w:space="0" w:color="auto"/>
                    <w:right w:val="none" w:sz="0" w:space="0" w:color="auto"/>
                  </w:divBdr>
                  <w:divsChild>
                    <w:div w:id="668367991">
                      <w:marLeft w:val="-384"/>
                      <w:marRight w:val="0"/>
                      <w:marTop w:val="0"/>
                      <w:marBottom w:val="0"/>
                      <w:divBdr>
                        <w:top w:val="none" w:sz="0" w:space="0" w:color="auto"/>
                        <w:left w:val="none" w:sz="0" w:space="0" w:color="auto"/>
                        <w:bottom w:val="none" w:sz="0" w:space="0" w:color="auto"/>
                        <w:right w:val="none" w:sz="0" w:space="0" w:color="auto"/>
                      </w:divBdr>
                      <w:divsChild>
                        <w:div w:id="169873053">
                          <w:marLeft w:val="0"/>
                          <w:marRight w:val="0"/>
                          <w:marTop w:val="0"/>
                          <w:marBottom w:val="0"/>
                          <w:divBdr>
                            <w:top w:val="none" w:sz="0" w:space="0" w:color="auto"/>
                            <w:left w:val="none" w:sz="0" w:space="0" w:color="auto"/>
                            <w:bottom w:val="none" w:sz="0" w:space="0" w:color="auto"/>
                            <w:right w:val="none" w:sz="0" w:space="0" w:color="auto"/>
                          </w:divBdr>
                          <w:divsChild>
                            <w:div w:id="5520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3589">
      <w:bodyDiv w:val="1"/>
      <w:marLeft w:val="0"/>
      <w:marRight w:val="0"/>
      <w:marTop w:val="0"/>
      <w:marBottom w:val="0"/>
      <w:divBdr>
        <w:top w:val="none" w:sz="0" w:space="0" w:color="auto"/>
        <w:left w:val="none" w:sz="0" w:space="0" w:color="auto"/>
        <w:bottom w:val="none" w:sz="0" w:space="0" w:color="auto"/>
        <w:right w:val="none" w:sz="0" w:space="0" w:color="auto"/>
      </w:divBdr>
    </w:div>
    <w:div w:id="952633971">
      <w:bodyDiv w:val="1"/>
      <w:marLeft w:val="0"/>
      <w:marRight w:val="0"/>
      <w:marTop w:val="0"/>
      <w:marBottom w:val="0"/>
      <w:divBdr>
        <w:top w:val="none" w:sz="0" w:space="0" w:color="auto"/>
        <w:left w:val="none" w:sz="0" w:space="0" w:color="auto"/>
        <w:bottom w:val="none" w:sz="0" w:space="0" w:color="auto"/>
        <w:right w:val="none" w:sz="0" w:space="0" w:color="auto"/>
      </w:divBdr>
    </w:div>
    <w:div w:id="1174422123">
      <w:bodyDiv w:val="1"/>
      <w:marLeft w:val="0"/>
      <w:marRight w:val="0"/>
      <w:marTop w:val="0"/>
      <w:marBottom w:val="0"/>
      <w:divBdr>
        <w:top w:val="none" w:sz="0" w:space="0" w:color="auto"/>
        <w:left w:val="none" w:sz="0" w:space="0" w:color="auto"/>
        <w:bottom w:val="none" w:sz="0" w:space="0" w:color="auto"/>
        <w:right w:val="none" w:sz="0" w:space="0" w:color="auto"/>
      </w:divBdr>
    </w:div>
    <w:div w:id="1296790704">
      <w:bodyDiv w:val="1"/>
      <w:marLeft w:val="0"/>
      <w:marRight w:val="0"/>
      <w:marTop w:val="0"/>
      <w:marBottom w:val="0"/>
      <w:divBdr>
        <w:top w:val="none" w:sz="0" w:space="0" w:color="auto"/>
        <w:left w:val="none" w:sz="0" w:space="0" w:color="auto"/>
        <w:bottom w:val="none" w:sz="0" w:space="0" w:color="auto"/>
        <w:right w:val="none" w:sz="0" w:space="0" w:color="auto"/>
      </w:divBdr>
    </w:div>
    <w:div w:id="1357266024">
      <w:bodyDiv w:val="1"/>
      <w:marLeft w:val="0"/>
      <w:marRight w:val="0"/>
      <w:marTop w:val="0"/>
      <w:marBottom w:val="0"/>
      <w:divBdr>
        <w:top w:val="none" w:sz="0" w:space="0" w:color="auto"/>
        <w:left w:val="none" w:sz="0" w:space="0" w:color="auto"/>
        <w:bottom w:val="none" w:sz="0" w:space="0" w:color="auto"/>
        <w:right w:val="none" w:sz="0" w:space="0" w:color="auto"/>
      </w:divBdr>
    </w:div>
    <w:div w:id="1401904588">
      <w:bodyDiv w:val="1"/>
      <w:marLeft w:val="0"/>
      <w:marRight w:val="0"/>
      <w:marTop w:val="0"/>
      <w:marBottom w:val="0"/>
      <w:divBdr>
        <w:top w:val="none" w:sz="0" w:space="0" w:color="auto"/>
        <w:left w:val="none" w:sz="0" w:space="0" w:color="auto"/>
        <w:bottom w:val="none" w:sz="0" w:space="0" w:color="auto"/>
        <w:right w:val="none" w:sz="0" w:space="0" w:color="auto"/>
      </w:divBdr>
    </w:div>
    <w:div w:id="1745948364">
      <w:bodyDiv w:val="1"/>
      <w:marLeft w:val="0"/>
      <w:marRight w:val="0"/>
      <w:marTop w:val="0"/>
      <w:marBottom w:val="0"/>
      <w:divBdr>
        <w:top w:val="none" w:sz="0" w:space="0" w:color="auto"/>
        <w:left w:val="none" w:sz="0" w:space="0" w:color="auto"/>
        <w:bottom w:val="none" w:sz="0" w:space="0" w:color="auto"/>
        <w:right w:val="none" w:sz="0" w:space="0" w:color="auto"/>
      </w:divBdr>
    </w:div>
    <w:div w:id="1959292365">
      <w:bodyDiv w:val="1"/>
      <w:marLeft w:val="0"/>
      <w:marRight w:val="0"/>
      <w:marTop w:val="0"/>
      <w:marBottom w:val="0"/>
      <w:divBdr>
        <w:top w:val="none" w:sz="0" w:space="0" w:color="auto"/>
        <w:left w:val="none" w:sz="0" w:space="0" w:color="auto"/>
        <w:bottom w:val="none" w:sz="0" w:space="0" w:color="auto"/>
        <w:right w:val="none" w:sz="0" w:space="0" w:color="auto"/>
      </w:divBdr>
    </w:div>
    <w:div w:id="2005863008">
      <w:bodyDiv w:val="1"/>
      <w:marLeft w:val="0"/>
      <w:marRight w:val="0"/>
      <w:marTop w:val="0"/>
      <w:marBottom w:val="0"/>
      <w:divBdr>
        <w:top w:val="none" w:sz="0" w:space="0" w:color="auto"/>
        <w:left w:val="none" w:sz="0" w:space="0" w:color="auto"/>
        <w:bottom w:val="none" w:sz="0" w:space="0" w:color="auto"/>
        <w:right w:val="none" w:sz="0" w:space="0" w:color="auto"/>
      </w:divBdr>
    </w:div>
    <w:div w:id="2013868810">
      <w:bodyDiv w:val="1"/>
      <w:marLeft w:val="0"/>
      <w:marRight w:val="0"/>
      <w:marTop w:val="0"/>
      <w:marBottom w:val="0"/>
      <w:divBdr>
        <w:top w:val="none" w:sz="0" w:space="0" w:color="auto"/>
        <w:left w:val="none" w:sz="0" w:space="0" w:color="auto"/>
        <w:bottom w:val="none" w:sz="0" w:space="0" w:color="auto"/>
        <w:right w:val="none" w:sz="0" w:space="0" w:color="auto"/>
      </w:divBdr>
    </w:div>
    <w:div w:id="20706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counter-terror-project.org/project-details-1" TargetMode="External"/><Relationship Id="rId2" Type="http://schemas.openxmlformats.org/officeDocument/2006/relationships/hyperlink" Target="https://graduateinstitute.ch/sites/internet/files/2020-05/26-MAY-SYRIA-Risk%20Management%20GuideFINAL.pdf?_ga=2.166354750.1677013782.1593178731-316801190.1558975481" TargetMode="External"/><Relationship Id="rId1" Type="http://schemas.openxmlformats.org/officeDocument/2006/relationships/hyperlink" Target="https://www.icrc.org/en/doc/assets/files/red-cross-crescent-movement/31st-international-conference/31-int-conference-ihl-challenges-report-11-5-1-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8914CC-BAE7-4527-8909-4A53AE555DC0}">
  <ds:schemaRefs>
    <ds:schemaRef ds:uri="http://schemas.openxmlformats.org/officeDocument/2006/bibliography"/>
  </ds:schemaRefs>
</ds:datastoreItem>
</file>

<file path=customXml/itemProps2.xml><?xml version="1.0" encoding="utf-8"?>
<ds:datastoreItem xmlns:ds="http://schemas.openxmlformats.org/officeDocument/2006/customXml" ds:itemID="{84C09A72-C7E7-47BB-AA36-6639B89C8C3C}"/>
</file>

<file path=customXml/itemProps3.xml><?xml version="1.0" encoding="utf-8"?>
<ds:datastoreItem xmlns:ds="http://schemas.openxmlformats.org/officeDocument/2006/customXml" ds:itemID="{268C7D0E-DE60-4086-9502-6B5D07397456}"/>
</file>

<file path=customXml/itemProps4.xml><?xml version="1.0" encoding="utf-8"?>
<ds:datastoreItem xmlns:ds="http://schemas.openxmlformats.org/officeDocument/2006/customXml" ds:itemID="{53EA6208-65D3-4473-AC3C-B8CFD8091571}"/>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Aktennotiz</vt:lpstr>
    </vt:vector>
  </TitlesOfParts>
  <Company>EDA</Company>
  <LinksUpToDate>false</LinksUpToDate>
  <CharactersWithSpaces>11548</CharactersWithSpaces>
  <SharedDoc>false</SharedDoc>
  <HLinks>
    <vt:vector size="12" baseType="variant">
      <vt:variant>
        <vt:i4>65617</vt:i4>
      </vt:variant>
      <vt:variant>
        <vt:i4>14</vt:i4>
      </vt:variant>
      <vt:variant>
        <vt:i4>0</vt:i4>
      </vt:variant>
      <vt:variant>
        <vt:i4>5</vt:i4>
      </vt:variant>
      <vt:variant>
        <vt:lpwstr>http://www.eda.admin.ch/</vt:lpwstr>
      </vt:variant>
      <vt:variant>
        <vt:lpwstr/>
      </vt:variant>
      <vt:variant>
        <vt:i4>1507370</vt:i4>
      </vt:variant>
      <vt:variant>
        <vt:i4>11</vt:i4>
      </vt:variant>
      <vt:variant>
        <vt:i4>0</vt:i4>
      </vt:variant>
      <vt:variant>
        <vt:i4>5</vt:i4>
      </vt:variant>
      <vt:variant>
        <vt:lpwstr>mailto:yvonne.baumann@eda.admin.ch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
  <dc:creator>DLI</dc:creator>
  <cp:keywords/>
  <dc:description/>
  <cp:lastModifiedBy>Krisztina Huszti-Orban</cp:lastModifiedBy>
  <cp:revision>2</cp:revision>
  <cp:lastPrinted>2019-07-11T13:21:00Z</cp:lastPrinted>
  <dcterms:created xsi:type="dcterms:W3CDTF">2020-07-06T15:52:00Z</dcterms:created>
  <dcterms:modified xsi:type="dcterms:W3CDTF">2020-07-06T15:52:00Z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