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E697" w14:textId="77777777" w:rsidR="00686DBA" w:rsidRPr="00516756" w:rsidRDefault="00686DBA" w:rsidP="005A58C4">
      <w:pPr>
        <w:pStyle w:val="Heading1"/>
        <w:jc w:val="center"/>
        <w:rPr>
          <w:rFonts w:ascii="Arial" w:hAnsi="Arial" w:cs="Arial"/>
          <w:b/>
          <w:bCs/>
          <w:sz w:val="28"/>
          <w:szCs w:val="28"/>
          <w:lang w:val="en-GB"/>
        </w:rPr>
      </w:pPr>
      <w:r w:rsidRPr="00516756">
        <w:rPr>
          <w:rFonts w:ascii="Arial" w:hAnsi="Arial" w:cs="Arial"/>
          <w:b/>
          <w:bCs/>
          <w:sz w:val="28"/>
          <w:szCs w:val="28"/>
          <w:lang w:val="en-GB"/>
        </w:rPr>
        <w:t>CONTRIBUTION</w:t>
      </w:r>
      <w:r w:rsidR="002B211C" w:rsidRPr="00516756">
        <w:rPr>
          <w:rFonts w:ascii="Arial" w:hAnsi="Arial" w:cs="Arial"/>
          <w:b/>
          <w:bCs/>
          <w:sz w:val="28"/>
          <w:szCs w:val="28"/>
          <w:lang w:val="en-GB"/>
        </w:rPr>
        <w:t xml:space="preserve"> FROM THE PHILIPPINES                                                                  </w:t>
      </w:r>
      <w:r w:rsidRPr="00516756">
        <w:rPr>
          <w:rFonts w:ascii="Arial" w:hAnsi="Arial" w:cs="Arial"/>
          <w:b/>
          <w:bCs/>
          <w:sz w:val="28"/>
          <w:szCs w:val="28"/>
          <w:lang w:val="en-GB"/>
        </w:rPr>
        <w:t>TO THE THEMATIC REPORT BY THE SPECIAL RAPPORTEUR ON THE PROMOTION AND PROTECTION OF HUMAN RIGHTS WHILE COUNTERING TERRORISM</w:t>
      </w:r>
    </w:p>
    <w:p w14:paraId="075E37FC" w14:textId="09E884C0" w:rsidR="00131853" w:rsidRPr="003D303E" w:rsidRDefault="00686DBA" w:rsidP="003D303E">
      <w:pPr>
        <w:jc w:val="center"/>
        <w:rPr>
          <w:rFonts w:ascii="Arial" w:hAnsi="Arial" w:cs="Arial"/>
          <w:i/>
          <w:iCs/>
          <w:sz w:val="24"/>
          <w:szCs w:val="24"/>
          <w:lang w:val="en-GB"/>
        </w:rPr>
      </w:pPr>
      <w:r w:rsidRPr="00415F9B">
        <w:rPr>
          <w:rFonts w:ascii="Arial" w:hAnsi="Arial" w:cs="Arial"/>
          <w:i/>
          <w:iCs/>
          <w:sz w:val="24"/>
          <w:szCs w:val="24"/>
          <w:lang w:val="en-GB"/>
        </w:rPr>
        <w:t xml:space="preserve">(Pursuant to HRC resolution 40/15) </w:t>
      </w:r>
    </w:p>
    <w:p w14:paraId="5AA9C176" w14:textId="0EA1B6A1" w:rsidR="00131853" w:rsidRPr="003D303E" w:rsidRDefault="0084440D" w:rsidP="003D303E">
      <w:pPr>
        <w:pStyle w:val="IntenseQuote"/>
        <w:ind w:left="0" w:right="26"/>
        <w:jc w:val="left"/>
        <w:rPr>
          <w:b/>
          <w:bCs/>
          <w:sz w:val="28"/>
          <w:szCs w:val="28"/>
          <w:lang w:val="en-GB"/>
        </w:rPr>
      </w:pPr>
      <w:r w:rsidRPr="003D303E">
        <w:rPr>
          <w:b/>
          <w:bCs/>
          <w:sz w:val="28"/>
          <w:szCs w:val="28"/>
          <w:lang w:val="en-GB"/>
        </w:rPr>
        <w:t xml:space="preserve">The </w:t>
      </w:r>
      <w:r w:rsidR="00131853" w:rsidRPr="003D303E">
        <w:rPr>
          <w:b/>
          <w:bCs/>
          <w:sz w:val="28"/>
          <w:szCs w:val="28"/>
          <w:lang w:val="en-GB"/>
        </w:rPr>
        <w:t>Philippines</w:t>
      </w:r>
      <w:r w:rsidR="00C716A1">
        <w:rPr>
          <w:b/>
          <w:bCs/>
          <w:sz w:val="28"/>
          <w:szCs w:val="28"/>
          <w:lang w:val="en-GB"/>
        </w:rPr>
        <w:t>’</w:t>
      </w:r>
      <w:r w:rsidR="00131853" w:rsidRPr="003D303E">
        <w:rPr>
          <w:b/>
          <w:bCs/>
          <w:sz w:val="28"/>
          <w:szCs w:val="28"/>
          <w:lang w:val="en-GB"/>
        </w:rPr>
        <w:t xml:space="preserve"> Thrust on </w:t>
      </w:r>
      <w:r w:rsidRPr="003D303E">
        <w:rPr>
          <w:b/>
          <w:bCs/>
          <w:sz w:val="28"/>
          <w:szCs w:val="28"/>
          <w:lang w:val="en-GB"/>
        </w:rPr>
        <w:t>Counter-</w:t>
      </w:r>
      <w:r w:rsidR="00131853" w:rsidRPr="003D303E">
        <w:rPr>
          <w:b/>
          <w:bCs/>
          <w:sz w:val="28"/>
          <w:szCs w:val="28"/>
          <w:lang w:val="en-GB"/>
        </w:rPr>
        <w:t xml:space="preserve">Terrorism </w:t>
      </w:r>
      <w:r w:rsidR="00770DDD" w:rsidRPr="003D303E">
        <w:rPr>
          <w:b/>
          <w:bCs/>
          <w:sz w:val="28"/>
          <w:szCs w:val="28"/>
          <w:lang w:val="en-GB"/>
        </w:rPr>
        <w:t>and International Collaboration</w:t>
      </w:r>
      <w:r w:rsidR="00451509">
        <w:rPr>
          <w:b/>
          <w:bCs/>
          <w:sz w:val="28"/>
          <w:szCs w:val="28"/>
          <w:lang w:val="en-GB"/>
        </w:rPr>
        <w:t xml:space="preserve"> on</w:t>
      </w:r>
      <w:r w:rsidR="00770DDD" w:rsidRPr="003D303E">
        <w:rPr>
          <w:b/>
          <w:bCs/>
          <w:sz w:val="28"/>
          <w:szCs w:val="28"/>
          <w:lang w:val="en-GB"/>
        </w:rPr>
        <w:t xml:space="preserve"> Counter Terrorism </w:t>
      </w:r>
    </w:p>
    <w:p w14:paraId="3D6FBF42" w14:textId="77777777" w:rsidR="001E3AB4" w:rsidRPr="00273A79" w:rsidRDefault="0008713E" w:rsidP="001E3AB4">
      <w:pPr>
        <w:autoSpaceDE w:val="0"/>
        <w:autoSpaceDN w:val="0"/>
        <w:adjustRightInd w:val="0"/>
        <w:jc w:val="both"/>
        <w:rPr>
          <w:rFonts w:ascii="Arial" w:hAnsi="Arial" w:cs="Arial"/>
          <w:sz w:val="24"/>
          <w:szCs w:val="24"/>
        </w:rPr>
      </w:pPr>
      <w:r w:rsidRPr="00273A79">
        <w:rPr>
          <w:rFonts w:ascii="Arial" w:hAnsi="Arial" w:cs="Arial"/>
          <w:sz w:val="24"/>
          <w:szCs w:val="24"/>
        </w:rPr>
        <w:t xml:space="preserve">The </w:t>
      </w:r>
      <w:r w:rsidR="00A936A5">
        <w:rPr>
          <w:rFonts w:ascii="Arial" w:hAnsi="Arial" w:cs="Arial"/>
          <w:sz w:val="24"/>
          <w:szCs w:val="24"/>
          <w:lang w:val="en-GB"/>
        </w:rPr>
        <w:t xml:space="preserve">government of the </w:t>
      </w:r>
      <w:r w:rsidRPr="00273A79">
        <w:rPr>
          <w:rFonts w:ascii="Arial" w:hAnsi="Arial" w:cs="Arial"/>
          <w:sz w:val="24"/>
          <w:szCs w:val="24"/>
        </w:rPr>
        <w:t xml:space="preserve">Philippines recognizes the threat terrorism poses to </w:t>
      </w:r>
      <w:r w:rsidRPr="00273A79">
        <w:rPr>
          <w:rFonts w:ascii="Arial" w:hAnsi="Arial" w:cs="Arial"/>
          <w:sz w:val="24"/>
          <w:szCs w:val="24"/>
          <w:lang w:val="en-GB"/>
        </w:rPr>
        <w:t>h</w:t>
      </w:r>
      <w:r w:rsidRPr="00273A79">
        <w:rPr>
          <w:rFonts w:ascii="Arial" w:hAnsi="Arial" w:cs="Arial"/>
          <w:sz w:val="24"/>
          <w:szCs w:val="24"/>
        </w:rPr>
        <w:t xml:space="preserve">uman </w:t>
      </w:r>
      <w:r w:rsidRPr="00273A79">
        <w:rPr>
          <w:rFonts w:ascii="Arial" w:hAnsi="Arial" w:cs="Arial"/>
          <w:sz w:val="24"/>
          <w:szCs w:val="24"/>
          <w:lang w:val="en-GB"/>
        </w:rPr>
        <w:t>r</w:t>
      </w:r>
      <w:r w:rsidRPr="00273A79">
        <w:rPr>
          <w:rFonts w:ascii="Arial" w:hAnsi="Arial" w:cs="Arial"/>
          <w:sz w:val="24"/>
          <w:szCs w:val="24"/>
        </w:rPr>
        <w:t xml:space="preserve">ights and the ability of States to achieve their development goals. Terrorists sow fear and cause investors to lose confidence in countries and their economies. </w:t>
      </w:r>
      <w:r w:rsidR="00841DC4">
        <w:rPr>
          <w:rFonts w:ascii="Arial" w:hAnsi="Arial" w:cs="Arial"/>
          <w:sz w:val="24"/>
          <w:szCs w:val="24"/>
          <w:lang w:val="en-GB"/>
        </w:rPr>
        <w:t>T</w:t>
      </w:r>
      <w:r w:rsidRPr="00273A79">
        <w:rPr>
          <w:rFonts w:ascii="Arial" w:hAnsi="Arial" w:cs="Arial"/>
          <w:sz w:val="24"/>
          <w:szCs w:val="24"/>
        </w:rPr>
        <w:t>e</w:t>
      </w:r>
      <w:r w:rsidR="0084440D">
        <w:rPr>
          <w:rFonts w:ascii="Arial" w:hAnsi="Arial" w:cs="Arial"/>
          <w:sz w:val="24"/>
          <w:szCs w:val="24"/>
        </w:rPr>
        <w:t>rrorist groups do not</w:t>
      </w:r>
      <w:r w:rsidRPr="00273A79">
        <w:rPr>
          <w:rFonts w:ascii="Arial" w:hAnsi="Arial" w:cs="Arial"/>
          <w:sz w:val="24"/>
          <w:szCs w:val="24"/>
        </w:rPr>
        <w:t xml:space="preserve"> recognize</w:t>
      </w:r>
      <w:r w:rsidR="0084440D">
        <w:rPr>
          <w:rFonts w:ascii="Arial" w:hAnsi="Arial" w:cs="Arial"/>
          <w:sz w:val="24"/>
          <w:szCs w:val="24"/>
        </w:rPr>
        <w:t xml:space="preserve"> and respect human rights and </w:t>
      </w:r>
      <w:r w:rsidRPr="00273A79">
        <w:rPr>
          <w:rFonts w:ascii="Arial" w:hAnsi="Arial" w:cs="Arial"/>
          <w:sz w:val="24"/>
          <w:szCs w:val="24"/>
        </w:rPr>
        <w:t xml:space="preserve">violate the human rights of individuals. They do not adhere </w:t>
      </w:r>
      <w:r w:rsidR="0084440D">
        <w:rPr>
          <w:rFonts w:ascii="Arial" w:hAnsi="Arial" w:cs="Arial"/>
          <w:sz w:val="24"/>
          <w:szCs w:val="24"/>
        </w:rPr>
        <w:t xml:space="preserve">to </w:t>
      </w:r>
      <w:r w:rsidRPr="00273A79">
        <w:rPr>
          <w:rFonts w:ascii="Arial" w:hAnsi="Arial" w:cs="Arial"/>
          <w:sz w:val="24"/>
          <w:szCs w:val="24"/>
        </w:rPr>
        <w:t>disarmament treaties that regulate or prevent the use of certain arms considered to be excessively injurious or cause untold human suffering.</w:t>
      </w:r>
      <w:r w:rsidR="00FF36D5">
        <w:rPr>
          <w:rFonts w:ascii="Arial" w:hAnsi="Arial" w:cs="Arial"/>
          <w:sz w:val="24"/>
          <w:szCs w:val="24"/>
          <w:lang w:val="en-GB"/>
        </w:rPr>
        <w:t xml:space="preserve">  </w:t>
      </w:r>
      <w:r w:rsidR="001E3AB4">
        <w:rPr>
          <w:rFonts w:ascii="Arial" w:hAnsi="Arial" w:cs="Arial"/>
          <w:sz w:val="24"/>
          <w:szCs w:val="24"/>
          <w:lang w:val="en-GB"/>
        </w:rPr>
        <w:t xml:space="preserve">It </w:t>
      </w:r>
      <w:r w:rsidR="001E3AB4" w:rsidRPr="00273A79">
        <w:rPr>
          <w:rFonts w:ascii="Arial" w:hAnsi="Arial" w:cs="Arial"/>
          <w:sz w:val="24"/>
          <w:szCs w:val="24"/>
        </w:rPr>
        <w:t xml:space="preserve">is a transnational crime, and </w:t>
      </w:r>
      <w:r w:rsidR="001E3AB4" w:rsidRPr="00273A79">
        <w:rPr>
          <w:rFonts w:ascii="Arial" w:hAnsi="Arial" w:cs="Arial"/>
          <w:sz w:val="24"/>
          <w:szCs w:val="24"/>
          <w:lang w:val="en-GB"/>
        </w:rPr>
        <w:t>t</w:t>
      </w:r>
      <w:r w:rsidR="001E3AB4" w:rsidRPr="00273A79">
        <w:rPr>
          <w:rFonts w:ascii="Arial" w:hAnsi="Arial" w:cs="Arial"/>
          <w:sz w:val="24"/>
          <w:szCs w:val="24"/>
        </w:rPr>
        <w:t>he Philippines is one of</w:t>
      </w:r>
      <w:r w:rsidR="0084440D">
        <w:rPr>
          <w:rFonts w:ascii="Arial" w:hAnsi="Arial" w:cs="Arial"/>
          <w:sz w:val="24"/>
          <w:szCs w:val="24"/>
        </w:rPr>
        <w:t xml:space="preserve"> the countries that are</w:t>
      </w:r>
      <w:r w:rsidR="001E3AB4" w:rsidRPr="00273A79">
        <w:rPr>
          <w:rFonts w:ascii="Arial" w:hAnsi="Arial" w:cs="Arial"/>
          <w:sz w:val="24"/>
          <w:szCs w:val="24"/>
        </w:rPr>
        <w:t xml:space="preserve"> </w:t>
      </w:r>
      <w:r w:rsidR="0084440D">
        <w:rPr>
          <w:rFonts w:ascii="Arial" w:hAnsi="Arial" w:cs="Arial"/>
          <w:sz w:val="24"/>
          <w:szCs w:val="24"/>
        </w:rPr>
        <w:t>most affected</w:t>
      </w:r>
      <w:r w:rsidR="001E3AB4" w:rsidRPr="00273A79">
        <w:rPr>
          <w:rFonts w:ascii="Arial" w:hAnsi="Arial" w:cs="Arial"/>
          <w:sz w:val="24"/>
          <w:szCs w:val="24"/>
        </w:rPr>
        <w:t xml:space="preserve"> </w:t>
      </w:r>
      <w:r w:rsidR="0084440D">
        <w:rPr>
          <w:rFonts w:ascii="Arial" w:hAnsi="Arial" w:cs="Arial"/>
          <w:sz w:val="24"/>
          <w:szCs w:val="24"/>
        </w:rPr>
        <w:t xml:space="preserve">by </w:t>
      </w:r>
      <w:r w:rsidR="001E3AB4" w:rsidRPr="00273A79">
        <w:rPr>
          <w:rFonts w:ascii="Arial" w:hAnsi="Arial" w:cs="Arial"/>
          <w:sz w:val="24"/>
          <w:szCs w:val="24"/>
        </w:rPr>
        <w:t>terrorism.</w:t>
      </w:r>
    </w:p>
    <w:p w14:paraId="03091654" w14:textId="77777777" w:rsidR="0008713E" w:rsidRPr="00273A79" w:rsidRDefault="0008713E" w:rsidP="00FA0F99">
      <w:pPr>
        <w:jc w:val="both"/>
        <w:rPr>
          <w:rFonts w:ascii="Arial" w:hAnsi="Arial" w:cs="Arial"/>
          <w:sz w:val="24"/>
          <w:szCs w:val="24"/>
        </w:rPr>
      </w:pPr>
    </w:p>
    <w:p w14:paraId="0EAA55B5" w14:textId="4205E049" w:rsidR="001E3AB4" w:rsidRPr="00273A79" w:rsidRDefault="003339D8" w:rsidP="00FA0F99">
      <w:pPr>
        <w:jc w:val="both"/>
        <w:rPr>
          <w:rFonts w:ascii="Arial" w:hAnsi="Arial" w:cs="Arial"/>
          <w:sz w:val="24"/>
          <w:szCs w:val="24"/>
        </w:rPr>
      </w:pPr>
      <w:r w:rsidRPr="00273A79">
        <w:rPr>
          <w:rFonts w:ascii="Arial" w:hAnsi="Arial" w:cs="Arial"/>
          <w:sz w:val="24"/>
          <w:szCs w:val="24"/>
        </w:rPr>
        <w:t xml:space="preserve">Terrorism is a grave challenge to security and the human rights of individuals; it leaves destruction of societies and lives in its wake.  </w:t>
      </w:r>
      <w:r w:rsidR="00FA0F99" w:rsidRPr="00273A79">
        <w:rPr>
          <w:rFonts w:ascii="Arial" w:hAnsi="Arial" w:cs="Arial"/>
          <w:sz w:val="24"/>
          <w:szCs w:val="24"/>
          <w:lang w:val="en-GB"/>
        </w:rPr>
        <w:t xml:space="preserve">The </w:t>
      </w:r>
      <w:r w:rsidR="00291145" w:rsidRPr="00273A79">
        <w:rPr>
          <w:rFonts w:ascii="Arial" w:hAnsi="Arial" w:cs="Arial"/>
          <w:sz w:val="24"/>
          <w:szCs w:val="24"/>
          <w:lang w:val="en-GB"/>
        </w:rPr>
        <w:t xml:space="preserve">Philippines acknowledges that </w:t>
      </w:r>
      <w:r w:rsidR="0032696E" w:rsidRPr="00273A79">
        <w:rPr>
          <w:rFonts w:ascii="Arial" w:hAnsi="Arial" w:cs="Arial"/>
          <w:sz w:val="24"/>
          <w:szCs w:val="24"/>
        </w:rPr>
        <w:t xml:space="preserve">full repercussions </w:t>
      </w:r>
      <w:r w:rsidR="00291145" w:rsidRPr="00273A79">
        <w:rPr>
          <w:rFonts w:ascii="Arial" w:hAnsi="Arial" w:cs="Arial"/>
          <w:sz w:val="24"/>
          <w:szCs w:val="24"/>
          <w:lang w:val="en-GB"/>
        </w:rPr>
        <w:t xml:space="preserve">of terrorism </w:t>
      </w:r>
      <w:r w:rsidR="0032696E" w:rsidRPr="00273A79">
        <w:rPr>
          <w:rFonts w:ascii="Arial" w:hAnsi="Arial" w:cs="Arial"/>
          <w:sz w:val="24"/>
          <w:szCs w:val="24"/>
        </w:rPr>
        <w:t xml:space="preserve">on the human rights of individuals and communities can only be fully understood by those who have </w:t>
      </w:r>
      <w:r w:rsidR="00451509">
        <w:rPr>
          <w:rFonts w:ascii="Arial" w:hAnsi="Arial" w:cs="Arial"/>
          <w:sz w:val="24"/>
          <w:szCs w:val="24"/>
        </w:rPr>
        <w:t xml:space="preserve">actually </w:t>
      </w:r>
      <w:r w:rsidR="0032696E" w:rsidRPr="00273A79">
        <w:rPr>
          <w:rFonts w:ascii="Arial" w:hAnsi="Arial" w:cs="Arial"/>
          <w:sz w:val="24"/>
          <w:szCs w:val="24"/>
        </w:rPr>
        <w:t xml:space="preserve">suffered and continue to suffer from it. </w:t>
      </w:r>
    </w:p>
    <w:p w14:paraId="37A6B548" w14:textId="77777777" w:rsidR="00273A79" w:rsidRPr="00273A79" w:rsidRDefault="00273A79" w:rsidP="007A19B8">
      <w:pPr>
        <w:spacing w:line="276" w:lineRule="auto"/>
        <w:jc w:val="both"/>
        <w:rPr>
          <w:rFonts w:ascii="Arial" w:hAnsi="Arial" w:cs="Arial"/>
          <w:sz w:val="24"/>
          <w:szCs w:val="24"/>
        </w:rPr>
      </w:pPr>
    </w:p>
    <w:p w14:paraId="1185624D" w14:textId="77777777" w:rsidR="00273A79" w:rsidRPr="00273A79" w:rsidRDefault="00273A79" w:rsidP="00273A79">
      <w:pPr>
        <w:jc w:val="both"/>
        <w:rPr>
          <w:rFonts w:ascii="Arial" w:hAnsi="Arial" w:cs="Arial"/>
          <w:sz w:val="24"/>
          <w:szCs w:val="24"/>
        </w:rPr>
      </w:pPr>
      <w:r w:rsidRPr="00273A79">
        <w:rPr>
          <w:rFonts w:ascii="Arial" w:hAnsi="Arial" w:cs="Arial"/>
          <w:sz w:val="24"/>
          <w:szCs w:val="24"/>
        </w:rPr>
        <w:t xml:space="preserve">To effectively counter terrorism, the Philippines recognizes the need to </w:t>
      </w:r>
      <w:r w:rsidR="00554C62">
        <w:rPr>
          <w:rFonts w:ascii="Arial" w:hAnsi="Arial" w:cs="Arial"/>
          <w:sz w:val="24"/>
          <w:szCs w:val="24"/>
        </w:rPr>
        <w:t xml:space="preserve">holistically </w:t>
      </w:r>
      <w:r w:rsidR="00554C62">
        <w:rPr>
          <w:rFonts w:ascii="Arial" w:hAnsi="Arial" w:cs="Arial"/>
          <w:b/>
          <w:bCs/>
          <w:sz w:val="24"/>
          <w:szCs w:val="24"/>
        </w:rPr>
        <w:t>address</w:t>
      </w:r>
      <w:r w:rsidRPr="00D94880">
        <w:rPr>
          <w:rFonts w:ascii="Arial" w:hAnsi="Arial" w:cs="Arial"/>
          <w:b/>
          <w:bCs/>
          <w:sz w:val="24"/>
          <w:szCs w:val="24"/>
        </w:rPr>
        <w:t xml:space="preserve"> the root causes of terrorism</w:t>
      </w:r>
      <w:r w:rsidR="00554C62">
        <w:rPr>
          <w:rFonts w:ascii="Arial" w:hAnsi="Arial" w:cs="Arial"/>
          <w:sz w:val="24"/>
          <w:szCs w:val="24"/>
        </w:rPr>
        <w:t xml:space="preserve"> through</w:t>
      </w:r>
      <w:r w:rsidRPr="00273A79">
        <w:rPr>
          <w:rFonts w:ascii="Arial" w:hAnsi="Arial" w:cs="Arial"/>
          <w:sz w:val="24"/>
          <w:szCs w:val="24"/>
        </w:rPr>
        <w:t xml:space="preserve"> a </w:t>
      </w:r>
      <w:r w:rsidR="00554C62">
        <w:rPr>
          <w:rFonts w:ascii="Arial" w:hAnsi="Arial" w:cs="Arial"/>
          <w:b/>
          <w:bCs/>
          <w:sz w:val="24"/>
          <w:szCs w:val="24"/>
        </w:rPr>
        <w:t>whole-of-</w:t>
      </w:r>
      <w:r w:rsidRPr="004B5B82">
        <w:rPr>
          <w:rFonts w:ascii="Arial" w:hAnsi="Arial" w:cs="Arial"/>
          <w:b/>
          <w:bCs/>
          <w:sz w:val="24"/>
          <w:szCs w:val="24"/>
        </w:rPr>
        <w:t>government</w:t>
      </w:r>
      <w:r w:rsidR="00554C62">
        <w:rPr>
          <w:rFonts w:ascii="Arial" w:hAnsi="Arial" w:cs="Arial"/>
          <w:b/>
          <w:bCs/>
          <w:sz w:val="24"/>
          <w:szCs w:val="24"/>
        </w:rPr>
        <w:t xml:space="preserve"> and whole-of-society</w:t>
      </w:r>
      <w:r w:rsidRPr="004B5B82">
        <w:rPr>
          <w:rFonts w:ascii="Arial" w:hAnsi="Arial" w:cs="Arial"/>
          <w:b/>
          <w:bCs/>
          <w:sz w:val="24"/>
          <w:szCs w:val="24"/>
        </w:rPr>
        <w:t xml:space="preserve"> approach</w:t>
      </w:r>
      <w:r w:rsidRPr="00273A79">
        <w:rPr>
          <w:rFonts w:ascii="Arial" w:hAnsi="Arial" w:cs="Arial"/>
          <w:sz w:val="24"/>
          <w:szCs w:val="24"/>
        </w:rPr>
        <w:t xml:space="preserve"> working with inte</w:t>
      </w:r>
      <w:r w:rsidR="00554C62">
        <w:rPr>
          <w:rFonts w:ascii="Arial" w:hAnsi="Arial" w:cs="Arial"/>
          <w:sz w:val="24"/>
          <w:szCs w:val="24"/>
        </w:rPr>
        <w:t xml:space="preserve">rgovernmental organizations, </w:t>
      </w:r>
      <w:r w:rsidRPr="00273A79">
        <w:rPr>
          <w:rFonts w:ascii="Arial" w:hAnsi="Arial" w:cs="Arial"/>
          <w:sz w:val="24"/>
          <w:szCs w:val="24"/>
        </w:rPr>
        <w:t>civil society</w:t>
      </w:r>
      <w:r w:rsidR="00554C62">
        <w:rPr>
          <w:rFonts w:ascii="Arial" w:hAnsi="Arial" w:cs="Arial"/>
          <w:sz w:val="24"/>
          <w:szCs w:val="24"/>
        </w:rPr>
        <w:t>, communities, victims and their families</w:t>
      </w:r>
      <w:r w:rsidRPr="00273A79">
        <w:rPr>
          <w:rFonts w:ascii="Arial" w:hAnsi="Arial" w:cs="Arial"/>
          <w:sz w:val="24"/>
          <w:szCs w:val="24"/>
        </w:rPr>
        <w:t>.</w:t>
      </w:r>
    </w:p>
    <w:p w14:paraId="4518E0F7" w14:textId="77777777" w:rsidR="00273A79" w:rsidRPr="00273A79" w:rsidRDefault="00273A79" w:rsidP="00273A79">
      <w:pPr>
        <w:jc w:val="both"/>
        <w:rPr>
          <w:rFonts w:ascii="Arial" w:hAnsi="Arial" w:cs="Arial"/>
          <w:sz w:val="24"/>
          <w:szCs w:val="24"/>
        </w:rPr>
      </w:pPr>
    </w:p>
    <w:p w14:paraId="667B3806" w14:textId="77777777" w:rsidR="009348E1" w:rsidRDefault="00273A79" w:rsidP="00273A79">
      <w:pPr>
        <w:jc w:val="both"/>
        <w:rPr>
          <w:rFonts w:ascii="Arial" w:hAnsi="Arial" w:cs="Arial"/>
          <w:sz w:val="24"/>
          <w:szCs w:val="24"/>
        </w:rPr>
      </w:pPr>
      <w:r w:rsidRPr="00273A79">
        <w:rPr>
          <w:rFonts w:ascii="Arial" w:hAnsi="Arial" w:cs="Arial"/>
          <w:sz w:val="24"/>
          <w:szCs w:val="24"/>
        </w:rPr>
        <w:t xml:space="preserve">The Philippines believes that national efforts to defeat terrorism must be complemented </w:t>
      </w:r>
      <w:r w:rsidR="00554C62">
        <w:rPr>
          <w:rFonts w:ascii="Arial" w:hAnsi="Arial" w:cs="Arial"/>
          <w:sz w:val="24"/>
          <w:szCs w:val="24"/>
        </w:rPr>
        <w:t xml:space="preserve">by </w:t>
      </w:r>
      <w:r w:rsidRPr="00C00F03">
        <w:rPr>
          <w:rFonts w:ascii="Arial" w:hAnsi="Arial" w:cs="Arial"/>
          <w:b/>
          <w:bCs/>
          <w:sz w:val="24"/>
          <w:szCs w:val="24"/>
        </w:rPr>
        <w:t>international cooperation</w:t>
      </w:r>
      <w:r w:rsidR="00554C62">
        <w:rPr>
          <w:rFonts w:ascii="Arial" w:hAnsi="Arial" w:cs="Arial"/>
          <w:sz w:val="24"/>
          <w:szCs w:val="24"/>
        </w:rPr>
        <w:t xml:space="preserve"> as</w:t>
      </w:r>
      <w:r w:rsidRPr="00273A79">
        <w:rPr>
          <w:rFonts w:ascii="Arial" w:hAnsi="Arial" w:cs="Arial"/>
          <w:sz w:val="24"/>
          <w:szCs w:val="24"/>
        </w:rPr>
        <w:t xml:space="preserve"> the issue of terrorism is one that cuts across borders, from the supply of weapons, </w:t>
      </w:r>
      <w:r w:rsidR="00554C62">
        <w:rPr>
          <w:rFonts w:ascii="Arial" w:hAnsi="Arial" w:cs="Arial"/>
          <w:sz w:val="24"/>
          <w:szCs w:val="24"/>
        </w:rPr>
        <w:t xml:space="preserve">financing, </w:t>
      </w:r>
      <w:r w:rsidR="00293EF7">
        <w:rPr>
          <w:rFonts w:ascii="Arial" w:hAnsi="Arial" w:cs="Arial"/>
          <w:sz w:val="24"/>
          <w:szCs w:val="24"/>
        </w:rPr>
        <w:t xml:space="preserve">training and other activities aimed at promoting extremism. </w:t>
      </w:r>
    </w:p>
    <w:p w14:paraId="20212549" w14:textId="77777777" w:rsidR="00293EF7" w:rsidRDefault="00293EF7" w:rsidP="00273A79">
      <w:pPr>
        <w:jc w:val="both"/>
        <w:rPr>
          <w:rFonts w:ascii="Arial" w:hAnsi="Arial" w:cs="Arial"/>
          <w:sz w:val="24"/>
          <w:szCs w:val="24"/>
        </w:rPr>
      </w:pPr>
    </w:p>
    <w:p w14:paraId="41F65072" w14:textId="4ED6BA43" w:rsidR="00273A79" w:rsidRPr="00273A79" w:rsidRDefault="009348E1" w:rsidP="003D303E">
      <w:pPr>
        <w:spacing w:line="276" w:lineRule="auto"/>
        <w:jc w:val="both"/>
        <w:rPr>
          <w:rFonts w:ascii="Arial" w:hAnsi="Arial" w:cs="Arial"/>
          <w:sz w:val="24"/>
          <w:szCs w:val="24"/>
        </w:rPr>
      </w:pPr>
      <w:r w:rsidRPr="00273A79">
        <w:rPr>
          <w:rFonts w:ascii="Arial" w:hAnsi="Arial" w:cs="Arial"/>
          <w:sz w:val="24"/>
          <w:szCs w:val="24"/>
        </w:rPr>
        <w:t xml:space="preserve">A </w:t>
      </w:r>
      <w:r w:rsidRPr="002A72E4">
        <w:rPr>
          <w:rFonts w:ascii="Arial" w:hAnsi="Arial" w:cs="Arial"/>
          <w:b/>
          <w:bCs/>
          <w:sz w:val="24"/>
          <w:szCs w:val="24"/>
        </w:rPr>
        <w:t>deeper understanding of the complexity of terrorism</w:t>
      </w:r>
      <w:r w:rsidRPr="00273A79">
        <w:rPr>
          <w:rFonts w:ascii="Arial" w:hAnsi="Arial" w:cs="Arial"/>
          <w:sz w:val="24"/>
          <w:szCs w:val="24"/>
        </w:rPr>
        <w:t xml:space="preserve">, particularly in countries that continue to grapple with it, should enable the </w:t>
      </w:r>
      <w:r w:rsidR="00615BEC">
        <w:rPr>
          <w:rFonts w:ascii="Arial" w:hAnsi="Arial" w:cs="Arial"/>
          <w:sz w:val="24"/>
          <w:szCs w:val="24"/>
          <w:lang w:val="en-GB"/>
        </w:rPr>
        <w:t xml:space="preserve">Human Rights </w:t>
      </w:r>
      <w:r w:rsidRPr="00273A79">
        <w:rPr>
          <w:rFonts w:ascii="Arial" w:hAnsi="Arial" w:cs="Arial"/>
          <w:sz w:val="24"/>
          <w:szCs w:val="24"/>
        </w:rPr>
        <w:t>Council to have a more informed discourse on the subject, and the international community to coherently address the many facets of this grave issue.</w:t>
      </w:r>
    </w:p>
    <w:p w14:paraId="3C57D618" w14:textId="1EB48E15" w:rsidR="00834EAD" w:rsidRPr="003D303E" w:rsidRDefault="00834EAD" w:rsidP="003D303E">
      <w:pPr>
        <w:pStyle w:val="IntenseQuote"/>
        <w:ind w:left="0" w:right="26"/>
        <w:jc w:val="left"/>
        <w:rPr>
          <w:b/>
          <w:bCs/>
          <w:sz w:val="28"/>
          <w:szCs w:val="28"/>
          <w:lang w:val="en-GB"/>
        </w:rPr>
      </w:pPr>
      <w:r w:rsidRPr="005A58C4">
        <w:rPr>
          <w:b/>
          <w:bCs/>
          <w:sz w:val="28"/>
          <w:szCs w:val="28"/>
          <w:lang w:val="en-GB"/>
        </w:rPr>
        <w:t xml:space="preserve">The Marawi </w:t>
      </w:r>
      <w:r w:rsidR="00AE6FB6" w:rsidRPr="005A58C4">
        <w:rPr>
          <w:b/>
          <w:bCs/>
          <w:sz w:val="28"/>
          <w:szCs w:val="28"/>
          <w:lang w:val="en-GB"/>
        </w:rPr>
        <w:t>E</w:t>
      </w:r>
      <w:r w:rsidRPr="005A58C4">
        <w:rPr>
          <w:b/>
          <w:bCs/>
          <w:sz w:val="28"/>
          <w:szCs w:val="28"/>
          <w:lang w:val="en-GB"/>
        </w:rPr>
        <w:t>xperience</w:t>
      </w:r>
      <w:r w:rsidR="0008596C" w:rsidRPr="005A58C4">
        <w:rPr>
          <w:b/>
          <w:bCs/>
          <w:sz w:val="28"/>
          <w:szCs w:val="28"/>
          <w:lang w:val="en-GB"/>
        </w:rPr>
        <w:t xml:space="preserve">: Moving Forward </w:t>
      </w:r>
    </w:p>
    <w:p w14:paraId="10BD2014" w14:textId="4F108C04" w:rsidR="00E40550" w:rsidRDefault="00451509" w:rsidP="00E40550">
      <w:pPr>
        <w:jc w:val="both"/>
        <w:rPr>
          <w:rFonts w:ascii="Arial" w:hAnsi="Arial" w:cs="Arial"/>
          <w:sz w:val="24"/>
          <w:szCs w:val="24"/>
          <w:lang w:val="en-GB"/>
        </w:rPr>
      </w:pPr>
      <w:r>
        <w:rPr>
          <w:rFonts w:ascii="Arial" w:hAnsi="Arial" w:cs="Arial"/>
          <w:sz w:val="24"/>
          <w:szCs w:val="24"/>
          <w:lang w:val="en-GB"/>
        </w:rPr>
        <w:t xml:space="preserve">The </w:t>
      </w:r>
      <w:r w:rsidR="00273A79" w:rsidRPr="00273A79">
        <w:rPr>
          <w:rFonts w:ascii="Arial" w:hAnsi="Arial" w:cs="Arial"/>
          <w:sz w:val="24"/>
          <w:szCs w:val="24"/>
        </w:rPr>
        <w:t xml:space="preserve">city of Marawi in the Southern Philippines was under siege by armed terrorists who held it from May until August 2017. It was through a combination of armed force, skilful diplomacy, and </w:t>
      </w:r>
      <w:r>
        <w:rPr>
          <w:rFonts w:ascii="Arial" w:hAnsi="Arial" w:cs="Arial"/>
          <w:sz w:val="24"/>
          <w:szCs w:val="24"/>
        </w:rPr>
        <w:t xml:space="preserve">on </w:t>
      </w:r>
      <w:r w:rsidR="00273A79" w:rsidRPr="00273A79">
        <w:rPr>
          <w:rFonts w:ascii="Arial" w:hAnsi="Arial" w:cs="Arial"/>
          <w:sz w:val="24"/>
          <w:szCs w:val="24"/>
        </w:rPr>
        <w:t xml:space="preserve">enlightened public that the situation was resolved. </w:t>
      </w:r>
      <w:r w:rsidR="00E40550" w:rsidRPr="00273A79">
        <w:rPr>
          <w:rFonts w:ascii="Arial" w:hAnsi="Arial" w:cs="Arial"/>
          <w:sz w:val="24"/>
          <w:szCs w:val="24"/>
        </w:rPr>
        <w:t xml:space="preserve">The government is now in full control of the city and has instituted programs for the rehabilitation and rebuilding of the city of Marawi. This act of terror by armed groups led to the displacement of thousands of individuals, who are slowly reintegrating and restarting their lives. This of </w:t>
      </w:r>
      <w:r w:rsidR="00E40550" w:rsidRPr="00273A79">
        <w:rPr>
          <w:rFonts w:ascii="Arial" w:hAnsi="Arial" w:cs="Arial"/>
          <w:sz w:val="24"/>
          <w:szCs w:val="24"/>
        </w:rPr>
        <w:lastRenderedPageBreak/>
        <w:t>course is the main priority of the government, to assist these individuals in rebuilding their lives</w:t>
      </w:r>
      <w:r w:rsidR="008F751E">
        <w:rPr>
          <w:rFonts w:ascii="Arial" w:hAnsi="Arial" w:cs="Arial"/>
          <w:sz w:val="24"/>
          <w:szCs w:val="24"/>
          <w:lang w:val="en-GB"/>
        </w:rPr>
        <w:t>.  K</w:t>
      </w:r>
      <w:r w:rsidR="00E40550">
        <w:rPr>
          <w:rFonts w:ascii="Arial" w:hAnsi="Arial" w:cs="Arial"/>
          <w:sz w:val="24"/>
          <w:szCs w:val="24"/>
          <w:lang w:val="en-GB"/>
        </w:rPr>
        <w:t>ey priority programs, projects and activities</w:t>
      </w:r>
      <w:r w:rsidR="008F751E">
        <w:rPr>
          <w:rFonts w:ascii="Arial" w:hAnsi="Arial" w:cs="Arial"/>
          <w:sz w:val="24"/>
          <w:szCs w:val="24"/>
          <w:lang w:val="en-GB"/>
        </w:rPr>
        <w:t xml:space="preserve"> under the program “Bangon Marawi Comprehensive Rehabilitation and Recovery Program” include</w:t>
      </w:r>
      <w:r w:rsidR="00E40550">
        <w:rPr>
          <w:rFonts w:ascii="Arial" w:hAnsi="Arial" w:cs="Arial"/>
          <w:sz w:val="24"/>
          <w:szCs w:val="24"/>
          <w:lang w:val="en-GB"/>
        </w:rPr>
        <w:t>:</w:t>
      </w:r>
    </w:p>
    <w:p w14:paraId="42844C13" w14:textId="77777777" w:rsidR="00E40550" w:rsidRDefault="00E40550" w:rsidP="00E40550">
      <w:pPr>
        <w:jc w:val="both"/>
        <w:rPr>
          <w:rFonts w:ascii="Arial" w:hAnsi="Arial" w:cs="Arial"/>
          <w:sz w:val="24"/>
          <w:szCs w:val="24"/>
          <w:lang w:val="en-GB"/>
        </w:rPr>
      </w:pPr>
    </w:p>
    <w:p w14:paraId="68674034" w14:textId="77777777" w:rsidR="00E40550" w:rsidRDefault="00E40550" w:rsidP="00E40550">
      <w:pPr>
        <w:pStyle w:val="ListParagraph"/>
        <w:numPr>
          <w:ilvl w:val="0"/>
          <w:numId w:val="2"/>
        </w:numPr>
        <w:jc w:val="both"/>
        <w:rPr>
          <w:rFonts w:ascii="Arial" w:hAnsi="Arial" w:cs="Arial"/>
          <w:sz w:val="24"/>
          <w:szCs w:val="24"/>
          <w:lang w:val="en-GB"/>
        </w:rPr>
      </w:pPr>
      <w:r>
        <w:rPr>
          <w:rFonts w:ascii="Arial" w:hAnsi="Arial" w:cs="Arial"/>
          <w:b/>
          <w:bCs/>
          <w:sz w:val="24"/>
          <w:szCs w:val="24"/>
          <w:lang w:val="en-GB"/>
        </w:rPr>
        <w:t>L</w:t>
      </w:r>
      <w:r w:rsidRPr="00182375">
        <w:rPr>
          <w:rFonts w:ascii="Arial" w:hAnsi="Arial" w:cs="Arial"/>
          <w:b/>
          <w:bCs/>
          <w:sz w:val="24"/>
          <w:szCs w:val="24"/>
          <w:lang w:val="en-GB"/>
        </w:rPr>
        <w:t xml:space="preserve">ocal </w:t>
      </w:r>
      <w:r>
        <w:rPr>
          <w:rFonts w:ascii="Arial" w:hAnsi="Arial" w:cs="Arial"/>
          <w:b/>
          <w:bCs/>
          <w:sz w:val="24"/>
          <w:szCs w:val="24"/>
          <w:lang w:val="en-GB"/>
        </w:rPr>
        <w:t>G</w:t>
      </w:r>
      <w:r w:rsidRPr="00182375">
        <w:rPr>
          <w:rFonts w:ascii="Arial" w:hAnsi="Arial" w:cs="Arial"/>
          <w:b/>
          <w:bCs/>
          <w:sz w:val="24"/>
          <w:szCs w:val="24"/>
          <w:lang w:val="en-GB"/>
        </w:rPr>
        <w:t xml:space="preserve">overnance and </w:t>
      </w:r>
      <w:r>
        <w:rPr>
          <w:rFonts w:ascii="Arial" w:hAnsi="Arial" w:cs="Arial"/>
          <w:b/>
          <w:bCs/>
          <w:sz w:val="24"/>
          <w:szCs w:val="24"/>
          <w:lang w:val="en-GB"/>
        </w:rPr>
        <w:t>P</w:t>
      </w:r>
      <w:r w:rsidRPr="00182375">
        <w:rPr>
          <w:rFonts w:ascii="Arial" w:hAnsi="Arial" w:cs="Arial"/>
          <w:b/>
          <w:bCs/>
          <w:sz w:val="24"/>
          <w:szCs w:val="24"/>
          <w:lang w:val="en-GB"/>
        </w:rPr>
        <w:t>eace</w:t>
      </w:r>
      <w:r>
        <w:rPr>
          <w:rFonts w:ascii="Arial" w:hAnsi="Arial" w:cs="Arial"/>
          <w:b/>
          <w:bCs/>
          <w:sz w:val="24"/>
          <w:szCs w:val="24"/>
          <w:lang w:val="en-GB"/>
        </w:rPr>
        <w:t>b</w:t>
      </w:r>
      <w:r w:rsidRPr="00182375">
        <w:rPr>
          <w:rFonts w:ascii="Arial" w:hAnsi="Arial" w:cs="Arial"/>
          <w:b/>
          <w:bCs/>
          <w:sz w:val="24"/>
          <w:szCs w:val="24"/>
          <w:lang w:val="en-GB"/>
        </w:rPr>
        <w:t>uilding</w:t>
      </w:r>
      <w:r>
        <w:rPr>
          <w:rFonts w:ascii="Arial" w:hAnsi="Arial" w:cs="Arial"/>
          <w:sz w:val="24"/>
          <w:szCs w:val="24"/>
          <w:lang w:val="en-GB"/>
        </w:rPr>
        <w:t xml:space="preserve"> by rebuilding and strengthening of local governance, social healing and peacebuilding, and re-establishing security; </w:t>
      </w:r>
    </w:p>
    <w:p w14:paraId="5C16F9C8" w14:textId="77777777" w:rsidR="00E40550" w:rsidRDefault="00E40550" w:rsidP="00E40550">
      <w:pPr>
        <w:pStyle w:val="ListParagraph"/>
        <w:numPr>
          <w:ilvl w:val="0"/>
          <w:numId w:val="2"/>
        </w:numPr>
        <w:jc w:val="both"/>
        <w:rPr>
          <w:rFonts w:ascii="Arial" w:hAnsi="Arial" w:cs="Arial"/>
          <w:sz w:val="24"/>
          <w:szCs w:val="24"/>
          <w:lang w:val="en-GB"/>
        </w:rPr>
      </w:pPr>
      <w:r>
        <w:rPr>
          <w:rFonts w:ascii="Arial" w:hAnsi="Arial" w:cs="Arial"/>
          <w:b/>
          <w:bCs/>
          <w:sz w:val="24"/>
          <w:szCs w:val="24"/>
          <w:lang w:val="en-GB"/>
        </w:rPr>
        <w:t>H</w:t>
      </w:r>
      <w:r w:rsidRPr="00182375">
        <w:rPr>
          <w:rFonts w:ascii="Arial" w:hAnsi="Arial" w:cs="Arial"/>
          <w:b/>
          <w:bCs/>
          <w:sz w:val="24"/>
          <w:szCs w:val="24"/>
          <w:lang w:val="en-GB"/>
        </w:rPr>
        <w:t xml:space="preserve">ousing and </w:t>
      </w:r>
      <w:r>
        <w:rPr>
          <w:rFonts w:ascii="Arial" w:hAnsi="Arial" w:cs="Arial"/>
          <w:b/>
          <w:bCs/>
          <w:sz w:val="24"/>
          <w:szCs w:val="24"/>
          <w:lang w:val="en-GB"/>
        </w:rPr>
        <w:t>S</w:t>
      </w:r>
      <w:r w:rsidRPr="00182375">
        <w:rPr>
          <w:rFonts w:ascii="Arial" w:hAnsi="Arial" w:cs="Arial"/>
          <w:b/>
          <w:bCs/>
          <w:sz w:val="24"/>
          <w:szCs w:val="24"/>
          <w:lang w:val="en-GB"/>
        </w:rPr>
        <w:t>ettlement</w:t>
      </w:r>
      <w:r>
        <w:rPr>
          <w:rFonts w:ascii="Arial" w:hAnsi="Arial" w:cs="Arial"/>
          <w:b/>
          <w:bCs/>
          <w:sz w:val="24"/>
          <w:szCs w:val="24"/>
          <w:lang w:val="en-GB"/>
        </w:rPr>
        <w:t xml:space="preserve"> </w:t>
      </w:r>
      <w:r>
        <w:rPr>
          <w:rFonts w:ascii="Arial" w:hAnsi="Arial" w:cs="Arial"/>
          <w:sz w:val="24"/>
          <w:szCs w:val="24"/>
          <w:lang w:val="en-GB"/>
        </w:rPr>
        <w:t>through housing assistance programs on transitional shelters, permanent housing, and shelter finance;</w:t>
      </w:r>
      <w:r w:rsidRPr="00182375">
        <w:rPr>
          <w:rFonts w:ascii="Arial" w:hAnsi="Arial" w:cs="Arial"/>
          <w:sz w:val="24"/>
          <w:szCs w:val="24"/>
          <w:lang w:val="en-GB"/>
        </w:rPr>
        <w:t xml:space="preserve"> </w:t>
      </w:r>
    </w:p>
    <w:p w14:paraId="78796743" w14:textId="77777777" w:rsidR="00E40550" w:rsidRDefault="00E40550" w:rsidP="00134ED0">
      <w:pPr>
        <w:pStyle w:val="ListParagraph"/>
        <w:numPr>
          <w:ilvl w:val="0"/>
          <w:numId w:val="2"/>
        </w:numPr>
        <w:jc w:val="both"/>
        <w:rPr>
          <w:rFonts w:ascii="Arial" w:hAnsi="Arial" w:cs="Arial"/>
          <w:sz w:val="24"/>
          <w:szCs w:val="24"/>
          <w:lang w:val="en-GB"/>
        </w:rPr>
      </w:pPr>
      <w:r>
        <w:rPr>
          <w:rFonts w:ascii="Arial" w:hAnsi="Arial" w:cs="Arial"/>
          <w:b/>
          <w:bCs/>
          <w:sz w:val="24"/>
          <w:szCs w:val="24"/>
          <w:lang w:val="en-GB"/>
        </w:rPr>
        <w:t>L</w:t>
      </w:r>
      <w:r w:rsidRPr="00182375">
        <w:rPr>
          <w:rFonts w:ascii="Arial" w:hAnsi="Arial" w:cs="Arial"/>
          <w:b/>
          <w:bCs/>
          <w:sz w:val="24"/>
          <w:szCs w:val="24"/>
          <w:lang w:val="en-GB"/>
        </w:rPr>
        <w:t xml:space="preserve">ivelihood and </w:t>
      </w:r>
      <w:r>
        <w:rPr>
          <w:rFonts w:ascii="Arial" w:hAnsi="Arial" w:cs="Arial"/>
          <w:b/>
          <w:bCs/>
          <w:sz w:val="24"/>
          <w:szCs w:val="24"/>
          <w:lang w:val="en-GB"/>
        </w:rPr>
        <w:t>B</w:t>
      </w:r>
      <w:r w:rsidRPr="00182375">
        <w:rPr>
          <w:rFonts w:ascii="Arial" w:hAnsi="Arial" w:cs="Arial"/>
          <w:b/>
          <w:bCs/>
          <w:sz w:val="24"/>
          <w:szCs w:val="24"/>
          <w:lang w:val="en-GB"/>
        </w:rPr>
        <w:t xml:space="preserve">usiness </w:t>
      </w:r>
      <w:r>
        <w:rPr>
          <w:rFonts w:ascii="Arial" w:hAnsi="Arial" w:cs="Arial"/>
          <w:b/>
          <w:bCs/>
          <w:sz w:val="24"/>
          <w:szCs w:val="24"/>
          <w:lang w:val="en-GB"/>
        </w:rPr>
        <w:t>D</w:t>
      </w:r>
      <w:r w:rsidRPr="00182375">
        <w:rPr>
          <w:rFonts w:ascii="Arial" w:hAnsi="Arial" w:cs="Arial"/>
          <w:b/>
          <w:bCs/>
          <w:sz w:val="24"/>
          <w:szCs w:val="24"/>
          <w:lang w:val="en-GB"/>
        </w:rPr>
        <w:t>evelopment</w:t>
      </w:r>
      <w:r>
        <w:rPr>
          <w:rFonts w:ascii="Arial" w:hAnsi="Arial" w:cs="Arial"/>
          <w:sz w:val="24"/>
          <w:szCs w:val="24"/>
          <w:lang w:val="en-GB"/>
        </w:rPr>
        <w:t xml:space="preserve"> through employment generation, provision of agriculture and fishery production support services, provision of financial and non-financial capital, skills development and capacity enhancement to rebuild sources of income and livelihood</w:t>
      </w:r>
      <w:r w:rsidR="001A7E65">
        <w:rPr>
          <w:rFonts w:ascii="Arial" w:hAnsi="Arial" w:cs="Arial"/>
          <w:sz w:val="24"/>
          <w:szCs w:val="24"/>
          <w:lang w:val="en-GB"/>
        </w:rPr>
        <w:t>;</w:t>
      </w:r>
    </w:p>
    <w:p w14:paraId="647B6DF9" w14:textId="77777777" w:rsidR="00770DDD" w:rsidRDefault="00770DDD" w:rsidP="00134ED0">
      <w:pPr>
        <w:pStyle w:val="ListParagraph"/>
        <w:numPr>
          <w:ilvl w:val="0"/>
          <w:numId w:val="2"/>
        </w:numPr>
        <w:jc w:val="both"/>
        <w:rPr>
          <w:rFonts w:ascii="Arial" w:hAnsi="Arial" w:cs="Arial"/>
          <w:sz w:val="24"/>
          <w:szCs w:val="24"/>
          <w:lang w:val="en-GB"/>
        </w:rPr>
      </w:pPr>
      <w:r>
        <w:rPr>
          <w:rFonts w:ascii="Arial" w:hAnsi="Arial" w:cs="Arial"/>
          <w:b/>
          <w:bCs/>
          <w:sz w:val="24"/>
          <w:szCs w:val="24"/>
          <w:lang w:val="en-GB"/>
        </w:rPr>
        <w:t xml:space="preserve">Physical Infrastructure </w:t>
      </w:r>
      <w:r>
        <w:rPr>
          <w:rFonts w:ascii="Arial" w:hAnsi="Arial" w:cs="Arial"/>
          <w:sz w:val="24"/>
          <w:szCs w:val="24"/>
          <w:lang w:val="en-GB"/>
        </w:rPr>
        <w:t>through repair, rehabilitation, and reconstruction of facilities and services for transportation (roads</w:t>
      </w:r>
      <w:r w:rsidR="001A7E65">
        <w:rPr>
          <w:rFonts w:ascii="Arial" w:hAnsi="Arial" w:cs="Arial"/>
          <w:sz w:val="24"/>
          <w:szCs w:val="24"/>
          <w:lang w:val="en-GB"/>
        </w:rPr>
        <w:t>, bridges, and ports), utilities (water and power), telecommunications, community facilities, and social infrastructures (schools, health centers);</w:t>
      </w:r>
    </w:p>
    <w:p w14:paraId="6E36D461" w14:textId="77777777" w:rsidR="004D241F" w:rsidRDefault="004D241F" w:rsidP="00134ED0">
      <w:pPr>
        <w:pStyle w:val="ListParagraph"/>
        <w:numPr>
          <w:ilvl w:val="0"/>
          <w:numId w:val="2"/>
        </w:numPr>
        <w:jc w:val="both"/>
        <w:rPr>
          <w:rFonts w:ascii="Arial" w:hAnsi="Arial" w:cs="Arial"/>
          <w:sz w:val="24"/>
          <w:szCs w:val="24"/>
          <w:lang w:val="en-GB"/>
        </w:rPr>
      </w:pPr>
      <w:r>
        <w:rPr>
          <w:rFonts w:ascii="Arial" w:hAnsi="Arial" w:cs="Arial"/>
          <w:b/>
          <w:bCs/>
          <w:sz w:val="24"/>
          <w:szCs w:val="24"/>
          <w:lang w:val="en-GB"/>
        </w:rPr>
        <w:t xml:space="preserve">Social Services </w:t>
      </w:r>
      <w:r>
        <w:rPr>
          <w:rFonts w:ascii="Arial" w:hAnsi="Arial" w:cs="Arial"/>
          <w:sz w:val="24"/>
          <w:szCs w:val="24"/>
          <w:lang w:val="en-GB"/>
        </w:rPr>
        <w:t xml:space="preserve">by restoration of social services, particularly education, health and nutrition, and provision of social welfare services for the affected communities and vulnerable groups; and </w:t>
      </w:r>
    </w:p>
    <w:p w14:paraId="487E6ECB" w14:textId="77777777" w:rsidR="004D241F" w:rsidRPr="00182375" w:rsidRDefault="004D241F" w:rsidP="00134ED0">
      <w:pPr>
        <w:pStyle w:val="ListParagraph"/>
        <w:numPr>
          <w:ilvl w:val="0"/>
          <w:numId w:val="2"/>
        </w:numPr>
        <w:jc w:val="both"/>
        <w:rPr>
          <w:rFonts w:ascii="Arial" w:hAnsi="Arial" w:cs="Arial"/>
          <w:sz w:val="24"/>
          <w:szCs w:val="24"/>
          <w:lang w:val="en-GB"/>
        </w:rPr>
      </w:pPr>
      <w:r>
        <w:rPr>
          <w:rFonts w:ascii="Arial" w:hAnsi="Arial" w:cs="Arial"/>
          <w:b/>
          <w:bCs/>
          <w:sz w:val="24"/>
          <w:szCs w:val="24"/>
          <w:lang w:val="en-GB"/>
        </w:rPr>
        <w:t xml:space="preserve">Land Resource Management </w:t>
      </w:r>
      <w:r>
        <w:rPr>
          <w:rFonts w:ascii="Arial" w:hAnsi="Arial" w:cs="Arial"/>
          <w:sz w:val="24"/>
          <w:szCs w:val="24"/>
          <w:lang w:val="en-GB"/>
        </w:rPr>
        <w:t xml:space="preserve">through land administration, debris and solid waste management, water quality assessment and management, resource management.  </w:t>
      </w:r>
    </w:p>
    <w:p w14:paraId="356D4EC5" w14:textId="77777777" w:rsidR="00273A79" w:rsidRPr="00134ED0" w:rsidRDefault="00273A79" w:rsidP="00134ED0">
      <w:pPr>
        <w:jc w:val="both"/>
        <w:rPr>
          <w:rFonts w:ascii="Arial" w:hAnsi="Arial" w:cs="Arial"/>
          <w:sz w:val="24"/>
          <w:szCs w:val="24"/>
          <w:lang w:val="en-GB"/>
        </w:rPr>
      </w:pPr>
    </w:p>
    <w:p w14:paraId="16E9F7A9" w14:textId="408B8E3A" w:rsidR="001978A5" w:rsidRPr="00273A79" w:rsidRDefault="00273A79" w:rsidP="00134ED0">
      <w:pPr>
        <w:jc w:val="both"/>
        <w:rPr>
          <w:rFonts w:ascii="Arial" w:hAnsi="Arial" w:cs="Arial"/>
          <w:sz w:val="24"/>
          <w:szCs w:val="24"/>
        </w:rPr>
      </w:pPr>
      <w:r w:rsidRPr="00273A79">
        <w:rPr>
          <w:rFonts w:ascii="Arial" w:hAnsi="Arial" w:cs="Arial"/>
          <w:sz w:val="24"/>
          <w:szCs w:val="24"/>
        </w:rPr>
        <w:t>This example highlights the human cost of terrorism and as long as it exists, the Philippines will work tirelessly with the international community to counter its harmful effects</w:t>
      </w:r>
      <w:r w:rsidR="00451509">
        <w:rPr>
          <w:rFonts w:ascii="Arial" w:hAnsi="Arial" w:cs="Arial"/>
          <w:sz w:val="24"/>
          <w:szCs w:val="24"/>
        </w:rPr>
        <w:t xml:space="preserve">, </w:t>
      </w:r>
      <w:r w:rsidRPr="00273A79">
        <w:rPr>
          <w:rFonts w:ascii="Arial" w:hAnsi="Arial" w:cs="Arial"/>
          <w:sz w:val="24"/>
          <w:szCs w:val="24"/>
        </w:rPr>
        <w:t xml:space="preserve">as well as </w:t>
      </w:r>
      <w:r w:rsidR="00451509">
        <w:rPr>
          <w:rFonts w:ascii="Arial" w:hAnsi="Arial" w:cs="Arial"/>
          <w:sz w:val="24"/>
          <w:szCs w:val="24"/>
        </w:rPr>
        <w:t xml:space="preserve">to </w:t>
      </w:r>
      <w:r w:rsidRPr="00273A79">
        <w:rPr>
          <w:rFonts w:ascii="Arial" w:hAnsi="Arial" w:cs="Arial"/>
          <w:sz w:val="24"/>
          <w:szCs w:val="24"/>
        </w:rPr>
        <w:t>ensure that the human rights of individuals that would be violated by terrorists are protected and that they are provided the proper assistance if they fall victim to acts of terror.</w:t>
      </w:r>
    </w:p>
    <w:p w14:paraId="2012ACA0" w14:textId="63FBD2E6" w:rsidR="00EF1AEC" w:rsidRPr="003D303E" w:rsidRDefault="00BD697F" w:rsidP="003D303E">
      <w:pPr>
        <w:pStyle w:val="IntenseQuote"/>
        <w:ind w:left="0" w:right="26"/>
        <w:jc w:val="left"/>
        <w:rPr>
          <w:b/>
          <w:bCs/>
          <w:sz w:val="28"/>
          <w:szCs w:val="28"/>
          <w:lang w:val="en-GB"/>
        </w:rPr>
      </w:pPr>
      <w:r w:rsidRPr="005A58C4">
        <w:rPr>
          <w:b/>
          <w:bCs/>
          <w:sz w:val="28"/>
          <w:szCs w:val="28"/>
          <w:lang w:val="en-GB"/>
        </w:rPr>
        <w:t xml:space="preserve">Understanding </w:t>
      </w:r>
      <w:r w:rsidR="00EF1AEC" w:rsidRPr="005A58C4">
        <w:rPr>
          <w:b/>
          <w:bCs/>
          <w:sz w:val="28"/>
          <w:szCs w:val="28"/>
          <w:lang w:val="en-GB"/>
        </w:rPr>
        <w:t xml:space="preserve">Terrorism in the </w:t>
      </w:r>
      <w:r w:rsidR="007F0D1A" w:rsidRPr="005A58C4">
        <w:rPr>
          <w:b/>
          <w:bCs/>
          <w:sz w:val="28"/>
          <w:szCs w:val="28"/>
          <w:lang w:val="en-GB"/>
        </w:rPr>
        <w:t>C</w:t>
      </w:r>
      <w:r w:rsidRPr="005A58C4">
        <w:rPr>
          <w:b/>
          <w:bCs/>
          <w:sz w:val="28"/>
          <w:szCs w:val="28"/>
          <w:lang w:val="en-GB"/>
        </w:rPr>
        <w:t xml:space="preserve">ontext of the </w:t>
      </w:r>
      <w:r w:rsidR="00EF1AEC" w:rsidRPr="005A58C4">
        <w:rPr>
          <w:b/>
          <w:bCs/>
          <w:sz w:val="28"/>
          <w:szCs w:val="28"/>
          <w:lang w:val="en-GB"/>
        </w:rPr>
        <w:t xml:space="preserve">Philippines </w:t>
      </w:r>
    </w:p>
    <w:p w14:paraId="07752EED" w14:textId="4BF2D4F2" w:rsidR="00293EF7" w:rsidRPr="009773E3" w:rsidRDefault="001978A5" w:rsidP="00A30EE0">
      <w:pPr>
        <w:autoSpaceDE w:val="0"/>
        <w:autoSpaceDN w:val="0"/>
        <w:adjustRightInd w:val="0"/>
        <w:jc w:val="both"/>
        <w:rPr>
          <w:rFonts w:ascii="Arial" w:hAnsi="Arial" w:cs="Arial"/>
          <w:sz w:val="24"/>
          <w:szCs w:val="24"/>
        </w:rPr>
      </w:pPr>
      <w:r w:rsidRPr="00487B28">
        <w:rPr>
          <w:rFonts w:ascii="Arial" w:hAnsi="Arial" w:cs="Arial"/>
          <w:b/>
          <w:bCs/>
          <w:sz w:val="24"/>
          <w:szCs w:val="24"/>
        </w:rPr>
        <w:t>In 2019, the Philippines was included in the top ten list of countries most affected</w:t>
      </w:r>
      <w:r w:rsidR="00F2358F" w:rsidRPr="00487B28">
        <w:rPr>
          <w:rFonts w:ascii="Arial" w:hAnsi="Arial" w:cs="Arial"/>
          <w:b/>
          <w:bCs/>
          <w:sz w:val="24"/>
          <w:szCs w:val="24"/>
          <w:lang w:val="en-GB"/>
        </w:rPr>
        <w:t xml:space="preserve"> </w:t>
      </w:r>
      <w:r w:rsidRPr="00487B28">
        <w:rPr>
          <w:rFonts w:ascii="Arial" w:hAnsi="Arial" w:cs="Arial"/>
          <w:b/>
          <w:bCs/>
          <w:sz w:val="24"/>
          <w:szCs w:val="24"/>
        </w:rPr>
        <w:t>by</w:t>
      </w:r>
      <w:r w:rsidR="00F2358F" w:rsidRPr="00487B28">
        <w:rPr>
          <w:rFonts w:ascii="Arial" w:hAnsi="Arial" w:cs="Arial"/>
          <w:b/>
          <w:bCs/>
          <w:sz w:val="24"/>
          <w:szCs w:val="24"/>
          <w:lang w:val="en-GB"/>
        </w:rPr>
        <w:t xml:space="preserve"> </w:t>
      </w:r>
      <w:r w:rsidRPr="00487B28">
        <w:rPr>
          <w:rFonts w:ascii="Arial" w:hAnsi="Arial" w:cs="Arial"/>
          <w:b/>
          <w:bCs/>
          <w:sz w:val="24"/>
          <w:szCs w:val="24"/>
        </w:rPr>
        <w:t>terrorism in the Global Terrorism Index</w:t>
      </w:r>
      <w:r w:rsidRPr="00273A79">
        <w:rPr>
          <w:rFonts w:ascii="Arial" w:hAnsi="Arial" w:cs="Arial"/>
          <w:sz w:val="24"/>
          <w:szCs w:val="24"/>
        </w:rPr>
        <w:t>. The said index identified that the</w:t>
      </w:r>
      <w:r w:rsidRPr="00273A79">
        <w:rPr>
          <w:rFonts w:ascii="Arial" w:hAnsi="Arial" w:cs="Arial"/>
          <w:sz w:val="24"/>
          <w:szCs w:val="24"/>
          <w:lang w:val="en-GB"/>
        </w:rPr>
        <w:t xml:space="preserve"> </w:t>
      </w:r>
      <w:r w:rsidRPr="00273A79">
        <w:rPr>
          <w:rFonts w:ascii="Arial" w:hAnsi="Arial" w:cs="Arial"/>
          <w:sz w:val="24"/>
          <w:szCs w:val="24"/>
        </w:rPr>
        <w:t>Communist</w:t>
      </w:r>
      <w:r w:rsidRPr="00273A79">
        <w:rPr>
          <w:rFonts w:ascii="Arial" w:hAnsi="Arial" w:cs="Arial"/>
          <w:sz w:val="24"/>
          <w:szCs w:val="24"/>
          <w:lang w:val="en-GB"/>
        </w:rPr>
        <w:t xml:space="preserve"> </w:t>
      </w:r>
      <w:r w:rsidRPr="00273A79">
        <w:rPr>
          <w:rFonts w:ascii="Arial" w:hAnsi="Arial" w:cs="Arial"/>
          <w:sz w:val="24"/>
          <w:szCs w:val="24"/>
        </w:rPr>
        <w:t>Party of the Philippines-New People's Army (CPP-NPA) duo as the</w:t>
      </w:r>
      <w:r w:rsidRPr="00273A79">
        <w:rPr>
          <w:rFonts w:ascii="Arial" w:hAnsi="Arial" w:cs="Arial"/>
          <w:sz w:val="24"/>
          <w:szCs w:val="24"/>
          <w:lang w:val="en-GB"/>
        </w:rPr>
        <w:t xml:space="preserve"> </w:t>
      </w:r>
      <w:r w:rsidRPr="0002314F">
        <w:rPr>
          <w:rFonts w:ascii="Arial" w:hAnsi="Arial" w:cs="Arial"/>
          <w:b/>
          <w:bCs/>
          <w:sz w:val="24"/>
          <w:szCs w:val="24"/>
        </w:rPr>
        <w:t>deadliest of all terror</w:t>
      </w:r>
      <w:r w:rsidRPr="0002314F">
        <w:rPr>
          <w:rFonts w:ascii="Arial" w:hAnsi="Arial" w:cs="Arial"/>
          <w:b/>
          <w:bCs/>
          <w:sz w:val="24"/>
          <w:szCs w:val="24"/>
          <w:lang w:val="en-GB"/>
        </w:rPr>
        <w:t xml:space="preserve"> </w:t>
      </w:r>
      <w:r w:rsidRPr="0002314F">
        <w:rPr>
          <w:rFonts w:ascii="Arial" w:hAnsi="Arial" w:cs="Arial"/>
          <w:b/>
          <w:bCs/>
          <w:sz w:val="24"/>
          <w:szCs w:val="24"/>
        </w:rPr>
        <w:t>groups operating in the Philippines, responsible for 36 percent of all killings and 39</w:t>
      </w:r>
      <w:r w:rsidRPr="0002314F">
        <w:rPr>
          <w:rFonts w:ascii="Arial" w:hAnsi="Arial" w:cs="Arial"/>
          <w:b/>
          <w:bCs/>
          <w:sz w:val="24"/>
          <w:szCs w:val="24"/>
          <w:lang w:val="en-GB"/>
        </w:rPr>
        <w:t xml:space="preserve"> </w:t>
      </w:r>
      <w:r w:rsidRPr="0002314F">
        <w:rPr>
          <w:rFonts w:ascii="Arial" w:hAnsi="Arial" w:cs="Arial"/>
          <w:b/>
          <w:bCs/>
          <w:sz w:val="24"/>
          <w:szCs w:val="24"/>
        </w:rPr>
        <w:t>percent of all terror-related incidents</w:t>
      </w:r>
      <w:r w:rsidR="00A30EE0">
        <w:rPr>
          <w:rFonts w:ascii="Arial" w:hAnsi="Arial" w:cs="Arial"/>
          <w:sz w:val="24"/>
          <w:szCs w:val="24"/>
        </w:rPr>
        <w:t xml:space="preserve"> and </w:t>
      </w:r>
      <w:r w:rsidR="00293EF7" w:rsidRPr="009773E3">
        <w:rPr>
          <w:rFonts w:ascii="Arial" w:hAnsi="Arial" w:cs="Arial"/>
          <w:sz w:val="24"/>
          <w:szCs w:val="24"/>
        </w:rPr>
        <w:t>attacks against police, military and government targets</w:t>
      </w:r>
      <w:r w:rsidR="00A30EE0" w:rsidRPr="009773E3">
        <w:rPr>
          <w:rFonts w:ascii="Arial" w:hAnsi="Arial" w:cs="Arial"/>
          <w:sz w:val="24"/>
          <w:szCs w:val="24"/>
        </w:rPr>
        <w:t>. The table</w:t>
      </w:r>
      <w:r w:rsidR="00293EF7" w:rsidRPr="009773E3">
        <w:rPr>
          <w:rFonts w:ascii="Arial" w:hAnsi="Arial" w:cs="Arial"/>
          <w:sz w:val="24"/>
          <w:szCs w:val="24"/>
        </w:rPr>
        <w:t xml:space="preserve"> below shows the data provided in the 2019 Global Terrorism Index on the Philippines’ ranking by number of deaths from 2002.</w:t>
      </w:r>
    </w:p>
    <w:p w14:paraId="3595E170" w14:textId="57103B79" w:rsidR="00293EF7" w:rsidRPr="00A30EE0" w:rsidRDefault="00293EF7" w:rsidP="00A30EE0">
      <w:pPr>
        <w:pStyle w:val="TableCaption"/>
        <w:tabs>
          <w:tab w:val="clear" w:pos="1134"/>
        </w:tabs>
        <w:jc w:val="center"/>
        <w:rPr>
          <w:color w:val="auto"/>
          <w:u w:val="single"/>
        </w:rPr>
      </w:pPr>
      <w:r w:rsidRPr="00A30EE0">
        <w:rPr>
          <w:color w:val="auto"/>
          <w:u w:val="single"/>
        </w:rPr>
        <w:t xml:space="preserve">2019 Global Terrorism Index </w:t>
      </w:r>
      <w:r w:rsidR="009773E3">
        <w:rPr>
          <w:color w:val="auto"/>
          <w:u w:val="single"/>
        </w:rPr>
        <w:t>D</w:t>
      </w:r>
      <w:r w:rsidRPr="00A30EE0">
        <w:rPr>
          <w:color w:val="auto"/>
          <w:u w:val="single"/>
        </w:rPr>
        <w:t>ata on Philippine ranking  since 2002</w:t>
      </w:r>
    </w:p>
    <w:p w14:paraId="51F64706" w14:textId="77777777" w:rsidR="00293EF7" w:rsidRDefault="00293EF7" w:rsidP="00293EF7">
      <w:pPr>
        <w:pStyle w:val="TableNumber"/>
        <w:rPr>
          <w:lang w:val="en-US"/>
        </w:rPr>
      </w:pPr>
    </w:p>
    <w:tbl>
      <w:tblPr>
        <w:tblStyle w:val="TableGrid"/>
        <w:tblW w:w="0" w:type="auto"/>
        <w:jc w:val="center"/>
        <w:tblLook w:val="04A0" w:firstRow="1" w:lastRow="0" w:firstColumn="1" w:lastColumn="0" w:noHBand="0" w:noVBand="1"/>
      </w:tblPr>
      <w:tblGrid>
        <w:gridCol w:w="985"/>
        <w:gridCol w:w="985"/>
        <w:gridCol w:w="985"/>
        <w:gridCol w:w="985"/>
        <w:gridCol w:w="985"/>
        <w:gridCol w:w="985"/>
        <w:gridCol w:w="986"/>
        <w:gridCol w:w="986"/>
        <w:gridCol w:w="986"/>
      </w:tblGrid>
      <w:tr w:rsidR="00293EF7" w14:paraId="140E470C" w14:textId="77777777" w:rsidTr="00293EF7">
        <w:trPr>
          <w:jc w:val="center"/>
        </w:trPr>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0F9A00" w14:textId="77777777" w:rsidR="00293EF7" w:rsidRDefault="00293EF7">
            <w:pPr>
              <w:pStyle w:val="BodyText"/>
              <w:jc w:val="center"/>
              <w:rPr>
                <w:b/>
                <w:sz w:val="22"/>
                <w:lang w:val="en-US"/>
              </w:rPr>
            </w:pPr>
            <w:r>
              <w:rPr>
                <w:b/>
                <w:sz w:val="22"/>
                <w:lang w:val="en-US"/>
              </w:rPr>
              <w:t>2002</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93F6A0" w14:textId="77777777" w:rsidR="00293EF7" w:rsidRDefault="00293EF7">
            <w:pPr>
              <w:pStyle w:val="BodyText"/>
              <w:jc w:val="center"/>
              <w:rPr>
                <w:b/>
                <w:sz w:val="22"/>
                <w:lang w:val="en-US"/>
              </w:rPr>
            </w:pPr>
            <w:r>
              <w:rPr>
                <w:b/>
                <w:sz w:val="22"/>
                <w:lang w:val="en-US"/>
              </w:rPr>
              <w:t>2003</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691F15" w14:textId="77777777" w:rsidR="00293EF7" w:rsidRDefault="00293EF7">
            <w:pPr>
              <w:pStyle w:val="BodyText"/>
              <w:jc w:val="center"/>
              <w:rPr>
                <w:b/>
                <w:sz w:val="22"/>
                <w:lang w:val="en-US"/>
              </w:rPr>
            </w:pPr>
            <w:r>
              <w:rPr>
                <w:b/>
                <w:sz w:val="22"/>
                <w:lang w:val="en-US"/>
              </w:rPr>
              <w:t>2004</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DA42FF" w14:textId="77777777" w:rsidR="00293EF7" w:rsidRDefault="00293EF7">
            <w:pPr>
              <w:pStyle w:val="BodyText"/>
              <w:jc w:val="center"/>
              <w:rPr>
                <w:b/>
                <w:sz w:val="22"/>
                <w:lang w:val="en-US"/>
              </w:rPr>
            </w:pPr>
            <w:r>
              <w:rPr>
                <w:b/>
                <w:sz w:val="22"/>
                <w:lang w:val="en-US"/>
              </w:rPr>
              <w:t>2005</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48E65C" w14:textId="77777777" w:rsidR="00293EF7" w:rsidRDefault="00293EF7">
            <w:pPr>
              <w:pStyle w:val="BodyText"/>
              <w:jc w:val="center"/>
              <w:rPr>
                <w:b/>
                <w:sz w:val="22"/>
                <w:lang w:val="en-US"/>
              </w:rPr>
            </w:pPr>
            <w:r>
              <w:rPr>
                <w:b/>
                <w:sz w:val="22"/>
                <w:lang w:val="en-US"/>
              </w:rPr>
              <w:t>2006</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BA3A53" w14:textId="77777777" w:rsidR="00293EF7" w:rsidRDefault="00293EF7">
            <w:pPr>
              <w:pStyle w:val="BodyText"/>
              <w:jc w:val="center"/>
              <w:rPr>
                <w:b/>
                <w:sz w:val="22"/>
                <w:lang w:val="en-US"/>
              </w:rPr>
            </w:pPr>
            <w:r>
              <w:rPr>
                <w:b/>
                <w:sz w:val="22"/>
                <w:lang w:val="en-US"/>
              </w:rPr>
              <w:t>2007</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5C795D" w14:textId="77777777" w:rsidR="00293EF7" w:rsidRDefault="00293EF7">
            <w:pPr>
              <w:pStyle w:val="BodyText"/>
              <w:jc w:val="center"/>
              <w:rPr>
                <w:b/>
                <w:sz w:val="22"/>
                <w:lang w:val="en-US"/>
              </w:rPr>
            </w:pPr>
            <w:r>
              <w:rPr>
                <w:b/>
                <w:sz w:val="22"/>
                <w:lang w:val="en-US"/>
              </w:rPr>
              <w:t>2008</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A8BE40" w14:textId="77777777" w:rsidR="00293EF7" w:rsidRDefault="00293EF7">
            <w:pPr>
              <w:pStyle w:val="BodyText"/>
              <w:jc w:val="center"/>
              <w:rPr>
                <w:b/>
                <w:sz w:val="22"/>
                <w:lang w:val="en-US"/>
              </w:rPr>
            </w:pPr>
            <w:r>
              <w:rPr>
                <w:b/>
                <w:sz w:val="22"/>
                <w:lang w:val="en-US"/>
              </w:rPr>
              <w:t>2009</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977271" w14:textId="77777777" w:rsidR="00293EF7" w:rsidRDefault="00293EF7">
            <w:pPr>
              <w:pStyle w:val="BodyText"/>
              <w:jc w:val="center"/>
              <w:rPr>
                <w:b/>
                <w:sz w:val="22"/>
                <w:lang w:val="en-US"/>
              </w:rPr>
            </w:pPr>
            <w:r>
              <w:rPr>
                <w:b/>
                <w:sz w:val="22"/>
                <w:lang w:val="en-US"/>
              </w:rPr>
              <w:t>2010</w:t>
            </w:r>
          </w:p>
        </w:tc>
      </w:tr>
      <w:tr w:rsidR="00293EF7" w14:paraId="5DFA6FBC" w14:textId="77777777" w:rsidTr="00293EF7">
        <w:trPr>
          <w:jc w:val="center"/>
        </w:trPr>
        <w:tc>
          <w:tcPr>
            <w:tcW w:w="985" w:type="dxa"/>
            <w:tcBorders>
              <w:top w:val="single" w:sz="4" w:space="0" w:color="auto"/>
              <w:left w:val="single" w:sz="4" w:space="0" w:color="auto"/>
              <w:bottom w:val="single" w:sz="4" w:space="0" w:color="auto"/>
              <w:right w:val="single" w:sz="4" w:space="0" w:color="auto"/>
            </w:tcBorders>
            <w:hideMark/>
          </w:tcPr>
          <w:p w14:paraId="02C863B7" w14:textId="77777777" w:rsidR="00293EF7" w:rsidRDefault="00293EF7">
            <w:pPr>
              <w:pStyle w:val="BodyText"/>
              <w:jc w:val="center"/>
              <w:rPr>
                <w:sz w:val="22"/>
                <w:lang w:val="en-US"/>
              </w:rPr>
            </w:pPr>
            <w:r>
              <w:rPr>
                <w:sz w:val="22"/>
                <w:lang w:val="en-US"/>
              </w:rPr>
              <w:t>13</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5CA61A7A" w14:textId="77777777" w:rsidR="00293EF7" w:rsidRDefault="00293EF7">
            <w:pPr>
              <w:pStyle w:val="BodyText"/>
              <w:jc w:val="center"/>
              <w:rPr>
                <w:sz w:val="22"/>
                <w:lang w:val="en-US"/>
              </w:rPr>
            </w:pPr>
            <w:r>
              <w:rPr>
                <w:sz w:val="22"/>
                <w:lang w:val="en-US"/>
              </w:rPr>
              <w:t>8</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6B52A099" w14:textId="77777777" w:rsidR="00293EF7" w:rsidRDefault="00293EF7">
            <w:pPr>
              <w:pStyle w:val="BodyText"/>
              <w:jc w:val="center"/>
              <w:rPr>
                <w:sz w:val="22"/>
                <w:lang w:val="en-US"/>
              </w:rPr>
            </w:pPr>
            <w:r>
              <w:rPr>
                <w:sz w:val="22"/>
                <w:lang w:val="en-US"/>
              </w:rPr>
              <w:t>10</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5BE7FC1A" w14:textId="77777777" w:rsidR="00293EF7" w:rsidRDefault="00293EF7">
            <w:pPr>
              <w:pStyle w:val="BodyText"/>
              <w:jc w:val="center"/>
              <w:rPr>
                <w:sz w:val="22"/>
                <w:lang w:val="en-US"/>
              </w:rPr>
            </w:pPr>
            <w:r>
              <w:rPr>
                <w:sz w:val="22"/>
                <w:lang w:val="en-US"/>
              </w:rPr>
              <w:t>12</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6DBF4849" w14:textId="77777777" w:rsidR="00293EF7" w:rsidRDefault="00293EF7">
            <w:pPr>
              <w:pStyle w:val="BodyText"/>
              <w:jc w:val="center"/>
              <w:rPr>
                <w:sz w:val="22"/>
                <w:lang w:val="en-US"/>
              </w:rPr>
            </w:pPr>
            <w:r>
              <w:rPr>
                <w:sz w:val="22"/>
                <w:lang w:val="en-US"/>
              </w:rPr>
              <w:t>14</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5E45065D" w14:textId="77777777" w:rsidR="00293EF7" w:rsidRDefault="00293EF7">
            <w:pPr>
              <w:pStyle w:val="BodyText"/>
              <w:jc w:val="center"/>
              <w:rPr>
                <w:sz w:val="22"/>
                <w:lang w:val="en-US"/>
              </w:rPr>
            </w:pPr>
            <w:r>
              <w:rPr>
                <w:sz w:val="22"/>
                <w:lang w:val="en-US"/>
              </w:rPr>
              <w:t>12</w:t>
            </w:r>
            <w:r>
              <w:rPr>
                <w:sz w:val="22"/>
                <w:vertAlign w:val="superscript"/>
                <w:lang w:val="en-US"/>
              </w:rPr>
              <w:t>th</w:t>
            </w:r>
            <w:r>
              <w:rPr>
                <w:sz w:val="22"/>
                <w:lang w:val="en-US"/>
              </w:rPr>
              <w:t xml:space="preserve"> </w:t>
            </w:r>
          </w:p>
        </w:tc>
        <w:tc>
          <w:tcPr>
            <w:tcW w:w="986" w:type="dxa"/>
            <w:tcBorders>
              <w:top w:val="single" w:sz="4" w:space="0" w:color="auto"/>
              <w:left w:val="single" w:sz="4" w:space="0" w:color="auto"/>
              <w:bottom w:val="single" w:sz="4" w:space="0" w:color="auto"/>
              <w:right w:val="single" w:sz="4" w:space="0" w:color="auto"/>
            </w:tcBorders>
            <w:hideMark/>
          </w:tcPr>
          <w:p w14:paraId="191202B7" w14:textId="77777777" w:rsidR="00293EF7" w:rsidRDefault="00293EF7">
            <w:pPr>
              <w:pStyle w:val="BodyText"/>
              <w:jc w:val="center"/>
              <w:rPr>
                <w:sz w:val="22"/>
                <w:lang w:val="en-US"/>
              </w:rPr>
            </w:pPr>
            <w:r>
              <w:rPr>
                <w:sz w:val="22"/>
                <w:lang w:val="en-US"/>
              </w:rPr>
              <w:t>8</w:t>
            </w:r>
            <w:r>
              <w:rPr>
                <w:sz w:val="22"/>
                <w:vertAlign w:val="superscript"/>
                <w:lang w:val="en-US"/>
              </w:rPr>
              <w:t>th</w:t>
            </w:r>
            <w:r>
              <w:rPr>
                <w:sz w:val="22"/>
                <w:lang w:val="en-US"/>
              </w:rPr>
              <w:t xml:space="preserve"> </w:t>
            </w:r>
          </w:p>
        </w:tc>
        <w:tc>
          <w:tcPr>
            <w:tcW w:w="986" w:type="dxa"/>
            <w:tcBorders>
              <w:top w:val="single" w:sz="4" w:space="0" w:color="auto"/>
              <w:left w:val="single" w:sz="4" w:space="0" w:color="auto"/>
              <w:bottom w:val="single" w:sz="4" w:space="0" w:color="auto"/>
              <w:right w:val="single" w:sz="4" w:space="0" w:color="auto"/>
            </w:tcBorders>
            <w:hideMark/>
          </w:tcPr>
          <w:p w14:paraId="62FEF3A8" w14:textId="77777777" w:rsidR="00293EF7" w:rsidRDefault="00293EF7">
            <w:pPr>
              <w:pStyle w:val="BodyText"/>
              <w:jc w:val="center"/>
              <w:rPr>
                <w:sz w:val="22"/>
                <w:lang w:val="en-US"/>
              </w:rPr>
            </w:pPr>
            <w:r>
              <w:rPr>
                <w:sz w:val="22"/>
                <w:lang w:val="en-US"/>
              </w:rPr>
              <w:t>9</w:t>
            </w:r>
            <w:r>
              <w:rPr>
                <w:sz w:val="22"/>
                <w:vertAlign w:val="superscript"/>
                <w:lang w:val="en-US"/>
              </w:rPr>
              <w:t>th</w:t>
            </w:r>
            <w:r>
              <w:rPr>
                <w:sz w:val="22"/>
                <w:lang w:val="en-US"/>
              </w:rPr>
              <w:t xml:space="preserve"> </w:t>
            </w:r>
          </w:p>
        </w:tc>
        <w:tc>
          <w:tcPr>
            <w:tcW w:w="986" w:type="dxa"/>
            <w:tcBorders>
              <w:top w:val="single" w:sz="4" w:space="0" w:color="auto"/>
              <w:left w:val="single" w:sz="4" w:space="0" w:color="auto"/>
              <w:bottom w:val="single" w:sz="4" w:space="0" w:color="auto"/>
              <w:right w:val="single" w:sz="4" w:space="0" w:color="auto"/>
            </w:tcBorders>
            <w:hideMark/>
          </w:tcPr>
          <w:p w14:paraId="69D65151" w14:textId="77777777" w:rsidR="00293EF7" w:rsidRDefault="00293EF7">
            <w:pPr>
              <w:pStyle w:val="BodyText"/>
              <w:jc w:val="center"/>
              <w:rPr>
                <w:sz w:val="22"/>
                <w:lang w:val="en-US"/>
              </w:rPr>
            </w:pPr>
            <w:r>
              <w:rPr>
                <w:sz w:val="22"/>
                <w:lang w:val="en-US"/>
              </w:rPr>
              <w:t>9</w:t>
            </w:r>
            <w:r>
              <w:rPr>
                <w:sz w:val="22"/>
                <w:vertAlign w:val="superscript"/>
                <w:lang w:val="en-US"/>
              </w:rPr>
              <w:t>th</w:t>
            </w:r>
            <w:r>
              <w:rPr>
                <w:sz w:val="22"/>
                <w:lang w:val="en-US"/>
              </w:rPr>
              <w:t xml:space="preserve"> </w:t>
            </w:r>
          </w:p>
        </w:tc>
      </w:tr>
      <w:tr w:rsidR="00293EF7" w14:paraId="135B2807" w14:textId="77777777" w:rsidTr="00293EF7">
        <w:trPr>
          <w:jc w:val="center"/>
        </w:trPr>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9D5AEF" w14:textId="77777777" w:rsidR="00293EF7" w:rsidRDefault="00293EF7">
            <w:pPr>
              <w:pStyle w:val="BodyText"/>
              <w:jc w:val="center"/>
              <w:rPr>
                <w:b/>
                <w:sz w:val="22"/>
                <w:lang w:val="en-US"/>
              </w:rPr>
            </w:pPr>
            <w:r>
              <w:rPr>
                <w:b/>
                <w:sz w:val="22"/>
                <w:lang w:val="en-US"/>
              </w:rPr>
              <w:t>2011</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B66249" w14:textId="77777777" w:rsidR="00293EF7" w:rsidRDefault="00293EF7">
            <w:pPr>
              <w:pStyle w:val="BodyText"/>
              <w:jc w:val="center"/>
              <w:rPr>
                <w:b/>
                <w:sz w:val="22"/>
                <w:lang w:val="en-US"/>
              </w:rPr>
            </w:pPr>
            <w:r>
              <w:rPr>
                <w:b/>
                <w:sz w:val="22"/>
                <w:lang w:val="en-US"/>
              </w:rPr>
              <w:t>2012</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E54DE2" w14:textId="77777777" w:rsidR="00293EF7" w:rsidRDefault="00293EF7">
            <w:pPr>
              <w:pStyle w:val="BodyText"/>
              <w:jc w:val="center"/>
              <w:rPr>
                <w:b/>
                <w:sz w:val="22"/>
                <w:lang w:val="en-US"/>
              </w:rPr>
            </w:pPr>
            <w:r>
              <w:rPr>
                <w:b/>
                <w:sz w:val="22"/>
                <w:lang w:val="en-US"/>
              </w:rPr>
              <w:t>2013</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E995E4" w14:textId="77777777" w:rsidR="00293EF7" w:rsidRDefault="00293EF7">
            <w:pPr>
              <w:pStyle w:val="BodyText"/>
              <w:jc w:val="center"/>
              <w:rPr>
                <w:b/>
                <w:sz w:val="22"/>
                <w:lang w:val="en-US"/>
              </w:rPr>
            </w:pPr>
            <w:r>
              <w:rPr>
                <w:b/>
                <w:sz w:val="22"/>
                <w:lang w:val="en-US"/>
              </w:rPr>
              <w:t>2014</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282DE9" w14:textId="77777777" w:rsidR="00293EF7" w:rsidRDefault="00293EF7">
            <w:pPr>
              <w:pStyle w:val="BodyText"/>
              <w:jc w:val="center"/>
              <w:rPr>
                <w:b/>
                <w:sz w:val="22"/>
                <w:lang w:val="en-US"/>
              </w:rPr>
            </w:pPr>
            <w:r>
              <w:rPr>
                <w:b/>
                <w:sz w:val="22"/>
                <w:lang w:val="en-US"/>
              </w:rPr>
              <w:t>2015</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761491" w14:textId="77777777" w:rsidR="00293EF7" w:rsidRDefault="00293EF7">
            <w:pPr>
              <w:pStyle w:val="BodyText"/>
              <w:jc w:val="center"/>
              <w:rPr>
                <w:b/>
                <w:sz w:val="22"/>
                <w:lang w:val="en-US"/>
              </w:rPr>
            </w:pPr>
            <w:r>
              <w:rPr>
                <w:b/>
                <w:sz w:val="22"/>
                <w:lang w:val="en-US"/>
              </w:rPr>
              <w:t>2016</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FDF1C" w14:textId="77777777" w:rsidR="00293EF7" w:rsidRDefault="00293EF7">
            <w:pPr>
              <w:pStyle w:val="BodyText"/>
              <w:jc w:val="center"/>
              <w:rPr>
                <w:b/>
                <w:sz w:val="22"/>
                <w:lang w:val="en-US"/>
              </w:rPr>
            </w:pPr>
            <w:r>
              <w:rPr>
                <w:b/>
                <w:sz w:val="22"/>
                <w:lang w:val="en-US"/>
              </w:rPr>
              <w:t>2017</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1F0640" w14:textId="77777777" w:rsidR="00293EF7" w:rsidRDefault="00293EF7">
            <w:pPr>
              <w:pStyle w:val="BodyText"/>
              <w:jc w:val="center"/>
              <w:rPr>
                <w:b/>
                <w:sz w:val="22"/>
                <w:lang w:val="en-US"/>
              </w:rPr>
            </w:pPr>
            <w:r>
              <w:rPr>
                <w:b/>
                <w:sz w:val="22"/>
                <w:lang w:val="en-US"/>
              </w:rPr>
              <w:t>2018</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F66E4" w14:textId="77777777" w:rsidR="00293EF7" w:rsidRDefault="00293EF7">
            <w:pPr>
              <w:pStyle w:val="BodyText"/>
              <w:jc w:val="center"/>
              <w:rPr>
                <w:b/>
                <w:sz w:val="22"/>
                <w:lang w:val="en-US"/>
              </w:rPr>
            </w:pPr>
          </w:p>
        </w:tc>
      </w:tr>
      <w:tr w:rsidR="00293EF7" w14:paraId="3701708C" w14:textId="77777777" w:rsidTr="00293EF7">
        <w:trPr>
          <w:jc w:val="center"/>
        </w:trPr>
        <w:tc>
          <w:tcPr>
            <w:tcW w:w="985" w:type="dxa"/>
            <w:tcBorders>
              <w:top w:val="single" w:sz="4" w:space="0" w:color="auto"/>
              <w:left w:val="single" w:sz="4" w:space="0" w:color="auto"/>
              <w:bottom w:val="single" w:sz="4" w:space="0" w:color="auto"/>
              <w:right w:val="single" w:sz="4" w:space="0" w:color="auto"/>
            </w:tcBorders>
            <w:hideMark/>
          </w:tcPr>
          <w:p w14:paraId="2B1B4DF1" w14:textId="77777777" w:rsidR="00293EF7" w:rsidRDefault="00293EF7">
            <w:pPr>
              <w:pStyle w:val="BodyText"/>
              <w:jc w:val="center"/>
              <w:rPr>
                <w:sz w:val="22"/>
                <w:lang w:val="en-US"/>
              </w:rPr>
            </w:pPr>
            <w:r>
              <w:rPr>
                <w:sz w:val="22"/>
                <w:lang w:val="en-US"/>
              </w:rPr>
              <w:t>10</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5189CF45" w14:textId="77777777" w:rsidR="00293EF7" w:rsidRDefault="00293EF7">
            <w:pPr>
              <w:pStyle w:val="BodyText"/>
              <w:jc w:val="center"/>
              <w:rPr>
                <w:sz w:val="22"/>
                <w:lang w:val="en-US"/>
              </w:rPr>
            </w:pPr>
            <w:r>
              <w:rPr>
                <w:sz w:val="22"/>
                <w:lang w:val="en-US"/>
              </w:rPr>
              <w:t>11</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2EE1772A" w14:textId="77777777" w:rsidR="00293EF7" w:rsidRDefault="00293EF7">
            <w:pPr>
              <w:pStyle w:val="BodyText"/>
              <w:jc w:val="center"/>
              <w:rPr>
                <w:sz w:val="22"/>
                <w:lang w:val="en-US"/>
              </w:rPr>
            </w:pPr>
            <w:r>
              <w:rPr>
                <w:sz w:val="22"/>
                <w:lang w:val="en-US"/>
              </w:rPr>
              <w:t>9</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1AA54BB8" w14:textId="77777777" w:rsidR="00293EF7" w:rsidRDefault="00293EF7">
            <w:pPr>
              <w:pStyle w:val="BodyText"/>
              <w:jc w:val="center"/>
              <w:rPr>
                <w:sz w:val="22"/>
                <w:lang w:val="en-US"/>
              </w:rPr>
            </w:pPr>
            <w:r>
              <w:rPr>
                <w:sz w:val="22"/>
                <w:lang w:val="en-US"/>
              </w:rPr>
              <w:t>11</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525693EE" w14:textId="77777777" w:rsidR="00293EF7" w:rsidRDefault="00293EF7">
            <w:pPr>
              <w:pStyle w:val="BodyText"/>
              <w:jc w:val="center"/>
              <w:rPr>
                <w:sz w:val="22"/>
                <w:lang w:val="en-US"/>
              </w:rPr>
            </w:pPr>
            <w:r>
              <w:rPr>
                <w:sz w:val="22"/>
                <w:lang w:val="en-US"/>
              </w:rPr>
              <w:t>12</w:t>
            </w:r>
            <w:r>
              <w:rPr>
                <w:sz w:val="22"/>
                <w:vertAlign w:val="superscript"/>
                <w:lang w:val="en-US"/>
              </w:rPr>
              <w:t>th</w:t>
            </w:r>
            <w:r>
              <w:rPr>
                <w:sz w:val="22"/>
                <w:lang w:val="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5E75F33E" w14:textId="77777777" w:rsidR="00293EF7" w:rsidRDefault="00293EF7">
            <w:pPr>
              <w:pStyle w:val="BodyText"/>
              <w:jc w:val="center"/>
              <w:rPr>
                <w:sz w:val="22"/>
                <w:lang w:val="en-US"/>
              </w:rPr>
            </w:pPr>
            <w:r>
              <w:rPr>
                <w:sz w:val="22"/>
                <w:lang w:val="en-US"/>
              </w:rPr>
              <w:t>12</w:t>
            </w:r>
            <w:r>
              <w:rPr>
                <w:sz w:val="22"/>
                <w:vertAlign w:val="superscript"/>
                <w:lang w:val="en-US"/>
              </w:rPr>
              <w:t>th</w:t>
            </w:r>
            <w:r>
              <w:rPr>
                <w:sz w:val="22"/>
                <w:lang w:val="en-US"/>
              </w:rPr>
              <w:t xml:space="preserve"> </w:t>
            </w:r>
          </w:p>
        </w:tc>
        <w:tc>
          <w:tcPr>
            <w:tcW w:w="986" w:type="dxa"/>
            <w:tcBorders>
              <w:top w:val="single" w:sz="4" w:space="0" w:color="auto"/>
              <w:left w:val="single" w:sz="4" w:space="0" w:color="auto"/>
              <w:bottom w:val="single" w:sz="4" w:space="0" w:color="auto"/>
              <w:right w:val="single" w:sz="4" w:space="0" w:color="auto"/>
            </w:tcBorders>
            <w:hideMark/>
          </w:tcPr>
          <w:p w14:paraId="6E016CEF" w14:textId="77777777" w:rsidR="00293EF7" w:rsidRDefault="00293EF7">
            <w:pPr>
              <w:pStyle w:val="BodyText"/>
              <w:jc w:val="center"/>
              <w:rPr>
                <w:sz w:val="22"/>
                <w:lang w:val="en-US"/>
              </w:rPr>
            </w:pPr>
            <w:r>
              <w:rPr>
                <w:sz w:val="22"/>
                <w:lang w:val="en-US"/>
              </w:rPr>
              <w:t>10</w:t>
            </w:r>
            <w:r>
              <w:rPr>
                <w:sz w:val="22"/>
                <w:vertAlign w:val="superscript"/>
                <w:lang w:val="en-US"/>
              </w:rPr>
              <w:t>th</w:t>
            </w:r>
            <w:r>
              <w:rPr>
                <w:sz w:val="22"/>
                <w:lang w:val="en-US"/>
              </w:rPr>
              <w:t xml:space="preserve"> </w:t>
            </w:r>
          </w:p>
        </w:tc>
        <w:tc>
          <w:tcPr>
            <w:tcW w:w="986" w:type="dxa"/>
            <w:tcBorders>
              <w:top w:val="single" w:sz="4" w:space="0" w:color="auto"/>
              <w:left w:val="single" w:sz="4" w:space="0" w:color="auto"/>
              <w:bottom w:val="single" w:sz="4" w:space="0" w:color="auto"/>
              <w:right w:val="single" w:sz="4" w:space="0" w:color="auto"/>
            </w:tcBorders>
            <w:hideMark/>
          </w:tcPr>
          <w:p w14:paraId="47BCFDBE" w14:textId="77777777" w:rsidR="00293EF7" w:rsidRDefault="00293EF7">
            <w:pPr>
              <w:pStyle w:val="BodyText"/>
              <w:jc w:val="center"/>
              <w:rPr>
                <w:sz w:val="22"/>
                <w:lang w:val="en-US"/>
              </w:rPr>
            </w:pPr>
            <w:r>
              <w:rPr>
                <w:sz w:val="22"/>
                <w:lang w:val="en-US"/>
              </w:rPr>
              <w:t>9</w:t>
            </w:r>
            <w:r>
              <w:rPr>
                <w:sz w:val="22"/>
                <w:vertAlign w:val="superscript"/>
                <w:lang w:val="en-US"/>
              </w:rPr>
              <w:t>th</w:t>
            </w:r>
            <w:r>
              <w:rPr>
                <w:sz w:val="22"/>
                <w:lang w:val="en-US"/>
              </w:rPr>
              <w:t xml:space="preserve"> </w:t>
            </w:r>
          </w:p>
        </w:tc>
        <w:tc>
          <w:tcPr>
            <w:tcW w:w="986" w:type="dxa"/>
            <w:tcBorders>
              <w:top w:val="single" w:sz="4" w:space="0" w:color="auto"/>
              <w:left w:val="single" w:sz="4" w:space="0" w:color="auto"/>
              <w:bottom w:val="single" w:sz="4" w:space="0" w:color="auto"/>
              <w:right w:val="single" w:sz="4" w:space="0" w:color="auto"/>
            </w:tcBorders>
          </w:tcPr>
          <w:p w14:paraId="385F31AC" w14:textId="77777777" w:rsidR="00293EF7" w:rsidRDefault="00293EF7">
            <w:pPr>
              <w:pStyle w:val="BodyText"/>
              <w:jc w:val="center"/>
              <w:rPr>
                <w:sz w:val="22"/>
                <w:lang w:val="en-US"/>
              </w:rPr>
            </w:pPr>
          </w:p>
        </w:tc>
      </w:tr>
    </w:tbl>
    <w:p w14:paraId="13D7AEF1" w14:textId="6E261655" w:rsidR="00293EF7" w:rsidRDefault="00293EF7" w:rsidP="00F2358F">
      <w:pPr>
        <w:autoSpaceDE w:val="0"/>
        <w:autoSpaceDN w:val="0"/>
        <w:adjustRightInd w:val="0"/>
        <w:jc w:val="both"/>
        <w:rPr>
          <w:rFonts w:ascii="Arial" w:hAnsi="Arial" w:cs="Arial"/>
          <w:sz w:val="24"/>
          <w:szCs w:val="24"/>
        </w:rPr>
      </w:pPr>
    </w:p>
    <w:p w14:paraId="4633A354" w14:textId="77777777" w:rsidR="003E16EB" w:rsidRPr="00273A79" w:rsidRDefault="003E16EB" w:rsidP="00F2358F">
      <w:pPr>
        <w:autoSpaceDE w:val="0"/>
        <w:autoSpaceDN w:val="0"/>
        <w:adjustRightInd w:val="0"/>
        <w:jc w:val="both"/>
        <w:rPr>
          <w:rFonts w:ascii="Arial" w:hAnsi="Arial" w:cs="Arial"/>
          <w:sz w:val="24"/>
          <w:szCs w:val="24"/>
        </w:rPr>
      </w:pPr>
    </w:p>
    <w:p w14:paraId="545F2153" w14:textId="77777777" w:rsidR="001978A5" w:rsidRPr="00232A76" w:rsidRDefault="001978A5" w:rsidP="00F2358F">
      <w:pPr>
        <w:autoSpaceDE w:val="0"/>
        <w:autoSpaceDN w:val="0"/>
        <w:adjustRightInd w:val="0"/>
        <w:jc w:val="both"/>
        <w:rPr>
          <w:rFonts w:ascii="Arial" w:hAnsi="Arial" w:cs="Arial"/>
          <w:sz w:val="24"/>
          <w:szCs w:val="24"/>
        </w:rPr>
      </w:pPr>
      <w:r w:rsidRPr="00232A76">
        <w:rPr>
          <w:rFonts w:ascii="Arial" w:hAnsi="Arial" w:cs="Arial"/>
          <w:sz w:val="24"/>
          <w:szCs w:val="24"/>
        </w:rPr>
        <w:t xml:space="preserve">The </w:t>
      </w:r>
      <w:r w:rsidRPr="00232A76">
        <w:rPr>
          <w:rFonts w:ascii="Arial" w:hAnsi="Arial" w:cs="Arial"/>
          <w:b/>
          <w:bCs/>
          <w:sz w:val="24"/>
          <w:szCs w:val="24"/>
        </w:rPr>
        <w:t xml:space="preserve">European Union (EU) </w:t>
      </w:r>
      <w:r w:rsidRPr="00232A76">
        <w:rPr>
          <w:rFonts w:ascii="Arial" w:hAnsi="Arial" w:cs="Arial"/>
          <w:sz w:val="24"/>
          <w:szCs w:val="24"/>
        </w:rPr>
        <w:t xml:space="preserve">designated the CPP-NPA as a </w:t>
      </w:r>
      <w:r w:rsidRPr="00F33BF5">
        <w:rPr>
          <w:rFonts w:ascii="Arial" w:hAnsi="Arial" w:cs="Arial"/>
          <w:b/>
          <w:bCs/>
          <w:sz w:val="24"/>
          <w:szCs w:val="24"/>
        </w:rPr>
        <w:t>terrorist organization</w:t>
      </w:r>
      <w:r w:rsidR="00F2358F" w:rsidRPr="00232A76">
        <w:rPr>
          <w:rFonts w:ascii="Arial" w:hAnsi="Arial" w:cs="Arial"/>
          <w:sz w:val="24"/>
          <w:szCs w:val="24"/>
          <w:lang w:val="en-GB"/>
        </w:rPr>
        <w:t xml:space="preserve"> </w:t>
      </w:r>
      <w:r w:rsidRPr="00232A76">
        <w:rPr>
          <w:rFonts w:ascii="Arial" w:hAnsi="Arial" w:cs="Arial"/>
          <w:sz w:val="24"/>
          <w:szCs w:val="24"/>
        </w:rPr>
        <w:t>through Council Decision 2011</w:t>
      </w:r>
      <w:r w:rsidR="000E6059" w:rsidRPr="00232A76">
        <w:rPr>
          <w:rFonts w:ascii="Arial" w:hAnsi="Arial" w:cs="Arial"/>
          <w:sz w:val="24"/>
          <w:szCs w:val="24"/>
          <w:lang w:val="en-GB"/>
        </w:rPr>
        <w:t>/</w:t>
      </w:r>
      <w:r w:rsidRPr="00232A76">
        <w:rPr>
          <w:rFonts w:ascii="Arial" w:hAnsi="Arial" w:cs="Arial"/>
          <w:sz w:val="24"/>
          <w:szCs w:val="24"/>
        </w:rPr>
        <w:t>70</w:t>
      </w:r>
      <w:r w:rsidR="000E6059" w:rsidRPr="00232A76">
        <w:rPr>
          <w:rFonts w:ascii="Arial" w:hAnsi="Arial" w:cs="Arial"/>
          <w:sz w:val="24"/>
          <w:szCs w:val="24"/>
          <w:lang w:val="en-GB"/>
        </w:rPr>
        <w:t>/</w:t>
      </w:r>
      <w:r w:rsidRPr="00232A76">
        <w:rPr>
          <w:rFonts w:ascii="Arial" w:hAnsi="Arial" w:cs="Arial"/>
          <w:sz w:val="24"/>
          <w:szCs w:val="24"/>
        </w:rPr>
        <w:t xml:space="preserve">CFSP, dated 31 January 2011. In addition, the </w:t>
      </w:r>
      <w:r w:rsidRPr="00232A76">
        <w:rPr>
          <w:rFonts w:ascii="Arial" w:hAnsi="Arial" w:cs="Arial"/>
          <w:b/>
          <w:bCs/>
          <w:sz w:val="24"/>
          <w:szCs w:val="24"/>
        </w:rPr>
        <w:t>UN</w:t>
      </w:r>
      <w:r w:rsidR="00F2358F" w:rsidRPr="00232A76">
        <w:rPr>
          <w:rFonts w:ascii="Arial" w:hAnsi="Arial" w:cs="Arial"/>
          <w:b/>
          <w:bCs/>
          <w:sz w:val="24"/>
          <w:szCs w:val="24"/>
          <w:lang w:val="en-GB"/>
        </w:rPr>
        <w:t xml:space="preserve"> </w:t>
      </w:r>
      <w:r w:rsidRPr="00232A76">
        <w:rPr>
          <w:rFonts w:ascii="Arial" w:hAnsi="Arial" w:cs="Arial"/>
          <w:b/>
          <w:bCs/>
          <w:sz w:val="24"/>
          <w:szCs w:val="24"/>
        </w:rPr>
        <w:t>through Security Council Resolutions 1379 (2002), 1882 (2009),1998 (2011) and 2225</w:t>
      </w:r>
      <w:r w:rsidRPr="00232A76">
        <w:rPr>
          <w:rFonts w:ascii="Arial" w:hAnsi="Arial" w:cs="Arial"/>
          <w:b/>
          <w:bCs/>
          <w:sz w:val="24"/>
          <w:szCs w:val="24"/>
          <w:lang w:val="en-GB"/>
        </w:rPr>
        <w:t xml:space="preserve"> </w:t>
      </w:r>
      <w:r w:rsidRPr="00232A76">
        <w:rPr>
          <w:rFonts w:ascii="Arial" w:hAnsi="Arial" w:cs="Arial"/>
          <w:b/>
          <w:bCs/>
          <w:sz w:val="24"/>
          <w:szCs w:val="24"/>
        </w:rPr>
        <w:t>(2015)</w:t>
      </w:r>
      <w:r w:rsidRPr="00232A76">
        <w:rPr>
          <w:rFonts w:ascii="Arial" w:hAnsi="Arial" w:cs="Arial"/>
          <w:sz w:val="24"/>
          <w:szCs w:val="24"/>
        </w:rPr>
        <w:t xml:space="preserve"> declared the CPP-NPA </w:t>
      </w:r>
      <w:r w:rsidRPr="00F33BF5">
        <w:rPr>
          <w:rFonts w:ascii="Arial" w:hAnsi="Arial" w:cs="Arial"/>
          <w:b/>
          <w:bCs/>
          <w:sz w:val="24"/>
          <w:szCs w:val="24"/>
        </w:rPr>
        <w:t>terror group as responsible for committing grave violations</w:t>
      </w:r>
      <w:r w:rsidRPr="00F33BF5">
        <w:rPr>
          <w:rFonts w:ascii="Arial" w:hAnsi="Arial" w:cs="Arial"/>
          <w:b/>
          <w:bCs/>
          <w:sz w:val="24"/>
          <w:szCs w:val="24"/>
          <w:lang w:val="en-GB"/>
        </w:rPr>
        <w:t xml:space="preserve"> </w:t>
      </w:r>
      <w:r w:rsidRPr="00F33BF5">
        <w:rPr>
          <w:rFonts w:ascii="Arial" w:hAnsi="Arial" w:cs="Arial"/>
          <w:b/>
          <w:bCs/>
          <w:sz w:val="24"/>
          <w:szCs w:val="24"/>
        </w:rPr>
        <w:t>affecting children in situations of armed conflict</w:t>
      </w:r>
      <w:r w:rsidRPr="00232A76">
        <w:rPr>
          <w:rFonts w:ascii="Arial" w:hAnsi="Arial" w:cs="Arial"/>
          <w:sz w:val="24"/>
          <w:szCs w:val="24"/>
        </w:rPr>
        <w:t>.</w:t>
      </w:r>
    </w:p>
    <w:p w14:paraId="608E5BD2" w14:textId="77777777" w:rsidR="001978A5" w:rsidRPr="00273A79" w:rsidRDefault="001978A5" w:rsidP="00F2358F">
      <w:pPr>
        <w:autoSpaceDE w:val="0"/>
        <w:autoSpaceDN w:val="0"/>
        <w:adjustRightInd w:val="0"/>
        <w:jc w:val="both"/>
        <w:rPr>
          <w:rFonts w:ascii="Arial" w:hAnsi="Arial" w:cs="Arial"/>
          <w:sz w:val="24"/>
          <w:szCs w:val="24"/>
        </w:rPr>
      </w:pPr>
    </w:p>
    <w:p w14:paraId="50656BFE" w14:textId="77777777" w:rsidR="001978A5" w:rsidRPr="00273A79" w:rsidRDefault="001978A5" w:rsidP="00F2358F">
      <w:pPr>
        <w:autoSpaceDE w:val="0"/>
        <w:autoSpaceDN w:val="0"/>
        <w:adjustRightInd w:val="0"/>
        <w:jc w:val="both"/>
        <w:rPr>
          <w:rFonts w:ascii="Arial" w:hAnsi="Arial" w:cs="Arial"/>
          <w:sz w:val="24"/>
          <w:szCs w:val="24"/>
        </w:rPr>
      </w:pPr>
      <w:r w:rsidRPr="00273A79">
        <w:rPr>
          <w:rFonts w:ascii="Arial" w:hAnsi="Arial" w:cs="Arial"/>
          <w:sz w:val="24"/>
          <w:szCs w:val="24"/>
        </w:rPr>
        <w:t>As a result of the calls of the UN Office of the High Commissioner on Human Rights</w:t>
      </w:r>
      <w:r w:rsidR="00F2358F" w:rsidRPr="00273A79">
        <w:rPr>
          <w:rFonts w:ascii="Arial" w:hAnsi="Arial" w:cs="Arial"/>
          <w:sz w:val="24"/>
          <w:szCs w:val="24"/>
          <w:lang w:val="en-GB"/>
        </w:rPr>
        <w:t xml:space="preserve"> </w:t>
      </w:r>
      <w:r w:rsidRPr="00273A79">
        <w:rPr>
          <w:rFonts w:ascii="Arial" w:hAnsi="Arial" w:cs="Arial"/>
          <w:sz w:val="24"/>
          <w:szCs w:val="24"/>
        </w:rPr>
        <w:t>for stakeholder submissions on the human rights situation in the Philippines</w:t>
      </w:r>
      <w:r w:rsidR="00873B6E">
        <w:rPr>
          <w:rStyle w:val="FootnoteReference"/>
          <w:rFonts w:ascii="Arial" w:hAnsi="Arial" w:cs="Arial"/>
          <w:sz w:val="24"/>
          <w:szCs w:val="24"/>
        </w:rPr>
        <w:footnoteReference w:id="1"/>
      </w:r>
      <w:r w:rsidRPr="00273A79">
        <w:rPr>
          <w:rFonts w:ascii="Arial" w:hAnsi="Arial" w:cs="Arial"/>
          <w:sz w:val="24"/>
          <w:szCs w:val="24"/>
        </w:rPr>
        <w:t>, the</w:t>
      </w:r>
      <w:r w:rsidRPr="00273A79">
        <w:rPr>
          <w:rFonts w:ascii="Arial" w:hAnsi="Arial" w:cs="Arial"/>
          <w:sz w:val="24"/>
          <w:szCs w:val="24"/>
          <w:lang w:val="en-GB"/>
        </w:rPr>
        <w:t xml:space="preserve"> </w:t>
      </w:r>
      <w:r w:rsidRPr="00273A79">
        <w:rPr>
          <w:rFonts w:ascii="Arial" w:hAnsi="Arial" w:cs="Arial"/>
          <w:sz w:val="24"/>
          <w:szCs w:val="24"/>
        </w:rPr>
        <w:t>State,</w:t>
      </w:r>
      <w:r w:rsidRPr="00273A79">
        <w:rPr>
          <w:rFonts w:ascii="Arial" w:hAnsi="Arial" w:cs="Arial"/>
          <w:sz w:val="24"/>
          <w:szCs w:val="24"/>
          <w:lang w:val="en-GB"/>
        </w:rPr>
        <w:t xml:space="preserve"> </w:t>
      </w:r>
      <w:r w:rsidRPr="00273A79">
        <w:rPr>
          <w:rFonts w:ascii="Arial" w:hAnsi="Arial" w:cs="Arial"/>
          <w:sz w:val="24"/>
          <w:szCs w:val="24"/>
        </w:rPr>
        <w:t>through its human rights offices, specifically the Presidential Human Rights Committee</w:t>
      </w:r>
      <w:r w:rsidRPr="00273A79">
        <w:rPr>
          <w:rFonts w:ascii="Arial" w:hAnsi="Arial" w:cs="Arial"/>
          <w:sz w:val="24"/>
          <w:szCs w:val="24"/>
          <w:lang w:val="en-GB"/>
        </w:rPr>
        <w:t xml:space="preserve"> </w:t>
      </w:r>
      <w:r w:rsidRPr="00273A79">
        <w:rPr>
          <w:rFonts w:ascii="Arial" w:hAnsi="Arial" w:cs="Arial"/>
          <w:sz w:val="24"/>
          <w:szCs w:val="24"/>
        </w:rPr>
        <w:t>Secretariat (PHRCS) and the State's independent national human rights institution -</w:t>
      </w:r>
      <w:r w:rsidR="009009AA">
        <w:rPr>
          <w:rFonts w:ascii="Arial" w:hAnsi="Arial" w:cs="Arial"/>
          <w:sz w:val="24"/>
          <w:szCs w:val="24"/>
          <w:lang w:val="en-GB"/>
        </w:rPr>
        <w:t xml:space="preserve"> </w:t>
      </w:r>
      <w:r w:rsidRPr="00273A79">
        <w:rPr>
          <w:rFonts w:ascii="Arial" w:hAnsi="Arial" w:cs="Arial"/>
          <w:sz w:val="24"/>
          <w:szCs w:val="24"/>
        </w:rPr>
        <w:t>the</w:t>
      </w:r>
      <w:r w:rsidRPr="00273A79">
        <w:rPr>
          <w:rFonts w:ascii="Arial" w:hAnsi="Arial" w:cs="Arial"/>
          <w:sz w:val="24"/>
          <w:szCs w:val="24"/>
          <w:lang w:val="en-GB"/>
        </w:rPr>
        <w:t xml:space="preserve"> </w:t>
      </w:r>
      <w:r w:rsidRPr="00273A79">
        <w:rPr>
          <w:rFonts w:ascii="Arial" w:hAnsi="Arial" w:cs="Arial"/>
          <w:sz w:val="24"/>
          <w:szCs w:val="24"/>
        </w:rPr>
        <w:t>Commission on Human Rights (CHR), were furnished copies of thousands of reports</w:t>
      </w:r>
      <w:r w:rsidRPr="00273A79">
        <w:rPr>
          <w:rFonts w:ascii="Arial" w:hAnsi="Arial" w:cs="Arial"/>
          <w:sz w:val="24"/>
          <w:szCs w:val="24"/>
          <w:lang w:val="en-GB"/>
        </w:rPr>
        <w:t xml:space="preserve"> </w:t>
      </w:r>
      <w:r w:rsidRPr="00273A79">
        <w:rPr>
          <w:rFonts w:ascii="Arial" w:hAnsi="Arial" w:cs="Arial"/>
          <w:sz w:val="24"/>
          <w:szCs w:val="24"/>
        </w:rPr>
        <w:t>coming from three main groups.</w:t>
      </w:r>
    </w:p>
    <w:p w14:paraId="5DECCDE8" w14:textId="77777777" w:rsidR="001978A5" w:rsidRPr="00273A79" w:rsidRDefault="001978A5" w:rsidP="00F2358F">
      <w:pPr>
        <w:autoSpaceDE w:val="0"/>
        <w:autoSpaceDN w:val="0"/>
        <w:adjustRightInd w:val="0"/>
        <w:jc w:val="both"/>
        <w:rPr>
          <w:rFonts w:ascii="Arial" w:hAnsi="Arial" w:cs="Arial"/>
          <w:sz w:val="24"/>
          <w:szCs w:val="24"/>
        </w:rPr>
      </w:pPr>
    </w:p>
    <w:p w14:paraId="60A426EE" w14:textId="77777777" w:rsidR="000C3054" w:rsidRDefault="001978A5" w:rsidP="004A0314">
      <w:pPr>
        <w:autoSpaceDE w:val="0"/>
        <w:autoSpaceDN w:val="0"/>
        <w:adjustRightInd w:val="0"/>
        <w:jc w:val="both"/>
        <w:rPr>
          <w:rFonts w:ascii="Arial" w:hAnsi="Arial" w:cs="Arial"/>
          <w:sz w:val="24"/>
          <w:szCs w:val="24"/>
        </w:rPr>
      </w:pPr>
      <w:r w:rsidRPr="00273A79">
        <w:rPr>
          <w:rFonts w:ascii="Arial" w:hAnsi="Arial" w:cs="Arial"/>
          <w:sz w:val="24"/>
          <w:szCs w:val="24"/>
        </w:rPr>
        <w:t xml:space="preserve">These groups are the indigenous peoples (IP) communities, and </w:t>
      </w:r>
      <w:r w:rsidRPr="00A30EE0">
        <w:rPr>
          <w:rFonts w:ascii="Arial" w:hAnsi="Arial" w:cs="Arial"/>
          <w:b/>
          <w:sz w:val="24"/>
          <w:szCs w:val="24"/>
        </w:rPr>
        <w:t>two other sectors</w:t>
      </w:r>
      <w:r w:rsidR="004A0314" w:rsidRPr="00A30EE0">
        <w:rPr>
          <w:rFonts w:ascii="Arial" w:hAnsi="Arial" w:cs="Arial"/>
          <w:b/>
          <w:sz w:val="24"/>
          <w:szCs w:val="24"/>
          <w:lang w:val="en-GB"/>
        </w:rPr>
        <w:t xml:space="preserve"> </w:t>
      </w:r>
      <w:r w:rsidRPr="00A30EE0">
        <w:rPr>
          <w:rFonts w:ascii="Arial" w:hAnsi="Arial" w:cs="Arial"/>
          <w:b/>
          <w:sz w:val="24"/>
          <w:szCs w:val="24"/>
        </w:rPr>
        <w:t>previously unrecognized even within the UN</w:t>
      </w:r>
      <w:r w:rsidRPr="00273A79">
        <w:rPr>
          <w:rFonts w:ascii="Arial" w:hAnsi="Arial" w:cs="Arial"/>
          <w:sz w:val="24"/>
          <w:szCs w:val="24"/>
        </w:rPr>
        <w:t>, namely</w:t>
      </w:r>
      <w:r w:rsidRPr="00273A79">
        <w:rPr>
          <w:rFonts w:ascii="Arial" w:hAnsi="Arial" w:cs="Arial"/>
          <w:sz w:val="24"/>
          <w:szCs w:val="24"/>
          <w:lang w:val="en-GB"/>
        </w:rPr>
        <w:t>:</w:t>
      </w:r>
    </w:p>
    <w:p w14:paraId="147656A6" w14:textId="77777777" w:rsidR="000C3054" w:rsidRDefault="000C3054" w:rsidP="004A0314">
      <w:pPr>
        <w:autoSpaceDE w:val="0"/>
        <w:autoSpaceDN w:val="0"/>
        <w:adjustRightInd w:val="0"/>
        <w:jc w:val="both"/>
        <w:rPr>
          <w:rFonts w:ascii="Arial" w:hAnsi="Arial" w:cs="Arial"/>
          <w:sz w:val="24"/>
          <w:szCs w:val="24"/>
        </w:rPr>
      </w:pPr>
    </w:p>
    <w:p w14:paraId="1AE6DE25" w14:textId="77777777" w:rsidR="007B6917" w:rsidRPr="007B6917" w:rsidRDefault="001978A5" w:rsidP="00F2358F">
      <w:pPr>
        <w:pStyle w:val="ListParagraph"/>
        <w:numPr>
          <w:ilvl w:val="0"/>
          <w:numId w:val="3"/>
        </w:numPr>
        <w:autoSpaceDE w:val="0"/>
        <w:autoSpaceDN w:val="0"/>
        <w:adjustRightInd w:val="0"/>
        <w:jc w:val="both"/>
        <w:rPr>
          <w:rFonts w:ascii="Arial" w:hAnsi="Arial" w:cs="Arial"/>
          <w:sz w:val="24"/>
          <w:szCs w:val="24"/>
        </w:rPr>
      </w:pPr>
      <w:r w:rsidRPr="000C3054">
        <w:rPr>
          <w:rFonts w:ascii="Arial" w:hAnsi="Arial" w:cs="Arial"/>
          <w:sz w:val="24"/>
          <w:szCs w:val="24"/>
        </w:rPr>
        <w:t>Human rights victims of terrorism</w:t>
      </w:r>
      <w:r w:rsidR="00400944">
        <w:rPr>
          <w:rStyle w:val="FootnoteReference"/>
          <w:rFonts w:ascii="Arial" w:hAnsi="Arial" w:cs="Arial"/>
          <w:sz w:val="24"/>
          <w:szCs w:val="24"/>
        </w:rPr>
        <w:footnoteReference w:id="2"/>
      </w:r>
      <w:r w:rsidR="00400944">
        <w:rPr>
          <w:rFonts w:ascii="Arial" w:hAnsi="Arial" w:cs="Arial"/>
          <w:sz w:val="24"/>
          <w:szCs w:val="24"/>
          <w:lang w:val="en-GB"/>
        </w:rPr>
        <w:t xml:space="preserve"> </w:t>
      </w:r>
      <w:r w:rsidRPr="000C3054">
        <w:rPr>
          <w:rFonts w:ascii="Arial" w:hAnsi="Arial" w:cs="Arial"/>
          <w:sz w:val="24"/>
          <w:szCs w:val="24"/>
        </w:rPr>
        <w:t>(mothers</w:t>
      </w:r>
      <w:r w:rsidR="00C108F1">
        <w:rPr>
          <w:rFonts w:ascii="Arial" w:hAnsi="Arial" w:cs="Arial"/>
          <w:sz w:val="24"/>
          <w:szCs w:val="24"/>
          <w:lang w:val="en-GB"/>
        </w:rPr>
        <w:t>/</w:t>
      </w:r>
      <w:r w:rsidRPr="000C3054">
        <w:rPr>
          <w:rFonts w:ascii="Arial" w:hAnsi="Arial" w:cs="Arial"/>
          <w:sz w:val="24"/>
          <w:szCs w:val="24"/>
        </w:rPr>
        <w:t>parents of children taken by</w:t>
      </w:r>
      <w:r w:rsidR="004A0314" w:rsidRPr="000C3054">
        <w:rPr>
          <w:rFonts w:ascii="Arial" w:hAnsi="Arial" w:cs="Arial"/>
          <w:sz w:val="24"/>
          <w:szCs w:val="24"/>
          <w:lang w:val="en-GB"/>
        </w:rPr>
        <w:t xml:space="preserve"> </w:t>
      </w:r>
      <w:r w:rsidRPr="000C3054">
        <w:rPr>
          <w:rFonts w:ascii="Arial" w:hAnsi="Arial" w:cs="Arial"/>
          <w:sz w:val="24"/>
          <w:szCs w:val="24"/>
        </w:rPr>
        <w:t>terrorists to serve as child combatants)</w:t>
      </w:r>
      <w:r w:rsidR="007B6917">
        <w:rPr>
          <w:rFonts w:ascii="Arial" w:hAnsi="Arial" w:cs="Arial"/>
          <w:sz w:val="24"/>
          <w:szCs w:val="24"/>
          <w:lang w:val="en-GB"/>
        </w:rPr>
        <w:t>;</w:t>
      </w:r>
    </w:p>
    <w:p w14:paraId="25E501FE" w14:textId="77777777" w:rsidR="007B6917" w:rsidRPr="007B6917" w:rsidRDefault="007B6917" w:rsidP="007B6917">
      <w:pPr>
        <w:pStyle w:val="ListParagraph"/>
        <w:autoSpaceDE w:val="0"/>
        <w:autoSpaceDN w:val="0"/>
        <w:adjustRightInd w:val="0"/>
        <w:jc w:val="both"/>
        <w:rPr>
          <w:rFonts w:ascii="Arial" w:hAnsi="Arial" w:cs="Arial"/>
          <w:sz w:val="24"/>
          <w:szCs w:val="24"/>
        </w:rPr>
      </w:pPr>
    </w:p>
    <w:p w14:paraId="5D8A2ADD" w14:textId="77777777" w:rsidR="001978A5" w:rsidRPr="007B6917" w:rsidRDefault="001978A5" w:rsidP="00F2358F">
      <w:pPr>
        <w:pStyle w:val="ListParagraph"/>
        <w:numPr>
          <w:ilvl w:val="0"/>
          <w:numId w:val="3"/>
        </w:numPr>
        <w:autoSpaceDE w:val="0"/>
        <w:autoSpaceDN w:val="0"/>
        <w:adjustRightInd w:val="0"/>
        <w:jc w:val="both"/>
        <w:rPr>
          <w:rFonts w:ascii="Arial" w:hAnsi="Arial" w:cs="Arial"/>
          <w:sz w:val="24"/>
          <w:szCs w:val="24"/>
        </w:rPr>
      </w:pPr>
      <w:r w:rsidRPr="007B6917">
        <w:rPr>
          <w:rFonts w:ascii="Arial" w:hAnsi="Arial" w:cs="Arial"/>
          <w:sz w:val="24"/>
          <w:szCs w:val="24"/>
        </w:rPr>
        <w:t>Former terrorists integrated into society after undergoing rehabilitation,</w:t>
      </w:r>
      <w:r w:rsidR="004A0314" w:rsidRPr="007B6917">
        <w:rPr>
          <w:rFonts w:ascii="Arial" w:hAnsi="Arial" w:cs="Arial"/>
          <w:sz w:val="24"/>
          <w:szCs w:val="24"/>
          <w:lang w:val="en-GB"/>
        </w:rPr>
        <w:t xml:space="preserve"> </w:t>
      </w:r>
      <w:r w:rsidRPr="007B6917">
        <w:rPr>
          <w:rFonts w:ascii="Arial" w:hAnsi="Arial" w:cs="Arial"/>
          <w:sz w:val="24"/>
          <w:szCs w:val="24"/>
        </w:rPr>
        <w:t>reconciliation and healing programs provided through the State's peace process</w:t>
      </w:r>
      <w:r w:rsidR="004A0314" w:rsidRPr="007B6917">
        <w:rPr>
          <w:rFonts w:ascii="Arial" w:hAnsi="Arial" w:cs="Arial"/>
          <w:sz w:val="24"/>
          <w:szCs w:val="24"/>
          <w:lang w:val="en-GB"/>
        </w:rPr>
        <w:t xml:space="preserve"> </w:t>
      </w:r>
      <w:r w:rsidRPr="007B6917">
        <w:rPr>
          <w:rFonts w:ascii="Arial" w:hAnsi="Arial" w:cs="Arial"/>
          <w:sz w:val="24"/>
          <w:szCs w:val="24"/>
        </w:rPr>
        <w:t>mechanism</w:t>
      </w:r>
      <w:r w:rsidR="00EB7381">
        <w:rPr>
          <w:rFonts w:ascii="Arial" w:hAnsi="Arial" w:cs="Arial"/>
          <w:sz w:val="24"/>
          <w:szCs w:val="24"/>
          <w:lang w:val="en-GB"/>
        </w:rPr>
        <w:t>.</w:t>
      </w:r>
    </w:p>
    <w:p w14:paraId="189B45F7" w14:textId="77777777" w:rsidR="004A0314" w:rsidRPr="00273A79" w:rsidRDefault="004A0314" w:rsidP="00F2358F">
      <w:pPr>
        <w:autoSpaceDE w:val="0"/>
        <w:autoSpaceDN w:val="0"/>
        <w:adjustRightInd w:val="0"/>
        <w:jc w:val="both"/>
        <w:rPr>
          <w:rFonts w:ascii="Arial" w:hAnsi="Arial" w:cs="Arial"/>
          <w:sz w:val="24"/>
          <w:szCs w:val="24"/>
        </w:rPr>
      </w:pPr>
    </w:p>
    <w:p w14:paraId="17D7DADE" w14:textId="77777777" w:rsidR="001978A5" w:rsidRPr="00273A79" w:rsidRDefault="001978A5" w:rsidP="00F2358F">
      <w:pPr>
        <w:autoSpaceDE w:val="0"/>
        <w:autoSpaceDN w:val="0"/>
        <w:adjustRightInd w:val="0"/>
        <w:jc w:val="both"/>
        <w:rPr>
          <w:rFonts w:ascii="Arial" w:hAnsi="Arial" w:cs="Arial"/>
          <w:sz w:val="24"/>
          <w:szCs w:val="24"/>
        </w:rPr>
      </w:pPr>
      <w:r w:rsidRPr="00273A79">
        <w:rPr>
          <w:rFonts w:ascii="Arial" w:hAnsi="Arial" w:cs="Arial"/>
          <w:sz w:val="24"/>
          <w:szCs w:val="24"/>
        </w:rPr>
        <w:t>The submissions coming from the three afore-mentioned groups triangulate the</w:t>
      </w:r>
      <w:r w:rsidR="004A0314" w:rsidRPr="00273A79">
        <w:rPr>
          <w:rFonts w:ascii="Arial" w:hAnsi="Arial" w:cs="Arial"/>
          <w:sz w:val="24"/>
          <w:szCs w:val="24"/>
          <w:lang w:val="en-GB"/>
        </w:rPr>
        <w:t xml:space="preserve"> </w:t>
      </w:r>
      <w:r w:rsidRPr="00273A79">
        <w:rPr>
          <w:rFonts w:ascii="Arial" w:hAnsi="Arial" w:cs="Arial"/>
          <w:sz w:val="24"/>
          <w:szCs w:val="24"/>
        </w:rPr>
        <w:t>conclusion on the relative impunity by which terrorist front organizations operate within</w:t>
      </w:r>
      <w:r w:rsidR="00F1431C">
        <w:rPr>
          <w:rFonts w:ascii="Arial" w:hAnsi="Arial" w:cs="Arial"/>
          <w:sz w:val="24"/>
          <w:szCs w:val="24"/>
          <w:lang w:val="en-GB"/>
        </w:rPr>
        <w:t xml:space="preserve"> </w:t>
      </w:r>
      <w:r w:rsidRPr="00273A79">
        <w:rPr>
          <w:rFonts w:ascii="Arial" w:hAnsi="Arial" w:cs="Arial"/>
          <w:sz w:val="24"/>
          <w:szCs w:val="24"/>
        </w:rPr>
        <w:t>multinational democratic civic spaces (including transnational international bodies, like the</w:t>
      </w:r>
      <w:r w:rsidR="004A0314" w:rsidRPr="00273A79">
        <w:rPr>
          <w:rFonts w:ascii="Arial" w:hAnsi="Arial" w:cs="Arial"/>
          <w:sz w:val="24"/>
          <w:szCs w:val="24"/>
          <w:lang w:val="en-GB"/>
        </w:rPr>
        <w:t xml:space="preserve"> </w:t>
      </w:r>
      <w:r w:rsidRPr="00273A79">
        <w:rPr>
          <w:rFonts w:ascii="Arial" w:hAnsi="Arial" w:cs="Arial"/>
          <w:sz w:val="24"/>
          <w:szCs w:val="24"/>
        </w:rPr>
        <w:t>UN and EU) insulated from domestic anti-terror legislation using advocacies, such as</w:t>
      </w:r>
      <w:r w:rsidR="004A0314" w:rsidRPr="00273A79">
        <w:rPr>
          <w:rFonts w:ascii="Arial" w:hAnsi="Arial" w:cs="Arial"/>
          <w:sz w:val="24"/>
          <w:szCs w:val="24"/>
          <w:lang w:val="en-GB"/>
        </w:rPr>
        <w:t xml:space="preserve"> </w:t>
      </w:r>
      <w:r w:rsidRPr="00273A79">
        <w:rPr>
          <w:rFonts w:ascii="Arial" w:hAnsi="Arial" w:cs="Arial"/>
          <w:sz w:val="24"/>
          <w:szCs w:val="24"/>
        </w:rPr>
        <w:t>human rights, to block legal processes and escape accountability.</w:t>
      </w:r>
    </w:p>
    <w:p w14:paraId="4EF42AB9" w14:textId="77777777" w:rsidR="004A0314" w:rsidRPr="00273A79" w:rsidRDefault="004A0314" w:rsidP="00F2358F">
      <w:pPr>
        <w:autoSpaceDE w:val="0"/>
        <w:autoSpaceDN w:val="0"/>
        <w:adjustRightInd w:val="0"/>
        <w:jc w:val="both"/>
        <w:rPr>
          <w:rFonts w:ascii="Arial" w:hAnsi="Arial" w:cs="Arial"/>
          <w:sz w:val="24"/>
          <w:szCs w:val="24"/>
        </w:rPr>
      </w:pPr>
    </w:p>
    <w:p w14:paraId="0817DE44" w14:textId="77777777" w:rsidR="001978A5" w:rsidRPr="00273A79" w:rsidRDefault="001978A5" w:rsidP="00F2358F">
      <w:pPr>
        <w:autoSpaceDE w:val="0"/>
        <w:autoSpaceDN w:val="0"/>
        <w:adjustRightInd w:val="0"/>
        <w:jc w:val="both"/>
        <w:rPr>
          <w:rFonts w:ascii="Arial" w:hAnsi="Arial" w:cs="Arial"/>
          <w:sz w:val="24"/>
          <w:szCs w:val="24"/>
        </w:rPr>
      </w:pPr>
      <w:r w:rsidRPr="002200A1">
        <w:rPr>
          <w:rFonts w:ascii="Arial" w:hAnsi="Arial" w:cs="Arial"/>
          <w:b/>
          <w:bCs/>
          <w:sz w:val="24"/>
          <w:szCs w:val="24"/>
        </w:rPr>
        <w:t>Forming civil society organizations/ non-profit organizations (CSOs/ NPOs) to serve</w:t>
      </w:r>
      <w:r w:rsidR="00B443F9" w:rsidRPr="002200A1">
        <w:rPr>
          <w:rFonts w:ascii="Arial" w:hAnsi="Arial" w:cs="Arial"/>
          <w:b/>
          <w:bCs/>
          <w:sz w:val="24"/>
          <w:szCs w:val="24"/>
          <w:lang w:val="en-GB"/>
        </w:rPr>
        <w:t xml:space="preserve"> </w:t>
      </w:r>
      <w:r w:rsidRPr="002200A1">
        <w:rPr>
          <w:rFonts w:ascii="Arial" w:hAnsi="Arial" w:cs="Arial"/>
          <w:b/>
          <w:bCs/>
          <w:sz w:val="24"/>
          <w:szCs w:val="24"/>
        </w:rPr>
        <w:t>as</w:t>
      </w:r>
      <w:r w:rsidR="00A30EE0">
        <w:rPr>
          <w:rFonts w:ascii="Arial" w:hAnsi="Arial" w:cs="Arial"/>
          <w:b/>
          <w:bCs/>
          <w:sz w:val="24"/>
          <w:szCs w:val="24"/>
        </w:rPr>
        <w:t xml:space="preserve"> terror front organizations is an established and well-documented</w:t>
      </w:r>
      <w:r w:rsidRPr="002200A1">
        <w:rPr>
          <w:rFonts w:ascii="Arial" w:hAnsi="Arial" w:cs="Arial"/>
          <w:b/>
          <w:bCs/>
          <w:sz w:val="24"/>
          <w:szCs w:val="24"/>
        </w:rPr>
        <w:t xml:space="preserve"> practice </w:t>
      </w:r>
      <w:r w:rsidR="00A30EE0">
        <w:rPr>
          <w:rFonts w:ascii="Arial" w:hAnsi="Arial" w:cs="Arial"/>
          <w:b/>
          <w:bCs/>
          <w:sz w:val="24"/>
          <w:szCs w:val="24"/>
        </w:rPr>
        <w:t xml:space="preserve">of the Communist Party of the Philippines-New People’s Army-National Democratic Front (CPP-NPA-NDF) and can be verified, among others, through publicly available videos </w:t>
      </w:r>
      <w:r w:rsidRPr="002200A1">
        <w:rPr>
          <w:rFonts w:ascii="Arial" w:hAnsi="Arial" w:cs="Arial"/>
          <w:b/>
          <w:bCs/>
          <w:sz w:val="24"/>
          <w:szCs w:val="24"/>
        </w:rPr>
        <w:t>by no less than the founder of the CPP-NPA</w:t>
      </w:r>
      <w:r w:rsidR="00A30EE0">
        <w:rPr>
          <w:rFonts w:ascii="Arial" w:hAnsi="Arial" w:cs="Arial"/>
          <w:b/>
          <w:bCs/>
          <w:sz w:val="24"/>
          <w:szCs w:val="24"/>
        </w:rPr>
        <w:t>-NDF</w:t>
      </w:r>
      <w:r w:rsidR="009E2C49">
        <w:rPr>
          <w:rStyle w:val="FootnoteReference"/>
          <w:rFonts w:ascii="Arial" w:hAnsi="Arial" w:cs="Arial"/>
          <w:b/>
          <w:bCs/>
          <w:sz w:val="24"/>
          <w:szCs w:val="24"/>
        </w:rPr>
        <w:footnoteReference w:id="3"/>
      </w:r>
      <w:r w:rsidRPr="002200A1">
        <w:rPr>
          <w:rFonts w:ascii="Arial" w:hAnsi="Arial" w:cs="Arial"/>
          <w:b/>
          <w:bCs/>
          <w:sz w:val="24"/>
          <w:szCs w:val="24"/>
        </w:rPr>
        <w:t xml:space="preserve"> terror group</w:t>
      </w:r>
      <w:r w:rsidRPr="00273A79">
        <w:rPr>
          <w:rFonts w:ascii="Arial" w:hAnsi="Arial" w:cs="Arial"/>
          <w:sz w:val="24"/>
          <w:szCs w:val="24"/>
        </w:rPr>
        <w:t>.</w:t>
      </w:r>
      <w:r w:rsidR="00F738D0">
        <w:rPr>
          <w:rFonts w:ascii="Arial" w:hAnsi="Arial" w:cs="Arial"/>
          <w:sz w:val="24"/>
          <w:szCs w:val="24"/>
          <w:lang w:val="en-GB"/>
        </w:rPr>
        <w:t xml:space="preserve">  </w:t>
      </w:r>
      <w:r w:rsidRPr="00273A79">
        <w:rPr>
          <w:rFonts w:ascii="Arial" w:hAnsi="Arial" w:cs="Arial"/>
          <w:sz w:val="24"/>
          <w:szCs w:val="24"/>
        </w:rPr>
        <w:t>The</w:t>
      </w:r>
      <w:r w:rsidR="00B443F9" w:rsidRPr="00273A79">
        <w:rPr>
          <w:rFonts w:ascii="Arial" w:hAnsi="Arial" w:cs="Arial"/>
          <w:sz w:val="24"/>
          <w:szCs w:val="24"/>
          <w:lang w:val="en-GB"/>
        </w:rPr>
        <w:t xml:space="preserve"> </w:t>
      </w:r>
      <w:r w:rsidRPr="00273A79">
        <w:rPr>
          <w:rFonts w:ascii="Arial" w:hAnsi="Arial" w:cs="Arial"/>
          <w:sz w:val="24"/>
          <w:szCs w:val="24"/>
        </w:rPr>
        <w:t>most publicized video shows the founder of this group enumerating and identifying in</w:t>
      </w:r>
      <w:r w:rsidR="00F738D0">
        <w:rPr>
          <w:rFonts w:ascii="Arial" w:hAnsi="Arial" w:cs="Arial"/>
          <w:sz w:val="24"/>
          <w:szCs w:val="24"/>
          <w:lang w:val="en-GB"/>
        </w:rPr>
        <w:t xml:space="preserve"> </w:t>
      </w:r>
      <w:r w:rsidRPr="00273A79">
        <w:rPr>
          <w:rFonts w:ascii="Arial" w:hAnsi="Arial" w:cs="Arial"/>
          <w:sz w:val="24"/>
          <w:szCs w:val="24"/>
        </w:rPr>
        <w:t>detail terror front organizations established to pursue the goals of their terror group</w:t>
      </w:r>
      <w:r w:rsidR="00F738D0">
        <w:rPr>
          <w:rFonts w:ascii="Arial" w:hAnsi="Arial" w:cs="Arial"/>
          <w:sz w:val="24"/>
          <w:szCs w:val="24"/>
          <w:lang w:val="en-GB"/>
        </w:rPr>
        <w:t xml:space="preserve"> </w:t>
      </w:r>
      <w:r w:rsidRPr="00273A79">
        <w:rPr>
          <w:rFonts w:ascii="Arial" w:hAnsi="Arial" w:cs="Arial"/>
          <w:sz w:val="24"/>
          <w:szCs w:val="24"/>
        </w:rPr>
        <w:t>cleverly</w:t>
      </w:r>
      <w:r w:rsidR="00A30EE0">
        <w:rPr>
          <w:rFonts w:ascii="Arial" w:hAnsi="Arial" w:cs="Arial"/>
          <w:sz w:val="24"/>
          <w:szCs w:val="24"/>
        </w:rPr>
        <w:t xml:space="preserve"> disguised as CSOs/NPOs purportedly espousing</w:t>
      </w:r>
      <w:r w:rsidRPr="00273A79">
        <w:rPr>
          <w:rFonts w:ascii="Arial" w:hAnsi="Arial" w:cs="Arial"/>
          <w:sz w:val="24"/>
          <w:szCs w:val="24"/>
        </w:rPr>
        <w:t xml:space="preserve"> advocacies such as human rights, trade</w:t>
      </w:r>
      <w:r w:rsidR="00F738D0">
        <w:rPr>
          <w:rFonts w:ascii="Arial" w:hAnsi="Arial" w:cs="Arial"/>
          <w:sz w:val="24"/>
          <w:szCs w:val="24"/>
          <w:lang w:val="en-GB"/>
        </w:rPr>
        <w:t xml:space="preserve"> </w:t>
      </w:r>
      <w:r w:rsidRPr="00273A79">
        <w:rPr>
          <w:rFonts w:ascii="Arial" w:hAnsi="Arial" w:cs="Arial"/>
          <w:sz w:val="24"/>
          <w:szCs w:val="24"/>
        </w:rPr>
        <w:t xml:space="preserve">unionism, democracy, etc. </w:t>
      </w:r>
      <w:r w:rsidR="00A30EE0">
        <w:rPr>
          <w:rFonts w:ascii="Arial" w:hAnsi="Arial" w:cs="Arial"/>
          <w:b/>
          <w:bCs/>
          <w:sz w:val="24"/>
          <w:szCs w:val="24"/>
        </w:rPr>
        <w:t xml:space="preserve">This kind of </w:t>
      </w:r>
      <w:r w:rsidRPr="009448FE">
        <w:rPr>
          <w:rFonts w:ascii="Arial" w:hAnsi="Arial" w:cs="Arial"/>
          <w:b/>
          <w:bCs/>
          <w:sz w:val="24"/>
          <w:szCs w:val="24"/>
        </w:rPr>
        <w:t xml:space="preserve">CSOs/NPOs </w:t>
      </w:r>
      <w:r w:rsidR="00A30EE0">
        <w:rPr>
          <w:rFonts w:ascii="Arial" w:hAnsi="Arial" w:cs="Arial"/>
          <w:b/>
          <w:bCs/>
          <w:sz w:val="24"/>
          <w:szCs w:val="24"/>
        </w:rPr>
        <w:t>continues to flourish</w:t>
      </w:r>
      <w:r w:rsidRPr="009448FE">
        <w:rPr>
          <w:rFonts w:ascii="Arial" w:hAnsi="Arial" w:cs="Arial"/>
          <w:b/>
          <w:bCs/>
          <w:sz w:val="24"/>
          <w:szCs w:val="24"/>
        </w:rPr>
        <w:t xml:space="preserve"> and </w:t>
      </w:r>
      <w:r w:rsidR="00A30EE0">
        <w:rPr>
          <w:rFonts w:ascii="Arial" w:hAnsi="Arial" w:cs="Arial"/>
          <w:b/>
          <w:bCs/>
          <w:sz w:val="24"/>
          <w:szCs w:val="24"/>
        </w:rPr>
        <w:t>multiply</w:t>
      </w:r>
      <w:r w:rsidRPr="009448FE">
        <w:rPr>
          <w:rFonts w:ascii="Arial" w:hAnsi="Arial" w:cs="Arial"/>
          <w:b/>
          <w:bCs/>
          <w:sz w:val="24"/>
          <w:szCs w:val="24"/>
        </w:rPr>
        <w:t xml:space="preserve"> under the well</w:t>
      </w:r>
      <w:r w:rsidR="00A30EE0">
        <w:rPr>
          <w:rFonts w:ascii="Arial" w:hAnsi="Arial" w:cs="Arial"/>
          <w:b/>
          <w:bCs/>
          <w:sz w:val="24"/>
          <w:szCs w:val="24"/>
          <w:lang w:val="en-GB"/>
        </w:rPr>
        <w:t>-</w:t>
      </w:r>
      <w:r w:rsidRPr="009448FE">
        <w:rPr>
          <w:rFonts w:ascii="Arial" w:hAnsi="Arial" w:cs="Arial"/>
          <w:b/>
          <w:bCs/>
          <w:sz w:val="24"/>
          <w:szCs w:val="24"/>
        </w:rPr>
        <w:t>protected</w:t>
      </w:r>
      <w:r w:rsidR="00B443F9" w:rsidRPr="009448FE">
        <w:rPr>
          <w:rFonts w:ascii="Arial" w:hAnsi="Arial" w:cs="Arial"/>
          <w:b/>
          <w:bCs/>
          <w:sz w:val="24"/>
          <w:szCs w:val="24"/>
          <w:lang w:val="en-GB"/>
        </w:rPr>
        <w:t xml:space="preserve"> </w:t>
      </w:r>
      <w:r w:rsidRPr="009448FE">
        <w:rPr>
          <w:rFonts w:ascii="Arial" w:hAnsi="Arial" w:cs="Arial"/>
          <w:b/>
          <w:bCs/>
          <w:sz w:val="24"/>
          <w:szCs w:val="24"/>
        </w:rPr>
        <w:t xml:space="preserve">democratic civic spaces in the Philippines. </w:t>
      </w:r>
    </w:p>
    <w:p w14:paraId="16B68F21" w14:textId="77777777" w:rsidR="00B443F9" w:rsidRPr="00273A79" w:rsidRDefault="00B443F9" w:rsidP="00F2358F">
      <w:pPr>
        <w:autoSpaceDE w:val="0"/>
        <w:autoSpaceDN w:val="0"/>
        <w:adjustRightInd w:val="0"/>
        <w:jc w:val="both"/>
        <w:rPr>
          <w:rFonts w:ascii="Arial" w:hAnsi="Arial" w:cs="Arial"/>
          <w:sz w:val="24"/>
          <w:szCs w:val="24"/>
        </w:rPr>
      </w:pPr>
    </w:p>
    <w:p w14:paraId="749D8FD8" w14:textId="77777777" w:rsidR="001978A5" w:rsidRPr="00273A79" w:rsidRDefault="001978A5" w:rsidP="00F2358F">
      <w:pPr>
        <w:autoSpaceDE w:val="0"/>
        <w:autoSpaceDN w:val="0"/>
        <w:adjustRightInd w:val="0"/>
        <w:jc w:val="both"/>
        <w:rPr>
          <w:rFonts w:ascii="Arial" w:hAnsi="Arial" w:cs="Arial"/>
          <w:sz w:val="24"/>
          <w:szCs w:val="24"/>
        </w:rPr>
      </w:pPr>
      <w:r w:rsidRPr="00FB40A7">
        <w:rPr>
          <w:rFonts w:ascii="Arial" w:hAnsi="Arial" w:cs="Arial"/>
          <w:sz w:val="24"/>
          <w:szCs w:val="24"/>
        </w:rPr>
        <w:t>Testimonies from former terrorists themselves form a narrative on how their terror</w:t>
      </w:r>
      <w:r w:rsidR="00B443F9" w:rsidRPr="00FB40A7">
        <w:rPr>
          <w:rFonts w:ascii="Arial" w:hAnsi="Arial" w:cs="Arial"/>
          <w:sz w:val="24"/>
          <w:szCs w:val="24"/>
          <w:lang w:val="en-GB"/>
        </w:rPr>
        <w:t xml:space="preserve"> </w:t>
      </w:r>
      <w:r w:rsidRPr="00FB40A7">
        <w:rPr>
          <w:rFonts w:ascii="Arial" w:hAnsi="Arial" w:cs="Arial"/>
          <w:sz w:val="24"/>
          <w:szCs w:val="24"/>
        </w:rPr>
        <w:t xml:space="preserve">front organizations posing as CSOs/ </w:t>
      </w:r>
      <w:r w:rsidR="001E062D" w:rsidRPr="00FB40A7">
        <w:rPr>
          <w:rFonts w:ascii="Arial" w:hAnsi="Arial" w:cs="Arial"/>
          <w:sz w:val="24"/>
          <w:szCs w:val="24"/>
        </w:rPr>
        <w:t>NPOs uttering sacred advocacies and which</w:t>
      </w:r>
      <w:r w:rsidRPr="00FB40A7">
        <w:rPr>
          <w:rFonts w:ascii="Arial" w:hAnsi="Arial" w:cs="Arial"/>
          <w:sz w:val="24"/>
          <w:szCs w:val="24"/>
        </w:rPr>
        <w:t xml:space="preserve"> </w:t>
      </w:r>
      <w:r w:rsidR="001E062D" w:rsidRPr="00FB40A7">
        <w:rPr>
          <w:rFonts w:ascii="Arial" w:hAnsi="Arial" w:cs="Arial"/>
          <w:sz w:val="24"/>
          <w:szCs w:val="24"/>
        </w:rPr>
        <w:t xml:space="preserve">have </w:t>
      </w:r>
      <w:r w:rsidRPr="00FB40A7">
        <w:rPr>
          <w:rFonts w:ascii="Arial" w:hAnsi="Arial" w:cs="Arial"/>
          <w:sz w:val="24"/>
          <w:szCs w:val="24"/>
        </w:rPr>
        <w:t>established a</w:t>
      </w:r>
      <w:r w:rsidR="001E062D" w:rsidRPr="00FB40A7">
        <w:rPr>
          <w:rFonts w:ascii="Arial" w:hAnsi="Arial" w:cs="Arial"/>
          <w:sz w:val="24"/>
          <w:szCs w:val="24"/>
        </w:rPr>
        <w:t xml:space="preserve"> legitimate image</w:t>
      </w:r>
      <w:r w:rsidRPr="00FB40A7">
        <w:rPr>
          <w:rFonts w:ascii="Arial" w:hAnsi="Arial" w:cs="Arial"/>
          <w:sz w:val="24"/>
          <w:szCs w:val="24"/>
        </w:rPr>
        <w:t xml:space="preserve"> within</w:t>
      </w:r>
      <w:r w:rsidR="00B443F9" w:rsidRPr="00FB40A7">
        <w:rPr>
          <w:rFonts w:ascii="Arial" w:hAnsi="Arial" w:cs="Arial"/>
          <w:sz w:val="24"/>
          <w:szCs w:val="24"/>
          <w:lang w:val="en-GB"/>
        </w:rPr>
        <w:t xml:space="preserve"> </w:t>
      </w:r>
      <w:r w:rsidRPr="00FB40A7">
        <w:rPr>
          <w:rFonts w:ascii="Arial" w:hAnsi="Arial" w:cs="Arial"/>
          <w:sz w:val="24"/>
          <w:szCs w:val="24"/>
        </w:rPr>
        <w:t>supranational bo</w:t>
      </w:r>
      <w:r w:rsidR="001E062D" w:rsidRPr="00FB40A7">
        <w:rPr>
          <w:rFonts w:ascii="Arial" w:hAnsi="Arial" w:cs="Arial"/>
          <w:sz w:val="24"/>
          <w:szCs w:val="24"/>
        </w:rPr>
        <w:t xml:space="preserve">dies, such as the UN and the EU, </w:t>
      </w:r>
      <w:r w:rsidR="009F740B" w:rsidRPr="00FB40A7">
        <w:rPr>
          <w:rFonts w:ascii="Arial" w:hAnsi="Arial" w:cs="Arial"/>
          <w:sz w:val="24"/>
          <w:szCs w:val="24"/>
        </w:rPr>
        <w:t xml:space="preserve">are using their cover and status to ward off state efforts to hold these terrorist entities and </w:t>
      </w:r>
      <w:r w:rsidR="009F740B" w:rsidRPr="00FB40A7">
        <w:rPr>
          <w:rFonts w:ascii="Arial" w:hAnsi="Arial" w:cs="Arial"/>
          <w:sz w:val="24"/>
          <w:szCs w:val="24"/>
        </w:rPr>
        <w:lastRenderedPageBreak/>
        <w:t>personalities to account for commission of human rights violations against the Filipino people.</w:t>
      </w:r>
      <w:r w:rsidR="001E062D">
        <w:rPr>
          <w:rFonts w:ascii="Arial" w:hAnsi="Arial" w:cs="Arial"/>
          <w:sz w:val="24"/>
          <w:szCs w:val="24"/>
        </w:rPr>
        <w:t xml:space="preserve"> </w:t>
      </w:r>
    </w:p>
    <w:p w14:paraId="5BA44DC6" w14:textId="77777777" w:rsidR="00B443F9" w:rsidRPr="00273A79" w:rsidRDefault="00B443F9" w:rsidP="00F2358F">
      <w:pPr>
        <w:autoSpaceDE w:val="0"/>
        <w:autoSpaceDN w:val="0"/>
        <w:adjustRightInd w:val="0"/>
        <w:jc w:val="both"/>
        <w:rPr>
          <w:rFonts w:ascii="Arial" w:hAnsi="Arial" w:cs="Arial"/>
          <w:sz w:val="24"/>
          <w:szCs w:val="24"/>
        </w:rPr>
      </w:pPr>
    </w:p>
    <w:p w14:paraId="49488BF5" w14:textId="77777777" w:rsidR="001978A5" w:rsidRPr="00273A79" w:rsidRDefault="001978A5" w:rsidP="00F2358F">
      <w:pPr>
        <w:autoSpaceDE w:val="0"/>
        <w:autoSpaceDN w:val="0"/>
        <w:adjustRightInd w:val="0"/>
        <w:jc w:val="both"/>
        <w:rPr>
          <w:rFonts w:ascii="Arial" w:hAnsi="Arial" w:cs="Arial"/>
          <w:sz w:val="24"/>
          <w:szCs w:val="24"/>
        </w:rPr>
      </w:pPr>
      <w:r w:rsidRPr="0010567A">
        <w:rPr>
          <w:rFonts w:ascii="Arial" w:hAnsi="Arial" w:cs="Arial"/>
          <w:b/>
          <w:bCs/>
          <w:sz w:val="24"/>
          <w:szCs w:val="24"/>
        </w:rPr>
        <w:t xml:space="preserve">UN Security Council Resolution 2462 (2019) </w:t>
      </w:r>
      <w:r w:rsidRPr="00273A79">
        <w:rPr>
          <w:rFonts w:ascii="Arial" w:hAnsi="Arial" w:cs="Arial"/>
          <w:sz w:val="24"/>
          <w:szCs w:val="24"/>
        </w:rPr>
        <w:t>already</w:t>
      </w:r>
      <w:r w:rsidRPr="00273A79">
        <w:rPr>
          <w:rFonts w:ascii="Arial" w:hAnsi="Arial" w:cs="Arial"/>
          <w:sz w:val="24"/>
          <w:szCs w:val="24"/>
          <w:lang w:val="en-GB"/>
        </w:rPr>
        <w:t xml:space="preserve"> </w:t>
      </w:r>
      <w:r w:rsidRPr="00273A79">
        <w:rPr>
          <w:rFonts w:ascii="Arial" w:hAnsi="Arial" w:cs="Arial"/>
          <w:sz w:val="24"/>
          <w:szCs w:val="24"/>
        </w:rPr>
        <w:t>recognizes the propensity of</w:t>
      </w:r>
      <w:r w:rsidR="00B443F9" w:rsidRPr="00273A79">
        <w:rPr>
          <w:rFonts w:ascii="Arial" w:hAnsi="Arial" w:cs="Arial"/>
          <w:sz w:val="24"/>
          <w:szCs w:val="24"/>
          <w:lang w:val="en-GB"/>
        </w:rPr>
        <w:t xml:space="preserve"> </w:t>
      </w:r>
      <w:r w:rsidRPr="00273A79">
        <w:rPr>
          <w:rFonts w:ascii="Arial" w:hAnsi="Arial" w:cs="Arial"/>
          <w:sz w:val="24"/>
          <w:szCs w:val="24"/>
        </w:rPr>
        <w:t xml:space="preserve">terror groups to use non-profit organizations and other "front </w:t>
      </w:r>
      <w:r w:rsidR="009B579F" w:rsidRPr="00273A79">
        <w:rPr>
          <w:rFonts w:ascii="Arial" w:hAnsi="Arial" w:cs="Arial"/>
          <w:sz w:val="24"/>
          <w:szCs w:val="24"/>
        </w:rPr>
        <w:t>organizations</w:t>
      </w:r>
      <w:r w:rsidRPr="00273A79">
        <w:rPr>
          <w:rFonts w:ascii="Arial" w:hAnsi="Arial" w:cs="Arial"/>
          <w:sz w:val="24"/>
          <w:szCs w:val="24"/>
        </w:rPr>
        <w:t xml:space="preserve">" to </w:t>
      </w:r>
      <w:r w:rsidRPr="009B579F">
        <w:rPr>
          <w:rFonts w:ascii="Arial" w:hAnsi="Arial" w:cs="Arial"/>
          <w:b/>
          <w:bCs/>
          <w:sz w:val="24"/>
          <w:szCs w:val="24"/>
        </w:rPr>
        <w:t>obtain</w:t>
      </w:r>
      <w:r w:rsidR="009B579F" w:rsidRPr="009B579F">
        <w:rPr>
          <w:rFonts w:ascii="Arial" w:hAnsi="Arial" w:cs="Arial"/>
          <w:b/>
          <w:bCs/>
          <w:sz w:val="24"/>
          <w:szCs w:val="24"/>
          <w:lang w:val="en-GB"/>
        </w:rPr>
        <w:t xml:space="preserve"> </w:t>
      </w:r>
      <w:r w:rsidRPr="009B579F">
        <w:rPr>
          <w:rFonts w:ascii="Arial" w:hAnsi="Arial" w:cs="Arial"/>
          <w:b/>
          <w:bCs/>
          <w:sz w:val="24"/>
          <w:szCs w:val="24"/>
        </w:rPr>
        <w:t>funding</w:t>
      </w:r>
      <w:r w:rsidRPr="00273A79">
        <w:rPr>
          <w:rFonts w:ascii="Arial" w:hAnsi="Arial" w:cs="Arial"/>
          <w:sz w:val="24"/>
          <w:szCs w:val="24"/>
        </w:rPr>
        <w:t xml:space="preserve"> using States' regular </w:t>
      </w:r>
      <w:r w:rsidRPr="009B579F">
        <w:rPr>
          <w:rFonts w:ascii="Arial" w:hAnsi="Arial" w:cs="Arial"/>
          <w:b/>
          <w:bCs/>
          <w:sz w:val="24"/>
          <w:szCs w:val="24"/>
        </w:rPr>
        <w:t>domestic legislation on confidentiality</w:t>
      </w:r>
      <w:r w:rsidRPr="00273A79">
        <w:rPr>
          <w:rFonts w:ascii="Arial" w:hAnsi="Arial" w:cs="Arial"/>
          <w:sz w:val="24"/>
          <w:szCs w:val="24"/>
        </w:rPr>
        <w:t xml:space="preserve"> to </w:t>
      </w:r>
      <w:r w:rsidRPr="009B579F">
        <w:rPr>
          <w:rFonts w:ascii="Arial" w:hAnsi="Arial" w:cs="Arial"/>
          <w:b/>
          <w:bCs/>
          <w:sz w:val="24"/>
          <w:szCs w:val="24"/>
        </w:rPr>
        <w:t>thwart legal</w:t>
      </w:r>
      <w:r w:rsidR="00B443F9" w:rsidRPr="009B579F">
        <w:rPr>
          <w:rFonts w:ascii="Arial" w:hAnsi="Arial" w:cs="Arial"/>
          <w:b/>
          <w:bCs/>
          <w:sz w:val="24"/>
          <w:szCs w:val="24"/>
          <w:lang w:val="en-GB"/>
        </w:rPr>
        <w:t xml:space="preserve"> </w:t>
      </w:r>
      <w:r w:rsidRPr="009B579F">
        <w:rPr>
          <w:rFonts w:ascii="Arial" w:hAnsi="Arial" w:cs="Arial"/>
          <w:b/>
          <w:bCs/>
          <w:sz w:val="24"/>
          <w:szCs w:val="24"/>
        </w:rPr>
        <w:t>processes and escape accountability</w:t>
      </w:r>
      <w:r w:rsidRPr="00273A79">
        <w:rPr>
          <w:rFonts w:ascii="Arial" w:hAnsi="Arial" w:cs="Arial"/>
          <w:sz w:val="24"/>
          <w:szCs w:val="24"/>
        </w:rPr>
        <w:t>. Noteworthy is the Resolution's repeated use of the</w:t>
      </w:r>
      <w:r w:rsidR="00B443F9" w:rsidRPr="00273A79">
        <w:rPr>
          <w:rFonts w:ascii="Arial" w:hAnsi="Arial" w:cs="Arial"/>
          <w:sz w:val="24"/>
          <w:szCs w:val="24"/>
          <w:lang w:val="en-GB"/>
        </w:rPr>
        <w:t xml:space="preserve"> </w:t>
      </w:r>
      <w:r w:rsidRPr="00273A79">
        <w:rPr>
          <w:rFonts w:ascii="Arial" w:hAnsi="Arial" w:cs="Arial"/>
          <w:sz w:val="24"/>
          <w:szCs w:val="24"/>
        </w:rPr>
        <w:t>term "even in the absence of a link to a specific terrorist act" to emphasize the challenges</w:t>
      </w:r>
      <w:r w:rsidR="00B443F9" w:rsidRPr="00273A79">
        <w:rPr>
          <w:rFonts w:ascii="Arial" w:hAnsi="Arial" w:cs="Arial"/>
          <w:sz w:val="24"/>
          <w:szCs w:val="24"/>
          <w:lang w:val="en-GB"/>
        </w:rPr>
        <w:t xml:space="preserve"> </w:t>
      </w:r>
      <w:r w:rsidRPr="00273A79">
        <w:rPr>
          <w:rFonts w:ascii="Arial" w:hAnsi="Arial" w:cs="Arial"/>
          <w:sz w:val="24"/>
          <w:szCs w:val="24"/>
        </w:rPr>
        <w:t>a State in identifying links between NPOs as front organizations to successfully eliminate</w:t>
      </w:r>
      <w:r w:rsidR="00B443F9" w:rsidRPr="00273A79">
        <w:rPr>
          <w:rFonts w:ascii="Arial" w:hAnsi="Arial" w:cs="Arial"/>
          <w:sz w:val="24"/>
          <w:szCs w:val="24"/>
          <w:lang w:val="en-GB"/>
        </w:rPr>
        <w:t xml:space="preserve"> </w:t>
      </w:r>
      <w:r w:rsidRPr="00273A79">
        <w:rPr>
          <w:rFonts w:ascii="Arial" w:hAnsi="Arial" w:cs="Arial"/>
          <w:sz w:val="24"/>
          <w:szCs w:val="24"/>
        </w:rPr>
        <w:t>terrorist financing activities.</w:t>
      </w:r>
    </w:p>
    <w:p w14:paraId="7F2E0679" w14:textId="77777777" w:rsidR="00B443F9" w:rsidRPr="00273A79" w:rsidRDefault="00B443F9" w:rsidP="00F2358F">
      <w:pPr>
        <w:autoSpaceDE w:val="0"/>
        <w:autoSpaceDN w:val="0"/>
        <w:adjustRightInd w:val="0"/>
        <w:jc w:val="both"/>
        <w:rPr>
          <w:rFonts w:ascii="Arial" w:hAnsi="Arial" w:cs="Arial"/>
          <w:sz w:val="24"/>
          <w:szCs w:val="24"/>
        </w:rPr>
      </w:pPr>
    </w:p>
    <w:p w14:paraId="23BB534F" w14:textId="77777777" w:rsidR="001978A5" w:rsidRPr="00273A79" w:rsidRDefault="001978A5" w:rsidP="00F2358F">
      <w:pPr>
        <w:autoSpaceDE w:val="0"/>
        <w:autoSpaceDN w:val="0"/>
        <w:adjustRightInd w:val="0"/>
        <w:jc w:val="both"/>
        <w:rPr>
          <w:rFonts w:ascii="Arial" w:hAnsi="Arial" w:cs="Arial"/>
          <w:sz w:val="24"/>
          <w:szCs w:val="24"/>
        </w:rPr>
      </w:pPr>
      <w:r w:rsidRPr="00273A79">
        <w:rPr>
          <w:rFonts w:ascii="Arial" w:hAnsi="Arial" w:cs="Arial"/>
          <w:sz w:val="24"/>
          <w:szCs w:val="24"/>
        </w:rPr>
        <w:t>There remains no analogous provision aimed at protecting the rights of children in</w:t>
      </w:r>
      <w:r w:rsidR="00BC540D" w:rsidRPr="00273A79">
        <w:rPr>
          <w:rFonts w:ascii="Arial" w:hAnsi="Arial" w:cs="Arial"/>
          <w:sz w:val="24"/>
          <w:szCs w:val="24"/>
          <w:lang w:val="en-GB"/>
        </w:rPr>
        <w:t xml:space="preserve"> </w:t>
      </w:r>
      <w:r w:rsidRPr="00273A79">
        <w:rPr>
          <w:rFonts w:ascii="Arial" w:hAnsi="Arial" w:cs="Arial"/>
          <w:sz w:val="24"/>
          <w:szCs w:val="24"/>
        </w:rPr>
        <w:t>preventing terror front organizations (often disguised as civil society organizations) from</w:t>
      </w:r>
      <w:r w:rsidR="00BC540D" w:rsidRPr="00273A79">
        <w:rPr>
          <w:rFonts w:ascii="Arial" w:hAnsi="Arial" w:cs="Arial"/>
          <w:sz w:val="24"/>
          <w:szCs w:val="24"/>
          <w:lang w:val="en-GB"/>
        </w:rPr>
        <w:t xml:space="preserve"> </w:t>
      </w:r>
      <w:r w:rsidRPr="00273A79">
        <w:rPr>
          <w:rFonts w:ascii="Arial" w:hAnsi="Arial" w:cs="Arial"/>
          <w:sz w:val="24"/>
          <w:szCs w:val="24"/>
        </w:rPr>
        <w:t xml:space="preserve">luring or abducting children to become </w:t>
      </w:r>
      <w:r w:rsidRPr="005C5456">
        <w:rPr>
          <w:rFonts w:ascii="Arial" w:hAnsi="Arial" w:cs="Arial"/>
          <w:b/>
          <w:bCs/>
          <w:sz w:val="24"/>
          <w:szCs w:val="24"/>
        </w:rPr>
        <w:t>child combatants</w:t>
      </w:r>
      <w:r w:rsidRPr="00273A79">
        <w:rPr>
          <w:rFonts w:ascii="Arial" w:hAnsi="Arial" w:cs="Arial"/>
          <w:sz w:val="24"/>
          <w:szCs w:val="24"/>
        </w:rPr>
        <w:t>. Particularly, existing human</w:t>
      </w:r>
      <w:r w:rsidR="00BC540D" w:rsidRPr="00273A79">
        <w:rPr>
          <w:rFonts w:ascii="Arial" w:hAnsi="Arial" w:cs="Arial"/>
          <w:sz w:val="24"/>
          <w:szCs w:val="24"/>
          <w:lang w:val="en-GB"/>
        </w:rPr>
        <w:t xml:space="preserve"> </w:t>
      </w:r>
      <w:r w:rsidRPr="00273A79">
        <w:rPr>
          <w:rFonts w:ascii="Arial" w:hAnsi="Arial" w:cs="Arial"/>
          <w:sz w:val="24"/>
          <w:szCs w:val="24"/>
        </w:rPr>
        <w:t>rights doctrines tend to lean heavily in favor of these front organizations once they have</w:t>
      </w:r>
      <w:r w:rsidR="00BC540D" w:rsidRPr="00273A79">
        <w:rPr>
          <w:rFonts w:ascii="Arial" w:hAnsi="Arial" w:cs="Arial"/>
          <w:sz w:val="24"/>
          <w:szCs w:val="24"/>
          <w:lang w:val="en-GB"/>
        </w:rPr>
        <w:t xml:space="preserve"> </w:t>
      </w:r>
      <w:r w:rsidRPr="00273A79">
        <w:rPr>
          <w:rFonts w:ascii="Arial" w:hAnsi="Arial" w:cs="Arial"/>
          <w:sz w:val="24"/>
          <w:szCs w:val="24"/>
        </w:rPr>
        <w:t>established their reputation.</w:t>
      </w:r>
      <w:r w:rsidR="00A30EE0">
        <w:rPr>
          <w:rFonts w:ascii="Arial" w:hAnsi="Arial" w:cs="Arial"/>
          <w:sz w:val="24"/>
          <w:szCs w:val="24"/>
        </w:rPr>
        <w:t xml:space="preserve"> </w:t>
      </w:r>
    </w:p>
    <w:p w14:paraId="6477C135" w14:textId="77777777" w:rsidR="00BC540D" w:rsidRPr="00273A79" w:rsidRDefault="00BC540D" w:rsidP="00F2358F">
      <w:pPr>
        <w:autoSpaceDE w:val="0"/>
        <w:autoSpaceDN w:val="0"/>
        <w:adjustRightInd w:val="0"/>
        <w:jc w:val="both"/>
        <w:rPr>
          <w:rFonts w:ascii="Arial" w:hAnsi="Arial" w:cs="Arial"/>
          <w:sz w:val="24"/>
          <w:szCs w:val="24"/>
        </w:rPr>
      </w:pPr>
    </w:p>
    <w:p w14:paraId="613C0158" w14:textId="77777777" w:rsidR="001978A5" w:rsidRPr="0040631F" w:rsidRDefault="001978A5" w:rsidP="00F2358F">
      <w:pPr>
        <w:autoSpaceDE w:val="0"/>
        <w:autoSpaceDN w:val="0"/>
        <w:adjustRightInd w:val="0"/>
        <w:jc w:val="both"/>
        <w:rPr>
          <w:rFonts w:ascii="Arial" w:hAnsi="Arial" w:cs="Arial"/>
          <w:b/>
          <w:bCs/>
          <w:sz w:val="24"/>
          <w:szCs w:val="24"/>
        </w:rPr>
      </w:pPr>
      <w:r w:rsidRPr="00273A79">
        <w:rPr>
          <w:rFonts w:ascii="Arial" w:hAnsi="Arial" w:cs="Arial"/>
          <w:sz w:val="24"/>
          <w:szCs w:val="24"/>
        </w:rPr>
        <w:t>Submissions coming from human rights victims of terrorism in the Philippines and</w:t>
      </w:r>
      <w:r w:rsidR="00BC540D" w:rsidRPr="00273A79">
        <w:rPr>
          <w:rFonts w:ascii="Arial" w:hAnsi="Arial" w:cs="Arial"/>
          <w:sz w:val="24"/>
          <w:szCs w:val="24"/>
          <w:lang w:val="en-GB"/>
        </w:rPr>
        <w:t xml:space="preserve"> </w:t>
      </w:r>
      <w:r w:rsidRPr="00273A79">
        <w:rPr>
          <w:rFonts w:ascii="Arial" w:hAnsi="Arial" w:cs="Arial"/>
          <w:sz w:val="24"/>
          <w:szCs w:val="24"/>
        </w:rPr>
        <w:t xml:space="preserve">former terrorists reveal that terror front organizations target thousands of </w:t>
      </w:r>
      <w:r w:rsidRPr="0040631F">
        <w:rPr>
          <w:rFonts w:ascii="Arial" w:hAnsi="Arial" w:cs="Arial"/>
          <w:b/>
          <w:bCs/>
          <w:sz w:val="24"/>
          <w:szCs w:val="24"/>
        </w:rPr>
        <w:t>single-parent</w:t>
      </w:r>
      <w:r w:rsidR="0040631F">
        <w:rPr>
          <w:rFonts w:ascii="Arial" w:hAnsi="Arial" w:cs="Arial"/>
          <w:b/>
          <w:bCs/>
          <w:sz w:val="24"/>
          <w:szCs w:val="24"/>
          <w:lang w:val="en-GB"/>
        </w:rPr>
        <w:t xml:space="preserve"> </w:t>
      </w:r>
      <w:r w:rsidRPr="0040631F">
        <w:rPr>
          <w:rFonts w:ascii="Arial" w:hAnsi="Arial" w:cs="Arial"/>
          <w:b/>
          <w:bCs/>
          <w:sz w:val="24"/>
          <w:szCs w:val="24"/>
        </w:rPr>
        <w:t>children whose parents are migrant workers</w:t>
      </w:r>
      <w:r w:rsidRPr="00273A79">
        <w:rPr>
          <w:rFonts w:ascii="Arial" w:hAnsi="Arial" w:cs="Arial"/>
          <w:sz w:val="24"/>
          <w:szCs w:val="24"/>
        </w:rPr>
        <w:t xml:space="preserve"> deployed in other States. A child of a single</w:t>
      </w:r>
      <w:r w:rsidR="00BC540D" w:rsidRPr="00273A79">
        <w:rPr>
          <w:rFonts w:ascii="Arial" w:hAnsi="Arial" w:cs="Arial"/>
          <w:sz w:val="24"/>
          <w:szCs w:val="24"/>
          <w:lang w:val="en-GB"/>
        </w:rPr>
        <w:t xml:space="preserve"> </w:t>
      </w:r>
      <w:r w:rsidRPr="00273A79">
        <w:rPr>
          <w:rFonts w:ascii="Arial" w:hAnsi="Arial" w:cs="Arial"/>
          <w:sz w:val="24"/>
          <w:szCs w:val="24"/>
        </w:rPr>
        <w:t>parent</w:t>
      </w:r>
      <w:r w:rsidR="00BC540D" w:rsidRPr="00273A79">
        <w:rPr>
          <w:rFonts w:ascii="Arial" w:hAnsi="Arial" w:cs="Arial"/>
          <w:sz w:val="24"/>
          <w:szCs w:val="24"/>
          <w:lang w:val="en-GB"/>
        </w:rPr>
        <w:t xml:space="preserve"> </w:t>
      </w:r>
      <w:r w:rsidRPr="00273A79">
        <w:rPr>
          <w:rFonts w:ascii="Arial" w:hAnsi="Arial" w:cs="Arial"/>
          <w:sz w:val="24"/>
          <w:szCs w:val="24"/>
        </w:rPr>
        <w:t xml:space="preserve">migrant worker deployed </w:t>
      </w:r>
      <w:r w:rsidR="00A30EE0">
        <w:rPr>
          <w:rFonts w:ascii="Arial" w:hAnsi="Arial" w:cs="Arial"/>
          <w:sz w:val="24"/>
          <w:szCs w:val="24"/>
        </w:rPr>
        <w:t xml:space="preserve">is highly vulnerable owing to the </w:t>
      </w:r>
      <w:r w:rsidRPr="00273A79">
        <w:rPr>
          <w:rFonts w:ascii="Arial" w:hAnsi="Arial" w:cs="Arial"/>
          <w:sz w:val="24"/>
          <w:szCs w:val="24"/>
        </w:rPr>
        <w:t>minimal physical</w:t>
      </w:r>
      <w:r w:rsidR="00A30EE0">
        <w:rPr>
          <w:rFonts w:ascii="Arial" w:hAnsi="Arial" w:cs="Arial"/>
          <w:sz w:val="24"/>
          <w:szCs w:val="24"/>
        </w:rPr>
        <w:t xml:space="preserve"> parental</w:t>
      </w:r>
      <w:r w:rsidRPr="00273A79">
        <w:rPr>
          <w:rFonts w:ascii="Arial" w:hAnsi="Arial" w:cs="Arial"/>
          <w:sz w:val="24"/>
          <w:szCs w:val="24"/>
        </w:rPr>
        <w:t xml:space="preserve"> presence to protect</w:t>
      </w:r>
      <w:r w:rsidR="00BC540D" w:rsidRPr="00273A79">
        <w:rPr>
          <w:rFonts w:ascii="Arial" w:hAnsi="Arial" w:cs="Arial"/>
          <w:sz w:val="24"/>
          <w:szCs w:val="24"/>
          <w:lang w:val="en-GB"/>
        </w:rPr>
        <w:t xml:space="preserve"> </w:t>
      </w:r>
      <w:r w:rsidRPr="00273A79">
        <w:rPr>
          <w:rFonts w:ascii="Arial" w:hAnsi="Arial" w:cs="Arial"/>
          <w:sz w:val="24"/>
          <w:szCs w:val="24"/>
        </w:rPr>
        <w:t>the child from the influences of extremist-hate speech and/or teachings readily made</w:t>
      </w:r>
      <w:r w:rsidR="00BC540D" w:rsidRPr="00273A79">
        <w:rPr>
          <w:rFonts w:ascii="Arial" w:hAnsi="Arial" w:cs="Arial"/>
          <w:sz w:val="24"/>
          <w:szCs w:val="24"/>
          <w:lang w:val="en-GB"/>
        </w:rPr>
        <w:t xml:space="preserve"> </w:t>
      </w:r>
      <w:r w:rsidRPr="00273A79">
        <w:rPr>
          <w:rFonts w:ascii="Arial" w:hAnsi="Arial" w:cs="Arial"/>
          <w:sz w:val="24"/>
          <w:szCs w:val="24"/>
        </w:rPr>
        <w:t>available by front organizations posing as student-youth organizations and/or human</w:t>
      </w:r>
      <w:r w:rsidR="00BC540D" w:rsidRPr="00273A79">
        <w:rPr>
          <w:rFonts w:ascii="Arial" w:hAnsi="Arial" w:cs="Arial"/>
          <w:sz w:val="24"/>
          <w:szCs w:val="24"/>
          <w:lang w:val="en-GB"/>
        </w:rPr>
        <w:t xml:space="preserve"> </w:t>
      </w:r>
      <w:r w:rsidRPr="00273A79">
        <w:rPr>
          <w:rFonts w:ascii="Arial" w:hAnsi="Arial" w:cs="Arial"/>
          <w:sz w:val="24"/>
          <w:szCs w:val="24"/>
        </w:rPr>
        <w:t>rights advocates operating within democratic civic spaces. This is the very reason why the</w:t>
      </w:r>
      <w:r w:rsidRPr="00273A79">
        <w:rPr>
          <w:rFonts w:ascii="Arial" w:hAnsi="Arial" w:cs="Arial"/>
          <w:sz w:val="24"/>
          <w:szCs w:val="24"/>
          <w:lang w:val="en-GB"/>
        </w:rPr>
        <w:t xml:space="preserve"> </w:t>
      </w:r>
      <w:r w:rsidRPr="00273A79">
        <w:rPr>
          <w:rFonts w:ascii="Arial" w:hAnsi="Arial" w:cs="Arial"/>
          <w:sz w:val="24"/>
          <w:szCs w:val="24"/>
        </w:rPr>
        <w:t>CPP-NPA terror group has been the subject of the aforementioned UN Security Council</w:t>
      </w:r>
      <w:r w:rsidR="00BC540D" w:rsidRPr="00273A79">
        <w:rPr>
          <w:rFonts w:ascii="Arial" w:hAnsi="Arial" w:cs="Arial"/>
          <w:sz w:val="24"/>
          <w:szCs w:val="24"/>
          <w:lang w:val="en-GB"/>
        </w:rPr>
        <w:t xml:space="preserve"> </w:t>
      </w:r>
      <w:r w:rsidRPr="00273A79">
        <w:rPr>
          <w:rFonts w:ascii="Arial" w:hAnsi="Arial" w:cs="Arial"/>
          <w:sz w:val="24"/>
          <w:szCs w:val="24"/>
        </w:rPr>
        <w:t>Resolutions. More children shall follow if these groups continue to operate with impunity</w:t>
      </w:r>
      <w:r w:rsidR="00BC540D" w:rsidRPr="00273A79">
        <w:rPr>
          <w:rFonts w:ascii="Arial" w:hAnsi="Arial" w:cs="Arial"/>
          <w:sz w:val="24"/>
          <w:szCs w:val="24"/>
          <w:lang w:val="en-GB"/>
        </w:rPr>
        <w:t xml:space="preserve"> </w:t>
      </w:r>
      <w:r w:rsidRPr="00273A79">
        <w:rPr>
          <w:rFonts w:ascii="Arial" w:hAnsi="Arial" w:cs="Arial"/>
          <w:sz w:val="24"/>
          <w:szCs w:val="24"/>
        </w:rPr>
        <w:t>within these democratic civic spaces.</w:t>
      </w:r>
    </w:p>
    <w:p w14:paraId="560C66CF" w14:textId="77777777" w:rsidR="00BC540D" w:rsidRPr="00273A79" w:rsidRDefault="00BC540D" w:rsidP="00F2358F">
      <w:pPr>
        <w:autoSpaceDE w:val="0"/>
        <w:autoSpaceDN w:val="0"/>
        <w:adjustRightInd w:val="0"/>
        <w:jc w:val="both"/>
        <w:rPr>
          <w:rFonts w:ascii="Arial" w:hAnsi="Arial" w:cs="Arial"/>
          <w:sz w:val="24"/>
          <w:szCs w:val="24"/>
        </w:rPr>
      </w:pPr>
    </w:p>
    <w:p w14:paraId="34D0E4DF" w14:textId="77777777" w:rsidR="001978A5" w:rsidRPr="00273A79" w:rsidRDefault="005E3BFC" w:rsidP="00F2358F">
      <w:pPr>
        <w:autoSpaceDE w:val="0"/>
        <w:autoSpaceDN w:val="0"/>
        <w:adjustRightInd w:val="0"/>
        <w:jc w:val="both"/>
        <w:rPr>
          <w:rFonts w:ascii="Arial" w:hAnsi="Arial" w:cs="Arial"/>
          <w:sz w:val="24"/>
          <w:szCs w:val="24"/>
        </w:rPr>
      </w:pPr>
      <w:r>
        <w:rPr>
          <w:rFonts w:ascii="Arial" w:hAnsi="Arial" w:cs="Arial"/>
          <w:sz w:val="24"/>
          <w:szCs w:val="24"/>
        </w:rPr>
        <w:t>The submitted reports from indigenous</w:t>
      </w:r>
      <w:r w:rsidR="001978A5" w:rsidRPr="00273A79">
        <w:rPr>
          <w:rFonts w:ascii="Arial" w:hAnsi="Arial" w:cs="Arial"/>
          <w:sz w:val="24"/>
          <w:szCs w:val="24"/>
        </w:rPr>
        <w:t xml:space="preserve"> communities and former terrorists themselves also</w:t>
      </w:r>
      <w:r w:rsidR="00BC540D" w:rsidRPr="00273A79">
        <w:rPr>
          <w:rFonts w:ascii="Arial" w:hAnsi="Arial" w:cs="Arial"/>
          <w:sz w:val="24"/>
          <w:szCs w:val="24"/>
          <w:lang w:val="en-GB"/>
        </w:rPr>
        <w:t xml:space="preserve"> </w:t>
      </w:r>
      <w:r w:rsidR="001978A5" w:rsidRPr="00273A79">
        <w:rPr>
          <w:rFonts w:ascii="Arial" w:hAnsi="Arial" w:cs="Arial"/>
          <w:sz w:val="24"/>
          <w:szCs w:val="24"/>
        </w:rPr>
        <w:t xml:space="preserve">mention CSOs/ NPOs of terror front organizations </w:t>
      </w:r>
      <w:r w:rsidR="001978A5" w:rsidRPr="00375DFB">
        <w:rPr>
          <w:rFonts w:ascii="Arial" w:hAnsi="Arial" w:cs="Arial"/>
          <w:b/>
          <w:bCs/>
          <w:sz w:val="24"/>
          <w:szCs w:val="24"/>
        </w:rPr>
        <w:t>forming terror training centers</w:t>
      </w:r>
      <w:r w:rsidR="00BC540D" w:rsidRPr="00273A79">
        <w:rPr>
          <w:rFonts w:ascii="Arial" w:hAnsi="Arial" w:cs="Arial"/>
          <w:sz w:val="24"/>
          <w:szCs w:val="24"/>
          <w:lang w:val="en-GB"/>
        </w:rPr>
        <w:t xml:space="preserve"> </w:t>
      </w:r>
      <w:r w:rsidR="001978A5" w:rsidRPr="00375DFB">
        <w:rPr>
          <w:rFonts w:ascii="Arial" w:hAnsi="Arial" w:cs="Arial"/>
          <w:b/>
          <w:bCs/>
          <w:sz w:val="24"/>
          <w:szCs w:val="24"/>
        </w:rPr>
        <w:t>ingeni</w:t>
      </w:r>
      <w:r>
        <w:rPr>
          <w:rFonts w:ascii="Arial" w:hAnsi="Arial" w:cs="Arial"/>
          <w:b/>
          <w:bCs/>
          <w:sz w:val="24"/>
          <w:szCs w:val="24"/>
        </w:rPr>
        <w:t>ously disguised as private schools in indigenous</w:t>
      </w:r>
      <w:r w:rsidR="001978A5" w:rsidRPr="00375DFB">
        <w:rPr>
          <w:rFonts w:ascii="Arial" w:hAnsi="Arial" w:cs="Arial"/>
          <w:b/>
          <w:bCs/>
          <w:sz w:val="24"/>
          <w:szCs w:val="24"/>
        </w:rPr>
        <w:t xml:space="preserve"> communities in Southern Philippines</w:t>
      </w:r>
      <w:r w:rsidR="001978A5" w:rsidRPr="00273A79">
        <w:rPr>
          <w:rFonts w:ascii="Arial" w:hAnsi="Arial" w:cs="Arial"/>
          <w:sz w:val="24"/>
          <w:szCs w:val="24"/>
        </w:rPr>
        <w:t xml:space="preserve">. These CSO/NPOs have been instrumental in exposing IP children to </w:t>
      </w:r>
      <w:r w:rsidR="001978A5" w:rsidRPr="00890F55">
        <w:rPr>
          <w:rFonts w:ascii="Arial" w:hAnsi="Arial" w:cs="Arial"/>
          <w:b/>
          <w:bCs/>
          <w:sz w:val="24"/>
          <w:szCs w:val="24"/>
        </w:rPr>
        <w:t>extremist-hate speech with</w:t>
      </w:r>
      <w:r w:rsidR="00BC540D" w:rsidRPr="00890F55">
        <w:rPr>
          <w:rFonts w:ascii="Arial" w:hAnsi="Arial" w:cs="Arial"/>
          <w:b/>
          <w:bCs/>
          <w:sz w:val="24"/>
          <w:szCs w:val="24"/>
          <w:lang w:val="en-GB"/>
        </w:rPr>
        <w:t xml:space="preserve"> </w:t>
      </w:r>
      <w:r w:rsidR="001978A5" w:rsidRPr="00890F55">
        <w:rPr>
          <w:rFonts w:ascii="Arial" w:hAnsi="Arial" w:cs="Arial"/>
          <w:b/>
          <w:bCs/>
          <w:sz w:val="24"/>
          <w:szCs w:val="24"/>
        </w:rPr>
        <w:t>carefully laid curriculums to teach the use of assault rifles and bomb-making</w:t>
      </w:r>
      <w:r w:rsidR="001978A5" w:rsidRPr="00273A79">
        <w:rPr>
          <w:rFonts w:ascii="Arial" w:hAnsi="Arial" w:cs="Arial"/>
          <w:sz w:val="24"/>
          <w:szCs w:val="24"/>
        </w:rPr>
        <w:t>.</w:t>
      </w:r>
      <w:r>
        <w:rPr>
          <w:rFonts w:ascii="Arial" w:hAnsi="Arial" w:cs="Arial"/>
          <w:sz w:val="24"/>
          <w:szCs w:val="24"/>
        </w:rPr>
        <w:t xml:space="preserve">” Fact-finding missions by the Department of Education and the House of Representatives confirmed the use of such “private schools” for exploitative purposes and the commission of grave violations against children. These resulted in the government’s legitimate actions to stop the operation of these “private tribal schools” and to intensify the presence of government schools in indigenous communities. Government efforts to close these private schools are being countered by the CPP-NPA-NDF with widespread propaganda of government’s alleged “targeting of indigenous peoples” and “attack against human rights defenders.” </w:t>
      </w:r>
    </w:p>
    <w:p w14:paraId="4CE91867" w14:textId="77777777" w:rsidR="00BC540D" w:rsidRPr="00273A79" w:rsidRDefault="00BC540D" w:rsidP="00F2358F">
      <w:pPr>
        <w:autoSpaceDE w:val="0"/>
        <w:autoSpaceDN w:val="0"/>
        <w:adjustRightInd w:val="0"/>
        <w:jc w:val="both"/>
        <w:rPr>
          <w:rFonts w:ascii="Arial" w:hAnsi="Arial" w:cs="Arial"/>
          <w:sz w:val="24"/>
          <w:szCs w:val="24"/>
        </w:rPr>
      </w:pPr>
    </w:p>
    <w:p w14:paraId="2559F5A5" w14:textId="77777777" w:rsidR="00602CD4" w:rsidRDefault="001978A5" w:rsidP="00F2358F">
      <w:pPr>
        <w:autoSpaceDE w:val="0"/>
        <w:autoSpaceDN w:val="0"/>
        <w:adjustRightInd w:val="0"/>
        <w:jc w:val="both"/>
        <w:rPr>
          <w:rFonts w:ascii="Arial" w:hAnsi="Arial" w:cs="Arial"/>
          <w:sz w:val="24"/>
          <w:szCs w:val="24"/>
          <w:lang w:val="en-GB"/>
        </w:rPr>
      </w:pPr>
      <w:r w:rsidRPr="00273A79">
        <w:rPr>
          <w:rFonts w:ascii="Arial" w:hAnsi="Arial" w:cs="Arial"/>
          <w:sz w:val="24"/>
          <w:szCs w:val="24"/>
        </w:rPr>
        <w:t>The symbiotic relationship of terrorist groups with hundreds of their front</w:t>
      </w:r>
      <w:r w:rsidR="00BC540D" w:rsidRPr="00273A79">
        <w:rPr>
          <w:rFonts w:ascii="Arial" w:hAnsi="Arial" w:cs="Arial"/>
          <w:sz w:val="24"/>
          <w:szCs w:val="24"/>
          <w:lang w:val="en-GB"/>
        </w:rPr>
        <w:t xml:space="preserve"> </w:t>
      </w:r>
      <w:r w:rsidRPr="00273A79">
        <w:rPr>
          <w:rFonts w:ascii="Arial" w:hAnsi="Arial" w:cs="Arial"/>
          <w:sz w:val="24"/>
          <w:szCs w:val="24"/>
        </w:rPr>
        <w:t>organizations established for the specific purpose of posing as CSOs/ NPOs advocating</w:t>
      </w:r>
      <w:r w:rsidR="00BC540D" w:rsidRPr="00273A79">
        <w:rPr>
          <w:rFonts w:ascii="Arial" w:hAnsi="Arial" w:cs="Arial"/>
          <w:sz w:val="24"/>
          <w:szCs w:val="24"/>
          <w:lang w:val="en-GB"/>
        </w:rPr>
        <w:t xml:space="preserve"> </w:t>
      </w:r>
      <w:r w:rsidRPr="00273A79">
        <w:rPr>
          <w:rFonts w:ascii="Arial" w:hAnsi="Arial" w:cs="Arial"/>
          <w:sz w:val="24"/>
          <w:szCs w:val="24"/>
        </w:rPr>
        <w:t xml:space="preserve">causes that are trending to access </w:t>
      </w:r>
      <w:r w:rsidRPr="006D41B3">
        <w:rPr>
          <w:rFonts w:ascii="Arial" w:hAnsi="Arial" w:cs="Arial"/>
          <w:b/>
          <w:bCs/>
          <w:sz w:val="24"/>
          <w:szCs w:val="24"/>
        </w:rPr>
        <w:t>international financial donor funding only increases</w:t>
      </w:r>
      <w:r w:rsidR="00BC540D" w:rsidRPr="006D41B3">
        <w:rPr>
          <w:rFonts w:ascii="Arial" w:hAnsi="Arial" w:cs="Arial"/>
          <w:b/>
          <w:bCs/>
          <w:sz w:val="24"/>
          <w:szCs w:val="24"/>
          <w:lang w:val="en-GB"/>
        </w:rPr>
        <w:t xml:space="preserve"> </w:t>
      </w:r>
      <w:r w:rsidRPr="006D41B3">
        <w:rPr>
          <w:rFonts w:ascii="Arial" w:hAnsi="Arial" w:cs="Arial"/>
          <w:b/>
          <w:bCs/>
          <w:sz w:val="24"/>
          <w:szCs w:val="24"/>
        </w:rPr>
        <w:t>their capacity to commit grave violations against children in armed conflict</w:t>
      </w:r>
      <w:r w:rsidRPr="00273A79">
        <w:rPr>
          <w:rFonts w:ascii="Arial" w:hAnsi="Arial" w:cs="Arial"/>
          <w:sz w:val="24"/>
          <w:szCs w:val="24"/>
        </w:rPr>
        <w:t>. This may also</w:t>
      </w:r>
      <w:r w:rsidR="00BC540D" w:rsidRPr="00273A79">
        <w:rPr>
          <w:rFonts w:ascii="Arial" w:hAnsi="Arial" w:cs="Arial"/>
          <w:sz w:val="24"/>
          <w:szCs w:val="24"/>
          <w:lang w:val="en-GB"/>
        </w:rPr>
        <w:t xml:space="preserve"> </w:t>
      </w:r>
      <w:r w:rsidRPr="00273A79">
        <w:rPr>
          <w:rFonts w:ascii="Arial" w:hAnsi="Arial" w:cs="Arial"/>
          <w:sz w:val="24"/>
          <w:szCs w:val="24"/>
        </w:rPr>
        <w:t>be the reason why two decades after being recognized by the UN as a terror group</w:t>
      </w:r>
      <w:r w:rsidR="00BC540D" w:rsidRPr="00273A79">
        <w:rPr>
          <w:rFonts w:ascii="Arial" w:hAnsi="Arial" w:cs="Arial"/>
          <w:sz w:val="24"/>
          <w:szCs w:val="24"/>
          <w:lang w:val="en-GB"/>
        </w:rPr>
        <w:t xml:space="preserve"> </w:t>
      </w:r>
      <w:r w:rsidRPr="00273A79">
        <w:rPr>
          <w:rFonts w:ascii="Arial" w:hAnsi="Arial" w:cs="Arial"/>
          <w:sz w:val="24"/>
          <w:szCs w:val="24"/>
        </w:rPr>
        <w:t>gravely violating the rights of the child in situations of armed conflict, these CPP-NPA</w:t>
      </w:r>
      <w:r w:rsidR="00F7291F">
        <w:rPr>
          <w:rFonts w:ascii="Arial" w:hAnsi="Arial" w:cs="Arial"/>
          <w:sz w:val="24"/>
          <w:szCs w:val="24"/>
          <w:lang w:val="en-GB"/>
        </w:rPr>
        <w:t xml:space="preserve"> </w:t>
      </w:r>
      <w:r w:rsidRPr="00273A79">
        <w:rPr>
          <w:rFonts w:ascii="Arial" w:hAnsi="Arial" w:cs="Arial"/>
          <w:sz w:val="24"/>
          <w:szCs w:val="24"/>
        </w:rPr>
        <w:t>terror group's activities remain unabated, as they are further emboldened to commit more</w:t>
      </w:r>
      <w:r w:rsidR="00BC540D" w:rsidRPr="00273A79">
        <w:rPr>
          <w:rFonts w:ascii="Arial" w:hAnsi="Arial" w:cs="Arial"/>
          <w:sz w:val="24"/>
          <w:szCs w:val="24"/>
          <w:lang w:val="en-GB"/>
        </w:rPr>
        <w:t xml:space="preserve"> </w:t>
      </w:r>
      <w:r w:rsidR="00602CD4">
        <w:rPr>
          <w:rFonts w:ascii="Arial" w:hAnsi="Arial" w:cs="Arial"/>
          <w:sz w:val="24"/>
          <w:szCs w:val="24"/>
          <w:lang w:val="en-GB"/>
        </w:rPr>
        <w:t xml:space="preserve">violations.  </w:t>
      </w:r>
    </w:p>
    <w:p w14:paraId="073186B3" w14:textId="77777777" w:rsidR="00602CD4" w:rsidRDefault="00602CD4" w:rsidP="00F2358F">
      <w:pPr>
        <w:autoSpaceDE w:val="0"/>
        <w:autoSpaceDN w:val="0"/>
        <w:adjustRightInd w:val="0"/>
        <w:jc w:val="both"/>
        <w:rPr>
          <w:rFonts w:ascii="Arial" w:hAnsi="Arial" w:cs="Arial"/>
          <w:sz w:val="24"/>
          <w:szCs w:val="24"/>
          <w:lang w:val="en-GB"/>
        </w:rPr>
      </w:pPr>
    </w:p>
    <w:p w14:paraId="120926A5" w14:textId="77777777" w:rsidR="001978A5" w:rsidRPr="00273A79" w:rsidRDefault="001978A5" w:rsidP="00F2358F">
      <w:pPr>
        <w:autoSpaceDE w:val="0"/>
        <w:autoSpaceDN w:val="0"/>
        <w:adjustRightInd w:val="0"/>
        <w:jc w:val="both"/>
        <w:rPr>
          <w:rFonts w:ascii="Arial" w:hAnsi="Arial" w:cs="Arial"/>
          <w:sz w:val="24"/>
          <w:szCs w:val="24"/>
        </w:rPr>
      </w:pPr>
      <w:r w:rsidRPr="00273A79">
        <w:rPr>
          <w:rFonts w:ascii="Arial" w:hAnsi="Arial" w:cs="Arial"/>
          <w:sz w:val="24"/>
          <w:szCs w:val="24"/>
        </w:rPr>
        <w:lastRenderedPageBreak/>
        <w:t>As with all States, the Philippines' anti-terror legislation was designed not to</w:t>
      </w:r>
      <w:r w:rsidR="00BC540D" w:rsidRPr="00273A79">
        <w:rPr>
          <w:rFonts w:ascii="Arial" w:hAnsi="Arial" w:cs="Arial"/>
          <w:sz w:val="24"/>
          <w:szCs w:val="24"/>
          <w:lang w:val="en-GB"/>
        </w:rPr>
        <w:t xml:space="preserve"> </w:t>
      </w:r>
      <w:r w:rsidRPr="00273A79">
        <w:rPr>
          <w:rFonts w:ascii="Arial" w:hAnsi="Arial" w:cs="Arial"/>
          <w:sz w:val="24"/>
          <w:szCs w:val="24"/>
        </w:rPr>
        <w:t>encroach upon democratic civic spaces reserved for legitimate CSO/ NPO advocacies</w:t>
      </w:r>
      <w:r w:rsidR="00602CD4">
        <w:rPr>
          <w:rFonts w:ascii="Arial" w:hAnsi="Arial" w:cs="Arial"/>
          <w:sz w:val="24"/>
          <w:szCs w:val="24"/>
          <w:lang w:val="en-GB"/>
        </w:rPr>
        <w:t xml:space="preserve">.  </w:t>
      </w:r>
      <w:r w:rsidRPr="00273A79">
        <w:rPr>
          <w:rFonts w:ascii="Arial" w:hAnsi="Arial" w:cs="Arial"/>
          <w:sz w:val="24"/>
          <w:szCs w:val="24"/>
        </w:rPr>
        <w:t xml:space="preserve">Unfortunately, there have been </w:t>
      </w:r>
      <w:r w:rsidRPr="006D5FAB">
        <w:rPr>
          <w:rFonts w:ascii="Arial" w:hAnsi="Arial" w:cs="Arial"/>
          <w:b/>
          <w:bCs/>
          <w:sz w:val="24"/>
          <w:szCs w:val="24"/>
        </w:rPr>
        <w:t xml:space="preserve">limited options to counter front organizations </w:t>
      </w:r>
      <w:r w:rsidRPr="00273A79">
        <w:rPr>
          <w:rFonts w:ascii="Arial" w:hAnsi="Arial" w:cs="Arial"/>
          <w:sz w:val="24"/>
          <w:szCs w:val="24"/>
        </w:rPr>
        <w:t>that</w:t>
      </w:r>
      <w:r w:rsidR="005A2FBF" w:rsidRPr="00273A79">
        <w:rPr>
          <w:rFonts w:ascii="Arial" w:hAnsi="Arial" w:cs="Arial"/>
          <w:sz w:val="24"/>
          <w:szCs w:val="24"/>
          <w:lang w:val="en-GB"/>
        </w:rPr>
        <w:t xml:space="preserve"> </w:t>
      </w:r>
      <w:r w:rsidRPr="00273A79">
        <w:rPr>
          <w:rFonts w:ascii="Arial" w:hAnsi="Arial" w:cs="Arial"/>
          <w:sz w:val="24"/>
          <w:szCs w:val="24"/>
        </w:rPr>
        <w:t>knowingly use certain advocacies such as human rights, to thwart domestic legal</w:t>
      </w:r>
      <w:r w:rsidR="005A2FBF" w:rsidRPr="00273A79">
        <w:rPr>
          <w:rFonts w:ascii="Arial" w:hAnsi="Arial" w:cs="Arial"/>
          <w:sz w:val="24"/>
          <w:szCs w:val="24"/>
          <w:lang w:val="en-GB"/>
        </w:rPr>
        <w:t xml:space="preserve"> </w:t>
      </w:r>
      <w:r w:rsidRPr="00273A79">
        <w:rPr>
          <w:rFonts w:ascii="Arial" w:hAnsi="Arial" w:cs="Arial"/>
          <w:sz w:val="24"/>
          <w:szCs w:val="24"/>
        </w:rPr>
        <w:t>processes and escape accountability. In addition, this problem has often been</w:t>
      </w:r>
      <w:r w:rsidR="005A2FBF" w:rsidRPr="00273A79">
        <w:rPr>
          <w:rFonts w:ascii="Arial" w:hAnsi="Arial" w:cs="Arial"/>
          <w:sz w:val="24"/>
          <w:szCs w:val="24"/>
          <w:lang w:val="en-GB"/>
        </w:rPr>
        <w:t xml:space="preserve"> </w:t>
      </w:r>
      <w:r w:rsidRPr="00273A79">
        <w:rPr>
          <w:rFonts w:ascii="Arial" w:hAnsi="Arial" w:cs="Arial"/>
          <w:sz w:val="24"/>
          <w:szCs w:val="24"/>
        </w:rPr>
        <w:t>aggravated</w:t>
      </w:r>
      <w:r w:rsidR="005A2FBF" w:rsidRPr="00273A79">
        <w:rPr>
          <w:rFonts w:ascii="Arial" w:hAnsi="Arial" w:cs="Arial"/>
          <w:sz w:val="24"/>
          <w:szCs w:val="24"/>
          <w:lang w:val="en-GB"/>
        </w:rPr>
        <w:t xml:space="preserve"> </w:t>
      </w:r>
      <w:r w:rsidRPr="00273A79">
        <w:rPr>
          <w:rFonts w:ascii="Arial" w:hAnsi="Arial" w:cs="Arial"/>
          <w:sz w:val="24"/>
          <w:szCs w:val="24"/>
        </w:rPr>
        <w:t xml:space="preserve">by the terror fronts' sophisticated ability to automatically attribute </w:t>
      </w:r>
      <w:r w:rsidRPr="00273A79">
        <w:rPr>
          <w:rFonts w:ascii="Arial" w:hAnsi="Arial" w:cs="Arial"/>
          <w:i/>
          <w:iCs/>
          <w:sz w:val="24"/>
          <w:szCs w:val="24"/>
        </w:rPr>
        <w:t xml:space="preserve">pro-forma </w:t>
      </w:r>
      <w:r w:rsidRPr="00273A79">
        <w:rPr>
          <w:rFonts w:ascii="Arial" w:hAnsi="Arial" w:cs="Arial"/>
          <w:sz w:val="24"/>
          <w:szCs w:val="24"/>
        </w:rPr>
        <w:t>charges (</w:t>
      </w:r>
      <w:r w:rsidR="00E04D55">
        <w:rPr>
          <w:rFonts w:ascii="Arial" w:hAnsi="Arial" w:cs="Arial"/>
          <w:sz w:val="24"/>
          <w:szCs w:val="24"/>
          <w:lang w:val="en-GB"/>
        </w:rPr>
        <w:t>i</w:t>
      </w:r>
      <w:r w:rsidRPr="00273A79">
        <w:rPr>
          <w:rFonts w:ascii="Arial" w:hAnsi="Arial" w:cs="Arial"/>
          <w:sz w:val="24"/>
          <w:szCs w:val="24"/>
        </w:rPr>
        <w:t>.e.,</w:t>
      </w:r>
      <w:r w:rsidR="005A2FBF" w:rsidRPr="00273A79">
        <w:rPr>
          <w:rFonts w:ascii="Arial" w:hAnsi="Arial" w:cs="Arial"/>
          <w:sz w:val="24"/>
          <w:szCs w:val="24"/>
          <w:lang w:val="en-GB"/>
        </w:rPr>
        <w:t xml:space="preserve"> </w:t>
      </w:r>
      <w:r w:rsidRPr="00273A79">
        <w:rPr>
          <w:rFonts w:ascii="Arial" w:hAnsi="Arial" w:cs="Arial"/>
          <w:sz w:val="24"/>
          <w:szCs w:val="24"/>
        </w:rPr>
        <w:t>human rights violations) against the State in all instances w</w:t>
      </w:r>
      <w:r w:rsidR="001E062D">
        <w:rPr>
          <w:rFonts w:ascii="Arial" w:hAnsi="Arial" w:cs="Arial"/>
          <w:sz w:val="24"/>
          <w:szCs w:val="24"/>
        </w:rPr>
        <w:t>h</w:t>
      </w:r>
      <w:r w:rsidRPr="00273A79">
        <w:rPr>
          <w:rFonts w:ascii="Arial" w:hAnsi="Arial" w:cs="Arial"/>
          <w:sz w:val="24"/>
          <w:szCs w:val="24"/>
        </w:rPr>
        <w:t>ere members of the terror front</w:t>
      </w:r>
      <w:r w:rsidR="005A2FBF" w:rsidRPr="00273A79">
        <w:rPr>
          <w:rFonts w:ascii="Arial" w:hAnsi="Arial" w:cs="Arial"/>
          <w:sz w:val="24"/>
          <w:szCs w:val="24"/>
          <w:lang w:val="en-GB"/>
        </w:rPr>
        <w:t xml:space="preserve"> </w:t>
      </w:r>
      <w:r w:rsidRPr="00273A79">
        <w:rPr>
          <w:rFonts w:ascii="Arial" w:hAnsi="Arial" w:cs="Arial"/>
          <w:sz w:val="24"/>
          <w:szCs w:val="24"/>
        </w:rPr>
        <w:t>organizations are arrested and prosecuted. Courts themselves have</w:t>
      </w:r>
      <w:r w:rsidR="005A2FBF" w:rsidRPr="00273A79">
        <w:rPr>
          <w:rFonts w:ascii="Arial" w:hAnsi="Arial" w:cs="Arial"/>
          <w:sz w:val="24"/>
          <w:szCs w:val="24"/>
          <w:lang w:val="en-GB"/>
        </w:rPr>
        <w:t xml:space="preserve"> </w:t>
      </w:r>
      <w:r w:rsidRPr="00273A79">
        <w:rPr>
          <w:rFonts w:ascii="Arial" w:hAnsi="Arial" w:cs="Arial"/>
          <w:sz w:val="24"/>
          <w:szCs w:val="24"/>
        </w:rPr>
        <w:t>not been spared from</w:t>
      </w:r>
      <w:r w:rsidR="005A2FBF" w:rsidRPr="00273A79">
        <w:rPr>
          <w:rFonts w:ascii="Arial" w:hAnsi="Arial" w:cs="Arial"/>
          <w:sz w:val="24"/>
          <w:szCs w:val="24"/>
          <w:lang w:val="en-GB"/>
        </w:rPr>
        <w:t xml:space="preserve"> </w:t>
      </w:r>
      <w:r w:rsidRPr="00273A79">
        <w:rPr>
          <w:rFonts w:ascii="Arial" w:hAnsi="Arial" w:cs="Arial"/>
          <w:sz w:val="24"/>
          <w:szCs w:val="24"/>
        </w:rPr>
        <w:t>human rights criticisms for decisions against members of terror front organizations that</w:t>
      </w:r>
      <w:r w:rsidR="005A2FBF" w:rsidRPr="00273A79">
        <w:rPr>
          <w:rFonts w:ascii="Arial" w:hAnsi="Arial" w:cs="Arial"/>
          <w:sz w:val="24"/>
          <w:szCs w:val="24"/>
          <w:lang w:val="en-GB"/>
        </w:rPr>
        <w:t xml:space="preserve"> </w:t>
      </w:r>
      <w:r w:rsidRPr="00273A79">
        <w:rPr>
          <w:rFonts w:ascii="Arial" w:hAnsi="Arial" w:cs="Arial"/>
          <w:sz w:val="24"/>
          <w:szCs w:val="24"/>
        </w:rPr>
        <w:t>regularly pose as members of the "human rights defenders" sector.</w:t>
      </w:r>
    </w:p>
    <w:p w14:paraId="041C4277" w14:textId="77777777" w:rsidR="005A2FBF" w:rsidRPr="00273A79" w:rsidRDefault="005A2FBF" w:rsidP="00F2358F">
      <w:pPr>
        <w:autoSpaceDE w:val="0"/>
        <w:autoSpaceDN w:val="0"/>
        <w:adjustRightInd w:val="0"/>
        <w:jc w:val="both"/>
        <w:rPr>
          <w:rFonts w:ascii="Arial" w:hAnsi="Arial" w:cs="Arial"/>
          <w:sz w:val="24"/>
          <w:szCs w:val="24"/>
        </w:rPr>
      </w:pPr>
    </w:p>
    <w:p w14:paraId="4B2E7D63" w14:textId="77777777" w:rsidR="001978A5" w:rsidRPr="00273A79" w:rsidRDefault="001978A5" w:rsidP="00F2358F">
      <w:pPr>
        <w:autoSpaceDE w:val="0"/>
        <w:autoSpaceDN w:val="0"/>
        <w:adjustRightInd w:val="0"/>
        <w:jc w:val="both"/>
        <w:rPr>
          <w:rFonts w:ascii="Arial" w:hAnsi="Arial" w:cs="Arial"/>
          <w:sz w:val="24"/>
          <w:szCs w:val="24"/>
        </w:rPr>
      </w:pPr>
      <w:r w:rsidRPr="00273A79">
        <w:rPr>
          <w:rFonts w:ascii="Arial" w:hAnsi="Arial" w:cs="Arial"/>
          <w:sz w:val="24"/>
          <w:szCs w:val="24"/>
        </w:rPr>
        <w:t xml:space="preserve">The </w:t>
      </w:r>
      <w:r w:rsidRPr="0048462B">
        <w:rPr>
          <w:rFonts w:ascii="Arial" w:hAnsi="Arial" w:cs="Arial"/>
          <w:b/>
          <w:bCs/>
          <w:sz w:val="24"/>
          <w:szCs w:val="24"/>
        </w:rPr>
        <w:t>use by terror front organizations</w:t>
      </w:r>
      <w:r w:rsidRPr="00273A79">
        <w:rPr>
          <w:rFonts w:ascii="Arial" w:hAnsi="Arial" w:cs="Arial"/>
          <w:sz w:val="24"/>
          <w:szCs w:val="24"/>
        </w:rPr>
        <w:t xml:space="preserve"> (advocating virtues, like human rights, climate</w:t>
      </w:r>
      <w:r w:rsidR="00DB36A9" w:rsidRPr="00273A79">
        <w:rPr>
          <w:rFonts w:ascii="Arial" w:hAnsi="Arial" w:cs="Arial"/>
          <w:sz w:val="24"/>
          <w:szCs w:val="24"/>
          <w:lang w:val="en-GB"/>
        </w:rPr>
        <w:t xml:space="preserve"> </w:t>
      </w:r>
      <w:r w:rsidRPr="00273A79">
        <w:rPr>
          <w:rFonts w:ascii="Arial" w:hAnsi="Arial" w:cs="Arial"/>
          <w:sz w:val="24"/>
          <w:szCs w:val="24"/>
        </w:rPr>
        <w:t>change</w:t>
      </w:r>
      <w:r w:rsidR="001E062D">
        <w:rPr>
          <w:rFonts w:ascii="Arial" w:hAnsi="Arial" w:cs="Arial"/>
          <w:sz w:val="24"/>
          <w:szCs w:val="24"/>
        </w:rPr>
        <w:t xml:space="preserve"> adaptation</w:t>
      </w:r>
      <w:r w:rsidRPr="00273A79">
        <w:rPr>
          <w:rFonts w:ascii="Arial" w:hAnsi="Arial" w:cs="Arial"/>
          <w:sz w:val="24"/>
          <w:szCs w:val="24"/>
        </w:rPr>
        <w:t xml:space="preserve">, </w:t>
      </w:r>
      <w:r w:rsidR="001E062D">
        <w:rPr>
          <w:rFonts w:ascii="Arial" w:hAnsi="Arial" w:cs="Arial"/>
          <w:sz w:val="24"/>
          <w:szCs w:val="24"/>
        </w:rPr>
        <w:t xml:space="preserve">disaster management and preparedness, </w:t>
      </w:r>
      <w:r w:rsidRPr="00273A79">
        <w:rPr>
          <w:rFonts w:ascii="Arial" w:hAnsi="Arial" w:cs="Arial"/>
          <w:sz w:val="24"/>
          <w:szCs w:val="24"/>
        </w:rPr>
        <w:t xml:space="preserve">etc.) </w:t>
      </w:r>
      <w:r w:rsidRPr="0048462B">
        <w:rPr>
          <w:rFonts w:ascii="Arial" w:hAnsi="Arial" w:cs="Arial"/>
          <w:b/>
          <w:bCs/>
          <w:sz w:val="24"/>
          <w:szCs w:val="24"/>
        </w:rPr>
        <w:t>of democratic civic spaces has proved to be detrimental to the well</w:t>
      </w:r>
      <w:r w:rsidR="00DB36A9" w:rsidRPr="0048462B">
        <w:rPr>
          <w:rFonts w:ascii="Arial" w:hAnsi="Arial" w:cs="Arial"/>
          <w:b/>
          <w:bCs/>
          <w:sz w:val="24"/>
          <w:szCs w:val="24"/>
          <w:lang w:val="en-GB"/>
        </w:rPr>
        <w:t xml:space="preserve"> </w:t>
      </w:r>
      <w:r w:rsidRPr="0048462B">
        <w:rPr>
          <w:rFonts w:ascii="Arial" w:hAnsi="Arial" w:cs="Arial"/>
          <w:b/>
          <w:bCs/>
          <w:sz w:val="24"/>
          <w:szCs w:val="24"/>
        </w:rPr>
        <w:t>established</w:t>
      </w:r>
      <w:r w:rsidR="00DB36A9" w:rsidRPr="0048462B">
        <w:rPr>
          <w:rFonts w:ascii="Arial" w:hAnsi="Arial" w:cs="Arial"/>
          <w:b/>
          <w:bCs/>
          <w:sz w:val="24"/>
          <w:szCs w:val="24"/>
          <w:lang w:val="en-GB"/>
        </w:rPr>
        <w:t xml:space="preserve"> </w:t>
      </w:r>
      <w:r w:rsidRPr="0048462B">
        <w:rPr>
          <w:rFonts w:ascii="Arial" w:hAnsi="Arial" w:cs="Arial"/>
          <w:b/>
          <w:bCs/>
          <w:sz w:val="24"/>
          <w:szCs w:val="24"/>
        </w:rPr>
        <w:t>integrity of the UN's human rights landscape, those of other supranational</w:t>
      </w:r>
      <w:r w:rsidR="002718FD" w:rsidRPr="0048462B">
        <w:rPr>
          <w:rFonts w:ascii="Arial" w:hAnsi="Arial" w:cs="Arial"/>
          <w:b/>
          <w:bCs/>
          <w:sz w:val="24"/>
          <w:szCs w:val="24"/>
          <w:lang w:val="en-GB"/>
        </w:rPr>
        <w:t xml:space="preserve"> </w:t>
      </w:r>
      <w:r w:rsidRPr="0048462B">
        <w:rPr>
          <w:rFonts w:ascii="Arial" w:hAnsi="Arial" w:cs="Arial"/>
          <w:b/>
          <w:bCs/>
          <w:sz w:val="24"/>
          <w:szCs w:val="24"/>
        </w:rPr>
        <w:t>bodies like the EU and the ASEAN, as well as of domestic human rights bodies</w:t>
      </w:r>
      <w:r w:rsidRPr="00273A79">
        <w:rPr>
          <w:rFonts w:ascii="Arial" w:hAnsi="Arial" w:cs="Arial"/>
          <w:sz w:val="24"/>
          <w:szCs w:val="24"/>
        </w:rPr>
        <w:t xml:space="preserve"> of other</w:t>
      </w:r>
      <w:r w:rsidR="00DB36A9" w:rsidRPr="00273A79">
        <w:rPr>
          <w:rFonts w:ascii="Arial" w:hAnsi="Arial" w:cs="Arial"/>
          <w:sz w:val="24"/>
          <w:szCs w:val="24"/>
          <w:lang w:val="en-GB"/>
        </w:rPr>
        <w:t xml:space="preserve"> </w:t>
      </w:r>
      <w:r w:rsidRPr="00273A79">
        <w:rPr>
          <w:rFonts w:ascii="Arial" w:hAnsi="Arial" w:cs="Arial"/>
          <w:sz w:val="24"/>
          <w:szCs w:val="24"/>
        </w:rPr>
        <w:t>States which are similarly situated. Considering the aforementioned, there may be</w:t>
      </w:r>
      <w:r w:rsidR="00DB36A9" w:rsidRPr="00273A79">
        <w:rPr>
          <w:rFonts w:ascii="Arial" w:hAnsi="Arial" w:cs="Arial"/>
          <w:sz w:val="24"/>
          <w:szCs w:val="24"/>
          <w:lang w:val="en-GB"/>
        </w:rPr>
        <w:t xml:space="preserve"> </w:t>
      </w:r>
      <w:r w:rsidRPr="00273A79">
        <w:rPr>
          <w:rFonts w:ascii="Arial" w:hAnsi="Arial" w:cs="Arial"/>
          <w:sz w:val="24"/>
          <w:szCs w:val="24"/>
        </w:rPr>
        <w:t>relevance in formulating a universal guide for States in balancing limits of both domestic</w:t>
      </w:r>
      <w:r w:rsidR="00DB36A9" w:rsidRPr="00273A79">
        <w:rPr>
          <w:rFonts w:ascii="Arial" w:hAnsi="Arial" w:cs="Arial"/>
          <w:sz w:val="24"/>
          <w:szCs w:val="24"/>
          <w:lang w:val="en-GB"/>
        </w:rPr>
        <w:t xml:space="preserve"> </w:t>
      </w:r>
      <w:r w:rsidRPr="00273A79">
        <w:rPr>
          <w:rFonts w:ascii="Arial" w:hAnsi="Arial" w:cs="Arial"/>
          <w:sz w:val="24"/>
          <w:szCs w:val="24"/>
        </w:rPr>
        <w:t>anti-terror legislation and the freedoms of CSOs/NPOs to access democratic civic</w:t>
      </w:r>
      <w:r w:rsidR="00DB36A9" w:rsidRPr="00273A79">
        <w:rPr>
          <w:rFonts w:ascii="Arial" w:hAnsi="Arial" w:cs="Arial"/>
          <w:sz w:val="24"/>
          <w:szCs w:val="24"/>
          <w:lang w:val="en-GB"/>
        </w:rPr>
        <w:t xml:space="preserve"> </w:t>
      </w:r>
      <w:r w:rsidRPr="00273A79">
        <w:rPr>
          <w:rFonts w:ascii="Arial" w:hAnsi="Arial" w:cs="Arial"/>
          <w:sz w:val="24"/>
          <w:szCs w:val="24"/>
        </w:rPr>
        <w:t xml:space="preserve">spaces. In formulating such, the </w:t>
      </w:r>
      <w:r w:rsidRPr="007F76C8">
        <w:rPr>
          <w:rFonts w:ascii="Arial" w:hAnsi="Arial" w:cs="Arial"/>
          <w:b/>
          <w:bCs/>
          <w:sz w:val="24"/>
          <w:szCs w:val="24"/>
        </w:rPr>
        <w:t>Philippines recommends the involvement of relevant</w:t>
      </w:r>
      <w:r w:rsidR="00DB36A9" w:rsidRPr="007F76C8">
        <w:rPr>
          <w:rFonts w:ascii="Arial" w:hAnsi="Arial" w:cs="Arial"/>
          <w:b/>
          <w:bCs/>
          <w:sz w:val="24"/>
          <w:szCs w:val="24"/>
          <w:lang w:val="en-GB"/>
        </w:rPr>
        <w:t xml:space="preserve"> </w:t>
      </w:r>
      <w:r w:rsidRPr="007F76C8">
        <w:rPr>
          <w:rFonts w:ascii="Arial" w:hAnsi="Arial" w:cs="Arial"/>
          <w:b/>
          <w:bCs/>
          <w:sz w:val="24"/>
          <w:szCs w:val="24"/>
        </w:rPr>
        <w:t>stakeholders coming from human rights victims of terrorism and former terrorists</w:t>
      </w:r>
      <w:r w:rsidR="00DB36A9" w:rsidRPr="007F76C8">
        <w:rPr>
          <w:rFonts w:ascii="Arial" w:hAnsi="Arial" w:cs="Arial"/>
          <w:b/>
          <w:bCs/>
          <w:sz w:val="24"/>
          <w:szCs w:val="24"/>
          <w:lang w:val="en-GB"/>
        </w:rPr>
        <w:t xml:space="preserve"> </w:t>
      </w:r>
      <w:r w:rsidRPr="007F76C8">
        <w:rPr>
          <w:rFonts w:ascii="Arial" w:hAnsi="Arial" w:cs="Arial"/>
          <w:b/>
          <w:bCs/>
          <w:sz w:val="24"/>
          <w:szCs w:val="24"/>
        </w:rPr>
        <w:t>themselves</w:t>
      </w:r>
      <w:r w:rsidRPr="00273A79">
        <w:rPr>
          <w:rFonts w:ascii="Arial" w:hAnsi="Arial" w:cs="Arial"/>
          <w:sz w:val="24"/>
          <w:szCs w:val="24"/>
        </w:rPr>
        <w:t>.</w:t>
      </w:r>
    </w:p>
    <w:p w14:paraId="518D149B" w14:textId="77777777" w:rsidR="00D963AE" w:rsidRPr="00273A79" w:rsidRDefault="00D963AE" w:rsidP="00F2358F">
      <w:pPr>
        <w:autoSpaceDE w:val="0"/>
        <w:autoSpaceDN w:val="0"/>
        <w:adjustRightInd w:val="0"/>
        <w:jc w:val="both"/>
        <w:rPr>
          <w:rFonts w:ascii="Arial" w:hAnsi="Arial" w:cs="Arial"/>
          <w:sz w:val="24"/>
          <w:szCs w:val="24"/>
        </w:rPr>
      </w:pPr>
    </w:p>
    <w:p w14:paraId="2C5C6FC0" w14:textId="77777777" w:rsidR="001978A5" w:rsidRPr="00CC760D" w:rsidRDefault="00A04715" w:rsidP="00CC760D">
      <w:pPr>
        <w:autoSpaceDE w:val="0"/>
        <w:autoSpaceDN w:val="0"/>
        <w:adjustRightInd w:val="0"/>
        <w:jc w:val="both"/>
        <w:rPr>
          <w:rFonts w:ascii="Arial" w:hAnsi="Arial" w:cs="Arial"/>
          <w:b/>
          <w:bCs/>
          <w:sz w:val="24"/>
          <w:szCs w:val="24"/>
        </w:rPr>
      </w:pPr>
      <w:r>
        <w:rPr>
          <w:rFonts w:ascii="Arial" w:hAnsi="Arial" w:cs="Arial"/>
          <w:sz w:val="24"/>
          <w:szCs w:val="24"/>
          <w:lang w:val="en-GB"/>
        </w:rPr>
        <w:t>The Philippines hopes that the above information wi</w:t>
      </w:r>
      <w:r w:rsidR="00663592">
        <w:rPr>
          <w:rFonts w:ascii="Arial" w:hAnsi="Arial" w:cs="Arial"/>
          <w:sz w:val="24"/>
          <w:szCs w:val="24"/>
          <w:lang w:val="en-GB"/>
        </w:rPr>
        <w:t>ll contribute to a</w:t>
      </w:r>
      <w:r>
        <w:rPr>
          <w:rFonts w:ascii="Arial" w:hAnsi="Arial" w:cs="Arial"/>
          <w:sz w:val="24"/>
          <w:szCs w:val="24"/>
          <w:lang w:val="en-GB"/>
        </w:rPr>
        <w:t xml:space="preserve"> deeper</w:t>
      </w:r>
      <w:r w:rsidR="00663592">
        <w:rPr>
          <w:rFonts w:ascii="Arial" w:hAnsi="Arial" w:cs="Arial"/>
          <w:sz w:val="24"/>
          <w:szCs w:val="24"/>
          <w:lang w:val="en-GB"/>
        </w:rPr>
        <w:t xml:space="preserve"> analysis of the complex and grave issue of terrorism.</w:t>
      </w:r>
      <w:r>
        <w:rPr>
          <w:rFonts w:ascii="Arial" w:hAnsi="Arial" w:cs="Arial"/>
          <w:sz w:val="24"/>
          <w:szCs w:val="24"/>
          <w:lang w:val="en-GB"/>
        </w:rPr>
        <w:t xml:space="preserve"> The Philippines further hopes that </w:t>
      </w:r>
      <w:r w:rsidR="00211BF5">
        <w:rPr>
          <w:rFonts w:ascii="Arial" w:hAnsi="Arial" w:cs="Arial"/>
          <w:sz w:val="24"/>
          <w:szCs w:val="24"/>
          <w:lang w:val="en-GB"/>
        </w:rPr>
        <w:t>this information</w:t>
      </w:r>
      <w:r>
        <w:rPr>
          <w:rFonts w:ascii="Arial" w:hAnsi="Arial" w:cs="Arial"/>
          <w:sz w:val="24"/>
          <w:szCs w:val="24"/>
          <w:lang w:val="en-GB"/>
        </w:rPr>
        <w:t xml:space="preserve"> will form part in the SR on </w:t>
      </w:r>
      <w:r w:rsidR="00663592">
        <w:rPr>
          <w:rFonts w:ascii="Arial" w:hAnsi="Arial" w:cs="Arial"/>
          <w:sz w:val="24"/>
          <w:szCs w:val="24"/>
          <w:lang w:val="en-GB"/>
        </w:rPr>
        <w:t>countering t</w:t>
      </w:r>
      <w:r>
        <w:rPr>
          <w:rFonts w:ascii="Arial" w:hAnsi="Arial" w:cs="Arial"/>
          <w:sz w:val="24"/>
          <w:szCs w:val="24"/>
          <w:lang w:val="en-GB"/>
        </w:rPr>
        <w:t>errorism´s thematic report that will be presented at the 75</w:t>
      </w:r>
      <w:r w:rsidRPr="00A04715">
        <w:rPr>
          <w:rFonts w:ascii="Arial" w:hAnsi="Arial" w:cs="Arial"/>
          <w:sz w:val="24"/>
          <w:szCs w:val="24"/>
          <w:vertAlign w:val="superscript"/>
          <w:lang w:val="en-GB"/>
        </w:rPr>
        <w:t>th</w:t>
      </w:r>
      <w:r>
        <w:rPr>
          <w:rFonts w:ascii="Arial" w:hAnsi="Arial" w:cs="Arial"/>
          <w:sz w:val="24"/>
          <w:szCs w:val="24"/>
          <w:lang w:val="en-GB"/>
        </w:rPr>
        <w:t xml:space="preserve"> UNGA Session in October 2020.  </w:t>
      </w:r>
      <w:r w:rsidR="00273A79">
        <w:rPr>
          <w:rFonts w:ascii="Arial" w:hAnsi="Arial" w:cs="Arial"/>
          <w:b/>
          <w:bCs/>
          <w:sz w:val="24"/>
          <w:szCs w:val="24"/>
          <w:lang w:val="en-GB"/>
        </w:rPr>
        <w:t>END.</w:t>
      </w:r>
    </w:p>
    <w:sectPr w:rsidR="001978A5" w:rsidRPr="00CC760D" w:rsidSect="00516756">
      <w:headerReference w:type="default" r:id="rId8"/>
      <w:footerReference w:type="default" r:id="rId9"/>
      <w:pgSz w:w="11906" w:h="16838"/>
      <w:pgMar w:top="1134" w:right="1191" w:bottom="102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6DEF8" w14:textId="77777777" w:rsidR="00C84D44" w:rsidRDefault="00C84D44" w:rsidP="00B443F9">
      <w:r>
        <w:separator/>
      </w:r>
    </w:p>
  </w:endnote>
  <w:endnote w:type="continuationSeparator" w:id="0">
    <w:p w14:paraId="1CAA5ED7" w14:textId="77777777" w:rsidR="00C84D44" w:rsidRDefault="00C84D44" w:rsidP="00B4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273629"/>
      <w:docPartObj>
        <w:docPartGallery w:val="Page Numbers (Bottom of Page)"/>
        <w:docPartUnique/>
      </w:docPartObj>
    </w:sdtPr>
    <w:sdtEndPr>
      <w:rPr>
        <w:noProof/>
      </w:rPr>
    </w:sdtEndPr>
    <w:sdtContent>
      <w:p w14:paraId="272288FD" w14:textId="77777777" w:rsidR="00B443F9" w:rsidRDefault="00300023">
        <w:pPr>
          <w:pStyle w:val="Footer"/>
          <w:jc w:val="right"/>
        </w:pPr>
        <w:r>
          <w:fldChar w:fldCharType="begin"/>
        </w:r>
        <w:r w:rsidR="00B443F9">
          <w:instrText xml:space="preserve"> PAGE   \* MERGEFORMAT </w:instrText>
        </w:r>
        <w:r>
          <w:fldChar w:fldCharType="separate"/>
        </w:r>
        <w:r w:rsidR="00663592">
          <w:rPr>
            <w:noProof/>
          </w:rPr>
          <w:t>1</w:t>
        </w:r>
        <w:r>
          <w:rPr>
            <w:noProof/>
          </w:rPr>
          <w:fldChar w:fldCharType="end"/>
        </w:r>
      </w:p>
    </w:sdtContent>
  </w:sdt>
  <w:p w14:paraId="72EE205B" w14:textId="77777777" w:rsidR="00B443F9" w:rsidRDefault="00B4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090D" w14:textId="77777777" w:rsidR="00C84D44" w:rsidRDefault="00C84D44" w:rsidP="00B443F9">
      <w:r>
        <w:separator/>
      </w:r>
    </w:p>
  </w:footnote>
  <w:footnote w:type="continuationSeparator" w:id="0">
    <w:p w14:paraId="7509CD17" w14:textId="77777777" w:rsidR="00C84D44" w:rsidRDefault="00C84D44" w:rsidP="00B443F9">
      <w:r>
        <w:continuationSeparator/>
      </w:r>
    </w:p>
  </w:footnote>
  <w:footnote w:id="1">
    <w:p w14:paraId="40F83745" w14:textId="77777777" w:rsidR="00873B6E" w:rsidRPr="00873B6E" w:rsidRDefault="00873B6E">
      <w:pPr>
        <w:pStyle w:val="FootnoteText"/>
        <w:rPr>
          <w:lang w:val="en-GB"/>
        </w:rPr>
      </w:pPr>
      <w:r>
        <w:rPr>
          <w:rStyle w:val="FootnoteReference"/>
        </w:rPr>
        <w:footnoteRef/>
      </w:r>
      <w:r>
        <w:t xml:space="preserve"> </w:t>
      </w:r>
      <w:r>
        <w:rPr>
          <w:lang w:val="en-GB"/>
        </w:rPr>
        <w:t>A/HRC/RES/41/2 dated 12 July 2019</w:t>
      </w:r>
    </w:p>
  </w:footnote>
  <w:footnote w:id="2">
    <w:p w14:paraId="0D6D3A25" w14:textId="77777777" w:rsidR="00400944" w:rsidRPr="00400944" w:rsidRDefault="00400944">
      <w:pPr>
        <w:pStyle w:val="FootnoteText"/>
        <w:rPr>
          <w:lang w:val="en-GB"/>
        </w:rPr>
      </w:pPr>
      <w:r>
        <w:rPr>
          <w:rStyle w:val="FootnoteReference"/>
        </w:rPr>
        <w:footnoteRef/>
      </w:r>
      <w:r>
        <w:t xml:space="preserve"> </w:t>
      </w:r>
      <w:r>
        <w:rPr>
          <w:lang w:val="en-GB"/>
        </w:rPr>
        <w:t>Report of the UN Conference on the Human Rights of Victims of Terrorism 2016</w:t>
      </w:r>
    </w:p>
  </w:footnote>
  <w:footnote w:id="3">
    <w:p w14:paraId="325C5C62" w14:textId="77777777" w:rsidR="009E2C49" w:rsidRPr="009E2C49" w:rsidRDefault="009E2C49">
      <w:pPr>
        <w:pStyle w:val="FootnoteText"/>
        <w:rPr>
          <w:lang w:val="en-GB"/>
        </w:rPr>
      </w:pPr>
      <w:r>
        <w:rPr>
          <w:rStyle w:val="FootnoteReference"/>
        </w:rPr>
        <w:footnoteRef/>
      </w:r>
      <w:r>
        <w:t xml:space="preserve"> </w:t>
      </w:r>
      <w:r>
        <w:rPr>
          <w:lang w:val="en-GB"/>
        </w:rPr>
        <w:t>Personal declarations of CPP-NPA terror group/entity founder and chairman Jose Maria “Joma” Sison video may be accessed at https://youtu.be/SceqJRZjHsA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E427" w14:textId="58EA1DAC" w:rsidR="00516756" w:rsidRDefault="00516756">
    <w:pPr>
      <w:pStyle w:val="Header"/>
      <w:rPr>
        <w:lang w:val="en-GB"/>
      </w:rPr>
    </w:pPr>
    <w:r>
      <w:rPr>
        <w:lang w:val="en-GB"/>
      </w:rPr>
      <w:t xml:space="preserve">Philippine Contribution to the Thematic Report of the SR on Terrorism </w:t>
    </w:r>
  </w:p>
  <w:p w14:paraId="08F6F3A8" w14:textId="24339E1A" w:rsidR="00516756" w:rsidRDefault="00516756">
    <w:pPr>
      <w:pStyle w:val="Header"/>
      <w:rPr>
        <w:lang w:val="en-GB"/>
      </w:rPr>
    </w:pPr>
    <w:r>
      <w:rPr>
        <w:lang w:val="en-GB"/>
      </w:rPr>
      <w:t>(Pursuant to HRC resolution 40/15)</w:t>
    </w:r>
  </w:p>
  <w:p w14:paraId="6B45028E" w14:textId="77777777" w:rsidR="00516756" w:rsidRPr="00516756" w:rsidRDefault="0051675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009"/>
    <w:multiLevelType w:val="hybridMultilevel"/>
    <w:tmpl w:val="71D803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8A9388E"/>
    <w:multiLevelType w:val="hybridMultilevel"/>
    <w:tmpl w:val="CA3AB74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 w15:restartNumberingAfterBreak="0">
    <w:nsid w:val="5BEA7163"/>
    <w:multiLevelType w:val="multilevel"/>
    <w:tmpl w:val="BAEEF2A0"/>
    <w:lvl w:ilvl="0">
      <w:start w:val="1"/>
      <w:numFmt w:val="decimal"/>
      <w:pStyle w:val="ListNumber"/>
      <w:lvlText w:val="%1"/>
      <w:lvlJc w:val="left"/>
      <w:pPr>
        <w:tabs>
          <w:tab w:val="num" w:pos="1134"/>
        </w:tabs>
        <w:ind w:left="1134" w:hanging="1134"/>
      </w:pPr>
      <w:rPr>
        <w:rFonts w:ascii="Arial" w:hAnsi="Arial" w:cs="Times New Roman" w:hint="default"/>
        <w:b/>
        <w:i w:val="0"/>
        <w:sz w:val="36"/>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Restart w:val="1"/>
      <w:lvlText w:val="Figure %1-%6"/>
      <w:lvlJc w:val="left"/>
      <w:pPr>
        <w:tabs>
          <w:tab w:val="num" w:pos="1134"/>
        </w:tabs>
        <w:ind w:left="1134" w:hanging="1134"/>
      </w:pPr>
    </w:lvl>
    <w:lvl w:ilvl="6">
      <w:start w:val="1"/>
      <w:numFmt w:val="decimal"/>
      <w:lvlRestart w:val="1"/>
      <w:lvlText w:val="Table %1-%7"/>
      <w:lvlJc w:val="left"/>
      <w:pPr>
        <w:tabs>
          <w:tab w:val="num" w:pos="1134"/>
        </w:tabs>
        <w:ind w:left="1134" w:hanging="1134"/>
      </w:pPr>
    </w:lvl>
    <w:lvl w:ilvl="7">
      <w:start w:val="1"/>
      <w:numFmt w:val="none"/>
      <w:suff w:val="nothing"/>
      <w:lvlText w:val=""/>
      <w:lvlJc w:val="left"/>
      <w:pPr>
        <w:ind w:left="1418" w:hanging="1418"/>
      </w:pPr>
    </w:lvl>
    <w:lvl w:ilvl="8">
      <w:start w:val="1"/>
      <w:numFmt w:val="none"/>
      <w:suff w:val="nothing"/>
      <w:lvlText w:val=""/>
      <w:lvlJc w:val="left"/>
      <w:pPr>
        <w:ind w:left="0" w:firstLine="0"/>
      </w:pPr>
    </w:lvl>
  </w:abstractNum>
  <w:abstractNum w:abstractNumId="3" w15:restartNumberingAfterBreak="0">
    <w:nsid w:val="7D225F51"/>
    <w:multiLevelType w:val="hybridMultilevel"/>
    <w:tmpl w:val="075471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A5"/>
    <w:rsid w:val="000073E4"/>
    <w:rsid w:val="000107F4"/>
    <w:rsid w:val="000202DC"/>
    <w:rsid w:val="0002314F"/>
    <w:rsid w:val="0002625F"/>
    <w:rsid w:val="00055623"/>
    <w:rsid w:val="0008596C"/>
    <w:rsid w:val="0008713E"/>
    <w:rsid w:val="000911D0"/>
    <w:rsid w:val="000C3054"/>
    <w:rsid w:val="000D6E53"/>
    <w:rsid w:val="000E6059"/>
    <w:rsid w:val="0010567A"/>
    <w:rsid w:val="00117D80"/>
    <w:rsid w:val="00131853"/>
    <w:rsid w:val="00134ED0"/>
    <w:rsid w:val="00182375"/>
    <w:rsid w:val="001978A5"/>
    <w:rsid w:val="001A7E65"/>
    <w:rsid w:val="001D0EEF"/>
    <w:rsid w:val="001E062D"/>
    <w:rsid w:val="001E3AB4"/>
    <w:rsid w:val="00211BF5"/>
    <w:rsid w:val="002200A1"/>
    <w:rsid w:val="00232A76"/>
    <w:rsid w:val="00250CDB"/>
    <w:rsid w:val="002718FD"/>
    <w:rsid w:val="00273A79"/>
    <w:rsid w:val="00291145"/>
    <w:rsid w:val="00293EF7"/>
    <w:rsid w:val="0029792D"/>
    <w:rsid w:val="002A72E4"/>
    <w:rsid w:val="002B211C"/>
    <w:rsid w:val="00300023"/>
    <w:rsid w:val="003168ED"/>
    <w:rsid w:val="003210D6"/>
    <w:rsid w:val="0032696E"/>
    <w:rsid w:val="003339D8"/>
    <w:rsid w:val="00351665"/>
    <w:rsid w:val="00375DFB"/>
    <w:rsid w:val="00383128"/>
    <w:rsid w:val="003D303E"/>
    <w:rsid w:val="003D48C0"/>
    <w:rsid w:val="003E16EB"/>
    <w:rsid w:val="00400944"/>
    <w:rsid w:val="00402C9B"/>
    <w:rsid w:val="0040631F"/>
    <w:rsid w:val="00410FF5"/>
    <w:rsid w:val="00415F9B"/>
    <w:rsid w:val="00451509"/>
    <w:rsid w:val="0048462B"/>
    <w:rsid w:val="00487B28"/>
    <w:rsid w:val="004A0314"/>
    <w:rsid w:val="004B5B82"/>
    <w:rsid w:val="004D241F"/>
    <w:rsid w:val="004E19C4"/>
    <w:rsid w:val="00516756"/>
    <w:rsid w:val="005540A5"/>
    <w:rsid w:val="00554C62"/>
    <w:rsid w:val="005837D6"/>
    <w:rsid w:val="005A2FBF"/>
    <w:rsid w:val="005A58C4"/>
    <w:rsid w:val="005C5456"/>
    <w:rsid w:val="005E3BFC"/>
    <w:rsid w:val="00602CD4"/>
    <w:rsid w:val="00615BEC"/>
    <w:rsid w:val="00637223"/>
    <w:rsid w:val="006472CE"/>
    <w:rsid w:val="00663592"/>
    <w:rsid w:val="00686DBA"/>
    <w:rsid w:val="006D41B3"/>
    <w:rsid w:val="006D5FAB"/>
    <w:rsid w:val="007058B5"/>
    <w:rsid w:val="0071080D"/>
    <w:rsid w:val="00770DDD"/>
    <w:rsid w:val="007A19B8"/>
    <w:rsid w:val="007B6917"/>
    <w:rsid w:val="007F0D1A"/>
    <w:rsid w:val="007F76C8"/>
    <w:rsid w:val="00801363"/>
    <w:rsid w:val="00834EAD"/>
    <w:rsid w:val="00841DC4"/>
    <w:rsid w:val="0084440D"/>
    <w:rsid w:val="0086141C"/>
    <w:rsid w:val="0087012E"/>
    <w:rsid w:val="00873B6E"/>
    <w:rsid w:val="00890F55"/>
    <w:rsid w:val="008924E4"/>
    <w:rsid w:val="008F751E"/>
    <w:rsid w:val="009009AA"/>
    <w:rsid w:val="00917BB0"/>
    <w:rsid w:val="009348E1"/>
    <w:rsid w:val="009448FE"/>
    <w:rsid w:val="009773E3"/>
    <w:rsid w:val="009B579F"/>
    <w:rsid w:val="009D7A01"/>
    <w:rsid w:val="009E2C49"/>
    <w:rsid w:val="009F740B"/>
    <w:rsid w:val="00A04715"/>
    <w:rsid w:val="00A30EE0"/>
    <w:rsid w:val="00A936A5"/>
    <w:rsid w:val="00AA2E44"/>
    <w:rsid w:val="00AE6FB6"/>
    <w:rsid w:val="00B07964"/>
    <w:rsid w:val="00B443F9"/>
    <w:rsid w:val="00B86A35"/>
    <w:rsid w:val="00BC07FF"/>
    <w:rsid w:val="00BC4ED1"/>
    <w:rsid w:val="00BC540D"/>
    <w:rsid w:val="00BC6A3B"/>
    <w:rsid w:val="00BD697F"/>
    <w:rsid w:val="00C00F03"/>
    <w:rsid w:val="00C108F1"/>
    <w:rsid w:val="00C22F81"/>
    <w:rsid w:val="00C3021D"/>
    <w:rsid w:val="00C51C42"/>
    <w:rsid w:val="00C70885"/>
    <w:rsid w:val="00C716A1"/>
    <w:rsid w:val="00C80242"/>
    <w:rsid w:val="00C84D44"/>
    <w:rsid w:val="00CA7D72"/>
    <w:rsid w:val="00CC760D"/>
    <w:rsid w:val="00CE0E1C"/>
    <w:rsid w:val="00D94880"/>
    <w:rsid w:val="00D963AE"/>
    <w:rsid w:val="00DB36A9"/>
    <w:rsid w:val="00DC7CC3"/>
    <w:rsid w:val="00E04D55"/>
    <w:rsid w:val="00E10B91"/>
    <w:rsid w:val="00E17B5C"/>
    <w:rsid w:val="00E35247"/>
    <w:rsid w:val="00E40550"/>
    <w:rsid w:val="00E80A41"/>
    <w:rsid w:val="00EB7381"/>
    <w:rsid w:val="00EF1AEC"/>
    <w:rsid w:val="00EF23CD"/>
    <w:rsid w:val="00F1431C"/>
    <w:rsid w:val="00F2358F"/>
    <w:rsid w:val="00F33BF5"/>
    <w:rsid w:val="00F47909"/>
    <w:rsid w:val="00F7291F"/>
    <w:rsid w:val="00F738D0"/>
    <w:rsid w:val="00F80C6C"/>
    <w:rsid w:val="00FA0F99"/>
    <w:rsid w:val="00FB40A7"/>
    <w:rsid w:val="00FF36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5737"/>
  <w15:docId w15:val="{A6758CFB-D9FA-4317-AAFA-CBFE2D2A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23"/>
  </w:style>
  <w:style w:type="paragraph" w:styleId="Heading1">
    <w:name w:val="heading 1"/>
    <w:basedOn w:val="Normal"/>
    <w:next w:val="Normal"/>
    <w:link w:val="Heading1Char"/>
    <w:uiPriority w:val="9"/>
    <w:qFormat/>
    <w:rsid w:val="00686D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9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semiHidden/>
    <w:unhideWhenUsed/>
    <w:qFormat/>
    <w:rsid w:val="00293EF7"/>
    <w:pPr>
      <w:keepNext/>
      <w:tabs>
        <w:tab w:val="num" w:pos="1134"/>
      </w:tabs>
      <w:spacing w:before="200" w:after="120"/>
      <w:ind w:left="1134" w:hanging="1134"/>
      <w:outlineLvl w:val="2"/>
    </w:pPr>
    <w:rPr>
      <w:rFonts w:ascii="Arial" w:eastAsia="Times New Roman" w:hAnsi="Arial" w:cs="Times New Roman"/>
      <w:b/>
      <w:sz w:val="20"/>
      <w:u w:val="single"/>
      <w:lang w:val="en-AU" w:eastAsia="en-AU"/>
    </w:rPr>
  </w:style>
  <w:style w:type="paragraph" w:styleId="Heading4">
    <w:name w:val="heading 4"/>
    <w:basedOn w:val="Heading3"/>
    <w:next w:val="BodyText"/>
    <w:link w:val="Heading4Char"/>
    <w:uiPriority w:val="9"/>
    <w:semiHidden/>
    <w:unhideWhenUsed/>
    <w:qFormat/>
    <w:rsid w:val="00293EF7"/>
    <w:pPr>
      <w:outlineLvl w:val="3"/>
    </w:pPr>
    <w:rPr>
      <w:i/>
      <w:u w:val="none"/>
    </w:rPr>
  </w:style>
  <w:style w:type="paragraph" w:styleId="Heading5">
    <w:name w:val="heading 5"/>
    <w:basedOn w:val="Heading4"/>
    <w:next w:val="BodyText"/>
    <w:link w:val="Heading5Char"/>
    <w:semiHidden/>
    <w:unhideWhenUsed/>
    <w:qFormat/>
    <w:rsid w:val="00293EF7"/>
    <w:pPr>
      <w:outlineLvl w:val="4"/>
    </w:pPr>
    <w:rPr>
      <w:i w:val="0"/>
    </w:rPr>
  </w:style>
  <w:style w:type="paragraph" w:styleId="Heading8">
    <w:name w:val="heading 8"/>
    <w:basedOn w:val="Normal"/>
    <w:next w:val="Normal"/>
    <w:link w:val="Heading8Char"/>
    <w:uiPriority w:val="99"/>
    <w:semiHidden/>
    <w:unhideWhenUsed/>
    <w:qFormat/>
    <w:rsid w:val="00293EF7"/>
    <w:pPr>
      <w:spacing w:before="240"/>
      <w:ind w:left="1418" w:hanging="1418"/>
      <w:outlineLvl w:val="7"/>
    </w:pPr>
    <w:rPr>
      <w:rFonts w:ascii="Times New Roman" w:eastAsia="Times New Roman" w:hAnsi="Times New Roman" w:cs="Times New Roman"/>
      <w:i/>
      <w:iCs/>
      <w:sz w:val="24"/>
      <w:lang w:val="en-AU" w:eastAsia="en-AU"/>
    </w:rPr>
  </w:style>
  <w:style w:type="paragraph" w:styleId="Heading9">
    <w:name w:val="heading 9"/>
    <w:basedOn w:val="Normal"/>
    <w:next w:val="Normal"/>
    <w:link w:val="Heading9Char"/>
    <w:uiPriority w:val="99"/>
    <w:semiHidden/>
    <w:unhideWhenUsed/>
    <w:qFormat/>
    <w:rsid w:val="00293EF7"/>
    <w:pPr>
      <w:spacing w:before="240"/>
      <w:outlineLvl w:val="8"/>
    </w:pPr>
    <w:rPr>
      <w:rFonts w:ascii="Arial" w:eastAsia="Times New Roman" w:hAnsi="Arial" w:cs="Arial"/>
      <w:sz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3F9"/>
    <w:pPr>
      <w:tabs>
        <w:tab w:val="center" w:pos="4513"/>
        <w:tab w:val="right" w:pos="9026"/>
      </w:tabs>
    </w:pPr>
  </w:style>
  <w:style w:type="character" w:customStyle="1" w:styleId="HeaderChar">
    <w:name w:val="Header Char"/>
    <w:basedOn w:val="DefaultParagraphFont"/>
    <w:link w:val="Header"/>
    <w:uiPriority w:val="99"/>
    <w:rsid w:val="00B443F9"/>
  </w:style>
  <w:style w:type="paragraph" w:styleId="Footer">
    <w:name w:val="footer"/>
    <w:basedOn w:val="Normal"/>
    <w:link w:val="FooterChar"/>
    <w:uiPriority w:val="99"/>
    <w:unhideWhenUsed/>
    <w:rsid w:val="00B443F9"/>
    <w:pPr>
      <w:tabs>
        <w:tab w:val="center" w:pos="4513"/>
        <w:tab w:val="right" w:pos="9026"/>
      </w:tabs>
    </w:pPr>
  </w:style>
  <w:style w:type="character" w:customStyle="1" w:styleId="FooterChar">
    <w:name w:val="Footer Char"/>
    <w:basedOn w:val="DefaultParagraphFont"/>
    <w:link w:val="Footer"/>
    <w:uiPriority w:val="99"/>
    <w:rsid w:val="00B443F9"/>
  </w:style>
  <w:style w:type="paragraph" w:styleId="Title">
    <w:name w:val="Title"/>
    <w:basedOn w:val="Normal"/>
    <w:next w:val="Normal"/>
    <w:link w:val="TitleChar"/>
    <w:uiPriority w:val="10"/>
    <w:qFormat/>
    <w:rsid w:val="00686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D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6DB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107F4"/>
    <w:pPr>
      <w:ind w:left="720"/>
      <w:contextualSpacing/>
    </w:pPr>
  </w:style>
  <w:style w:type="character" w:customStyle="1" w:styleId="Heading2Char">
    <w:name w:val="Heading 2 Char"/>
    <w:basedOn w:val="DefaultParagraphFont"/>
    <w:link w:val="Heading2"/>
    <w:uiPriority w:val="9"/>
    <w:rsid w:val="0008596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73B6E"/>
    <w:rPr>
      <w:sz w:val="20"/>
      <w:szCs w:val="20"/>
    </w:rPr>
  </w:style>
  <w:style w:type="character" w:customStyle="1" w:styleId="FootnoteTextChar">
    <w:name w:val="Footnote Text Char"/>
    <w:basedOn w:val="DefaultParagraphFont"/>
    <w:link w:val="FootnoteText"/>
    <w:uiPriority w:val="99"/>
    <w:semiHidden/>
    <w:rsid w:val="00873B6E"/>
    <w:rPr>
      <w:sz w:val="20"/>
      <w:szCs w:val="20"/>
    </w:rPr>
  </w:style>
  <w:style w:type="character" w:styleId="FootnoteReference">
    <w:name w:val="footnote reference"/>
    <w:basedOn w:val="DefaultParagraphFont"/>
    <w:uiPriority w:val="99"/>
    <w:semiHidden/>
    <w:unhideWhenUsed/>
    <w:rsid w:val="00873B6E"/>
    <w:rPr>
      <w:vertAlign w:val="superscript"/>
    </w:rPr>
  </w:style>
  <w:style w:type="character" w:customStyle="1" w:styleId="Heading3Char">
    <w:name w:val="Heading 3 Char"/>
    <w:basedOn w:val="DefaultParagraphFont"/>
    <w:link w:val="Heading3"/>
    <w:uiPriority w:val="9"/>
    <w:semiHidden/>
    <w:rsid w:val="00293EF7"/>
    <w:rPr>
      <w:rFonts w:ascii="Arial" w:eastAsia="Times New Roman" w:hAnsi="Arial" w:cs="Times New Roman"/>
      <w:b/>
      <w:sz w:val="20"/>
      <w:u w:val="single"/>
      <w:lang w:val="en-AU" w:eastAsia="en-AU"/>
    </w:rPr>
  </w:style>
  <w:style w:type="character" w:customStyle="1" w:styleId="Heading4Char">
    <w:name w:val="Heading 4 Char"/>
    <w:basedOn w:val="DefaultParagraphFont"/>
    <w:link w:val="Heading4"/>
    <w:uiPriority w:val="9"/>
    <w:semiHidden/>
    <w:rsid w:val="00293EF7"/>
    <w:rPr>
      <w:rFonts w:ascii="Arial" w:eastAsia="Times New Roman" w:hAnsi="Arial" w:cs="Times New Roman"/>
      <w:b/>
      <w:i/>
      <w:sz w:val="20"/>
      <w:lang w:val="en-AU" w:eastAsia="en-AU"/>
    </w:rPr>
  </w:style>
  <w:style w:type="character" w:customStyle="1" w:styleId="Heading5Char">
    <w:name w:val="Heading 5 Char"/>
    <w:basedOn w:val="DefaultParagraphFont"/>
    <w:link w:val="Heading5"/>
    <w:semiHidden/>
    <w:rsid w:val="00293EF7"/>
    <w:rPr>
      <w:rFonts w:ascii="Arial" w:eastAsia="Times New Roman" w:hAnsi="Arial" w:cs="Times New Roman"/>
      <w:b/>
      <w:sz w:val="20"/>
      <w:lang w:val="en-AU" w:eastAsia="en-AU"/>
    </w:rPr>
  </w:style>
  <w:style w:type="character" w:customStyle="1" w:styleId="Heading8Char">
    <w:name w:val="Heading 8 Char"/>
    <w:basedOn w:val="DefaultParagraphFont"/>
    <w:link w:val="Heading8"/>
    <w:uiPriority w:val="99"/>
    <w:semiHidden/>
    <w:rsid w:val="00293EF7"/>
    <w:rPr>
      <w:rFonts w:ascii="Times New Roman" w:eastAsia="Times New Roman" w:hAnsi="Times New Roman" w:cs="Times New Roman"/>
      <w:i/>
      <w:iCs/>
      <w:sz w:val="24"/>
      <w:lang w:val="en-AU" w:eastAsia="en-AU"/>
    </w:rPr>
  </w:style>
  <w:style w:type="character" w:customStyle="1" w:styleId="Heading9Char">
    <w:name w:val="Heading 9 Char"/>
    <w:basedOn w:val="DefaultParagraphFont"/>
    <w:link w:val="Heading9"/>
    <w:uiPriority w:val="99"/>
    <w:semiHidden/>
    <w:rsid w:val="00293EF7"/>
    <w:rPr>
      <w:rFonts w:ascii="Arial" w:eastAsia="Times New Roman" w:hAnsi="Arial" w:cs="Arial"/>
      <w:sz w:val="20"/>
      <w:lang w:val="en-AU" w:eastAsia="en-AU"/>
    </w:rPr>
  </w:style>
  <w:style w:type="paragraph" w:styleId="BodyText">
    <w:name w:val="Body Text"/>
    <w:basedOn w:val="Normal"/>
    <w:link w:val="BodyTextChar"/>
    <w:unhideWhenUsed/>
    <w:qFormat/>
    <w:rsid w:val="00293EF7"/>
    <w:pPr>
      <w:spacing w:before="120" w:after="120" w:line="264" w:lineRule="auto"/>
      <w:jc w:val="both"/>
    </w:pPr>
    <w:rPr>
      <w:rFonts w:ascii="Arial" w:eastAsia="Times New Roman" w:hAnsi="Arial" w:cs="Times New Roman"/>
      <w:sz w:val="20"/>
      <w:lang w:val="en-AU" w:eastAsia="en-AU"/>
    </w:rPr>
  </w:style>
  <w:style w:type="character" w:customStyle="1" w:styleId="BodyTextChar">
    <w:name w:val="Body Text Char"/>
    <w:basedOn w:val="DefaultParagraphFont"/>
    <w:link w:val="BodyText"/>
    <w:rsid w:val="00293EF7"/>
    <w:rPr>
      <w:rFonts w:ascii="Arial" w:eastAsia="Times New Roman" w:hAnsi="Arial" w:cs="Times New Roman"/>
      <w:sz w:val="20"/>
      <w:lang w:val="en-AU" w:eastAsia="en-AU"/>
    </w:rPr>
  </w:style>
  <w:style w:type="paragraph" w:customStyle="1" w:styleId="TableNumber">
    <w:name w:val="Table Number"/>
    <w:basedOn w:val="ListNumber"/>
    <w:uiPriority w:val="9"/>
    <w:qFormat/>
    <w:rsid w:val="00293EF7"/>
    <w:pPr>
      <w:numPr>
        <w:numId w:val="0"/>
      </w:numPr>
      <w:tabs>
        <w:tab w:val="num" w:pos="284"/>
        <w:tab w:val="num" w:pos="1440"/>
      </w:tabs>
      <w:spacing w:after="40" w:line="264" w:lineRule="auto"/>
      <w:ind w:left="284" w:hanging="284"/>
      <w:contextualSpacing w:val="0"/>
    </w:pPr>
    <w:rPr>
      <w:rFonts w:ascii="Arial" w:eastAsia="Times New Roman" w:hAnsi="Arial" w:cs="Times New Roman"/>
      <w:sz w:val="18"/>
      <w:lang w:val="en-AU" w:eastAsia="en-AU"/>
    </w:rPr>
  </w:style>
  <w:style w:type="character" w:customStyle="1" w:styleId="TableCaptionChar">
    <w:name w:val="Table Caption Char"/>
    <w:basedOn w:val="DefaultParagraphFont"/>
    <w:link w:val="TableCaption"/>
    <w:uiPriority w:val="11"/>
    <w:locked/>
    <w:rsid w:val="00293EF7"/>
    <w:rPr>
      <w:rFonts w:ascii="Arial" w:eastAsia="Times New Roman" w:hAnsi="Arial" w:cs="Times New Roman"/>
      <w:b/>
      <w:color w:val="808080"/>
      <w:sz w:val="20"/>
      <w:lang w:val="en-AU" w:eastAsia="en-AU"/>
    </w:rPr>
  </w:style>
  <w:style w:type="paragraph" w:customStyle="1" w:styleId="TableCaption">
    <w:name w:val="Table Caption"/>
    <w:basedOn w:val="Normal"/>
    <w:next w:val="BodyText"/>
    <w:link w:val="TableCaptionChar"/>
    <w:uiPriority w:val="11"/>
    <w:qFormat/>
    <w:rsid w:val="00293EF7"/>
    <w:pPr>
      <w:keepNext/>
      <w:tabs>
        <w:tab w:val="num" w:pos="1134"/>
      </w:tabs>
      <w:spacing w:before="200" w:after="60"/>
      <w:ind w:left="1134" w:hanging="1134"/>
    </w:pPr>
    <w:rPr>
      <w:rFonts w:ascii="Arial" w:eastAsia="Times New Roman" w:hAnsi="Arial" w:cs="Times New Roman"/>
      <w:b/>
      <w:color w:val="808080"/>
      <w:sz w:val="20"/>
      <w:lang w:val="en-AU" w:eastAsia="en-AU"/>
    </w:rPr>
  </w:style>
  <w:style w:type="paragraph" w:customStyle="1" w:styleId="FigureCaption">
    <w:name w:val="Figure Caption"/>
    <w:basedOn w:val="Normal"/>
    <w:next w:val="BodyText"/>
    <w:uiPriority w:val="11"/>
    <w:qFormat/>
    <w:rsid w:val="00293EF7"/>
    <w:pPr>
      <w:keepNext/>
      <w:tabs>
        <w:tab w:val="num" w:pos="1134"/>
      </w:tabs>
      <w:spacing w:before="60" w:after="200"/>
      <w:ind w:left="1134" w:hanging="1134"/>
    </w:pPr>
    <w:rPr>
      <w:rFonts w:ascii="Arial" w:eastAsia="Times New Roman" w:hAnsi="Arial" w:cs="Times New Roman"/>
      <w:b/>
      <w:sz w:val="20"/>
      <w:lang w:val="en-AU" w:eastAsia="en-AU"/>
    </w:rPr>
  </w:style>
  <w:style w:type="table" w:styleId="TableGrid">
    <w:name w:val="Table Grid"/>
    <w:aliases w:val="Plain Table"/>
    <w:basedOn w:val="TableNormal"/>
    <w:uiPriority w:val="59"/>
    <w:rsid w:val="00293EF7"/>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293EF7"/>
    <w:pPr>
      <w:numPr>
        <w:numId w:val="4"/>
      </w:numPr>
      <w:contextualSpacing/>
    </w:pPr>
  </w:style>
  <w:style w:type="paragraph" w:styleId="IntenseQuote">
    <w:name w:val="Intense Quote"/>
    <w:basedOn w:val="Normal"/>
    <w:next w:val="Normal"/>
    <w:link w:val="IntenseQuoteChar"/>
    <w:uiPriority w:val="30"/>
    <w:qFormat/>
    <w:rsid w:val="003D30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303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D6ED94-105F-4097-9F6C-8912F6256A25}">
  <ds:schemaRefs>
    <ds:schemaRef ds:uri="http://schemas.openxmlformats.org/officeDocument/2006/bibliography"/>
  </ds:schemaRefs>
</ds:datastoreItem>
</file>

<file path=customXml/itemProps2.xml><?xml version="1.0" encoding="utf-8"?>
<ds:datastoreItem xmlns:ds="http://schemas.openxmlformats.org/officeDocument/2006/customXml" ds:itemID="{61C23F24-903A-4DB6-A92C-E267CCAD5406}"/>
</file>

<file path=customXml/itemProps3.xml><?xml version="1.0" encoding="utf-8"?>
<ds:datastoreItem xmlns:ds="http://schemas.openxmlformats.org/officeDocument/2006/customXml" ds:itemID="{20462459-3672-45A0-89C2-88DB4322A8CB}"/>
</file>

<file path=customXml/itemProps4.xml><?xml version="1.0" encoding="utf-8"?>
<ds:datastoreItem xmlns:ds="http://schemas.openxmlformats.org/officeDocument/2006/customXml" ds:itemID="{3680FFEE-E197-4FBA-9046-BD8B7AFEF9F6}"/>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11720</Characters>
  <Application>Microsoft Office Word</Application>
  <DocSecurity>0</DocSecurity>
  <Lines>217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fcdesimpele@gmail.com</dc:creator>
  <cp:lastModifiedBy>Krisztina Huszti-Orban</cp:lastModifiedBy>
  <cp:revision>2</cp:revision>
  <cp:lastPrinted>2020-07-15T13:15:00Z</cp:lastPrinted>
  <dcterms:created xsi:type="dcterms:W3CDTF">2020-07-16T11:34:00Z</dcterms:created>
  <dcterms:modified xsi:type="dcterms:W3CDTF">2020-07-16T11:34:00Z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