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A7414" w14:textId="77777777" w:rsidR="005A34EB" w:rsidRDefault="005A34EB" w:rsidP="00000689">
      <w:pPr>
        <w:pStyle w:val="ListParagraph"/>
        <w:shd w:val="clear" w:color="auto" w:fill="FFFFFF" w:themeFill="background1"/>
        <w:tabs>
          <w:tab w:val="left" w:pos="851"/>
        </w:tabs>
        <w:spacing w:line="360" w:lineRule="auto"/>
        <w:ind w:left="0"/>
        <w:contextualSpacing w:val="0"/>
        <w:jc w:val="center"/>
        <w:rPr>
          <w:b/>
          <w:sz w:val="24"/>
        </w:rPr>
      </w:pPr>
      <w:r>
        <w:rPr>
          <w:b/>
          <w:sz w:val="24"/>
        </w:rPr>
        <w:t xml:space="preserve">Order from Chaos: </w:t>
      </w:r>
      <w:r w:rsidR="00ED4239">
        <w:rPr>
          <w:b/>
          <w:sz w:val="24"/>
        </w:rPr>
        <w:t>The</w:t>
      </w:r>
      <w:r w:rsidR="00942910">
        <w:rPr>
          <w:b/>
          <w:sz w:val="24"/>
        </w:rPr>
        <w:t xml:space="preserve"> </w:t>
      </w:r>
      <w:r w:rsidR="00ED4239">
        <w:rPr>
          <w:b/>
          <w:sz w:val="24"/>
        </w:rPr>
        <w:t>Optimal</w:t>
      </w:r>
      <w:r w:rsidR="00325511">
        <w:rPr>
          <w:b/>
          <w:sz w:val="24"/>
        </w:rPr>
        <w:t xml:space="preserve"> Relationship between Inte</w:t>
      </w:r>
      <w:r w:rsidR="00000689">
        <w:rPr>
          <w:b/>
          <w:sz w:val="24"/>
        </w:rPr>
        <w:t xml:space="preserve">rnational </w:t>
      </w:r>
    </w:p>
    <w:p w14:paraId="5B73BF7E" w14:textId="58641B60" w:rsidR="00325511" w:rsidRDefault="00000689" w:rsidP="00000689">
      <w:pPr>
        <w:pStyle w:val="ListParagraph"/>
        <w:shd w:val="clear" w:color="auto" w:fill="FFFFFF" w:themeFill="background1"/>
        <w:tabs>
          <w:tab w:val="left" w:pos="851"/>
        </w:tabs>
        <w:spacing w:line="360" w:lineRule="auto"/>
        <w:ind w:left="0"/>
        <w:contextualSpacing w:val="0"/>
        <w:jc w:val="center"/>
        <w:rPr>
          <w:b/>
          <w:sz w:val="24"/>
        </w:rPr>
      </w:pPr>
      <w:r>
        <w:rPr>
          <w:b/>
          <w:sz w:val="24"/>
        </w:rPr>
        <w:t>Counter-Terrorism Law</w:t>
      </w:r>
      <w:r w:rsidR="005A34EB">
        <w:rPr>
          <w:b/>
          <w:sz w:val="24"/>
        </w:rPr>
        <w:t xml:space="preserve"> </w:t>
      </w:r>
      <w:r w:rsidR="00325511">
        <w:rPr>
          <w:b/>
          <w:sz w:val="24"/>
        </w:rPr>
        <w:t>and International Humanitarian Law</w:t>
      </w:r>
    </w:p>
    <w:p w14:paraId="344D89B4" w14:textId="77777777" w:rsidR="00325511" w:rsidRDefault="00325511" w:rsidP="00942910">
      <w:pPr>
        <w:pStyle w:val="ListParagraph"/>
        <w:shd w:val="clear" w:color="auto" w:fill="FFFFFF" w:themeFill="background1"/>
        <w:tabs>
          <w:tab w:val="left" w:pos="851"/>
        </w:tabs>
        <w:spacing w:line="360" w:lineRule="auto"/>
        <w:ind w:left="0"/>
        <w:contextualSpacing w:val="0"/>
        <w:jc w:val="center"/>
        <w:rPr>
          <w:b/>
          <w:sz w:val="24"/>
        </w:rPr>
      </w:pPr>
    </w:p>
    <w:p w14:paraId="1D42CC9B" w14:textId="68F21D5D" w:rsidR="00942910" w:rsidRPr="00942910" w:rsidRDefault="00942910" w:rsidP="00942910">
      <w:pPr>
        <w:pStyle w:val="ListParagraph"/>
        <w:shd w:val="clear" w:color="auto" w:fill="FFFFFF" w:themeFill="background1"/>
        <w:tabs>
          <w:tab w:val="left" w:pos="851"/>
        </w:tabs>
        <w:spacing w:line="360" w:lineRule="auto"/>
        <w:ind w:left="0"/>
        <w:contextualSpacing w:val="0"/>
        <w:jc w:val="center"/>
        <w:rPr>
          <w:sz w:val="24"/>
        </w:rPr>
      </w:pPr>
      <w:r w:rsidRPr="00942910">
        <w:rPr>
          <w:sz w:val="24"/>
        </w:rPr>
        <w:t>Ben Saul</w:t>
      </w:r>
      <w:r w:rsidR="00000689">
        <w:rPr>
          <w:rStyle w:val="FootnoteReference"/>
          <w:sz w:val="24"/>
        </w:rPr>
        <w:footnoteReference w:customMarkFollows="1" w:id="1"/>
        <w:t>*</w:t>
      </w:r>
    </w:p>
    <w:p w14:paraId="62B26FEF" w14:textId="77777777" w:rsidR="00325511" w:rsidRDefault="00325511" w:rsidP="004E7A7D">
      <w:pPr>
        <w:pStyle w:val="ListParagraph"/>
        <w:shd w:val="clear" w:color="auto" w:fill="FFFFFF" w:themeFill="background1"/>
        <w:tabs>
          <w:tab w:val="left" w:pos="851"/>
        </w:tabs>
        <w:spacing w:line="360" w:lineRule="auto"/>
        <w:ind w:left="0"/>
        <w:contextualSpacing w:val="0"/>
        <w:rPr>
          <w:b/>
          <w:sz w:val="24"/>
        </w:rPr>
      </w:pPr>
    </w:p>
    <w:p w14:paraId="02D0820F" w14:textId="2CF72DED" w:rsidR="00000689" w:rsidRPr="00EE4A5C" w:rsidRDefault="00000689" w:rsidP="00EE4A5C">
      <w:pPr>
        <w:pStyle w:val="ListParagraph"/>
        <w:shd w:val="clear" w:color="auto" w:fill="FFFFFF" w:themeFill="background1"/>
        <w:tabs>
          <w:tab w:val="left" w:pos="851"/>
        </w:tabs>
        <w:spacing w:line="360" w:lineRule="auto"/>
        <w:contextualSpacing w:val="0"/>
        <w:rPr>
          <w:b/>
          <w:sz w:val="22"/>
          <w:szCs w:val="22"/>
        </w:rPr>
      </w:pPr>
      <w:r w:rsidRPr="00EE4A5C">
        <w:rPr>
          <w:b/>
          <w:sz w:val="22"/>
          <w:szCs w:val="22"/>
        </w:rPr>
        <w:t xml:space="preserve">Abstract </w:t>
      </w:r>
    </w:p>
    <w:p w14:paraId="48C4CE18" w14:textId="6EE11EA1" w:rsidR="00000689" w:rsidRPr="00EE4A5C" w:rsidRDefault="00EE4A5C" w:rsidP="00EE4A5C">
      <w:pPr>
        <w:pStyle w:val="ListParagraph"/>
        <w:shd w:val="clear" w:color="auto" w:fill="FFFFFF" w:themeFill="background1"/>
        <w:tabs>
          <w:tab w:val="left" w:pos="851"/>
        </w:tabs>
        <w:contextualSpacing w:val="0"/>
        <w:rPr>
          <w:b/>
          <w:sz w:val="22"/>
          <w:szCs w:val="22"/>
        </w:rPr>
      </w:pPr>
      <w:r w:rsidRPr="00EE4A5C">
        <w:rPr>
          <w:sz w:val="22"/>
          <w:szCs w:val="22"/>
        </w:rPr>
        <w:t>This article clarifies the ongoing conceptual confusion about the interaction of international counter-terrorism law</w:t>
      </w:r>
      <w:r>
        <w:rPr>
          <w:sz w:val="22"/>
          <w:szCs w:val="22"/>
        </w:rPr>
        <w:t xml:space="preserve"> (CTL)</w:t>
      </w:r>
      <w:r w:rsidRPr="00EE4A5C">
        <w:rPr>
          <w:sz w:val="22"/>
          <w:szCs w:val="22"/>
        </w:rPr>
        <w:t xml:space="preserve"> and international humanitarian law</w:t>
      </w:r>
      <w:r>
        <w:rPr>
          <w:sz w:val="22"/>
          <w:szCs w:val="22"/>
        </w:rPr>
        <w:t xml:space="preserve"> (IHL)</w:t>
      </w:r>
      <w:r w:rsidRPr="00EE4A5C">
        <w:rPr>
          <w:sz w:val="22"/>
          <w:szCs w:val="22"/>
        </w:rPr>
        <w:t xml:space="preserve"> in armed conflict. </w:t>
      </w:r>
      <w:r>
        <w:rPr>
          <w:sz w:val="22"/>
          <w:szCs w:val="22"/>
        </w:rPr>
        <w:t>It discusses the advantages and disadvantage of the co-application of CTL with IHL, before considering a variety of techniques for mutually accommodating the interests of both regimes, particularly through exclusion clauses in CTL instruments or laws. It concludes by identifying the optimal approach to the relationship between CTL and IHL, which recognizes the legitimate interests of both fields of law while minimizing the adverse impacts of each on the other.</w:t>
      </w:r>
    </w:p>
    <w:p w14:paraId="141A1C85" w14:textId="77777777" w:rsidR="00000689" w:rsidRDefault="00000689" w:rsidP="004E7A7D">
      <w:pPr>
        <w:pStyle w:val="ListParagraph"/>
        <w:shd w:val="clear" w:color="auto" w:fill="FFFFFF" w:themeFill="background1"/>
        <w:tabs>
          <w:tab w:val="left" w:pos="851"/>
        </w:tabs>
        <w:spacing w:line="360" w:lineRule="auto"/>
        <w:ind w:left="0"/>
        <w:contextualSpacing w:val="0"/>
        <w:rPr>
          <w:b/>
          <w:sz w:val="24"/>
        </w:rPr>
      </w:pPr>
    </w:p>
    <w:p w14:paraId="70F48F4B" w14:textId="77777777" w:rsidR="005A34EB" w:rsidRDefault="005A34EB" w:rsidP="004E7A7D">
      <w:pPr>
        <w:pStyle w:val="ListParagraph"/>
        <w:shd w:val="clear" w:color="auto" w:fill="FFFFFF" w:themeFill="background1"/>
        <w:tabs>
          <w:tab w:val="left" w:pos="851"/>
        </w:tabs>
        <w:spacing w:line="360" w:lineRule="auto"/>
        <w:ind w:left="0"/>
        <w:contextualSpacing w:val="0"/>
        <w:rPr>
          <w:b/>
          <w:sz w:val="24"/>
        </w:rPr>
      </w:pPr>
    </w:p>
    <w:p w14:paraId="51B9EE33" w14:textId="0FE5C876" w:rsidR="00325511" w:rsidRDefault="00942910" w:rsidP="004E7A7D">
      <w:pPr>
        <w:pStyle w:val="ListParagraph"/>
        <w:shd w:val="clear" w:color="auto" w:fill="FFFFFF" w:themeFill="background1"/>
        <w:tabs>
          <w:tab w:val="left" w:pos="851"/>
        </w:tabs>
        <w:spacing w:line="360" w:lineRule="auto"/>
        <w:ind w:left="0"/>
        <w:contextualSpacing w:val="0"/>
        <w:rPr>
          <w:b/>
          <w:sz w:val="24"/>
        </w:rPr>
      </w:pPr>
      <w:r>
        <w:rPr>
          <w:b/>
          <w:sz w:val="24"/>
        </w:rPr>
        <w:t>1</w:t>
      </w:r>
      <w:r>
        <w:rPr>
          <w:b/>
          <w:sz w:val="24"/>
        </w:rPr>
        <w:tab/>
      </w:r>
      <w:r w:rsidR="00325511">
        <w:rPr>
          <w:b/>
          <w:sz w:val="24"/>
        </w:rPr>
        <w:t>Introduction</w:t>
      </w:r>
    </w:p>
    <w:p w14:paraId="781B14D6" w14:textId="77777777" w:rsidR="00325511" w:rsidRPr="00325511" w:rsidRDefault="00325511" w:rsidP="004E7A7D">
      <w:pPr>
        <w:pStyle w:val="ListParagraph"/>
        <w:shd w:val="clear" w:color="auto" w:fill="FFFFFF" w:themeFill="background1"/>
        <w:tabs>
          <w:tab w:val="left" w:pos="851"/>
        </w:tabs>
        <w:spacing w:line="360" w:lineRule="auto"/>
        <w:ind w:left="0"/>
        <w:contextualSpacing w:val="0"/>
        <w:rPr>
          <w:sz w:val="24"/>
        </w:rPr>
      </w:pPr>
    </w:p>
    <w:p w14:paraId="3E192286" w14:textId="6F090FCA" w:rsidR="00A81F93" w:rsidRDefault="00325511" w:rsidP="004E7A7D">
      <w:pPr>
        <w:pStyle w:val="ListParagraph"/>
        <w:shd w:val="clear" w:color="auto" w:fill="FFFFFF" w:themeFill="background1"/>
        <w:tabs>
          <w:tab w:val="left" w:pos="851"/>
        </w:tabs>
        <w:spacing w:line="360" w:lineRule="auto"/>
        <w:ind w:left="0"/>
        <w:contextualSpacing w:val="0"/>
        <w:rPr>
          <w:sz w:val="24"/>
        </w:rPr>
      </w:pPr>
      <w:r>
        <w:rPr>
          <w:sz w:val="24"/>
        </w:rPr>
        <w:t xml:space="preserve">International counter-terrorism </w:t>
      </w:r>
      <w:r w:rsidR="003521D7">
        <w:rPr>
          <w:sz w:val="24"/>
        </w:rPr>
        <w:t>law (CTL) frequently applies</w:t>
      </w:r>
      <w:r>
        <w:rPr>
          <w:sz w:val="24"/>
        </w:rPr>
        <w:t xml:space="preserve"> to conduct in armed conflict regulated by international humanitarian law (IHL). Depending on </w:t>
      </w:r>
      <w:r w:rsidRPr="00E342F3">
        <w:rPr>
          <w:sz w:val="24"/>
        </w:rPr>
        <w:t xml:space="preserve">one’s </w:t>
      </w:r>
      <w:r w:rsidR="003521D7" w:rsidRPr="00E342F3">
        <w:rPr>
          <w:sz w:val="24"/>
        </w:rPr>
        <w:t>perspective</w:t>
      </w:r>
      <w:r w:rsidRPr="00E342F3">
        <w:rPr>
          <w:sz w:val="24"/>
        </w:rPr>
        <w:t xml:space="preserve">, this </w:t>
      </w:r>
      <w:r w:rsidR="00C07DF0" w:rsidRPr="00E342F3">
        <w:rPr>
          <w:sz w:val="24"/>
        </w:rPr>
        <w:t>bring</w:t>
      </w:r>
      <w:r w:rsidR="00EE4A5C">
        <w:rPr>
          <w:sz w:val="24"/>
        </w:rPr>
        <w:t>s</w:t>
      </w:r>
      <w:r w:rsidR="00C07DF0" w:rsidRPr="00E342F3">
        <w:rPr>
          <w:sz w:val="24"/>
        </w:rPr>
        <w:t xml:space="preserve"> advantages or disadvantages. On one hand, </w:t>
      </w:r>
      <w:r w:rsidR="00E342F3">
        <w:rPr>
          <w:sz w:val="24"/>
        </w:rPr>
        <w:t>CTL can play a valuable</w:t>
      </w:r>
      <w:r w:rsidR="00C07DF0" w:rsidRPr="00E342F3">
        <w:rPr>
          <w:sz w:val="24"/>
        </w:rPr>
        <w:t xml:space="preserve"> </w:t>
      </w:r>
      <w:r w:rsidR="003521D7" w:rsidRPr="00E342F3">
        <w:rPr>
          <w:sz w:val="24"/>
        </w:rPr>
        <w:t xml:space="preserve">role in </w:t>
      </w:r>
      <w:r w:rsidR="00EE4A5C">
        <w:rPr>
          <w:sz w:val="24"/>
        </w:rPr>
        <w:t>complementing</w:t>
      </w:r>
      <w:r w:rsidR="003521D7" w:rsidRPr="00E342F3">
        <w:rPr>
          <w:sz w:val="24"/>
        </w:rPr>
        <w:t xml:space="preserve"> IHL </w:t>
      </w:r>
      <w:r w:rsidR="00C07DF0" w:rsidRPr="00E342F3">
        <w:rPr>
          <w:sz w:val="24"/>
        </w:rPr>
        <w:t>in</w:t>
      </w:r>
      <w:r w:rsidR="003521D7" w:rsidRPr="00E342F3">
        <w:rPr>
          <w:sz w:val="24"/>
        </w:rPr>
        <w:t xml:space="preserve"> the suppression of undesirable violence, while avoiding the </w:t>
      </w:r>
      <w:r w:rsidR="00E342F3" w:rsidRPr="00E342F3">
        <w:rPr>
          <w:sz w:val="24"/>
        </w:rPr>
        <w:t>political difficulties</w:t>
      </w:r>
      <w:r w:rsidR="003521D7" w:rsidRPr="00E342F3">
        <w:rPr>
          <w:sz w:val="24"/>
        </w:rPr>
        <w:t xml:space="preserve"> of amending IHL</w:t>
      </w:r>
      <w:r w:rsidR="00C07DF0" w:rsidRPr="00E342F3">
        <w:rPr>
          <w:sz w:val="24"/>
        </w:rPr>
        <w:t xml:space="preserve"> itself</w:t>
      </w:r>
      <w:r w:rsidR="003521D7" w:rsidRPr="00E342F3">
        <w:rPr>
          <w:sz w:val="24"/>
        </w:rPr>
        <w:t xml:space="preserve">. On the other hand, the co-application of CTL has the potential to </w:t>
      </w:r>
      <w:r w:rsidR="00A81F93">
        <w:rPr>
          <w:sz w:val="24"/>
        </w:rPr>
        <w:t>conflict</w:t>
      </w:r>
      <w:r w:rsidR="003521D7" w:rsidRPr="00E342F3">
        <w:rPr>
          <w:sz w:val="24"/>
        </w:rPr>
        <w:t xml:space="preserve"> with </w:t>
      </w:r>
      <w:r w:rsidR="005A34EB">
        <w:rPr>
          <w:sz w:val="24"/>
        </w:rPr>
        <w:t xml:space="preserve">long-standing and sometimes sensitive </w:t>
      </w:r>
      <w:r w:rsidR="00E342F3" w:rsidRPr="00E342F3">
        <w:rPr>
          <w:sz w:val="24"/>
        </w:rPr>
        <w:t>IHL rules or</w:t>
      </w:r>
      <w:r w:rsidR="00A81F93">
        <w:rPr>
          <w:sz w:val="24"/>
        </w:rPr>
        <w:t xml:space="preserve"> undermine IHL</w:t>
      </w:r>
      <w:r w:rsidR="00E342F3" w:rsidRPr="00E342F3">
        <w:rPr>
          <w:sz w:val="24"/>
        </w:rPr>
        <w:t xml:space="preserve"> policy interests</w:t>
      </w:r>
      <w:r w:rsidR="005E3241" w:rsidRPr="00E342F3">
        <w:rPr>
          <w:sz w:val="24"/>
        </w:rPr>
        <w:t>.</w:t>
      </w:r>
      <w:r w:rsidR="00A81F93">
        <w:rPr>
          <w:sz w:val="24"/>
        </w:rPr>
        <w:t xml:space="preserve"> </w:t>
      </w:r>
      <w:r w:rsidR="00E342F3" w:rsidRPr="00E342F3">
        <w:rPr>
          <w:sz w:val="24"/>
        </w:rPr>
        <w:t xml:space="preserve"> </w:t>
      </w:r>
    </w:p>
    <w:p w14:paraId="06DF2C64" w14:textId="77777777" w:rsidR="00A81F93" w:rsidRDefault="00A81F93" w:rsidP="004E7A7D">
      <w:pPr>
        <w:pStyle w:val="ListParagraph"/>
        <w:shd w:val="clear" w:color="auto" w:fill="FFFFFF" w:themeFill="background1"/>
        <w:tabs>
          <w:tab w:val="left" w:pos="851"/>
        </w:tabs>
        <w:spacing w:line="360" w:lineRule="auto"/>
        <w:ind w:left="0"/>
        <w:contextualSpacing w:val="0"/>
        <w:rPr>
          <w:sz w:val="24"/>
        </w:rPr>
      </w:pPr>
    </w:p>
    <w:p w14:paraId="28A80A6E" w14:textId="4949D51E" w:rsidR="00A81F93" w:rsidRDefault="00A73B3B" w:rsidP="004E7A7D">
      <w:pPr>
        <w:pStyle w:val="ListParagraph"/>
        <w:shd w:val="clear" w:color="auto" w:fill="FFFFFF" w:themeFill="background1"/>
        <w:tabs>
          <w:tab w:val="left" w:pos="851"/>
        </w:tabs>
        <w:spacing w:line="360" w:lineRule="auto"/>
        <w:ind w:left="0"/>
        <w:contextualSpacing w:val="0"/>
        <w:rPr>
          <w:sz w:val="24"/>
        </w:rPr>
      </w:pPr>
      <w:r w:rsidRPr="00E342F3">
        <w:rPr>
          <w:sz w:val="24"/>
        </w:rPr>
        <w:t xml:space="preserve">Neither CTL nor IHL </w:t>
      </w:r>
      <w:r w:rsidR="00A81F93">
        <w:rPr>
          <w:sz w:val="24"/>
        </w:rPr>
        <w:t xml:space="preserve">purports to be </w:t>
      </w:r>
      <w:r w:rsidR="00A81F93" w:rsidRPr="00A81F93">
        <w:rPr>
          <w:i/>
          <w:sz w:val="24"/>
        </w:rPr>
        <w:t>lex specialis</w:t>
      </w:r>
      <w:r w:rsidR="00A81F93">
        <w:rPr>
          <w:sz w:val="24"/>
        </w:rPr>
        <w:t xml:space="preserve"> or self-contained </w:t>
      </w:r>
      <w:r w:rsidR="00A81F93" w:rsidRPr="00EE4A5C">
        <w:rPr>
          <w:sz w:val="24"/>
        </w:rPr>
        <w:t>at the regime level</w:t>
      </w:r>
      <w:r w:rsidR="00A81F93">
        <w:rPr>
          <w:sz w:val="24"/>
        </w:rPr>
        <w:t xml:space="preserve"> so as to wholly exclude the other. Nor does CTL </w:t>
      </w:r>
      <w:r w:rsidRPr="00E342F3">
        <w:rPr>
          <w:sz w:val="24"/>
        </w:rPr>
        <w:t xml:space="preserve">clearly, explicitly, and uniformly spell out the required or desirable legal relationships </w:t>
      </w:r>
      <w:r w:rsidR="00A81F93">
        <w:rPr>
          <w:sz w:val="24"/>
        </w:rPr>
        <w:t>where specific rules of the two branches interact</w:t>
      </w:r>
      <w:r w:rsidRPr="00E342F3">
        <w:rPr>
          <w:sz w:val="24"/>
        </w:rPr>
        <w:t>.</w:t>
      </w:r>
      <w:r w:rsidR="003A1F1D" w:rsidRPr="00E342F3">
        <w:rPr>
          <w:sz w:val="24"/>
        </w:rPr>
        <w:t xml:space="preserve"> </w:t>
      </w:r>
      <w:r w:rsidR="00A81F93">
        <w:rPr>
          <w:sz w:val="24"/>
        </w:rPr>
        <w:t>Rather, some international counter-terrorism conventions (ICTCs)</w:t>
      </w:r>
      <w:r w:rsidR="00942910">
        <w:rPr>
          <w:rStyle w:val="FootnoteReference"/>
          <w:sz w:val="24"/>
        </w:rPr>
        <w:footnoteReference w:id="2"/>
      </w:r>
      <w:r w:rsidR="00A81F93">
        <w:rPr>
          <w:sz w:val="24"/>
        </w:rPr>
        <w:t xml:space="preserve"> </w:t>
      </w:r>
      <w:r w:rsidR="0071563C">
        <w:rPr>
          <w:sz w:val="24"/>
        </w:rPr>
        <w:t xml:space="preserve">since 1963 </w:t>
      </w:r>
      <w:r w:rsidR="00A81F93">
        <w:rPr>
          <w:sz w:val="24"/>
        </w:rPr>
        <w:t xml:space="preserve">variously exclude certain conduct, actors, or targets in armed conflict from their scope, while otherwise co-applying </w:t>
      </w:r>
      <w:r w:rsidR="00EE4A5C">
        <w:rPr>
          <w:sz w:val="24"/>
        </w:rPr>
        <w:t>with</w:t>
      </w:r>
      <w:r w:rsidR="00A81F93">
        <w:rPr>
          <w:sz w:val="24"/>
        </w:rPr>
        <w:t xml:space="preserve"> IHL. Other ICTCs are silent on the relationship but raise </w:t>
      </w:r>
      <w:r w:rsidR="0071563C">
        <w:rPr>
          <w:sz w:val="24"/>
        </w:rPr>
        <w:t>potential</w:t>
      </w:r>
      <w:r w:rsidR="00A81F93">
        <w:rPr>
          <w:sz w:val="24"/>
        </w:rPr>
        <w:t xml:space="preserve"> conflicts with IHL, as does </w:t>
      </w:r>
      <w:r w:rsidR="0071563C">
        <w:rPr>
          <w:sz w:val="24"/>
        </w:rPr>
        <w:t xml:space="preserve">decentralized </w:t>
      </w:r>
      <w:r w:rsidR="00A81F93">
        <w:rPr>
          <w:sz w:val="24"/>
        </w:rPr>
        <w:t xml:space="preserve">national implementation of United Nations Security Council CTL obligations </w:t>
      </w:r>
      <w:r w:rsidR="00EE4A5C">
        <w:rPr>
          <w:sz w:val="24"/>
        </w:rPr>
        <w:t xml:space="preserve">(particularly resolution 1373 (2001)) </w:t>
      </w:r>
      <w:r w:rsidR="00A81F93">
        <w:rPr>
          <w:sz w:val="24"/>
        </w:rPr>
        <w:t xml:space="preserve">in the absence of meaningful Council guidance on IHL. </w:t>
      </w:r>
    </w:p>
    <w:p w14:paraId="3EFE1C81" w14:textId="77777777" w:rsidR="00387809" w:rsidRDefault="00387809" w:rsidP="004E7A7D">
      <w:pPr>
        <w:pStyle w:val="ListParagraph"/>
        <w:shd w:val="clear" w:color="auto" w:fill="FFFFFF" w:themeFill="background1"/>
        <w:tabs>
          <w:tab w:val="left" w:pos="851"/>
        </w:tabs>
        <w:spacing w:line="360" w:lineRule="auto"/>
        <w:ind w:left="0"/>
        <w:contextualSpacing w:val="0"/>
        <w:rPr>
          <w:sz w:val="24"/>
        </w:rPr>
      </w:pPr>
    </w:p>
    <w:p w14:paraId="24E90653" w14:textId="0DA5C703" w:rsidR="0071563C" w:rsidRDefault="005E3241" w:rsidP="004E7A7D">
      <w:pPr>
        <w:pStyle w:val="ListParagraph"/>
        <w:shd w:val="clear" w:color="auto" w:fill="FFFFFF" w:themeFill="background1"/>
        <w:tabs>
          <w:tab w:val="left" w:pos="851"/>
        </w:tabs>
        <w:spacing w:line="360" w:lineRule="auto"/>
        <w:ind w:left="0"/>
        <w:contextualSpacing w:val="0"/>
        <w:rPr>
          <w:sz w:val="24"/>
        </w:rPr>
      </w:pPr>
      <w:r>
        <w:rPr>
          <w:sz w:val="24"/>
        </w:rPr>
        <w:lastRenderedPageBreak/>
        <w:t xml:space="preserve">This article aims to </w:t>
      </w:r>
      <w:r w:rsidR="0071563C">
        <w:rPr>
          <w:sz w:val="24"/>
        </w:rPr>
        <w:t xml:space="preserve">clarify the conceptual </w:t>
      </w:r>
      <w:r w:rsidR="00EE4A5C">
        <w:rPr>
          <w:sz w:val="24"/>
        </w:rPr>
        <w:t>debate</w:t>
      </w:r>
      <w:r w:rsidR="00EE4A5C">
        <w:rPr>
          <w:rStyle w:val="FootnoteReference"/>
          <w:sz w:val="24"/>
        </w:rPr>
        <w:footnoteReference w:id="3"/>
      </w:r>
      <w:r w:rsidR="0071563C">
        <w:rPr>
          <w:sz w:val="24"/>
        </w:rPr>
        <w:t xml:space="preserve"> </w:t>
      </w:r>
      <w:r w:rsidR="00EE4A5C">
        <w:rPr>
          <w:sz w:val="24"/>
        </w:rPr>
        <w:t xml:space="preserve">– and ongoing confusion – about </w:t>
      </w:r>
      <w:r w:rsidR="0071563C">
        <w:rPr>
          <w:sz w:val="24"/>
        </w:rPr>
        <w:t xml:space="preserve">the interaction of CTL and IHL. It first charts </w:t>
      </w:r>
      <w:r w:rsidR="00EE4A5C">
        <w:rPr>
          <w:sz w:val="24"/>
        </w:rPr>
        <w:t>potential</w:t>
      </w:r>
      <w:r w:rsidR="0071563C">
        <w:rPr>
          <w:sz w:val="24"/>
        </w:rPr>
        <w:t xml:space="preserve"> advantages of co-applying CTL</w:t>
      </w:r>
      <w:r w:rsidR="00EE4A5C">
        <w:rPr>
          <w:sz w:val="24"/>
        </w:rPr>
        <w:t xml:space="preserve">. </w:t>
      </w:r>
      <w:r w:rsidR="0071563C">
        <w:rPr>
          <w:sz w:val="24"/>
        </w:rPr>
        <w:t xml:space="preserve">It secondly considers key disadvantages of CTL intruding on IHL’s traditional domain. Whether the interests of each regime can be adequately accommodated through co-application largely depends on the precise scope of </w:t>
      </w:r>
      <w:r w:rsidR="00EE4A5C">
        <w:rPr>
          <w:sz w:val="24"/>
        </w:rPr>
        <w:t xml:space="preserve">particular </w:t>
      </w:r>
      <w:r w:rsidR="0071563C">
        <w:rPr>
          <w:sz w:val="24"/>
        </w:rPr>
        <w:t xml:space="preserve">CTL rules, including the existence and extent of any IHL exceptions. The third part of the article explores how IHL is addressed in some ICTCs, while the fourth part examines diverse approaches to IHL in national implementation of Security Council CTL norms, all reflecting different balancing of CTL and IHL interests. </w:t>
      </w:r>
    </w:p>
    <w:p w14:paraId="2D499A3F" w14:textId="77777777" w:rsidR="0071563C" w:rsidRDefault="0071563C" w:rsidP="004E7A7D">
      <w:pPr>
        <w:pStyle w:val="ListParagraph"/>
        <w:shd w:val="clear" w:color="auto" w:fill="FFFFFF" w:themeFill="background1"/>
        <w:tabs>
          <w:tab w:val="left" w:pos="851"/>
        </w:tabs>
        <w:spacing w:line="360" w:lineRule="auto"/>
        <w:ind w:left="0"/>
        <w:contextualSpacing w:val="0"/>
        <w:rPr>
          <w:sz w:val="24"/>
        </w:rPr>
      </w:pPr>
    </w:p>
    <w:p w14:paraId="7FBDBD14" w14:textId="405BB75E" w:rsidR="00325511" w:rsidRDefault="00CF0A90" w:rsidP="004E7A7D">
      <w:pPr>
        <w:pStyle w:val="ListParagraph"/>
        <w:shd w:val="clear" w:color="auto" w:fill="FFFFFF" w:themeFill="background1"/>
        <w:tabs>
          <w:tab w:val="left" w:pos="851"/>
        </w:tabs>
        <w:spacing w:line="360" w:lineRule="auto"/>
        <w:ind w:left="0"/>
        <w:contextualSpacing w:val="0"/>
        <w:rPr>
          <w:sz w:val="24"/>
        </w:rPr>
      </w:pPr>
      <w:r>
        <w:rPr>
          <w:sz w:val="24"/>
        </w:rPr>
        <w:t xml:space="preserve">The issues are </w:t>
      </w:r>
      <w:r w:rsidR="0071563C">
        <w:rPr>
          <w:sz w:val="24"/>
        </w:rPr>
        <w:t>pressing</w:t>
      </w:r>
      <w:r>
        <w:rPr>
          <w:sz w:val="24"/>
        </w:rPr>
        <w:t xml:space="preserve"> because all states are </w:t>
      </w:r>
      <w:r w:rsidR="0071563C">
        <w:rPr>
          <w:sz w:val="24"/>
        </w:rPr>
        <w:t xml:space="preserve">now </w:t>
      </w:r>
      <w:r>
        <w:rPr>
          <w:sz w:val="24"/>
        </w:rPr>
        <w:t xml:space="preserve">required to </w:t>
      </w:r>
      <w:r w:rsidR="0071563C">
        <w:rPr>
          <w:sz w:val="24"/>
        </w:rPr>
        <w:t xml:space="preserve">suppress terrorist acts and even if a state is not involved in armed conflict (as most states are not), </w:t>
      </w:r>
      <w:r w:rsidR="001E0215">
        <w:rPr>
          <w:sz w:val="24"/>
        </w:rPr>
        <w:t xml:space="preserve">all states </w:t>
      </w:r>
      <w:r w:rsidR="00EE4A5C">
        <w:rPr>
          <w:sz w:val="24"/>
        </w:rPr>
        <w:t>must still</w:t>
      </w:r>
      <w:r w:rsidR="001E0215">
        <w:rPr>
          <w:sz w:val="24"/>
        </w:rPr>
        <w:t xml:space="preserve"> cooperate in the prevention and suppression of terrorism </w:t>
      </w:r>
      <w:r w:rsidR="00EE4A5C">
        <w:rPr>
          <w:sz w:val="24"/>
        </w:rPr>
        <w:t>affecting other states</w:t>
      </w:r>
      <w:r w:rsidR="001E0215">
        <w:rPr>
          <w:sz w:val="24"/>
        </w:rPr>
        <w:t xml:space="preserve">. Further, the </w:t>
      </w:r>
      <w:r>
        <w:rPr>
          <w:sz w:val="24"/>
        </w:rPr>
        <w:t xml:space="preserve">UN Draft Comprehensive Terrorism Convention </w:t>
      </w:r>
      <w:r w:rsidR="0071563C">
        <w:rPr>
          <w:sz w:val="24"/>
        </w:rPr>
        <w:t>(</w:t>
      </w:r>
      <w:r w:rsidR="001E0215">
        <w:rPr>
          <w:sz w:val="24"/>
        </w:rPr>
        <w:t xml:space="preserve">under negotiation </w:t>
      </w:r>
      <w:r w:rsidR="0071563C">
        <w:rPr>
          <w:sz w:val="24"/>
        </w:rPr>
        <w:t xml:space="preserve">since 2000) </w:t>
      </w:r>
      <w:r>
        <w:rPr>
          <w:sz w:val="24"/>
        </w:rPr>
        <w:t xml:space="preserve">is </w:t>
      </w:r>
      <w:r w:rsidR="001E0215">
        <w:rPr>
          <w:sz w:val="24"/>
        </w:rPr>
        <w:t>still</w:t>
      </w:r>
      <w:r>
        <w:rPr>
          <w:sz w:val="24"/>
        </w:rPr>
        <w:t xml:space="preserve"> struggling to demarcate its a</w:t>
      </w:r>
      <w:r w:rsidR="001E0215">
        <w:rPr>
          <w:sz w:val="24"/>
        </w:rPr>
        <w:t xml:space="preserve">pproach </w:t>
      </w:r>
      <w:r w:rsidR="00EE4A5C">
        <w:rPr>
          <w:sz w:val="24"/>
        </w:rPr>
        <w:t>to IHL</w:t>
      </w:r>
      <w:r w:rsidR="001E0215">
        <w:rPr>
          <w:sz w:val="24"/>
        </w:rPr>
        <w:t xml:space="preserve">. </w:t>
      </w:r>
      <w:r>
        <w:rPr>
          <w:sz w:val="24"/>
        </w:rPr>
        <w:t>The article concludes by suggesting wha</w:t>
      </w:r>
      <w:r w:rsidR="00EE4A5C">
        <w:rPr>
          <w:sz w:val="24"/>
        </w:rPr>
        <w:t xml:space="preserve">t might be an optimal approach </w:t>
      </w:r>
      <w:r>
        <w:rPr>
          <w:sz w:val="24"/>
        </w:rPr>
        <w:t xml:space="preserve">to the CTL-IHL interface, reconciling IHL and counter-terrorism imperatives </w:t>
      </w:r>
      <w:r w:rsidR="00C86938">
        <w:rPr>
          <w:sz w:val="24"/>
        </w:rPr>
        <w:t xml:space="preserve">as far as possible </w:t>
      </w:r>
      <w:r>
        <w:rPr>
          <w:sz w:val="24"/>
        </w:rPr>
        <w:t xml:space="preserve">and minimizing one field playing ‘trumps’ at the expense of the other. </w:t>
      </w:r>
    </w:p>
    <w:p w14:paraId="0FCD5883" w14:textId="77777777" w:rsidR="00587570" w:rsidRDefault="00587570" w:rsidP="004E7A7D">
      <w:pPr>
        <w:pStyle w:val="ListParagraph"/>
        <w:shd w:val="clear" w:color="auto" w:fill="FFFFFF" w:themeFill="background1"/>
        <w:tabs>
          <w:tab w:val="left" w:pos="851"/>
        </w:tabs>
        <w:spacing w:line="360" w:lineRule="auto"/>
        <w:ind w:left="0"/>
        <w:contextualSpacing w:val="0"/>
        <w:rPr>
          <w:sz w:val="24"/>
        </w:rPr>
      </w:pPr>
    </w:p>
    <w:p w14:paraId="63BBEDFF" w14:textId="4EDD1DEC" w:rsidR="003F1390" w:rsidRPr="003F1390" w:rsidRDefault="00942910" w:rsidP="004E7A7D">
      <w:pPr>
        <w:pStyle w:val="ListParagraph"/>
        <w:shd w:val="clear" w:color="auto" w:fill="FFFFFF" w:themeFill="background1"/>
        <w:tabs>
          <w:tab w:val="left" w:pos="851"/>
        </w:tabs>
        <w:spacing w:line="360" w:lineRule="auto"/>
        <w:ind w:left="0"/>
        <w:contextualSpacing w:val="0"/>
        <w:rPr>
          <w:b/>
          <w:sz w:val="24"/>
        </w:rPr>
      </w:pPr>
      <w:r>
        <w:rPr>
          <w:b/>
          <w:sz w:val="24"/>
        </w:rPr>
        <w:t>2</w:t>
      </w:r>
      <w:r>
        <w:rPr>
          <w:b/>
          <w:sz w:val="24"/>
        </w:rPr>
        <w:tab/>
      </w:r>
      <w:r w:rsidR="003F1390" w:rsidRPr="003F1390">
        <w:rPr>
          <w:b/>
          <w:sz w:val="24"/>
        </w:rPr>
        <w:t>Advantages of Co-Application</w:t>
      </w:r>
    </w:p>
    <w:p w14:paraId="70839FA3" w14:textId="77777777" w:rsidR="003F1390" w:rsidRDefault="003F1390" w:rsidP="004E7A7D">
      <w:pPr>
        <w:pStyle w:val="ListParagraph"/>
        <w:shd w:val="clear" w:color="auto" w:fill="FFFFFF" w:themeFill="background1"/>
        <w:tabs>
          <w:tab w:val="left" w:pos="851"/>
        </w:tabs>
        <w:spacing w:line="360" w:lineRule="auto"/>
        <w:ind w:left="0"/>
        <w:contextualSpacing w:val="0"/>
        <w:rPr>
          <w:sz w:val="24"/>
        </w:rPr>
      </w:pPr>
    </w:p>
    <w:p w14:paraId="6159634E" w14:textId="5C637777" w:rsidR="007F7959" w:rsidRDefault="007F7959" w:rsidP="004E7A7D">
      <w:pPr>
        <w:pStyle w:val="ListParagraph"/>
        <w:shd w:val="clear" w:color="auto" w:fill="FFFFFF" w:themeFill="background1"/>
        <w:tabs>
          <w:tab w:val="left" w:pos="851"/>
        </w:tabs>
        <w:spacing w:line="360" w:lineRule="auto"/>
        <w:ind w:left="0"/>
        <w:contextualSpacing w:val="0"/>
        <w:rPr>
          <w:sz w:val="24"/>
        </w:rPr>
      </w:pPr>
      <w:r>
        <w:rPr>
          <w:sz w:val="24"/>
        </w:rPr>
        <w:t>It is well known that much terrorist-type conduct is already addressed by IHL. These include specific IHL prohibitions on terrorism (and the related war crime of intending to spread terror amongst civilian</w:t>
      </w:r>
      <w:r w:rsidR="00EE4A5C">
        <w:rPr>
          <w:sz w:val="24"/>
        </w:rPr>
        <w:t>s</w:t>
      </w:r>
      <w:r>
        <w:rPr>
          <w:sz w:val="24"/>
        </w:rPr>
        <w:t xml:space="preserve">) to the numerous IHL rules and war crimes addressing attacks on civilians and civilian objects. </w:t>
      </w:r>
      <w:r w:rsidR="00EE4A5C">
        <w:rPr>
          <w:sz w:val="24"/>
        </w:rPr>
        <w:t>An</w:t>
      </w:r>
      <w:r>
        <w:rPr>
          <w:sz w:val="24"/>
        </w:rPr>
        <w:t xml:space="preserve"> overarching policy question is whether </w:t>
      </w:r>
      <w:r w:rsidR="001273A7">
        <w:rPr>
          <w:sz w:val="24"/>
        </w:rPr>
        <w:t>these are</w:t>
      </w:r>
      <w:r>
        <w:rPr>
          <w:sz w:val="24"/>
        </w:rPr>
        <w:t xml:space="preserve"> enough, or whether CTL </w:t>
      </w:r>
      <w:r w:rsidR="00EE4A5C">
        <w:rPr>
          <w:sz w:val="24"/>
        </w:rPr>
        <w:t>adds</w:t>
      </w:r>
      <w:r>
        <w:rPr>
          <w:sz w:val="24"/>
        </w:rPr>
        <w:t xml:space="preserve"> </w:t>
      </w:r>
      <w:r w:rsidR="001273A7">
        <w:rPr>
          <w:sz w:val="24"/>
        </w:rPr>
        <w:t xml:space="preserve">different and </w:t>
      </w:r>
      <w:r>
        <w:rPr>
          <w:sz w:val="24"/>
        </w:rPr>
        <w:t xml:space="preserve">valuable tools </w:t>
      </w:r>
      <w:r w:rsidR="001273A7">
        <w:rPr>
          <w:sz w:val="24"/>
        </w:rPr>
        <w:t>for</w:t>
      </w:r>
      <w:r>
        <w:rPr>
          <w:sz w:val="24"/>
        </w:rPr>
        <w:t xml:space="preserve"> suppress</w:t>
      </w:r>
      <w:r w:rsidR="001273A7">
        <w:rPr>
          <w:sz w:val="24"/>
        </w:rPr>
        <w:t>ing</w:t>
      </w:r>
      <w:bookmarkStart w:id="0" w:name="_GoBack"/>
      <w:bookmarkEnd w:id="0"/>
      <w:r>
        <w:rPr>
          <w:sz w:val="24"/>
        </w:rPr>
        <w:t xml:space="preserve"> undesirable violence. </w:t>
      </w:r>
      <w:r w:rsidR="00A60557">
        <w:rPr>
          <w:sz w:val="24"/>
        </w:rPr>
        <w:t>A number of potential contributions of CTL may be identified</w:t>
      </w:r>
      <w:r w:rsidR="00A60557" w:rsidRPr="00EE4A5C">
        <w:rPr>
          <w:sz w:val="24"/>
        </w:rPr>
        <w:t xml:space="preserve"> from a CTL standpoint. </w:t>
      </w:r>
    </w:p>
    <w:p w14:paraId="7C0C31A4" w14:textId="77777777" w:rsidR="00A60557" w:rsidRDefault="00A60557" w:rsidP="004E7A7D">
      <w:pPr>
        <w:pStyle w:val="ListParagraph"/>
        <w:shd w:val="clear" w:color="auto" w:fill="FFFFFF" w:themeFill="background1"/>
        <w:tabs>
          <w:tab w:val="left" w:pos="851"/>
        </w:tabs>
        <w:spacing w:line="360" w:lineRule="auto"/>
        <w:ind w:left="0"/>
        <w:contextualSpacing w:val="0"/>
        <w:rPr>
          <w:sz w:val="24"/>
        </w:rPr>
      </w:pPr>
    </w:p>
    <w:p w14:paraId="583A0413" w14:textId="19EB922E" w:rsidR="00CE31FF" w:rsidRDefault="00A60557" w:rsidP="00CE31FF">
      <w:pPr>
        <w:pStyle w:val="ListParagraph"/>
        <w:shd w:val="clear" w:color="auto" w:fill="FFFFFF" w:themeFill="background1"/>
        <w:tabs>
          <w:tab w:val="left" w:pos="851"/>
        </w:tabs>
        <w:spacing w:line="360" w:lineRule="auto"/>
        <w:ind w:left="0"/>
        <w:contextualSpacing w:val="0"/>
        <w:rPr>
          <w:sz w:val="24"/>
        </w:rPr>
      </w:pPr>
      <w:r w:rsidRPr="00CE31FF">
        <w:rPr>
          <w:i/>
          <w:sz w:val="24"/>
        </w:rPr>
        <w:t>First, CTL substantively criminalize</w:t>
      </w:r>
      <w:r w:rsidR="00CE31FF">
        <w:rPr>
          <w:i/>
          <w:sz w:val="24"/>
        </w:rPr>
        <w:t>s</w:t>
      </w:r>
      <w:r w:rsidRPr="00CE31FF">
        <w:rPr>
          <w:i/>
          <w:sz w:val="24"/>
        </w:rPr>
        <w:t xml:space="preserve"> certain undesirable conduct which is not prohibited </w:t>
      </w:r>
      <w:r w:rsidR="00EE4A5C">
        <w:rPr>
          <w:i/>
          <w:sz w:val="24"/>
        </w:rPr>
        <w:t>by</w:t>
      </w:r>
      <w:r w:rsidRPr="00CE31FF">
        <w:rPr>
          <w:i/>
          <w:sz w:val="24"/>
        </w:rPr>
        <w:t xml:space="preserve"> IHL</w:t>
      </w:r>
      <w:r>
        <w:rPr>
          <w:sz w:val="24"/>
        </w:rPr>
        <w:t>.</w:t>
      </w:r>
      <w:r w:rsidR="00CE31FF">
        <w:rPr>
          <w:sz w:val="24"/>
        </w:rPr>
        <w:t xml:space="preserve"> Numerous examples may be </w:t>
      </w:r>
      <w:r w:rsidR="00EE4A5C">
        <w:rPr>
          <w:sz w:val="24"/>
        </w:rPr>
        <w:t xml:space="preserve">briefly </w:t>
      </w:r>
      <w:r w:rsidR="00CE31FF">
        <w:rPr>
          <w:sz w:val="24"/>
        </w:rPr>
        <w:t xml:space="preserve">given. IHL does not address the </w:t>
      </w:r>
      <w:r w:rsidR="00CE31FF" w:rsidRPr="00CE31FF">
        <w:rPr>
          <w:i/>
          <w:sz w:val="24"/>
        </w:rPr>
        <w:t>nuclear material</w:t>
      </w:r>
      <w:r w:rsidR="00CE31FF">
        <w:rPr>
          <w:sz w:val="24"/>
        </w:rPr>
        <w:t xml:space="preserve"> offences of embezzling or fraudulently obtaining nuclear material, demanding nuclear material </w:t>
      </w:r>
      <w:r w:rsidR="00CE31FF">
        <w:rPr>
          <w:sz w:val="24"/>
        </w:rPr>
        <w:lastRenderedPageBreak/>
        <w:t>by force or intimidation, unlawfully dealing with nuclear material, or nuclear smuggling;</w:t>
      </w:r>
      <w:r w:rsidR="00CE31FF">
        <w:rPr>
          <w:rStyle w:val="FootnoteReference"/>
          <w:sz w:val="24"/>
        </w:rPr>
        <w:footnoteReference w:id="4"/>
      </w:r>
      <w:r w:rsidR="00CE31FF">
        <w:rPr>
          <w:sz w:val="24"/>
        </w:rPr>
        <w:t xml:space="preserve"> nor does it address the </w:t>
      </w:r>
      <w:r w:rsidR="00CE31FF" w:rsidRPr="00CE31FF">
        <w:rPr>
          <w:i/>
          <w:sz w:val="24"/>
        </w:rPr>
        <w:t>nuclear terrorism</w:t>
      </w:r>
      <w:r w:rsidR="00CE31FF">
        <w:rPr>
          <w:sz w:val="24"/>
        </w:rPr>
        <w:t xml:space="preserve"> offences of unlawful possession of radioactive material, or making a radioactive device, with intent to harm.</w:t>
      </w:r>
      <w:r w:rsidR="00CE31FF">
        <w:rPr>
          <w:rStyle w:val="FootnoteReference"/>
          <w:sz w:val="24"/>
        </w:rPr>
        <w:footnoteReference w:id="5"/>
      </w:r>
      <w:r w:rsidR="00CE31FF">
        <w:rPr>
          <w:sz w:val="24"/>
        </w:rPr>
        <w:t xml:space="preserve"> There are no comparable IHL prohibitions or war crimes in relation to various aviation and maritime safety offences, such as communicating false information and thereby endangering aircraft safety,</w:t>
      </w:r>
      <w:r w:rsidR="00CE31FF">
        <w:rPr>
          <w:rStyle w:val="FootnoteReference"/>
          <w:sz w:val="24"/>
        </w:rPr>
        <w:footnoteReference w:id="6"/>
      </w:r>
      <w:r w:rsidR="00CE31FF">
        <w:rPr>
          <w:sz w:val="24"/>
        </w:rPr>
        <w:t xml:space="preserve"> or unlawfully transporting explosives or biological, chemical, or nuclear weapons.</w:t>
      </w:r>
      <w:r w:rsidR="00CE31FF">
        <w:rPr>
          <w:rStyle w:val="FootnoteReference"/>
          <w:sz w:val="24"/>
        </w:rPr>
        <w:footnoteReference w:id="7"/>
      </w:r>
      <w:r w:rsidR="00CE31FF">
        <w:rPr>
          <w:sz w:val="24"/>
        </w:rPr>
        <w:t xml:space="preserve"> </w:t>
      </w:r>
    </w:p>
    <w:p w14:paraId="5B7C50AD" w14:textId="77777777" w:rsidR="00CE31FF" w:rsidRDefault="00CE31FF" w:rsidP="00CE31FF">
      <w:pPr>
        <w:pStyle w:val="ListParagraph"/>
        <w:shd w:val="clear" w:color="auto" w:fill="FFFFFF" w:themeFill="background1"/>
        <w:tabs>
          <w:tab w:val="left" w:pos="851"/>
        </w:tabs>
        <w:spacing w:line="360" w:lineRule="auto"/>
        <w:ind w:left="0"/>
        <w:contextualSpacing w:val="0"/>
        <w:rPr>
          <w:sz w:val="24"/>
        </w:rPr>
      </w:pPr>
    </w:p>
    <w:p w14:paraId="6FB53CD8" w14:textId="55316BFA" w:rsidR="00CE31FF" w:rsidRDefault="00CE31FF" w:rsidP="00CE31FF">
      <w:pPr>
        <w:pStyle w:val="ListParagraph"/>
        <w:shd w:val="clear" w:color="auto" w:fill="FFFFFF" w:themeFill="background1"/>
        <w:tabs>
          <w:tab w:val="left" w:pos="851"/>
        </w:tabs>
        <w:spacing w:line="360" w:lineRule="auto"/>
        <w:ind w:left="0"/>
        <w:contextualSpacing w:val="0"/>
        <w:rPr>
          <w:sz w:val="24"/>
        </w:rPr>
      </w:pPr>
      <w:r>
        <w:rPr>
          <w:sz w:val="24"/>
        </w:rPr>
        <w:t>As regards more general terrorism offences, the</w:t>
      </w:r>
      <w:r w:rsidR="00EE4A5C">
        <w:rPr>
          <w:sz w:val="24"/>
        </w:rPr>
        <w:t xml:space="preserve"> UN</w:t>
      </w:r>
      <w:r>
        <w:rPr>
          <w:sz w:val="24"/>
        </w:rPr>
        <w:t xml:space="preserve"> Draft Convention would criminalize attacks on communication systems which are likely to result in major economic loss; but under IHL, if civilian data is not an ‘object’ which can be kinetically ‘attacked’,</w:t>
      </w:r>
      <w:r w:rsidR="00825D93">
        <w:rPr>
          <w:rStyle w:val="FootnoteReference"/>
          <w:sz w:val="24"/>
        </w:rPr>
        <w:footnoteReference w:id="8"/>
      </w:r>
      <w:r>
        <w:rPr>
          <w:sz w:val="24"/>
        </w:rPr>
        <w:t xml:space="preserve"> IHL does not prohibit, let alone criminalize, it. More controversially, national CTL offences may criminalize civilian </w:t>
      </w:r>
      <w:r w:rsidR="00825D93">
        <w:rPr>
          <w:sz w:val="24"/>
        </w:rPr>
        <w:t xml:space="preserve">direct </w:t>
      </w:r>
      <w:r>
        <w:rPr>
          <w:sz w:val="24"/>
        </w:rPr>
        <w:t xml:space="preserve">participation in hostilities </w:t>
      </w:r>
      <w:r w:rsidR="00825D93">
        <w:rPr>
          <w:sz w:val="24"/>
        </w:rPr>
        <w:t xml:space="preserve">(DPH) </w:t>
      </w:r>
      <w:r>
        <w:rPr>
          <w:sz w:val="24"/>
        </w:rPr>
        <w:t>(whether by members of organized armed groups performing a continuous combat function</w:t>
      </w:r>
      <w:r w:rsidR="00DA1DEF">
        <w:rPr>
          <w:sz w:val="24"/>
        </w:rPr>
        <w:t xml:space="preserve"> (CCF)</w:t>
      </w:r>
      <w:r>
        <w:rPr>
          <w:sz w:val="24"/>
        </w:rPr>
        <w:t>, or more sporadic participation), for instance by resort to offences such as membership of a terrorist organization or foreign fighter offences</w:t>
      </w:r>
      <w:r w:rsidR="00825D93">
        <w:rPr>
          <w:sz w:val="24"/>
        </w:rPr>
        <w:t>.</w:t>
      </w:r>
      <w:r>
        <w:rPr>
          <w:sz w:val="24"/>
        </w:rPr>
        <w:t xml:space="preserve"> </w:t>
      </w:r>
      <w:r w:rsidR="00825D93">
        <w:rPr>
          <w:sz w:val="24"/>
        </w:rPr>
        <w:t>I</w:t>
      </w:r>
      <w:r>
        <w:rPr>
          <w:sz w:val="24"/>
        </w:rPr>
        <w:t xml:space="preserve">n IAC, such persons are simply not entitled to combatant immunity; and in both IAC and NIAC such persons may be targeted for the duration of their participation, detained on security grounds, </w:t>
      </w:r>
      <w:r w:rsidR="00825D93">
        <w:rPr>
          <w:sz w:val="24"/>
        </w:rPr>
        <w:t xml:space="preserve">and </w:t>
      </w:r>
      <w:r>
        <w:rPr>
          <w:sz w:val="24"/>
        </w:rPr>
        <w:t>prosecuted for any applicable national</w:t>
      </w:r>
      <w:r w:rsidR="00825D93">
        <w:rPr>
          <w:sz w:val="24"/>
        </w:rPr>
        <w:t xml:space="preserve"> offences (including terrorism) (as well as any consequential harm constituting war crimes (such as perfidy or physical injury). </w:t>
      </w:r>
    </w:p>
    <w:p w14:paraId="7E16AFAD" w14:textId="77777777" w:rsidR="00CE31FF" w:rsidRDefault="00CE31FF" w:rsidP="00CE31FF">
      <w:pPr>
        <w:pStyle w:val="ListParagraph"/>
        <w:shd w:val="clear" w:color="auto" w:fill="FFFFFF" w:themeFill="background1"/>
        <w:tabs>
          <w:tab w:val="left" w:pos="851"/>
        </w:tabs>
        <w:spacing w:line="360" w:lineRule="auto"/>
        <w:ind w:left="0"/>
        <w:contextualSpacing w:val="0"/>
        <w:rPr>
          <w:sz w:val="24"/>
        </w:rPr>
      </w:pPr>
    </w:p>
    <w:p w14:paraId="60D0C90C" w14:textId="1CD754BD" w:rsidR="00C632B1" w:rsidRDefault="00CE31FF" w:rsidP="00CE31FF">
      <w:pPr>
        <w:pStyle w:val="ListParagraph"/>
        <w:shd w:val="clear" w:color="auto" w:fill="FFFFFF" w:themeFill="background1"/>
        <w:tabs>
          <w:tab w:val="left" w:pos="851"/>
        </w:tabs>
        <w:spacing w:line="360" w:lineRule="auto"/>
        <w:ind w:left="0"/>
        <w:contextualSpacing w:val="0"/>
        <w:rPr>
          <w:sz w:val="24"/>
        </w:rPr>
      </w:pPr>
      <w:r w:rsidRPr="00CE31FF">
        <w:rPr>
          <w:i/>
          <w:sz w:val="24"/>
        </w:rPr>
        <w:t xml:space="preserve">Secondly, CTL may criminalize conduct which is prohibited </w:t>
      </w:r>
      <w:r w:rsidRPr="001E0215">
        <w:rPr>
          <w:i/>
          <w:sz w:val="24"/>
        </w:rPr>
        <w:t>under IHL but not a war crime</w:t>
      </w:r>
      <w:r w:rsidRPr="001E0215">
        <w:rPr>
          <w:sz w:val="24"/>
        </w:rPr>
        <w:t xml:space="preserve">. For example, </w:t>
      </w:r>
      <w:r w:rsidR="009F507E" w:rsidRPr="001E0215">
        <w:rPr>
          <w:sz w:val="24"/>
        </w:rPr>
        <w:t>a failure to take adequate precautions in targeting is not a war crime, whereas national terrorism offences may make it an offence to recklessly endanger life</w:t>
      </w:r>
      <w:r w:rsidR="00C632B1" w:rsidRPr="001E0215">
        <w:rPr>
          <w:sz w:val="24"/>
        </w:rPr>
        <w:t xml:space="preserve"> or the public</w:t>
      </w:r>
      <w:r w:rsidR="009F507E" w:rsidRPr="001E0215">
        <w:rPr>
          <w:sz w:val="24"/>
        </w:rPr>
        <w:t xml:space="preserve">. </w:t>
      </w:r>
      <w:r w:rsidR="00C632B1" w:rsidRPr="001E0215">
        <w:rPr>
          <w:sz w:val="24"/>
        </w:rPr>
        <w:t>CTL may criminalize attacks on the environment,</w:t>
      </w:r>
      <w:r w:rsidR="00C632B1" w:rsidRPr="001E0215">
        <w:rPr>
          <w:rStyle w:val="FootnoteReference"/>
          <w:sz w:val="24"/>
        </w:rPr>
        <w:footnoteReference w:id="9"/>
      </w:r>
      <w:r w:rsidR="00C632B1" w:rsidRPr="001E0215">
        <w:rPr>
          <w:sz w:val="24"/>
        </w:rPr>
        <w:t xml:space="preserve"> whereas IHL only does so under the Rome Statute </w:t>
      </w:r>
      <w:r w:rsidR="00495BF0">
        <w:rPr>
          <w:sz w:val="24"/>
        </w:rPr>
        <w:t xml:space="preserve">in IAC </w:t>
      </w:r>
      <w:r w:rsidR="00C632B1" w:rsidRPr="001E0215">
        <w:rPr>
          <w:sz w:val="24"/>
        </w:rPr>
        <w:t>(not under the Geneva Conventions, API or APII, or the ENMOD</w:t>
      </w:r>
      <w:r w:rsidR="00C632B1">
        <w:rPr>
          <w:sz w:val="24"/>
        </w:rPr>
        <w:t xml:space="preserve"> Convention</w:t>
      </w:r>
      <w:r w:rsidR="00495BF0">
        <w:rPr>
          <w:sz w:val="24"/>
        </w:rPr>
        <w:t xml:space="preserve"> 1977</w:t>
      </w:r>
      <w:r w:rsidR="00C632B1">
        <w:rPr>
          <w:sz w:val="24"/>
        </w:rPr>
        <w:t>) and only if very high thresholds are met.</w:t>
      </w:r>
      <w:r w:rsidR="00C632B1">
        <w:rPr>
          <w:rStyle w:val="FootnoteReference"/>
          <w:sz w:val="24"/>
        </w:rPr>
        <w:footnoteReference w:id="10"/>
      </w:r>
    </w:p>
    <w:p w14:paraId="475E8B10" w14:textId="77777777" w:rsidR="00CE31FF" w:rsidRDefault="00CE31FF" w:rsidP="00CE31FF">
      <w:pPr>
        <w:pStyle w:val="ListParagraph"/>
        <w:shd w:val="clear" w:color="auto" w:fill="FFFFFF" w:themeFill="background1"/>
        <w:tabs>
          <w:tab w:val="left" w:pos="851"/>
        </w:tabs>
        <w:spacing w:line="360" w:lineRule="auto"/>
        <w:ind w:left="0"/>
        <w:contextualSpacing w:val="0"/>
        <w:rPr>
          <w:sz w:val="24"/>
        </w:rPr>
      </w:pPr>
    </w:p>
    <w:p w14:paraId="069363CC" w14:textId="0C1DCF76" w:rsidR="00CE31FF" w:rsidRDefault="009F507E" w:rsidP="00CE31FF">
      <w:pPr>
        <w:pStyle w:val="ListParagraph"/>
        <w:shd w:val="clear" w:color="auto" w:fill="FFFFFF" w:themeFill="background1"/>
        <w:tabs>
          <w:tab w:val="left" w:pos="851"/>
        </w:tabs>
        <w:spacing w:line="360" w:lineRule="auto"/>
        <w:ind w:left="0"/>
        <w:contextualSpacing w:val="0"/>
        <w:rPr>
          <w:sz w:val="24"/>
        </w:rPr>
      </w:pPr>
      <w:r w:rsidRPr="009F507E">
        <w:rPr>
          <w:i/>
          <w:sz w:val="24"/>
        </w:rPr>
        <w:lastRenderedPageBreak/>
        <w:t>Thirdly, where CTL and war crimes apply to the same conduct, e</w:t>
      </w:r>
      <w:r w:rsidR="00CE31FF" w:rsidRPr="009F507E">
        <w:rPr>
          <w:i/>
          <w:sz w:val="24"/>
        </w:rPr>
        <w:t xml:space="preserve">lements of </w:t>
      </w:r>
      <w:r w:rsidRPr="009F507E">
        <w:rPr>
          <w:i/>
          <w:sz w:val="24"/>
        </w:rPr>
        <w:t xml:space="preserve">CTL </w:t>
      </w:r>
      <w:r w:rsidR="00CE31FF" w:rsidRPr="009F507E">
        <w:rPr>
          <w:i/>
          <w:sz w:val="24"/>
        </w:rPr>
        <w:t xml:space="preserve">offences </w:t>
      </w:r>
      <w:r w:rsidRPr="009F507E">
        <w:rPr>
          <w:i/>
          <w:sz w:val="24"/>
        </w:rPr>
        <w:t>may be more specific</w:t>
      </w:r>
      <w:r>
        <w:rPr>
          <w:sz w:val="24"/>
        </w:rPr>
        <w:t>. Examples include the CTL offences of aircraft hijacking</w:t>
      </w:r>
      <w:r w:rsidR="00CE31FF">
        <w:rPr>
          <w:rStyle w:val="FootnoteReference"/>
          <w:sz w:val="24"/>
        </w:rPr>
        <w:footnoteReference w:id="11"/>
      </w:r>
      <w:r>
        <w:rPr>
          <w:sz w:val="24"/>
        </w:rPr>
        <w:t xml:space="preserve"> and</w:t>
      </w:r>
      <w:r w:rsidR="00CE31FF">
        <w:rPr>
          <w:sz w:val="24"/>
        </w:rPr>
        <w:t xml:space="preserve"> emplacing a bomb on an aircraft</w:t>
      </w:r>
      <w:r>
        <w:rPr>
          <w:sz w:val="24"/>
        </w:rPr>
        <w:t>,</w:t>
      </w:r>
      <w:r w:rsidR="00CE31FF">
        <w:rPr>
          <w:rStyle w:val="FootnoteReference"/>
          <w:sz w:val="24"/>
        </w:rPr>
        <w:footnoteReference w:id="12"/>
      </w:r>
      <w:r>
        <w:rPr>
          <w:sz w:val="24"/>
        </w:rPr>
        <w:t xml:space="preserve"> </w:t>
      </w:r>
      <w:r w:rsidR="00825D93">
        <w:rPr>
          <w:sz w:val="24"/>
        </w:rPr>
        <w:t>compared</w:t>
      </w:r>
      <w:r>
        <w:rPr>
          <w:sz w:val="24"/>
        </w:rPr>
        <w:t xml:space="preserve"> with the more general IHL rules </w:t>
      </w:r>
      <w:r w:rsidR="00825D93">
        <w:rPr>
          <w:sz w:val="24"/>
        </w:rPr>
        <w:t>against</w:t>
      </w:r>
      <w:r w:rsidR="00CE31FF">
        <w:rPr>
          <w:sz w:val="24"/>
        </w:rPr>
        <w:t xml:space="preserve"> attacking </w:t>
      </w:r>
      <w:r w:rsidR="007F7072">
        <w:rPr>
          <w:sz w:val="24"/>
        </w:rPr>
        <w:t>or atte</w:t>
      </w:r>
      <w:r>
        <w:rPr>
          <w:sz w:val="24"/>
        </w:rPr>
        <w:t>mpting to attack a civilian object.</w:t>
      </w:r>
      <w:r w:rsidR="00B4225E">
        <w:rPr>
          <w:sz w:val="24"/>
        </w:rPr>
        <w:t xml:space="preserve"> CTL can thus expand the armoury of charges available and more accurately reflect what is </w:t>
      </w:r>
      <w:r w:rsidR="00825D93">
        <w:rPr>
          <w:sz w:val="24"/>
        </w:rPr>
        <w:t xml:space="preserve">precisely </w:t>
      </w:r>
      <w:r w:rsidR="00B4225E">
        <w:rPr>
          <w:sz w:val="24"/>
        </w:rPr>
        <w:t xml:space="preserve">wrongful about </w:t>
      </w:r>
      <w:r w:rsidR="00825D93">
        <w:rPr>
          <w:sz w:val="24"/>
        </w:rPr>
        <w:t>an act</w:t>
      </w:r>
      <w:r w:rsidR="00B4225E">
        <w:rPr>
          <w:sz w:val="24"/>
        </w:rPr>
        <w:t xml:space="preserve">. </w:t>
      </w:r>
    </w:p>
    <w:p w14:paraId="0103B71A" w14:textId="77777777" w:rsidR="009F507E" w:rsidRDefault="009F507E" w:rsidP="00CE31FF">
      <w:pPr>
        <w:pStyle w:val="ListParagraph"/>
        <w:shd w:val="clear" w:color="auto" w:fill="FFFFFF" w:themeFill="background1"/>
        <w:tabs>
          <w:tab w:val="left" w:pos="851"/>
        </w:tabs>
        <w:spacing w:line="360" w:lineRule="auto"/>
        <w:ind w:left="0"/>
        <w:contextualSpacing w:val="0"/>
        <w:rPr>
          <w:sz w:val="24"/>
        </w:rPr>
      </w:pPr>
    </w:p>
    <w:p w14:paraId="6E132372" w14:textId="39F21B3E" w:rsidR="00F500DD" w:rsidRDefault="009F507E" w:rsidP="004E7A7D">
      <w:pPr>
        <w:pStyle w:val="ListParagraph"/>
        <w:shd w:val="clear" w:color="auto" w:fill="FFFFFF" w:themeFill="background1"/>
        <w:tabs>
          <w:tab w:val="left" w:pos="851"/>
        </w:tabs>
        <w:spacing w:line="360" w:lineRule="auto"/>
        <w:ind w:left="0"/>
        <w:contextualSpacing w:val="0"/>
        <w:rPr>
          <w:sz w:val="24"/>
        </w:rPr>
      </w:pPr>
      <w:r w:rsidRPr="007F7072">
        <w:rPr>
          <w:i/>
          <w:sz w:val="24"/>
        </w:rPr>
        <w:t xml:space="preserve">Fourthly, CTL often criminalizes early preparatory conduct which is not covered by </w:t>
      </w:r>
      <w:r w:rsidR="004A418A" w:rsidRPr="007F7072">
        <w:rPr>
          <w:i/>
          <w:sz w:val="24"/>
        </w:rPr>
        <w:t>war crimes</w:t>
      </w:r>
      <w:r>
        <w:rPr>
          <w:sz w:val="24"/>
        </w:rPr>
        <w:t xml:space="preserve">. </w:t>
      </w:r>
      <w:r w:rsidR="004A418A">
        <w:rPr>
          <w:sz w:val="24"/>
        </w:rPr>
        <w:t xml:space="preserve">On the one </w:t>
      </w:r>
      <w:r w:rsidR="004A418A" w:rsidRPr="00853A3E">
        <w:rPr>
          <w:sz w:val="24"/>
        </w:rPr>
        <w:t>hand, the extended modes of criminal responsibility under the ICTCs</w:t>
      </w:r>
      <w:r w:rsidR="004A418A" w:rsidRPr="00853A3E">
        <w:rPr>
          <w:rStyle w:val="FootnoteReference"/>
          <w:sz w:val="24"/>
        </w:rPr>
        <w:footnoteReference w:id="13"/>
      </w:r>
      <w:r w:rsidR="004A418A" w:rsidRPr="00853A3E">
        <w:rPr>
          <w:sz w:val="24"/>
        </w:rPr>
        <w:t xml:space="preserve"> and IHL</w:t>
      </w:r>
      <w:r w:rsidR="004A418A" w:rsidRPr="00853A3E">
        <w:rPr>
          <w:rStyle w:val="FootnoteReference"/>
          <w:sz w:val="24"/>
        </w:rPr>
        <w:footnoteReference w:id="14"/>
      </w:r>
      <w:r w:rsidR="004A418A" w:rsidRPr="00853A3E">
        <w:rPr>
          <w:sz w:val="24"/>
        </w:rPr>
        <w:t xml:space="preserve"> are not dissimilar. But in implementing resolution 1373, many states have enacted more precautionary</w:t>
      </w:r>
      <w:r w:rsidR="004A418A">
        <w:rPr>
          <w:sz w:val="24"/>
        </w:rPr>
        <w:t xml:space="preserve"> offences which criminalize conduct well before criminal intent has crystallized into an attempt, or where a person acts alone and there is thus no </w:t>
      </w:r>
      <w:r w:rsidR="009416FC">
        <w:rPr>
          <w:sz w:val="24"/>
        </w:rPr>
        <w:t xml:space="preserve">(group) </w:t>
      </w:r>
      <w:r w:rsidR="004A418A">
        <w:rPr>
          <w:sz w:val="24"/>
        </w:rPr>
        <w:t xml:space="preserve">conspiracy prior to </w:t>
      </w:r>
      <w:r w:rsidR="009416FC">
        <w:rPr>
          <w:sz w:val="24"/>
        </w:rPr>
        <w:t>attempt. Such offences include</w:t>
      </w:r>
      <w:r w:rsidR="004A418A">
        <w:rPr>
          <w:sz w:val="24"/>
        </w:rPr>
        <w:t xml:space="preserve"> the mere possession of a weapon, explosive, vehicle, document or object which could be used in a future attack, before any overt act </w:t>
      </w:r>
      <w:r w:rsidR="00774071">
        <w:rPr>
          <w:sz w:val="24"/>
        </w:rPr>
        <w:t>is</w:t>
      </w:r>
      <w:r w:rsidR="004A418A">
        <w:rPr>
          <w:sz w:val="24"/>
        </w:rPr>
        <w:t xml:space="preserve"> initiated. They also include offences of providing or receiving </w:t>
      </w:r>
      <w:r w:rsidR="00774071">
        <w:rPr>
          <w:sz w:val="24"/>
        </w:rPr>
        <w:t xml:space="preserve">terrorist </w:t>
      </w:r>
      <w:r w:rsidR="004A418A">
        <w:rPr>
          <w:sz w:val="24"/>
        </w:rPr>
        <w:t xml:space="preserve">training; </w:t>
      </w:r>
      <w:r w:rsidR="00F500DD">
        <w:rPr>
          <w:sz w:val="24"/>
        </w:rPr>
        <w:t xml:space="preserve">and </w:t>
      </w:r>
      <w:r w:rsidR="00A42EBA">
        <w:rPr>
          <w:sz w:val="24"/>
        </w:rPr>
        <w:t>inciting, advocating, pr</w:t>
      </w:r>
      <w:r w:rsidR="00F500DD">
        <w:rPr>
          <w:sz w:val="24"/>
        </w:rPr>
        <w:t xml:space="preserve">aising or glorifying terrorism. </w:t>
      </w:r>
      <w:r w:rsidR="009416FC">
        <w:rPr>
          <w:sz w:val="24"/>
        </w:rPr>
        <w:t>T</w:t>
      </w:r>
      <w:r w:rsidR="00F500DD">
        <w:rPr>
          <w:sz w:val="24"/>
        </w:rPr>
        <w:t>here are</w:t>
      </w:r>
      <w:r w:rsidR="009416FC">
        <w:rPr>
          <w:sz w:val="24"/>
        </w:rPr>
        <w:t xml:space="preserve"> also</w:t>
      </w:r>
      <w:r w:rsidR="004A418A">
        <w:rPr>
          <w:sz w:val="24"/>
        </w:rPr>
        <w:t xml:space="preserve"> numerous offences relating to terrorist organizations, such as acts of finance, </w:t>
      </w:r>
      <w:r w:rsidR="00EA2296">
        <w:rPr>
          <w:sz w:val="24"/>
        </w:rPr>
        <w:t xml:space="preserve">recruitment, </w:t>
      </w:r>
      <w:r w:rsidR="004A418A">
        <w:rPr>
          <w:sz w:val="24"/>
        </w:rPr>
        <w:t xml:space="preserve">membership, association, </w:t>
      </w:r>
      <w:r w:rsidR="00EA2296">
        <w:rPr>
          <w:sz w:val="24"/>
        </w:rPr>
        <w:t xml:space="preserve">support, </w:t>
      </w:r>
      <w:r w:rsidR="004A418A">
        <w:rPr>
          <w:sz w:val="24"/>
        </w:rPr>
        <w:t xml:space="preserve">training, and so on. </w:t>
      </w:r>
    </w:p>
    <w:p w14:paraId="13A98234" w14:textId="77777777" w:rsidR="00F500DD" w:rsidRDefault="00F500DD" w:rsidP="004E7A7D">
      <w:pPr>
        <w:pStyle w:val="ListParagraph"/>
        <w:shd w:val="clear" w:color="auto" w:fill="FFFFFF" w:themeFill="background1"/>
        <w:tabs>
          <w:tab w:val="left" w:pos="851"/>
        </w:tabs>
        <w:spacing w:line="360" w:lineRule="auto"/>
        <w:ind w:left="0"/>
        <w:contextualSpacing w:val="0"/>
        <w:rPr>
          <w:sz w:val="24"/>
        </w:rPr>
      </w:pPr>
    </w:p>
    <w:p w14:paraId="6B1B04C8" w14:textId="177FB1B7" w:rsidR="00CE31FF" w:rsidRDefault="004A418A" w:rsidP="004E7A7D">
      <w:pPr>
        <w:pStyle w:val="ListParagraph"/>
        <w:shd w:val="clear" w:color="auto" w:fill="FFFFFF" w:themeFill="background1"/>
        <w:tabs>
          <w:tab w:val="left" w:pos="851"/>
        </w:tabs>
        <w:spacing w:line="360" w:lineRule="auto"/>
        <w:ind w:left="0"/>
        <w:contextualSpacing w:val="0"/>
        <w:rPr>
          <w:sz w:val="24"/>
        </w:rPr>
      </w:pPr>
      <w:r>
        <w:rPr>
          <w:sz w:val="24"/>
        </w:rPr>
        <w:t>In co</w:t>
      </w:r>
      <w:r w:rsidR="00774071">
        <w:rPr>
          <w:sz w:val="24"/>
        </w:rPr>
        <w:t>ntrast, IHL does not prohibit groups or criminalize their members</w:t>
      </w:r>
      <w:r>
        <w:rPr>
          <w:sz w:val="24"/>
        </w:rPr>
        <w:t xml:space="preserve">; and limits modes of liability to more traditional ones which bear a </w:t>
      </w:r>
      <w:r w:rsidR="00774071">
        <w:rPr>
          <w:sz w:val="24"/>
        </w:rPr>
        <w:t>more proximate</w:t>
      </w:r>
      <w:r>
        <w:rPr>
          <w:sz w:val="24"/>
        </w:rPr>
        <w:t xml:space="preserve"> relationship to the eventual commission of a crime.</w:t>
      </w:r>
      <w:r w:rsidR="00F500DD">
        <w:rPr>
          <w:sz w:val="24"/>
        </w:rPr>
        <w:t xml:space="preserve"> Even where a </w:t>
      </w:r>
      <w:r w:rsidR="00774071">
        <w:rPr>
          <w:sz w:val="24"/>
        </w:rPr>
        <w:t>terrorist act is also</w:t>
      </w:r>
      <w:r w:rsidR="00F500DD">
        <w:rPr>
          <w:sz w:val="24"/>
        </w:rPr>
        <w:t xml:space="preserve"> </w:t>
      </w:r>
      <w:r w:rsidR="00774071">
        <w:rPr>
          <w:sz w:val="24"/>
        </w:rPr>
        <w:t>a war crime</w:t>
      </w:r>
      <w:r w:rsidR="00F500DD">
        <w:rPr>
          <w:sz w:val="24"/>
        </w:rPr>
        <w:t xml:space="preserve">, their prosecution for a terrorism offence </w:t>
      </w:r>
      <w:r w:rsidR="00774071">
        <w:rPr>
          <w:sz w:val="24"/>
        </w:rPr>
        <w:t xml:space="preserve">may be easier and more fruitful for law enforcement </w:t>
      </w:r>
      <w:r w:rsidR="00F500DD">
        <w:rPr>
          <w:sz w:val="24"/>
        </w:rPr>
        <w:t>–</w:t>
      </w:r>
      <w:r w:rsidR="006D2421">
        <w:rPr>
          <w:sz w:val="24"/>
        </w:rPr>
        <w:t xml:space="preserve"> particular</w:t>
      </w:r>
      <w:r w:rsidR="00774071">
        <w:rPr>
          <w:sz w:val="24"/>
        </w:rPr>
        <w:t>ly</w:t>
      </w:r>
      <w:r w:rsidR="006D2421">
        <w:rPr>
          <w:sz w:val="24"/>
        </w:rPr>
        <w:t xml:space="preserve"> group</w:t>
      </w:r>
      <w:r w:rsidR="00774071">
        <w:rPr>
          <w:sz w:val="24"/>
        </w:rPr>
        <w:t xml:space="preserve">-based </w:t>
      </w:r>
      <w:r w:rsidR="00F500DD">
        <w:rPr>
          <w:sz w:val="24"/>
        </w:rPr>
        <w:t>offences with low bars based on membership</w:t>
      </w:r>
      <w:r w:rsidR="006D2421">
        <w:rPr>
          <w:sz w:val="24"/>
        </w:rPr>
        <w:t>, association,</w:t>
      </w:r>
      <w:r w:rsidR="00F500DD">
        <w:rPr>
          <w:sz w:val="24"/>
        </w:rPr>
        <w:t xml:space="preserve"> or </w:t>
      </w:r>
      <w:r w:rsidR="006D2421">
        <w:rPr>
          <w:sz w:val="24"/>
        </w:rPr>
        <w:t xml:space="preserve">indirect or </w:t>
      </w:r>
      <w:r w:rsidR="00F500DD">
        <w:rPr>
          <w:sz w:val="24"/>
        </w:rPr>
        <w:t>peripheral support for the group</w:t>
      </w:r>
      <w:r w:rsidR="006D2421">
        <w:rPr>
          <w:sz w:val="24"/>
        </w:rPr>
        <w:t>, proved by self-incriminating social media records.</w:t>
      </w:r>
      <w:r w:rsidR="00774071">
        <w:rPr>
          <w:sz w:val="24"/>
        </w:rPr>
        <w:t xml:space="preserve"> </w:t>
      </w:r>
      <w:r w:rsidR="006D2421">
        <w:rPr>
          <w:sz w:val="24"/>
        </w:rPr>
        <w:t>I</w:t>
      </w:r>
      <w:r w:rsidR="00F500DD">
        <w:rPr>
          <w:sz w:val="24"/>
        </w:rPr>
        <w:t xml:space="preserve">t may avoid the complexities of collecting battlefield evidence </w:t>
      </w:r>
      <w:r w:rsidR="006D2421">
        <w:rPr>
          <w:sz w:val="24"/>
        </w:rPr>
        <w:t xml:space="preserve">of war crimes </w:t>
      </w:r>
      <w:r w:rsidR="00F500DD">
        <w:rPr>
          <w:sz w:val="24"/>
        </w:rPr>
        <w:t>in r</w:t>
      </w:r>
      <w:r w:rsidR="006D2421">
        <w:rPr>
          <w:sz w:val="24"/>
        </w:rPr>
        <w:t>emote, dangerous conflict zones, while still achieving the criminological goal of incapacitating the offender through equally lengthy (if not lengthier) terms of imprisonment for terrorism offences.</w:t>
      </w:r>
    </w:p>
    <w:p w14:paraId="238B3F3A" w14:textId="77777777" w:rsidR="004A418A" w:rsidRDefault="004A418A" w:rsidP="004E7A7D">
      <w:pPr>
        <w:pStyle w:val="ListParagraph"/>
        <w:shd w:val="clear" w:color="auto" w:fill="FFFFFF" w:themeFill="background1"/>
        <w:tabs>
          <w:tab w:val="left" w:pos="851"/>
        </w:tabs>
        <w:spacing w:line="360" w:lineRule="auto"/>
        <w:ind w:left="0"/>
        <w:contextualSpacing w:val="0"/>
        <w:rPr>
          <w:sz w:val="24"/>
        </w:rPr>
      </w:pPr>
    </w:p>
    <w:p w14:paraId="4CA6AB5D" w14:textId="2F0E5AFE" w:rsidR="007F7072" w:rsidRDefault="004A418A" w:rsidP="004E7A7D">
      <w:pPr>
        <w:pStyle w:val="ListParagraph"/>
        <w:shd w:val="clear" w:color="auto" w:fill="FFFFFF" w:themeFill="background1"/>
        <w:tabs>
          <w:tab w:val="left" w:pos="851"/>
        </w:tabs>
        <w:spacing w:line="360" w:lineRule="auto"/>
        <w:ind w:left="0"/>
        <w:contextualSpacing w:val="0"/>
        <w:rPr>
          <w:sz w:val="24"/>
        </w:rPr>
      </w:pPr>
      <w:r w:rsidRPr="007F7072">
        <w:rPr>
          <w:i/>
          <w:sz w:val="24"/>
        </w:rPr>
        <w:t xml:space="preserve">Fifthly, </w:t>
      </w:r>
      <w:r w:rsidR="007F7072" w:rsidRPr="007F7072">
        <w:rPr>
          <w:i/>
          <w:sz w:val="24"/>
        </w:rPr>
        <w:t>CTL imposes more specific obligations on states to suppress offences than IHL</w:t>
      </w:r>
      <w:r w:rsidR="007F7072">
        <w:rPr>
          <w:sz w:val="24"/>
        </w:rPr>
        <w:t xml:space="preserve">. On the one hand, war </w:t>
      </w:r>
      <w:r w:rsidR="00B26330">
        <w:rPr>
          <w:sz w:val="24"/>
        </w:rPr>
        <w:t>crimes</w:t>
      </w:r>
      <w:r w:rsidR="007F7072">
        <w:rPr>
          <w:sz w:val="24"/>
        </w:rPr>
        <w:t xml:space="preserve"> are subject to universal jurisdiction, while CTL offences are subject to a </w:t>
      </w:r>
      <w:r w:rsidR="007F7072">
        <w:rPr>
          <w:sz w:val="24"/>
        </w:rPr>
        <w:lastRenderedPageBreak/>
        <w:t xml:space="preserve">narrower quasi-universal treaty-based jurisdiction predicated on </w:t>
      </w:r>
      <w:r w:rsidR="00B26330">
        <w:rPr>
          <w:sz w:val="24"/>
        </w:rPr>
        <w:t xml:space="preserve">the </w:t>
      </w:r>
      <w:r w:rsidR="007F7072">
        <w:rPr>
          <w:sz w:val="24"/>
        </w:rPr>
        <w:t xml:space="preserve">presence </w:t>
      </w:r>
      <w:r w:rsidR="00B26330">
        <w:rPr>
          <w:sz w:val="24"/>
        </w:rPr>
        <w:t xml:space="preserve">of a suspect who0 committed an offence abroad </w:t>
      </w:r>
      <w:r w:rsidR="007F7072">
        <w:rPr>
          <w:sz w:val="24"/>
        </w:rPr>
        <w:t xml:space="preserve">in </w:t>
      </w:r>
      <w:r w:rsidR="00B26330">
        <w:rPr>
          <w:sz w:val="24"/>
        </w:rPr>
        <w:t>the custodial</w:t>
      </w:r>
      <w:r w:rsidR="007F7072">
        <w:rPr>
          <w:sz w:val="24"/>
        </w:rPr>
        <w:t xml:space="preserve"> state’s territory. On the other hand, only ‘grave breaches’ in IAC are subject to a duty to ‘extradite or prosecute’ and to provide mutual legal assistance, whereas other violations of the laws and customs of war, in IAC or NIAC, or violations of CA3 in NIAC</w:t>
      </w:r>
      <w:r w:rsidR="00B26330">
        <w:rPr>
          <w:sz w:val="24"/>
        </w:rPr>
        <w:t>,</w:t>
      </w:r>
      <w:r w:rsidR="007F7072">
        <w:rPr>
          <w:sz w:val="24"/>
        </w:rPr>
        <w:t xml:space="preserve"> are not subject to such obligations. In contrast, states must extradite or prosecute, and provide mutual assistance, in relation all ICTC offences, as well as in relation to terrorist acts (including preparatory offences) under resolution 1373.</w:t>
      </w:r>
      <w:r w:rsidR="00132DD5">
        <w:rPr>
          <w:rStyle w:val="FootnoteReference"/>
          <w:sz w:val="24"/>
        </w:rPr>
        <w:footnoteReference w:id="15"/>
      </w:r>
      <w:r w:rsidR="007F7072">
        <w:rPr>
          <w:sz w:val="24"/>
        </w:rPr>
        <w:t xml:space="preserve"> </w:t>
      </w:r>
    </w:p>
    <w:p w14:paraId="41FAF768" w14:textId="77777777" w:rsidR="007F7072" w:rsidRDefault="007F7072" w:rsidP="004E7A7D">
      <w:pPr>
        <w:pStyle w:val="ListParagraph"/>
        <w:shd w:val="clear" w:color="auto" w:fill="FFFFFF" w:themeFill="background1"/>
        <w:tabs>
          <w:tab w:val="left" w:pos="851"/>
        </w:tabs>
        <w:spacing w:line="360" w:lineRule="auto"/>
        <w:ind w:left="0"/>
        <w:contextualSpacing w:val="0"/>
        <w:rPr>
          <w:sz w:val="24"/>
        </w:rPr>
      </w:pPr>
    </w:p>
    <w:p w14:paraId="5E82A8BE" w14:textId="77ED9622" w:rsidR="007F7959" w:rsidRDefault="007F7072" w:rsidP="004E7A7D">
      <w:pPr>
        <w:pStyle w:val="ListParagraph"/>
        <w:shd w:val="clear" w:color="auto" w:fill="FFFFFF" w:themeFill="background1"/>
        <w:tabs>
          <w:tab w:val="left" w:pos="851"/>
        </w:tabs>
        <w:spacing w:line="360" w:lineRule="auto"/>
        <w:ind w:left="0"/>
        <w:contextualSpacing w:val="0"/>
        <w:rPr>
          <w:sz w:val="24"/>
        </w:rPr>
      </w:pPr>
      <w:r w:rsidRPr="000078EC">
        <w:rPr>
          <w:i/>
          <w:sz w:val="24"/>
        </w:rPr>
        <w:t>Sixthly, CTL imposes more specific duties of prevention of offences than IHL</w:t>
      </w:r>
      <w:r w:rsidRPr="00EA2296">
        <w:rPr>
          <w:sz w:val="24"/>
        </w:rPr>
        <w:t xml:space="preserve">. </w:t>
      </w:r>
      <w:r w:rsidR="00EA2296" w:rsidRPr="00EA2296">
        <w:rPr>
          <w:sz w:val="24"/>
        </w:rPr>
        <w:t>Under the ICTCs, states must</w:t>
      </w:r>
      <w:r w:rsidR="00EA2296">
        <w:rPr>
          <w:sz w:val="24"/>
        </w:rPr>
        <w:t xml:space="preserve"> </w:t>
      </w:r>
      <w:r w:rsidR="00EA2296" w:rsidRPr="00EA2296">
        <w:rPr>
          <w:rFonts w:eastAsia="Times New Roman"/>
          <w:sz w:val="24"/>
          <w:lang w:eastAsia="en-AU" w:bidi="ne-NP"/>
        </w:rPr>
        <w:t>take ‘</w:t>
      </w:r>
      <w:r w:rsidR="00EA2296" w:rsidRPr="00EA2296">
        <w:rPr>
          <w:rFonts w:eastAsia="Calibri"/>
          <w:sz w:val="24"/>
        </w:rPr>
        <w:t>all practicable measures to prevent preparations’ in their territories for the commission of offences within or outside their territories, including ‘</w:t>
      </w:r>
      <w:r w:rsidR="00EA2296" w:rsidRPr="00EA2296">
        <w:rPr>
          <w:rFonts w:eastAsia="Times New Roman"/>
          <w:sz w:val="24"/>
          <w:lang w:eastAsia="en-AU"/>
        </w:rPr>
        <w:t xml:space="preserve">measures to prohibit in their territories illegal activities of persons, groups and organizations that encourage, instigate, organize or engage in the perpetration’ of offences. In addition, </w:t>
      </w:r>
      <w:r w:rsidR="00B26330">
        <w:rPr>
          <w:rFonts w:eastAsia="Times New Roman"/>
          <w:sz w:val="24"/>
          <w:lang w:eastAsia="en-AU"/>
        </w:rPr>
        <w:t xml:space="preserve">states must </w:t>
      </w:r>
      <w:r w:rsidR="00EA2296" w:rsidRPr="00EA2296">
        <w:rPr>
          <w:rFonts w:eastAsia="Calibri"/>
          <w:sz w:val="24"/>
        </w:rPr>
        <w:t>exchange information and coordinate admin</w:t>
      </w:r>
      <w:r w:rsidR="00B26330">
        <w:rPr>
          <w:rFonts w:eastAsia="Calibri"/>
          <w:sz w:val="24"/>
        </w:rPr>
        <w:t>istrative and other measures</w:t>
      </w:r>
      <w:r w:rsidR="00EA2296" w:rsidRPr="00EA2296">
        <w:rPr>
          <w:rFonts w:eastAsia="Calibri"/>
          <w:sz w:val="24"/>
        </w:rPr>
        <w:t xml:space="preserve"> to prevent offences.</w:t>
      </w:r>
      <w:r w:rsidR="00EA2296" w:rsidRPr="00EA2296">
        <w:rPr>
          <w:rFonts w:eastAsia="Times New Roman"/>
          <w:sz w:val="24"/>
          <w:lang w:eastAsia="en-AU"/>
        </w:rPr>
        <w:t xml:space="preserve"> </w:t>
      </w:r>
      <w:r w:rsidR="00EA2296">
        <w:rPr>
          <w:rFonts w:eastAsia="Times New Roman"/>
          <w:sz w:val="24"/>
          <w:lang w:eastAsia="en-AU"/>
        </w:rPr>
        <w:t>Detailed preventive obligations are also set out in resolution 1373</w:t>
      </w:r>
      <w:r w:rsidR="001B6033">
        <w:rPr>
          <w:rStyle w:val="FootnoteReference"/>
          <w:rFonts w:eastAsia="Times New Roman"/>
          <w:sz w:val="24"/>
          <w:lang w:eastAsia="en-AU"/>
        </w:rPr>
        <w:footnoteReference w:id="16"/>
      </w:r>
      <w:r w:rsidR="00EA2296">
        <w:rPr>
          <w:rFonts w:eastAsia="Times New Roman"/>
          <w:sz w:val="24"/>
          <w:lang w:eastAsia="en-AU"/>
        </w:rPr>
        <w:t xml:space="preserve"> and </w:t>
      </w:r>
      <w:r w:rsidR="00B26330">
        <w:rPr>
          <w:rFonts w:eastAsia="Times New Roman"/>
          <w:sz w:val="24"/>
          <w:lang w:eastAsia="en-AU"/>
        </w:rPr>
        <w:t>in</w:t>
      </w:r>
      <w:r w:rsidR="00EA2296">
        <w:rPr>
          <w:rFonts w:eastAsia="Times New Roman"/>
          <w:sz w:val="24"/>
          <w:lang w:eastAsia="en-AU"/>
        </w:rPr>
        <w:t xml:space="preserve"> other resolutions </w:t>
      </w:r>
      <w:r w:rsidR="00B26330">
        <w:rPr>
          <w:rFonts w:eastAsia="Times New Roman"/>
          <w:sz w:val="24"/>
          <w:lang w:eastAsia="en-AU"/>
        </w:rPr>
        <w:t>on preventing related threats</w:t>
      </w:r>
      <w:r w:rsidR="00EA2296">
        <w:rPr>
          <w:rFonts w:eastAsia="Times New Roman"/>
          <w:sz w:val="24"/>
          <w:lang w:eastAsia="en-AU"/>
        </w:rPr>
        <w:t xml:space="preserve"> such as foreign fighters. </w:t>
      </w:r>
      <w:r w:rsidR="00635C32">
        <w:rPr>
          <w:rFonts w:eastAsia="Times New Roman"/>
          <w:sz w:val="24"/>
          <w:lang w:eastAsia="en-AU"/>
        </w:rPr>
        <w:t xml:space="preserve">A whole national and inter-state machinery of prevention is thus in motion to address terrorist offences, in contrast to the </w:t>
      </w:r>
      <w:r w:rsidR="00B26330">
        <w:rPr>
          <w:rFonts w:eastAsia="Times New Roman"/>
          <w:sz w:val="24"/>
          <w:lang w:eastAsia="en-AU"/>
        </w:rPr>
        <w:t>sparser</w:t>
      </w:r>
      <w:r w:rsidR="00635C32">
        <w:rPr>
          <w:rFonts w:eastAsia="Times New Roman"/>
          <w:sz w:val="24"/>
          <w:lang w:eastAsia="en-AU"/>
        </w:rPr>
        <w:t xml:space="preserve"> aspiration in common article 1 of the Geneva Conventions to </w:t>
      </w:r>
      <w:r w:rsidR="00992D02">
        <w:rPr>
          <w:rFonts w:eastAsia="Times New Roman"/>
          <w:sz w:val="24"/>
          <w:lang w:eastAsia="en-AU"/>
        </w:rPr>
        <w:t>‘</w:t>
      </w:r>
      <w:r w:rsidR="00635C32">
        <w:rPr>
          <w:rFonts w:eastAsia="Times New Roman"/>
          <w:sz w:val="24"/>
          <w:lang w:eastAsia="en-AU"/>
        </w:rPr>
        <w:t>respect</w:t>
      </w:r>
      <w:r w:rsidR="00992D02">
        <w:rPr>
          <w:rFonts w:eastAsia="Times New Roman"/>
          <w:sz w:val="24"/>
          <w:lang w:eastAsia="en-AU"/>
        </w:rPr>
        <w:t>’</w:t>
      </w:r>
      <w:r w:rsidR="00635C32">
        <w:rPr>
          <w:rFonts w:eastAsia="Times New Roman"/>
          <w:sz w:val="24"/>
          <w:lang w:eastAsia="en-AU"/>
        </w:rPr>
        <w:t xml:space="preserve"> and </w:t>
      </w:r>
      <w:r w:rsidR="00992D02">
        <w:rPr>
          <w:rFonts w:eastAsia="Times New Roman"/>
          <w:sz w:val="24"/>
          <w:lang w:eastAsia="en-AU"/>
        </w:rPr>
        <w:t>‘</w:t>
      </w:r>
      <w:r w:rsidR="00635C32">
        <w:rPr>
          <w:rFonts w:eastAsia="Times New Roman"/>
          <w:sz w:val="24"/>
          <w:lang w:eastAsia="en-AU"/>
        </w:rPr>
        <w:t>ensure respect</w:t>
      </w:r>
      <w:r w:rsidR="00992D02">
        <w:rPr>
          <w:rFonts w:eastAsia="Times New Roman"/>
          <w:sz w:val="24"/>
          <w:lang w:eastAsia="en-AU"/>
        </w:rPr>
        <w:t>’</w:t>
      </w:r>
      <w:r w:rsidR="00635C32">
        <w:rPr>
          <w:rFonts w:eastAsia="Times New Roman"/>
          <w:sz w:val="24"/>
          <w:lang w:eastAsia="en-AU"/>
        </w:rPr>
        <w:t xml:space="preserve"> for IHL.</w:t>
      </w:r>
    </w:p>
    <w:p w14:paraId="7B49FAC7" w14:textId="77777777" w:rsidR="002721A3" w:rsidRDefault="002721A3" w:rsidP="004E7A7D">
      <w:pPr>
        <w:pStyle w:val="ListParagraph"/>
        <w:shd w:val="clear" w:color="auto" w:fill="FFFFFF" w:themeFill="background1"/>
        <w:tabs>
          <w:tab w:val="left" w:pos="851"/>
        </w:tabs>
        <w:spacing w:line="360" w:lineRule="auto"/>
        <w:ind w:left="0"/>
        <w:contextualSpacing w:val="0"/>
        <w:rPr>
          <w:sz w:val="24"/>
        </w:rPr>
      </w:pPr>
    </w:p>
    <w:p w14:paraId="404ABDC9" w14:textId="3DD6815D" w:rsidR="000078EC" w:rsidRDefault="00117B80" w:rsidP="004E7A7D">
      <w:pPr>
        <w:pStyle w:val="ListParagraph"/>
        <w:shd w:val="clear" w:color="auto" w:fill="FFFFFF" w:themeFill="background1"/>
        <w:tabs>
          <w:tab w:val="left" w:pos="851"/>
        </w:tabs>
        <w:spacing w:line="360" w:lineRule="auto"/>
        <w:ind w:left="0"/>
        <w:contextualSpacing w:val="0"/>
        <w:rPr>
          <w:sz w:val="24"/>
        </w:rPr>
      </w:pPr>
      <w:r>
        <w:rPr>
          <w:i/>
          <w:sz w:val="24"/>
        </w:rPr>
        <w:t>Seventhly</w:t>
      </w:r>
      <w:r w:rsidR="000078EC" w:rsidRPr="000078EC">
        <w:rPr>
          <w:i/>
          <w:sz w:val="24"/>
        </w:rPr>
        <w:t xml:space="preserve">, CTL </w:t>
      </w:r>
      <w:r w:rsidR="000078EC">
        <w:rPr>
          <w:i/>
          <w:sz w:val="24"/>
        </w:rPr>
        <w:t>may entail</w:t>
      </w:r>
      <w:r w:rsidR="000078EC" w:rsidRPr="000078EC">
        <w:rPr>
          <w:i/>
          <w:sz w:val="24"/>
        </w:rPr>
        <w:t xml:space="preserve"> stronger or special investigative </w:t>
      </w:r>
      <w:r w:rsidR="00B26330">
        <w:rPr>
          <w:i/>
          <w:sz w:val="24"/>
        </w:rPr>
        <w:t xml:space="preserve">or other law enforcement </w:t>
      </w:r>
      <w:r w:rsidR="000078EC" w:rsidRPr="000078EC">
        <w:rPr>
          <w:i/>
          <w:sz w:val="24"/>
        </w:rPr>
        <w:t>powers</w:t>
      </w:r>
      <w:r w:rsidR="000078EC">
        <w:rPr>
          <w:i/>
          <w:sz w:val="24"/>
        </w:rPr>
        <w:t xml:space="preserve">, </w:t>
      </w:r>
      <w:r w:rsidR="000078EC" w:rsidRPr="000078EC">
        <w:rPr>
          <w:i/>
          <w:sz w:val="24"/>
        </w:rPr>
        <w:t>compared with IHL</w:t>
      </w:r>
      <w:r w:rsidR="000078EC">
        <w:rPr>
          <w:sz w:val="24"/>
        </w:rPr>
        <w:t xml:space="preserve">. The presumed extraordinary menace of terrorism is frequently invoked to justify exceptional powers for police and intelligence agencies in relation to surveillance; stop, search and seizure; preventive freezing and confiscation of assets; lesser judicial controls (such as warrants); extended periods of pre-charge detention; modifications to bail procedures; preventive security detention; restrictive ‘control orders’; </w:t>
      </w:r>
      <w:r w:rsidR="00B26330">
        <w:rPr>
          <w:sz w:val="24"/>
        </w:rPr>
        <w:t>or</w:t>
      </w:r>
      <w:r w:rsidR="000078EC">
        <w:rPr>
          <w:sz w:val="24"/>
        </w:rPr>
        <w:t xml:space="preserve"> lower standards of proof. At trial, suspects may face modified procedures to accommodate security concerns, such as closure of courts or limited disclosure of classified information. Upon conviction, </w:t>
      </w:r>
      <w:r w:rsidR="00B26330">
        <w:rPr>
          <w:sz w:val="24"/>
        </w:rPr>
        <w:t>terrorists</w:t>
      </w:r>
      <w:r w:rsidR="000078EC">
        <w:rPr>
          <w:sz w:val="24"/>
        </w:rPr>
        <w:t xml:space="preserve"> may receive unusually lengthy sentences of imprisonment due to sentencing policies. All of this may make CTL more attractive than IHL as a way of dealing with offenders. </w:t>
      </w:r>
    </w:p>
    <w:p w14:paraId="0E5FA143" w14:textId="77777777" w:rsidR="000078EC" w:rsidRDefault="000078EC" w:rsidP="004E7A7D">
      <w:pPr>
        <w:pStyle w:val="ListParagraph"/>
        <w:shd w:val="clear" w:color="auto" w:fill="FFFFFF" w:themeFill="background1"/>
        <w:tabs>
          <w:tab w:val="left" w:pos="851"/>
        </w:tabs>
        <w:spacing w:line="360" w:lineRule="auto"/>
        <w:ind w:left="0"/>
        <w:contextualSpacing w:val="0"/>
        <w:rPr>
          <w:sz w:val="24"/>
        </w:rPr>
      </w:pPr>
    </w:p>
    <w:p w14:paraId="54652A66" w14:textId="057EF0AC" w:rsidR="00117B80" w:rsidRDefault="00117B80" w:rsidP="004E7A7D">
      <w:pPr>
        <w:pStyle w:val="ListParagraph"/>
        <w:shd w:val="clear" w:color="auto" w:fill="FFFFFF" w:themeFill="background1"/>
        <w:tabs>
          <w:tab w:val="left" w:pos="851"/>
        </w:tabs>
        <w:spacing w:line="360" w:lineRule="auto"/>
        <w:ind w:left="0"/>
        <w:contextualSpacing w:val="0"/>
        <w:rPr>
          <w:sz w:val="24"/>
        </w:rPr>
      </w:pPr>
      <w:r w:rsidRPr="00117B80">
        <w:rPr>
          <w:i/>
          <w:sz w:val="24"/>
        </w:rPr>
        <w:lastRenderedPageBreak/>
        <w:t>Finally, there may be an important expressive dimension to labelling conduct as terrorist</w:t>
      </w:r>
      <w:r>
        <w:rPr>
          <w:sz w:val="24"/>
        </w:rPr>
        <w:t xml:space="preserve"> rather than as a (mere) IHL violation or even a war crime. The term ‘terrorism’ has a powerful stigmatizing and denunciatory effect in the public imagination; it conjures up a particular kind of grave criminality – not necessarily worse than a war crime, but reflecting different injured interests. The General Assembly and Security Council </w:t>
      </w:r>
      <w:r w:rsidR="00B26330">
        <w:rPr>
          <w:sz w:val="24"/>
        </w:rPr>
        <w:t xml:space="preserve">have </w:t>
      </w:r>
      <w:r>
        <w:rPr>
          <w:sz w:val="24"/>
        </w:rPr>
        <w:t>routinely condemn</w:t>
      </w:r>
      <w:r w:rsidR="00B26330">
        <w:rPr>
          <w:sz w:val="24"/>
        </w:rPr>
        <w:t>ed</w:t>
      </w:r>
      <w:r>
        <w:rPr>
          <w:sz w:val="24"/>
        </w:rPr>
        <w:t xml:space="preserve"> terrorism as a threat to international </w:t>
      </w:r>
      <w:r w:rsidR="00B26330">
        <w:rPr>
          <w:sz w:val="24"/>
        </w:rPr>
        <w:t>security, human rights</w:t>
      </w:r>
      <w:r>
        <w:rPr>
          <w:sz w:val="24"/>
        </w:rPr>
        <w:t>, and stable governance.</w:t>
      </w:r>
      <w:r w:rsidR="00B26330">
        <w:rPr>
          <w:rStyle w:val="FootnoteReference"/>
          <w:sz w:val="24"/>
        </w:rPr>
        <w:footnoteReference w:id="17"/>
      </w:r>
      <w:r>
        <w:rPr>
          <w:sz w:val="24"/>
        </w:rPr>
        <w:t xml:space="preserve"> To be sure, war crimes may also injure some or many of these; but the special character of terrorism is </w:t>
      </w:r>
      <w:r w:rsidR="00B26330">
        <w:rPr>
          <w:sz w:val="24"/>
        </w:rPr>
        <w:t>still</w:t>
      </w:r>
      <w:r>
        <w:rPr>
          <w:sz w:val="24"/>
        </w:rPr>
        <w:t xml:space="preserve"> thought to justify special measures </w:t>
      </w:r>
      <w:r w:rsidR="00B26330">
        <w:rPr>
          <w:sz w:val="24"/>
        </w:rPr>
        <w:t>even – indeed particularly – in armed conflict</w:t>
      </w:r>
      <w:r>
        <w:rPr>
          <w:sz w:val="24"/>
        </w:rPr>
        <w:t>.</w:t>
      </w:r>
    </w:p>
    <w:p w14:paraId="750C1506" w14:textId="77777777" w:rsidR="007F7959" w:rsidRDefault="007F7959" w:rsidP="004E7A7D">
      <w:pPr>
        <w:pStyle w:val="ListParagraph"/>
        <w:shd w:val="clear" w:color="auto" w:fill="FFFFFF" w:themeFill="background1"/>
        <w:tabs>
          <w:tab w:val="left" w:pos="851"/>
        </w:tabs>
        <w:spacing w:line="360" w:lineRule="auto"/>
        <w:ind w:left="0"/>
        <w:contextualSpacing w:val="0"/>
        <w:rPr>
          <w:sz w:val="24"/>
        </w:rPr>
      </w:pPr>
    </w:p>
    <w:p w14:paraId="27E3C9F9" w14:textId="13D1C1C6" w:rsidR="003F1390" w:rsidRPr="003F1390" w:rsidRDefault="00942910" w:rsidP="004E7A7D">
      <w:pPr>
        <w:pStyle w:val="ListParagraph"/>
        <w:shd w:val="clear" w:color="auto" w:fill="FFFFFF" w:themeFill="background1"/>
        <w:tabs>
          <w:tab w:val="left" w:pos="851"/>
        </w:tabs>
        <w:spacing w:line="360" w:lineRule="auto"/>
        <w:ind w:left="0"/>
        <w:contextualSpacing w:val="0"/>
        <w:rPr>
          <w:b/>
          <w:sz w:val="24"/>
        </w:rPr>
      </w:pPr>
      <w:r>
        <w:rPr>
          <w:b/>
          <w:sz w:val="24"/>
        </w:rPr>
        <w:t>3</w:t>
      </w:r>
      <w:r>
        <w:rPr>
          <w:b/>
          <w:sz w:val="24"/>
        </w:rPr>
        <w:tab/>
      </w:r>
      <w:r w:rsidR="003F1390" w:rsidRPr="003F1390">
        <w:rPr>
          <w:b/>
          <w:sz w:val="24"/>
        </w:rPr>
        <w:t>Disadvantages of Co-Application</w:t>
      </w:r>
    </w:p>
    <w:p w14:paraId="68C80C74" w14:textId="77777777" w:rsidR="003F1390" w:rsidRDefault="003F1390" w:rsidP="004E7A7D">
      <w:pPr>
        <w:pStyle w:val="ListParagraph"/>
        <w:shd w:val="clear" w:color="auto" w:fill="FFFFFF" w:themeFill="background1"/>
        <w:tabs>
          <w:tab w:val="left" w:pos="851"/>
        </w:tabs>
        <w:spacing w:line="360" w:lineRule="auto"/>
        <w:ind w:left="0"/>
        <w:contextualSpacing w:val="0"/>
        <w:rPr>
          <w:sz w:val="24"/>
        </w:rPr>
      </w:pPr>
    </w:p>
    <w:p w14:paraId="25F65CA8" w14:textId="06724603" w:rsidR="00EA1DCA" w:rsidRDefault="00E10CC4" w:rsidP="004E7A7D">
      <w:pPr>
        <w:pStyle w:val="ListParagraph"/>
        <w:shd w:val="clear" w:color="auto" w:fill="FFFFFF" w:themeFill="background1"/>
        <w:tabs>
          <w:tab w:val="left" w:pos="851"/>
        </w:tabs>
        <w:spacing w:line="360" w:lineRule="auto"/>
        <w:ind w:left="0"/>
        <w:contextualSpacing w:val="0"/>
        <w:rPr>
          <w:sz w:val="24"/>
        </w:rPr>
      </w:pPr>
      <w:r>
        <w:rPr>
          <w:sz w:val="24"/>
        </w:rPr>
        <w:t>What are the disa</w:t>
      </w:r>
      <w:r w:rsidR="008A0980">
        <w:rPr>
          <w:sz w:val="24"/>
        </w:rPr>
        <w:t xml:space="preserve">dvantages of the co-application </w:t>
      </w:r>
      <w:r>
        <w:rPr>
          <w:sz w:val="24"/>
        </w:rPr>
        <w:t xml:space="preserve">of CTL? </w:t>
      </w:r>
      <w:r w:rsidR="008A0980">
        <w:rPr>
          <w:sz w:val="24"/>
        </w:rPr>
        <w:t xml:space="preserve">There are legal and policy considerations. </w:t>
      </w:r>
      <w:r w:rsidR="00B4225E">
        <w:rPr>
          <w:sz w:val="24"/>
        </w:rPr>
        <w:t xml:space="preserve">First, </w:t>
      </w:r>
      <w:r w:rsidR="00117B80">
        <w:rPr>
          <w:sz w:val="24"/>
        </w:rPr>
        <w:t xml:space="preserve">where CTL and war crimes prohibit the same conduct, </w:t>
      </w:r>
      <w:r w:rsidR="00F500DD">
        <w:rPr>
          <w:sz w:val="24"/>
        </w:rPr>
        <w:t xml:space="preserve">CTL may seem unobjectionable because it simply reinforces IHL, as where both criminalize attacks on civilians. Even in this best case, however, war crimes </w:t>
      </w:r>
      <w:r w:rsidR="00117B80">
        <w:rPr>
          <w:sz w:val="24"/>
        </w:rPr>
        <w:t xml:space="preserve">may be </w:t>
      </w:r>
      <w:r w:rsidR="00EA1DCA">
        <w:rPr>
          <w:sz w:val="24"/>
        </w:rPr>
        <w:t xml:space="preserve">a </w:t>
      </w:r>
      <w:r w:rsidR="00117B80">
        <w:rPr>
          <w:sz w:val="24"/>
        </w:rPr>
        <w:t xml:space="preserve">preferable paradigm precisely because </w:t>
      </w:r>
      <w:r w:rsidR="00F500DD">
        <w:rPr>
          <w:sz w:val="24"/>
        </w:rPr>
        <w:t>they</w:t>
      </w:r>
      <w:r w:rsidR="00117B80">
        <w:rPr>
          <w:sz w:val="24"/>
        </w:rPr>
        <w:t xml:space="preserve"> are crimes under customary international law and </w:t>
      </w:r>
      <w:r w:rsidR="00EA1DCA">
        <w:rPr>
          <w:sz w:val="24"/>
        </w:rPr>
        <w:t>their manifest</w:t>
      </w:r>
      <w:r w:rsidR="00117B80">
        <w:rPr>
          <w:sz w:val="24"/>
        </w:rPr>
        <w:t xml:space="preserve"> </w:t>
      </w:r>
      <w:r w:rsidR="00B26330">
        <w:rPr>
          <w:sz w:val="24"/>
        </w:rPr>
        <w:t>gravity</w:t>
      </w:r>
      <w:r w:rsidR="00117B80">
        <w:rPr>
          <w:sz w:val="24"/>
        </w:rPr>
        <w:t xml:space="preserve"> is much longer and firmly established than newer, more indeterminate</w:t>
      </w:r>
      <w:r w:rsidR="00B26330">
        <w:rPr>
          <w:sz w:val="24"/>
        </w:rPr>
        <w:t xml:space="preserve"> national</w:t>
      </w:r>
      <w:r w:rsidR="00117B80">
        <w:rPr>
          <w:sz w:val="24"/>
        </w:rPr>
        <w:t xml:space="preserve"> terrorism offences (particularly those arising from undefi</w:t>
      </w:r>
      <w:r w:rsidR="00B26330">
        <w:rPr>
          <w:sz w:val="24"/>
        </w:rPr>
        <w:t>ned Security Council standards, and which often raise human rights objections</w:t>
      </w:r>
      <w:r w:rsidR="00117B80">
        <w:rPr>
          <w:sz w:val="24"/>
        </w:rPr>
        <w:t xml:space="preserve">). </w:t>
      </w:r>
    </w:p>
    <w:p w14:paraId="6FA4790C" w14:textId="77777777" w:rsidR="00EA1DCA" w:rsidRDefault="00EA1DCA" w:rsidP="004E7A7D">
      <w:pPr>
        <w:pStyle w:val="ListParagraph"/>
        <w:shd w:val="clear" w:color="auto" w:fill="FFFFFF" w:themeFill="background1"/>
        <w:tabs>
          <w:tab w:val="left" w:pos="851"/>
        </w:tabs>
        <w:spacing w:line="360" w:lineRule="auto"/>
        <w:ind w:left="0"/>
        <w:contextualSpacing w:val="0"/>
        <w:rPr>
          <w:sz w:val="24"/>
        </w:rPr>
      </w:pPr>
    </w:p>
    <w:p w14:paraId="048EF72A" w14:textId="1843EBCB" w:rsidR="00117B80" w:rsidRDefault="00117B80" w:rsidP="004E7A7D">
      <w:pPr>
        <w:pStyle w:val="ListParagraph"/>
        <w:shd w:val="clear" w:color="auto" w:fill="FFFFFF" w:themeFill="background1"/>
        <w:tabs>
          <w:tab w:val="left" w:pos="851"/>
        </w:tabs>
        <w:spacing w:line="360" w:lineRule="auto"/>
        <w:ind w:left="0"/>
        <w:contextualSpacing w:val="0"/>
        <w:rPr>
          <w:sz w:val="24"/>
        </w:rPr>
      </w:pPr>
      <w:r>
        <w:rPr>
          <w:sz w:val="24"/>
        </w:rPr>
        <w:t>Further, labelli</w:t>
      </w:r>
      <w:r w:rsidR="00EA1DCA">
        <w:rPr>
          <w:sz w:val="24"/>
        </w:rPr>
        <w:t xml:space="preserve">ng conduct as a war crime has a unique </w:t>
      </w:r>
      <w:r>
        <w:rPr>
          <w:sz w:val="24"/>
        </w:rPr>
        <w:t xml:space="preserve">expressive power of its own – more </w:t>
      </w:r>
      <w:r w:rsidR="00527C5A">
        <w:rPr>
          <w:sz w:val="24"/>
        </w:rPr>
        <w:t>universal and</w:t>
      </w:r>
      <w:r>
        <w:rPr>
          <w:sz w:val="24"/>
        </w:rPr>
        <w:t xml:space="preserve"> less political</w:t>
      </w:r>
      <w:r w:rsidR="00527C5A">
        <w:rPr>
          <w:sz w:val="24"/>
        </w:rPr>
        <w:t xml:space="preserve"> than terrorism</w:t>
      </w:r>
      <w:r w:rsidR="00EA1DCA">
        <w:rPr>
          <w:sz w:val="24"/>
        </w:rPr>
        <w:t>, and widely understood as entailing grave criminality</w:t>
      </w:r>
      <w:r w:rsidR="00527C5A">
        <w:rPr>
          <w:sz w:val="24"/>
        </w:rPr>
        <w:t xml:space="preserve">. </w:t>
      </w:r>
      <w:r w:rsidR="00206F3B" w:rsidRPr="00206F3B">
        <w:rPr>
          <w:sz w:val="24"/>
        </w:rPr>
        <w:t xml:space="preserve">Certainly where a war crime has an element additional to an </w:t>
      </w:r>
      <w:r w:rsidR="00B26330">
        <w:rPr>
          <w:sz w:val="24"/>
        </w:rPr>
        <w:t>terrorist</w:t>
      </w:r>
      <w:r w:rsidR="00206F3B" w:rsidRPr="00206F3B">
        <w:rPr>
          <w:sz w:val="24"/>
        </w:rPr>
        <w:t xml:space="preserve"> offence, it must be prosecuted as a war crime. </w:t>
      </w:r>
      <w:r w:rsidR="00527C5A" w:rsidRPr="00206F3B">
        <w:rPr>
          <w:sz w:val="24"/>
        </w:rPr>
        <w:t>War crimes attract</w:t>
      </w:r>
      <w:r>
        <w:rPr>
          <w:sz w:val="24"/>
        </w:rPr>
        <w:t xml:space="preserve"> universal jurisdiction</w:t>
      </w:r>
      <w:r w:rsidR="00527C5A">
        <w:rPr>
          <w:sz w:val="24"/>
        </w:rPr>
        <w:t xml:space="preserve">, unlike </w:t>
      </w:r>
      <w:r w:rsidR="00206F3B">
        <w:rPr>
          <w:sz w:val="24"/>
        </w:rPr>
        <w:t xml:space="preserve">the possibly more limited extraterritorial ambit of </w:t>
      </w:r>
      <w:r w:rsidR="00527C5A">
        <w:rPr>
          <w:sz w:val="24"/>
        </w:rPr>
        <w:t>terrorism</w:t>
      </w:r>
      <w:r w:rsidR="00206F3B">
        <w:rPr>
          <w:sz w:val="24"/>
        </w:rPr>
        <w:t xml:space="preserve"> offences</w:t>
      </w:r>
      <w:r w:rsidR="00B26330">
        <w:rPr>
          <w:sz w:val="24"/>
        </w:rPr>
        <w:t>.</w:t>
      </w:r>
      <w:r w:rsidR="00527C5A">
        <w:rPr>
          <w:sz w:val="24"/>
        </w:rPr>
        <w:t xml:space="preserve"> </w:t>
      </w:r>
      <w:r w:rsidR="00B26330">
        <w:rPr>
          <w:sz w:val="24"/>
        </w:rPr>
        <w:t>T</w:t>
      </w:r>
      <w:r w:rsidR="00EA1DCA">
        <w:rPr>
          <w:sz w:val="24"/>
        </w:rPr>
        <w:t>here is rich body of common international jurisprudence</w:t>
      </w:r>
      <w:r w:rsidR="00DA1DEF">
        <w:rPr>
          <w:sz w:val="24"/>
        </w:rPr>
        <w:t xml:space="preserve"> on war crimes</w:t>
      </w:r>
      <w:r w:rsidR="00EA1DCA">
        <w:rPr>
          <w:sz w:val="24"/>
        </w:rPr>
        <w:t xml:space="preserve">, unlike the much more jurisdiction-specific case law and parochial national and regional practices </w:t>
      </w:r>
      <w:r w:rsidR="00DA1DEF">
        <w:rPr>
          <w:sz w:val="24"/>
        </w:rPr>
        <w:t>on terrorism. Unlike terrorism, war crimes also</w:t>
      </w:r>
      <w:r w:rsidR="00EA1DCA">
        <w:rPr>
          <w:sz w:val="24"/>
        </w:rPr>
        <w:t xml:space="preserve"> </w:t>
      </w:r>
      <w:r w:rsidR="00527C5A">
        <w:rPr>
          <w:sz w:val="24"/>
        </w:rPr>
        <w:t xml:space="preserve">potentially engage </w:t>
      </w:r>
      <w:r>
        <w:rPr>
          <w:sz w:val="24"/>
        </w:rPr>
        <w:t xml:space="preserve">international </w:t>
      </w:r>
      <w:r w:rsidR="00527C5A">
        <w:rPr>
          <w:sz w:val="24"/>
        </w:rPr>
        <w:t xml:space="preserve">jurisdiction </w:t>
      </w:r>
      <w:r w:rsidR="00DA1DEF">
        <w:rPr>
          <w:sz w:val="24"/>
        </w:rPr>
        <w:t>(</w:t>
      </w:r>
      <w:r w:rsidR="00527C5A">
        <w:rPr>
          <w:sz w:val="24"/>
        </w:rPr>
        <w:t>of</w:t>
      </w:r>
      <w:r>
        <w:rPr>
          <w:sz w:val="24"/>
        </w:rPr>
        <w:t xml:space="preserve"> th</w:t>
      </w:r>
      <w:r w:rsidR="00DA1DEF">
        <w:rPr>
          <w:sz w:val="24"/>
        </w:rPr>
        <w:t>e International Criminal Court), as well as special IHL mechanisms (such as the International Fact Finding Commission).</w:t>
      </w:r>
    </w:p>
    <w:p w14:paraId="70B92AC4" w14:textId="77777777" w:rsidR="00EA1DCA" w:rsidRDefault="00EA1DCA" w:rsidP="004E7A7D">
      <w:pPr>
        <w:pStyle w:val="ListParagraph"/>
        <w:shd w:val="clear" w:color="auto" w:fill="FFFFFF" w:themeFill="background1"/>
        <w:tabs>
          <w:tab w:val="left" w:pos="851"/>
        </w:tabs>
        <w:spacing w:line="360" w:lineRule="auto"/>
        <w:ind w:left="0"/>
        <w:contextualSpacing w:val="0"/>
        <w:rPr>
          <w:sz w:val="24"/>
        </w:rPr>
      </w:pPr>
    </w:p>
    <w:p w14:paraId="0AAA96B2" w14:textId="0C8DEF7D" w:rsidR="00EA1DCA" w:rsidRDefault="00EA1DCA" w:rsidP="004E7A7D">
      <w:pPr>
        <w:pStyle w:val="ListParagraph"/>
        <w:shd w:val="clear" w:color="auto" w:fill="FFFFFF" w:themeFill="background1"/>
        <w:tabs>
          <w:tab w:val="left" w:pos="851"/>
        </w:tabs>
        <w:spacing w:line="360" w:lineRule="auto"/>
        <w:ind w:left="0"/>
        <w:contextualSpacing w:val="0"/>
        <w:rPr>
          <w:sz w:val="24"/>
        </w:rPr>
      </w:pPr>
      <w:r>
        <w:rPr>
          <w:sz w:val="24"/>
        </w:rPr>
        <w:t>Secondly, IHL was developed as a (largely) self-contained regime based on the best attainable (albeit not necessarily the best) compr</w:t>
      </w:r>
      <w:r w:rsidR="00DA1DEF">
        <w:rPr>
          <w:sz w:val="24"/>
        </w:rPr>
        <w:t>om</w:t>
      </w:r>
      <w:r>
        <w:rPr>
          <w:sz w:val="24"/>
        </w:rPr>
        <w:t xml:space="preserve">ises between military necessity and humanitarian </w:t>
      </w:r>
      <w:r>
        <w:rPr>
          <w:sz w:val="24"/>
        </w:rPr>
        <w:lastRenderedPageBreak/>
        <w:t xml:space="preserve">protection. Interposing extraneous bodies of law, without due regard for the carefully negotiated balancing within IHL, has the potential to undermine essential interests of the belligerents and </w:t>
      </w:r>
      <w:r w:rsidR="00DA1DEF">
        <w:rPr>
          <w:sz w:val="24"/>
        </w:rPr>
        <w:t xml:space="preserve">thus </w:t>
      </w:r>
      <w:r>
        <w:rPr>
          <w:sz w:val="24"/>
        </w:rPr>
        <w:t xml:space="preserve">compliance with IHL. </w:t>
      </w:r>
    </w:p>
    <w:p w14:paraId="2C0AD6B9" w14:textId="77777777" w:rsidR="00117B80" w:rsidRDefault="00117B80" w:rsidP="004E7A7D">
      <w:pPr>
        <w:pStyle w:val="ListParagraph"/>
        <w:shd w:val="clear" w:color="auto" w:fill="FFFFFF" w:themeFill="background1"/>
        <w:tabs>
          <w:tab w:val="left" w:pos="851"/>
        </w:tabs>
        <w:spacing w:line="360" w:lineRule="auto"/>
        <w:ind w:left="0"/>
        <w:contextualSpacing w:val="0"/>
        <w:rPr>
          <w:sz w:val="24"/>
        </w:rPr>
      </w:pPr>
    </w:p>
    <w:p w14:paraId="3AC1ACCB" w14:textId="6F753F24" w:rsidR="00B4225E" w:rsidRDefault="00B4225E" w:rsidP="004E7A7D">
      <w:pPr>
        <w:pStyle w:val="ListParagraph"/>
        <w:shd w:val="clear" w:color="auto" w:fill="FFFFFF" w:themeFill="background1"/>
        <w:tabs>
          <w:tab w:val="left" w:pos="851"/>
        </w:tabs>
        <w:spacing w:line="360" w:lineRule="auto"/>
        <w:ind w:left="0"/>
        <w:contextualSpacing w:val="0"/>
        <w:rPr>
          <w:sz w:val="24"/>
        </w:rPr>
      </w:pPr>
      <w:r>
        <w:rPr>
          <w:sz w:val="24"/>
        </w:rPr>
        <w:t xml:space="preserve">For example, CTL would collide with IHL if it criminalized lawful attacks by state forces in IAC, thereby </w:t>
      </w:r>
      <w:r w:rsidR="00DA1DEF">
        <w:rPr>
          <w:sz w:val="24"/>
        </w:rPr>
        <w:t xml:space="preserve">overriding combatant </w:t>
      </w:r>
      <w:r>
        <w:rPr>
          <w:sz w:val="24"/>
        </w:rPr>
        <w:t xml:space="preserve">immunity. Likewise there would be conflict if CTL criminalized </w:t>
      </w:r>
      <w:r w:rsidR="0042561D">
        <w:rPr>
          <w:sz w:val="24"/>
        </w:rPr>
        <w:t xml:space="preserve">or impeded </w:t>
      </w:r>
      <w:r>
        <w:rPr>
          <w:sz w:val="24"/>
        </w:rPr>
        <w:t>the impartial provision humanitarian relief to civilia</w:t>
      </w:r>
      <w:r w:rsidR="00EA1DCA">
        <w:rPr>
          <w:sz w:val="24"/>
        </w:rPr>
        <w:t>ns</w:t>
      </w:r>
      <w:r w:rsidR="00DA1DEF">
        <w:rPr>
          <w:sz w:val="24"/>
        </w:rPr>
        <w:t>.</w:t>
      </w:r>
      <w:r w:rsidR="0042561D">
        <w:rPr>
          <w:rStyle w:val="FootnoteReference"/>
          <w:sz w:val="24"/>
        </w:rPr>
        <w:footnoteReference w:id="18"/>
      </w:r>
      <w:r w:rsidR="00EA1DCA">
        <w:rPr>
          <w:sz w:val="24"/>
        </w:rPr>
        <w:t xml:space="preserve"> </w:t>
      </w:r>
      <w:r>
        <w:rPr>
          <w:sz w:val="24"/>
        </w:rPr>
        <w:t xml:space="preserve">If CTL offences prime facie apply to such conduct, some means is </w:t>
      </w:r>
      <w:r w:rsidR="00EA1DCA">
        <w:rPr>
          <w:sz w:val="24"/>
        </w:rPr>
        <w:t>needed</w:t>
      </w:r>
      <w:r>
        <w:rPr>
          <w:sz w:val="24"/>
        </w:rPr>
        <w:t xml:space="preserve"> to satisfactorily resolve the conflict, whether through </w:t>
      </w:r>
      <w:r w:rsidR="00EA1DCA">
        <w:rPr>
          <w:sz w:val="24"/>
        </w:rPr>
        <w:t xml:space="preserve">(i) </w:t>
      </w:r>
      <w:r>
        <w:rPr>
          <w:sz w:val="24"/>
        </w:rPr>
        <w:t xml:space="preserve">harmonious interpretation of the two rules; </w:t>
      </w:r>
      <w:r w:rsidR="00EA1DCA">
        <w:rPr>
          <w:sz w:val="24"/>
        </w:rPr>
        <w:t xml:space="preserve">(ii) </w:t>
      </w:r>
      <w:r>
        <w:rPr>
          <w:sz w:val="24"/>
        </w:rPr>
        <w:t xml:space="preserve">regarding one or other rule as </w:t>
      </w:r>
      <w:r w:rsidRPr="00B4225E">
        <w:rPr>
          <w:i/>
          <w:sz w:val="24"/>
        </w:rPr>
        <w:t>lex specialis</w:t>
      </w:r>
      <w:r>
        <w:rPr>
          <w:sz w:val="24"/>
        </w:rPr>
        <w:t xml:space="preserve">; </w:t>
      </w:r>
      <w:r w:rsidR="00EA1DCA">
        <w:rPr>
          <w:sz w:val="24"/>
        </w:rPr>
        <w:t>(</w:t>
      </w:r>
      <w:r w:rsidR="00EA1DCA" w:rsidRPr="0042561D">
        <w:rPr>
          <w:sz w:val="24"/>
        </w:rPr>
        <w:t xml:space="preserve">iii) </w:t>
      </w:r>
      <w:r w:rsidRPr="0042561D">
        <w:rPr>
          <w:sz w:val="24"/>
        </w:rPr>
        <w:t xml:space="preserve">incorporating an exception into the CTL norm; or </w:t>
      </w:r>
      <w:r w:rsidR="00EA1DCA" w:rsidRPr="0042561D">
        <w:rPr>
          <w:sz w:val="24"/>
        </w:rPr>
        <w:t xml:space="preserve">(iv) </w:t>
      </w:r>
      <w:r w:rsidRPr="0042561D">
        <w:rPr>
          <w:sz w:val="24"/>
        </w:rPr>
        <w:t>(unsatisfactorily) relying on informal means such as prosecutorial discretion. These techniques are considered further below.</w:t>
      </w:r>
      <w:r>
        <w:rPr>
          <w:sz w:val="24"/>
        </w:rPr>
        <w:t xml:space="preserve"> </w:t>
      </w:r>
    </w:p>
    <w:p w14:paraId="0C65FAE6" w14:textId="77777777" w:rsidR="00B84D42" w:rsidRDefault="00B84D42" w:rsidP="004E7A7D">
      <w:pPr>
        <w:pStyle w:val="ListParagraph"/>
        <w:shd w:val="clear" w:color="auto" w:fill="FFFFFF" w:themeFill="background1"/>
        <w:tabs>
          <w:tab w:val="left" w:pos="851"/>
        </w:tabs>
        <w:spacing w:line="360" w:lineRule="auto"/>
        <w:ind w:left="0"/>
        <w:contextualSpacing w:val="0"/>
        <w:rPr>
          <w:sz w:val="24"/>
        </w:rPr>
      </w:pPr>
    </w:p>
    <w:p w14:paraId="1B0AD997" w14:textId="5AD28A7A" w:rsidR="00C725EB" w:rsidRPr="006D2421" w:rsidRDefault="00EA1DCA" w:rsidP="00C725EB">
      <w:pPr>
        <w:pStyle w:val="ListParagraph"/>
        <w:shd w:val="clear" w:color="auto" w:fill="FFFFFF" w:themeFill="background1"/>
        <w:tabs>
          <w:tab w:val="left" w:pos="851"/>
        </w:tabs>
        <w:spacing w:line="360" w:lineRule="auto"/>
        <w:ind w:left="0"/>
        <w:contextualSpacing w:val="0"/>
        <w:rPr>
          <w:sz w:val="24"/>
        </w:rPr>
      </w:pPr>
      <w:r>
        <w:rPr>
          <w:sz w:val="24"/>
        </w:rPr>
        <w:t>Thirdly</w:t>
      </w:r>
      <w:r w:rsidR="00B4225E">
        <w:rPr>
          <w:sz w:val="24"/>
        </w:rPr>
        <w:t xml:space="preserve">, even where </w:t>
      </w:r>
      <w:r>
        <w:rPr>
          <w:sz w:val="24"/>
        </w:rPr>
        <w:t>there is no direct, forma</w:t>
      </w:r>
      <w:r w:rsidR="00D57AC8">
        <w:rPr>
          <w:sz w:val="24"/>
        </w:rPr>
        <w:t xml:space="preserve">l legal conflict between CTL and IHL rules, CTL measures may undermine policy interests inherent </w:t>
      </w:r>
      <w:r w:rsidR="00DA1DEF">
        <w:rPr>
          <w:sz w:val="24"/>
        </w:rPr>
        <w:t>in</w:t>
      </w:r>
      <w:r w:rsidR="00D57AC8">
        <w:rPr>
          <w:sz w:val="24"/>
        </w:rPr>
        <w:t xml:space="preserve"> IHL. For example, IHL neither authorizes nor prohibits civilian DPH</w:t>
      </w:r>
      <w:r w:rsidR="00DA1DEF">
        <w:rPr>
          <w:sz w:val="24"/>
        </w:rPr>
        <w:t xml:space="preserve"> (including CCF by members of armed groups_</w:t>
      </w:r>
      <w:r w:rsidR="00D57AC8">
        <w:rPr>
          <w:sz w:val="24"/>
        </w:rPr>
        <w:t>, but regulates its consequences</w:t>
      </w:r>
      <w:r w:rsidR="00DA1DEF">
        <w:rPr>
          <w:sz w:val="24"/>
        </w:rPr>
        <w:t>.</w:t>
      </w:r>
      <w:r w:rsidR="00D57AC8">
        <w:rPr>
          <w:sz w:val="24"/>
        </w:rPr>
        <w:t xml:space="preserve"> </w:t>
      </w:r>
      <w:r w:rsidR="00643F6C">
        <w:rPr>
          <w:sz w:val="24"/>
        </w:rPr>
        <w:t>CTL may</w:t>
      </w:r>
      <w:r w:rsidR="0042561D">
        <w:rPr>
          <w:sz w:val="24"/>
        </w:rPr>
        <w:t>, however,</w:t>
      </w:r>
      <w:r w:rsidR="00643F6C">
        <w:rPr>
          <w:sz w:val="24"/>
        </w:rPr>
        <w:t xml:space="preserve"> criminalize such conduct regardless whether it otherwise complies with IHL</w:t>
      </w:r>
      <w:r w:rsidR="00DA1DEF">
        <w:rPr>
          <w:sz w:val="24"/>
        </w:rPr>
        <w:t xml:space="preserve"> on the conduct of hostilities</w:t>
      </w:r>
      <w:r w:rsidR="00643F6C">
        <w:rPr>
          <w:sz w:val="24"/>
        </w:rPr>
        <w:t xml:space="preserve">, as where armed groups attack </w:t>
      </w:r>
      <w:r w:rsidR="00DA1DEF">
        <w:rPr>
          <w:sz w:val="24"/>
        </w:rPr>
        <w:t xml:space="preserve">only </w:t>
      </w:r>
      <w:r w:rsidR="00643F6C">
        <w:rPr>
          <w:sz w:val="24"/>
        </w:rPr>
        <w:t xml:space="preserve">military objectives, avoid excessive civilian casualties, and use lawful means and methods of war. Such </w:t>
      </w:r>
      <w:r w:rsidR="00D57AC8">
        <w:rPr>
          <w:sz w:val="24"/>
        </w:rPr>
        <w:t xml:space="preserve">CTL offences cannot </w:t>
      </w:r>
      <w:r w:rsidR="00643F6C">
        <w:rPr>
          <w:sz w:val="24"/>
        </w:rPr>
        <w:t xml:space="preserve">technically </w:t>
      </w:r>
      <w:r w:rsidR="00D57AC8">
        <w:rPr>
          <w:sz w:val="24"/>
        </w:rPr>
        <w:t xml:space="preserve">conflict with IHL, since </w:t>
      </w:r>
      <w:r w:rsidR="00643F6C">
        <w:rPr>
          <w:sz w:val="24"/>
        </w:rPr>
        <w:t xml:space="preserve">the conduct is not </w:t>
      </w:r>
      <w:r w:rsidR="00DA1DEF">
        <w:rPr>
          <w:sz w:val="24"/>
        </w:rPr>
        <w:t>authorized</w:t>
      </w:r>
      <w:r w:rsidR="00643F6C">
        <w:rPr>
          <w:sz w:val="24"/>
        </w:rPr>
        <w:t xml:space="preserve"> under IHL</w:t>
      </w:r>
      <w:r w:rsidR="00643F6C" w:rsidRPr="00C725EB">
        <w:rPr>
          <w:sz w:val="24"/>
        </w:rPr>
        <w:t>. T</w:t>
      </w:r>
      <w:r w:rsidR="00D57AC8" w:rsidRPr="00C725EB">
        <w:rPr>
          <w:sz w:val="24"/>
        </w:rPr>
        <w:t xml:space="preserve">o the contrary, IHL permits states parties to criminalize civilian DPH, </w:t>
      </w:r>
      <w:r w:rsidR="00643F6C" w:rsidRPr="00C725EB">
        <w:rPr>
          <w:sz w:val="24"/>
        </w:rPr>
        <w:t>whether</w:t>
      </w:r>
      <w:r w:rsidR="00D57AC8" w:rsidRPr="00C725EB">
        <w:rPr>
          <w:sz w:val="24"/>
        </w:rPr>
        <w:t xml:space="preserve"> under the occupier’s security laws in occupied territory,</w:t>
      </w:r>
      <w:r w:rsidR="00643F6C" w:rsidRPr="00C725EB">
        <w:rPr>
          <w:rStyle w:val="FootnoteReference"/>
          <w:sz w:val="24"/>
        </w:rPr>
        <w:footnoteReference w:id="19"/>
      </w:r>
      <w:r w:rsidR="00D57AC8" w:rsidRPr="00C725EB">
        <w:rPr>
          <w:sz w:val="24"/>
        </w:rPr>
        <w:t xml:space="preserve"> or under national law in NIAC. At most, IHL encourages states to confer the widest possible amnesty at the end of a conflict for acts which did not violate IHL.</w:t>
      </w:r>
      <w:r w:rsidR="00C725EB" w:rsidRPr="00C725EB">
        <w:rPr>
          <w:sz w:val="24"/>
        </w:rPr>
        <w:t xml:space="preserve"> In this sense, the incentives for armed groups to comply with IHL have always been very limited, resulting from states’ concerns to protect their sovereign right to restore law and order in their territories.</w:t>
      </w:r>
      <w:r w:rsidR="00C725EB" w:rsidRPr="006D2421">
        <w:rPr>
          <w:sz w:val="24"/>
        </w:rPr>
        <w:t xml:space="preserve"> </w:t>
      </w:r>
    </w:p>
    <w:p w14:paraId="441CC174" w14:textId="79DB22DE" w:rsidR="00D57AC8" w:rsidRDefault="00D57AC8" w:rsidP="004E7A7D">
      <w:pPr>
        <w:pStyle w:val="ListParagraph"/>
        <w:shd w:val="clear" w:color="auto" w:fill="FFFFFF" w:themeFill="background1"/>
        <w:tabs>
          <w:tab w:val="left" w:pos="851"/>
        </w:tabs>
        <w:spacing w:line="360" w:lineRule="auto"/>
        <w:ind w:left="0"/>
        <w:contextualSpacing w:val="0"/>
        <w:rPr>
          <w:sz w:val="24"/>
        </w:rPr>
      </w:pPr>
      <w:r>
        <w:rPr>
          <w:sz w:val="24"/>
        </w:rPr>
        <w:br/>
        <w:t xml:space="preserve">The question </w:t>
      </w:r>
      <w:r w:rsidR="00643F6C">
        <w:rPr>
          <w:sz w:val="24"/>
        </w:rPr>
        <w:t xml:space="preserve">then </w:t>
      </w:r>
      <w:r>
        <w:rPr>
          <w:sz w:val="24"/>
        </w:rPr>
        <w:t xml:space="preserve">is not whether such conduct </w:t>
      </w:r>
      <w:r w:rsidR="00DA1DEF">
        <w:rPr>
          <w:sz w:val="24"/>
        </w:rPr>
        <w:t>can</w:t>
      </w:r>
      <w:r>
        <w:rPr>
          <w:sz w:val="24"/>
        </w:rPr>
        <w:t xml:space="preserve">not be criminalized at all so much as whether it is appropriate to </w:t>
      </w:r>
      <w:r w:rsidR="00C725EB" w:rsidRPr="00C725EB">
        <w:rPr>
          <w:i/>
          <w:sz w:val="24"/>
        </w:rPr>
        <w:t>transnationally</w:t>
      </w:r>
      <w:r w:rsidR="00C725EB">
        <w:rPr>
          <w:sz w:val="24"/>
        </w:rPr>
        <w:t xml:space="preserve"> </w:t>
      </w:r>
      <w:r>
        <w:rPr>
          <w:sz w:val="24"/>
        </w:rPr>
        <w:t xml:space="preserve">criminalize it </w:t>
      </w:r>
      <w:r w:rsidRPr="00D57AC8">
        <w:rPr>
          <w:i/>
          <w:sz w:val="24"/>
        </w:rPr>
        <w:t>as terrorism</w:t>
      </w:r>
      <w:r>
        <w:rPr>
          <w:sz w:val="24"/>
        </w:rPr>
        <w:t xml:space="preserve">. There is certainly no general international law rule prohibiting </w:t>
      </w:r>
      <w:r w:rsidR="00643F6C">
        <w:rPr>
          <w:sz w:val="24"/>
        </w:rPr>
        <w:t xml:space="preserve">it, as long as the definition of terrorist offences complies with </w:t>
      </w:r>
      <w:r w:rsidR="00643F6C">
        <w:rPr>
          <w:sz w:val="24"/>
        </w:rPr>
        <w:lastRenderedPageBreak/>
        <w:t xml:space="preserve">international human rights law, for instance, as regards the principle of legality (precision and foreseeability in offences) or non-discrimination. Moreover, on numerous occasions the Security Council and General Assembly (and through them, states collectively) have clearly depicted certain non-state armed groups in </w:t>
      </w:r>
      <w:r w:rsidR="00F500DD">
        <w:rPr>
          <w:sz w:val="24"/>
        </w:rPr>
        <w:t>armed conflicts as terrorist</w:t>
      </w:r>
      <w:r w:rsidR="001E0215">
        <w:rPr>
          <w:sz w:val="24"/>
        </w:rPr>
        <w:t xml:space="preserve"> at various points</w:t>
      </w:r>
      <w:r w:rsidR="00643F6C">
        <w:rPr>
          <w:sz w:val="24"/>
        </w:rPr>
        <w:t xml:space="preserve">, such as </w:t>
      </w:r>
      <w:r w:rsidR="001E0215">
        <w:rPr>
          <w:sz w:val="24"/>
        </w:rPr>
        <w:t>Islamic State</w:t>
      </w:r>
      <w:r w:rsidR="00643F6C">
        <w:rPr>
          <w:sz w:val="24"/>
        </w:rPr>
        <w:t xml:space="preserve">, Al Nusra, </w:t>
      </w:r>
      <w:r w:rsidR="001E0215">
        <w:rPr>
          <w:sz w:val="24"/>
        </w:rPr>
        <w:t>or Boko Haram</w:t>
      </w:r>
      <w:r w:rsidR="00643F6C">
        <w:rPr>
          <w:sz w:val="24"/>
        </w:rPr>
        <w:t>.</w:t>
      </w:r>
      <w:r>
        <w:rPr>
          <w:sz w:val="24"/>
        </w:rPr>
        <w:t xml:space="preserve"> </w:t>
      </w:r>
      <w:r w:rsidR="00C725EB">
        <w:rPr>
          <w:sz w:val="24"/>
        </w:rPr>
        <w:t xml:space="preserve">Both Security Council resolutions and the ICTCs envisage at least some co-application of CTL and IHL. </w:t>
      </w:r>
    </w:p>
    <w:p w14:paraId="68C6C8DF" w14:textId="77777777" w:rsidR="00643F6C" w:rsidRDefault="00643F6C" w:rsidP="004E7A7D">
      <w:pPr>
        <w:pStyle w:val="ListParagraph"/>
        <w:shd w:val="clear" w:color="auto" w:fill="FFFFFF" w:themeFill="background1"/>
        <w:tabs>
          <w:tab w:val="left" w:pos="851"/>
        </w:tabs>
        <w:spacing w:line="360" w:lineRule="auto"/>
        <w:ind w:left="0"/>
        <w:contextualSpacing w:val="0"/>
        <w:rPr>
          <w:sz w:val="24"/>
        </w:rPr>
      </w:pPr>
    </w:p>
    <w:p w14:paraId="73898ECC" w14:textId="2FBBD9A9" w:rsidR="007942DA" w:rsidRDefault="00DA1DEF" w:rsidP="004E7A7D">
      <w:pPr>
        <w:pStyle w:val="ListParagraph"/>
        <w:shd w:val="clear" w:color="auto" w:fill="FFFFFF" w:themeFill="background1"/>
        <w:tabs>
          <w:tab w:val="left" w:pos="851"/>
        </w:tabs>
        <w:spacing w:line="360" w:lineRule="auto"/>
        <w:ind w:left="0"/>
        <w:contextualSpacing w:val="0"/>
        <w:rPr>
          <w:sz w:val="24"/>
        </w:rPr>
      </w:pPr>
      <w:r>
        <w:rPr>
          <w:sz w:val="24"/>
        </w:rPr>
        <w:t>A number of policy</w:t>
      </w:r>
      <w:r w:rsidR="00643F6C">
        <w:rPr>
          <w:sz w:val="24"/>
        </w:rPr>
        <w:t xml:space="preserve"> counter-arguments may nonetheless be summoned. </w:t>
      </w:r>
      <w:r w:rsidR="00F500DD" w:rsidRPr="00F500DD">
        <w:rPr>
          <w:sz w:val="24"/>
        </w:rPr>
        <w:t xml:space="preserve">The ICRC warns </w:t>
      </w:r>
      <w:r>
        <w:rPr>
          <w:sz w:val="24"/>
        </w:rPr>
        <w:t xml:space="preserve">precisely </w:t>
      </w:r>
      <w:r w:rsidR="00F500DD" w:rsidRPr="00F500DD">
        <w:rPr>
          <w:sz w:val="24"/>
        </w:rPr>
        <w:t>against criminalizing acts that are</w:t>
      </w:r>
      <w:r>
        <w:rPr>
          <w:sz w:val="24"/>
        </w:rPr>
        <w:t xml:space="preserve"> not already unlawful under IHL.</w:t>
      </w:r>
      <w:r w:rsidR="00F500DD" w:rsidRPr="00F500DD">
        <w:rPr>
          <w:sz w:val="24"/>
          <w:vertAlign w:val="superscript"/>
        </w:rPr>
        <w:footnoteReference w:id="20"/>
      </w:r>
      <w:r w:rsidR="006D2421">
        <w:rPr>
          <w:sz w:val="24"/>
        </w:rPr>
        <w:t xml:space="preserve"> </w:t>
      </w:r>
      <w:r w:rsidR="007942DA">
        <w:rPr>
          <w:sz w:val="24"/>
        </w:rPr>
        <w:t xml:space="preserve">The ICRC Commentary </w:t>
      </w:r>
      <w:r w:rsidR="007942DA" w:rsidRPr="003A3E8D">
        <w:rPr>
          <w:sz w:val="24"/>
        </w:rPr>
        <w:t>(2016) to CA3 asserts that labelling a group as terrorist ‘carries the risk that the non-State armed group loses an incentive to abide by that body of law’, particularly the duty to distinguish between civilians and military objectives.</w:t>
      </w:r>
      <w:r w:rsidR="007942DA" w:rsidRPr="003A3E8D">
        <w:rPr>
          <w:rStyle w:val="FootnoteReference"/>
          <w:sz w:val="24"/>
        </w:rPr>
        <w:footnoteReference w:id="21"/>
      </w:r>
      <w:r w:rsidR="007942DA" w:rsidRPr="003A3E8D">
        <w:rPr>
          <w:sz w:val="24"/>
        </w:rPr>
        <w:t xml:space="preserve"> </w:t>
      </w:r>
      <w:r w:rsidR="00146690" w:rsidRPr="003A3E8D">
        <w:rPr>
          <w:sz w:val="24"/>
        </w:rPr>
        <w:t xml:space="preserve">Its </w:t>
      </w:r>
      <w:r w:rsidR="007942DA" w:rsidRPr="003A3E8D">
        <w:rPr>
          <w:sz w:val="24"/>
        </w:rPr>
        <w:t>claim is</w:t>
      </w:r>
      <w:r w:rsidR="00146690" w:rsidRPr="003A3E8D">
        <w:rPr>
          <w:sz w:val="24"/>
        </w:rPr>
        <w:t xml:space="preserve"> intuitive and common sense, rather than</w:t>
      </w:r>
      <w:r w:rsidR="00146690">
        <w:rPr>
          <w:sz w:val="24"/>
        </w:rPr>
        <w:t xml:space="preserve"> being empirically substantiated by</w:t>
      </w:r>
      <w:r>
        <w:rPr>
          <w:sz w:val="24"/>
        </w:rPr>
        <w:t xml:space="preserve"> whether the application of CTL does, in fact, push armed groups to be less IHL-compliant. </w:t>
      </w:r>
    </w:p>
    <w:p w14:paraId="288375FB" w14:textId="77777777" w:rsidR="007942DA" w:rsidRDefault="007942DA" w:rsidP="004E7A7D">
      <w:pPr>
        <w:pStyle w:val="ListParagraph"/>
        <w:shd w:val="clear" w:color="auto" w:fill="FFFFFF" w:themeFill="background1"/>
        <w:tabs>
          <w:tab w:val="left" w:pos="851"/>
        </w:tabs>
        <w:spacing w:line="360" w:lineRule="auto"/>
        <w:ind w:left="0"/>
        <w:contextualSpacing w:val="0"/>
        <w:rPr>
          <w:sz w:val="24"/>
        </w:rPr>
      </w:pPr>
    </w:p>
    <w:p w14:paraId="0EAD9F91" w14:textId="328D5FC8" w:rsidR="00201D18" w:rsidRPr="00201D18" w:rsidRDefault="007942DA" w:rsidP="00201D18">
      <w:pPr>
        <w:pStyle w:val="ListParagraph"/>
        <w:shd w:val="clear" w:color="auto" w:fill="FFFFFF" w:themeFill="background1"/>
        <w:tabs>
          <w:tab w:val="left" w:pos="851"/>
        </w:tabs>
        <w:spacing w:line="360" w:lineRule="auto"/>
        <w:ind w:left="0"/>
        <w:contextualSpacing w:val="0"/>
        <w:rPr>
          <w:sz w:val="24"/>
        </w:rPr>
      </w:pPr>
      <w:r>
        <w:rPr>
          <w:sz w:val="24"/>
        </w:rPr>
        <w:t xml:space="preserve">Clearly, </w:t>
      </w:r>
      <w:r w:rsidR="00DA1DEF">
        <w:rPr>
          <w:sz w:val="24"/>
        </w:rPr>
        <w:t xml:space="preserve">however, </w:t>
      </w:r>
      <w:r>
        <w:rPr>
          <w:sz w:val="24"/>
        </w:rPr>
        <w:t xml:space="preserve">if one will be classified as a terrorist regardless whether one respects </w:t>
      </w:r>
      <w:r w:rsidRPr="00201D18">
        <w:rPr>
          <w:sz w:val="24"/>
        </w:rPr>
        <w:t xml:space="preserve">IHL, the perceived advantages of complying with IHL may be reduced. </w:t>
      </w:r>
      <w:r w:rsidR="00DA1DEF">
        <w:rPr>
          <w:sz w:val="24"/>
        </w:rPr>
        <w:t>Further</w:t>
      </w:r>
      <w:r w:rsidR="00201D18" w:rsidRPr="00201D18">
        <w:rPr>
          <w:sz w:val="24"/>
        </w:rPr>
        <w:t xml:space="preserve">, if a group has been internationally stigmatized as a terrorist, it may be stimulate </w:t>
      </w:r>
      <w:r w:rsidR="00DA1DEF">
        <w:rPr>
          <w:sz w:val="24"/>
        </w:rPr>
        <w:t>it</w:t>
      </w:r>
      <w:r w:rsidR="00201D18" w:rsidRPr="00201D18">
        <w:rPr>
          <w:sz w:val="24"/>
        </w:rPr>
        <w:t xml:space="preserve"> to distrust the international community and refuse or limit engagement on humanitarian relief</w:t>
      </w:r>
      <w:r w:rsidR="00201D18">
        <w:rPr>
          <w:sz w:val="24"/>
        </w:rPr>
        <w:t xml:space="preserve">, or willingness to </w:t>
      </w:r>
      <w:r w:rsidR="00DA1DEF">
        <w:rPr>
          <w:sz w:val="24"/>
        </w:rPr>
        <w:t>negotiate for</w:t>
      </w:r>
      <w:r w:rsidR="00201D18">
        <w:rPr>
          <w:sz w:val="24"/>
        </w:rPr>
        <w:t xml:space="preserve"> peace </w:t>
      </w:r>
      <w:r w:rsidR="00DA1DEF">
        <w:rPr>
          <w:sz w:val="24"/>
        </w:rPr>
        <w:t>=</w:t>
      </w:r>
      <w:r w:rsidR="00201D18" w:rsidRPr="00201D18">
        <w:rPr>
          <w:sz w:val="24"/>
        </w:rPr>
        <w:t xml:space="preserve">. </w:t>
      </w:r>
    </w:p>
    <w:p w14:paraId="0EEADC27" w14:textId="77777777" w:rsidR="00201D18" w:rsidRDefault="00201D18" w:rsidP="004E7A7D">
      <w:pPr>
        <w:pStyle w:val="ListParagraph"/>
        <w:shd w:val="clear" w:color="auto" w:fill="FFFFFF" w:themeFill="background1"/>
        <w:tabs>
          <w:tab w:val="left" w:pos="851"/>
        </w:tabs>
        <w:spacing w:line="360" w:lineRule="auto"/>
        <w:ind w:left="0"/>
        <w:contextualSpacing w:val="0"/>
        <w:rPr>
          <w:sz w:val="24"/>
        </w:rPr>
      </w:pPr>
    </w:p>
    <w:p w14:paraId="2D1504C1" w14:textId="77DE4816" w:rsidR="00643F6C" w:rsidRDefault="00201D18" w:rsidP="004E7A7D">
      <w:pPr>
        <w:pStyle w:val="ListParagraph"/>
        <w:shd w:val="clear" w:color="auto" w:fill="FFFFFF" w:themeFill="background1"/>
        <w:tabs>
          <w:tab w:val="left" w:pos="851"/>
        </w:tabs>
        <w:spacing w:line="360" w:lineRule="auto"/>
        <w:ind w:left="0"/>
        <w:contextualSpacing w:val="0"/>
        <w:rPr>
          <w:sz w:val="24"/>
        </w:rPr>
      </w:pPr>
      <w:r>
        <w:rPr>
          <w:sz w:val="24"/>
        </w:rPr>
        <w:t>This</w:t>
      </w:r>
      <w:r w:rsidR="007942DA">
        <w:rPr>
          <w:sz w:val="24"/>
        </w:rPr>
        <w:t xml:space="preserve"> is not to say that labelling as terrorist </w:t>
      </w:r>
      <w:r w:rsidR="007942DA" w:rsidRPr="00DA1DEF">
        <w:rPr>
          <w:sz w:val="24"/>
        </w:rPr>
        <w:t>decimates</w:t>
      </w:r>
      <w:r w:rsidR="007942DA">
        <w:rPr>
          <w:sz w:val="24"/>
        </w:rPr>
        <w:t xml:space="preserve"> </w:t>
      </w:r>
      <w:r w:rsidRPr="00DA1DEF">
        <w:rPr>
          <w:i/>
          <w:sz w:val="24"/>
        </w:rPr>
        <w:t>all</w:t>
      </w:r>
      <w:r>
        <w:rPr>
          <w:sz w:val="24"/>
        </w:rPr>
        <w:t xml:space="preserve"> </w:t>
      </w:r>
      <w:r w:rsidR="007942DA">
        <w:rPr>
          <w:sz w:val="24"/>
        </w:rPr>
        <w:t xml:space="preserve">incentives to comply, since there are many other reasons why groups may still </w:t>
      </w:r>
      <w:r>
        <w:rPr>
          <w:sz w:val="24"/>
        </w:rPr>
        <w:t>wish</w:t>
      </w:r>
      <w:r w:rsidR="007942DA">
        <w:rPr>
          <w:sz w:val="24"/>
        </w:rPr>
        <w:t xml:space="preserve"> to comply: their moral identity or other values; appealing to civilian hearts and minds; gaining support from diasporas or foreign state sponsors; political legitimacy; facilitating humanitarian relief to their people; demonstrating they are not war criminals like state forces; or to show that they are not, in truth, terrorists. </w:t>
      </w:r>
      <w:r>
        <w:rPr>
          <w:sz w:val="24"/>
        </w:rPr>
        <w:t>This</w:t>
      </w:r>
      <w:r w:rsidR="003A3E8D">
        <w:rPr>
          <w:sz w:val="24"/>
        </w:rPr>
        <w:t xml:space="preserve"> is also not to say that all armed groups are amenable to IHL socialization </w:t>
      </w:r>
      <w:r>
        <w:rPr>
          <w:sz w:val="24"/>
        </w:rPr>
        <w:t>or</w:t>
      </w:r>
      <w:r w:rsidR="003A3E8D">
        <w:rPr>
          <w:sz w:val="24"/>
        </w:rPr>
        <w:t xml:space="preserve"> </w:t>
      </w:r>
      <w:r>
        <w:rPr>
          <w:sz w:val="24"/>
        </w:rPr>
        <w:t xml:space="preserve">responsive </w:t>
      </w:r>
      <w:r w:rsidR="003A3E8D">
        <w:rPr>
          <w:sz w:val="24"/>
        </w:rPr>
        <w:t xml:space="preserve">its faint incentives for </w:t>
      </w:r>
      <w:r w:rsidR="00DA1DEF">
        <w:rPr>
          <w:sz w:val="24"/>
        </w:rPr>
        <w:t>compliance</w:t>
      </w:r>
      <w:r w:rsidR="003A3E8D">
        <w:rPr>
          <w:sz w:val="24"/>
        </w:rPr>
        <w:t>.</w:t>
      </w:r>
      <w:r w:rsidR="00DA1DEF">
        <w:rPr>
          <w:sz w:val="24"/>
        </w:rPr>
        <w:t xml:space="preserve"> V</w:t>
      </w:r>
      <w:r w:rsidR="003A3E8D">
        <w:rPr>
          <w:sz w:val="24"/>
        </w:rPr>
        <w:t>iolating IHL is the core mission of some ‘terrorist’ groups, w</w:t>
      </w:r>
      <w:r>
        <w:rPr>
          <w:sz w:val="24"/>
        </w:rPr>
        <w:t>hich</w:t>
      </w:r>
      <w:r w:rsidR="003A3E8D">
        <w:rPr>
          <w:sz w:val="24"/>
        </w:rPr>
        <w:t xml:space="preserve"> </w:t>
      </w:r>
      <w:r w:rsidR="003A3E8D">
        <w:rPr>
          <w:sz w:val="24"/>
        </w:rPr>
        <w:lastRenderedPageBreak/>
        <w:t xml:space="preserve">are not deterred by war crimes </w:t>
      </w:r>
      <w:r w:rsidR="00DA1DEF">
        <w:rPr>
          <w:sz w:val="24"/>
        </w:rPr>
        <w:t xml:space="preserve">law </w:t>
      </w:r>
      <w:r w:rsidR="003A3E8D">
        <w:rPr>
          <w:sz w:val="24"/>
        </w:rPr>
        <w:t xml:space="preserve">let alone the nuance that IHL does them the favour of neither prohibiting nor authorizing </w:t>
      </w:r>
      <w:r>
        <w:rPr>
          <w:sz w:val="24"/>
        </w:rPr>
        <w:t xml:space="preserve">combat, and leaves whether they are criminals to national law. </w:t>
      </w:r>
    </w:p>
    <w:p w14:paraId="6893FBB4" w14:textId="77777777" w:rsidR="003A3E8D" w:rsidRDefault="003A3E8D" w:rsidP="004E7A7D">
      <w:pPr>
        <w:pStyle w:val="ListParagraph"/>
        <w:shd w:val="clear" w:color="auto" w:fill="FFFFFF" w:themeFill="background1"/>
        <w:tabs>
          <w:tab w:val="left" w:pos="851"/>
        </w:tabs>
        <w:spacing w:line="360" w:lineRule="auto"/>
        <w:ind w:left="0"/>
        <w:contextualSpacing w:val="0"/>
        <w:rPr>
          <w:sz w:val="24"/>
        </w:rPr>
      </w:pPr>
    </w:p>
    <w:p w14:paraId="27D7E328" w14:textId="706529CC" w:rsidR="00201D18" w:rsidRDefault="00AD70CB" w:rsidP="00201D18">
      <w:pPr>
        <w:pStyle w:val="ListParagraph"/>
        <w:shd w:val="clear" w:color="auto" w:fill="FFFFFF" w:themeFill="background1"/>
        <w:tabs>
          <w:tab w:val="left" w:pos="851"/>
        </w:tabs>
        <w:spacing w:line="360" w:lineRule="auto"/>
        <w:ind w:left="0"/>
        <w:contextualSpacing w:val="0"/>
        <w:rPr>
          <w:sz w:val="24"/>
        </w:rPr>
      </w:pPr>
      <w:r>
        <w:rPr>
          <w:sz w:val="24"/>
        </w:rPr>
        <w:t xml:space="preserve">Nonetheless, </w:t>
      </w:r>
      <w:r w:rsidR="003A3E8D">
        <w:rPr>
          <w:sz w:val="24"/>
        </w:rPr>
        <w:t xml:space="preserve">given that legal incentives for armed groups to comply </w:t>
      </w:r>
      <w:r>
        <w:rPr>
          <w:sz w:val="24"/>
        </w:rPr>
        <w:t xml:space="preserve">with IHL in NIAC </w:t>
      </w:r>
      <w:r w:rsidR="003A3E8D">
        <w:rPr>
          <w:sz w:val="24"/>
        </w:rPr>
        <w:t xml:space="preserve">are already so tenuous, the intrusive transnational criminalization of terrorism further weakens </w:t>
      </w:r>
      <w:r>
        <w:rPr>
          <w:sz w:val="24"/>
        </w:rPr>
        <w:t>them</w:t>
      </w:r>
      <w:r w:rsidR="003A3E8D">
        <w:rPr>
          <w:sz w:val="24"/>
        </w:rPr>
        <w:t>. That may not seem like much, but when the stakes are so high –</w:t>
      </w:r>
      <w:r w:rsidR="00C725EB">
        <w:rPr>
          <w:sz w:val="24"/>
        </w:rPr>
        <w:t xml:space="preserve"> </w:t>
      </w:r>
      <w:r>
        <w:rPr>
          <w:sz w:val="24"/>
        </w:rPr>
        <w:t>more violence against civilians, against an already high background level</w:t>
      </w:r>
      <w:r w:rsidR="00C725EB">
        <w:rPr>
          <w:sz w:val="24"/>
        </w:rPr>
        <w:t xml:space="preserve"> </w:t>
      </w:r>
      <w:r>
        <w:rPr>
          <w:sz w:val="24"/>
        </w:rPr>
        <w:t xml:space="preserve">– </w:t>
      </w:r>
      <w:r w:rsidR="004D1ECA">
        <w:rPr>
          <w:sz w:val="24"/>
        </w:rPr>
        <w:t xml:space="preserve">minimizing such intrusion is worth it. That is true even of </w:t>
      </w:r>
      <w:r w:rsidR="00C725EB">
        <w:rPr>
          <w:sz w:val="24"/>
        </w:rPr>
        <w:t xml:space="preserve">the </w:t>
      </w:r>
      <w:r w:rsidR="004D1ECA">
        <w:rPr>
          <w:sz w:val="24"/>
        </w:rPr>
        <w:t xml:space="preserve">most asocial terrorist groups, since experience suggests that, at some point in a conflict, some members of such groups may be willing to engage with external values and interlocutors, and group behaviour may </w:t>
      </w:r>
      <w:r w:rsidR="00201D18">
        <w:rPr>
          <w:sz w:val="24"/>
        </w:rPr>
        <w:t xml:space="preserve">eventually </w:t>
      </w:r>
      <w:r w:rsidR="004D1ECA">
        <w:rPr>
          <w:sz w:val="24"/>
        </w:rPr>
        <w:t xml:space="preserve">respond to the right signals. </w:t>
      </w:r>
    </w:p>
    <w:p w14:paraId="44CE24AD" w14:textId="77777777" w:rsidR="00201D18" w:rsidRDefault="00201D18" w:rsidP="00201D18">
      <w:pPr>
        <w:pStyle w:val="ListParagraph"/>
        <w:shd w:val="clear" w:color="auto" w:fill="FFFFFF" w:themeFill="background1"/>
        <w:tabs>
          <w:tab w:val="left" w:pos="851"/>
        </w:tabs>
        <w:spacing w:line="360" w:lineRule="auto"/>
        <w:ind w:left="0"/>
        <w:contextualSpacing w:val="0"/>
        <w:rPr>
          <w:sz w:val="24"/>
        </w:rPr>
      </w:pPr>
    </w:p>
    <w:p w14:paraId="4A6005A4" w14:textId="5861BF7D" w:rsidR="00C725EB" w:rsidRDefault="00DA1DEF" w:rsidP="00C725EB">
      <w:pPr>
        <w:pStyle w:val="ListParagraph"/>
        <w:shd w:val="clear" w:color="auto" w:fill="FFFFFF" w:themeFill="background1"/>
        <w:tabs>
          <w:tab w:val="left" w:pos="851"/>
        </w:tabs>
        <w:spacing w:line="360" w:lineRule="auto"/>
        <w:ind w:left="0"/>
        <w:contextualSpacing w:val="0"/>
        <w:rPr>
          <w:sz w:val="24"/>
          <w:lang w:val="en-GB"/>
        </w:rPr>
      </w:pPr>
      <w:r>
        <w:rPr>
          <w:sz w:val="24"/>
          <w:lang w:val="en-GB"/>
        </w:rPr>
        <w:t>A second broad reason</w:t>
      </w:r>
      <w:r w:rsidR="00201D18" w:rsidRPr="00201D18">
        <w:rPr>
          <w:sz w:val="24"/>
          <w:lang w:val="en-GB"/>
        </w:rPr>
        <w:t xml:space="preserve"> to be circumspect about </w:t>
      </w:r>
      <w:r>
        <w:rPr>
          <w:sz w:val="24"/>
          <w:lang w:val="en-GB"/>
        </w:rPr>
        <w:t>CTL</w:t>
      </w:r>
      <w:r w:rsidR="00201D18" w:rsidRPr="00201D18">
        <w:rPr>
          <w:sz w:val="24"/>
          <w:lang w:val="en-GB"/>
        </w:rPr>
        <w:t xml:space="preserve"> is that </w:t>
      </w:r>
      <w:r>
        <w:rPr>
          <w:sz w:val="24"/>
          <w:lang w:val="en-GB"/>
        </w:rPr>
        <w:t>it</w:t>
      </w:r>
      <w:r w:rsidR="00201D18" w:rsidRPr="00201D18">
        <w:rPr>
          <w:sz w:val="24"/>
          <w:lang w:val="en-GB"/>
        </w:rPr>
        <w:t xml:space="preserve"> may impede post-conflict reconciliation.</w:t>
      </w:r>
      <w:r w:rsidR="00201D18" w:rsidRPr="00201D18">
        <w:rPr>
          <w:vertAlign w:val="superscript"/>
          <w:lang w:val="en-GB"/>
        </w:rPr>
        <w:footnoteReference w:id="22"/>
      </w:r>
      <w:r w:rsidR="00201D18" w:rsidRPr="00201D18">
        <w:rPr>
          <w:sz w:val="24"/>
          <w:lang w:val="en-GB"/>
        </w:rPr>
        <w:t xml:space="preserve"> IHL encourages states to confer the widest possible</w:t>
      </w:r>
      <w:r w:rsidR="00201D18">
        <w:rPr>
          <w:sz w:val="24"/>
          <w:lang w:val="en-GB"/>
        </w:rPr>
        <w:t xml:space="preserve"> amnesty for (IHL-compliant) acts </w:t>
      </w:r>
      <w:r w:rsidR="00201D18" w:rsidRPr="00201D18">
        <w:rPr>
          <w:sz w:val="24"/>
          <w:lang w:val="en-GB"/>
        </w:rPr>
        <w:t>during conflict.</w:t>
      </w:r>
      <w:r w:rsidR="00C725EB">
        <w:rPr>
          <w:rStyle w:val="FootnoteReference"/>
          <w:sz w:val="24"/>
          <w:lang w:val="en-GB"/>
        </w:rPr>
        <w:footnoteReference w:id="23"/>
      </w:r>
      <w:r w:rsidR="00201D18" w:rsidRPr="00201D18">
        <w:rPr>
          <w:sz w:val="24"/>
          <w:lang w:val="en-GB"/>
        </w:rPr>
        <w:t xml:space="preserve"> If an armed group has been labelled or its members criminalized as terrorist, it may complicate the political and legal willingness of governments to issue amnesties, as well as the acceptability of such amnesties to </w:t>
      </w:r>
      <w:r w:rsidR="00201D18">
        <w:rPr>
          <w:sz w:val="24"/>
          <w:lang w:val="en-GB"/>
        </w:rPr>
        <w:t xml:space="preserve">socially divided </w:t>
      </w:r>
      <w:r w:rsidR="00201D18" w:rsidRPr="00201D18">
        <w:rPr>
          <w:sz w:val="24"/>
          <w:lang w:val="en-GB"/>
        </w:rPr>
        <w:t xml:space="preserve">populations that have been hardened to fear </w:t>
      </w:r>
      <w:r>
        <w:rPr>
          <w:sz w:val="24"/>
          <w:lang w:val="en-GB"/>
        </w:rPr>
        <w:t>‘</w:t>
      </w:r>
      <w:r w:rsidR="00201D18" w:rsidRPr="00201D18">
        <w:rPr>
          <w:sz w:val="24"/>
          <w:lang w:val="en-GB"/>
        </w:rPr>
        <w:t>terrorists</w:t>
      </w:r>
      <w:r>
        <w:rPr>
          <w:sz w:val="24"/>
          <w:lang w:val="en-GB"/>
        </w:rPr>
        <w:t>’</w:t>
      </w:r>
      <w:r w:rsidR="00201D18" w:rsidRPr="00201D18">
        <w:rPr>
          <w:sz w:val="24"/>
          <w:lang w:val="en-GB"/>
        </w:rPr>
        <w:t xml:space="preserve">. Relatedly, it can complicate </w:t>
      </w:r>
      <w:r w:rsidR="00201D18" w:rsidRPr="00201D18">
        <w:rPr>
          <w:iCs/>
          <w:sz w:val="24"/>
          <w:lang w:val="en-GB"/>
        </w:rPr>
        <w:t xml:space="preserve">eligibility of persons for </w:t>
      </w:r>
      <w:r w:rsidR="00201D18" w:rsidRPr="00201D18">
        <w:rPr>
          <w:sz w:val="24"/>
          <w:lang w:val="en-GB"/>
        </w:rPr>
        <w:t>disarmament, demobilization and reintegration</w:t>
      </w:r>
      <w:r w:rsidR="00201D18" w:rsidRPr="00201D18">
        <w:rPr>
          <w:iCs/>
          <w:sz w:val="24"/>
          <w:lang w:val="en-GB"/>
        </w:rPr>
        <w:t xml:space="preserve"> (DDR).</w:t>
      </w:r>
      <w:r w:rsidR="00201D18" w:rsidRPr="00201D18">
        <w:rPr>
          <w:vertAlign w:val="superscript"/>
          <w:lang w:val="en-GB"/>
        </w:rPr>
        <w:footnoteReference w:id="24"/>
      </w:r>
      <w:r w:rsidR="00201D18" w:rsidRPr="00201D18">
        <w:rPr>
          <w:iCs/>
          <w:sz w:val="24"/>
          <w:lang w:val="en-GB"/>
        </w:rPr>
        <w:t xml:space="preserve"> </w:t>
      </w:r>
      <w:r>
        <w:rPr>
          <w:iCs/>
          <w:sz w:val="24"/>
          <w:lang w:val="en-GB"/>
        </w:rPr>
        <w:t>It</w:t>
      </w:r>
      <w:r w:rsidR="00201D18" w:rsidRPr="00201D18">
        <w:rPr>
          <w:sz w:val="24"/>
          <w:lang w:val="en-GB"/>
        </w:rPr>
        <w:t xml:space="preserve"> can further hinder the willingness or ability of governments to enter into peace negotiations at all.</w:t>
      </w:r>
      <w:r w:rsidR="00C725EB">
        <w:rPr>
          <w:sz w:val="24"/>
          <w:lang w:val="en-GB"/>
        </w:rPr>
        <w:t xml:space="preserve"> Again, experience shows that that peace and reconciliation with ‘terrorist’ groups, from Northern Ireland to Colombia, is possible, but the extra hurdles raised by a CTL framework may not be helpful. </w:t>
      </w:r>
    </w:p>
    <w:p w14:paraId="08E18D17" w14:textId="77777777" w:rsidR="00C725EB" w:rsidRDefault="00C725EB" w:rsidP="00C725EB">
      <w:pPr>
        <w:pStyle w:val="ListParagraph"/>
        <w:shd w:val="clear" w:color="auto" w:fill="FFFFFF" w:themeFill="background1"/>
        <w:tabs>
          <w:tab w:val="left" w:pos="851"/>
        </w:tabs>
        <w:spacing w:line="360" w:lineRule="auto"/>
        <w:ind w:left="0"/>
        <w:contextualSpacing w:val="0"/>
        <w:rPr>
          <w:sz w:val="24"/>
          <w:lang w:val="en-GB"/>
        </w:rPr>
      </w:pPr>
    </w:p>
    <w:p w14:paraId="4B0C3233" w14:textId="50848814" w:rsidR="006D2421" w:rsidRDefault="00C725EB" w:rsidP="00C725EB">
      <w:pPr>
        <w:pStyle w:val="ListParagraph"/>
        <w:shd w:val="clear" w:color="auto" w:fill="FFFFFF" w:themeFill="background1"/>
        <w:tabs>
          <w:tab w:val="left" w:pos="851"/>
        </w:tabs>
        <w:spacing w:line="360" w:lineRule="auto"/>
        <w:ind w:left="0"/>
        <w:contextualSpacing w:val="0"/>
        <w:rPr>
          <w:sz w:val="24"/>
        </w:rPr>
      </w:pPr>
      <w:r>
        <w:rPr>
          <w:sz w:val="24"/>
          <w:lang w:val="en-GB"/>
        </w:rPr>
        <w:t xml:space="preserve">A third broad reason to be cautious relates to the relation between sovereignty and IHL in NIAC. </w:t>
      </w:r>
      <w:r>
        <w:rPr>
          <w:sz w:val="24"/>
        </w:rPr>
        <w:t>As</w:t>
      </w:r>
      <w:r w:rsidR="006D2421">
        <w:rPr>
          <w:sz w:val="24"/>
        </w:rPr>
        <w:t xml:space="preserve"> mentioned, </w:t>
      </w:r>
      <w:r>
        <w:rPr>
          <w:sz w:val="24"/>
        </w:rPr>
        <w:t>in NIAC</w:t>
      </w:r>
      <w:r w:rsidR="006D2421" w:rsidRPr="006D2421">
        <w:rPr>
          <w:sz w:val="24"/>
        </w:rPr>
        <w:t xml:space="preserve"> the </w:t>
      </w:r>
      <w:r>
        <w:rPr>
          <w:sz w:val="24"/>
        </w:rPr>
        <w:t xml:space="preserve">affected </w:t>
      </w:r>
      <w:r w:rsidR="006D2421" w:rsidRPr="006D2421">
        <w:rPr>
          <w:sz w:val="24"/>
        </w:rPr>
        <w:t xml:space="preserve">state has long been entitled to criminalize members of </w:t>
      </w:r>
      <w:r>
        <w:rPr>
          <w:sz w:val="24"/>
        </w:rPr>
        <w:t>armed groups</w:t>
      </w:r>
      <w:r w:rsidR="006D2421" w:rsidRPr="006D2421">
        <w:rPr>
          <w:sz w:val="24"/>
        </w:rPr>
        <w:t xml:space="preserve"> for offences against national security</w:t>
      </w:r>
      <w:r>
        <w:rPr>
          <w:sz w:val="24"/>
        </w:rPr>
        <w:t xml:space="preserve"> or other interests</w:t>
      </w:r>
      <w:r w:rsidR="006D2421" w:rsidRPr="006D2421">
        <w:rPr>
          <w:sz w:val="24"/>
        </w:rPr>
        <w:t xml:space="preserve">, whether labelled terrorism or otherwise. However, the transnational criminalization of terrorism </w:t>
      </w:r>
      <w:r>
        <w:rPr>
          <w:sz w:val="24"/>
        </w:rPr>
        <w:t xml:space="preserve">in conflict </w:t>
      </w:r>
      <w:r w:rsidR="006D2421" w:rsidRPr="006D2421">
        <w:rPr>
          <w:sz w:val="24"/>
        </w:rPr>
        <w:t xml:space="preserve">is distinguishable from </w:t>
      </w:r>
      <w:r w:rsidR="006D2421">
        <w:rPr>
          <w:sz w:val="24"/>
        </w:rPr>
        <w:t xml:space="preserve">prior practice for a number of reasons. </w:t>
      </w:r>
      <w:r w:rsidR="00DA1DEF">
        <w:rPr>
          <w:sz w:val="24"/>
        </w:rPr>
        <w:t>The</w:t>
      </w:r>
      <w:r w:rsidR="006D2421">
        <w:rPr>
          <w:sz w:val="24"/>
        </w:rPr>
        <w:t xml:space="preserve"> right of a state to criminalize the conduct of armed groups arose </w:t>
      </w:r>
      <w:r w:rsidR="00DA1DEF">
        <w:rPr>
          <w:sz w:val="24"/>
        </w:rPr>
        <w:t>when</w:t>
      </w:r>
      <w:r w:rsidR="006D2421">
        <w:rPr>
          <w:sz w:val="24"/>
        </w:rPr>
        <w:t xml:space="preserve"> NIAC</w:t>
      </w:r>
      <w:r w:rsidR="00DA1DEF">
        <w:rPr>
          <w:sz w:val="24"/>
        </w:rPr>
        <w:t>s</w:t>
      </w:r>
      <w:r w:rsidR="006D2421">
        <w:rPr>
          <w:sz w:val="24"/>
        </w:rPr>
        <w:t xml:space="preserve"> were traditionally civil wars fought by citizens </w:t>
      </w:r>
      <w:r w:rsidR="00DA1DEF">
        <w:rPr>
          <w:sz w:val="24"/>
        </w:rPr>
        <w:t>in</w:t>
      </w:r>
      <w:r w:rsidR="006D2421">
        <w:rPr>
          <w:sz w:val="24"/>
        </w:rPr>
        <w:t xml:space="preserve"> </w:t>
      </w:r>
      <w:r w:rsidR="00DA1DEF">
        <w:rPr>
          <w:sz w:val="24"/>
        </w:rPr>
        <w:t>a</w:t>
      </w:r>
      <w:r w:rsidR="006D2421">
        <w:rPr>
          <w:sz w:val="24"/>
        </w:rPr>
        <w:t xml:space="preserve"> state’s own territory</w:t>
      </w:r>
      <w:r w:rsidR="00DA1DEF">
        <w:rPr>
          <w:sz w:val="24"/>
        </w:rPr>
        <w:t>, not more complex transnational NIACs as can occur today</w:t>
      </w:r>
      <w:r w:rsidR="006D2421">
        <w:rPr>
          <w:sz w:val="24"/>
        </w:rPr>
        <w:t xml:space="preserve">. </w:t>
      </w:r>
      <w:r w:rsidR="0020744C">
        <w:rPr>
          <w:sz w:val="24"/>
        </w:rPr>
        <w:t xml:space="preserve">The right to criminalize conduct was thus closely linked to the state’s </w:t>
      </w:r>
      <w:r w:rsidR="00DA1DEF">
        <w:rPr>
          <w:sz w:val="24"/>
        </w:rPr>
        <w:t xml:space="preserve">sovereign </w:t>
      </w:r>
      <w:r w:rsidR="0020744C">
        <w:rPr>
          <w:sz w:val="24"/>
        </w:rPr>
        <w:t xml:space="preserve">territorial jurisdiction </w:t>
      </w:r>
      <w:r w:rsidR="0020744C">
        <w:rPr>
          <w:sz w:val="24"/>
        </w:rPr>
        <w:lastRenderedPageBreak/>
        <w:t>over its own territory and population. The exercise of extraterritorial criminal jurisdiction by one state over the conduct of armed groups in another state was a rarity, limited by the necessity of identifying an acceptable basis for extraterritorial</w:t>
      </w:r>
      <w:r w:rsidR="00DA1DEF">
        <w:rPr>
          <w:sz w:val="24"/>
        </w:rPr>
        <w:t xml:space="preserve"> prescriptive</w:t>
      </w:r>
      <w:r w:rsidR="0020744C">
        <w:rPr>
          <w:sz w:val="24"/>
        </w:rPr>
        <w:t xml:space="preserve"> jurisdiction under international law. One such basis was war crimes law under IHL treaties and customary IHL. In the absence of such a basis, other states tended to refuse to cooperate in the </w:t>
      </w:r>
      <w:r w:rsidR="0020744C" w:rsidRPr="001E0215">
        <w:rPr>
          <w:sz w:val="24"/>
        </w:rPr>
        <w:t xml:space="preserve">suppression of another state’s domestic political opponents, </w:t>
      </w:r>
      <w:r w:rsidR="00DA1DEF">
        <w:rPr>
          <w:sz w:val="24"/>
        </w:rPr>
        <w:t>by</w:t>
      </w:r>
      <w:r w:rsidR="0020744C" w:rsidRPr="001E0215">
        <w:rPr>
          <w:sz w:val="24"/>
        </w:rPr>
        <w:t xml:space="preserve"> upholding the political offence exception for typical civil war ‘crimes’ such as rebellion, revolution, sedition and so on.</w:t>
      </w:r>
    </w:p>
    <w:p w14:paraId="700DD395" w14:textId="77777777" w:rsidR="0020744C" w:rsidRDefault="0020744C" w:rsidP="006D2421">
      <w:pPr>
        <w:tabs>
          <w:tab w:val="left" w:pos="851"/>
        </w:tabs>
        <w:spacing w:line="360" w:lineRule="auto"/>
        <w:rPr>
          <w:sz w:val="24"/>
        </w:rPr>
      </w:pPr>
    </w:p>
    <w:p w14:paraId="7AE0A81B" w14:textId="78327E71" w:rsidR="00146690" w:rsidRDefault="0020744C" w:rsidP="0020744C">
      <w:pPr>
        <w:tabs>
          <w:tab w:val="left" w:pos="851"/>
        </w:tabs>
        <w:spacing w:line="360" w:lineRule="auto"/>
        <w:rPr>
          <w:sz w:val="24"/>
        </w:rPr>
      </w:pPr>
      <w:r>
        <w:rPr>
          <w:sz w:val="24"/>
        </w:rPr>
        <w:t>T</w:t>
      </w:r>
      <w:r w:rsidRPr="0020744C">
        <w:rPr>
          <w:sz w:val="24"/>
        </w:rPr>
        <w:t xml:space="preserve">he </w:t>
      </w:r>
      <w:r>
        <w:rPr>
          <w:sz w:val="24"/>
        </w:rPr>
        <w:t xml:space="preserve">expansive jurisdiction now asserted over terrorism offences has broken the historical nexus with the </w:t>
      </w:r>
      <w:r w:rsidR="00391CF0">
        <w:rPr>
          <w:sz w:val="24"/>
        </w:rPr>
        <w:t xml:space="preserve">territorial </w:t>
      </w:r>
      <w:r>
        <w:rPr>
          <w:sz w:val="24"/>
        </w:rPr>
        <w:t>sovereign</w:t>
      </w:r>
      <w:r w:rsidR="00391CF0">
        <w:rPr>
          <w:sz w:val="24"/>
        </w:rPr>
        <w:t>’s</w:t>
      </w:r>
      <w:r>
        <w:rPr>
          <w:sz w:val="24"/>
        </w:rPr>
        <w:t xml:space="preserve"> rights. It has also been accompanied by the depoliticization of terrorism offences in extradition</w:t>
      </w:r>
      <w:r w:rsidR="00391CF0">
        <w:rPr>
          <w:sz w:val="24"/>
        </w:rPr>
        <w:t>, prompted by the later ICTCs and UN standard setting since the late 1990s</w:t>
      </w:r>
      <w:r>
        <w:rPr>
          <w:sz w:val="24"/>
        </w:rPr>
        <w:t xml:space="preserve">. Under the ICTCs, this is less problematic, because their offences are limited in subject matter, carefully defined, </w:t>
      </w:r>
      <w:r w:rsidR="00146690">
        <w:rPr>
          <w:sz w:val="24"/>
        </w:rPr>
        <w:t xml:space="preserve">often subject to armed conflict exclusion clauses, </w:t>
      </w:r>
      <w:r>
        <w:rPr>
          <w:sz w:val="24"/>
        </w:rPr>
        <w:t xml:space="preserve">and result from the mutual consent of states parties. </w:t>
      </w:r>
    </w:p>
    <w:p w14:paraId="233C6DD3" w14:textId="77777777" w:rsidR="00146690" w:rsidRDefault="00146690" w:rsidP="0020744C">
      <w:pPr>
        <w:tabs>
          <w:tab w:val="left" w:pos="851"/>
        </w:tabs>
        <w:spacing w:line="360" w:lineRule="auto"/>
        <w:rPr>
          <w:sz w:val="24"/>
        </w:rPr>
      </w:pPr>
    </w:p>
    <w:p w14:paraId="34D309E4" w14:textId="0F5A8D85" w:rsidR="006D2421" w:rsidRDefault="0020744C" w:rsidP="00146690">
      <w:pPr>
        <w:tabs>
          <w:tab w:val="left" w:pos="851"/>
        </w:tabs>
        <w:spacing w:line="360" w:lineRule="auto"/>
        <w:rPr>
          <w:sz w:val="24"/>
        </w:rPr>
      </w:pPr>
      <w:r>
        <w:rPr>
          <w:sz w:val="24"/>
        </w:rPr>
        <w:t>In contrast, more general terrorism offences pursuant to resolution 1373 are not guided by any a</w:t>
      </w:r>
      <w:r w:rsidR="00146690">
        <w:rPr>
          <w:sz w:val="24"/>
        </w:rPr>
        <w:t>greed international definition; do not accommodate IHL through an exclusion formula; and are imposed by a 15-member state Security Council on all states without their specific consent. For these reasons, states should be very cautious before criminalizing the conduct of hostilities in NIACs in foreign states. Even where a state’s own forces are involved the foreign conflict, that state is not the territorial sovereign with a general competence to prescribe the criminal law applicable there; and they do not enjoy any equivalent of th</w:t>
      </w:r>
      <w:r w:rsidR="00806A18">
        <w:rPr>
          <w:sz w:val="24"/>
        </w:rPr>
        <w:t xml:space="preserve">e powers of an occupier in IAC, </w:t>
      </w:r>
      <w:r w:rsidR="00146690">
        <w:rPr>
          <w:sz w:val="24"/>
        </w:rPr>
        <w:t xml:space="preserve">which </w:t>
      </w:r>
      <w:r w:rsidR="00806A18">
        <w:rPr>
          <w:sz w:val="24"/>
        </w:rPr>
        <w:t>would</w:t>
      </w:r>
      <w:r w:rsidR="00146690">
        <w:rPr>
          <w:sz w:val="24"/>
        </w:rPr>
        <w:t xml:space="preserve"> allow them to enact securit</w:t>
      </w:r>
      <w:r w:rsidR="00806A18">
        <w:rPr>
          <w:sz w:val="24"/>
        </w:rPr>
        <w:t>y offences in foreign territory</w:t>
      </w:r>
      <w:r w:rsidR="00146690">
        <w:rPr>
          <w:sz w:val="24"/>
        </w:rPr>
        <w:t>.  I</w:t>
      </w:r>
      <w:r w:rsidR="00146690" w:rsidRPr="00146690">
        <w:rPr>
          <w:sz w:val="24"/>
        </w:rPr>
        <w:t xml:space="preserve">t is one thing for a state to suppress non-state violence which challenges its </w:t>
      </w:r>
      <w:r w:rsidR="00146690">
        <w:rPr>
          <w:sz w:val="24"/>
        </w:rPr>
        <w:t xml:space="preserve">own </w:t>
      </w:r>
      <w:r w:rsidR="00146690" w:rsidRPr="00146690">
        <w:rPr>
          <w:sz w:val="24"/>
        </w:rPr>
        <w:t xml:space="preserve">political authority in its own territory, but quite a different proposition for </w:t>
      </w:r>
      <w:r w:rsidR="00146690">
        <w:rPr>
          <w:sz w:val="24"/>
        </w:rPr>
        <w:t>it to</w:t>
      </w:r>
      <w:r w:rsidR="00146690" w:rsidRPr="00146690">
        <w:rPr>
          <w:sz w:val="24"/>
        </w:rPr>
        <w:t xml:space="preserve"> suppress </w:t>
      </w:r>
      <w:r w:rsidR="00146690">
        <w:rPr>
          <w:sz w:val="24"/>
        </w:rPr>
        <w:t xml:space="preserve">political </w:t>
      </w:r>
      <w:r w:rsidR="00146690" w:rsidRPr="00146690">
        <w:rPr>
          <w:sz w:val="24"/>
        </w:rPr>
        <w:t>violence</w:t>
      </w:r>
      <w:r w:rsidR="00146690">
        <w:rPr>
          <w:sz w:val="24"/>
        </w:rPr>
        <w:t xml:space="preserve"> (not violating IHL) in another state’s territory</w:t>
      </w:r>
      <w:r w:rsidR="00146690" w:rsidRPr="00146690">
        <w:rPr>
          <w:sz w:val="24"/>
        </w:rPr>
        <w:t xml:space="preserve">. The latter interferes, on the side of the foreign government, in </w:t>
      </w:r>
      <w:r w:rsidR="00146690">
        <w:rPr>
          <w:sz w:val="24"/>
        </w:rPr>
        <w:t xml:space="preserve">foreign </w:t>
      </w:r>
      <w:r w:rsidR="00146690" w:rsidRPr="00146690">
        <w:rPr>
          <w:sz w:val="24"/>
        </w:rPr>
        <w:t>domestic political struggles</w:t>
      </w:r>
      <w:r w:rsidR="00146690">
        <w:rPr>
          <w:sz w:val="24"/>
        </w:rPr>
        <w:t xml:space="preserve"> </w:t>
      </w:r>
      <w:r w:rsidR="00146690" w:rsidRPr="00146690">
        <w:rPr>
          <w:sz w:val="24"/>
        </w:rPr>
        <w:t>– which historically was avoided by</w:t>
      </w:r>
      <w:r w:rsidR="00146690">
        <w:rPr>
          <w:sz w:val="24"/>
        </w:rPr>
        <w:t xml:space="preserve"> </w:t>
      </w:r>
      <w:r w:rsidR="00146690" w:rsidRPr="00146690">
        <w:rPr>
          <w:sz w:val="24"/>
        </w:rPr>
        <w:t>the application of the political offence exception in extradition law and treaties.</w:t>
      </w:r>
    </w:p>
    <w:p w14:paraId="1610F62C" w14:textId="77777777" w:rsidR="00806A18" w:rsidRDefault="00806A18" w:rsidP="00146690">
      <w:pPr>
        <w:tabs>
          <w:tab w:val="left" w:pos="851"/>
        </w:tabs>
        <w:spacing w:line="360" w:lineRule="auto"/>
        <w:rPr>
          <w:sz w:val="24"/>
        </w:rPr>
      </w:pPr>
    </w:p>
    <w:p w14:paraId="23C0B1A1" w14:textId="02322254" w:rsidR="00806A18" w:rsidRDefault="00806A18" w:rsidP="00806A18">
      <w:pPr>
        <w:tabs>
          <w:tab w:val="left" w:pos="851"/>
        </w:tabs>
        <w:spacing w:line="360" w:lineRule="auto"/>
        <w:rPr>
          <w:sz w:val="24"/>
        </w:rPr>
      </w:pPr>
      <w:r>
        <w:rPr>
          <w:sz w:val="24"/>
        </w:rPr>
        <w:t xml:space="preserve">Whether, and the extent to which, CTL adversely impacts on IHL in armed conflict depends on the definition and scope of particular CTL rules, including any exceptions </w:t>
      </w:r>
      <w:r w:rsidR="00391CF0">
        <w:rPr>
          <w:sz w:val="24"/>
        </w:rPr>
        <w:t>for</w:t>
      </w:r>
      <w:r>
        <w:rPr>
          <w:sz w:val="24"/>
        </w:rPr>
        <w:t xml:space="preserve"> IHL. The next section reviews the pros and cons of various exceptions and considers </w:t>
      </w:r>
      <w:r w:rsidR="00391CF0">
        <w:rPr>
          <w:sz w:val="24"/>
        </w:rPr>
        <w:t>is</w:t>
      </w:r>
      <w:r>
        <w:rPr>
          <w:sz w:val="24"/>
        </w:rPr>
        <w:t xml:space="preserve"> capable of optimally balancing CTL and IHL interests. </w:t>
      </w:r>
    </w:p>
    <w:p w14:paraId="293C5F16" w14:textId="77777777" w:rsidR="00806A18" w:rsidRDefault="00806A18" w:rsidP="00806A18">
      <w:pPr>
        <w:tabs>
          <w:tab w:val="left" w:pos="851"/>
        </w:tabs>
        <w:spacing w:line="360" w:lineRule="auto"/>
        <w:rPr>
          <w:sz w:val="24"/>
        </w:rPr>
      </w:pPr>
    </w:p>
    <w:p w14:paraId="0C188BEA" w14:textId="71039701" w:rsidR="00806A18" w:rsidRPr="00806A18" w:rsidRDefault="00942910" w:rsidP="00806A18">
      <w:pPr>
        <w:tabs>
          <w:tab w:val="left" w:pos="851"/>
        </w:tabs>
        <w:spacing w:line="360" w:lineRule="auto"/>
        <w:rPr>
          <w:b/>
          <w:sz w:val="24"/>
        </w:rPr>
      </w:pPr>
      <w:r>
        <w:rPr>
          <w:b/>
          <w:sz w:val="24"/>
        </w:rPr>
        <w:t>4</w:t>
      </w:r>
      <w:r>
        <w:rPr>
          <w:b/>
          <w:sz w:val="24"/>
        </w:rPr>
        <w:tab/>
      </w:r>
      <w:r w:rsidR="00806A18" w:rsidRPr="00806A18">
        <w:rPr>
          <w:b/>
          <w:sz w:val="24"/>
        </w:rPr>
        <w:t>International Counter-Terrorism Conventions 1963-2020</w:t>
      </w:r>
    </w:p>
    <w:p w14:paraId="24BC36F9" w14:textId="77777777" w:rsidR="00806A18" w:rsidRDefault="00806A18" w:rsidP="00806A18">
      <w:pPr>
        <w:tabs>
          <w:tab w:val="left" w:pos="851"/>
        </w:tabs>
        <w:spacing w:line="360" w:lineRule="auto"/>
        <w:rPr>
          <w:sz w:val="24"/>
        </w:rPr>
      </w:pPr>
    </w:p>
    <w:p w14:paraId="11DCF164" w14:textId="5BBE7105" w:rsidR="00C22840" w:rsidRDefault="00806A18" w:rsidP="00C508FB">
      <w:pPr>
        <w:tabs>
          <w:tab w:val="left" w:pos="851"/>
        </w:tabs>
        <w:spacing w:line="360" w:lineRule="auto"/>
        <w:rPr>
          <w:sz w:val="24"/>
        </w:rPr>
      </w:pPr>
      <w:r>
        <w:rPr>
          <w:sz w:val="24"/>
        </w:rPr>
        <w:t xml:space="preserve">Of the 19 ICTCs adopted since 1963, only one </w:t>
      </w:r>
      <w:r w:rsidR="009A3EDB">
        <w:rPr>
          <w:sz w:val="24"/>
        </w:rPr>
        <w:t xml:space="preserve">(on hostage taking) </w:t>
      </w:r>
      <w:r>
        <w:rPr>
          <w:sz w:val="24"/>
        </w:rPr>
        <w:t>prior to 1997 expressly addressed IHL</w:t>
      </w:r>
      <w:r w:rsidR="009A3EDB">
        <w:rPr>
          <w:sz w:val="24"/>
        </w:rPr>
        <w:t xml:space="preserve">, whereas since </w:t>
      </w:r>
      <w:r w:rsidR="009A3EDB" w:rsidRPr="001E0215">
        <w:rPr>
          <w:sz w:val="24"/>
        </w:rPr>
        <w:t xml:space="preserve">1997 IHL has been addressed in all instruments: a limited exception in the Terrorist Financing Convention 1999, and a common exclusion of armed forces in armed conflict </w:t>
      </w:r>
      <w:r w:rsidR="0048304F" w:rsidRPr="001E0215">
        <w:rPr>
          <w:sz w:val="24"/>
        </w:rPr>
        <w:t>in six other instruments</w:t>
      </w:r>
      <w:r w:rsidR="00E70309">
        <w:rPr>
          <w:sz w:val="24"/>
        </w:rPr>
        <w:t xml:space="preserve"> (discussed below).</w:t>
      </w:r>
      <w:r w:rsidR="009A3EDB">
        <w:rPr>
          <w:sz w:val="24"/>
        </w:rPr>
        <w:t xml:space="preserve"> The latter exclusion is </w:t>
      </w:r>
      <w:r w:rsidR="00391CF0">
        <w:rPr>
          <w:sz w:val="24"/>
        </w:rPr>
        <w:t xml:space="preserve">also the basis of negotiations </w:t>
      </w:r>
      <w:r w:rsidR="009A3EDB">
        <w:rPr>
          <w:sz w:val="24"/>
        </w:rPr>
        <w:t xml:space="preserve">for a UN </w:t>
      </w:r>
      <w:r w:rsidR="00391CF0">
        <w:rPr>
          <w:sz w:val="24"/>
        </w:rPr>
        <w:t xml:space="preserve">Draft </w:t>
      </w:r>
      <w:r w:rsidR="009A3EDB">
        <w:rPr>
          <w:sz w:val="24"/>
        </w:rPr>
        <w:t>Convention</w:t>
      </w:r>
      <w:r w:rsidR="0048304F">
        <w:rPr>
          <w:sz w:val="24"/>
        </w:rPr>
        <w:t>.</w:t>
      </w:r>
      <w:r w:rsidR="009A3EDB">
        <w:rPr>
          <w:sz w:val="24"/>
        </w:rPr>
        <w:t xml:space="preserve"> </w:t>
      </w:r>
    </w:p>
    <w:p w14:paraId="0418F6D2" w14:textId="77777777" w:rsidR="00C22840" w:rsidRDefault="00C22840" w:rsidP="00C508FB">
      <w:pPr>
        <w:tabs>
          <w:tab w:val="left" w:pos="851"/>
        </w:tabs>
        <w:spacing w:line="360" w:lineRule="auto"/>
        <w:rPr>
          <w:sz w:val="24"/>
        </w:rPr>
      </w:pPr>
    </w:p>
    <w:p w14:paraId="0B8D6ABF" w14:textId="10639DBC" w:rsidR="00C22840" w:rsidRDefault="00391CF0" w:rsidP="00C508FB">
      <w:pPr>
        <w:tabs>
          <w:tab w:val="left" w:pos="851"/>
        </w:tabs>
        <w:spacing w:line="360" w:lineRule="auto"/>
        <w:rPr>
          <w:sz w:val="24"/>
        </w:rPr>
      </w:pPr>
      <w:r w:rsidRPr="00E70309">
        <w:rPr>
          <w:sz w:val="24"/>
        </w:rPr>
        <w:t>M</w:t>
      </w:r>
      <w:r w:rsidR="00C22840" w:rsidRPr="00E70309">
        <w:rPr>
          <w:sz w:val="24"/>
        </w:rPr>
        <w:t xml:space="preserve">ost ICTCs only apply where an offence has a transnational element, thereby excluding purely domestic acts in a NIAC. </w:t>
      </w:r>
      <w:r w:rsidR="006A4FA1" w:rsidRPr="00E70309">
        <w:rPr>
          <w:sz w:val="24"/>
        </w:rPr>
        <w:t>H</w:t>
      </w:r>
      <w:r w:rsidR="00C22840" w:rsidRPr="00E70309">
        <w:rPr>
          <w:sz w:val="24"/>
        </w:rPr>
        <w:t xml:space="preserve">owever, </w:t>
      </w:r>
      <w:r w:rsidR="006A4FA1" w:rsidRPr="00E70309">
        <w:rPr>
          <w:sz w:val="24"/>
        </w:rPr>
        <w:t>the transnational element</w:t>
      </w:r>
      <w:r w:rsidR="00C22840" w:rsidRPr="00E70309">
        <w:rPr>
          <w:sz w:val="24"/>
        </w:rPr>
        <w:t xml:space="preserve"> </w:t>
      </w:r>
      <w:r w:rsidR="006A4FA1" w:rsidRPr="00E70309">
        <w:rPr>
          <w:sz w:val="24"/>
        </w:rPr>
        <w:t>under most ICTCs</w:t>
      </w:r>
      <w:r w:rsidR="00C22840" w:rsidRPr="00E70309">
        <w:rPr>
          <w:sz w:val="24"/>
        </w:rPr>
        <w:t xml:space="preserve"> include</w:t>
      </w:r>
      <w:r w:rsidR="006A4FA1" w:rsidRPr="00E70309">
        <w:rPr>
          <w:sz w:val="24"/>
        </w:rPr>
        <w:t>s</w:t>
      </w:r>
      <w:r w:rsidR="00C22840" w:rsidRPr="00E70309">
        <w:rPr>
          <w:sz w:val="24"/>
        </w:rPr>
        <w:t xml:space="preserve"> where an offender is present </w:t>
      </w:r>
      <w:r w:rsidR="006A4FA1" w:rsidRPr="00E70309">
        <w:rPr>
          <w:sz w:val="24"/>
        </w:rPr>
        <w:t>in another state or, depending on the instrument,</w:t>
      </w:r>
      <w:r w:rsidR="00C22840" w:rsidRPr="00E70309">
        <w:rPr>
          <w:sz w:val="24"/>
        </w:rPr>
        <w:t xml:space="preserve"> where victims or perpetrators are nationals </w:t>
      </w:r>
      <w:r w:rsidRPr="00E70309">
        <w:rPr>
          <w:sz w:val="24"/>
        </w:rPr>
        <w:t>of</w:t>
      </w:r>
      <w:r w:rsidR="00C22840" w:rsidRPr="00E70309">
        <w:rPr>
          <w:sz w:val="24"/>
        </w:rPr>
        <w:t xml:space="preserve"> states other than the place of commission,</w:t>
      </w:r>
      <w:r w:rsidR="006A4FA1" w:rsidRPr="00E70309">
        <w:rPr>
          <w:sz w:val="24"/>
        </w:rPr>
        <w:t xml:space="preserve"> a foreign aircraft or ship is affected</w:t>
      </w:r>
      <w:r w:rsidRPr="00E70309">
        <w:rPr>
          <w:sz w:val="24"/>
        </w:rPr>
        <w:t>,</w:t>
      </w:r>
      <w:r w:rsidR="006A4FA1" w:rsidRPr="00E70309">
        <w:rPr>
          <w:sz w:val="24"/>
        </w:rPr>
        <w:t xml:space="preserve"> or another state is subject to compulsion. As such, </w:t>
      </w:r>
      <w:r w:rsidR="00C22840" w:rsidRPr="00E70309">
        <w:rPr>
          <w:sz w:val="24"/>
        </w:rPr>
        <w:t>conduct in an otherwise localized NIAC may still come within the ICTCs.</w:t>
      </w:r>
      <w:r w:rsidR="006A4FA1" w:rsidRPr="00E70309">
        <w:rPr>
          <w:sz w:val="24"/>
        </w:rPr>
        <w:t xml:space="preserve"> </w:t>
      </w:r>
    </w:p>
    <w:p w14:paraId="7649DFCA" w14:textId="77777777" w:rsidR="0048304F" w:rsidRDefault="0048304F" w:rsidP="00C508FB">
      <w:pPr>
        <w:tabs>
          <w:tab w:val="left" w:pos="851"/>
        </w:tabs>
        <w:spacing w:line="360" w:lineRule="auto"/>
        <w:rPr>
          <w:sz w:val="24"/>
        </w:rPr>
      </w:pPr>
    </w:p>
    <w:p w14:paraId="745EE33F" w14:textId="31C4E58B" w:rsidR="0048304F" w:rsidRPr="0048304F" w:rsidRDefault="00942910" w:rsidP="00C508FB">
      <w:pPr>
        <w:tabs>
          <w:tab w:val="left" w:pos="851"/>
        </w:tabs>
        <w:spacing w:line="360" w:lineRule="auto"/>
        <w:rPr>
          <w:b/>
          <w:sz w:val="24"/>
        </w:rPr>
      </w:pPr>
      <w:r>
        <w:rPr>
          <w:b/>
          <w:sz w:val="24"/>
        </w:rPr>
        <w:t>4.1</w:t>
      </w:r>
      <w:r>
        <w:rPr>
          <w:b/>
          <w:sz w:val="24"/>
        </w:rPr>
        <w:tab/>
      </w:r>
      <w:r w:rsidR="0048304F" w:rsidRPr="0048304F">
        <w:rPr>
          <w:b/>
          <w:sz w:val="24"/>
        </w:rPr>
        <w:t>Silence on IHL</w:t>
      </w:r>
    </w:p>
    <w:p w14:paraId="7740D1D5" w14:textId="77777777" w:rsidR="0048304F" w:rsidRDefault="0048304F" w:rsidP="00C508FB">
      <w:pPr>
        <w:tabs>
          <w:tab w:val="left" w:pos="851"/>
        </w:tabs>
        <w:spacing w:line="360" w:lineRule="auto"/>
        <w:rPr>
          <w:sz w:val="24"/>
        </w:rPr>
      </w:pPr>
    </w:p>
    <w:p w14:paraId="173876FD" w14:textId="2C567530" w:rsidR="00391CF0" w:rsidRDefault="00C508FB" w:rsidP="002520E3">
      <w:pPr>
        <w:pStyle w:val="ListParagraph"/>
        <w:shd w:val="clear" w:color="auto" w:fill="FFFFFF" w:themeFill="background1"/>
        <w:tabs>
          <w:tab w:val="left" w:pos="851"/>
        </w:tabs>
        <w:spacing w:line="360" w:lineRule="auto"/>
        <w:ind w:left="0"/>
        <w:contextualSpacing w:val="0"/>
        <w:rPr>
          <w:sz w:val="24"/>
        </w:rPr>
      </w:pPr>
      <w:r w:rsidRPr="00C508FB">
        <w:rPr>
          <w:sz w:val="24"/>
        </w:rPr>
        <w:t>The</w:t>
      </w:r>
      <w:r w:rsidR="00EF5447" w:rsidRPr="00EF5447">
        <w:rPr>
          <w:sz w:val="24"/>
        </w:rPr>
        <w:t xml:space="preserve"> </w:t>
      </w:r>
      <w:r w:rsidR="00EF5447">
        <w:rPr>
          <w:sz w:val="24"/>
        </w:rPr>
        <w:t xml:space="preserve">earlier </w:t>
      </w:r>
      <w:r w:rsidR="00EF5447" w:rsidRPr="00EF5447">
        <w:rPr>
          <w:sz w:val="24"/>
        </w:rPr>
        <w:t xml:space="preserve">ICTCs do not </w:t>
      </w:r>
      <w:r w:rsidR="00391CF0">
        <w:rPr>
          <w:sz w:val="24"/>
        </w:rPr>
        <w:t>address armed conflict but often</w:t>
      </w:r>
      <w:r w:rsidR="00EF5447">
        <w:rPr>
          <w:sz w:val="24"/>
        </w:rPr>
        <w:t xml:space="preserve"> have implications for IHL. </w:t>
      </w:r>
      <w:r w:rsidR="002E1728">
        <w:rPr>
          <w:sz w:val="24"/>
        </w:rPr>
        <w:t xml:space="preserve">Six ICTCs adopted between 1963 and 1988 addressing aviation and maritime </w:t>
      </w:r>
      <w:r w:rsidR="00EF5447">
        <w:rPr>
          <w:sz w:val="24"/>
        </w:rPr>
        <w:t>safety</w:t>
      </w:r>
      <w:r w:rsidR="002E1728">
        <w:rPr>
          <w:sz w:val="24"/>
        </w:rPr>
        <w:t xml:space="preserve"> </w:t>
      </w:r>
      <w:r w:rsidR="002E1728" w:rsidRPr="002E1728">
        <w:rPr>
          <w:sz w:val="24"/>
        </w:rPr>
        <w:t>do not apply to aircraft or ships used for military, customs or police services,</w:t>
      </w:r>
      <w:r w:rsidR="002E1728" w:rsidRPr="002E1728">
        <w:rPr>
          <w:sz w:val="24"/>
          <w:vertAlign w:val="superscript"/>
        </w:rPr>
        <w:footnoteReference w:id="25"/>
      </w:r>
      <w:r w:rsidR="002E1728" w:rsidRPr="002E1728">
        <w:rPr>
          <w:sz w:val="24"/>
        </w:rPr>
        <w:t xml:space="preserve"> </w:t>
      </w:r>
      <w:r w:rsidR="00EF5447">
        <w:rPr>
          <w:sz w:val="24"/>
        </w:rPr>
        <w:t>military air bases,</w:t>
      </w:r>
      <w:r w:rsidR="002E1728" w:rsidRPr="002E1728">
        <w:rPr>
          <w:sz w:val="24"/>
          <w:vertAlign w:val="superscript"/>
        </w:rPr>
        <w:footnoteReference w:id="26"/>
      </w:r>
      <w:r w:rsidR="00EF5447">
        <w:rPr>
          <w:sz w:val="24"/>
        </w:rPr>
        <w:t xml:space="preserve"> or (by implication) military</w:t>
      </w:r>
      <w:r w:rsidR="00391CF0">
        <w:rPr>
          <w:sz w:val="24"/>
        </w:rPr>
        <w:t xml:space="preserve"> maritime</w:t>
      </w:r>
      <w:r w:rsidR="00EF5447">
        <w:rPr>
          <w:sz w:val="24"/>
        </w:rPr>
        <w:t xml:space="preserve"> platforms.</w:t>
      </w:r>
      <w:r w:rsidR="002E1728" w:rsidRPr="002E1728">
        <w:rPr>
          <w:sz w:val="24"/>
          <w:vertAlign w:val="superscript"/>
        </w:rPr>
        <w:footnoteReference w:id="27"/>
      </w:r>
      <w:r w:rsidR="002E1728">
        <w:rPr>
          <w:sz w:val="24"/>
        </w:rPr>
        <w:t xml:space="preserve"> </w:t>
      </w:r>
      <w:r w:rsidR="00EF5447">
        <w:rPr>
          <w:sz w:val="24"/>
        </w:rPr>
        <w:t xml:space="preserve">The Nuclear Material Convention 1980 likewise applies only to peaceful uses of civilian material, thus excluding attacks on military nuclear material. </w:t>
      </w:r>
      <w:r w:rsidR="00E66F01" w:rsidRPr="00E66F01">
        <w:rPr>
          <w:sz w:val="24"/>
        </w:rPr>
        <w:t xml:space="preserve">The exceptions were not designed to accommodate IHL but reflect the </w:t>
      </w:r>
      <w:r w:rsidR="0048304F">
        <w:rPr>
          <w:sz w:val="24"/>
        </w:rPr>
        <w:t xml:space="preserve">civilian </w:t>
      </w:r>
      <w:r w:rsidR="00E66F01" w:rsidRPr="00E66F01">
        <w:rPr>
          <w:sz w:val="24"/>
        </w:rPr>
        <w:t>mandates of the fora within w</w:t>
      </w:r>
      <w:r w:rsidR="00391CF0">
        <w:rPr>
          <w:sz w:val="24"/>
        </w:rPr>
        <w:t xml:space="preserve">hich they were negotiated (the </w:t>
      </w:r>
      <w:r w:rsidR="0048304F">
        <w:rPr>
          <w:sz w:val="24"/>
        </w:rPr>
        <w:t>ICAO, IMO, and IAEA</w:t>
      </w:r>
      <w:r w:rsidR="00391CF0">
        <w:rPr>
          <w:sz w:val="24"/>
        </w:rPr>
        <w:t>)</w:t>
      </w:r>
      <w:r w:rsidR="0048304F">
        <w:rPr>
          <w:sz w:val="24"/>
        </w:rPr>
        <w:t>.</w:t>
      </w:r>
      <w:r w:rsidR="00E66F01" w:rsidRPr="00E66F01">
        <w:rPr>
          <w:sz w:val="24"/>
          <w:vertAlign w:val="superscript"/>
        </w:rPr>
        <w:footnoteReference w:id="28"/>
      </w:r>
      <w:r w:rsidR="00E66F01" w:rsidRPr="00E66F01">
        <w:rPr>
          <w:sz w:val="24"/>
        </w:rPr>
        <w:t xml:space="preserve"> </w:t>
      </w:r>
    </w:p>
    <w:p w14:paraId="73D7DB4A" w14:textId="77777777" w:rsidR="00391CF0" w:rsidRDefault="00391CF0" w:rsidP="002520E3">
      <w:pPr>
        <w:pStyle w:val="ListParagraph"/>
        <w:shd w:val="clear" w:color="auto" w:fill="FFFFFF" w:themeFill="background1"/>
        <w:tabs>
          <w:tab w:val="left" w:pos="851"/>
        </w:tabs>
        <w:spacing w:line="360" w:lineRule="auto"/>
        <w:ind w:left="0"/>
        <w:contextualSpacing w:val="0"/>
        <w:rPr>
          <w:sz w:val="24"/>
        </w:rPr>
      </w:pPr>
    </w:p>
    <w:p w14:paraId="15C2A23E" w14:textId="6AC1D00C" w:rsidR="00E66F01" w:rsidRDefault="00E66F01" w:rsidP="002520E3">
      <w:pPr>
        <w:pStyle w:val="ListParagraph"/>
        <w:shd w:val="clear" w:color="auto" w:fill="FFFFFF" w:themeFill="background1"/>
        <w:tabs>
          <w:tab w:val="left" w:pos="851"/>
        </w:tabs>
        <w:spacing w:line="360" w:lineRule="auto"/>
        <w:ind w:left="0"/>
        <w:contextualSpacing w:val="0"/>
        <w:rPr>
          <w:sz w:val="24"/>
        </w:rPr>
      </w:pPr>
      <w:r>
        <w:rPr>
          <w:sz w:val="24"/>
        </w:rPr>
        <w:t>The effect of the exceptions is that a</w:t>
      </w:r>
      <w:r w:rsidR="002E1728" w:rsidRPr="001D64C8">
        <w:rPr>
          <w:sz w:val="24"/>
        </w:rPr>
        <w:t xml:space="preserve">ttacks on </w:t>
      </w:r>
      <w:r w:rsidR="002E1728">
        <w:rPr>
          <w:sz w:val="24"/>
        </w:rPr>
        <w:t>military</w:t>
      </w:r>
      <w:r w:rsidR="002E1728" w:rsidRPr="001D64C8">
        <w:rPr>
          <w:sz w:val="24"/>
        </w:rPr>
        <w:t xml:space="preserve"> </w:t>
      </w:r>
      <w:r w:rsidR="002E1728">
        <w:rPr>
          <w:sz w:val="24"/>
        </w:rPr>
        <w:t>aircraft, ships, airports</w:t>
      </w:r>
      <w:r w:rsidR="00D40E90">
        <w:rPr>
          <w:sz w:val="24"/>
        </w:rPr>
        <w:t>, platforms</w:t>
      </w:r>
      <w:r w:rsidR="00527230">
        <w:rPr>
          <w:sz w:val="24"/>
        </w:rPr>
        <w:t>, or nuclear material</w:t>
      </w:r>
      <w:r w:rsidR="002E1728" w:rsidRPr="001D64C8">
        <w:rPr>
          <w:sz w:val="24"/>
        </w:rPr>
        <w:t xml:space="preserve"> </w:t>
      </w:r>
      <w:r w:rsidR="00527230">
        <w:rPr>
          <w:sz w:val="24"/>
        </w:rPr>
        <w:t>during armed conflict</w:t>
      </w:r>
      <w:r w:rsidR="002E1728" w:rsidRPr="001D64C8">
        <w:rPr>
          <w:sz w:val="24"/>
        </w:rPr>
        <w:t xml:space="preserve"> are not covered by the ICTCs and are instead </w:t>
      </w:r>
      <w:r w:rsidR="002E1728">
        <w:rPr>
          <w:sz w:val="24"/>
        </w:rPr>
        <w:t>regulated by IHL</w:t>
      </w:r>
      <w:r w:rsidR="00EF5447">
        <w:rPr>
          <w:sz w:val="24"/>
        </w:rPr>
        <w:t>.</w:t>
      </w:r>
      <w:r w:rsidR="00527230">
        <w:rPr>
          <w:sz w:val="24"/>
        </w:rPr>
        <w:t xml:space="preserve"> </w:t>
      </w:r>
      <w:r>
        <w:rPr>
          <w:sz w:val="24"/>
        </w:rPr>
        <w:t xml:space="preserve">Such acts are excluded regardless of the regardless of the status of the attacker (whether </w:t>
      </w:r>
      <w:r>
        <w:rPr>
          <w:sz w:val="24"/>
        </w:rPr>
        <w:lastRenderedPageBreak/>
        <w:t>state or non-</w:t>
      </w:r>
      <w:r w:rsidR="00391CF0">
        <w:rPr>
          <w:sz w:val="24"/>
        </w:rPr>
        <w:t>state armed forces, or civilian DPH</w:t>
      </w:r>
      <w:r>
        <w:rPr>
          <w:sz w:val="24"/>
        </w:rPr>
        <w:t xml:space="preserve">) and whatever the means or methods used (whether IHL compliant or not). </w:t>
      </w:r>
      <w:r w:rsidR="00527230">
        <w:rPr>
          <w:sz w:val="24"/>
        </w:rPr>
        <w:t>Conversely, attacks on civilian objects are co-regulated by the ICTCs and IHL (including any war crimes).</w:t>
      </w:r>
      <w:r w:rsidR="00C508FB">
        <w:rPr>
          <w:sz w:val="24"/>
        </w:rPr>
        <w:t xml:space="preserve"> Where attacks are unlawful under both regimes</w:t>
      </w:r>
      <w:r>
        <w:rPr>
          <w:sz w:val="24"/>
        </w:rPr>
        <w:t xml:space="preserve"> (as where a civilian aircraft is deliberately targeted)</w:t>
      </w:r>
      <w:r w:rsidR="00C508FB">
        <w:rPr>
          <w:sz w:val="24"/>
        </w:rPr>
        <w:t xml:space="preserve">, </w:t>
      </w:r>
      <w:r w:rsidR="00391CF0">
        <w:rPr>
          <w:sz w:val="24"/>
        </w:rPr>
        <w:t>conflict is minimal</w:t>
      </w:r>
      <w:r w:rsidR="00C508FB">
        <w:rPr>
          <w:sz w:val="24"/>
        </w:rPr>
        <w:t xml:space="preserve">. </w:t>
      </w:r>
    </w:p>
    <w:p w14:paraId="5E25E745" w14:textId="77777777" w:rsidR="00E66F01" w:rsidRDefault="00E66F01" w:rsidP="002520E3">
      <w:pPr>
        <w:pStyle w:val="ListParagraph"/>
        <w:shd w:val="clear" w:color="auto" w:fill="FFFFFF" w:themeFill="background1"/>
        <w:tabs>
          <w:tab w:val="left" w:pos="851"/>
        </w:tabs>
        <w:spacing w:line="360" w:lineRule="auto"/>
        <w:ind w:left="0"/>
        <w:contextualSpacing w:val="0"/>
        <w:rPr>
          <w:sz w:val="24"/>
        </w:rPr>
      </w:pPr>
    </w:p>
    <w:p w14:paraId="2E3D9450" w14:textId="78131A84" w:rsidR="00B27776" w:rsidRDefault="00E66F01" w:rsidP="00B27776">
      <w:pPr>
        <w:pStyle w:val="ListParagraph"/>
        <w:shd w:val="clear" w:color="auto" w:fill="FFFFFF" w:themeFill="background1"/>
        <w:tabs>
          <w:tab w:val="left" w:pos="851"/>
        </w:tabs>
        <w:spacing w:line="360" w:lineRule="auto"/>
        <w:ind w:left="0"/>
        <w:contextualSpacing w:val="0"/>
        <w:rPr>
          <w:sz w:val="24"/>
        </w:rPr>
      </w:pPr>
      <w:r>
        <w:rPr>
          <w:sz w:val="24"/>
        </w:rPr>
        <w:t>In contrast</w:t>
      </w:r>
      <w:r w:rsidR="00C508FB">
        <w:rPr>
          <w:sz w:val="24"/>
        </w:rPr>
        <w:t>, there may be a prima facie conflict of obligations</w:t>
      </w:r>
      <w:r>
        <w:rPr>
          <w:sz w:val="24"/>
        </w:rPr>
        <w:t xml:space="preserve"> where an act is lawful under IHL but unlawful under an ICTC. </w:t>
      </w:r>
      <w:r w:rsidR="00B27776" w:rsidRPr="00B27776">
        <w:rPr>
          <w:sz w:val="24"/>
        </w:rPr>
        <w:t xml:space="preserve">For example, it could be lawful to target a civilian cargo vessel also carrying military munitions or personnel for a party to a conflict; whereas it is an </w:t>
      </w:r>
      <w:r w:rsidR="00391CF0">
        <w:rPr>
          <w:sz w:val="24"/>
        </w:rPr>
        <w:t xml:space="preserve">ICTC </w:t>
      </w:r>
      <w:r w:rsidR="00B27776" w:rsidRPr="00B27776">
        <w:rPr>
          <w:sz w:val="24"/>
        </w:rPr>
        <w:t xml:space="preserve">offence to destroy a ship or damage it or its cargo if likely to endanger the </w:t>
      </w:r>
      <w:r w:rsidR="00391CF0">
        <w:rPr>
          <w:sz w:val="24"/>
        </w:rPr>
        <w:t xml:space="preserve">ship’s </w:t>
      </w:r>
      <w:r w:rsidR="00B27776" w:rsidRPr="00B27776">
        <w:rPr>
          <w:sz w:val="24"/>
        </w:rPr>
        <w:t>safe navigation. Similarly, it could be lawful under IHL to target military aircraft parked at a civilian airport where proportionate damage to a nearby civilian aircraft may be expected; whereas it is a</w:t>
      </w:r>
      <w:r w:rsidR="00391CF0">
        <w:rPr>
          <w:sz w:val="24"/>
        </w:rPr>
        <w:t xml:space="preserve">n ICTC </w:t>
      </w:r>
      <w:r w:rsidR="00B27776" w:rsidRPr="00B27776">
        <w:rPr>
          <w:sz w:val="24"/>
        </w:rPr>
        <w:t>offence to intentionally destroy a civilian aircraft or damage it and thereby render it incapable of flight.</w:t>
      </w:r>
      <w:r w:rsidR="00B27776" w:rsidRPr="00B27776">
        <w:rPr>
          <w:sz w:val="24"/>
          <w:vertAlign w:val="superscript"/>
        </w:rPr>
        <w:footnoteReference w:id="29"/>
      </w:r>
      <w:r w:rsidR="00B27776" w:rsidRPr="00B27776">
        <w:rPr>
          <w:sz w:val="24"/>
        </w:rPr>
        <w:t xml:space="preserve"> Collateral damage to the civilian aircraft is still ‘intentional’ in that the military aircraft was attacked with knowledge that the civilian aircraft would be damaged. </w:t>
      </w:r>
    </w:p>
    <w:p w14:paraId="52A4EC74" w14:textId="77777777" w:rsidR="00B27776" w:rsidRDefault="00B27776" w:rsidP="00B27776">
      <w:pPr>
        <w:pStyle w:val="ListParagraph"/>
        <w:shd w:val="clear" w:color="auto" w:fill="FFFFFF" w:themeFill="background1"/>
        <w:tabs>
          <w:tab w:val="left" w:pos="851"/>
        </w:tabs>
        <w:spacing w:line="360" w:lineRule="auto"/>
        <w:ind w:left="0"/>
        <w:contextualSpacing w:val="0"/>
        <w:rPr>
          <w:sz w:val="24"/>
        </w:rPr>
      </w:pPr>
    </w:p>
    <w:p w14:paraId="1EC1B0B0" w14:textId="58BA2CE8" w:rsidR="00B27776" w:rsidRDefault="00B27776" w:rsidP="00B27776">
      <w:pPr>
        <w:pStyle w:val="ListParagraph"/>
        <w:shd w:val="clear" w:color="auto" w:fill="FFFFFF" w:themeFill="background1"/>
        <w:tabs>
          <w:tab w:val="left" w:pos="851"/>
        </w:tabs>
        <w:spacing w:line="360" w:lineRule="auto"/>
        <w:ind w:left="0"/>
        <w:contextualSpacing w:val="0"/>
        <w:rPr>
          <w:sz w:val="24"/>
        </w:rPr>
      </w:pPr>
      <w:r w:rsidRPr="00B27776">
        <w:rPr>
          <w:sz w:val="24"/>
        </w:rPr>
        <w:t xml:space="preserve">The two regimes thus impose potentially incompatible obligations. One answer is to invoke one or other regime as the ‘hard’ </w:t>
      </w:r>
      <w:r w:rsidRPr="00B27776">
        <w:rPr>
          <w:i/>
          <w:sz w:val="24"/>
        </w:rPr>
        <w:t>lex specialis</w:t>
      </w:r>
      <w:r w:rsidRPr="00B27776">
        <w:rPr>
          <w:sz w:val="24"/>
        </w:rPr>
        <w:t xml:space="preserve"> to trump the other. </w:t>
      </w:r>
      <w:r>
        <w:rPr>
          <w:sz w:val="24"/>
        </w:rPr>
        <w:t>The d</w:t>
      </w:r>
      <w:r w:rsidRPr="007E774E">
        <w:rPr>
          <w:iCs/>
          <w:sz w:val="24"/>
        </w:rPr>
        <w:t xml:space="preserve">ifficulty is that it is </w:t>
      </w:r>
      <w:r w:rsidRPr="007E774E">
        <w:rPr>
          <w:rFonts w:eastAsia="Times New Roman"/>
          <w:iCs/>
          <w:sz w:val="24"/>
          <w:lang w:eastAsia="en-AU" w:bidi="ne-NP"/>
        </w:rPr>
        <w:t>‘it is often hard to distinguish what is “gene</w:t>
      </w:r>
      <w:r>
        <w:rPr>
          <w:rFonts w:eastAsia="Times New Roman"/>
          <w:iCs/>
          <w:sz w:val="24"/>
          <w:lang w:eastAsia="en-AU" w:bidi="ne-NP"/>
        </w:rPr>
        <w:t>r</w:t>
      </w:r>
      <w:r w:rsidR="00804BFF">
        <w:rPr>
          <w:rFonts w:eastAsia="Times New Roman"/>
          <w:iCs/>
          <w:sz w:val="24"/>
          <w:lang w:eastAsia="en-AU" w:bidi="ne-NP"/>
        </w:rPr>
        <w:t>al” and what is “particular”</w:t>
      </w:r>
      <w:r>
        <w:rPr>
          <w:rFonts w:eastAsia="Times New Roman"/>
          <w:iCs/>
          <w:sz w:val="24"/>
          <w:lang w:eastAsia="en-AU" w:bidi="ne-NP"/>
        </w:rPr>
        <w:t>’:</w:t>
      </w:r>
      <w:r w:rsidRPr="007E774E">
        <w:rPr>
          <w:rStyle w:val="FootnoteReference"/>
          <w:sz w:val="24"/>
          <w:lang w:eastAsia="en-AU" w:bidi="ne-NP"/>
        </w:rPr>
        <w:footnoteReference w:id="30"/>
      </w:r>
      <w:r w:rsidRPr="007E774E">
        <w:rPr>
          <w:rFonts w:eastAsia="Times New Roman"/>
          <w:iCs/>
          <w:sz w:val="24"/>
          <w:lang w:eastAsia="en-AU" w:bidi="ne-NP"/>
        </w:rPr>
        <w:t xml:space="preserve"> </w:t>
      </w:r>
      <w:r w:rsidRPr="00B27776">
        <w:rPr>
          <w:sz w:val="24"/>
        </w:rPr>
        <w:t>IHL because it is adapted to armed conflict, or the aviation or maritime safety conventions because they are tailored to protect civilian aircraft or ships</w:t>
      </w:r>
      <w:r>
        <w:rPr>
          <w:sz w:val="24"/>
        </w:rPr>
        <w:t xml:space="preserve">? </w:t>
      </w:r>
    </w:p>
    <w:p w14:paraId="3AC1E411" w14:textId="77777777" w:rsidR="00B27776" w:rsidRDefault="00B27776" w:rsidP="00B27776">
      <w:pPr>
        <w:pStyle w:val="ListParagraph"/>
        <w:shd w:val="clear" w:color="auto" w:fill="FFFFFF" w:themeFill="background1"/>
        <w:tabs>
          <w:tab w:val="left" w:pos="851"/>
        </w:tabs>
        <w:spacing w:line="360" w:lineRule="auto"/>
        <w:ind w:left="0"/>
        <w:contextualSpacing w:val="0"/>
        <w:rPr>
          <w:sz w:val="24"/>
        </w:rPr>
      </w:pPr>
    </w:p>
    <w:p w14:paraId="684433E3" w14:textId="3D506D3C" w:rsidR="00B27776" w:rsidRDefault="00B27776" w:rsidP="00B27776">
      <w:pPr>
        <w:pStyle w:val="ListParagraph"/>
        <w:shd w:val="clear" w:color="auto" w:fill="FFFFFF" w:themeFill="background1"/>
        <w:tabs>
          <w:tab w:val="left" w:pos="851"/>
        </w:tabs>
        <w:spacing w:line="360" w:lineRule="auto"/>
        <w:ind w:left="0"/>
        <w:contextualSpacing w:val="0"/>
        <w:rPr>
          <w:sz w:val="24"/>
        </w:rPr>
      </w:pPr>
      <w:r>
        <w:rPr>
          <w:sz w:val="24"/>
        </w:rPr>
        <w:t>A different</w:t>
      </w:r>
      <w:r w:rsidRPr="00B27776">
        <w:rPr>
          <w:sz w:val="24"/>
        </w:rPr>
        <w:t xml:space="preserve"> answer is found in the ICTCs themselves. The aviation and maritime safety conventions, like many ICTCs, define conduct as offences where it is not only ‘intentional’ but ‘unlawful’. During the drafting, ‘unlawful’ was primarily intended to </w:t>
      </w:r>
      <w:r w:rsidR="00391CF0">
        <w:rPr>
          <w:sz w:val="24"/>
        </w:rPr>
        <w:t>refer to</w:t>
      </w:r>
      <w:r w:rsidRPr="00B27776">
        <w:rPr>
          <w:sz w:val="24"/>
        </w:rPr>
        <w:t xml:space="preserve"> grounds under national law which could justify or excuse offences, such as in legitimate law enforcement operations or </w:t>
      </w:r>
      <w:r w:rsidR="00391CF0">
        <w:rPr>
          <w:sz w:val="24"/>
        </w:rPr>
        <w:t>personal</w:t>
      </w:r>
      <w:r w:rsidRPr="00B27776">
        <w:rPr>
          <w:sz w:val="24"/>
        </w:rPr>
        <w:t xml:space="preserve"> self-defence. There was, however, little attention to whether international law, including IHL, could be used as a standard. It is arguable that these ICTCs may be harmoniously interpreted with IHL by applying the IHL rules to define whether an act is ‘unlawful’ under the ICTC. If not, no CTL offence is committed. Such approach applies the ‘soft’ version of </w:t>
      </w:r>
      <w:r w:rsidRPr="00B27776">
        <w:rPr>
          <w:i/>
          <w:sz w:val="24"/>
        </w:rPr>
        <w:t>lex specialis</w:t>
      </w:r>
      <w:r w:rsidRPr="00B27776">
        <w:rPr>
          <w:sz w:val="24"/>
        </w:rPr>
        <w:t xml:space="preserve"> as in the </w:t>
      </w:r>
      <w:r w:rsidRPr="00B27776">
        <w:rPr>
          <w:i/>
          <w:sz w:val="24"/>
        </w:rPr>
        <w:t>Nuclear Weapons Advisory Opinion</w:t>
      </w:r>
      <w:r w:rsidRPr="00B27776">
        <w:rPr>
          <w:sz w:val="24"/>
        </w:rPr>
        <w:t xml:space="preserve"> (where a flexible human rights standard was interpreted in light of an IHL rule).</w:t>
      </w:r>
    </w:p>
    <w:p w14:paraId="2CB955FE" w14:textId="77777777" w:rsidR="00B27776" w:rsidRDefault="00B27776" w:rsidP="00B27776">
      <w:pPr>
        <w:pStyle w:val="ListParagraph"/>
        <w:shd w:val="clear" w:color="auto" w:fill="FFFFFF" w:themeFill="background1"/>
        <w:tabs>
          <w:tab w:val="left" w:pos="851"/>
        </w:tabs>
        <w:spacing w:line="360" w:lineRule="auto"/>
        <w:ind w:left="0"/>
        <w:contextualSpacing w:val="0"/>
        <w:rPr>
          <w:sz w:val="24"/>
        </w:rPr>
      </w:pPr>
    </w:p>
    <w:p w14:paraId="70F7C934" w14:textId="517B6C37" w:rsidR="00566552" w:rsidRPr="007E774E" w:rsidRDefault="00527230" w:rsidP="006A3828">
      <w:pPr>
        <w:pStyle w:val="ListParagraph"/>
        <w:shd w:val="clear" w:color="auto" w:fill="FFFFFF" w:themeFill="background1"/>
        <w:tabs>
          <w:tab w:val="left" w:pos="851"/>
        </w:tabs>
        <w:spacing w:line="360" w:lineRule="auto"/>
        <w:ind w:left="0"/>
        <w:contextualSpacing w:val="0"/>
        <w:rPr>
          <w:sz w:val="24"/>
        </w:rPr>
      </w:pPr>
      <w:r w:rsidRPr="007E774E">
        <w:rPr>
          <w:sz w:val="24"/>
        </w:rPr>
        <w:t xml:space="preserve">The Internationally Protected Persons Convention 1973 does not address armed conflict and raises </w:t>
      </w:r>
      <w:r w:rsidR="00B27776">
        <w:rPr>
          <w:sz w:val="24"/>
        </w:rPr>
        <w:t xml:space="preserve">other </w:t>
      </w:r>
      <w:r w:rsidRPr="007E774E">
        <w:rPr>
          <w:sz w:val="24"/>
        </w:rPr>
        <w:t xml:space="preserve">conflicts with IHL. It </w:t>
      </w:r>
      <w:r w:rsidRPr="007E774E">
        <w:rPr>
          <w:iCs/>
          <w:sz w:val="24"/>
        </w:rPr>
        <w:t>requires states to criminalize the murder, kidnapping, or ‘other attack’ on the person or liberty of an internationally protected person (such as a diplomat), as well as any ‘violent attack’ on their official premises, private accommodation, or means of transport.</w:t>
      </w:r>
      <w:r w:rsidRPr="007E774E">
        <w:rPr>
          <w:rStyle w:val="FootnoteReference"/>
          <w:sz w:val="24"/>
        </w:rPr>
        <w:footnoteReference w:id="31"/>
      </w:r>
      <w:r w:rsidRPr="007E774E">
        <w:rPr>
          <w:iCs/>
          <w:sz w:val="24"/>
        </w:rPr>
        <w:t xml:space="preserve"> The Convention </w:t>
      </w:r>
      <w:r w:rsidR="00391CF0">
        <w:rPr>
          <w:iCs/>
          <w:sz w:val="24"/>
        </w:rPr>
        <w:t xml:space="preserve">deliberately </w:t>
      </w:r>
      <w:r w:rsidRPr="007E774E">
        <w:rPr>
          <w:iCs/>
          <w:sz w:val="24"/>
        </w:rPr>
        <w:t xml:space="preserve">corresponds with the </w:t>
      </w:r>
      <w:r w:rsidR="007E774E">
        <w:rPr>
          <w:iCs/>
          <w:sz w:val="24"/>
        </w:rPr>
        <w:t xml:space="preserve">strict </w:t>
      </w:r>
      <w:r w:rsidRPr="007E774E">
        <w:rPr>
          <w:iCs/>
          <w:sz w:val="24"/>
        </w:rPr>
        <w:t>inviolability of diplomats and diplomatic premises under the Vienna Convention on Diplomatic Relations 1961</w:t>
      </w:r>
      <w:r w:rsidR="00804BFF">
        <w:rPr>
          <w:iCs/>
          <w:sz w:val="24"/>
        </w:rPr>
        <w:t xml:space="preserve"> (VCDR)</w:t>
      </w:r>
      <w:r w:rsidRPr="007E774E">
        <w:rPr>
          <w:iCs/>
          <w:sz w:val="24"/>
        </w:rPr>
        <w:t>.</w:t>
      </w:r>
      <w:r w:rsidRPr="007E774E">
        <w:rPr>
          <w:rStyle w:val="FootnoteReference"/>
          <w:sz w:val="24"/>
        </w:rPr>
        <w:footnoteReference w:id="32"/>
      </w:r>
      <w:r w:rsidRPr="007E774E">
        <w:rPr>
          <w:iCs/>
          <w:sz w:val="24"/>
        </w:rPr>
        <w:t xml:space="preserve"> </w:t>
      </w:r>
    </w:p>
    <w:p w14:paraId="094AAB72" w14:textId="77777777" w:rsidR="00F62652" w:rsidRPr="007E774E" w:rsidRDefault="00F62652" w:rsidP="00F62652">
      <w:pPr>
        <w:pStyle w:val="ListParagraph"/>
        <w:shd w:val="clear" w:color="auto" w:fill="FFFFFF" w:themeFill="background1"/>
        <w:tabs>
          <w:tab w:val="left" w:pos="851"/>
        </w:tabs>
        <w:spacing w:line="360" w:lineRule="auto"/>
        <w:ind w:left="0"/>
        <w:contextualSpacing w:val="0"/>
        <w:rPr>
          <w:iCs/>
          <w:sz w:val="24"/>
        </w:rPr>
      </w:pPr>
    </w:p>
    <w:p w14:paraId="6F955DB1" w14:textId="773B3600" w:rsidR="00B27776" w:rsidRDefault="00F62652" w:rsidP="007E774E">
      <w:pPr>
        <w:pStyle w:val="ListParagraph"/>
        <w:shd w:val="clear" w:color="auto" w:fill="FFFFFF" w:themeFill="background1"/>
        <w:tabs>
          <w:tab w:val="left" w:pos="851"/>
        </w:tabs>
        <w:spacing w:line="360" w:lineRule="auto"/>
        <w:ind w:left="0"/>
        <w:contextualSpacing w:val="0"/>
        <w:rPr>
          <w:iCs/>
          <w:sz w:val="24"/>
        </w:rPr>
      </w:pPr>
      <w:r w:rsidRPr="007E774E">
        <w:rPr>
          <w:rFonts w:eastAsia="Times New Roman"/>
          <w:iCs/>
          <w:sz w:val="24"/>
          <w:lang w:eastAsia="en-AU" w:bidi="ne-NP"/>
        </w:rPr>
        <w:t xml:space="preserve">In most situations, there will be no conflict. In principle, diplomats are civilians not combatants or fighters, and diplomatic premises and vehicles are civilian objects, and are </w:t>
      </w:r>
      <w:r w:rsidR="00B27776">
        <w:rPr>
          <w:rFonts w:eastAsia="Times New Roman"/>
          <w:iCs/>
          <w:sz w:val="24"/>
          <w:lang w:eastAsia="en-AU" w:bidi="ne-NP"/>
        </w:rPr>
        <w:t xml:space="preserve">all </w:t>
      </w:r>
      <w:r w:rsidRPr="007E774E">
        <w:rPr>
          <w:rFonts w:eastAsia="Times New Roman"/>
          <w:iCs/>
          <w:sz w:val="24"/>
          <w:lang w:eastAsia="en-AU" w:bidi="ne-NP"/>
        </w:rPr>
        <w:t xml:space="preserve">immune from attack under IHL. </w:t>
      </w:r>
      <w:r w:rsidR="00527230" w:rsidRPr="007E774E">
        <w:rPr>
          <w:rFonts w:eastAsia="Times New Roman"/>
          <w:iCs/>
          <w:sz w:val="24"/>
          <w:lang w:eastAsia="en-AU" w:bidi="ne-NP"/>
        </w:rPr>
        <w:t xml:space="preserve">Problems arise, however, if a diplomat takes a direct part in hostilities; or an embassy becomes a military objective by hosting military or other personnel taking a direct part in hostilities; or an embassy </w:t>
      </w:r>
      <w:r w:rsidR="00B27776">
        <w:rPr>
          <w:rFonts w:eastAsia="Times New Roman"/>
          <w:iCs/>
          <w:sz w:val="24"/>
          <w:lang w:eastAsia="en-AU" w:bidi="ne-NP"/>
        </w:rPr>
        <w:t>suffers</w:t>
      </w:r>
      <w:r w:rsidR="00527230" w:rsidRPr="007E774E">
        <w:rPr>
          <w:rFonts w:eastAsia="Times New Roman"/>
          <w:iCs/>
          <w:sz w:val="24"/>
          <w:lang w:eastAsia="en-AU" w:bidi="ne-NP"/>
        </w:rPr>
        <w:t xml:space="preserve"> proportionate</w:t>
      </w:r>
      <w:r w:rsidR="00B27776">
        <w:rPr>
          <w:rFonts w:eastAsia="Times New Roman"/>
          <w:iCs/>
          <w:sz w:val="24"/>
          <w:lang w:eastAsia="en-AU" w:bidi="ne-NP"/>
        </w:rPr>
        <w:t xml:space="preserve"> collateral damage from</w:t>
      </w:r>
      <w:r w:rsidR="00527230" w:rsidRPr="007E774E">
        <w:rPr>
          <w:rFonts w:eastAsia="Times New Roman"/>
          <w:iCs/>
          <w:sz w:val="24"/>
          <w:lang w:eastAsia="en-AU" w:bidi="ne-NP"/>
        </w:rPr>
        <w:t xml:space="preserve"> a lawful strike on a nearby military objective. </w:t>
      </w:r>
      <w:r w:rsidR="00B27776">
        <w:rPr>
          <w:iCs/>
          <w:sz w:val="24"/>
        </w:rPr>
        <w:t>All such intentional</w:t>
      </w:r>
      <w:r w:rsidR="00527230" w:rsidRPr="007E774E">
        <w:rPr>
          <w:iCs/>
          <w:sz w:val="24"/>
        </w:rPr>
        <w:t xml:space="preserve"> attacks would</w:t>
      </w:r>
      <w:r w:rsidR="007E774E" w:rsidRPr="007E774E">
        <w:rPr>
          <w:iCs/>
          <w:sz w:val="24"/>
        </w:rPr>
        <w:t xml:space="preserve"> </w:t>
      </w:r>
      <w:r w:rsidR="00527230" w:rsidRPr="007E774E">
        <w:rPr>
          <w:iCs/>
          <w:sz w:val="24"/>
        </w:rPr>
        <w:t>be offences</w:t>
      </w:r>
      <w:r w:rsidR="007E774E" w:rsidRPr="007E774E">
        <w:rPr>
          <w:iCs/>
          <w:sz w:val="24"/>
        </w:rPr>
        <w:t xml:space="preserve"> which states parties must prosecute</w:t>
      </w:r>
      <w:r w:rsidR="00527230" w:rsidRPr="007E774E">
        <w:rPr>
          <w:iCs/>
          <w:sz w:val="24"/>
        </w:rPr>
        <w:t xml:space="preserve"> under the Convention</w:t>
      </w:r>
      <w:r w:rsidR="007E774E" w:rsidRPr="007E774E">
        <w:rPr>
          <w:iCs/>
          <w:sz w:val="24"/>
        </w:rPr>
        <w:t xml:space="preserve">, whereas </w:t>
      </w:r>
      <w:r w:rsidR="00527230" w:rsidRPr="007E774E">
        <w:rPr>
          <w:iCs/>
          <w:sz w:val="24"/>
        </w:rPr>
        <w:t>IHL may permit targeting</w:t>
      </w:r>
      <w:r w:rsidR="007E774E" w:rsidRPr="007E774E">
        <w:rPr>
          <w:iCs/>
          <w:sz w:val="24"/>
        </w:rPr>
        <w:t xml:space="preserve"> (and confer combatant immunity in IAC)</w:t>
      </w:r>
      <w:r w:rsidR="00527230" w:rsidRPr="007E774E">
        <w:rPr>
          <w:iCs/>
          <w:sz w:val="24"/>
        </w:rPr>
        <w:t>.</w:t>
      </w:r>
    </w:p>
    <w:p w14:paraId="18FEB441" w14:textId="77777777" w:rsidR="00B27776" w:rsidRDefault="00B27776" w:rsidP="007E774E">
      <w:pPr>
        <w:pStyle w:val="ListParagraph"/>
        <w:shd w:val="clear" w:color="auto" w:fill="FFFFFF" w:themeFill="background1"/>
        <w:tabs>
          <w:tab w:val="left" w:pos="851"/>
        </w:tabs>
        <w:spacing w:line="360" w:lineRule="auto"/>
        <w:ind w:left="0"/>
        <w:contextualSpacing w:val="0"/>
        <w:rPr>
          <w:iCs/>
          <w:sz w:val="24"/>
        </w:rPr>
      </w:pPr>
    </w:p>
    <w:p w14:paraId="020CCB4D" w14:textId="40B8BD2F" w:rsidR="009A3EDB" w:rsidRDefault="009A3EDB" w:rsidP="007E774E">
      <w:pPr>
        <w:pStyle w:val="ListParagraph"/>
        <w:shd w:val="clear" w:color="auto" w:fill="FFFFFF" w:themeFill="background1"/>
        <w:tabs>
          <w:tab w:val="left" w:pos="851"/>
        </w:tabs>
        <w:spacing w:line="360" w:lineRule="auto"/>
        <w:ind w:left="0"/>
        <w:contextualSpacing w:val="0"/>
        <w:rPr>
          <w:rFonts w:eastAsia="Times New Roman"/>
          <w:iCs/>
          <w:sz w:val="24"/>
          <w:lang w:eastAsia="en-AU" w:bidi="ne-NP"/>
        </w:rPr>
      </w:pPr>
      <w:r>
        <w:rPr>
          <w:rFonts w:eastAsia="Times New Roman"/>
          <w:iCs/>
          <w:sz w:val="24"/>
          <w:lang w:eastAsia="en-AU" w:bidi="ne-NP"/>
        </w:rPr>
        <w:t xml:space="preserve">Unlike for the aviation and maritime conventions, the Convention does not refer to ‘unlawful’ acts and thus provides no avenue to harmoniously apply IHL rules. In addition, </w:t>
      </w:r>
      <w:r>
        <w:rPr>
          <w:iCs/>
          <w:sz w:val="24"/>
        </w:rPr>
        <w:t xml:space="preserve">the difficulty with taking a hard </w:t>
      </w:r>
      <w:r w:rsidRPr="009A3EDB">
        <w:rPr>
          <w:i/>
          <w:iCs/>
          <w:sz w:val="24"/>
        </w:rPr>
        <w:t>lex specialis</w:t>
      </w:r>
      <w:r>
        <w:rPr>
          <w:iCs/>
          <w:sz w:val="24"/>
        </w:rPr>
        <w:t xml:space="preserve"> approach is again deciding which regime is special: </w:t>
      </w:r>
      <w:r w:rsidR="007E774E" w:rsidRPr="007E774E">
        <w:rPr>
          <w:rFonts w:eastAsia="Times New Roman"/>
          <w:iCs/>
          <w:sz w:val="24"/>
          <w:lang w:eastAsia="en-AU" w:bidi="ne-NP"/>
        </w:rPr>
        <w:t>IHL, because it is adapted to armed conflict,</w:t>
      </w:r>
      <w:r w:rsidR="007E774E" w:rsidRPr="007E774E">
        <w:rPr>
          <w:rStyle w:val="FootnoteReference"/>
          <w:sz w:val="24"/>
          <w:lang w:eastAsia="en-AU" w:bidi="ne-NP"/>
        </w:rPr>
        <w:footnoteReference w:id="33"/>
      </w:r>
      <w:r w:rsidR="007E774E" w:rsidRPr="007E774E">
        <w:rPr>
          <w:rFonts w:eastAsia="Times New Roman"/>
          <w:iCs/>
          <w:sz w:val="24"/>
          <w:lang w:eastAsia="en-AU" w:bidi="ne-NP"/>
        </w:rPr>
        <w:t xml:space="preserve"> or the Protected Persons Convention because it is tailored to the protection of diplomats and embassies? </w:t>
      </w:r>
      <w:r>
        <w:rPr>
          <w:rFonts w:eastAsia="Times New Roman"/>
          <w:iCs/>
          <w:sz w:val="24"/>
          <w:lang w:eastAsia="en-AU" w:bidi="ne-NP"/>
        </w:rPr>
        <w:t>On balance, international law tend</w:t>
      </w:r>
      <w:r w:rsidR="00391CF0">
        <w:rPr>
          <w:rFonts w:eastAsia="Times New Roman"/>
          <w:iCs/>
          <w:sz w:val="24"/>
          <w:lang w:eastAsia="en-AU" w:bidi="ne-NP"/>
        </w:rPr>
        <w:t>s</w:t>
      </w:r>
      <w:r>
        <w:rPr>
          <w:rFonts w:eastAsia="Times New Roman"/>
          <w:iCs/>
          <w:sz w:val="24"/>
          <w:lang w:eastAsia="en-AU" w:bidi="ne-NP"/>
        </w:rPr>
        <w:t xml:space="preserve"> to suggest the latter, rather than IHL, is the special law.</w:t>
      </w:r>
    </w:p>
    <w:p w14:paraId="1013DBD0" w14:textId="28F4179A" w:rsidR="009A3EDB" w:rsidRDefault="009A3EDB" w:rsidP="007E774E">
      <w:pPr>
        <w:pStyle w:val="ListParagraph"/>
        <w:shd w:val="clear" w:color="auto" w:fill="FFFFFF" w:themeFill="background1"/>
        <w:tabs>
          <w:tab w:val="left" w:pos="851"/>
        </w:tabs>
        <w:spacing w:line="360" w:lineRule="auto"/>
        <w:ind w:left="0"/>
        <w:contextualSpacing w:val="0"/>
        <w:rPr>
          <w:rFonts w:eastAsia="Times New Roman"/>
          <w:iCs/>
          <w:sz w:val="24"/>
          <w:lang w:eastAsia="en-AU" w:bidi="ne-NP"/>
        </w:rPr>
      </w:pPr>
    </w:p>
    <w:p w14:paraId="3ED04594" w14:textId="3F052C54" w:rsidR="00F62652" w:rsidRPr="007E774E" w:rsidRDefault="007E774E" w:rsidP="007E774E">
      <w:pPr>
        <w:pStyle w:val="ListParagraph"/>
        <w:shd w:val="clear" w:color="auto" w:fill="FFFFFF" w:themeFill="background1"/>
        <w:tabs>
          <w:tab w:val="left" w:pos="851"/>
        </w:tabs>
        <w:spacing w:line="360" w:lineRule="auto"/>
        <w:ind w:left="0"/>
        <w:contextualSpacing w:val="0"/>
        <w:rPr>
          <w:rFonts w:eastAsia="Times New Roman"/>
          <w:iCs/>
          <w:sz w:val="24"/>
          <w:lang w:eastAsia="en-AU" w:bidi="ne-NP"/>
        </w:rPr>
      </w:pPr>
      <w:r>
        <w:rPr>
          <w:rFonts w:eastAsia="Times New Roman"/>
          <w:iCs/>
          <w:sz w:val="24"/>
          <w:lang w:eastAsia="en-AU" w:bidi="ne-NP"/>
        </w:rPr>
        <w:t xml:space="preserve">Under </w:t>
      </w:r>
      <w:r w:rsidRPr="007E774E">
        <w:rPr>
          <w:rFonts w:eastAsia="Times New Roman"/>
          <w:iCs/>
          <w:sz w:val="24"/>
          <w:lang w:eastAsia="en-AU" w:bidi="ne-NP"/>
        </w:rPr>
        <w:t xml:space="preserve">international law, inviolability of diplomats and embassies is strict, admitting no exceptions even for </w:t>
      </w:r>
      <w:r w:rsidR="00F62652" w:rsidRPr="007E774E">
        <w:rPr>
          <w:rFonts w:eastAsia="Times New Roman"/>
          <w:iCs/>
          <w:sz w:val="24"/>
          <w:lang w:eastAsia="en-AU" w:bidi="ne-NP"/>
        </w:rPr>
        <w:t>serious violations of local law, abuses of diplomatic functions</w:t>
      </w:r>
      <w:r w:rsidR="00F62652" w:rsidRPr="007E774E">
        <w:rPr>
          <w:rStyle w:val="FootnoteReference"/>
          <w:sz w:val="24"/>
          <w:lang w:eastAsia="en-AU" w:bidi="ne-NP"/>
        </w:rPr>
        <w:footnoteReference w:id="34"/>
      </w:r>
      <w:r w:rsidR="00F62652" w:rsidRPr="007E774E">
        <w:rPr>
          <w:rFonts w:eastAsia="Times New Roman"/>
          <w:iCs/>
          <w:sz w:val="24"/>
          <w:lang w:eastAsia="en-AU" w:bidi="ne-NP"/>
        </w:rPr>
        <w:t xml:space="preserve"> (including </w:t>
      </w:r>
      <w:r w:rsidR="00F62652" w:rsidRPr="007E774E">
        <w:rPr>
          <w:rFonts w:eastAsia="Times New Roman"/>
          <w:iCs/>
          <w:sz w:val="24"/>
          <w:lang w:eastAsia="en-AU" w:bidi="ne-NP"/>
        </w:rPr>
        <w:lastRenderedPageBreak/>
        <w:t>espionage or political interference), or emergencies.</w:t>
      </w:r>
      <w:r w:rsidR="00F62652" w:rsidRPr="007E774E">
        <w:rPr>
          <w:rStyle w:val="FootnoteReference"/>
          <w:sz w:val="24"/>
          <w:lang w:eastAsia="en-AU" w:bidi="ne-NP"/>
        </w:rPr>
        <w:footnoteReference w:id="35"/>
      </w:r>
      <w:r w:rsidR="00F62652" w:rsidRPr="007E774E">
        <w:rPr>
          <w:rFonts w:eastAsia="Times New Roman"/>
          <w:iCs/>
          <w:sz w:val="24"/>
          <w:lang w:eastAsia="en-AU" w:bidi="ne-NP"/>
        </w:rPr>
        <w:t xml:space="preserve"> The appropriate remedy within the </w:t>
      </w:r>
      <w:r w:rsidR="00391CF0">
        <w:rPr>
          <w:rFonts w:eastAsia="Times New Roman"/>
          <w:iCs/>
          <w:sz w:val="24"/>
          <w:lang w:eastAsia="en-AU" w:bidi="ne-NP"/>
        </w:rPr>
        <w:t>purposefully</w:t>
      </w:r>
      <w:r w:rsidR="00F62652" w:rsidRPr="007E774E">
        <w:rPr>
          <w:rFonts w:eastAsia="Times New Roman"/>
          <w:iCs/>
          <w:sz w:val="24"/>
          <w:lang w:eastAsia="en-AU" w:bidi="ne-NP"/>
        </w:rPr>
        <w:t xml:space="preserve"> self-contained regime of diplomatic relations law is a declaration of </w:t>
      </w:r>
      <w:r w:rsidR="00F62652" w:rsidRPr="007E774E">
        <w:rPr>
          <w:rFonts w:eastAsia="Times New Roman"/>
          <w:i/>
          <w:iCs/>
          <w:sz w:val="24"/>
          <w:lang w:eastAsia="en-AU" w:bidi="ne-NP"/>
        </w:rPr>
        <w:t>persona non-grata</w:t>
      </w:r>
      <w:r w:rsidR="00F62652" w:rsidRPr="007E774E">
        <w:rPr>
          <w:rFonts w:eastAsia="Times New Roman"/>
          <w:iCs/>
          <w:sz w:val="24"/>
          <w:lang w:eastAsia="en-AU" w:bidi="ne-NP"/>
        </w:rPr>
        <w:t xml:space="preserve"> or termination of relations.</w:t>
      </w:r>
      <w:r w:rsidR="00F62652" w:rsidRPr="007E774E">
        <w:rPr>
          <w:rStyle w:val="FootnoteReference"/>
          <w:sz w:val="24"/>
          <w:lang w:eastAsia="en-AU" w:bidi="ne-NP"/>
        </w:rPr>
        <w:footnoteReference w:id="36"/>
      </w:r>
      <w:r w:rsidR="00F62652" w:rsidRPr="007E774E">
        <w:rPr>
          <w:rFonts w:eastAsia="Times New Roman"/>
          <w:iCs/>
          <w:sz w:val="24"/>
          <w:lang w:eastAsia="en-AU" w:bidi="ne-NP"/>
        </w:rPr>
        <w:t xml:space="preserve"> </w:t>
      </w:r>
      <w:r>
        <w:rPr>
          <w:rFonts w:eastAsia="Times New Roman"/>
          <w:iCs/>
          <w:sz w:val="24"/>
          <w:lang w:eastAsia="en-AU" w:bidi="ne-NP"/>
        </w:rPr>
        <w:t xml:space="preserve">There is no clear authority that even national self-defence, or IHL, would justify or excuse </w:t>
      </w:r>
      <w:r w:rsidR="00391CF0">
        <w:rPr>
          <w:rFonts w:eastAsia="Times New Roman"/>
          <w:iCs/>
          <w:sz w:val="24"/>
          <w:lang w:eastAsia="en-AU" w:bidi="ne-NP"/>
        </w:rPr>
        <w:t>breach of inviolability</w:t>
      </w:r>
      <w:r w:rsidRPr="007E774E">
        <w:rPr>
          <w:rFonts w:eastAsia="Times New Roman"/>
          <w:iCs/>
          <w:sz w:val="24"/>
          <w:lang w:eastAsia="en-AU" w:bidi="ne-NP"/>
        </w:rPr>
        <w:t xml:space="preserve">. </w:t>
      </w:r>
      <w:r w:rsidR="003F1390">
        <w:rPr>
          <w:rFonts w:eastAsia="Times New Roman"/>
          <w:iCs/>
          <w:sz w:val="24"/>
          <w:lang w:eastAsia="en-AU" w:bidi="ne-NP"/>
        </w:rPr>
        <w:t xml:space="preserve">In state practice, attacks on diplomats or embassies </w:t>
      </w:r>
      <w:r w:rsidR="009A3EDB">
        <w:rPr>
          <w:rFonts w:eastAsia="Times New Roman"/>
          <w:iCs/>
          <w:sz w:val="24"/>
          <w:lang w:eastAsia="en-AU" w:bidi="ne-NP"/>
        </w:rPr>
        <w:t>in armed conflict</w:t>
      </w:r>
      <w:r w:rsidR="003F1390">
        <w:rPr>
          <w:rFonts w:eastAsia="Times New Roman"/>
          <w:iCs/>
          <w:sz w:val="24"/>
          <w:lang w:eastAsia="en-AU" w:bidi="ne-NP"/>
        </w:rPr>
        <w:t xml:space="preserve"> have not</w:t>
      </w:r>
      <w:r w:rsidR="009A3EDB">
        <w:rPr>
          <w:rFonts w:eastAsia="Times New Roman"/>
          <w:iCs/>
          <w:sz w:val="24"/>
          <w:lang w:eastAsia="en-AU" w:bidi="ne-NP"/>
        </w:rPr>
        <w:t xml:space="preserve"> normally</w:t>
      </w:r>
      <w:r w:rsidR="003F1390">
        <w:rPr>
          <w:rFonts w:eastAsia="Times New Roman"/>
          <w:iCs/>
          <w:sz w:val="24"/>
          <w:lang w:eastAsia="en-AU" w:bidi="ne-NP"/>
        </w:rPr>
        <w:t xml:space="preserve"> been addressed by </w:t>
      </w:r>
      <w:r w:rsidR="009A3EDB">
        <w:rPr>
          <w:rFonts w:eastAsia="Times New Roman"/>
          <w:iCs/>
          <w:sz w:val="24"/>
          <w:lang w:eastAsia="en-AU" w:bidi="ne-NP"/>
        </w:rPr>
        <w:t xml:space="preserve">recourse to IHL standards, but instead by </w:t>
      </w:r>
      <w:r w:rsidR="00391CF0">
        <w:rPr>
          <w:rFonts w:eastAsia="Times New Roman"/>
          <w:iCs/>
          <w:sz w:val="24"/>
          <w:lang w:eastAsia="en-AU" w:bidi="ne-NP"/>
        </w:rPr>
        <w:t>through</w:t>
      </w:r>
      <w:r w:rsidR="009A3EDB">
        <w:rPr>
          <w:rFonts w:eastAsia="Times New Roman"/>
          <w:iCs/>
          <w:sz w:val="24"/>
          <w:lang w:eastAsia="en-AU" w:bidi="ne-NP"/>
        </w:rPr>
        <w:t xml:space="preserve"> the VCDR and/or the Convention.</w:t>
      </w:r>
      <w:r w:rsidR="003F1390">
        <w:rPr>
          <w:rStyle w:val="FootnoteReference"/>
          <w:rFonts w:eastAsia="Times New Roman"/>
          <w:iCs/>
          <w:sz w:val="24"/>
          <w:lang w:eastAsia="en-AU" w:bidi="ne-NP"/>
        </w:rPr>
        <w:footnoteReference w:id="37"/>
      </w:r>
    </w:p>
    <w:p w14:paraId="07B5FF2A" w14:textId="77777777" w:rsidR="003631EC" w:rsidRPr="003F1390" w:rsidRDefault="003631EC" w:rsidP="003631EC">
      <w:pPr>
        <w:tabs>
          <w:tab w:val="left" w:pos="851"/>
        </w:tabs>
        <w:spacing w:line="360" w:lineRule="auto"/>
        <w:rPr>
          <w:rFonts w:eastAsia="Times New Roman"/>
          <w:iCs/>
          <w:sz w:val="24"/>
          <w:lang w:eastAsia="en-AU" w:bidi="ne-NP"/>
        </w:rPr>
      </w:pPr>
    </w:p>
    <w:p w14:paraId="1BB8E110" w14:textId="1C080B51" w:rsidR="00566552" w:rsidRDefault="003631EC" w:rsidP="009A3EDB">
      <w:pPr>
        <w:tabs>
          <w:tab w:val="left" w:pos="851"/>
        </w:tabs>
        <w:spacing w:line="360" w:lineRule="auto"/>
        <w:rPr>
          <w:sz w:val="24"/>
        </w:rPr>
      </w:pPr>
      <w:r w:rsidRPr="003F1390">
        <w:rPr>
          <w:rFonts w:eastAsia="Times New Roman"/>
          <w:iCs/>
          <w:sz w:val="24"/>
          <w:lang w:eastAsia="en-AU" w:bidi="ne-NP"/>
        </w:rPr>
        <w:t xml:space="preserve">Whether </w:t>
      </w:r>
      <w:r w:rsidR="009A3EDB">
        <w:rPr>
          <w:rFonts w:eastAsia="Times New Roman"/>
          <w:iCs/>
          <w:sz w:val="24"/>
          <w:lang w:eastAsia="en-AU" w:bidi="ne-NP"/>
        </w:rPr>
        <w:t>such approach</w:t>
      </w:r>
      <w:r w:rsidRPr="003F1390">
        <w:rPr>
          <w:rFonts w:eastAsia="Times New Roman"/>
          <w:iCs/>
          <w:sz w:val="24"/>
          <w:lang w:eastAsia="en-AU" w:bidi="ne-NP"/>
        </w:rPr>
        <w:t xml:space="preserve"> is desirable, from a policy standpoint, </w:t>
      </w:r>
      <w:r w:rsidR="009A3EDB">
        <w:rPr>
          <w:rFonts w:eastAsia="Times New Roman"/>
          <w:iCs/>
          <w:sz w:val="24"/>
          <w:lang w:eastAsia="en-AU" w:bidi="ne-NP"/>
        </w:rPr>
        <w:t>is debateable</w:t>
      </w:r>
      <w:r w:rsidRPr="003F1390">
        <w:rPr>
          <w:rFonts w:eastAsia="Times New Roman"/>
          <w:iCs/>
          <w:sz w:val="24"/>
          <w:lang w:eastAsia="en-AU" w:bidi="ne-NP"/>
        </w:rPr>
        <w:t xml:space="preserve">. </w:t>
      </w:r>
      <w:r w:rsidR="003F1390" w:rsidRPr="003F1390">
        <w:rPr>
          <w:rFonts w:eastAsia="Times New Roman"/>
          <w:iCs/>
          <w:sz w:val="24"/>
          <w:lang w:eastAsia="en-AU" w:bidi="ne-NP"/>
        </w:rPr>
        <w:t>A</w:t>
      </w:r>
      <w:r w:rsidRPr="003F1390">
        <w:rPr>
          <w:rFonts w:eastAsia="Times New Roman"/>
          <w:iCs/>
          <w:sz w:val="24"/>
          <w:lang w:eastAsia="en-AU" w:bidi="ne-NP"/>
        </w:rPr>
        <w:t xml:space="preserve"> strict approach </w:t>
      </w:r>
      <w:r w:rsidR="009A3EDB">
        <w:rPr>
          <w:rFonts w:eastAsia="Times New Roman"/>
          <w:iCs/>
          <w:sz w:val="24"/>
          <w:lang w:eastAsia="en-AU" w:bidi="ne-NP"/>
        </w:rPr>
        <w:t xml:space="preserve">deliberately </w:t>
      </w:r>
      <w:r w:rsidRPr="003F1390">
        <w:rPr>
          <w:rFonts w:eastAsia="Times New Roman"/>
          <w:iCs/>
          <w:sz w:val="24"/>
          <w:lang w:eastAsia="en-AU" w:bidi="ne-NP"/>
        </w:rPr>
        <w:t xml:space="preserve">minimizes the risks of states abusing IHL </w:t>
      </w:r>
      <w:r w:rsidR="009A3EDB">
        <w:rPr>
          <w:rFonts w:eastAsia="Times New Roman"/>
          <w:iCs/>
          <w:sz w:val="24"/>
          <w:lang w:eastAsia="en-AU" w:bidi="ne-NP"/>
        </w:rPr>
        <w:t xml:space="preserve">(or other legal) </w:t>
      </w:r>
      <w:r w:rsidRPr="003F1390">
        <w:rPr>
          <w:rFonts w:eastAsia="Times New Roman"/>
          <w:iCs/>
          <w:sz w:val="24"/>
          <w:lang w:eastAsia="en-AU" w:bidi="ne-NP"/>
        </w:rPr>
        <w:t>rights and thereby endangering not only the person or premises of diplomats</w:t>
      </w:r>
      <w:r w:rsidR="009A3EDB">
        <w:rPr>
          <w:rFonts w:eastAsia="Times New Roman"/>
          <w:iCs/>
          <w:sz w:val="24"/>
          <w:lang w:eastAsia="en-AU" w:bidi="ne-NP"/>
        </w:rPr>
        <w:t xml:space="preserve"> or other protected persons</w:t>
      </w:r>
      <w:r w:rsidRPr="003F1390">
        <w:rPr>
          <w:rFonts w:eastAsia="Times New Roman"/>
          <w:iCs/>
          <w:sz w:val="24"/>
          <w:lang w:eastAsia="en-AU" w:bidi="ne-NP"/>
        </w:rPr>
        <w:t xml:space="preserve"> but, through them, the </w:t>
      </w:r>
      <w:r w:rsidR="009A3EDB">
        <w:rPr>
          <w:rFonts w:eastAsia="Times New Roman"/>
          <w:iCs/>
          <w:sz w:val="24"/>
          <w:lang w:eastAsia="en-AU" w:bidi="ne-NP"/>
        </w:rPr>
        <w:t xml:space="preserve">all-important </w:t>
      </w:r>
      <w:r w:rsidRPr="003F1390">
        <w:rPr>
          <w:rFonts w:eastAsia="Times New Roman"/>
          <w:iCs/>
          <w:sz w:val="24"/>
          <w:lang w:eastAsia="en-AU" w:bidi="ne-NP"/>
        </w:rPr>
        <w:t xml:space="preserve">channels of inter-state diplomatic communication. On the other hand, it is precisely in </w:t>
      </w:r>
      <w:r w:rsidR="009A3EDB">
        <w:rPr>
          <w:rFonts w:eastAsia="Times New Roman"/>
          <w:iCs/>
          <w:sz w:val="24"/>
          <w:lang w:eastAsia="en-AU" w:bidi="ne-NP"/>
        </w:rPr>
        <w:t>conflict</w:t>
      </w:r>
      <w:r w:rsidRPr="003F1390">
        <w:rPr>
          <w:rFonts w:eastAsia="Times New Roman"/>
          <w:iCs/>
          <w:sz w:val="24"/>
          <w:lang w:eastAsia="en-AU" w:bidi="ne-NP"/>
        </w:rPr>
        <w:t xml:space="preserve"> that states may be tempted to abuse </w:t>
      </w:r>
      <w:r w:rsidR="009A3EDB">
        <w:rPr>
          <w:rFonts w:eastAsia="Times New Roman"/>
          <w:iCs/>
          <w:sz w:val="24"/>
          <w:lang w:eastAsia="en-AU" w:bidi="ne-NP"/>
        </w:rPr>
        <w:t xml:space="preserve">diplomatic </w:t>
      </w:r>
      <w:r w:rsidRPr="003F1390">
        <w:rPr>
          <w:rFonts w:eastAsia="Times New Roman"/>
          <w:iCs/>
          <w:sz w:val="24"/>
          <w:lang w:eastAsia="en-AU" w:bidi="ne-NP"/>
        </w:rPr>
        <w:t>inviolabi</w:t>
      </w:r>
      <w:r w:rsidR="009A3EDB">
        <w:rPr>
          <w:rFonts w:eastAsia="Times New Roman"/>
          <w:iCs/>
          <w:sz w:val="24"/>
          <w:lang w:eastAsia="en-AU" w:bidi="ne-NP"/>
        </w:rPr>
        <w:t>lity to further their war aims. T</w:t>
      </w:r>
      <w:r w:rsidRPr="003F1390">
        <w:rPr>
          <w:rFonts w:eastAsia="Times New Roman"/>
          <w:iCs/>
          <w:sz w:val="24"/>
          <w:lang w:eastAsia="en-AU" w:bidi="ne-NP"/>
        </w:rPr>
        <w:t xml:space="preserve">he remedies of diplomatic relations law – </w:t>
      </w:r>
      <w:r w:rsidRPr="003F1390">
        <w:rPr>
          <w:rFonts w:eastAsia="Times New Roman"/>
          <w:i/>
          <w:iCs/>
          <w:sz w:val="24"/>
          <w:lang w:eastAsia="en-AU" w:bidi="ne-NP"/>
        </w:rPr>
        <w:t>persona non grata</w:t>
      </w:r>
      <w:r w:rsidR="003F1390" w:rsidRPr="003F1390">
        <w:rPr>
          <w:rFonts w:eastAsia="Times New Roman"/>
          <w:iCs/>
          <w:sz w:val="24"/>
          <w:lang w:eastAsia="en-AU" w:bidi="ne-NP"/>
        </w:rPr>
        <w:t xml:space="preserve"> </w:t>
      </w:r>
      <w:r w:rsidRPr="003F1390">
        <w:rPr>
          <w:rFonts w:eastAsia="Times New Roman"/>
          <w:iCs/>
          <w:sz w:val="24"/>
          <w:lang w:eastAsia="en-AU" w:bidi="ne-NP"/>
        </w:rPr>
        <w:t xml:space="preserve">– may not </w:t>
      </w:r>
      <w:r w:rsidR="00391CF0">
        <w:rPr>
          <w:rFonts w:eastAsia="Times New Roman"/>
          <w:iCs/>
          <w:sz w:val="24"/>
          <w:lang w:eastAsia="en-AU" w:bidi="ne-NP"/>
        </w:rPr>
        <w:t>be</w:t>
      </w:r>
      <w:r w:rsidRPr="003F1390">
        <w:rPr>
          <w:rFonts w:eastAsia="Times New Roman"/>
          <w:iCs/>
          <w:sz w:val="24"/>
          <w:lang w:eastAsia="en-AU" w:bidi="ne-NP"/>
        </w:rPr>
        <w:t xml:space="preserve"> timely aga</w:t>
      </w:r>
      <w:r w:rsidR="003F1390" w:rsidRPr="003F1390">
        <w:rPr>
          <w:rFonts w:eastAsia="Times New Roman"/>
          <w:iCs/>
          <w:sz w:val="24"/>
          <w:lang w:eastAsia="en-AU" w:bidi="ne-NP"/>
        </w:rPr>
        <w:t xml:space="preserve">inst military </w:t>
      </w:r>
      <w:r w:rsidR="009A3EDB">
        <w:rPr>
          <w:rFonts w:eastAsia="Times New Roman"/>
          <w:iCs/>
          <w:sz w:val="24"/>
          <w:lang w:eastAsia="en-AU" w:bidi="ne-NP"/>
        </w:rPr>
        <w:t>threats</w:t>
      </w:r>
      <w:r w:rsidR="00391CF0">
        <w:rPr>
          <w:rFonts w:eastAsia="Times New Roman"/>
          <w:iCs/>
          <w:sz w:val="24"/>
          <w:lang w:eastAsia="en-AU" w:bidi="ne-NP"/>
        </w:rPr>
        <w:t xml:space="preserve"> which necessitate a military response against ordinarily</w:t>
      </w:r>
      <w:r w:rsidR="003F1390" w:rsidRPr="003F1390">
        <w:rPr>
          <w:rFonts w:eastAsia="Times New Roman"/>
          <w:iCs/>
          <w:sz w:val="24"/>
          <w:lang w:eastAsia="en-AU" w:bidi="ne-NP"/>
        </w:rPr>
        <w:t xml:space="preserve"> normally protected persons or objects. </w:t>
      </w:r>
    </w:p>
    <w:p w14:paraId="0ADB3DF9" w14:textId="77777777" w:rsidR="006A3828" w:rsidRDefault="006A3828" w:rsidP="006A3828">
      <w:pPr>
        <w:pStyle w:val="ListParagraph"/>
        <w:shd w:val="clear" w:color="auto" w:fill="FFFFFF" w:themeFill="background1"/>
        <w:tabs>
          <w:tab w:val="left" w:pos="851"/>
        </w:tabs>
        <w:spacing w:line="360" w:lineRule="auto"/>
        <w:ind w:left="0"/>
        <w:contextualSpacing w:val="0"/>
        <w:rPr>
          <w:b/>
          <w:sz w:val="24"/>
        </w:rPr>
      </w:pPr>
    </w:p>
    <w:p w14:paraId="18DF87F2" w14:textId="69A6D9CA" w:rsidR="0048304F" w:rsidRDefault="00942910" w:rsidP="006A3828">
      <w:pPr>
        <w:pStyle w:val="ListParagraph"/>
        <w:shd w:val="clear" w:color="auto" w:fill="FFFFFF" w:themeFill="background1"/>
        <w:tabs>
          <w:tab w:val="left" w:pos="851"/>
        </w:tabs>
        <w:spacing w:line="360" w:lineRule="auto"/>
        <w:ind w:left="0"/>
        <w:contextualSpacing w:val="0"/>
        <w:rPr>
          <w:b/>
          <w:sz w:val="24"/>
        </w:rPr>
      </w:pPr>
      <w:r>
        <w:rPr>
          <w:b/>
          <w:sz w:val="24"/>
        </w:rPr>
        <w:t>4.2</w:t>
      </w:r>
      <w:r>
        <w:rPr>
          <w:b/>
          <w:sz w:val="24"/>
        </w:rPr>
        <w:tab/>
      </w:r>
      <w:r w:rsidR="0048304F">
        <w:rPr>
          <w:b/>
          <w:sz w:val="24"/>
        </w:rPr>
        <w:t>ICTCs addressing IHL</w:t>
      </w:r>
    </w:p>
    <w:p w14:paraId="526F09CF" w14:textId="77777777" w:rsidR="0048304F" w:rsidRDefault="0048304F" w:rsidP="006A3828">
      <w:pPr>
        <w:pStyle w:val="ListParagraph"/>
        <w:shd w:val="clear" w:color="auto" w:fill="FFFFFF" w:themeFill="background1"/>
        <w:tabs>
          <w:tab w:val="left" w:pos="851"/>
        </w:tabs>
        <w:spacing w:line="360" w:lineRule="auto"/>
        <w:ind w:left="0"/>
        <w:contextualSpacing w:val="0"/>
        <w:rPr>
          <w:b/>
          <w:sz w:val="24"/>
        </w:rPr>
      </w:pPr>
    </w:p>
    <w:p w14:paraId="33ED391F" w14:textId="3828506A" w:rsidR="0048304F" w:rsidRDefault="0048304F" w:rsidP="0048304F">
      <w:pPr>
        <w:tabs>
          <w:tab w:val="left" w:pos="851"/>
        </w:tabs>
        <w:spacing w:line="360" w:lineRule="auto"/>
        <w:rPr>
          <w:sz w:val="24"/>
        </w:rPr>
      </w:pPr>
      <w:r>
        <w:rPr>
          <w:sz w:val="24"/>
        </w:rPr>
        <w:t xml:space="preserve">The Hostages Convention 1979 was the first Convention to address IHL. It </w:t>
      </w:r>
      <w:r w:rsidRPr="0082146B">
        <w:rPr>
          <w:sz w:val="24"/>
        </w:rPr>
        <w:t xml:space="preserve">does not apply </w:t>
      </w:r>
      <w:r>
        <w:rPr>
          <w:sz w:val="24"/>
        </w:rPr>
        <w:t>to hostage taking where it is a grave breach in IAC</w:t>
      </w:r>
      <w:r>
        <w:rPr>
          <w:rStyle w:val="FootnoteReference"/>
          <w:sz w:val="24"/>
        </w:rPr>
        <w:footnoteReference w:id="38"/>
      </w:r>
      <w:r>
        <w:rPr>
          <w:sz w:val="24"/>
        </w:rPr>
        <w:t xml:space="preserve"> and states are obliged to ‘extradite or prosecute’</w:t>
      </w:r>
      <w:r w:rsidRPr="0082146B">
        <w:rPr>
          <w:sz w:val="24"/>
        </w:rPr>
        <w:t xml:space="preserve"> </w:t>
      </w:r>
      <w:r>
        <w:rPr>
          <w:sz w:val="24"/>
        </w:rPr>
        <w:t>the suspect</w:t>
      </w:r>
      <w:r w:rsidRPr="0082146B">
        <w:rPr>
          <w:sz w:val="24"/>
        </w:rPr>
        <w:t xml:space="preserve"> under the Geneva Conventions </w:t>
      </w:r>
      <w:r>
        <w:rPr>
          <w:sz w:val="24"/>
        </w:rPr>
        <w:t xml:space="preserve">of 1949 </w:t>
      </w:r>
      <w:r w:rsidR="00391CF0">
        <w:rPr>
          <w:sz w:val="24"/>
        </w:rPr>
        <w:t>or</w:t>
      </w:r>
      <w:r>
        <w:rPr>
          <w:sz w:val="24"/>
        </w:rPr>
        <w:t xml:space="preserve"> Protocol I</w:t>
      </w:r>
      <w:r w:rsidRPr="0082146B">
        <w:rPr>
          <w:sz w:val="24"/>
        </w:rPr>
        <w:t xml:space="preserve"> of 1977.</w:t>
      </w:r>
      <w:r w:rsidRPr="0082146B">
        <w:rPr>
          <w:rStyle w:val="FootnoteReference"/>
          <w:sz w:val="24"/>
        </w:rPr>
        <w:footnoteReference w:id="39"/>
      </w:r>
      <w:r>
        <w:rPr>
          <w:sz w:val="24"/>
        </w:rPr>
        <w:t xml:space="preserve"> It still applies in IAC where hostages are not protected under those instruments</w:t>
      </w:r>
      <w:r>
        <w:rPr>
          <w:rStyle w:val="FootnoteReference"/>
          <w:sz w:val="24"/>
        </w:rPr>
        <w:footnoteReference w:id="40"/>
      </w:r>
      <w:r>
        <w:rPr>
          <w:sz w:val="24"/>
        </w:rPr>
        <w:t xml:space="preserve"> and to all hostage </w:t>
      </w:r>
      <w:r>
        <w:rPr>
          <w:sz w:val="24"/>
        </w:rPr>
        <w:lastRenderedPageBreak/>
        <w:t>taking in NIAC (where there is no ‘extradite or prosecute’ obligation, even though hostage taking in NIAC is prohibited by treaty and is a war crime under customary law</w:t>
      </w:r>
      <w:r>
        <w:rPr>
          <w:rStyle w:val="FootnoteReference"/>
          <w:sz w:val="24"/>
        </w:rPr>
        <w:footnoteReference w:id="41"/>
      </w:r>
      <w:r>
        <w:rPr>
          <w:sz w:val="24"/>
        </w:rPr>
        <w:t xml:space="preserve">). </w:t>
      </w:r>
    </w:p>
    <w:p w14:paraId="2EB53A19" w14:textId="77777777" w:rsidR="0048304F" w:rsidRDefault="0048304F" w:rsidP="0048304F">
      <w:pPr>
        <w:tabs>
          <w:tab w:val="left" w:pos="851"/>
        </w:tabs>
        <w:spacing w:line="360" w:lineRule="auto"/>
        <w:rPr>
          <w:sz w:val="24"/>
        </w:rPr>
      </w:pPr>
    </w:p>
    <w:p w14:paraId="798290C5" w14:textId="0E1DCB44" w:rsidR="0048304F" w:rsidRDefault="0048304F" w:rsidP="0048304F">
      <w:pPr>
        <w:tabs>
          <w:tab w:val="left" w:pos="851"/>
        </w:tabs>
        <w:spacing w:line="360" w:lineRule="auto"/>
        <w:rPr>
          <w:sz w:val="24"/>
        </w:rPr>
      </w:pPr>
      <w:r>
        <w:rPr>
          <w:sz w:val="24"/>
        </w:rPr>
        <w:t xml:space="preserve">Accordingly, in IAC IHL </w:t>
      </w:r>
      <w:r w:rsidRPr="0082146B">
        <w:rPr>
          <w:sz w:val="24"/>
        </w:rPr>
        <w:t xml:space="preserve">is </w:t>
      </w:r>
      <w:r>
        <w:rPr>
          <w:sz w:val="24"/>
        </w:rPr>
        <w:t xml:space="preserve">largely, but not exclusively, </w:t>
      </w:r>
      <w:r w:rsidRPr="0082146B">
        <w:rPr>
          <w:sz w:val="24"/>
        </w:rPr>
        <w:t xml:space="preserve">accorded </w:t>
      </w:r>
      <w:r>
        <w:rPr>
          <w:sz w:val="24"/>
        </w:rPr>
        <w:t>priority</w:t>
      </w:r>
      <w:r w:rsidRPr="0082146B">
        <w:rPr>
          <w:sz w:val="24"/>
        </w:rPr>
        <w:t xml:space="preserve"> as the </w:t>
      </w:r>
      <w:r w:rsidRPr="0082146B">
        <w:rPr>
          <w:i/>
          <w:sz w:val="24"/>
        </w:rPr>
        <w:t>lex specialis</w:t>
      </w:r>
      <w:r>
        <w:rPr>
          <w:sz w:val="24"/>
        </w:rPr>
        <w:t>, whereas the Hostages Convention fully co-applies with IHL in NIAC</w:t>
      </w:r>
      <w:r w:rsidRPr="0082146B">
        <w:rPr>
          <w:sz w:val="24"/>
        </w:rPr>
        <w:t xml:space="preserve">. </w:t>
      </w:r>
      <w:r>
        <w:rPr>
          <w:sz w:val="24"/>
        </w:rPr>
        <w:t>T</w:t>
      </w:r>
      <w:r w:rsidRPr="002034EA">
        <w:rPr>
          <w:sz w:val="24"/>
          <w:lang w:val="en-US"/>
        </w:rPr>
        <w:t>he drafters rejected proposals for a strict</w:t>
      </w:r>
      <w:r>
        <w:rPr>
          <w:sz w:val="24"/>
          <w:lang w:val="en-US"/>
        </w:rPr>
        <w:t>er</w:t>
      </w:r>
      <w:r w:rsidRPr="002034EA">
        <w:rPr>
          <w:sz w:val="24"/>
          <w:lang w:val="en-US"/>
        </w:rPr>
        <w:t xml:space="preserve"> separation, whereby IHL would exclusively apply to armed </w:t>
      </w:r>
      <w:r>
        <w:rPr>
          <w:sz w:val="24"/>
          <w:lang w:val="en-US"/>
        </w:rPr>
        <w:t>conflict</w:t>
      </w:r>
      <w:r w:rsidRPr="002034EA">
        <w:rPr>
          <w:sz w:val="24"/>
          <w:lang w:val="en-US"/>
        </w:rPr>
        <w:t xml:space="preserve"> and the Hostages Convention would exclusively govern peace time.</w:t>
      </w:r>
      <w:r w:rsidRPr="002034EA">
        <w:rPr>
          <w:sz w:val="24"/>
          <w:vertAlign w:val="superscript"/>
          <w:lang w:val="en-US"/>
        </w:rPr>
        <w:footnoteReference w:id="42"/>
      </w:r>
      <w:r>
        <w:rPr>
          <w:sz w:val="24"/>
          <w:lang w:val="en-US"/>
        </w:rPr>
        <w:t xml:space="preserve"> </w:t>
      </w:r>
      <w:r w:rsidRPr="00446ECC">
        <w:rPr>
          <w:sz w:val="24"/>
        </w:rPr>
        <w:t>T</w:t>
      </w:r>
      <w:r>
        <w:rPr>
          <w:sz w:val="24"/>
        </w:rPr>
        <w:t>he deference to</w:t>
      </w:r>
      <w:r w:rsidRPr="00446ECC">
        <w:rPr>
          <w:sz w:val="24"/>
        </w:rPr>
        <w:t xml:space="preserve"> </w:t>
      </w:r>
      <w:r>
        <w:rPr>
          <w:sz w:val="24"/>
        </w:rPr>
        <w:t xml:space="preserve">IHL </w:t>
      </w:r>
      <w:r w:rsidRPr="00446ECC">
        <w:rPr>
          <w:sz w:val="24"/>
        </w:rPr>
        <w:t xml:space="preserve">was a compromise </w:t>
      </w:r>
      <w:r>
        <w:rPr>
          <w:sz w:val="24"/>
        </w:rPr>
        <w:t>solution to calls</w:t>
      </w:r>
      <w:r w:rsidRPr="00446ECC">
        <w:rPr>
          <w:sz w:val="24"/>
        </w:rPr>
        <w:t xml:space="preserve"> by </w:t>
      </w:r>
      <w:r>
        <w:rPr>
          <w:sz w:val="24"/>
        </w:rPr>
        <w:t>some</w:t>
      </w:r>
      <w:r w:rsidRPr="00446ECC">
        <w:rPr>
          <w:sz w:val="24"/>
        </w:rPr>
        <w:t xml:space="preserve"> states during the drafting to exclu</w:t>
      </w:r>
      <w:r>
        <w:rPr>
          <w:sz w:val="24"/>
        </w:rPr>
        <w:t>de self-determination movements,</w:t>
      </w:r>
      <w:r w:rsidRPr="00446ECC">
        <w:rPr>
          <w:rStyle w:val="FootnoteReference"/>
          <w:sz w:val="24"/>
        </w:rPr>
        <w:footnoteReference w:id="43"/>
      </w:r>
      <w:r>
        <w:rPr>
          <w:sz w:val="24"/>
        </w:rPr>
        <w:t xml:space="preserve"> and was facilitated by the recent adoption of Protocol I in 1977 and its relative depoliticisation of the issue.</w:t>
      </w:r>
      <w:r w:rsidRPr="0048304F">
        <w:rPr>
          <w:sz w:val="24"/>
        </w:rPr>
        <w:t xml:space="preserve"> </w:t>
      </w:r>
      <w:r>
        <w:rPr>
          <w:sz w:val="24"/>
        </w:rPr>
        <w:t xml:space="preserve">The issue also arose because the Hostages Convention was negotiated through the General Assembly (not </w:t>
      </w:r>
      <w:r w:rsidR="00391CF0">
        <w:rPr>
          <w:sz w:val="24"/>
        </w:rPr>
        <w:t xml:space="preserve">the more technical, apolitical </w:t>
      </w:r>
      <w:r>
        <w:rPr>
          <w:sz w:val="24"/>
        </w:rPr>
        <w:t>specialised agencies, as for many earlier ICTCs), which had recently concluded a bitter debate (from 1973-79) about the definition of and response to terrorism. T</w:t>
      </w:r>
      <w:r w:rsidRPr="00446ECC">
        <w:rPr>
          <w:sz w:val="24"/>
        </w:rPr>
        <w:t xml:space="preserve">he Convention does </w:t>
      </w:r>
      <w:r w:rsidRPr="00446ECC">
        <w:rPr>
          <w:rFonts w:eastAsia="Calibri"/>
          <w:sz w:val="24"/>
        </w:rPr>
        <w:t>not, however, imply that hostage-taking by liberation movements is permitted, but only that it is dealt with by IHL (and war crimes law)</w:t>
      </w:r>
      <w:r>
        <w:rPr>
          <w:rFonts w:eastAsia="Calibri"/>
          <w:sz w:val="24"/>
        </w:rPr>
        <w:t xml:space="preserve"> in IAC</w:t>
      </w:r>
      <w:r w:rsidRPr="00446ECC">
        <w:rPr>
          <w:rFonts w:eastAsia="Calibri"/>
          <w:sz w:val="24"/>
        </w:rPr>
        <w:t xml:space="preserve"> rather than the Convention</w:t>
      </w:r>
      <w:r>
        <w:rPr>
          <w:rFonts w:eastAsia="Calibri"/>
          <w:sz w:val="24"/>
        </w:rPr>
        <w:t>. Where Protocol I does not apply, hostage taking by self-determination movements is still a Convention offence.</w:t>
      </w:r>
    </w:p>
    <w:p w14:paraId="0D3B3858" w14:textId="77777777" w:rsidR="0048304F" w:rsidRDefault="0048304F" w:rsidP="006A3828">
      <w:pPr>
        <w:pStyle w:val="ListParagraph"/>
        <w:shd w:val="clear" w:color="auto" w:fill="FFFFFF" w:themeFill="background1"/>
        <w:tabs>
          <w:tab w:val="left" w:pos="851"/>
        </w:tabs>
        <w:spacing w:line="360" w:lineRule="auto"/>
        <w:ind w:left="0"/>
        <w:contextualSpacing w:val="0"/>
        <w:rPr>
          <w:b/>
          <w:sz w:val="24"/>
        </w:rPr>
      </w:pPr>
    </w:p>
    <w:p w14:paraId="2D505F56" w14:textId="7AAEB9A2" w:rsidR="0048304F" w:rsidRDefault="009A3EDB" w:rsidP="0048304F">
      <w:pPr>
        <w:pStyle w:val="ListParagraph"/>
        <w:shd w:val="clear" w:color="auto" w:fill="FFFFFF" w:themeFill="background1"/>
        <w:tabs>
          <w:tab w:val="left" w:pos="851"/>
        </w:tabs>
        <w:spacing w:line="360" w:lineRule="auto"/>
        <w:ind w:left="0"/>
        <w:contextualSpacing w:val="0"/>
        <w:rPr>
          <w:sz w:val="24"/>
        </w:rPr>
      </w:pPr>
      <w:r>
        <w:rPr>
          <w:sz w:val="24"/>
        </w:rPr>
        <w:t xml:space="preserve">The Terrorist Financing Convention </w:t>
      </w:r>
      <w:r w:rsidR="0048304F">
        <w:rPr>
          <w:sz w:val="24"/>
        </w:rPr>
        <w:t xml:space="preserve">1999 also addresses IHL. It </w:t>
      </w:r>
      <w:r w:rsidR="0048304F" w:rsidRPr="0082146B">
        <w:rPr>
          <w:sz w:val="24"/>
        </w:rPr>
        <w:t>prohibits the financing of terrorist acts</w:t>
      </w:r>
      <w:r w:rsidR="0048304F">
        <w:rPr>
          <w:sz w:val="24"/>
        </w:rPr>
        <w:t xml:space="preserve"> </w:t>
      </w:r>
      <w:r w:rsidR="0048304F" w:rsidRPr="00BE1AB5">
        <w:rPr>
          <w:sz w:val="24"/>
        </w:rPr>
        <w:t>against ‘a civilian, or… any other person not taking an active part in the hostilities in a situation of armed conflict’</w:t>
      </w:r>
      <w:r w:rsidR="0048304F">
        <w:rPr>
          <w:sz w:val="24"/>
        </w:rPr>
        <w:t>.</w:t>
      </w:r>
      <w:r w:rsidR="0048304F" w:rsidRPr="00BE1AB5">
        <w:rPr>
          <w:sz w:val="24"/>
          <w:vertAlign w:val="superscript"/>
        </w:rPr>
        <w:footnoteReference w:id="44"/>
      </w:r>
      <w:r w:rsidR="0048304F">
        <w:rPr>
          <w:sz w:val="24"/>
        </w:rPr>
        <w:t xml:space="preserve"> In addition t</w:t>
      </w:r>
      <w:r w:rsidR="00391CF0">
        <w:rPr>
          <w:sz w:val="24"/>
        </w:rPr>
        <w:t xml:space="preserve">o civilians the latter include </w:t>
      </w:r>
      <w:r w:rsidR="0048304F">
        <w:rPr>
          <w:sz w:val="24"/>
        </w:rPr>
        <w:t xml:space="preserve">prisoners of war, captured fighters in NIAC, or military personnel who are sick or wounded. It is thus an offence to finance attacks by state or non-state armed forces or non-combatants, but not an offence to finance attacks (even by armed groups) on combatants, fighters, or civilians taking a direct part in hostilities. </w:t>
      </w:r>
      <w:r w:rsidR="00C92267">
        <w:rPr>
          <w:sz w:val="24"/>
        </w:rPr>
        <w:t xml:space="preserve">The Convention may still, however, apply where an attack is directed against military objective but civilians are </w:t>
      </w:r>
      <w:r w:rsidR="00391CF0">
        <w:rPr>
          <w:sz w:val="24"/>
        </w:rPr>
        <w:t>knowingly</w:t>
      </w:r>
      <w:r w:rsidR="00C92267">
        <w:rPr>
          <w:sz w:val="24"/>
        </w:rPr>
        <w:t xml:space="preserve"> harmed contrary to IHL.</w:t>
      </w:r>
      <w:r w:rsidR="00C92267">
        <w:rPr>
          <w:rStyle w:val="FootnoteReference"/>
          <w:sz w:val="24"/>
        </w:rPr>
        <w:footnoteReference w:id="45"/>
      </w:r>
    </w:p>
    <w:p w14:paraId="7F662FF8" w14:textId="77777777" w:rsidR="0048304F" w:rsidRDefault="0048304F" w:rsidP="0048304F">
      <w:pPr>
        <w:pStyle w:val="ListParagraph"/>
        <w:shd w:val="clear" w:color="auto" w:fill="FFFFFF" w:themeFill="background1"/>
        <w:tabs>
          <w:tab w:val="left" w:pos="851"/>
        </w:tabs>
        <w:spacing w:line="360" w:lineRule="auto"/>
        <w:ind w:left="0"/>
        <w:contextualSpacing w:val="0"/>
        <w:rPr>
          <w:sz w:val="24"/>
        </w:rPr>
      </w:pPr>
    </w:p>
    <w:p w14:paraId="0E4B331C" w14:textId="567D4803" w:rsidR="0048304F" w:rsidRDefault="0048304F" w:rsidP="0048304F">
      <w:pPr>
        <w:pStyle w:val="ListParagraph"/>
        <w:shd w:val="clear" w:color="auto" w:fill="FFFFFF" w:themeFill="background1"/>
        <w:tabs>
          <w:tab w:val="left" w:pos="851"/>
        </w:tabs>
        <w:spacing w:line="360" w:lineRule="auto"/>
        <w:ind w:left="0"/>
        <w:contextualSpacing w:val="0"/>
        <w:rPr>
          <w:sz w:val="24"/>
        </w:rPr>
      </w:pPr>
      <w:r>
        <w:rPr>
          <w:sz w:val="24"/>
        </w:rPr>
        <w:lastRenderedPageBreak/>
        <w:t>The Financing Convention address</w:t>
      </w:r>
      <w:r w:rsidR="007613C2">
        <w:rPr>
          <w:sz w:val="24"/>
        </w:rPr>
        <w:t xml:space="preserve">es the financing of both </w:t>
      </w:r>
      <w:r>
        <w:rPr>
          <w:sz w:val="24"/>
        </w:rPr>
        <w:t>offences</w:t>
      </w:r>
      <w:r w:rsidR="007613C2">
        <w:rPr>
          <w:sz w:val="24"/>
        </w:rPr>
        <w:t xml:space="preserve"> from other listed ICTCs</w:t>
      </w:r>
      <w:r w:rsidR="00BA3980">
        <w:rPr>
          <w:sz w:val="24"/>
        </w:rPr>
        <w:t xml:space="preserve"> </w:t>
      </w:r>
      <w:r w:rsidR="00391CF0">
        <w:rPr>
          <w:sz w:val="24"/>
        </w:rPr>
        <w:t xml:space="preserve">as well as of </w:t>
      </w:r>
      <w:r w:rsidR="007613C2">
        <w:rPr>
          <w:sz w:val="24"/>
        </w:rPr>
        <w:t xml:space="preserve">more generally defined </w:t>
      </w:r>
      <w:r w:rsidR="00BA3980">
        <w:rPr>
          <w:sz w:val="24"/>
        </w:rPr>
        <w:t>‘terrorist act</w:t>
      </w:r>
      <w:r w:rsidR="00391CF0">
        <w:rPr>
          <w:sz w:val="24"/>
        </w:rPr>
        <w:t>s</w:t>
      </w:r>
      <w:r w:rsidR="00BA3980">
        <w:rPr>
          <w:sz w:val="24"/>
        </w:rPr>
        <w:t>’.</w:t>
      </w:r>
      <w:r w:rsidR="00BA3980" w:rsidRPr="00BE1AB5">
        <w:rPr>
          <w:sz w:val="24"/>
          <w:vertAlign w:val="superscript"/>
        </w:rPr>
        <w:footnoteReference w:id="46"/>
      </w:r>
      <w:r w:rsidR="00BA3980">
        <w:rPr>
          <w:sz w:val="24"/>
        </w:rPr>
        <w:t xml:space="preserve"> </w:t>
      </w:r>
      <w:r>
        <w:rPr>
          <w:sz w:val="24"/>
        </w:rPr>
        <w:t xml:space="preserve"> Where a financing offence is predicated on</w:t>
      </w:r>
      <w:r w:rsidR="007613C2">
        <w:rPr>
          <w:sz w:val="24"/>
        </w:rPr>
        <w:t xml:space="preserve"> </w:t>
      </w:r>
      <w:r w:rsidR="00391CF0">
        <w:rPr>
          <w:sz w:val="24"/>
        </w:rPr>
        <w:t xml:space="preserve">an </w:t>
      </w:r>
      <w:r w:rsidR="007613C2">
        <w:rPr>
          <w:sz w:val="24"/>
        </w:rPr>
        <w:t>ICTC</w:t>
      </w:r>
      <w:r w:rsidR="00391CF0">
        <w:rPr>
          <w:sz w:val="24"/>
        </w:rPr>
        <w:t xml:space="preserve"> offence</w:t>
      </w:r>
      <w:r>
        <w:rPr>
          <w:sz w:val="24"/>
        </w:rPr>
        <w:t xml:space="preserve">, it </w:t>
      </w:r>
      <w:r w:rsidRPr="00BE1AB5">
        <w:rPr>
          <w:sz w:val="24"/>
        </w:rPr>
        <w:t xml:space="preserve">necessarily imports </w:t>
      </w:r>
      <w:r w:rsidR="00391CF0">
        <w:rPr>
          <w:sz w:val="24"/>
        </w:rPr>
        <w:t>the latter’s</w:t>
      </w:r>
      <w:r w:rsidRPr="00BE1AB5">
        <w:rPr>
          <w:sz w:val="24"/>
        </w:rPr>
        <w:t xml:space="preserve"> exceptions. </w:t>
      </w:r>
      <w:r>
        <w:rPr>
          <w:sz w:val="24"/>
        </w:rPr>
        <w:t>F</w:t>
      </w:r>
      <w:r w:rsidRPr="00BE1AB5">
        <w:rPr>
          <w:sz w:val="24"/>
        </w:rPr>
        <w:t xml:space="preserve">or example, it is not an offence to finance acts endangering the safety of </w:t>
      </w:r>
      <w:r w:rsidRPr="00BB4F90">
        <w:rPr>
          <w:i/>
          <w:sz w:val="24"/>
        </w:rPr>
        <w:t>military</w:t>
      </w:r>
      <w:r w:rsidRPr="00BE1AB5">
        <w:rPr>
          <w:sz w:val="24"/>
        </w:rPr>
        <w:t xml:space="preserve"> aircraft or </w:t>
      </w:r>
      <w:r>
        <w:rPr>
          <w:sz w:val="24"/>
        </w:rPr>
        <w:t>ships</w:t>
      </w:r>
      <w:r w:rsidRPr="00BE1AB5">
        <w:rPr>
          <w:sz w:val="24"/>
        </w:rPr>
        <w:t xml:space="preserve"> under the aviation </w:t>
      </w:r>
      <w:r>
        <w:rPr>
          <w:sz w:val="24"/>
        </w:rPr>
        <w:t>a</w:t>
      </w:r>
      <w:r w:rsidR="00525605">
        <w:rPr>
          <w:sz w:val="24"/>
        </w:rPr>
        <w:t>nd maritime safety conventions</w:t>
      </w:r>
      <w:r>
        <w:rPr>
          <w:sz w:val="24"/>
        </w:rPr>
        <w:t>, or to finance the hostage taking of protected persons in IAC.</w:t>
      </w:r>
      <w:r w:rsidRPr="0082146B">
        <w:rPr>
          <w:sz w:val="24"/>
        </w:rPr>
        <w:t xml:space="preserve"> </w:t>
      </w:r>
    </w:p>
    <w:p w14:paraId="7036780B" w14:textId="44791E61" w:rsidR="00806A18" w:rsidRDefault="00806A18" w:rsidP="00806A18">
      <w:pPr>
        <w:pStyle w:val="ListParagraph"/>
        <w:shd w:val="clear" w:color="auto" w:fill="FFFFFF" w:themeFill="background1"/>
        <w:tabs>
          <w:tab w:val="left" w:pos="851"/>
        </w:tabs>
        <w:spacing w:line="360" w:lineRule="auto"/>
        <w:ind w:left="0"/>
        <w:contextualSpacing w:val="0"/>
        <w:rPr>
          <w:sz w:val="24"/>
        </w:rPr>
      </w:pPr>
    </w:p>
    <w:p w14:paraId="328531D5" w14:textId="6DC6485C" w:rsidR="008C6B5A" w:rsidRPr="007613C2" w:rsidRDefault="00942910" w:rsidP="008C6B5A">
      <w:pPr>
        <w:pStyle w:val="ListParagraph"/>
        <w:shd w:val="clear" w:color="auto" w:fill="FFFFFF" w:themeFill="background1"/>
        <w:tabs>
          <w:tab w:val="left" w:pos="851"/>
        </w:tabs>
        <w:spacing w:line="360" w:lineRule="auto"/>
        <w:ind w:left="0"/>
        <w:contextualSpacing w:val="0"/>
        <w:rPr>
          <w:b/>
          <w:sz w:val="24"/>
        </w:rPr>
      </w:pPr>
      <w:r>
        <w:rPr>
          <w:b/>
          <w:sz w:val="24"/>
        </w:rPr>
        <w:t>4.3</w:t>
      </w:r>
      <w:r>
        <w:rPr>
          <w:b/>
          <w:sz w:val="24"/>
        </w:rPr>
        <w:tab/>
      </w:r>
      <w:r w:rsidR="007613C2">
        <w:rPr>
          <w:b/>
          <w:sz w:val="24"/>
        </w:rPr>
        <w:t>A</w:t>
      </w:r>
      <w:r w:rsidR="007613C2" w:rsidRPr="007613C2">
        <w:rPr>
          <w:b/>
          <w:sz w:val="24"/>
        </w:rPr>
        <w:t xml:space="preserve"> Common </w:t>
      </w:r>
      <w:r>
        <w:rPr>
          <w:b/>
          <w:sz w:val="24"/>
        </w:rPr>
        <w:t>Exclusion</w:t>
      </w:r>
      <w:r w:rsidR="007613C2" w:rsidRPr="007613C2">
        <w:rPr>
          <w:b/>
          <w:sz w:val="24"/>
        </w:rPr>
        <w:t xml:space="preserve">: </w:t>
      </w:r>
      <w:r w:rsidR="008C6B5A" w:rsidRPr="007613C2">
        <w:rPr>
          <w:b/>
          <w:sz w:val="24"/>
        </w:rPr>
        <w:t>Activities of Armed Forces during Armed Conflict</w:t>
      </w:r>
    </w:p>
    <w:p w14:paraId="5F8321BA" w14:textId="77777777" w:rsidR="007613C2" w:rsidRDefault="007613C2" w:rsidP="008C6B5A">
      <w:pPr>
        <w:pStyle w:val="ListParagraph"/>
        <w:shd w:val="clear" w:color="auto" w:fill="FFFFFF" w:themeFill="background1"/>
        <w:tabs>
          <w:tab w:val="left" w:pos="851"/>
        </w:tabs>
        <w:spacing w:line="360" w:lineRule="auto"/>
        <w:ind w:left="0"/>
        <w:contextualSpacing w:val="0"/>
        <w:rPr>
          <w:sz w:val="24"/>
        </w:rPr>
      </w:pPr>
    </w:p>
    <w:p w14:paraId="2E0F6340" w14:textId="2A37113F" w:rsidR="008C6B5A" w:rsidRPr="00A35A91" w:rsidRDefault="007613C2" w:rsidP="008C6B5A">
      <w:pPr>
        <w:pStyle w:val="ListParagraph"/>
        <w:shd w:val="clear" w:color="auto" w:fill="FFFFFF" w:themeFill="background1"/>
        <w:tabs>
          <w:tab w:val="left" w:pos="851"/>
        </w:tabs>
        <w:spacing w:line="360" w:lineRule="auto"/>
        <w:ind w:left="0"/>
        <w:contextualSpacing w:val="0"/>
        <w:rPr>
          <w:sz w:val="24"/>
        </w:rPr>
      </w:pPr>
      <w:r>
        <w:rPr>
          <w:sz w:val="24"/>
        </w:rPr>
        <w:t xml:space="preserve">Apart from the Financing Convention, since 1997 an increasingly common IHL exclusion clause has emerged. </w:t>
      </w:r>
      <w:r w:rsidR="00E70309">
        <w:rPr>
          <w:sz w:val="24"/>
        </w:rPr>
        <w:t>As mentioned, s</w:t>
      </w:r>
      <w:r>
        <w:rPr>
          <w:sz w:val="24"/>
        </w:rPr>
        <w:t>ix</w:t>
      </w:r>
      <w:r w:rsidR="008C6B5A">
        <w:rPr>
          <w:sz w:val="24"/>
        </w:rPr>
        <w:t xml:space="preserve"> ICTCs </w:t>
      </w:r>
      <w:r w:rsidR="008C6B5A" w:rsidRPr="0082146B">
        <w:rPr>
          <w:sz w:val="24"/>
        </w:rPr>
        <w:t>(addressing terrorist bombings, nuclear terrorism</w:t>
      </w:r>
      <w:r w:rsidR="008C6B5A">
        <w:rPr>
          <w:sz w:val="24"/>
        </w:rPr>
        <w:t>, nuclear material</w:t>
      </w:r>
      <w:r w:rsidR="008C6B5A" w:rsidRPr="0082146B">
        <w:rPr>
          <w:sz w:val="24"/>
        </w:rPr>
        <w:t>, and aviation</w:t>
      </w:r>
      <w:r w:rsidR="008C6B5A">
        <w:rPr>
          <w:sz w:val="24"/>
        </w:rPr>
        <w:t xml:space="preserve"> and maritime</w:t>
      </w:r>
      <w:r w:rsidR="008C6B5A" w:rsidRPr="0082146B">
        <w:rPr>
          <w:sz w:val="24"/>
        </w:rPr>
        <w:t xml:space="preserve"> safety) exclude the ‘activities of armed forces during armed conflict, as those terms are understood under international humanitarian law, which are governed by that law’.</w:t>
      </w:r>
      <w:r w:rsidR="008C6B5A" w:rsidRPr="0082146B">
        <w:rPr>
          <w:rStyle w:val="FootnoteReference"/>
          <w:rFonts w:eastAsiaTheme="minorEastAsia"/>
          <w:sz w:val="24"/>
        </w:rPr>
        <w:footnoteReference w:id="47"/>
      </w:r>
      <w:r w:rsidR="008C6B5A" w:rsidRPr="0082146B">
        <w:rPr>
          <w:sz w:val="24"/>
        </w:rPr>
        <w:t xml:space="preserve"> </w:t>
      </w:r>
    </w:p>
    <w:p w14:paraId="1F5F5B94" w14:textId="77777777" w:rsidR="008C6B5A" w:rsidRDefault="008C6B5A" w:rsidP="008C6B5A">
      <w:pPr>
        <w:pStyle w:val="ListParagraph"/>
        <w:shd w:val="clear" w:color="auto" w:fill="FFFFFF" w:themeFill="background1"/>
        <w:tabs>
          <w:tab w:val="left" w:pos="851"/>
        </w:tabs>
        <w:spacing w:line="360" w:lineRule="auto"/>
        <w:ind w:left="0"/>
        <w:contextualSpacing w:val="0"/>
        <w:rPr>
          <w:sz w:val="24"/>
        </w:rPr>
      </w:pPr>
    </w:p>
    <w:p w14:paraId="284901A0" w14:textId="1F407395" w:rsidR="008C6B5A" w:rsidRDefault="008C6B5A" w:rsidP="008C6B5A">
      <w:pPr>
        <w:pStyle w:val="ListParagraph"/>
        <w:shd w:val="clear" w:color="auto" w:fill="FFFFFF" w:themeFill="background1"/>
        <w:tabs>
          <w:tab w:val="left" w:pos="851"/>
        </w:tabs>
        <w:spacing w:line="360" w:lineRule="auto"/>
        <w:ind w:left="0"/>
        <w:contextualSpacing w:val="0"/>
        <w:rPr>
          <w:sz w:val="24"/>
        </w:rPr>
      </w:pPr>
      <w:r>
        <w:rPr>
          <w:sz w:val="24"/>
        </w:rPr>
        <w:t xml:space="preserve">Whereas the Financing Convention excludes only attacks </w:t>
      </w:r>
      <w:r w:rsidRPr="009E4F14">
        <w:rPr>
          <w:i/>
          <w:sz w:val="24"/>
        </w:rPr>
        <w:t>on</w:t>
      </w:r>
      <w:r>
        <w:rPr>
          <w:sz w:val="24"/>
        </w:rPr>
        <w:t xml:space="preserve"> fighters, these other ICTCs more broadly exclude all activities of armed forces – whether attacks on fighters or civilians – and regardless whether they comply with IHL. This approach pays more deference to IHL as the governing regime,</w:t>
      </w:r>
      <w:r w:rsidRPr="00557DBA">
        <w:rPr>
          <w:sz w:val="24"/>
          <w:vertAlign w:val="superscript"/>
        </w:rPr>
        <w:footnoteReference w:id="48"/>
      </w:r>
      <w:r>
        <w:rPr>
          <w:sz w:val="24"/>
        </w:rPr>
        <w:t xml:space="preserve"> but there are still areas of co-application</w:t>
      </w:r>
      <w:r w:rsidR="00D62625">
        <w:rPr>
          <w:sz w:val="24"/>
        </w:rPr>
        <w:t xml:space="preserve"> (discussed below)</w:t>
      </w:r>
      <w:r>
        <w:rPr>
          <w:sz w:val="24"/>
        </w:rPr>
        <w:t xml:space="preserve">. </w:t>
      </w:r>
    </w:p>
    <w:p w14:paraId="13D02E32" w14:textId="77777777" w:rsidR="008C6B5A" w:rsidRDefault="008C6B5A" w:rsidP="008C6B5A">
      <w:pPr>
        <w:pStyle w:val="ListParagraph"/>
        <w:shd w:val="clear" w:color="auto" w:fill="FFFFFF" w:themeFill="background1"/>
        <w:tabs>
          <w:tab w:val="left" w:pos="851"/>
        </w:tabs>
        <w:spacing w:line="360" w:lineRule="auto"/>
        <w:ind w:left="0"/>
        <w:contextualSpacing w:val="0"/>
        <w:rPr>
          <w:sz w:val="24"/>
        </w:rPr>
      </w:pPr>
    </w:p>
    <w:p w14:paraId="3DFCF88D" w14:textId="069EE277" w:rsidR="00455EF9" w:rsidRDefault="008C6B5A" w:rsidP="008C6B5A">
      <w:pPr>
        <w:pStyle w:val="ListParagraph"/>
        <w:shd w:val="clear" w:color="auto" w:fill="FFFFFF" w:themeFill="background1"/>
        <w:tabs>
          <w:tab w:val="left" w:pos="851"/>
        </w:tabs>
        <w:spacing w:line="360" w:lineRule="auto"/>
        <w:ind w:left="0"/>
        <w:contextualSpacing w:val="0"/>
        <w:rPr>
          <w:sz w:val="24"/>
        </w:rPr>
      </w:pPr>
      <w:r>
        <w:rPr>
          <w:sz w:val="24"/>
        </w:rPr>
        <w:t xml:space="preserve">The scope of the exclusion is defined by </w:t>
      </w:r>
      <w:r w:rsidRPr="00557DBA">
        <w:rPr>
          <w:i/>
          <w:sz w:val="24"/>
        </w:rPr>
        <w:t>renvoi</w:t>
      </w:r>
      <w:r>
        <w:rPr>
          <w:sz w:val="24"/>
        </w:rPr>
        <w:t xml:space="preserve"> to IHL</w:t>
      </w:r>
      <w:r w:rsidR="00D62625">
        <w:rPr>
          <w:sz w:val="24"/>
        </w:rPr>
        <w:t xml:space="preserve">, meaning customary IHL and IHL treaties binding on states parties to the ICTCs. </w:t>
      </w:r>
      <w:r>
        <w:rPr>
          <w:sz w:val="24"/>
        </w:rPr>
        <w:t>In brief, ‘armed conflict’ means IAC (of all types, including occupation and Protocol I self-determination conflicts) and NIAC</w:t>
      </w:r>
      <w:r w:rsidR="00D62625">
        <w:rPr>
          <w:sz w:val="24"/>
        </w:rPr>
        <w:t xml:space="preserve"> (under CA3 and APII)</w:t>
      </w:r>
      <w:r>
        <w:rPr>
          <w:sz w:val="24"/>
        </w:rPr>
        <w:t xml:space="preserve">. In IAC, </w:t>
      </w:r>
      <w:r w:rsidR="00D62625">
        <w:rPr>
          <w:sz w:val="24"/>
        </w:rPr>
        <w:t>‘</w:t>
      </w:r>
      <w:r>
        <w:rPr>
          <w:sz w:val="24"/>
        </w:rPr>
        <w:t>armed forces</w:t>
      </w:r>
      <w:r w:rsidR="00D62625">
        <w:rPr>
          <w:sz w:val="24"/>
        </w:rPr>
        <w:t>’</w:t>
      </w:r>
      <w:r>
        <w:rPr>
          <w:sz w:val="24"/>
        </w:rPr>
        <w:t xml:space="preserve"> include regular state forces;</w:t>
      </w:r>
      <w:r>
        <w:rPr>
          <w:rStyle w:val="FootnoteReference"/>
          <w:sz w:val="24"/>
        </w:rPr>
        <w:footnoteReference w:id="49"/>
      </w:r>
      <w:r>
        <w:rPr>
          <w:sz w:val="24"/>
        </w:rPr>
        <w:t xml:space="preserve"> irregular forces belonging to a state;</w:t>
      </w:r>
      <w:r>
        <w:rPr>
          <w:rStyle w:val="FootnoteReference"/>
          <w:sz w:val="24"/>
        </w:rPr>
        <w:footnoteReference w:id="50"/>
      </w:r>
      <w:r>
        <w:rPr>
          <w:sz w:val="24"/>
        </w:rPr>
        <w:t xml:space="preserve"> paramilitary or law enforcement agencies incorporated into the </w:t>
      </w:r>
      <w:r w:rsidRPr="00D67DB0">
        <w:rPr>
          <w:sz w:val="24"/>
        </w:rPr>
        <w:t>armed forces;</w:t>
      </w:r>
      <w:r w:rsidRPr="00D67DB0">
        <w:rPr>
          <w:rStyle w:val="FootnoteReference"/>
          <w:sz w:val="24"/>
        </w:rPr>
        <w:footnoteReference w:id="51"/>
      </w:r>
      <w:r w:rsidRPr="00D67DB0">
        <w:rPr>
          <w:sz w:val="24"/>
        </w:rPr>
        <w:t xml:space="preserve"> other </w:t>
      </w:r>
      <w:r w:rsidRPr="00D67DB0">
        <w:rPr>
          <w:sz w:val="24"/>
        </w:rPr>
        <w:lastRenderedPageBreak/>
        <w:t>resistance forces;</w:t>
      </w:r>
      <w:r w:rsidRPr="00D67DB0">
        <w:rPr>
          <w:rStyle w:val="FootnoteReference"/>
          <w:sz w:val="24"/>
        </w:rPr>
        <w:footnoteReference w:id="52"/>
      </w:r>
      <w:r w:rsidRPr="00D67DB0">
        <w:rPr>
          <w:sz w:val="24"/>
        </w:rPr>
        <w:t xml:space="preserve"> and self-determination forces.</w:t>
      </w:r>
      <w:r w:rsidRPr="00D67DB0">
        <w:rPr>
          <w:rStyle w:val="FootnoteReference"/>
          <w:sz w:val="24"/>
        </w:rPr>
        <w:footnoteReference w:id="53"/>
      </w:r>
      <w:r w:rsidRPr="00D67DB0">
        <w:rPr>
          <w:sz w:val="24"/>
        </w:rPr>
        <w:t xml:space="preserve"> While they are not </w:t>
      </w:r>
      <w:r w:rsidR="00D62625">
        <w:rPr>
          <w:sz w:val="24"/>
        </w:rPr>
        <w:t xml:space="preserve">strictly </w:t>
      </w:r>
      <w:r w:rsidRPr="00D67DB0">
        <w:rPr>
          <w:sz w:val="24"/>
        </w:rPr>
        <w:t xml:space="preserve">‘armed forces’, a purposive interpretation </w:t>
      </w:r>
      <w:r w:rsidR="00D62625">
        <w:rPr>
          <w:sz w:val="24"/>
        </w:rPr>
        <w:t>w</w:t>
      </w:r>
      <w:r w:rsidRPr="00D67DB0">
        <w:rPr>
          <w:sz w:val="24"/>
        </w:rPr>
        <w:t>ould</w:t>
      </w:r>
      <w:r w:rsidR="00D62625">
        <w:rPr>
          <w:sz w:val="24"/>
        </w:rPr>
        <w:t xml:space="preserve"> also</w:t>
      </w:r>
      <w:r w:rsidRPr="00D67DB0">
        <w:rPr>
          <w:sz w:val="24"/>
        </w:rPr>
        <w:t xml:space="preserve"> </w:t>
      </w:r>
      <w:r w:rsidR="00D62625">
        <w:rPr>
          <w:sz w:val="24"/>
        </w:rPr>
        <w:t>exclude</w:t>
      </w:r>
      <w:r w:rsidRPr="00D67DB0">
        <w:rPr>
          <w:sz w:val="24"/>
        </w:rPr>
        <w:t xml:space="preserve"> civilians </w:t>
      </w:r>
      <w:r w:rsidRPr="00D67DB0">
        <w:rPr>
          <w:i/>
          <w:sz w:val="24"/>
        </w:rPr>
        <w:t>levée en masse</w:t>
      </w:r>
      <w:r w:rsidR="00D62625">
        <w:rPr>
          <w:sz w:val="24"/>
        </w:rPr>
        <w:t>.</w:t>
      </w:r>
      <w:r>
        <w:rPr>
          <w:rStyle w:val="FootnoteReference"/>
          <w:i/>
          <w:sz w:val="24"/>
        </w:rPr>
        <w:footnoteReference w:id="54"/>
      </w:r>
      <w:r w:rsidRPr="0082146B">
        <w:rPr>
          <w:sz w:val="24"/>
        </w:rPr>
        <w:t xml:space="preserve"> </w:t>
      </w:r>
    </w:p>
    <w:p w14:paraId="75B11D64" w14:textId="77777777" w:rsidR="00455EF9" w:rsidRDefault="00455EF9" w:rsidP="008C6B5A">
      <w:pPr>
        <w:pStyle w:val="ListParagraph"/>
        <w:shd w:val="clear" w:color="auto" w:fill="FFFFFF" w:themeFill="background1"/>
        <w:tabs>
          <w:tab w:val="left" w:pos="851"/>
        </w:tabs>
        <w:spacing w:line="360" w:lineRule="auto"/>
        <w:ind w:left="0"/>
        <w:contextualSpacing w:val="0"/>
        <w:rPr>
          <w:sz w:val="24"/>
        </w:rPr>
      </w:pPr>
    </w:p>
    <w:p w14:paraId="00C9AA10" w14:textId="3C3081B3" w:rsidR="00455EF9" w:rsidRDefault="00D62625" w:rsidP="00455EF9">
      <w:pPr>
        <w:pStyle w:val="ListParagraph"/>
        <w:shd w:val="clear" w:color="auto" w:fill="FFFFFF" w:themeFill="background1"/>
        <w:tabs>
          <w:tab w:val="left" w:pos="851"/>
        </w:tabs>
        <w:spacing w:line="360" w:lineRule="auto"/>
        <w:ind w:left="0"/>
        <w:contextualSpacing w:val="0"/>
        <w:rPr>
          <w:sz w:val="24"/>
        </w:rPr>
      </w:pPr>
      <w:r>
        <w:rPr>
          <w:sz w:val="24"/>
        </w:rPr>
        <w:t xml:space="preserve">In NIAC, </w:t>
      </w:r>
      <w:r w:rsidR="00455EF9">
        <w:rPr>
          <w:sz w:val="24"/>
        </w:rPr>
        <w:t xml:space="preserve">‘armed forces’ is used </w:t>
      </w:r>
      <w:r w:rsidR="00455EF9" w:rsidRPr="0082146B">
        <w:rPr>
          <w:sz w:val="24"/>
        </w:rPr>
        <w:t xml:space="preserve">in </w:t>
      </w:r>
      <w:r w:rsidR="00455EF9">
        <w:rPr>
          <w:sz w:val="24"/>
        </w:rPr>
        <w:t>CA3</w:t>
      </w:r>
      <w:r w:rsidR="00455EF9" w:rsidRPr="0082146B">
        <w:rPr>
          <w:sz w:val="24"/>
        </w:rPr>
        <w:t xml:space="preserve"> of the four Geneva Conventions</w:t>
      </w:r>
      <w:r w:rsidR="00455EF9" w:rsidRPr="0082146B">
        <w:rPr>
          <w:rStyle w:val="FootnoteReference"/>
          <w:sz w:val="24"/>
        </w:rPr>
        <w:footnoteReference w:id="55"/>
      </w:r>
      <w:r w:rsidR="00455EF9">
        <w:rPr>
          <w:sz w:val="24"/>
        </w:rPr>
        <w:t xml:space="preserve"> and </w:t>
      </w:r>
      <w:r w:rsidR="00455EF9" w:rsidRPr="0082146B">
        <w:rPr>
          <w:sz w:val="24"/>
        </w:rPr>
        <w:t xml:space="preserve">refers to both state </w:t>
      </w:r>
      <w:r w:rsidR="00455EF9">
        <w:rPr>
          <w:sz w:val="24"/>
        </w:rPr>
        <w:t xml:space="preserve">armed </w:t>
      </w:r>
      <w:r w:rsidR="00455EF9" w:rsidRPr="0082146B">
        <w:rPr>
          <w:sz w:val="24"/>
        </w:rPr>
        <w:t>forces and</w:t>
      </w:r>
      <w:r w:rsidR="00525605">
        <w:rPr>
          <w:sz w:val="24"/>
        </w:rPr>
        <w:t xml:space="preserve"> (what are more commonly known as)</w:t>
      </w:r>
      <w:r w:rsidR="00455EF9" w:rsidRPr="0082146B">
        <w:rPr>
          <w:sz w:val="24"/>
        </w:rPr>
        <w:t xml:space="preserve"> </w:t>
      </w:r>
      <w:r w:rsidR="00455EF9">
        <w:rPr>
          <w:sz w:val="24"/>
        </w:rPr>
        <w:t xml:space="preserve">non-state </w:t>
      </w:r>
      <w:r w:rsidR="00455EF9" w:rsidRPr="00455EF9">
        <w:rPr>
          <w:i/>
          <w:sz w:val="24"/>
        </w:rPr>
        <w:t>organized armed groups</w:t>
      </w:r>
      <w:r w:rsidR="00455EF9" w:rsidRPr="0082146B">
        <w:rPr>
          <w:sz w:val="24"/>
        </w:rPr>
        <w:t>.</w:t>
      </w:r>
      <w:r w:rsidR="00455EF9" w:rsidRPr="0082146B">
        <w:rPr>
          <w:rStyle w:val="FootnoteReference"/>
          <w:sz w:val="24"/>
        </w:rPr>
        <w:footnoteReference w:id="56"/>
      </w:r>
      <w:r w:rsidR="00455EF9">
        <w:rPr>
          <w:sz w:val="24"/>
        </w:rPr>
        <w:t xml:space="preserve"> The exclusion clause is thus not limited to ‘state’ forces, </w:t>
      </w:r>
      <w:r w:rsidR="008C6B5A">
        <w:rPr>
          <w:sz w:val="24"/>
        </w:rPr>
        <w:t xml:space="preserve">in clear contrast to a second exclusion clause in the same ICTCs for the activities of state military forces in the exercise of their official </w:t>
      </w:r>
      <w:r w:rsidR="00455EF9">
        <w:rPr>
          <w:sz w:val="24"/>
        </w:rPr>
        <w:t xml:space="preserve">duties (that is, in peacetime). </w:t>
      </w:r>
      <w:r w:rsidR="00525605">
        <w:rPr>
          <w:sz w:val="24"/>
        </w:rPr>
        <w:t>Protocol II</w:t>
      </w:r>
      <w:r w:rsidR="00455EF9">
        <w:rPr>
          <w:sz w:val="24"/>
        </w:rPr>
        <w:t xml:space="preserve"> refers to (state) ‘armed forces’ and ‘dissident armed forces’, along with ‘other organized armed groups’,</w:t>
      </w:r>
      <w:r w:rsidR="003D4CD4">
        <w:rPr>
          <w:rStyle w:val="FootnoteReference"/>
          <w:sz w:val="24"/>
        </w:rPr>
        <w:footnoteReference w:id="57"/>
      </w:r>
      <w:r w:rsidR="00455EF9">
        <w:rPr>
          <w:sz w:val="24"/>
        </w:rPr>
        <w:t xml:space="preserve"> indicating that ‘armed forces’ can also </w:t>
      </w:r>
      <w:r w:rsidR="00525605">
        <w:rPr>
          <w:sz w:val="24"/>
        </w:rPr>
        <w:t>mean</w:t>
      </w:r>
      <w:r w:rsidR="00455EF9">
        <w:rPr>
          <w:sz w:val="24"/>
        </w:rPr>
        <w:t xml:space="preserve"> non-state actors.</w:t>
      </w:r>
    </w:p>
    <w:p w14:paraId="538DE8B3" w14:textId="77777777" w:rsidR="00455EF9" w:rsidRPr="007B1F64" w:rsidRDefault="00455EF9" w:rsidP="008C6B5A">
      <w:pPr>
        <w:shd w:val="clear" w:color="auto" w:fill="FFFFFF" w:themeFill="background1"/>
        <w:spacing w:line="360" w:lineRule="auto"/>
        <w:rPr>
          <w:sz w:val="24"/>
        </w:rPr>
      </w:pPr>
    </w:p>
    <w:p w14:paraId="1BF157B2" w14:textId="6A7EC14C" w:rsidR="008C6B5A" w:rsidRPr="00916B6F" w:rsidRDefault="008C6B5A" w:rsidP="008C6B5A">
      <w:pPr>
        <w:shd w:val="clear" w:color="auto" w:fill="FFFFFF" w:themeFill="background1"/>
        <w:spacing w:line="360" w:lineRule="auto"/>
        <w:rPr>
          <w:sz w:val="24"/>
        </w:rPr>
      </w:pPr>
      <w:r w:rsidRPr="00916B6F">
        <w:rPr>
          <w:sz w:val="24"/>
        </w:rPr>
        <w:t xml:space="preserve">‘Activities’ excluded from the </w:t>
      </w:r>
      <w:r w:rsidR="00D62625">
        <w:rPr>
          <w:sz w:val="24"/>
        </w:rPr>
        <w:t>ICTCs</w:t>
      </w:r>
      <w:r w:rsidRPr="00916B6F">
        <w:rPr>
          <w:sz w:val="24"/>
        </w:rPr>
        <w:t xml:space="preserve"> are not limited to military ‘attacks’ (whether offensive under IHL, or to acts against the adversary’s armed forces. They could include acts </w:t>
      </w:r>
      <w:r w:rsidR="00525605">
        <w:rPr>
          <w:sz w:val="24"/>
        </w:rPr>
        <w:t>in relation to civilians</w:t>
      </w:r>
      <w:r w:rsidRPr="00916B6F">
        <w:rPr>
          <w:sz w:val="24"/>
        </w:rPr>
        <w:t xml:space="preserve">, from the administration of occupied territory to war crimes and repression of the population, </w:t>
      </w:r>
      <w:r w:rsidR="00525605">
        <w:rPr>
          <w:sz w:val="24"/>
        </w:rPr>
        <w:t xml:space="preserve">or indirect DPH (including non-violent activities such as </w:t>
      </w:r>
      <w:r w:rsidRPr="00916B6F">
        <w:rPr>
          <w:sz w:val="24"/>
        </w:rPr>
        <w:t xml:space="preserve">espionage </w:t>
      </w:r>
      <w:r w:rsidR="00525605">
        <w:rPr>
          <w:sz w:val="24"/>
        </w:rPr>
        <w:t>or</w:t>
      </w:r>
      <w:r w:rsidRPr="00916B6F">
        <w:rPr>
          <w:sz w:val="24"/>
        </w:rPr>
        <w:t xml:space="preserve"> propaganda).</w:t>
      </w:r>
      <w:r>
        <w:rPr>
          <w:sz w:val="24"/>
        </w:rPr>
        <w:t xml:space="preserve"> Even though the </w:t>
      </w:r>
      <w:r w:rsidR="00D62625">
        <w:rPr>
          <w:sz w:val="24"/>
        </w:rPr>
        <w:t>ICTCs</w:t>
      </w:r>
      <w:r>
        <w:rPr>
          <w:sz w:val="24"/>
        </w:rPr>
        <w:t xml:space="preserve"> largely protect civilians, the exclusion is necessary, for example, to prevent the criminalization of military bombings </w:t>
      </w:r>
      <w:r w:rsidR="00525605">
        <w:rPr>
          <w:sz w:val="24"/>
        </w:rPr>
        <w:t xml:space="preserve">(under the Terrorist Bombings Convention) </w:t>
      </w:r>
      <w:r>
        <w:rPr>
          <w:sz w:val="24"/>
        </w:rPr>
        <w:t>of public places, state facilities, or public transport or infrastructure where those normally civilian objects are military objectives at the time of targeting, civilian casualties would not be excessive, and the means and methods comply with IHL.</w:t>
      </w:r>
    </w:p>
    <w:p w14:paraId="14BDF7FF" w14:textId="77777777" w:rsidR="008C6B5A" w:rsidRPr="00916B6F" w:rsidRDefault="008C6B5A" w:rsidP="008C6B5A">
      <w:pPr>
        <w:pStyle w:val="ListParagraph"/>
        <w:shd w:val="clear" w:color="auto" w:fill="FFFFFF" w:themeFill="background1"/>
        <w:tabs>
          <w:tab w:val="left" w:pos="851"/>
        </w:tabs>
        <w:spacing w:line="360" w:lineRule="auto"/>
        <w:ind w:left="0"/>
        <w:contextualSpacing w:val="0"/>
        <w:rPr>
          <w:sz w:val="24"/>
        </w:rPr>
      </w:pPr>
    </w:p>
    <w:p w14:paraId="56DFAB2E" w14:textId="701C60D0" w:rsidR="008C6B5A" w:rsidRDefault="008C6B5A" w:rsidP="00AF0C07">
      <w:pPr>
        <w:tabs>
          <w:tab w:val="left" w:pos="851"/>
        </w:tabs>
        <w:spacing w:line="360" w:lineRule="auto"/>
        <w:rPr>
          <w:sz w:val="24"/>
          <w:highlight w:val="green"/>
        </w:rPr>
      </w:pPr>
      <w:r w:rsidRPr="00916B6F">
        <w:rPr>
          <w:sz w:val="24"/>
        </w:rPr>
        <w:t>The exclusion</w:t>
      </w:r>
      <w:r>
        <w:rPr>
          <w:sz w:val="24"/>
        </w:rPr>
        <w:t xml:space="preserve"> </w:t>
      </w:r>
      <w:r w:rsidR="00D62625">
        <w:rPr>
          <w:sz w:val="24"/>
        </w:rPr>
        <w:t>nonetheless</w:t>
      </w:r>
      <w:r w:rsidRPr="00916B6F">
        <w:rPr>
          <w:sz w:val="24"/>
        </w:rPr>
        <w:t xml:space="preserve"> applies to activities even if they are not in conformity with IHL,</w:t>
      </w:r>
      <w:r w:rsidRPr="00916B6F">
        <w:rPr>
          <w:vertAlign w:val="superscript"/>
        </w:rPr>
        <w:footnoteReference w:id="58"/>
      </w:r>
      <w:r w:rsidRPr="00916B6F">
        <w:rPr>
          <w:sz w:val="24"/>
        </w:rPr>
        <w:t xml:space="preserve"> international law, or national law. It thus </w:t>
      </w:r>
      <w:r>
        <w:rPr>
          <w:sz w:val="24"/>
        </w:rPr>
        <w:t xml:space="preserve">also </w:t>
      </w:r>
      <w:r w:rsidRPr="00916B6F">
        <w:rPr>
          <w:sz w:val="24"/>
        </w:rPr>
        <w:t xml:space="preserve">excludes even deliberate attacks on civilians by armed forces from the </w:t>
      </w:r>
      <w:r w:rsidR="00D62625">
        <w:rPr>
          <w:sz w:val="24"/>
        </w:rPr>
        <w:t>ICTCs</w:t>
      </w:r>
      <w:r w:rsidRPr="00916B6F">
        <w:rPr>
          <w:sz w:val="24"/>
        </w:rPr>
        <w:t xml:space="preserve">, which are left to IHL, international criminal law, international human rights law, and the law on the use of force. </w:t>
      </w:r>
      <w:r w:rsidR="00AF0C07" w:rsidRPr="00AF0C07">
        <w:rPr>
          <w:sz w:val="24"/>
        </w:rPr>
        <w:t xml:space="preserve">Drafting proposals to limit </w:t>
      </w:r>
      <w:r w:rsidR="00AF0C07" w:rsidRPr="00BA3980">
        <w:rPr>
          <w:sz w:val="24"/>
        </w:rPr>
        <w:t>the exclusion to activities in accord</w:t>
      </w:r>
      <w:r w:rsidR="00525605">
        <w:rPr>
          <w:sz w:val="24"/>
        </w:rPr>
        <w:t>ance with IHL were not accepted.</w:t>
      </w:r>
      <w:r w:rsidR="00AF0C07" w:rsidRPr="00BA3980">
        <w:rPr>
          <w:rStyle w:val="FootnoteReference"/>
          <w:sz w:val="24"/>
        </w:rPr>
        <w:footnoteReference w:id="59"/>
      </w:r>
      <w:r w:rsidRPr="00EA5171">
        <w:rPr>
          <w:sz w:val="24"/>
        </w:rPr>
        <w:t xml:space="preserve"> In </w:t>
      </w:r>
      <w:r w:rsidR="00525605">
        <w:rPr>
          <w:sz w:val="24"/>
        </w:rPr>
        <w:t>serious</w:t>
      </w:r>
      <w:r w:rsidRPr="00EA5171">
        <w:rPr>
          <w:sz w:val="24"/>
        </w:rPr>
        <w:t xml:space="preserve"> cases, terrorist-type conduct </w:t>
      </w:r>
      <w:r w:rsidR="00525605">
        <w:rPr>
          <w:sz w:val="24"/>
        </w:rPr>
        <w:lastRenderedPageBreak/>
        <w:t>excluded under</w:t>
      </w:r>
      <w:r w:rsidRPr="00EA5171">
        <w:rPr>
          <w:sz w:val="24"/>
        </w:rPr>
        <w:t xml:space="preserve"> the </w:t>
      </w:r>
      <w:r w:rsidR="00D62625">
        <w:rPr>
          <w:sz w:val="24"/>
        </w:rPr>
        <w:t xml:space="preserve">ICTCs </w:t>
      </w:r>
      <w:r w:rsidRPr="00EA5171">
        <w:rPr>
          <w:sz w:val="24"/>
        </w:rPr>
        <w:t xml:space="preserve">will constitute war crimes, such as the intentional bombing of civilians in IAC or NIAC, so the exclusive application of IHL will </w:t>
      </w:r>
      <w:r>
        <w:rPr>
          <w:sz w:val="24"/>
        </w:rPr>
        <w:t xml:space="preserve">still </w:t>
      </w:r>
      <w:r w:rsidRPr="00EA5171">
        <w:rPr>
          <w:sz w:val="24"/>
        </w:rPr>
        <w:t>ensure</w:t>
      </w:r>
      <w:r>
        <w:rPr>
          <w:sz w:val="24"/>
        </w:rPr>
        <w:t xml:space="preserve"> </w:t>
      </w:r>
      <w:r w:rsidRPr="00EA5171">
        <w:rPr>
          <w:sz w:val="24"/>
        </w:rPr>
        <w:t xml:space="preserve">criminal accountability. </w:t>
      </w:r>
      <w:r w:rsidR="00D62625">
        <w:rPr>
          <w:sz w:val="24"/>
        </w:rPr>
        <w:t>As mentioned earlier, however, there may be gaps where I</w:t>
      </w:r>
      <w:r w:rsidR="00525605">
        <w:rPr>
          <w:sz w:val="24"/>
        </w:rPr>
        <w:t>CTC offences are not war crimes, or CTL offers other law enforcement advantages.</w:t>
      </w:r>
    </w:p>
    <w:p w14:paraId="3D5357AF" w14:textId="77777777" w:rsidR="00BA3980" w:rsidRDefault="00BA3980" w:rsidP="008C6B5A">
      <w:pPr>
        <w:tabs>
          <w:tab w:val="left" w:pos="851"/>
        </w:tabs>
        <w:spacing w:line="360" w:lineRule="auto"/>
        <w:rPr>
          <w:rFonts w:eastAsia="Times New Roman"/>
          <w:sz w:val="24"/>
          <w:highlight w:val="green"/>
          <w:lang w:eastAsia="en-AU" w:bidi="ne-NP"/>
        </w:rPr>
      </w:pPr>
    </w:p>
    <w:p w14:paraId="360AA734" w14:textId="0BBB051A" w:rsidR="00D62625" w:rsidRPr="00B80210" w:rsidRDefault="00D62625" w:rsidP="00D62625">
      <w:pPr>
        <w:pStyle w:val="ListParagraph"/>
        <w:shd w:val="clear" w:color="auto" w:fill="FFFFFF" w:themeFill="background1"/>
        <w:tabs>
          <w:tab w:val="left" w:pos="851"/>
        </w:tabs>
        <w:spacing w:line="360" w:lineRule="auto"/>
        <w:ind w:left="0"/>
        <w:contextualSpacing w:val="0"/>
        <w:rPr>
          <w:sz w:val="24"/>
        </w:rPr>
      </w:pPr>
      <w:r w:rsidRPr="00B80210">
        <w:rPr>
          <w:sz w:val="24"/>
        </w:rPr>
        <w:t xml:space="preserve">Both IHL and the ICTCs </w:t>
      </w:r>
      <w:r w:rsidRPr="00D62625">
        <w:rPr>
          <w:i/>
          <w:sz w:val="24"/>
        </w:rPr>
        <w:t>co-apply</w:t>
      </w:r>
      <w:r w:rsidRPr="00D62625">
        <w:rPr>
          <w:sz w:val="24"/>
        </w:rPr>
        <w:t xml:space="preserve"> to</w:t>
      </w:r>
      <w:r w:rsidRPr="00B80210">
        <w:rPr>
          <w:sz w:val="24"/>
        </w:rPr>
        <w:t xml:space="preserve"> the activities of: (i) irregular forces not belonging to state but acting in support of it</w:t>
      </w:r>
      <w:r>
        <w:rPr>
          <w:sz w:val="24"/>
        </w:rPr>
        <w:t xml:space="preserve"> in IAC</w:t>
      </w:r>
      <w:r w:rsidRPr="00B80210">
        <w:rPr>
          <w:sz w:val="24"/>
        </w:rPr>
        <w:t>; (</w:t>
      </w:r>
      <w:r>
        <w:rPr>
          <w:sz w:val="24"/>
        </w:rPr>
        <w:t>ii</w:t>
      </w:r>
      <w:r w:rsidRPr="00B80210">
        <w:rPr>
          <w:sz w:val="24"/>
        </w:rPr>
        <w:t>) civilians tak</w:t>
      </w:r>
      <w:r>
        <w:rPr>
          <w:sz w:val="24"/>
        </w:rPr>
        <w:t>ing a direct part in hostilities, whether in IAC or NIAC (who are not members of organized armed groups</w:t>
      </w:r>
      <w:r w:rsidR="00525605">
        <w:rPr>
          <w:sz w:val="24"/>
        </w:rPr>
        <w:t xml:space="preserve"> performing a CCF</w:t>
      </w:r>
      <w:r>
        <w:rPr>
          <w:sz w:val="24"/>
        </w:rPr>
        <w:t>; and including members of disorganized armed groups)</w:t>
      </w:r>
      <w:r w:rsidRPr="00B80210">
        <w:rPr>
          <w:sz w:val="24"/>
        </w:rPr>
        <w:t>;</w:t>
      </w:r>
      <w:r>
        <w:rPr>
          <w:sz w:val="24"/>
        </w:rPr>
        <w:t xml:space="preserve"> and</w:t>
      </w:r>
      <w:r w:rsidRPr="00B80210">
        <w:rPr>
          <w:sz w:val="24"/>
        </w:rPr>
        <w:t xml:space="preserve"> (</w:t>
      </w:r>
      <w:r>
        <w:rPr>
          <w:sz w:val="24"/>
        </w:rPr>
        <w:t>iii</w:t>
      </w:r>
      <w:r w:rsidRPr="00B80210">
        <w:rPr>
          <w:sz w:val="24"/>
        </w:rPr>
        <w:t xml:space="preserve">) civilians taking </w:t>
      </w:r>
      <w:r>
        <w:rPr>
          <w:sz w:val="24"/>
        </w:rPr>
        <w:t>an indirect part in hostilities in support of any state or non-state party in IAC or NIAC.</w:t>
      </w:r>
      <w:r w:rsidR="00D35D0A">
        <w:rPr>
          <w:sz w:val="24"/>
        </w:rPr>
        <w:t xml:space="preserve"> </w:t>
      </w:r>
    </w:p>
    <w:p w14:paraId="51BD5772" w14:textId="77777777" w:rsidR="00D62625" w:rsidRDefault="00D62625" w:rsidP="00D62625">
      <w:pPr>
        <w:pStyle w:val="ListParagraph"/>
        <w:shd w:val="clear" w:color="auto" w:fill="FFFFFF" w:themeFill="background1"/>
        <w:tabs>
          <w:tab w:val="left" w:pos="851"/>
        </w:tabs>
        <w:spacing w:line="360" w:lineRule="auto"/>
        <w:ind w:left="0"/>
        <w:contextualSpacing w:val="0"/>
        <w:rPr>
          <w:sz w:val="24"/>
        </w:rPr>
      </w:pPr>
    </w:p>
    <w:p w14:paraId="67D09D48" w14:textId="436DD71E" w:rsidR="00D62625" w:rsidRDefault="00E70309" w:rsidP="00D62625">
      <w:pPr>
        <w:shd w:val="clear" w:color="auto" w:fill="FFFFFF" w:themeFill="background1"/>
        <w:spacing w:line="360" w:lineRule="auto"/>
        <w:rPr>
          <w:sz w:val="24"/>
        </w:rPr>
      </w:pPr>
      <w:r w:rsidRPr="00E70309">
        <w:rPr>
          <w:sz w:val="24"/>
        </w:rPr>
        <w:t>Two</w:t>
      </w:r>
      <w:r w:rsidR="00D62625" w:rsidRPr="00E70309">
        <w:rPr>
          <w:sz w:val="24"/>
        </w:rPr>
        <w:t xml:space="preserve"> further qualifications </w:t>
      </w:r>
      <w:r w:rsidRPr="00E70309">
        <w:rPr>
          <w:sz w:val="24"/>
        </w:rPr>
        <w:t xml:space="preserve">are </w:t>
      </w:r>
      <w:r w:rsidR="00D62625" w:rsidRPr="00E70309">
        <w:rPr>
          <w:sz w:val="24"/>
        </w:rPr>
        <w:t xml:space="preserve">arguably implied </w:t>
      </w:r>
      <w:r w:rsidR="00D35D0A" w:rsidRPr="00E70309">
        <w:rPr>
          <w:sz w:val="24"/>
        </w:rPr>
        <w:t>by</w:t>
      </w:r>
      <w:r w:rsidR="00D62625" w:rsidRPr="00E70309">
        <w:rPr>
          <w:sz w:val="24"/>
        </w:rPr>
        <w:t xml:space="preserve"> the exclusion clause. One is that it applies to the ‘activities of armed forces’ </w:t>
      </w:r>
      <w:r w:rsidR="00D62625" w:rsidRPr="00E70309">
        <w:rPr>
          <w:i/>
          <w:sz w:val="24"/>
        </w:rPr>
        <w:t>as such</w:t>
      </w:r>
      <w:r w:rsidR="00D62625" w:rsidRPr="00E70309">
        <w:rPr>
          <w:sz w:val="24"/>
        </w:rPr>
        <w:t>, that is, in the exercise of their military functions and not to purely private activities of off-duty military personnel. Another</w:t>
      </w:r>
      <w:r w:rsidR="00D35D0A" w:rsidRPr="00E70309">
        <w:rPr>
          <w:sz w:val="24"/>
        </w:rPr>
        <w:t>, related qualification</w:t>
      </w:r>
      <w:r w:rsidR="00D62625" w:rsidRPr="00E70309">
        <w:rPr>
          <w:sz w:val="24"/>
        </w:rPr>
        <w:t xml:space="preserve"> is that since the exclusion applies to activities ‘during’ armed conflict, </w:t>
      </w:r>
      <w:r w:rsidR="00D35D0A" w:rsidRPr="00E70309">
        <w:rPr>
          <w:sz w:val="24"/>
        </w:rPr>
        <w:t>such</w:t>
      </w:r>
      <w:r w:rsidR="00D62625" w:rsidRPr="00E70309">
        <w:rPr>
          <w:sz w:val="24"/>
        </w:rPr>
        <w:t xml:space="preserve"> activities must have a </w:t>
      </w:r>
      <w:r w:rsidR="00D62625" w:rsidRPr="00E70309">
        <w:rPr>
          <w:i/>
          <w:sz w:val="24"/>
        </w:rPr>
        <w:t>nexus</w:t>
      </w:r>
      <w:r w:rsidR="00D62625" w:rsidRPr="00E70309">
        <w:rPr>
          <w:sz w:val="24"/>
        </w:rPr>
        <w:t xml:space="preserve"> to the conflict, meaning that they are ‘closely related’</w:t>
      </w:r>
      <w:r w:rsidR="00D62625" w:rsidRPr="00E70309">
        <w:rPr>
          <w:vertAlign w:val="superscript"/>
        </w:rPr>
        <w:footnoteReference w:id="60"/>
      </w:r>
      <w:r w:rsidR="00D62625" w:rsidRPr="00E70309">
        <w:rPr>
          <w:sz w:val="24"/>
        </w:rPr>
        <w:t xml:space="preserve"> to it – for example by engaging in or preparing for hostilities; or where an act serves the ultimate goal of a party’s campaign.</w:t>
      </w:r>
      <w:r w:rsidR="00D62625" w:rsidRPr="00E70309">
        <w:rPr>
          <w:sz w:val="24"/>
          <w:vertAlign w:val="superscript"/>
        </w:rPr>
        <w:footnoteReference w:id="61"/>
      </w:r>
      <w:r w:rsidR="00D62625" w:rsidRPr="00E70309">
        <w:rPr>
          <w:sz w:val="24"/>
        </w:rPr>
        <w:t xml:space="preserve"> </w:t>
      </w:r>
      <w:r>
        <w:rPr>
          <w:sz w:val="24"/>
        </w:rPr>
        <w:t xml:space="preserve">It could also include where private, </w:t>
      </w:r>
      <w:r w:rsidRPr="00E70309">
        <w:rPr>
          <w:sz w:val="24"/>
        </w:rPr>
        <w:t xml:space="preserve">off-duty soldiers secretly aid the enemy or engage in ‘blue on blue attacks; or where the work of on-duty soldiers has no nexus to the conflict (as where some forces </w:t>
      </w:r>
      <w:r w:rsidR="00D62625" w:rsidRPr="00E70309">
        <w:rPr>
          <w:sz w:val="24"/>
        </w:rPr>
        <w:t>are deployed in a limited foreign conflict but others remain stationed at home, performing ordinary peacetime duties</w:t>
      </w:r>
      <w:r w:rsidRPr="00E70309">
        <w:rPr>
          <w:sz w:val="24"/>
        </w:rPr>
        <w:t>)</w:t>
      </w:r>
      <w:r w:rsidR="00D62625" w:rsidRPr="00E70309">
        <w:rPr>
          <w:sz w:val="24"/>
        </w:rPr>
        <w:t>.</w:t>
      </w:r>
    </w:p>
    <w:p w14:paraId="3B1028BA" w14:textId="77777777" w:rsidR="00806A18" w:rsidRDefault="00806A18" w:rsidP="008C6B5A">
      <w:pPr>
        <w:tabs>
          <w:tab w:val="left" w:pos="851"/>
        </w:tabs>
        <w:spacing w:line="360" w:lineRule="auto"/>
        <w:rPr>
          <w:rFonts w:eastAsia="Times New Roman"/>
          <w:sz w:val="24"/>
          <w:lang w:eastAsia="en-AU" w:bidi="ne-NP"/>
        </w:rPr>
      </w:pPr>
    </w:p>
    <w:p w14:paraId="637BC949" w14:textId="6AD2DFDD" w:rsidR="008C6B5A" w:rsidRPr="00BB3761" w:rsidRDefault="00942910" w:rsidP="008C6B5A">
      <w:pPr>
        <w:tabs>
          <w:tab w:val="left" w:pos="851"/>
        </w:tabs>
        <w:spacing w:line="360" w:lineRule="auto"/>
        <w:rPr>
          <w:rFonts w:eastAsia="Times New Roman"/>
          <w:b/>
          <w:sz w:val="24"/>
          <w:lang w:eastAsia="en-AU" w:bidi="ne-NP"/>
        </w:rPr>
      </w:pPr>
      <w:r>
        <w:rPr>
          <w:rFonts w:eastAsia="Times New Roman"/>
          <w:b/>
          <w:sz w:val="24"/>
          <w:lang w:eastAsia="en-AU" w:bidi="ne-NP"/>
        </w:rPr>
        <w:t>5</w:t>
      </w:r>
      <w:r>
        <w:rPr>
          <w:rFonts w:eastAsia="Times New Roman"/>
          <w:b/>
          <w:sz w:val="24"/>
          <w:lang w:eastAsia="en-AU" w:bidi="ne-NP"/>
        </w:rPr>
        <w:tab/>
      </w:r>
      <w:r w:rsidR="008C6B5A" w:rsidRPr="00BB3761">
        <w:rPr>
          <w:rFonts w:eastAsia="Times New Roman"/>
          <w:b/>
          <w:sz w:val="24"/>
          <w:lang w:eastAsia="en-AU" w:bidi="ne-NP"/>
        </w:rPr>
        <w:t>The UN Draft Comprehensive Terrorism Convention</w:t>
      </w:r>
    </w:p>
    <w:p w14:paraId="1EE5DE59" w14:textId="77777777" w:rsidR="008C6B5A" w:rsidRPr="00BB3761" w:rsidRDefault="008C6B5A" w:rsidP="008C6B5A">
      <w:pPr>
        <w:tabs>
          <w:tab w:val="left" w:pos="851"/>
        </w:tabs>
        <w:spacing w:line="360" w:lineRule="auto"/>
        <w:rPr>
          <w:rFonts w:eastAsia="Times New Roman"/>
          <w:b/>
          <w:sz w:val="24"/>
          <w:lang w:eastAsia="en-AU" w:bidi="ne-NP"/>
        </w:rPr>
      </w:pPr>
    </w:p>
    <w:p w14:paraId="738FB43A" w14:textId="3402C201" w:rsidR="008C6B5A" w:rsidRDefault="008C6B5A" w:rsidP="008C6B5A">
      <w:pPr>
        <w:tabs>
          <w:tab w:val="left" w:pos="851"/>
        </w:tabs>
        <w:spacing w:line="360" w:lineRule="auto"/>
        <w:rPr>
          <w:rFonts w:eastAsia="Times New Roman"/>
          <w:sz w:val="24"/>
          <w:lang w:eastAsia="en-AU" w:bidi="ne-NP"/>
        </w:rPr>
      </w:pPr>
      <w:r w:rsidRPr="00BB3761">
        <w:rPr>
          <w:rFonts w:eastAsia="Times New Roman"/>
          <w:sz w:val="24"/>
          <w:lang w:eastAsia="en-AU" w:bidi="ne-NP"/>
        </w:rPr>
        <w:t xml:space="preserve">Despite being </w:t>
      </w:r>
      <w:r w:rsidR="004F1ABB">
        <w:rPr>
          <w:rFonts w:eastAsia="Times New Roman"/>
          <w:sz w:val="24"/>
          <w:lang w:eastAsia="en-AU" w:bidi="ne-NP"/>
        </w:rPr>
        <w:t xml:space="preserve">agreed in </w:t>
      </w:r>
      <w:r w:rsidR="00E70309">
        <w:rPr>
          <w:rFonts w:eastAsia="Times New Roman"/>
          <w:sz w:val="24"/>
          <w:lang w:eastAsia="en-AU" w:bidi="ne-NP"/>
        </w:rPr>
        <w:t xml:space="preserve">the </w:t>
      </w:r>
      <w:r w:rsidR="004F1ABB">
        <w:rPr>
          <w:rFonts w:eastAsia="Times New Roman"/>
          <w:sz w:val="24"/>
          <w:lang w:eastAsia="en-AU" w:bidi="ne-NP"/>
        </w:rPr>
        <w:t xml:space="preserve">six ICTCs in 1997, 2005, and 2010, </w:t>
      </w:r>
      <w:r w:rsidRPr="00BB3761">
        <w:rPr>
          <w:rFonts w:eastAsia="Times New Roman"/>
          <w:sz w:val="24"/>
          <w:lang w:eastAsia="en-AU" w:bidi="ne-NP"/>
        </w:rPr>
        <w:t xml:space="preserve">the exclusion clause was reopened during the negotiations for </w:t>
      </w:r>
      <w:r w:rsidR="001C196E">
        <w:rPr>
          <w:rFonts w:eastAsia="Times New Roman"/>
          <w:sz w:val="24"/>
          <w:lang w:eastAsia="en-AU" w:bidi="ne-NP"/>
        </w:rPr>
        <w:t>the</w:t>
      </w:r>
      <w:r w:rsidRPr="00BB3761">
        <w:rPr>
          <w:rFonts w:eastAsia="Times New Roman"/>
          <w:sz w:val="24"/>
          <w:lang w:eastAsia="en-AU" w:bidi="ne-NP"/>
        </w:rPr>
        <w:t xml:space="preserve"> UN Draft Convention. The Organisation of Islamic Cooperation (OIC) proposed excluding the activities of the ‘parties’—rather than ‘arme</w:t>
      </w:r>
      <w:r w:rsidR="001C196E">
        <w:rPr>
          <w:rFonts w:eastAsia="Times New Roman"/>
          <w:sz w:val="24"/>
          <w:lang w:eastAsia="en-AU" w:bidi="ne-NP"/>
        </w:rPr>
        <w:t xml:space="preserve">d </w:t>
      </w:r>
      <w:r w:rsidR="001C196E">
        <w:rPr>
          <w:rFonts w:eastAsia="Times New Roman"/>
          <w:sz w:val="24"/>
          <w:lang w:eastAsia="en-AU" w:bidi="ne-NP"/>
        </w:rPr>
        <w:lastRenderedPageBreak/>
        <w:t xml:space="preserve">forces’—during armed conflict, </w:t>
      </w:r>
      <w:r w:rsidRPr="00BB3761">
        <w:rPr>
          <w:rFonts w:eastAsia="Times New Roman"/>
          <w:sz w:val="24"/>
          <w:lang w:eastAsia="en-AU" w:bidi="ne-NP"/>
        </w:rPr>
        <w:t>‘including in situations of foreign occupation’.</w:t>
      </w:r>
      <w:r w:rsidR="00FB5135" w:rsidRPr="00BB3761">
        <w:rPr>
          <w:rFonts w:eastAsia="Times New Roman"/>
          <w:sz w:val="24"/>
          <w:vertAlign w:val="superscript"/>
          <w:lang w:eastAsia="en-AU" w:bidi="ne-NP"/>
        </w:rPr>
        <w:footnoteReference w:id="62"/>
      </w:r>
      <w:r w:rsidRPr="00BB3761">
        <w:rPr>
          <w:rFonts w:eastAsia="Times New Roman"/>
          <w:sz w:val="24"/>
          <w:lang w:eastAsia="en-AU" w:bidi="ne-NP"/>
        </w:rPr>
        <w:t xml:space="preserve"> </w:t>
      </w:r>
      <w:r w:rsidR="00415B53">
        <w:rPr>
          <w:rFonts w:eastAsia="Times New Roman"/>
          <w:sz w:val="24"/>
          <w:lang w:eastAsia="en-AU" w:bidi="ne-NP"/>
        </w:rPr>
        <w:t xml:space="preserve">The proposal is </w:t>
      </w:r>
      <w:r w:rsidR="00C33DD1">
        <w:rPr>
          <w:rFonts w:eastAsia="Times New Roman"/>
          <w:sz w:val="24"/>
          <w:lang w:eastAsia="en-AU" w:bidi="ne-NP"/>
        </w:rPr>
        <w:t>partly a</w:t>
      </w:r>
      <w:r w:rsidR="00415B53">
        <w:rPr>
          <w:rFonts w:eastAsia="Times New Roman"/>
          <w:sz w:val="24"/>
          <w:lang w:eastAsia="en-AU" w:bidi="ne-NP"/>
        </w:rPr>
        <w:t xml:space="preserve"> technical difference over the proper terminology but </w:t>
      </w:r>
      <w:r w:rsidR="00C33DD1">
        <w:rPr>
          <w:rFonts w:eastAsia="Times New Roman"/>
          <w:sz w:val="24"/>
          <w:lang w:eastAsia="en-AU" w:bidi="ne-NP"/>
        </w:rPr>
        <w:t>also</w:t>
      </w:r>
      <w:r w:rsidR="00415B53">
        <w:rPr>
          <w:rFonts w:eastAsia="Times New Roman"/>
          <w:sz w:val="24"/>
          <w:lang w:eastAsia="en-AU" w:bidi="ne-NP"/>
        </w:rPr>
        <w:t xml:space="preserve"> </w:t>
      </w:r>
      <w:r w:rsidR="004F1ABB">
        <w:rPr>
          <w:rFonts w:eastAsia="Times New Roman"/>
          <w:sz w:val="24"/>
          <w:lang w:eastAsia="en-AU" w:bidi="ne-NP"/>
        </w:rPr>
        <w:t xml:space="preserve">a </w:t>
      </w:r>
      <w:r w:rsidR="00415B53">
        <w:rPr>
          <w:rFonts w:eastAsia="Times New Roman"/>
          <w:sz w:val="24"/>
          <w:lang w:eastAsia="en-AU" w:bidi="ne-NP"/>
        </w:rPr>
        <w:t>political disagreement about the desirable scope of the exception.</w:t>
      </w:r>
    </w:p>
    <w:p w14:paraId="7A065DD1" w14:textId="77777777" w:rsidR="00415B53" w:rsidRDefault="00415B53" w:rsidP="008C6B5A">
      <w:pPr>
        <w:tabs>
          <w:tab w:val="left" w:pos="851"/>
        </w:tabs>
        <w:spacing w:line="360" w:lineRule="auto"/>
        <w:rPr>
          <w:rFonts w:eastAsia="Times New Roman"/>
          <w:sz w:val="24"/>
          <w:lang w:eastAsia="en-AU" w:bidi="ne-NP"/>
        </w:rPr>
      </w:pPr>
    </w:p>
    <w:p w14:paraId="71E89F7F" w14:textId="46EFFB0E" w:rsidR="007E2AB0" w:rsidRPr="007E2AB0" w:rsidRDefault="00415B53" w:rsidP="007E2AB0">
      <w:pPr>
        <w:tabs>
          <w:tab w:val="left" w:pos="851"/>
        </w:tabs>
        <w:spacing w:line="360" w:lineRule="auto"/>
        <w:rPr>
          <w:rFonts w:eastAsia="Times New Roman"/>
          <w:b/>
          <w:color w:val="FF0000"/>
          <w:sz w:val="24"/>
          <w:lang w:eastAsia="en-AU" w:bidi="ne-NP"/>
        </w:rPr>
      </w:pPr>
      <w:r>
        <w:rPr>
          <w:rFonts w:eastAsia="Times New Roman"/>
          <w:sz w:val="24"/>
          <w:lang w:eastAsia="en-AU" w:bidi="ne-NP"/>
        </w:rPr>
        <w:t>Both ‘armed forces’ and ‘parties’ are IHL terms of art. Only states are referred to as (high contracting) ‘parties’ to IHL treaties,</w:t>
      </w:r>
      <w:r>
        <w:rPr>
          <w:rStyle w:val="FootnoteReference"/>
          <w:rFonts w:eastAsia="Times New Roman"/>
          <w:sz w:val="24"/>
          <w:lang w:eastAsia="en-AU" w:bidi="ne-NP"/>
        </w:rPr>
        <w:footnoteReference w:id="63"/>
      </w:r>
      <w:r>
        <w:rPr>
          <w:rFonts w:eastAsia="Times New Roman"/>
          <w:sz w:val="24"/>
          <w:lang w:eastAsia="en-AU" w:bidi="ne-NP"/>
        </w:rPr>
        <w:t xml:space="preserve"> which regulate not only their ‘armed forces’</w:t>
      </w:r>
      <w:r>
        <w:rPr>
          <w:rStyle w:val="FootnoteReference"/>
          <w:rFonts w:eastAsia="Times New Roman"/>
          <w:sz w:val="24"/>
          <w:lang w:eastAsia="en-AU" w:bidi="ne-NP"/>
        </w:rPr>
        <w:footnoteReference w:id="64"/>
      </w:r>
      <w:r>
        <w:rPr>
          <w:rFonts w:eastAsia="Times New Roman"/>
          <w:sz w:val="24"/>
          <w:lang w:eastAsia="en-AU" w:bidi="ne-NP"/>
        </w:rPr>
        <w:t xml:space="preserve"> but impose wider obligations on the</w:t>
      </w:r>
      <w:r w:rsidR="001C196E">
        <w:rPr>
          <w:rFonts w:eastAsia="Times New Roman"/>
          <w:sz w:val="24"/>
          <w:lang w:eastAsia="en-AU" w:bidi="ne-NP"/>
        </w:rPr>
        <w:t xml:space="preserve"> wider entity of the state</w:t>
      </w:r>
      <w:r>
        <w:rPr>
          <w:rFonts w:eastAsia="Times New Roman"/>
          <w:sz w:val="24"/>
          <w:lang w:eastAsia="en-AU" w:bidi="ne-NP"/>
        </w:rPr>
        <w:t xml:space="preserve">. In NIAC, </w:t>
      </w:r>
      <w:r w:rsidR="0023747E">
        <w:rPr>
          <w:sz w:val="24"/>
        </w:rPr>
        <w:t>CA3</w:t>
      </w:r>
      <w:r>
        <w:rPr>
          <w:sz w:val="24"/>
        </w:rPr>
        <w:t xml:space="preserve"> separately refers to ‘each Party to the conflict’ to denote state and </w:t>
      </w:r>
      <w:r w:rsidRPr="007E2AB0">
        <w:rPr>
          <w:sz w:val="24"/>
        </w:rPr>
        <w:t>non-state</w:t>
      </w:r>
      <w:r>
        <w:rPr>
          <w:sz w:val="24"/>
        </w:rPr>
        <w:t xml:space="preserve"> parties; the latter are not, however, High Contracting Parties</w:t>
      </w:r>
      <w:r w:rsidRPr="00415B53">
        <w:rPr>
          <w:sz w:val="24"/>
        </w:rPr>
        <w:t xml:space="preserve"> </w:t>
      </w:r>
      <w:r>
        <w:rPr>
          <w:sz w:val="24"/>
        </w:rPr>
        <w:t xml:space="preserve">since only states </w:t>
      </w:r>
      <w:r w:rsidR="007E2AB0">
        <w:rPr>
          <w:sz w:val="24"/>
        </w:rPr>
        <w:t>are</w:t>
      </w:r>
      <w:r>
        <w:rPr>
          <w:sz w:val="24"/>
        </w:rPr>
        <w:t xml:space="preserve"> parties to treaties.</w:t>
      </w:r>
      <w:r w:rsidR="00021DF0">
        <w:rPr>
          <w:rStyle w:val="FootnoteReference"/>
          <w:sz w:val="24"/>
        </w:rPr>
        <w:footnoteReference w:id="65"/>
      </w:r>
      <w:r w:rsidR="004737E8">
        <w:rPr>
          <w:sz w:val="24"/>
        </w:rPr>
        <w:t xml:space="preserve"> CA3 then </w:t>
      </w:r>
      <w:r w:rsidR="007E2AB0">
        <w:rPr>
          <w:sz w:val="24"/>
        </w:rPr>
        <w:t>guarantees protections for</w:t>
      </w:r>
      <w:r w:rsidR="004737E8" w:rsidRPr="00653844">
        <w:rPr>
          <w:sz w:val="24"/>
        </w:rPr>
        <w:t>, inter alia, ‘</w:t>
      </w:r>
      <w:r w:rsidR="004737E8" w:rsidRPr="007E2AB0">
        <w:rPr>
          <w:sz w:val="24"/>
        </w:rPr>
        <w:t xml:space="preserve">members of armed forces’ no longer taking an active part in hostilities, necessarily </w:t>
      </w:r>
      <w:r w:rsidR="007E2AB0" w:rsidRPr="007E2AB0">
        <w:rPr>
          <w:sz w:val="24"/>
        </w:rPr>
        <w:t>meaning of both</w:t>
      </w:r>
      <w:r w:rsidR="004737E8" w:rsidRPr="007E2AB0">
        <w:rPr>
          <w:sz w:val="24"/>
        </w:rPr>
        <w:t xml:space="preserve"> state </w:t>
      </w:r>
      <w:r w:rsidR="0023747E">
        <w:rPr>
          <w:sz w:val="24"/>
        </w:rPr>
        <w:t>and non-state</w:t>
      </w:r>
      <w:r w:rsidR="004737E8" w:rsidRPr="007E2AB0">
        <w:rPr>
          <w:sz w:val="24"/>
        </w:rPr>
        <w:t xml:space="preserve"> forces</w:t>
      </w:r>
      <w:r w:rsidR="0023747E">
        <w:rPr>
          <w:sz w:val="24"/>
        </w:rPr>
        <w:t xml:space="preserve"> (the latter being</w:t>
      </w:r>
      <w:r w:rsidR="00E258C5" w:rsidRPr="007E2AB0">
        <w:rPr>
          <w:sz w:val="24"/>
        </w:rPr>
        <w:t xml:space="preserve"> </w:t>
      </w:r>
      <w:r w:rsidR="0023747E">
        <w:rPr>
          <w:sz w:val="24"/>
        </w:rPr>
        <w:t>assimilable to</w:t>
      </w:r>
      <w:r w:rsidR="00E258C5" w:rsidRPr="007E2AB0">
        <w:rPr>
          <w:sz w:val="24"/>
        </w:rPr>
        <w:t xml:space="preserve"> </w:t>
      </w:r>
      <w:r w:rsidR="00E258C5" w:rsidRPr="00790940">
        <w:rPr>
          <w:i/>
          <w:sz w:val="24"/>
        </w:rPr>
        <w:t>organized armed groups</w:t>
      </w:r>
      <w:r w:rsidR="00790940">
        <w:rPr>
          <w:sz w:val="24"/>
        </w:rPr>
        <w:t xml:space="preserve"> </w:t>
      </w:r>
      <w:r w:rsidR="0023747E">
        <w:rPr>
          <w:sz w:val="24"/>
        </w:rPr>
        <w:t xml:space="preserve">in the prevailing legal parlance of </w:t>
      </w:r>
      <w:r w:rsidR="00790940">
        <w:rPr>
          <w:sz w:val="24"/>
        </w:rPr>
        <w:t xml:space="preserve">NIAC). </w:t>
      </w:r>
      <w:r w:rsidR="007E2AB0" w:rsidRPr="007E2AB0">
        <w:rPr>
          <w:sz w:val="24"/>
        </w:rPr>
        <w:t>To t</w:t>
      </w:r>
      <w:r w:rsidR="007E2AB0" w:rsidRPr="007E2AB0">
        <w:rPr>
          <w:rFonts w:eastAsia="Times New Roman"/>
          <w:sz w:val="24"/>
          <w:lang w:eastAsia="en-AU" w:bidi="ne-NP"/>
        </w:rPr>
        <w:t xml:space="preserve">he extent that OIC’s reference to the ‘parties’ </w:t>
      </w:r>
      <w:r w:rsidR="0023747E">
        <w:rPr>
          <w:rFonts w:eastAsia="Times New Roman"/>
          <w:sz w:val="24"/>
          <w:lang w:eastAsia="en-AU" w:bidi="ne-NP"/>
        </w:rPr>
        <w:t>aims</w:t>
      </w:r>
      <w:r w:rsidR="007E2AB0" w:rsidRPr="007E2AB0">
        <w:rPr>
          <w:rFonts w:eastAsia="Times New Roman"/>
          <w:sz w:val="24"/>
          <w:lang w:eastAsia="en-AU" w:bidi="ne-NP"/>
        </w:rPr>
        <w:t xml:space="preserve"> to counter those states which narrowly interpret ‘armed forces’ as only state militaries,</w:t>
      </w:r>
      <w:r w:rsidR="007E2AB0" w:rsidRPr="007E2AB0">
        <w:rPr>
          <w:rFonts w:eastAsia="Times New Roman"/>
          <w:sz w:val="24"/>
          <w:vertAlign w:val="superscript"/>
          <w:lang w:eastAsia="en-AU" w:bidi="ne-NP"/>
        </w:rPr>
        <w:footnoteReference w:id="66"/>
      </w:r>
      <w:r w:rsidR="007E2AB0" w:rsidRPr="007E2AB0">
        <w:rPr>
          <w:rFonts w:eastAsia="Times New Roman"/>
          <w:sz w:val="24"/>
          <w:lang w:eastAsia="en-AU" w:bidi="ne-NP"/>
        </w:rPr>
        <w:t xml:space="preserve"> it is redundant on a proper interpretation of ‘armed forces’ under CA3.  </w:t>
      </w:r>
    </w:p>
    <w:p w14:paraId="7A44C7DB" w14:textId="765E9A3D" w:rsidR="00801A5B" w:rsidRDefault="00801A5B" w:rsidP="004737E8">
      <w:pPr>
        <w:tabs>
          <w:tab w:val="left" w:pos="851"/>
        </w:tabs>
        <w:spacing w:line="360" w:lineRule="auto"/>
        <w:rPr>
          <w:sz w:val="24"/>
        </w:rPr>
      </w:pPr>
    </w:p>
    <w:p w14:paraId="05B7EE13" w14:textId="7C1A8E43" w:rsidR="00801A5B" w:rsidRDefault="007E2AB0" w:rsidP="004737E8">
      <w:pPr>
        <w:tabs>
          <w:tab w:val="left" w:pos="851"/>
        </w:tabs>
        <w:spacing w:line="360" w:lineRule="auto"/>
        <w:rPr>
          <w:rFonts w:eastAsia="Times New Roman"/>
          <w:sz w:val="24"/>
          <w:lang w:eastAsia="en-AU" w:bidi="ne-NP"/>
        </w:rPr>
      </w:pPr>
      <w:r>
        <w:rPr>
          <w:rFonts w:eastAsia="Times New Roman"/>
          <w:sz w:val="24"/>
          <w:lang w:eastAsia="en-AU" w:bidi="ne-NP"/>
        </w:rPr>
        <w:t>However, t</w:t>
      </w:r>
      <w:r w:rsidRPr="00BB3761">
        <w:rPr>
          <w:rFonts w:eastAsia="Times New Roman"/>
          <w:sz w:val="24"/>
          <w:lang w:eastAsia="en-AU" w:bidi="ne-NP"/>
        </w:rPr>
        <w:t xml:space="preserve">he OIC </w:t>
      </w:r>
      <w:r>
        <w:rPr>
          <w:rFonts w:eastAsia="Times New Roman"/>
          <w:sz w:val="24"/>
          <w:lang w:eastAsia="en-AU" w:bidi="ne-NP"/>
        </w:rPr>
        <w:t xml:space="preserve">also </w:t>
      </w:r>
      <w:r w:rsidRPr="00BB3761">
        <w:rPr>
          <w:rFonts w:eastAsia="Times New Roman"/>
          <w:sz w:val="24"/>
          <w:lang w:eastAsia="en-AU" w:bidi="ne-NP"/>
        </w:rPr>
        <w:t>intends the term ‘parties’ to exclude</w:t>
      </w:r>
      <w:r>
        <w:rPr>
          <w:rFonts w:eastAsia="Times New Roman"/>
          <w:sz w:val="24"/>
          <w:lang w:eastAsia="en-AU" w:bidi="ne-NP"/>
        </w:rPr>
        <w:t xml:space="preserve"> actors other than </w:t>
      </w:r>
      <w:r w:rsidR="0023747E">
        <w:rPr>
          <w:rFonts w:eastAsia="Times New Roman"/>
          <w:sz w:val="24"/>
          <w:lang w:eastAsia="en-AU" w:bidi="ne-NP"/>
        </w:rPr>
        <w:t>members of</w:t>
      </w:r>
      <w:r>
        <w:rPr>
          <w:rFonts w:eastAsia="Times New Roman"/>
          <w:sz w:val="24"/>
          <w:lang w:eastAsia="en-AU" w:bidi="ne-NP"/>
        </w:rPr>
        <w:t xml:space="preserve"> organized armed group</w:t>
      </w:r>
      <w:r w:rsidR="0023747E">
        <w:rPr>
          <w:rFonts w:eastAsia="Times New Roman"/>
          <w:sz w:val="24"/>
          <w:lang w:eastAsia="en-AU" w:bidi="ne-NP"/>
        </w:rPr>
        <w:t>s</w:t>
      </w:r>
      <w:r>
        <w:rPr>
          <w:rFonts w:eastAsia="Times New Roman"/>
          <w:sz w:val="24"/>
          <w:lang w:eastAsia="en-AU" w:bidi="ne-NP"/>
        </w:rPr>
        <w:t xml:space="preserve">, </w:t>
      </w:r>
      <w:r w:rsidRPr="00BB3761">
        <w:rPr>
          <w:rFonts w:eastAsia="Times New Roman"/>
          <w:sz w:val="24"/>
          <w:lang w:eastAsia="en-AU" w:bidi="ne-NP"/>
        </w:rPr>
        <w:t>such as disorganized armed groups,</w:t>
      </w:r>
      <w:r w:rsidRPr="00BB3761">
        <w:rPr>
          <w:rFonts w:eastAsia="Times New Roman"/>
          <w:sz w:val="24"/>
          <w:vertAlign w:val="superscript"/>
          <w:lang w:eastAsia="en-AU" w:bidi="ne-NP"/>
        </w:rPr>
        <w:footnoteReference w:id="67"/>
      </w:r>
      <w:r w:rsidRPr="00BB3761">
        <w:rPr>
          <w:rFonts w:eastAsia="Times New Roman"/>
          <w:sz w:val="24"/>
          <w:lang w:eastAsia="en-AU" w:bidi="ne-NP"/>
        </w:rPr>
        <w:t xml:space="preserve"> </w:t>
      </w:r>
      <w:r w:rsidR="001C196E">
        <w:rPr>
          <w:rFonts w:eastAsia="Times New Roman"/>
          <w:sz w:val="24"/>
          <w:lang w:eastAsia="en-AU" w:bidi="ne-NP"/>
        </w:rPr>
        <w:t xml:space="preserve">sporadic civilian DPH </w:t>
      </w:r>
      <w:r w:rsidRPr="00BB3761">
        <w:rPr>
          <w:rFonts w:eastAsia="Times New Roman"/>
          <w:sz w:val="24"/>
          <w:lang w:eastAsia="en-AU" w:bidi="ne-NP"/>
        </w:rPr>
        <w:t xml:space="preserve">(without performing a </w:t>
      </w:r>
      <w:r w:rsidR="00D731BA">
        <w:rPr>
          <w:rFonts w:eastAsia="Times New Roman"/>
          <w:sz w:val="24"/>
          <w:lang w:eastAsia="en-AU" w:bidi="ne-NP"/>
        </w:rPr>
        <w:t xml:space="preserve">CCF </w:t>
      </w:r>
      <w:r w:rsidRPr="00BB3761">
        <w:rPr>
          <w:rFonts w:eastAsia="Times New Roman"/>
          <w:sz w:val="24"/>
          <w:lang w:eastAsia="en-AU" w:bidi="ne-NP"/>
        </w:rPr>
        <w:t>and</w:t>
      </w:r>
      <w:r w:rsidR="0023747E">
        <w:rPr>
          <w:rFonts w:eastAsia="Times New Roman"/>
          <w:sz w:val="24"/>
          <w:lang w:eastAsia="en-AU" w:bidi="ne-NP"/>
        </w:rPr>
        <w:t xml:space="preserve"> thereby</w:t>
      </w:r>
      <w:r w:rsidRPr="00BB3761">
        <w:rPr>
          <w:rFonts w:eastAsia="Times New Roman"/>
          <w:sz w:val="24"/>
          <w:lang w:eastAsia="en-AU" w:bidi="ne-NP"/>
        </w:rPr>
        <w:t xml:space="preserve"> being members of an organized armed group), or civilians indirectly participating in hostilities. Self-determination movements and non-state armed groups, for example, typically comprise not only armed wings but wider (and often larger) political and social organizations, some of whom may also engage in violence with nexus to the conflict. </w:t>
      </w:r>
      <w:r w:rsidRPr="00EA1396">
        <w:rPr>
          <w:rFonts w:eastAsia="Times New Roman"/>
          <w:sz w:val="24"/>
          <w:lang w:eastAsia="en-AU" w:bidi="ne-NP"/>
        </w:rPr>
        <w:t xml:space="preserve">In practical terms, reference to the ‘parties’ is aimed at exempting </w:t>
      </w:r>
      <w:r w:rsidR="0023747E">
        <w:rPr>
          <w:rFonts w:eastAsia="Times New Roman"/>
          <w:sz w:val="24"/>
          <w:lang w:eastAsia="en-AU" w:bidi="ne-NP"/>
        </w:rPr>
        <w:t>entities</w:t>
      </w:r>
      <w:r w:rsidRPr="00EA1396">
        <w:rPr>
          <w:rFonts w:eastAsia="Times New Roman"/>
          <w:sz w:val="24"/>
          <w:lang w:eastAsia="en-AU" w:bidi="ne-NP"/>
        </w:rPr>
        <w:t xml:space="preserve"> such as the Palestine Liberation Organisation, Hamas, Islamic Jihad and Hezbollah.</w:t>
      </w:r>
      <w:r w:rsidRPr="00EA1396">
        <w:rPr>
          <w:rFonts w:eastAsia="Times New Roman"/>
          <w:sz w:val="24"/>
          <w:vertAlign w:val="superscript"/>
          <w:lang w:eastAsia="en-AU" w:bidi="ne-NP"/>
        </w:rPr>
        <w:footnoteReference w:id="68"/>
      </w:r>
    </w:p>
    <w:p w14:paraId="4A349F73" w14:textId="77777777" w:rsidR="007E2AB0" w:rsidRDefault="007E2AB0" w:rsidP="004737E8">
      <w:pPr>
        <w:tabs>
          <w:tab w:val="left" w:pos="851"/>
        </w:tabs>
        <w:spacing w:line="360" w:lineRule="auto"/>
        <w:rPr>
          <w:rFonts w:eastAsia="Times New Roman"/>
          <w:sz w:val="24"/>
          <w:lang w:eastAsia="en-AU" w:bidi="ne-NP"/>
        </w:rPr>
      </w:pPr>
    </w:p>
    <w:p w14:paraId="4E819BBC" w14:textId="78CA4314" w:rsidR="007E2AB0" w:rsidRDefault="007E2AB0" w:rsidP="004737E8">
      <w:pPr>
        <w:tabs>
          <w:tab w:val="left" w:pos="851"/>
        </w:tabs>
        <w:spacing w:line="360" w:lineRule="auto"/>
        <w:rPr>
          <w:sz w:val="24"/>
        </w:rPr>
      </w:pPr>
      <w:r>
        <w:rPr>
          <w:rFonts w:eastAsia="Times New Roman"/>
          <w:sz w:val="24"/>
          <w:lang w:eastAsia="en-AU" w:bidi="ne-NP"/>
        </w:rPr>
        <w:t>It is highly doubtful, however, whether replacing ‘armed forces’ with ‘parties’ would make any difference. A</w:t>
      </w:r>
      <w:r w:rsidR="00E258C5">
        <w:rPr>
          <w:sz w:val="24"/>
        </w:rPr>
        <w:t xml:space="preserve"> non-state </w:t>
      </w:r>
      <w:r>
        <w:rPr>
          <w:sz w:val="24"/>
        </w:rPr>
        <w:t>‘</w:t>
      </w:r>
      <w:r w:rsidR="00E258C5">
        <w:rPr>
          <w:sz w:val="24"/>
        </w:rPr>
        <w:t>party</w:t>
      </w:r>
      <w:r>
        <w:rPr>
          <w:sz w:val="24"/>
        </w:rPr>
        <w:t>’</w:t>
      </w:r>
      <w:r w:rsidR="00E258C5">
        <w:rPr>
          <w:sz w:val="24"/>
        </w:rPr>
        <w:t xml:space="preserve"> to a NIAC </w:t>
      </w:r>
      <w:r w:rsidR="00801A5B">
        <w:rPr>
          <w:sz w:val="24"/>
        </w:rPr>
        <w:t xml:space="preserve">is exclusively constituted by an organized armed </w:t>
      </w:r>
      <w:r w:rsidR="00801A5B">
        <w:rPr>
          <w:sz w:val="24"/>
        </w:rPr>
        <w:lastRenderedPageBreak/>
        <w:t xml:space="preserve">group. </w:t>
      </w:r>
      <w:r>
        <w:rPr>
          <w:sz w:val="24"/>
        </w:rPr>
        <w:t xml:space="preserve">There is no equivalent recognition under IHL of any components of a non-state party other than the organized armed group, such as political, civil, or administrative arms of a wider anti-government movement. </w:t>
      </w:r>
      <w:r w:rsidR="00801A5B">
        <w:rPr>
          <w:sz w:val="24"/>
        </w:rPr>
        <w:t xml:space="preserve">In contrast, as mentioned states parties mean not only their armed forces </w:t>
      </w:r>
      <w:r w:rsidR="003870DD">
        <w:rPr>
          <w:sz w:val="24"/>
        </w:rPr>
        <w:t xml:space="preserve">(including irregular forces) </w:t>
      </w:r>
      <w:r w:rsidR="00801A5B">
        <w:rPr>
          <w:sz w:val="24"/>
        </w:rPr>
        <w:t>but</w:t>
      </w:r>
      <w:r w:rsidR="003870DD">
        <w:rPr>
          <w:sz w:val="24"/>
        </w:rPr>
        <w:t xml:space="preserve"> also</w:t>
      </w:r>
      <w:r w:rsidR="00801A5B">
        <w:rPr>
          <w:sz w:val="24"/>
        </w:rPr>
        <w:t xml:space="preserve"> other state organs </w:t>
      </w:r>
      <w:r>
        <w:rPr>
          <w:sz w:val="24"/>
        </w:rPr>
        <w:t xml:space="preserve">(such a police or intelligence agencies), </w:t>
      </w:r>
      <w:r w:rsidR="001C196E">
        <w:rPr>
          <w:sz w:val="24"/>
        </w:rPr>
        <w:t>and other</w:t>
      </w:r>
      <w:r w:rsidR="00801A5B">
        <w:rPr>
          <w:sz w:val="24"/>
        </w:rPr>
        <w:t xml:space="preserve"> persons or entities for whom the state is internationally legally responsible. </w:t>
      </w:r>
      <w:r>
        <w:rPr>
          <w:sz w:val="24"/>
        </w:rPr>
        <w:t xml:space="preserve">The OIC proposal makes a distinction without difference because </w:t>
      </w:r>
      <w:r w:rsidR="00790940">
        <w:rPr>
          <w:sz w:val="24"/>
        </w:rPr>
        <w:t>a</w:t>
      </w:r>
      <w:r>
        <w:rPr>
          <w:sz w:val="24"/>
        </w:rPr>
        <w:t xml:space="preserve"> non-state ‘party’ to a NIAC is the same entity as the organized armed group, that is, the non-state ‘armed forces’. </w:t>
      </w:r>
    </w:p>
    <w:p w14:paraId="0606A8CC" w14:textId="77777777" w:rsidR="007E2AB0" w:rsidRDefault="007E2AB0" w:rsidP="004737E8">
      <w:pPr>
        <w:tabs>
          <w:tab w:val="left" w:pos="851"/>
        </w:tabs>
        <w:spacing w:line="360" w:lineRule="auto"/>
        <w:rPr>
          <w:sz w:val="24"/>
        </w:rPr>
      </w:pPr>
    </w:p>
    <w:p w14:paraId="71629709" w14:textId="5ED28BF4" w:rsidR="00615FF2" w:rsidRDefault="00B520AF" w:rsidP="004737E8">
      <w:pPr>
        <w:tabs>
          <w:tab w:val="left" w:pos="851"/>
        </w:tabs>
        <w:spacing w:line="360" w:lineRule="auto"/>
        <w:rPr>
          <w:sz w:val="24"/>
        </w:rPr>
      </w:pPr>
      <w:r>
        <w:rPr>
          <w:sz w:val="24"/>
        </w:rPr>
        <w:t xml:space="preserve">The more difficult question </w:t>
      </w:r>
      <w:r w:rsidR="0023747E">
        <w:rPr>
          <w:sz w:val="24"/>
        </w:rPr>
        <w:t>– pertinent also to</w:t>
      </w:r>
      <w:r w:rsidR="005C370D">
        <w:rPr>
          <w:sz w:val="24"/>
        </w:rPr>
        <w:t xml:space="preserve"> the</w:t>
      </w:r>
      <w:r w:rsidR="0023747E">
        <w:rPr>
          <w:sz w:val="24"/>
        </w:rPr>
        <w:t xml:space="preserve"> six prior ICTCs with the exclusion clause – </w:t>
      </w:r>
      <w:r>
        <w:rPr>
          <w:sz w:val="24"/>
        </w:rPr>
        <w:t xml:space="preserve">is who or what comes within the scope of the non-state ‘party’ / ‘organized armed group’. </w:t>
      </w:r>
      <w:r w:rsidR="00D731BA">
        <w:rPr>
          <w:sz w:val="24"/>
        </w:rPr>
        <w:t xml:space="preserve">On a narrow view, it includes only members of the group performing a </w:t>
      </w:r>
      <w:r w:rsidR="00967419">
        <w:rPr>
          <w:sz w:val="24"/>
        </w:rPr>
        <w:t xml:space="preserve">CCF. On a middle view, it includes any member of the group, whether performing a CCF, </w:t>
      </w:r>
      <w:r w:rsidR="00C33DD1">
        <w:rPr>
          <w:sz w:val="24"/>
        </w:rPr>
        <w:t xml:space="preserve">persons </w:t>
      </w:r>
      <w:r w:rsidR="00967419">
        <w:rPr>
          <w:sz w:val="24"/>
        </w:rPr>
        <w:t xml:space="preserve">otherwise (sporadically) taking a direct part in hostilities, or persons taking an indirect part in hostilities </w:t>
      </w:r>
      <w:r w:rsidR="00C33DD1">
        <w:rPr>
          <w:sz w:val="24"/>
        </w:rPr>
        <w:t>by</w:t>
      </w:r>
      <w:r w:rsidR="00967419">
        <w:rPr>
          <w:sz w:val="24"/>
        </w:rPr>
        <w:t xml:space="preserve"> support for the group</w:t>
      </w:r>
      <w:r w:rsidR="008E5923">
        <w:rPr>
          <w:sz w:val="24"/>
        </w:rPr>
        <w:t xml:space="preserve"> (such as ‘police’ or intelligence elements which may facilitate military operations</w:t>
      </w:r>
      <w:r w:rsidR="0023747E">
        <w:rPr>
          <w:sz w:val="24"/>
        </w:rPr>
        <w:t xml:space="preserve"> without taking a direct part in them</w:t>
      </w:r>
      <w:r w:rsidR="008E5923">
        <w:rPr>
          <w:sz w:val="24"/>
        </w:rPr>
        <w:t>)</w:t>
      </w:r>
      <w:r w:rsidR="00967419">
        <w:rPr>
          <w:sz w:val="24"/>
        </w:rPr>
        <w:t xml:space="preserve">. On the widest view, it includes all of the preceding </w:t>
      </w:r>
      <w:r w:rsidR="001C196E">
        <w:rPr>
          <w:sz w:val="24"/>
        </w:rPr>
        <w:t>actors</w:t>
      </w:r>
      <w:r w:rsidR="00967419">
        <w:rPr>
          <w:sz w:val="24"/>
        </w:rPr>
        <w:t xml:space="preserve"> as well as others associated </w:t>
      </w:r>
      <w:r w:rsidR="001C196E">
        <w:rPr>
          <w:sz w:val="24"/>
        </w:rPr>
        <w:t>with the group</w:t>
      </w:r>
      <w:r w:rsidR="00967419">
        <w:rPr>
          <w:sz w:val="24"/>
        </w:rPr>
        <w:t xml:space="preserve"> who take neither a direct </w:t>
      </w:r>
      <w:r w:rsidR="00967419" w:rsidRPr="00967419">
        <w:rPr>
          <w:i/>
          <w:sz w:val="24"/>
        </w:rPr>
        <w:t>nor</w:t>
      </w:r>
      <w:r w:rsidR="00967419">
        <w:rPr>
          <w:sz w:val="24"/>
        </w:rPr>
        <w:t xml:space="preserve"> indirect part in hostilities. The</w:t>
      </w:r>
      <w:r w:rsidR="001C196E">
        <w:rPr>
          <w:sz w:val="24"/>
        </w:rPr>
        <w:t>se</w:t>
      </w:r>
      <w:r w:rsidR="00967419">
        <w:rPr>
          <w:sz w:val="24"/>
        </w:rPr>
        <w:t xml:space="preserve"> could include, for instance, the purely civil or administrative components of an armed movement which controls territory and governs </w:t>
      </w:r>
      <w:r w:rsidR="00C33DD1">
        <w:rPr>
          <w:sz w:val="24"/>
        </w:rPr>
        <w:t>a</w:t>
      </w:r>
      <w:r w:rsidR="00967419">
        <w:rPr>
          <w:sz w:val="24"/>
        </w:rPr>
        <w:t xml:space="preserve"> population, such as birth registrars, bureaucrats, police, or judges. </w:t>
      </w:r>
      <w:r w:rsidR="00790940">
        <w:rPr>
          <w:sz w:val="24"/>
        </w:rPr>
        <w:t xml:space="preserve">A narrow focus on fighters </w:t>
      </w:r>
      <w:r w:rsidR="0023747E">
        <w:rPr>
          <w:sz w:val="24"/>
        </w:rPr>
        <w:t xml:space="preserve">evidently does not account for complex </w:t>
      </w:r>
      <w:r w:rsidR="001C196E">
        <w:rPr>
          <w:sz w:val="24"/>
        </w:rPr>
        <w:t>totality</w:t>
      </w:r>
      <w:r w:rsidR="0023747E">
        <w:rPr>
          <w:sz w:val="24"/>
        </w:rPr>
        <w:t xml:space="preserve"> of certain </w:t>
      </w:r>
      <w:r w:rsidR="00790940">
        <w:rPr>
          <w:sz w:val="24"/>
        </w:rPr>
        <w:t xml:space="preserve">non-state movements. </w:t>
      </w:r>
    </w:p>
    <w:p w14:paraId="09D727E6" w14:textId="77777777" w:rsidR="00790940" w:rsidRDefault="00790940" w:rsidP="004737E8">
      <w:pPr>
        <w:tabs>
          <w:tab w:val="left" w:pos="851"/>
        </w:tabs>
        <w:spacing w:line="360" w:lineRule="auto"/>
        <w:rPr>
          <w:sz w:val="24"/>
        </w:rPr>
      </w:pPr>
    </w:p>
    <w:p w14:paraId="32D49941" w14:textId="77777777" w:rsidR="001F32CB" w:rsidRDefault="00790940" w:rsidP="008C6B5A">
      <w:pPr>
        <w:tabs>
          <w:tab w:val="left" w:pos="851"/>
        </w:tabs>
        <w:spacing w:line="360" w:lineRule="auto"/>
        <w:rPr>
          <w:sz w:val="24"/>
        </w:rPr>
      </w:pPr>
      <w:r>
        <w:rPr>
          <w:sz w:val="24"/>
        </w:rPr>
        <w:t xml:space="preserve">There was little discussion of the precise scope of non-state ‘armed forces’ during the drafting of the ICTCs, largely because its meaning was left to IHL. Yet the concept defining such forces, ‘organized armed group’, </w:t>
      </w:r>
      <w:r w:rsidR="00100B21">
        <w:rPr>
          <w:sz w:val="24"/>
        </w:rPr>
        <w:t>is</w:t>
      </w:r>
      <w:r>
        <w:rPr>
          <w:sz w:val="24"/>
        </w:rPr>
        <w:t xml:space="preserve"> open to</w:t>
      </w:r>
      <w:r w:rsidR="0023747E">
        <w:rPr>
          <w:sz w:val="24"/>
        </w:rPr>
        <w:t xml:space="preserve"> some</w:t>
      </w:r>
      <w:r>
        <w:rPr>
          <w:sz w:val="24"/>
        </w:rPr>
        <w:t xml:space="preserve"> debate. </w:t>
      </w:r>
      <w:r w:rsidR="00C33DD1">
        <w:rPr>
          <w:sz w:val="24"/>
        </w:rPr>
        <w:t>The dominant</w:t>
      </w:r>
      <w:r w:rsidR="0023747E">
        <w:rPr>
          <w:sz w:val="24"/>
        </w:rPr>
        <w:t xml:space="preserve"> (and correct)</w:t>
      </w:r>
      <w:r w:rsidR="00C33DD1">
        <w:rPr>
          <w:sz w:val="24"/>
        </w:rPr>
        <w:t xml:space="preserve"> approach is that </w:t>
      </w:r>
      <w:r w:rsidR="0064266A">
        <w:rPr>
          <w:sz w:val="24"/>
        </w:rPr>
        <w:t>‘</w:t>
      </w:r>
      <w:r w:rsidR="0064266A" w:rsidRPr="0064266A">
        <w:rPr>
          <w:sz w:val="24"/>
        </w:rPr>
        <w:t>in respect of armed groups with multiple wings and/or divisions, reference to the armed group is usually to the m</w:t>
      </w:r>
      <w:r w:rsidR="0064266A">
        <w:rPr>
          <w:sz w:val="24"/>
        </w:rPr>
        <w:t>ilitary wing of the armed group’</w:t>
      </w:r>
      <w:r w:rsidR="0064266A">
        <w:rPr>
          <w:rStyle w:val="FootnoteReference"/>
          <w:sz w:val="24"/>
        </w:rPr>
        <w:footnoteReference w:id="69"/>
      </w:r>
      <w:r w:rsidR="00C33DD1">
        <w:rPr>
          <w:sz w:val="24"/>
        </w:rPr>
        <w:t xml:space="preserve"> (even if there may be humanitarian costs to this approach.</w:t>
      </w:r>
      <w:r w:rsidR="00C33DD1">
        <w:rPr>
          <w:rStyle w:val="FootnoteReference"/>
          <w:sz w:val="24"/>
        </w:rPr>
        <w:footnoteReference w:id="70"/>
      </w:r>
      <w:r w:rsidR="00C33DD1">
        <w:rPr>
          <w:sz w:val="24"/>
        </w:rPr>
        <w:t>) That means that any exclusion of the activities of non-state ‘armed forces’ / ‘parties’ would only exclude fighters (CCF</w:t>
      </w:r>
      <w:r w:rsidR="00100B21">
        <w:rPr>
          <w:sz w:val="24"/>
        </w:rPr>
        <w:t>)</w:t>
      </w:r>
      <w:r w:rsidR="00C33DD1">
        <w:rPr>
          <w:sz w:val="24"/>
        </w:rPr>
        <w:t xml:space="preserve"> or</w:t>
      </w:r>
      <w:r w:rsidR="00100B21">
        <w:rPr>
          <w:sz w:val="24"/>
        </w:rPr>
        <w:t xml:space="preserve">, a slightly </w:t>
      </w:r>
      <w:r w:rsidR="00C33DD1">
        <w:rPr>
          <w:sz w:val="24"/>
        </w:rPr>
        <w:t xml:space="preserve">wider approach, other members integrated into the </w:t>
      </w:r>
      <w:r w:rsidR="00100B21">
        <w:rPr>
          <w:sz w:val="24"/>
        </w:rPr>
        <w:t xml:space="preserve">armed </w:t>
      </w:r>
      <w:r w:rsidR="00C33DD1">
        <w:rPr>
          <w:sz w:val="24"/>
        </w:rPr>
        <w:t>group</w:t>
      </w:r>
      <w:r w:rsidR="0023747E">
        <w:rPr>
          <w:sz w:val="24"/>
        </w:rPr>
        <w:t xml:space="preserve"> and</w:t>
      </w:r>
      <w:r w:rsidR="00100B21">
        <w:rPr>
          <w:sz w:val="24"/>
        </w:rPr>
        <w:t xml:space="preserve"> </w:t>
      </w:r>
      <w:r w:rsidR="00C33DD1">
        <w:rPr>
          <w:sz w:val="24"/>
        </w:rPr>
        <w:t xml:space="preserve">taking </w:t>
      </w:r>
      <w:r w:rsidR="00100B21">
        <w:rPr>
          <w:sz w:val="24"/>
        </w:rPr>
        <w:t>an indirect part in hostilities</w:t>
      </w:r>
      <w:r w:rsidR="00C33DD1">
        <w:rPr>
          <w:sz w:val="24"/>
        </w:rPr>
        <w:t xml:space="preserve">. </w:t>
      </w:r>
    </w:p>
    <w:p w14:paraId="4DF519F9" w14:textId="77777777" w:rsidR="001F32CB" w:rsidRDefault="001F32CB" w:rsidP="008C6B5A">
      <w:pPr>
        <w:tabs>
          <w:tab w:val="left" w:pos="851"/>
        </w:tabs>
        <w:spacing w:line="360" w:lineRule="auto"/>
        <w:rPr>
          <w:sz w:val="24"/>
        </w:rPr>
      </w:pPr>
    </w:p>
    <w:p w14:paraId="13BAD729" w14:textId="69D967DF" w:rsidR="001F32CB" w:rsidRDefault="0023747E" w:rsidP="008C6B5A">
      <w:pPr>
        <w:tabs>
          <w:tab w:val="left" w:pos="851"/>
        </w:tabs>
        <w:spacing w:line="360" w:lineRule="auto"/>
        <w:rPr>
          <w:sz w:val="24"/>
        </w:rPr>
      </w:pPr>
      <w:r w:rsidRPr="00EF5447">
        <w:rPr>
          <w:sz w:val="24"/>
        </w:rPr>
        <w:lastRenderedPageBreak/>
        <w:t xml:space="preserve">IHL </w:t>
      </w:r>
      <w:r w:rsidR="001F32CB">
        <w:rPr>
          <w:sz w:val="24"/>
        </w:rPr>
        <w:t xml:space="preserve">already </w:t>
      </w:r>
      <w:r w:rsidRPr="00EF5447">
        <w:rPr>
          <w:sz w:val="24"/>
        </w:rPr>
        <w:t xml:space="preserve">stipulates consequences for such conduct, including </w:t>
      </w:r>
      <w:r w:rsidR="001C196E">
        <w:rPr>
          <w:sz w:val="24"/>
        </w:rPr>
        <w:t>targeting</w:t>
      </w:r>
      <w:r w:rsidRPr="001F32CB">
        <w:rPr>
          <w:sz w:val="24"/>
        </w:rPr>
        <w:t xml:space="preserve">, security </w:t>
      </w:r>
      <w:r w:rsidR="001C196E">
        <w:rPr>
          <w:sz w:val="24"/>
        </w:rPr>
        <w:t>detention,</w:t>
      </w:r>
      <w:r w:rsidRPr="001F32CB">
        <w:rPr>
          <w:sz w:val="24"/>
        </w:rPr>
        <w:t xml:space="preserve"> and liability for national crimes.</w:t>
      </w:r>
      <w:r w:rsidR="001F32CB" w:rsidRPr="001F32CB">
        <w:rPr>
          <w:rFonts w:eastAsia="Times New Roman"/>
          <w:sz w:val="24"/>
          <w:lang w:eastAsia="en-AU" w:bidi="ne-NP"/>
        </w:rPr>
        <w:t xml:space="preserve"> The exclusion debate is thus </w:t>
      </w:r>
      <w:r w:rsidR="001F32CB">
        <w:rPr>
          <w:rFonts w:eastAsia="Times New Roman"/>
          <w:sz w:val="24"/>
          <w:lang w:eastAsia="en-AU" w:bidi="ne-NP"/>
        </w:rPr>
        <w:t>partly</w:t>
      </w:r>
      <w:r w:rsidR="001F32CB" w:rsidRPr="001F32CB">
        <w:rPr>
          <w:rFonts w:eastAsia="Times New Roman"/>
          <w:sz w:val="24"/>
          <w:lang w:eastAsia="en-AU" w:bidi="ne-NP"/>
        </w:rPr>
        <w:t xml:space="preserve"> a political struggle over what should be labelled as terrorism or not, rather than an attempt to confer impunity on ‘terrorists’. However, to the extent that ICTC offences establish additional liabilities</w:t>
      </w:r>
      <w:r w:rsidR="001C196E">
        <w:rPr>
          <w:rFonts w:eastAsia="Times New Roman"/>
          <w:sz w:val="24"/>
          <w:lang w:eastAsia="en-AU" w:bidi="ne-NP"/>
        </w:rPr>
        <w:t xml:space="preserve"> or confer wider law enforcement powers</w:t>
      </w:r>
      <w:r w:rsidR="001F32CB" w:rsidRPr="001F32CB">
        <w:rPr>
          <w:rFonts w:eastAsia="Times New Roman"/>
          <w:sz w:val="24"/>
          <w:lang w:eastAsia="en-AU" w:bidi="ne-NP"/>
        </w:rPr>
        <w:t xml:space="preserve"> that are not present in IHL/ICL, the disagreement is also a legal one about th</w:t>
      </w:r>
      <w:r w:rsidR="001C196E">
        <w:rPr>
          <w:rFonts w:eastAsia="Times New Roman"/>
          <w:sz w:val="24"/>
          <w:lang w:eastAsia="en-AU" w:bidi="ne-NP"/>
        </w:rPr>
        <w:t>e desirable extent of liability and legal powers.</w:t>
      </w:r>
    </w:p>
    <w:p w14:paraId="46EB6ADC" w14:textId="77777777" w:rsidR="0023747E" w:rsidRDefault="0023747E" w:rsidP="008C6B5A">
      <w:pPr>
        <w:tabs>
          <w:tab w:val="left" w:pos="851"/>
        </w:tabs>
        <w:spacing w:line="360" w:lineRule="auto"/>
        <w:rPr>
          <w:sz w:val="24"/>
        </w:rPr>
      </w:pPr>
    </w:p>
    <w:p w14:paraId="561E6F20" w14:textId="6673E7AD" w:rsidR="008C6B5A" w:rsidRDefault="00C33DD1" w:rsidP="008C6B5A">
      <w:pPr>
        <w:tabs>
          <w:tab w:val="left" w:pos="851"/>
        </w:tabs>
        <w:spacing w:line="360" w:lineRule="auto"/>
        <w:rPr>
          <w:sz w:val="24"/>
        </w:rPr>
      </w:pPr>
      <w:r>
        <w:rPr>
          <w:sz w:val="24"/>
        </w:rPr>
        <w:t xml:space="preserve">Civilians sporadically taking a direct part, or taking an indirect part, in hostilities </w:t>
      </w:r>
      <w:r w:rsidR="001C196E">
        <w:rPr>
          <w:sz w:val="24"/>
        </w:rPr>
        <w:t>are</w:t>
      </w:r>
      <w:r>
        <w:rPr>
          <w:sz w:val="24"/>
        </w:rPr>
        <w:t xml:space="preserve"> still be covered by </w:t>
      </w:r>
      <w:r w:rsidR="0023747E">
        <w:rPr>
          <w:sz w:val="24"/>
        </w:rPr>
        <w:t>ICTC</w:t>
      </w:r>
      <w:r w:rsidR="00100B21">
        <w:rPr>
          <w:sz w:val="24"/>
        </w:rPr>
        <w:t xml:space="preserve"> </w:t>
      </w:r>
      <w:r>
        <w:rPr>
          <w:sz w:val="24"/>
        </w:rPr>
        <w:t xml:space="preserve">offences, even if they </w:t>
      </w:r>
      <w:r w:rsidRPr="00EF5447">
        <w:rPr>
          <w:sz w:val="24"/>
        </w:rPr>
        <w:t>are associated with the wider civil or administrative struct</w:t>
      </w:r>
      <w:r w:rsidR="0023747E">
        <w:rPr>
          <w:sz w:val="24"/>
        </w:rPr>
        <w:t xml:space="preserve">ures of </w:t>
      </w:r>
      <w:r w:rsidR="001C196E">
        <w:rPr>
          <w:sz w:val="24"/>
        </w:rPr>
        <w:t>a</w:t>
      </w:r>
      <w:r w:rsidR="0023747E">
        <w:rPr>
          <w:sz w:val="24"/>
        </w:rPr>
        <w:t xml:space="preserve"> non-state movement. Importantly, these could include civilian policing or intelligence elements which use violence with a nexus to the conflict, without being members of the armed group.  </w:t>
      </w:r>
    </w:p>
    <w:p w14:paraId="52F26F2E" w14:textId="77777777" w:rsidR="008C6B5A" w:rsidRPr="001F32CB" w:rsidRDefault="008C6B5A" w:rsidP="008C6B5A">
      <w:pPr>
        <w:tabs>
          <w:tab w:val="left" w:pos="851"/>
        </w:tabs>
        <w:spacing w:line="360" w:lineRule="auto"/>
        <w:rPr>
          <w:rFonts w:eastAsia="Times New Roman"/>
          <w:sz w:val="24"/>
          <w:lang w:eastAsia="en-AU" w:bidi="ne-NP"/>
        </w:rPr>
      </w:pPr>
    </w:p>
    <w:p w14:paraId="7BFC6758" w14:textId="038AF231" w:rsidR="001F32CB" w:rsidRDefault="001F32CB" w:rsidP="001F32CB">
      <w:pPr>
        <w:tabs>
          <w:tab w:val="left" w:pos="851"/>
        </w:tabs>
        <w:spacing w:line="360" w:lineRule="auto"/>
        <w:rPr>
          <w:rFonts w:eastAsia="Times New Roman"/>
          <w:sz w:val="24"/>
          <w:lang w:eastAsia="en-AU" w:bidi="ne-NP"/>
        </w:rPr>
      </w:pPr>
      <w:r w:rsidRPr="001F32CB">
        <w:rPr>
          <w:rFonts w:eastAsia="Times New Roman"/>
          <w:sz w:val="24"/>
          <w:lang w:eastAsia="en-AU" w:bidi="ne-NP"/>
        </w:rPr>
        <w:t>The OIC’s further proposed exclusion ‘foreign occupation’ is</w:t>
      </w:r>
      <w:r w:rsidR="001C196E">
        <w:rPr>
          <w:rFonts w:eastAsia="Times New Roman"/>
          <w:sz w:val="24"/>
          <w:lang w:eastAsia="en-AU" w:bidi="ne-NP"/>
        </w:rPr>
        <w:t xml:space="preserve"> legally</w:t>
      </w:r>
      <w:r w:rsidRPr="001F32CB">
        <w:rPr>
          <w:rFonts w:eastAsia="Times New Roman"/>
          <w:sz w:val="24"/>
          <w:lang w:eastAsia="en-AU" w:bidi="ne-NP"/>
        </w:rPr>
        <w:t xml:space="preserve"> redundant in that an occupation is by definition an </w:t>
      </w:r>
      <w:r>
        <w:rPr>
          <w:rFonts w:eastAsia="Times New Roman"/>
          <w:sz w:val="24"/>
          <w:lang w:eastAsia="en-AU" w:bidi="ne-NP"/>
        </w:rPr>
        <w:t>IAC</w:t>
      </w:r>
      <w:r w:rsidRPr="001F32CB">
        <w:rPr>
          <w:rFonts w:eastAsia="Times New Roman"/>
          <w:sz w:val="24"/>
          <w:lang w:eastAsia="en-AU" w:bidi="ne-NP"/>
        </w:rPr>
        <w:t xml:space="preserve"> under Common Article 2 of the four Geneva Conventions 1949, regardless whether there are also hostilities between state forces.</w:t>
      </w:r>
      <w:r w:rsidRPr="001F32CB">
        <w:rPr>
          <w:rFonts w:eastAsia="Times New Roman"/>
          <w:sz w:val="24"/>
          <w:vertAlign w:val="superscript"/>
          <w:lang w:eastAsia="en-AU" w:bidi="ne-NP"/>
        </w:rPr>
        <w:footnoteReference w:id="71"/>
      </w:r>
      <w:r w:rsidRPr="001F32CB">
        <w:rPr>
          <w:rFonts w:eastAsia="Times New Roman"/>
          <w:sz w:val="24"/>
          <w:lang w:eastAsia="en-AU" w:bidi="ne-NP"/>
        </w:rPr>
        <w:t xml:space="preserve"> </w:t>
      </w:r>
      <w:r w:rsidR="00021DF0">
        <w:rPr>
          <w:rFonts w:eastAsia="Times New Roman"/>
          <w:sz w:val="24"/>
          <w:lang w:eastAsia="en-AU" w:bidi="ne-NP"/>
        </w:rPr>
        <w:t>The wording of the OIC’s proposal (</w:t>
      </w:r>
      <w:r w:rsidR="001C196E">
        <w:rPr>
          <w:rFonts w:eastAsia="Times New Roman"/>
          <w:sz w:val="24"/>
          <w:lang w:eastAsia="en-AU" w:bidi="ne-NP"/>
        </w:rPr>
        <w:t xml:space="preserve">conflict </w:t>
      </w:r>
      <w:r w:rsidR="00021DF0">
        <w:rPr>
          <w:rFonts w:eastAsia="Times New Roman"/>
          <w:sz w:val="24"/>
          <w:lang w:eastAsia="en-AU" w:bidi="ne-NP"/>
        </w:rPr>
        <w:t>‘including’</w:t>
      </w:r>
      <w:r w:rsidR="001C196E">
        <w:rPr>
          <w:rFonts w:eastAsia="Times New Roman"/>
          <w:sz w:val="24"/>
          <w:lang w:eastAsia="en-AU" w:bidi="ne-NP"/>
        </w:rPr>
        <w:t xml:space="preserve"> occupation</w:t>
      </w:r>
      <w:r w:rsidR="00021DF0">
        <w:rPr>
          <w:rFonts w:eastAsia="Times New Roman"/>
          <w:sz w:val="24"/>
          <w:lang w:eastAsia="en-AU" w:bidi="ne-NP"/>
        </w:rPr>
        <w:t>) recognizes as much. O</w:t>
      </w:r>
      <w:r w:rsidRPr="001F32CB">
        <w:rPr>
          <w:rFonts w:eastAsia="Times New Roman"/>
          <w:sz w:val="24"/>
          <w:lang w:eastAsia="en-AU" w:bidi="ne-NP"/>
        </w:rPr>
        <w:t xml:space="preserve">rganized armed groups involved in </w:t>
      </w:r>
      <w:r>
        <w:rPr>
          <w:rFonts w:eastAsia="Times New Roman"/>
          <w:sz w:val="24"/>
          <w:lang w:eastAsia="en-AU" w:bidi="ne-NP"/>
        </w:rPr>
        <w:t xml:space="preserve">concurrent </w:t>
      </w:r>
      <w:r w:rsidRPr="001F32CB">
        <w:rPr>
          <w:rFonts w:eastAsia="Times New Roman"/>
          <w:sz w:val="24"/>
          <w:lang w:eastAsia="en-AU" w:bidi="ne-NP"/>
        </w:rPr>
        <w:t>ho</w:t>
      </w:r>
      <w:r w:rsidR="00021DF0">
        <w:rPr>
          <w:rFonts w:eastAsia="Times New Roman"/>
          <w:sz w:val="24"/>
          <w:lang w:eastAsia="en-AU" w:bidi="ne-NP"/>
        </w:rPr>
        <w:t xml:space="preserve">stilities in occupied territory, </w:t>
      </w:r>
      <w:r w:rsidR="001C196E">
        <w:rPr>
          <w:rFonts w:eastAsia="Times New Roman"/>
          <w:sz w:val="24"/>
          <w:lang w:eastAsia="en-AU" w:bidi="ne-NP"/>
        </w:rPr>
        <w:t xml:space="preserve">and </w:t>
      </w:r>
      <w:r w:rsidR="00021DF0">
        <w:rPr>
          <w:rFonts w:eastAsia="Times New Roman"/>
          <w:sz w:val="24"/>
          <w:lang w:eastAsia="en-AU" w:bidi="ne-NP"/>
        </w:rPr>
        <w:t xml:space="preserve">which </w:t>
      </w:r>
      <w:r w:rsidRPr="001F32CB">
        <w:rPr>
          <w:rFonts w:eastAsia="Times New Roman"/>
          <w:sz w:val="24"/>
          <w:lang w:eastAsia="en-AU" w:bidi="ne-NP"/>
        </w:rPr>
        <w:t>do not ‘belong’ to the occupied state</w:t>
      </w:r>
      <w:r w:rsidR="00021DF0">
        <w:rPr>
          <w:rFonts w:eastAsia="Times New Roman"/>
          <w:sz w:val="24"/>
          <w:lang w:eastAsia="en-AU" w:bidi="ne-NP"/>
        </w:rPr>
        <w:t>,</w:t>
      </w:r>
      <w:r>
        <w:rPr>
          <w:rFonts w:eastAsia="Times New Roman"/>
          <w:sz w:val="24"/>
          <w:lang w:eastAsia="en-AU" w:bidi="ne-NP"/>
        </w:rPr>
        <w:t xml:space="preserve"> may</w:t>
      </w:r>
      <w:r w:rsidRPr="001F32CB">
        <w:rPr>
          <w:rFonts w:eastAsia="Times New Roman"/>
          <w:sz w:val="24"/>
          <w:lang w:eastAsia="en-AU" w:bidi="ne-NP"/>
        </w:rPr>
        <w:t xml:space="preserve"> separately be ‘armed forces’ in a NIAC </w:t>
      </w:r>
      <w:r w:rsidR="00021DF0">
        <w:rPr>
          <w:rFonts w:eastAsia="Times New Roman"/>
          <w:sz w:val="24"/>
          <w:lang w:eastAsia="en-AU" w:bidi="ne-NP"/>
        </w:rPr>
        <w:t>and</w:t>
      </w:r>
      <w:r w:rsidRPr="001F32CB">
        <w:rPr>
          <w:rFonts w:eastAsia="Times New Roman"/>
          <w:sz w:val="24"/>
          <w:lang w:eastAsia="en-AU" w:bidi="ne-NP"/>
        </w:rPr>
        <w:t xml:space="preserve"> also excluded from </w:t>
      </w:r>
      <w:r>
        <w:rPr>
          <w:rFonts w:eastAsia="Times New Roman"/>
          <w:sz w:val="24"/>
          <w:lang w:eastAsia="en-AU" w:bidi="ne-NP"/>
        </w:rPr>
        <w:t>the ICTCs.</w:t>
      </w:r>
    </w:p>
    <w:p w14:paraId="3B43E064" w14:textId="77777777" w:rsidR="001F32CB" w:rsidRDefault="001F32CB" w:rsidP="008C6B5A">
      <w:pPr>
        <w:tabs>
          <w:tab w:val="left" w:pos="851"/>
        </w:tabs>
        <w:spacing w:line="360" w:lineRule="auto"/>
        <w:rPr>
          <w:rFonts w:eastAsia="Times New Roman"/>
          <w:sz w:val="24"/>
          <w:lang w:eastAsia="en-AU" w:bidi="ne-NP"/>
        </w:rPr>
      </w:pPr>
    </w:p>
    <w:p w14:paraId="7D7821F9" w14:textId="36E31799" w:rsidR="00DA771A" w:rsidRPr="00DA771A" w:rsidRDefault="00942910" w:rsidP="008C6B5A">
      <w:pPr>
        <w:tabs>
          <w:tab w:val="left" w:pos="851"/>
        </w:tabs>
        <w:spacing w:line="360" w:lineRule="auto"/>
        <w:rPr>
          <w:rFonts w:eastAsia="Times New Roman"/>
          <w:b/>
          <w:sz w:val="24"/>
          <w:lang w:eastAsia="en-AU" w:bidi="ne-NP"/>
        </w:rPr>
      </w:pPr>
      <w:r>
        <w:rPr>
          <w:rFonts w:eastAsia="Times New Roman"/>
          <w:b/>
          <w:sz w:val="24"/>
          <w:lang w:eastAsia="en-AU" w:bidi="ne-NP"/>
        </w:rPr>
        <w:t>6</w:t>
      </w:r>
      <w:r>
        <w:rPr>
          <w:rFonts w:eastAsia="Times New Roman"/>
          <w:b/>
          <w:sz w:val="24"/>
          <w:lang w:eastAsia="en-AU" w:bidi="ne-NP"/>
        </w:rPr>
        <w:tab/>
      </w:r>
      <w:r w:rsidR="00DA771A" w:rsidRPr="00DA771A">
        <w:rPr>
          <w:rFonts w:eastAsia="Times New Roman"/>
          <w:b/>
          <w:sz w:val="24"/>
          <w:lang w:eastAsia="en-AU" w:bidi="ne-NP"/>
        </w:rPr>
        <w:t>Security Council Obligations on States to Criminalize Terrorist Acts</w:t>
      </w:r>
    </w:p>
    <w:p w14:paraId="04BC4C9D" w14:textId="77777777" w:rsidR="00DA771A" w:rsidRPr="001B3F91" w:rsidRDefault="00DA771A" w:rsidP="008C6B5A">
      <w:pPr>
        <w:tabs>
          <w:tab w:val="left" w:pos="851"/>
        </w:tabs>
        <w:spacing w:line="360" w:lineRule="auto"/>
        <w:rPr>
          <w:rFonts w:eastAsia="Times New Roman"/>
          <w:sz w:val="24"/>
          <w:lang w:eastAsia="en-AU" w:bidi="ne-NP"/>
        </w:rPr>
      </w:pPr>
    </w:p>
    <w:p w14:paraId="792F42EA" w14:textId="7607547E" w:rsidR="005577B7" w:rsidRDefault="00DA771A" w:rsidP="008C6B5A">
      <w:pPr>
        <w:tabs>
          <w:tab w:val="left" w:pos="851"/>
        </w:tabs>
        <w:spacing w:line="360" w:lineRule="auto"/>
        <w:rPr>
          <w:sz w:val="24"/>
        </w:rPr>
      </w:pPr>
      <w:r w:rsidRPr="001B3F91">
        <w:rPr>
          <w:rFonts w:eastAsia="Times New Roman"/>
          <w:sz w:val="24"/>
          <w:lang w:eastAsia="en-AU" w:bidi="ne-NP"/>
        </w:rPr>
        <w:t xml:space="preserve">Beyond the ICTCs, Security Council resolution 1373 </w:t>
      </w:r>
      <w:r w:rsidR="001B3F91" w:rsidRPr="001B3F91">
        <w:rPr>
          <w:rFonts w:eastAsia="Times New Roman"/>
          <w:sz w:val="24"/>
          <w:lang w:eastAsia="en-AU" w:bidi="ne-NP"/>
        </w:rPr>
        <w:t xml:space="preserve">(2001) </w:t>
      </w:r>
      <w:r w:rsidRPr="001B3F91">
        <w:rPr>
          <w:rFonts w:eastAsia="Times New Roman"/>
          <w:sz w:val="24"/>
          <w:lang w:eastAsia="en-AU" w:bidi="ne-NP"/>
        </w:rPr>
        <w:t xml:space="preserve">requires all states to criminalize ‘terrorist acts’ </w:t>
      </w:r>
      <w:r w:rsidR="001B3F91" w:rsidRPr="001B3F91">
        <w:rPr>
          <w:rFonts w:eastAsia="Times New Roman"/>
          <w:sz w:val="24"/>
          <w:lang w:eastAsia="en-AU" w:bidi="ne-NP"/>
        </w:rPr>
        <w:t xml:space="preserve">and various preparatory acts (including terrorist financing), while subsequent resolutions have required criminalization of </w:t>
      </w:r>
      <w:r w:rsidR="001C196E">
        <w:rPr>
          <w:rFonts w:eastAsia="Times New Roman"/>
          <w:sz w:val="24"/>
          <w:lang w:eastAsia="en-AU" w:bidi="ne-NP"/>
        </w:rPr>
        <w:t>other</w:t>
      </w:r>
      <w:r w:rsidR="001B3F91" w:rsidRPr="001B3F91">
        <w:rPr>
          <w:rFonts w:eastAsia="Times New Roman"/>
          <w:sz w:val="24"/>
          <w:lang w:eastAsia="en-AU" w:bidi="ne-NP"/>
        </w:rPr>
        <w:t xml:space="preserve"> conduct relating to</w:t>
      </w:r>
      <w:r w:rsidR="001C196E">
        <w:rPr>
          <w:rFonts w:eastAsia="Times New Roman"/>
          <w:sz w:val="24"/>
          <w:lang w:eastAsia="en-AU" w:bidi="ne-NP"/>
        </w:rPr>
        <w:t>, for example,</w:t>
      </w:r>
      <w:r w:rsidR="001B3F91" w:rsidRPr="001B3F91">
        <w:rPr>
          <w:rFonts w:eastAsia="Times New Roman"/>
          <w:sz w:val="24"/>
          <w:lang w:eastAsia="en-AU" w:bidi="ne-NP"/>
        </w:rPr>
        <w:t xml:space="preserve"> so-called ‘foreign terrorist fighters’. The Council has not, however, </w:t>
      </w:r>
      <w:r w:rsidR="001B3F91" w:rsidRPr="001B3F91">
        <w:rPr>
          <w:sz w:val="24"/>
        </w:rPr>
        <w:t>provide a common international definition of such acts</w:t>
      </w:r>
      <w:r w:rsidR="009F05B0">
        <w:rPr>
          <w:sz w:val="24"/>
        </w:rPr>
        <w:t>,</w:t>
      </w:r>
      <w:r w:rsidR="001B3F91" w:rsidRPr="001B3F91">
        <w:rPr>
          <w:sz w:val="24"/>
        </w:rPr>
        <w:t xml:space="preserve"> or prescribe</w:t>
      </w:r>
      <w:r w:rsidR="001B3F91">
        <w:rPr>
          <w:sz w:val="24"/>
        </w:rPr>
        <w:t>d</w:t>
      </w:r>
      <w:r w:rsidR="001B3F91" w:rsidRPr="001B3F91">
        <w:rPr>
          <w:sz w:val="24"/>
        </w:rPr>
        <w:t xml:space="preserve"> the relationship of offences to IHL (such as through exc</w:t>
      </w:r>
      <w:r w:rsidR="009F05B0">
        <w:rPr>
          <w:sz w:val="24"/>
        </w:rPr>
        <w:t xml:space="preserve">lusion clauses as in the ICTCs). Although its non-binding ‘working definition’ of 2004 addresses IHL in limited ways (by </w:t>
      </w:r>
      <w:r w:rsidR="009F05B0" w:rsidRPr="00A81F93">
        <w:rPr>
          <w:i/>
          <w:sz w:val="24"/>
        </w:rPr>
        <w:t>renvoi</w:t>
      </w:r>
      <w:r w:rsidR="009F05B0">
        <w:rPr>
          <w:sz w:val="24"/>
        </w:rPr>
        <w:t xml:space="preserve"> to predicate ICTC offences, and applying only to acts against ‘civilians’, thus excluding acts against fighters),</w:t>
      </w:r>
      <w:r w:rsidR="009F05B0">
        <w:rPr>
          <w:rStyle w:val="FootnoteReference"/>
          <w:sz w:val="24"/>
        </w:rPr>
        <w:footnoteReference w:id="72"/>
      </w:r>
      <w:r w:rsidR="009F05B0">
        <w:rPr>
          <w:sz w:val="24"/>
        </w:rPr>
        <w:t xml:space="preserve"> it has had little influence in practice.</w:t>
      </w:r>
      <w:r w:rsidR="005577B7">
        <w:rPr>
          <w:sz w:val="24"/>
        </w:rPr>
        <w:t xml:space="preserve"> </w:t>
      </w:r>
      <w:r w:rsidR="00A81F93">
        <w:rPr>
          <w:sz w:val="24"/>
        </w:rPr>
        <w:lastRenderedPageBreak/>
        <w:t>The Council’s CTL monitoring bodies (the Counter-Terrorism Committee and Counter-terrorism Executive Directorate) have also not publicly disclosed any clear public position.</w:t>
      </w:r>
    </w:p>
    <w:p w14:paraId="62F4CA3F" w14:textId="77777777" w:rsidR="005577B7" w:rsidRDefault="005577B7" w:rsidP="008C6B5A">
      <w:pPr>
        <w:tabs>
          <w:tab w:val="left" w:pos="851"/>
        </w:tabs>
        <w:spacing w:line="360" w:lineRule="auto"/>
        <w:rPr>
          <w:sz w:val="24"/>
        </w:rPr>
      </w:pPr>
    </w:p>
    <w:p w14:paraId="798545C1" w14:textId="4FDB2CE7" w:rsidR="00D37946" w:rsidRDefault="005577B7" w:rsidP="008C6B5A">
      <w:pPr>
        <w:tabs>
          <w:tab w:val="left" w:pos="851"/>
        </w:tabs>
        <w:spacing w:line="360" w:lineRule="auto"/>
        <w:rPr>
          <w:sz w:val="24"/>
          <w:lang w:val="en-GB"/>
        </w:rPr>
      </w:pPr>
      <w:r>
        <w:rPr>
          <w:sz w:val="24"/>
        </w:rPr>
        <w:t xml:space="preserve">At most, the Council has repeatedly emphasized in </w:t>
      </w:r>
      <w:r w:rsidRPr="005577B7">
        <w:rPr>
          <w:sz w:val="24"/>
          <w:lang w:val="en-GB"/>
        </w:rPr>
        <w:t xml:space="preserve">abstract terms </w:t>
      </w:r>
      <w:r w:rsidRPr="00D60B1A">
        <w:rPr>
          <w:sz w:val="24"/>
          <w:lang w:val="en-GB"/>
        </w:rPr>
        <w:t xml:space="preserve">that states </w:t>
      </w:r>
      <w:r w:rsidR="00D60B1A">
        <w:rPr>
          <w:sz w:val="24"/>
          <w:lang w:val="en-GB"/>
        </w:rPr>
        <w:t>‘</w:t>
      </w:r>
      <w:r w:rsidRPr="00D60B1A">
        <w:rPr>
          <w:sz w:val="24"/>
          <w:lang w:val="en-GB"/>
        </w:rPr>
        <w:t>must</w:t>
      </w:r>
      <w:r w:rsidR="00D60B1A">
        <w:rPr>
          <w:sz w:val="24"/>
          <w:lang w:val="en-GB"/>
        </w:rPr>
        <w:t xml:space="preserve"> comply with all their obligations under international law’, including IHL, when</w:t>
      </w:r>
      <w:r w:rsidRPr="00D60B1A">
        <w:rPr>
          <w:sz w:val="24"/>
          <w:lang w:val="en-GB"/>
        </w:rPr>
        <w:t xml:space="preserve"> implement</w:t>
      </w:r>
      <w:r w:rsidR="00D60B1A">
        <w:rPr>
          <w:sz w:val="24"/>
          <w:lang w:val="en-GB"/>
        </w:rPr>
        <w:t>ing</w:t>
      </w:r>
      <w:r w:rsidRPr="00D60B1A">
        <w:rPr>
          <w:sz w:val="24"/>
          <w:lang w:val="en-GB"/>
        </w:rPr>
        <w:t xml:space="preserve"> </w:t>
      </w:r>
      <w:r w:rsidR="00D60B1A">
        <w:rPr>
          <w:sz w:val="24"/>
          <w:lang w:val="en-GB"/>
        </w:rPr>
        <w:t>CTL</w:t>
      </w:r>
      <w:r w:rsidRPr="00D60B1A">
        <w:rPr>
          <w:sz w:val="24"/>
          <w:lang w:val="en-GB"/>
        </w:rPr>
        <w:t xml:space="preserve"> </w:t>
      </w:r>
      <w:r w:rsidR="001C196E">
        <w:rPr>
          <w:sz w:val="24"/>
          <w:lang w:val="en-GB"/>
        </w:rPr>
        <w:t>obligations</w:t>
      </w:r>
      <w:r w:rsidRPr="00D60B1A">
        <w:rPr>
          <w:sz w:val="24"/>
          <w:lang w:val="en-GB"/>
        </w:rPr>
        <w:t>.</w:t>
      </w:r>
      <w:r w:rsidRPr="00D60B1A">
        <w:rPr>
          <w:sz w:val="24"/>
          <w:vertAlign w:val="superscript"/>
          <w:lang w:val="en-GB"/>
        </w:rPr>
        <w:footnoteReference w:id="73"/>
      </w:r>
      <w:r w:rsidRPr="00D60B1A">
        <w:rPr>
          <w:sz w:val="24"/>
          <w:lang w:val="en-GB"/>
        </w:rPr>
        <w:t xml:space="preserve"> </w:t>
      </w:r>
      <w:r w:rsidR="00D37946" w:rsidRPr="00D37946">
        <w:rPr>
          <w:sz w:val="24"/>
          <w:lang w:val="en-GB"/>
        </w:rPr>
        <w:t>As such, the Council has not expressed any intention for CTL to displace any inconsistent IHL treaty rules by virtue of its ‘override’ power under article 103 of the UN Charter; that power could not, in any event, displace customary IHL.</w:t>
      </w:r>
      <w:r w:rsidR="001C196E">
        <w:rPr>
          <w:sz w:val="24"/>
          <w:lang w:val="en-GB"/>
        </w:rPr>
        <w:t xml:space="preserve"> To the contrary, the Council has </w:t>
      </w:r>
      <w:r w:rsidR="00D37946" w:rsidRPr="00D37946">
        <w:rPr>
          <w:sz w:val="24"/>
          <w:lang w:val="en-GB"/>
        </w:rPr>
        <w:t>affirm</w:t>
      </w:r>
      <w:r w:rsidR="001C196E">
        <w:rPr>
          <w:sz w:val="24"/>
          <w:lang w:val="en-GB"/>
        </w:rPr>
        <w:t>ed</w:t>
      </w:r>
      <w:r w:rsidR="00D37946" w:rsidRPr="00D37946">
        <w:rPr>
          <w:sz w:val="24"/>
          <w:lang w:val="en-GB"/>
        </w:rPr>
        <w:t xml:space="preserve"> the continue</w:t>
      </w:r>
      <w:r w:rsidR="001C196E">
        <w:rPr>
          <w:sz w:val="24"/>
          <w:lang w:val="en-GB"/>
        </w:rPr>
        <w:t xml:space="preserve">d, full applicability of IHL, implying that it is CTL that must give way to IHL in the event of a conflict. </w:t>
      </w:r>
    </w:p>
    <w:p w14:paraId="08D20111" w14:textId="77777777" w:rsidR="00D37946" w:rsidRDefault="00D37946" w:rsidP="008C6B5A">
      <w:pPr>
        <w:tabs>
          <w:tab w:val="left" w:pos="851"/>
        </w:tabs>
        <w:spacing w:line="360" w:lineRule="auto"/>
        <w:rPr>
          <w:sz w:val="24"/>
          <w:lang w:val="en-GB"/>
        </w:rPr>
      </w:pPr>
    </w:p>
    <w:p w14:paraId="584AD345" w14:textId="77777777" w:rsidR="008243EE" w:rsidRDefault="00D37946" w:rsidP="008C6B5A">
      <w:pPr>
        <w:tabs>
          <w:tab w:val="left" w:pos="851"/>
        </w:tabs>
        <w:spacing w:line="360" w:lineRule="auto"/>
        <w:rPr>
          <w:sz w:val="24"/>
          <w:lang w:val="en-US"/>
        </w:rPr>
      </w:pPr>
      <w:r>
        <w:rPr>
          <w:sz w:val="24"/>
          <w:lang w:val="en-GB"/>
        </w:rPr>
        <w:t>However, a</w:t>
      </w:r>
      <w:r w:rsidR="000B7F72" w:rsidRPr="00D60B1A">
        <w:rPr>
          <w:sz w:val="24"/>
          <w:lang w:val="en-US"/>
        </w:rPr>
        <w:t xml:space="preserve">s the </w:t>
      </w:r>
      <w:r w:rsidR="000B7F72" w:rsidRPr="00D60B1A">
        <w:rPr>
          <w:rStyle w:val="Hyperlink"/>
          <w:color w:val="auto"/>
          <w:sz w:val="24"/>
          <w:u w:val="none"/>
          <w:lang w:val="en-US"/>
        </w:rPr>
        <w:t>UN Special Rapporteur on human rights and counterterrorism observes</w:t>
      </w:r>
      <w:r>
        <w:rPr>
          <w:rStyle w:val="Hyperlink"/>
          <w:color w:val="auto"/>
          <w:sz w:val="24"/>
          <w:u w:val="none"/>
          <w:lang w:val="en-US"/>
        </w:rPr>
        <w:t>,</w:t>
      </w:r>
      <w:r w:rsidR="00D60B1A" w:rsidRPr="00D60B1A">
        <w:rPr>
          <w:rStyle w:val="Hyperlink"/>
          <w:color w:val="auto"/>
          <w:sz w:val="24"/>
          <w:u w:val="none"/>
          <w:lang w:val="en-US"/>
        </w:rPr>
        <w:t xml:space="preserve"> in the comparable context of human rights compliance</w:t>
      </w:r>
      <w:r w:rsidR="000B7F72" w:rsidRPr="00D60B1A">
        <w:rPr>
          <w:sz w:val="24"/>
          <w:lang w:val="en-US"/>
        </w:rPr>
        <w:t xml:space="preserve">, </w:t>
      </w:r>
      <w:r w:rsidR="00D60B1A" w:rsidRPr="00D60B1A">
        <w:rPr>
          <w:sz w:val="24"/>
          <w:lang w:val="en-US"/>
        </w:rPr>
        <w:t>‘</w:t>
      </w:r>
      <w:r w:rsidR="000B7F72" w:rsidRPr="00D60B1A">
        <w:rPr>
          <w:sz w:val="24"/>
          <w:lang w:val="en-US"/>
        </w:rPr>
        <w:t xml:space="preserve">the actual impact of such generic mentions, </w:t>
      </w:r>
      <w:r w:rsidR="00D60B1A" w:rsidRPr="00D60B1A">
        <w:rPr>
          <w:sz w:val="24"/>
          <w:lang w:val="en-US"/>
        </w:rPr>
        <w:t>without clear and explicit…</w:t>
      </w:r>
      <w:r w:rsidR="000B7F72" w:rsidRPr="00D60B1A">
        <w:rPr>
          <w:sz w:val="24"/>
          <w:lang w:val="en-US"/>
        </w:rPr>
        <w:t xml:space="preserve"> guidance contained in the text, is questionable</w:t>
      </w:r>
      <w:r w:rsidR="00D60B1A" w:rsidRPr="00D60B1A">
        <w:rPr>
          <w:sz w:val="24"/>
          <w:lang w:val="en-US"/>
        </w:rPr>
        <w:t>’.</w:t>
      </w:r>
      <w:r w:rsidR="00D60B1A" w:rsidRPr="00D60B1A">
        <w:rPr>
          <w:rStyle w:val="FootnoteReference"/>
          <w:sz w:val="24"/>
          <w:lang w:val="en-US"/>
        </w:rPr>
        <w:footnoteReference w:id="74"/>
      </w:r>
      <w:r w:rsidR="00D60B1A" w:rsidRPr="00D60B1A">
        <w:rPr>
          <w:sz w:val="24"/>
          <w:lang w:val="en-US"/>
        </w:rPr>
        <w:t xml:space="preserve"> </w:t>
      </w:r>
      <w:r w:rsidR="00D60B1A">
        <w:rPr>
          <w:sz w:val="24"/>
          <w:lang w:val="en-US"/>
        </w:rPr>
        <w:t>At a minimum, it must mean that it is prohibited for CTL to criminalize conduct that is lawful under IHL, such as acts covered by combatant immunity in IAC; mandated activities of the ICRC or other neutral actors; or the provision of humanitarian relief and medical care, among others.</w:t>
      </w:r>
      <w:r>
        <w:rPr>
          <w:sz w:val="24"/>
          <w:lang w:val="en-US"/>
        </w:rPr>
        <w:t xml:space="preserve"> </w:t>
      </w:r>
    </w:p>
    <w:p w14:paraId="60627B0A" w14:textId="77777777" w:rsidR="008243EE" w:rsidRDefault="008243EE" w:rsidP="008C6B5A">
      <w:pPr>
        <w:tabs>
          <w:tab w:val="left" w:pos="851"/>
        </w:tabs>
        <w:spacing w:line="360" w:lineRule="auto"/>
        <w:rPr>
          <w:sz w:val="24"/>
          <w:lang w:val="en-US"/>
        </w:rPr>
      </w:pPr>
    </w:p>
    <w:p w14:paraId="79284C52" w14:textId="6BB9545C" w:rsidR="008243EE" w:rsidRPr="008243EE" w:rsidRDefault="008243EE" w:rsidP="008243EE">
      <w:pPr>
        <w:tabs>
          <w:tab w:val="left" w:pos="851"/>
        </w:tabs>
        <w:spacing w:line="360" w:lineRule="auto"/>
        <w:rPr>
          <w:sz w:val="24"/>
          <w:lang w:val="en-US"/>
        </w:rPr>
      </w:pPr>
      <w:r>
        <w:rPr>
          <w:sz w:val="24"/>
          <w:lang w:val="en-US"/>
        </w:rPr>
        <w:t xml:space="preserve">Only in one particular area has the Council (belatedly, since 2019) more specifically urged (but not required) states to ‘take into account’ the effect of potential CTL measures on </w:t>
      </w:r>
      <w:r>
        <w:rPr>
          <w:sz w:val="24"/>
        </w:rPr>
        <w:t>‘</w:t>
      </w:r>
      <w:r w:rsidRPr="00BE545C">
        <w:rPr>
          <w:sz w:val="24"/>
        </w:rPr>
        <w:t>exclusively humanitarian activities, including medical activities, that are carried out by impartial humanitarian actors in a manner consistent with</w:t>
      </w:r>
      <w:r w:rsidR="001C196E">
        <w:rPr>
          <w:sz w:val="24"/>
        </w:rPr>
        <w:t>’ IHL.</w:t>
      </w:r>
      <w:r w:rsidRPr="00BE545C">
        <w:rPr>
          <w:sz w:val="24"/>
          <w:vertAlign w:val="superscript"/>
        </w:rPr>
        <w:footnoteReference w:id="75"/>
      </w:r>
      <w:r>
        <w:rPr>
          <w:sz w:val="24"/>
          <w:lang w:val="en-US"/>
        </w:rPr>
        <w:t xml:space="preserve"> </w:t>
      </w:r>
      <w:r>
        <w:rPr>
          <w:sz w:val="24"/>
        </w:rPr>
        <w:t xml:space="preserve">The weak suggestion to merely ‘take into account’ humanitarian impacts is </w:t>
      </w:r>
      <w:r w:rsidRPr="00BE545C">
        <w:rPr>
          <w:sz w:val="24"/>
        </w:rPr>
        <w:t xml:space="preserve">insufficient to </w:t>
      </w:r>
      <w:r w:rsidRPr="0042561D">
        <w:rPr>
          <w:sz w:val="24"/>
        </w:rPr>
        <w:t>ensure</w:t>
      </w:r>
      <w:r>
        <w:rPr>
          <w:sz w:val="24"/>
        </w:rPr>
        <w:t xml:space="preserve"> that </w:t>
      </w:r>
      <w:r w:rsidRPr="0042561D">
        <w:rPr>
          <w:sz w:val="24"/>
        </w:rPr>
        <w:t xml:space="preserve">IHL </w:t>
      </w:r>
      <w:r w:rsidR="00ED4758">
        <w:rPr>
          <w:sz w:val="24"/>
        </w:rPr>
        <w:t>obligations</w:t>
      </w:r>
      <w:r w:rsidRPr="0042561D">
        <w:rPr>
          <w:sz w:val="24"/>
        </w:rPr>
        <w:t xml:space="preserve"> are </w:t>
      </w:r>
      <w:r w:rsidR="00ED4758">
        <w:rPr>
          <w:sz w:val="24"/>
        </w:rPr>
        <w:t xml:space="preserve">stringently </w:t>
      </w:r>
      <w:r w:rsidRPr="0042561D">
        <w:rPr>
          <w:sz w:val="24"/>
        </w:rPr>
        <w:t xml:space="preserve">upheld, including: the duty to allow and facilitate rapid and unimpeded passage of impartial and non-discriminatory humanitarian relief (subject to a right of control); freedom of movement of humanitarian personnel (subject to temporary restriction for imperative military </w:t>
      </w:r>
      <w:r>
        <w:rPr>
          <w:sz w:val="24"/>
        </w:rPr>
        <w:t>reasons</w:t>
      </w:r>
      <w:r w:rsidRPr="0042561D">
        <w:rPr>
          <w:sz w:val="24"/>
        </w:rPr>
        <w:t>); respect and protection for humanitarian personnel and objects;</w:t>
      </w:r>
      <w:r w:rsidRPr="0042561D">
        <w:rPr>
          <w:rStyle w:val="FootnoteReference"/>
          <w:sz w:val="24"/>
        </w:rPr>
        <w:footnoteReference w:id="76"/>
      </w:r>
      <w:r w:rsidRPr="0042561D">
        <w:rPr>
          <w:sz w:val="24"/>
        </w:rPr>
        <w:t xml:space="preserve"> medical care for the wounded and sick; and protection for medical personnel, units and activities.</w:t>
      </w:r>
      <w:r w:rsidRPr="0042561D">
        <w:rPr>
          <w:rStyle w:val="FootnoteReference"/>
          <w:sz w:val="24"/>
        </w:rPr>
        <w:footnoteReference w:id="77"/>
      </w:r>
    </w:p>
    <w:p w14:paraId="39C94351" w14:textId="77777777" w:rsidR="008243EE" w:rsidRDefault="008243EE" w:rsidP="008C6B5A">
      <w:pPr>
        <w:tabs>
          <w:tab w:val="left" w:pos="851"/>
        </w:tabs>
        <w:spacing w:line="360" w:lineRule="auto"/>
        <w:rPr>
          <w:sz w:val="24"/>
          <w:lang w:val="en-US"/>
        </w:rPr>
      </w:pPr>
    </w:p>
    <w:p w14:paraId="44CA593D" w14:textId="4981B65B" w:rsidR="000B7F72" w:rsidRDefault="00D60B1A" w:rsidP="008C6B5A">
      <w:pPr>
        <w:tabs>
          <w:tab w:val="left" w:pos="851"/>
        </w:tabs>
        <w:spacing w:line="360" w:lineRule="auto"/>
        <w:rPr>
          <w:sz w:val="24"/>
          <w:lang w:val="en-US"/>
        </w:rPr>
      </w:pPr>
      <w:r>
        <w:rPr>
          <w:sz w:val="24"/>
          <w:lang w:val="en-US"/>
        </w:rPr>
        <w:lastRenderedPageBreak/>
        <w:t xml:space="preserve">More difficult is whether </w:t>
      </w:r>
      <w:r w:rsidR="00ED4758">
        <w:rPr>
          <w:sz w:val="24"/>
          <w:lang w:val="en-US"/>
        </w:rPr>
        <w:t>the duty to comply with IHl</w:t>
      </w:r>
      <w:r>
        <w:rPr>
          <w:sz w:val="24"/>
          <w:lang w:val="en-US"/>
        </w:rPr>
        <w:t xml:space="preserve"> precludes criminalization of conduct which is (i) unlawful under IHL or (ii) neither lawful nor prohibited under IHL (such as participation in hostilities by members of organized armed groups in NIAC, civilian DPH in IAC or NIAC, </w:t>
      </w:r>
      <w:r w:rsidR="00ED4758">
        <w:rPr>
          <w:sz w:val="24"/>
          <w:lang w:val="en-US"/>
        </w:rPr>
        <w:t>or</w:t>
      </w:r>
      <w:r>
        <w:rPr>
          <w:sz w:val="24"/>
          <w:lang w:val="en-US"/>
        </w:rPr>
        <w:t xml:space="preserve"> indirect participation in hostilities). Some such conduct may separately constitute war crimes or other international crimes. IHL itself recognizes states’ rights to criminalize security-related conduct in occupied territory as well as </w:t>
      </w:r>
      <w:r w:rsidRPr="00D60B1A">
        <w:rPr>
          <w:i/>
          <w:sz w:val="24"/>
          <w:lang w:val="en-US"/>
        </w:rPr>
        <w:t>any</w:t>
      </w:r>
      <w:r>
        <w:rPr>
          <w:sz w:val="24"/>
          <w:lang w:val="en-US"/>
        </w:rPr>
        <w:t xml:space="preserve"> conduct in its own territory in NIAC. As a result, a state can still formally comply with its IHL obligations by criminalizing such conduct under CTL, even if, as mentioned earlier, there may be countervailing IHL policy interests.</w:t>
      </w:r>
    </w:p>
    <w:p w14:paraId="7728A981" w14:textId="77777777" w:rsidR="001300CF" w:rsidRDefault="001300CF" w:rsidP="008C6B5A">
      <w:pPr>
        <w:tabs>
          <w:tab w:val="left" w:pos="851"/>
        </w:tabs>
        <w:spacing w:line="360" w:lineRule="auto"/>
        <w:rPr>
          <w:sz w:val="24"/>
          <w:lang w:val="en-US"/>
        </w:rPr>
      </w:pPr>
    </w:p>
    <w:p w14:paraId="5863B72D" w14:textId="401C46AC" w:rsidR="001300CF" w:rsidRDefault="001300CF" w:rsidP="008C6B5A">
      <w:pPr>
        <w:tabs>
          <w:tab w:val="left" w:pos="851"/>
        </w:tabs>
        <w:spacing w:line="360" w:lineRule="auto"/>
        <w:rPr>
          <w:sz w:val="24"/>
          <w:lang w:val="en-US"/>
        </w:rPr>
      </w:pPr>
      <w:r>
        <w:rPr>
          <w:sz w:val="24"/>
          <w:lang w:val="en-US"/>
        </w:rPr>
        <w:t>Given the decentralized nature of implementation of Security Council CTL obligations which are both undefined and not subject to express IHL exceptions, it is no surprise that national and regional practice is highly variable as to the relationship between CTL and IHL.</w:t>
      </w:r>
    </w:p>
    <w:p w14:paraId="24E37348" w14:textId="77777777" w:rsidR="000B7F72" w:rsidRDefault="000B7F72" w:rsidP="008C6B5A">
      <w:pPr>
        <w:tabs>
          <w:tab w:val="left" w:pos="851"/>
        </w:tabs>
        <w:spacing w:line="360" w:lineRule="auto"/>
        <w:rPr>
          <w:rFonts w:eastAsia="Times New Roman"/>
          <w:sz w:val="24"/>
          <w:lang w:eastAsia="en-AU" w:bidi="ne-NP"/>
        </w:rPr>
      </w:pPr>
    </w:p>
    <w:p w14:paraId="331D739D" w14:textId="410D1B3A" w:rsidR="00DA771A" w:rsidRPr="00DA771A" w:rsidRDefault="00942910" w:rsidP="008C6B5A">
      <w:pPr>
        <w:tabs>
          <w:tab w:val="left" w:pos="851"/>
        </w:tabs>
        <w:spacing w:line="360" w:lineRule="auto"/>
        <w:rPr>
          <w:rFonts w:eastAsia="Times New Roman"/>
          <w:b/>
          <w:sz w:val="24"/>
          <w:lang w:eastAsia="en-AU" w:bidi="ne-NP"/>
        </w:rPr>
      </w:pPr>
      <w:r>
        <w:rPr>
          <w:rFonts w:eastAsia="Times New Roman"/>
          <w:b/>
          <w:sz w:val="24"/>
          <w:lang w:eastAsia="en-AU" w:bidi="ne-NP"/>
        </w:rPr>
        <w:t>7</w:t>
      </w:r>
      <w:r>
        <w:rPr>
          <w:rFonts w:eastAsia="Times New Roman"/>
          <w:b/>
          <w:sz w:val="24"/>
          <w:lang w:eastAsia="en-AU" w:bidi="ne-NP"/>
        </w:rPr>
        <w:tab/>
      </w:r>
      <w:r w:rsidR="00DA771A" w:rsidRPr="00DA771A">
        <w:rPr>
          <w:rFonts w:eastAsia="Times New Roman"/>
          <w:b/>
          <w:sz w:val="24"/>
          <w:lang w:eastAsia="en-AU" w:bidi="ne-NP"/>
        </w:rPr>
        <w:t>Relationship</w:t>
      </w:r>
      <w:r w:rsidR="009615BB">
        <w:rPr>
          <w:rFonts w:eastAsia="Times New Roman"/>
          <w:b/>
          <w:sz w:val="24"/>
          <w:lang w:eastAsia="en-AU" w:bidi="ne-NP"/>
        </w:rPr>
        <w:t>s</w:t>
      </w:r>
      <w:r w:rsidR="00DA771A" w:rsidRPr="00DA771A">
        <w:rPr>
          <w:rFonts w:eastAsia="Times New Roman"/>
          <w:b/>
          <w:sz w:val="24"/>
          <w:lang w:eastAsia="en-AU" w:bidi="ne-NP"/>
        </w:rPr>
        <w:t xml:space="preserve"> </w:t>
      </w:r>
      <w:r w:rsidR="009615BB">
        <w:rPr>
          <w:rFonts w:eastAsia="Times New Roman"/>
          <w:b/>
          <w:sz w:val="24"/>
          <w:lang w:eastAsia="en-AU" w:bidi="ne-NP"/>
        </w:rPr>
        <w:t>between CTL and</w:t>
      </w:r>
      <w:r w:rsidR="00DA771A" w:rsidRPr="00DA771A">
        <w:rPr>
          <w:rFonts w:eastAsia="Times New Roman"/>
          <w:b/>
          <w:sz w:val="24"/>
          <w:lang w:eastAsia="en-AU" w:bidi="ne-NP"/>
        </w:rPr>
        <w:t xml:space="preserve"> IHL</w:t>
      </w:r>
      <w:r w:rsidR="009615BB">
        <w:rPr>
          <w:rFonts w:eastAsia="Times New Roman"/>
          <w:b/>
          <w:sz w:val="24"/>
          <w:lang w:eastAsia="en-AU" w:bidi="ne-NP"/>
        </w:rPr>
        <w:t xml:space="preserve"> in National Practice</w:t>
      </w:r>
    </w:p>
    <w:p w14:paraId="0BE91C30" w14:textId="77777777" w:rsidR="00DA771A" w:rsidRDefault="00DA771A" w:rsidP="008C6B5A">
      <w:pPr>
        <w:tabs>
          <w:tab w:val="left" w:pos="851"/>
        </w:tabs>
        <w:spacing w:line="360" w:lineRule="auto"/>
        <w:rPr>
          <w:rFonts w:eastAsia="Times New Roman"/>
          <w:sz w:val="24"/>
          <w:lang w:eastAsia="en-AU" w:bidi="ne-NP"/>
        </w:rPr>
      </w:pPr>
    </w:p>
    <w:p w14:paraId="2EDA6753" w14:textId="2C161973" w:rsidR="00942910" w:rsidRPr="00942910" w:rsidRDefault="00942910" w:rsidP="008C6B5A">
      <w:pPr>
        <w:tabs>
          <w:tab w:val="left" w:pos="851"/>
        </w:tabs>
        <w:spacing w:line="360" w:lineRule="auto"/>
        <w:rPr>
          <w:rFonts w:eastAsia="Times New Roman"/>
          <w:b/>
          <w:sz w:val="24"/>
          <w:lang w:eastAsia="en-AU" w:bidi="ne-NP"/>
        </w:rPr>
      </w:pPr>
      <w:r w:rsidRPr="00942910">
        <w:rPr>
          <w:rFonts w:eastAsia="Times New Roman"/>
          <w:b/>
          <w:sz w:val="24"/>
          <w:lang w:eastAsia="en-AU" w:bidi="ne-NP"/>
        </w:rPr>
        <w:t>7.1</w:t>
      </w:r>
      <w:r w:rsidRPr="00942910">
        <w:rPr>
          <w:rFonts w:eastAsia="Times New Roman"/>
          <w:b/>
          <w:sz w:val="24"/>
          <w:lang w:eastAsia="en-AU" w:bidi="ne-NP"/>
        </w:rPr>
        <w:tab/>
      </w:r>
      <w:r>
        <w:rPr>
          <w:rFonts w:eastAsia="Times New Roman"/>
          <w:b/>
          <w:sz w:val="24"/>
          <w:lang w:eastAsia="en-AU" w:bidi="ne-NP"/>
        </w:rPr>
        <w:t xml:space="preserve">Variants of </w:t>
      </w:r>
      <w:r w:rsidRPr="00942910">
        <w:rPr>
          <w:rFonts w:eastAsia="Times New Roman"/>
          <w:b/>
          <w:sz w:val="24"/>
          <w:lang w:eastAsia="en-AU" w:bidi="ne-NP"/>
        </w:rPr>
        <w:t>Accommodation of IHL</w:t>
      </w:r>
    </w:p>
    <w:p w14:paraId="0BBA9A2C" w14:textId="77777777" w:rsidR="00942910" w:rsidRDefault="00942910" w:rsidP="008C6B5A">
      <w:pPr>
        <w:tabs>
          <w:tab w:val="left" w:pos="851"/>
        </w:tabs>
        <w:spacing w:line="360" w:lineRule="auto"/>
        <w:rPr>
          <w:rFonts w:eastAsia="Times New Roman"/>
          <w:sz w:val="24"/>
          <w:lang w:eastAsia="en-AU" w:bidi="ne-NP"/>
        </w:rPr>
      </w:pPr>
    </w:p>
    <w:p w14:paraId="25538955" w14:textId="7E7AAD77" w:rsidR="00D919B6" w:rsidRDefault="00DA771A" w:rsidP="00D919B6">
      <w:pPr>
        <w:tabs>
          <w:tab w:val="left" w:pos="851"/>
        </w:tabs>
        <w:spacing w:line="360" w:lineRule="auto"/>
        <w:rPr>
          <w:rFonts w:asciiTheme="majorBidi" w:hAnsiTheme="majorBidi" w:cstheme="majorBidi"/>
          <w:sz w:val="24"/>
        </w:rPr>
      </w:pPr>
      <w:r w:rsidRPr="00DA771A">
        <w:rPr>
          <w:rFonts w:eastAsia="Times New Roman"/>
          <w:sz w:val="24"/>
          <w:lang w:eastAsia="en-AU" w:bidi="ne-NP"/>
        </w:rPr>
        <w:t xml:space="preserve">First, some laws </w:t>
      </w:r>
      <w:r w:rsidRPr="00DA771A">
        <w:rPr>
          <w:sz w:val="24"/>
        </w:rPr>
        <w:t xml:space="preserve">apply to terrorism offences </w:t>
      </w:r>
      <w:r w:rsidRPr="00DA771A">
        <w:rPr>
          <w:i/>
          <w:sz w:val="24"/>
        </w:rPr>
        <w:t>generally</w:t>
      </w:r>
      <w:r w:rsidRPr="00DA771A">
        <w:rPr>
          <w:sz w:val="24"/>
        </w:rPr>
        <w:t xml:space="preserve"> a version of the </w:t>
      </w:r>
      <w:r w:rsidRPr="00F55872">
        <w:rPr>
          <w:i/>
          <w:sz w:val="24"/>
        </w:rPr>
        <w:t>armed forces exclusion</w:t>
      </w:r>
      <w:r w:rsidRPr="00DA771A">
        <w:rPr>
          <w:sz w:val="24"/>
        </w:rPr>
        <w:t xml:space="preserve"> clause </w:t>
      </w:r>
      <w:r w:rsidR="00F55872">
        <w:rPr>
          <w:sz w:val="24"/>
        </w:rPr>
        <w:t>applying more narrowly under the six later ICTCs. Among all explicit relationships with IHL in national practice, this is the predominant approach, evident, for example, in the regional counter-terrorism laws of the 27-member European Union</w:t>
      </w:r>
      <w:r w:rsidR="00F55872" w:rsidRPr="00A35A91">
        <w:rPr>
          <w:sz w:val="24"/>
          <w:vertAlign w:val="superscript"/>
        </w:rPr>
        <w:footnoteReference w:id="78"/>
      </w:r>
      <w:r w:rsidR="00F55872" w:rsidRPr="00A35A91">
        <w:rPr>
          <w:sz w:val="24"/>
        </w:rPr>
        <w:t xml:space="preserve"> </w:t>
      </w:r>
      <w:r w:rsidR="00F55872">
        <w:rPr>
          <w:sz w:val="24"/>
        </w:rPr>
        <w:t xml:space="preserve"> and the 47 member Council of Europe</w:t>
      </w:r>
      <w:r w:rsidR="00F55872" w:rsidRPr="00A35A91">
        <w:rPr>
          <w:sz w:val="24"/>
          <w:vertAlign w:val="superscript"/>
        </w:rPr>
        <w:footnoteReference w:id="79"/>
      </w:r>
      <w:r w:rsidR="00F55872">
        <w:rPr>
          <w:sz w:val="24"/>
        </w:rPr>
        <w:t xml:space="preserve"> – </w:t>
      </w:r>
      <w:r w:rsidR="00F55872" w:rsidRPr="00F55872">
        <w:rPr>
          <w:sz w:val="24"/>
        </w:rPr>
        <w:t>almost a quarte</w:t>
      </w:r>
      <w:r w:rsidR="00ED4758">
        <w:rPr>
          <w:sz w:val="24"/>
        </w:rPr>
        <w:t>r of all states – and in corresponding national law.</w:t>
      </w:r>
      <w:r w:rsidR="00F55872">
        <w:rPr>
          <w:rStyle w:val="FootnoteReference"/>
          <w:sz w:val="24"/>
        </w:rPr>
        <w:footnoteReference w:id="80"/>
      </w:r>
      <w:r w:rsidR="00F55872" w:rsidRPr="00F55872">
        <w:rPr>
          <w:rFonts w:asciiTheme="majorBidi" w:hAnsiTheme="majorBidi" w:cstheme="majorBidi"/>
          <w:sz w:val="24"/>
        </w:rPr>
        <w:t xml:space="preserve"> </w:t>
      </w:r>
    </w:p>
    <w:p w14:paraId="6F1AAE8B" w14:textId="77777777" w:rsidR="00D919B6" w:rsidRDefault="00D919B6" w:rsidP="00D919B6">
      <w:pPr>
        <w:tabs>
          <w:tab w:val="left" w:pos="851"/>
        </w:tabs>
        <w:spacing w:line="360" w:lineRule="auto"/>
        <w:rPr>
          <w:rFonts w:asciiTheme="majorBidi" w:hAnsiTheme="majorBidi" w:cstheme="majorBidi"/>
          <w:sz w:val="24"/>
        </w:rPr>
      </w:pPr>
    </w:p>
    <w:p w14:paraId="1CD0E65E" w14:textId="4F5905E2" w:rsidR="00D919B6" w:rsidRDefault="00D919B6" w:rsidP="00F55872">
      <w:pPr>
        <w:tabs>
          <w:tab w:val="left" w:pos="851"/>
        </w:tabs>
        <w:spacing w:line="360" w:lineRule="auto"/>
        <w:rPr>
          <w:rFonts w:asciiTheme="majorBidi" w:hAnsiTheme="majorBidi" w:cstheme="majorBidi"/>
          <w:sz w:val="24"/>
        </w:rPr>
      </w:pPr>
      <w:r w:rsidRPr="00E70309">
        <w:rPr>
          <w:rFonts w:asciiTheme="majorBidi" w:hAnsiTheme="majorBidi" w:cstheme="majorBidi"/>
          <w:sz w:val="24"/>
        </w:rPr>
        <w:t xml:space="preserve">The same result has been reached in </w:t>
      </w:r>
      <w:r w:rsidR="00E70309" w:rsidRPr="00E70309">
        <w:rPr>
          <w:rFonts w:asciiTheme="majorBidi" w:hAnsiTheme="majorBidi" w:cstheme="majorBidi"/>
          <w:sz w:val="24"/>
        </w:rPr>
        <w:t>Italy</w:t>
      </w:r>
      <w:r w:rsidRPr="00E70309">
        <w:rPr>
          <w:rFonts w:asciiTheme="majorBidi" w:hAnsiTheme="majorBidi" w:cstheme="majorBidi"/>
          <w:sz w:val="24"/>
        </w:rPr>
        <w:t xml:space="preserve"> by a more circuitous route. Italian </w:t>
      </w:r>
      <w:r w:rsidR="00E70309" w:rsidRPr="00E70309">
        <w:rPr>
          <w:rFonts w:asciiTheme="majorBidi" w:hAnsiTheme="majorBidi" w:cstheme="majorBidi"/>
          <w:sz w:val="24"/>
        </w:rPr>
        <w:t>law</w:t>
      </w:r>
      <w:r w:rsidRPr="00E70309">
        <w:rPr>
          <w:rFonts w:asciiTheme="majorBidi" w:hAnsiTheme="majorBidi" w:cstheme="majorBidi"/>
          <w:sz w:val="24"/>
        </w:rPr>
        <w:t xml:space="preserve"> incorporates EU terrorism offences, including the armed forces exception. However, the Italian courts have also held that Italian law encompasses other terrorist offences under </w:t>
      </w:r>
      <w:r w:rsidR="00E70309" w:rsidRPr="00E70309">
        <w:rPr>
          <w:rFonts w:asciiTheme="majorBidi" w:hAnsiTheme="majorBidi" w:cstheme="majorBidi"/>
          <w:sz w:val="24"/>
        </w:rPr>
        <w:t xml:space="preserve">customary international </w:t>
      </w:r>
      <w:r w:rsidR="00E70309" w:rsidRPr="00E70309">
        <w:rPr>
          <w:rFonts w:asciiTheme="majorBidi" w:hAnsiTheme="majorBidi" w:cstheme="majorBidi"/>
          <w:sz w:val="24"/>
        </w:rPr>
        <w:lastRenderedPageBreak/>
        <w:t xml:space="preserve">law as reflected in the </w:t>
      </w:r>
      <w:r w:rsidRPr="00E70309">
        <w:rPr>
          <w:rFonts w:asciiTheme="majorBidi" w:hAnsiTheme="majorBidi" w:cstheme="majorBidi"/>
          <w:sz w:val="24"/>
        </w:rPr>
        <w:t>Terrorist Financing Convention 1999.</w:t>
      </w:r>
      <w:r w:rsidRPr="00E70309">
        <w:rPr>
          <w:rStyle w:val="FootnoteReference"/>
          <w:rFonts w:asciiTheme="majorBidi" w:hAnsiTheme="majorBidi" w:cstheme="majorBidi"/>
          <w:sz w:val="24"/>
        </w:rPr>
        <w:footnoteReference w:id="81"/>
      </w:r>
      <w:r w:rsidRPr="00E70309">
        <w:rPr>
          <w:rFonts w:asciiTheme="majorBidi" w:hAnsiTheme="majorBidi" w:cstheme="majorBidi"/>
          <w:sz w:val="24"/>
        </w:rPr>
        <w:t xml:space="preserve"> That Convention excludes attacks on persons taking a direct part in hostilities, but the Italian courts have further </w:t>
      </w:r>
      <w:r w:rsidR="00E70309" w:rsidRPr="00E70309">
        <w:rPr>
          <w:rFonts w:asciiTheme="majorBidi" w:hAnsiTheme="majorBidi" w:cstheme="majorBidi"/>
          <w:sz w:val="24"/>
        </w:rPr>
        <w:t>excluded</w:t>
      </w:r>
      <w:r w:rsidRPr="00E70309">
        <w:rPr>
          <w:rFonts w:asciiTheme="majorBidi" w:hAnsiTheme="majorBidi" w:cstheme="majorBidi"/>
          <w:sz w:val="24"/>
        </w:rPr>
        <w:t xml:space="preserve"> the acts of armed forces, based </w:t>
      </w:r>
      <w:r w:rsidR="00E70309" w:rsidRPr="00E70309">
        <w:rPr>
          <w:rFonts w:asciiTheme="majorBidi" w:hAnsiTheme="majorBidi" w:cstheme="majorBidi"/>
          <w:sz w:val="24"/>
        </w:rPr>
        <w:t xml:space="preserve">separately </w:t>
      </w:r>
      <w:r w:rsidRPr="00E70309">
        <w:rPr>
          <w:rFonts w:asciiTheme="majorBidi" w:hAnsiTheme="majorBidi" w:cstheme="majorBidi"/>
          <w:sz w:val="24"/>
        </w:rPr>
        <w:t xml:space="preserve">on a ‘no prejudice’ clause in the Financing Convention which </w:t>
      </w:r>
      <w:r w:rsidR="00E70309" w:rsidRPr="00E70309">
        <w:rPr>
          <w:rFonts w:asciiTheme="majorBidi" w:hAnsiTheme="majorBidi" w:cstheme="majorBidi"/>
          <w:sz w:val="24"/>
        </w:rPr>
        <w:t>precludes the</w:t>
      </w:r>
      <w:r w:rsidRPr="00E70309">
        <w:rPr>
          <w:rFonts w:asciiTheme="majorBidi" w:hAnsiTheme="majorBidi" w:cstheme="majorBidi"/>
          <w:sz w:val="24"/>
        </w:rPr>
        <w:t xml:space="preserve"> Convention </w:t>
      </w:r>
      <w:r w:rsidR="00E70309" w:rsidRPr="00E70309">
        <w:rPr>
          <w:rFonts w:asciiTheme="majorBidi" w:hAnsiTheme="majorBidi" w:cstheme="majorBidi"/>
          <w:sz w:val="24"/>
        </w:rPr>
        <w:t xml:space="preserve">affecting </w:t>
      </w:r>
      <w:r w:rsidRPr="00E70309">
        <w:rPr>
          <w:rFonts w:asciiTheme="majorBidi" w:hAnsiTheme="majorBidi" w:cstheme="majorBidi"/>
          <w:sz w:val="24"/>
        </w:rPr>
        <w:t>other</w:t>
      </w:r>
      <w:r w:rsidR="00E70309" w:rsidRPr="00E70309">
        <w:rPr>
          <w:rFonts w:asciiTheme="majorBidi" w:hAnsiTheme="majorBidi" w:cstheme="majorBidi"/>
          <w:sz w:val="24"/>
        </w:rPr>
        <w:t xml:space="preserve"> international law rights, </w:t>
      </w:r>
      <w:r w:rsidR="00ED4758" w:rsidRPr="00E70309">
        <w:rPr>
          <w:rFonts w:asciiTheme="majorBidi" w:hAnsiTheme="majorBidi" w:cstheme="majorBidi"/>
          <w:sz w:val="24"/>
        </w:rPr>
        <w:t>including IHL</w:t>
      </w:r>
      <w:r w:rsidRPr="00E70309">
        <w:rPr>
          <w:rFonts w:asciiTheme="majorBidi" w:hAnsiTheme="majorBidi" w:cstheme="majorBidi"/>
          <w:sz w:val="24"/>
        </w:rPr>
        <w:t>.</w:t>
      </w:r>
      <w:r w:rsidRPr="00E70309">
        <w:rPr>
          <w:rStyle w:val="FootnoteReference"/>
          <w:rFonts w:asciiTheme="majorBidi" w:hAnsiTheme="majorBidi" w:cstheme="majorBidi"/>
          <w:sz w:val="24"/>
        </w:rPr>
        <w:footnoteReference w:id="82"/>
      </w:r>
      <w:r w:rsidRPr="00E70309">
        <w:rPr>
          <w:rFonts w:asciiTheme="majorBidi" w:hAnsiTheme="majorBidi" w:cstheme="majorBidi"/>
          <w:sz w:val="24"/>
        </w:rPr>
        <w:t xml:space="preserve"> Acts by the LTTE in the NIAC in Sri Lanka were thus excluded from terrorist offences.</w:t>
      </w:r>
      <w:r>
        <w:rPr>
          <w:rFonts w:asciiTheme="majorBidi" w:hAnsiTheme="majorBidi" w:cstheme="majorBidi"/>
          <w:sz w:val="24"/>
        </w:rPr>
        <w:t xml:space="preserve"> </w:t>
      </w:r>
    </w:p>
    <w:p w14:paraId="51F60AB2" w14:textId="77777777" w:rsidR="005C370D" w:rsidRDefault="005C370D" w:rsidP="00F55872">
      <w:pPr>
        <w:tabs>
          <w:tab w:val="left" w:pos="851"/>
        </w:tabs>
        <w:spacing w:line="360" w:lineRule="auto"/>
        <w:rPr>
          <w:rFonts w:asciiTheme="majorBidi" w:hAnsiTheme="majorBidi" w:cstheme="majorBidi"/>
          <w:sz w:val="24"/>
        </w:rPr>
      </w:pPr>
    </w:p>
    <w:p w14:paraId="118A4C5A" w14:textId="545445C5" w:rsidR="00F55872" w:rsidRPr="00F55872" w:rsidRDefault="00F55872" w:rsidP="00F55872">
      <w:pPr>
        <w:tabs>
          <w:tab w:val="left" w:pos="851"/>
        </w:tabs>
        <w:spacing w:line="360" w:lineRule="auto"/>
        <w:rPr>
          <w:sz w:val="24"/>
        </w:rPr>
      </w:pPr>
      <w:r w:rsidRPr="00F55872">
        <w:rPr>
          <w:sz w:val="24"/>
        </w:rPr>
        <w:t xml:space="preserve">In theory, narrower versions of </w:t>
      </w:r>
      <w:r w:rsidR="00561ABD">
        <w:rPr>
          <w:sz w:val="24"/>
        </w:rPr>
        <w:t>the armed forces</w:t>
      </w:r>
      <w:r w:rsidRPr="00F55872">
        <w:rPr>
          <w:sz w:val="24"/>
        </w:rPr>
        <w:t xml:space="preserve"> exclusion are possible. As mentioned earlier, narrower variants were considered in the negotiations for the Draft UN Comprehensive Terrorism Convention, by excluding only: (i) </w:t>
      </w:r>
      <w:r w:rsidRPr="00F55872">
        <w:rPr>
          <w:i/>
          <w:sz w:val="24"/>
        </w:rPr>
        <w:t>IHL compliant</w:t>
      </w:r>
      <w:r w:rsidRPr="00F55872">
        <w:rPr>
          <w:sz w:val="24"/>
        </w:rPr>
        <w:t xml:space="preserve"> activities; (ii) activities of the </w:t>
      </w:r>
      <w:r w:rsidRPr="00F55872">
        <w:rPr>
          <w:i/>
          <w:sz w:val="24"/>
        </w:rPr>
        <w:t>parties</w:t>
      </w:r>
      <w:r w:rsidRPr="00F55872">
        <w:rPr>
          <w:sz w:val="24"/>
        </w:rPr>
        <w:t xml:space="preserve"> rather than armed forces; (iii) state armed forces not also non-state forces. However, none of these options </w:t>
      </w:r>
      <w:r w:rsidR="00ED4758">
        <w:rPr>
          <w:sz w:val="24"/>
        </w:rPr>
        <w:t>has seemingly influenced</w:t>
      </w:r>
      <w:r w:rsidRPr="00F55872">
        <w:rPr>
          <w:sz w:val="24"/>
        </w:rPr>
        <w:t xml:space="preserve"> national laws.</w:t>
      </w:r>
    </w:p>
    <w:p w14:paraId="360428C2" w14:textId="4DCDAEE3" w:rsidR="001F32CB" w:rsidRDefault="001F32CB" w:rsidP="00F55872">
      <w:pPr>
        <w:tabs>
          <w:tab w:val="left" w:pos="851"/>
        </w:tabs>
        <w:spacing w:line="360" w:lineRule="auto"/>
        <w:rPr>
          <w:sz w:val="24"/>
        </w:rPr>
      </w:pPr>
    </w:p>
    <w:p w14:paraId="44D021AB" w14:textId="3B007723" w:rsidR="004C71D1" w:rsidRDefault="00F55872" w:rsidP="004C71D1">
      <w:pPr>
        <w:tabs>
          <w:tab w:val="left" w:pos="851"/>
        </w:tabs>
        <w:spacing w:line="360" w:lineRule="auto"/>
        <w:rPr>
          <w:sz w:val="24"/>
        </w:rPr>
      </w:pPr>
      <w:r w:rsidRPr="00F55872">
        <w:rPr>
          <w:sz w:val="24"/>
        </w:rPr>
        <w:t xml:space="preserve">Secondly, it was unsuccessfully proposed to exclude </w:t>
      </w:r>
      <w:r w:rsidRPr="00F55872">
        <w:rPr>
          <w:i/>
          <w:sz w:val="24"/>
        </w:rPr>
        <w:t>any acts committed in and/or governed by armed conflict</w:t>
      </w:r>
      <w:r w:rsidRPr="00F55872">
        <w:rPr>
          <w:sz w:val="24"/>
        </w:rPr>
        <w:t xml:space="preserve"> during the drafting of the Terrorist Bombings</w:t>
      </w:r>
      <w:r w:rsidRPr="00F55872">
        <w:rPr>
          <w:rStyle w:val="FootnoteReference"/>
          <w:sz w:val="24"/>
        </w:rPr>
        <w:footnoteReference w:id="83"/>
      </w:r>
      <w:r w:rsidRPr="00F55872">
        <w:rPr>
          <w:sz w:val="24"/>
        </w:rPr>
        <w:t xml:space="preserve"> and Terrorist Financing Conventions</w:t>
      </w:r>
      <w:r>
        <w:rPr>
          <w:sz w:val="24"/>
        </w:rPr>
        <w:t>.</w:t>
      </w:r>
      <w:r w:rsidRPr="00F55872">
        <w:rPr>
          <w:rStyle w:val="FootnoteReference"/>
          <w:sz w:val="24"/>
        </w:rPr>
        <w:footnoteReference w:id="84"/>
      </w:r>
      <w:r w:rsidR="004C71D1" w:rsidRPr="004C71D1">
        <w:rPr>
          <w:position w:val="0"/>
          <w:sz w:val="24"/>
        </w:rPr>
        <w:t xml:space="preserve"> </w:t>
      </w:r>
      <w:r w:rsidR="004C71D1" w:rsidRPr="004C71D1">
        <w:rPr>
          <w:sz w:val="24"/>
        </w:rPr>
        <w:t xml:space="preserve">This approach maintains the strictest separation between IHL and CTL, since it excludes any act (lawful or unlawful), against any target (civilian or military), or by any actor (armed forces or otherwise), regardless of IHL conformity, as long as it is </w:t>
      </w:r>
      <w:r w:rsidR="004C71D1" w:rsidRPr="00ED4758">
        <w:rPr>
          <w:i/>
          <w:sz w:val="24"/>
        </w:rPr>
        <w:t>governed</w:t>
      </w:r>
      <w:r w:rsidR="004C71D1" w:rsidRPr="004C71D1">
        <w:rPr>
          <w:sz w:val="24"/>
        </w:rPr>
        <w:t xml:space="preserve"> by IHL. In addition, by excluding any ‘acts’, not only those by armed forces, it would also prevent the criminalization of humanitarian funding</w:t>
      </w:r>
      <w:r w:rsidR="00EA285F">
        <w:rPr>
          <w:sz w:val="24"/>
        </w:rPr>
        <w:t xml:space="preserve"> or relief</w:t>
      </w:r>
      <w:r w:rsidR="004C71D1" w:rsidRPr="004C71D1">
        <w:rPr>
          <w:sz w:val="24"/>
        </w:rPr>
        <w:t>.</w:t>
      </w:r>
      <w:r w:rsidR="004C71D1" w:rsidRPr="004C71D1">
        <w:rPr>
          <w:sz w:val="24"/>
          <w:vertAlign w:val="superscript"/>
        </w:rPr>
        <w:footnoteReference w:id="85"/>
      </w:r>
      <w:r w:rsidR="004C71D1" w:rsidRPr="004C71D1">
        <w:rPr>
          <w:sz w:val="24"/>
        </w:rPr>
        <w:t xml:space="preserve"> </w:t>
      </w:r>
      <w:r w:rsidR="00566FB7">
        <w:rPr>
          <w:sz w:val="24"/>
        </w:rPr>
        <w:t xml:space="preserve">One disadvantage is that precludes the application of CTL (including its preparatory offences and machinery of prevention and cooperation) </w:t>
      </w:r>
      <w:r w:rsidR="00EA285F">
        <w:rPr>
          <w:sz w:val="24"/>
        </w:rPr>
        <w:t xml:space="preserve">to (i) persons who are not members of state or non-state armed forces (such as disorganized armed groups or sporadic civilian DPH) and (ii) even </w:t>
      </w:r>
      <w:r w:rsidR="00566FB7">
        <w:rPr>
          <w:sz w:val="24"/>
        </w:rPr>
        <w:t xml:space="preserve">conduct </w:t>
      </w:r>
      <w:r w:rsidR="00EA285F">
        <w:rPr>
          <w:sz w:val="24"/>
        </w:rPr>
        <w:t>that is</w:t>
      </w:r>
      <w:r w:rsidR="00566FB7">
        <w:rPr>
          <w:sz w:val="24"/>
        </w:rPr>
        <w:t xml:space="preserve"> a war crime or other violation of IHL. </w:t>
      </w:r>
      <w:r w:rsidR="004C71D1">
        <w:rPr>
          <w:sz w:val="24"/>
        </w:rPr>
        <w:t xml:space="preserve">This approach does not appear to have influenced </w:t>
      </w:r>
      <w:r w:rsidR="00ED4758">
        <w:rPr>
          <w:sz w:val="24"/>
        </w:rPr>
        <w:t>national</w:t>
      </w:r>
      <w:r w:rsidR="00EA285F">
        <w:rPr>
          <w:sz w:val="24"/>
        </w:rPr>
        <w:t xml:space="preserve"> practice</w:t>
      </w:r>
      <w:r w:rsidR="004C71D1">
        <w:rPr>
          <w:sz w:val="24"/>
        </w:rPr>
        <w:t>.</w:t>
      </w:r>
    </w:p>
    <w:p w14:paraId="0B0E447E" w14:textId="77777777" w:rsidR="004C71D1" w:rsidRDefault="004C71D1" w:rsidP="004C71D1">
      <w:pPr>
        <w:tabs>
          <w:tab w:val="left" w:pos="851"/>
        </w:tabs>
        <w:spacing w:line="360" w:lineRule="auto"/>
        <w:rPr>
          <w:sz w:val="24"/>
        </w:rPr>
      </w:pPr>
    </w:p>
    <w:p w14:paraId="59CFD741" w14:textId="6171094C" w:rsidR="00894E41" w:rsidRDefault="004C71D1" w:rsidP="004C71D1">
      <w:pPr>
        <w:tabs>
          <w:tab w:val="left" w:pos="851"/>
        </w:tabs>
        <w:spacing w:line="360" w:lineRule="auto"/>
        <w:rPr>
          <w:sz w:val="24"/>
        </w:rPr>
      </w:pPr>
      <w:r>
        <w:rPr>
          <w:sz w:val="24"/>
        </w:rPr>
        <w:t xml:space="preserve">Thirdly, a narrower version of the above </w:t>
      </w:r>
      <w:r w:rsidR="00566FB7">
        <w:rPr>
          <w:sz w:val="24"/>
        </w:rPr>
        <w:t xml:space="preserve">approach </w:t>
      </w:r>
      <w:r>
        <w:rPr>
          <w:sz w:val="24"/>
        </w:rPr>
        <w:t>has</w:t>
      </w:r>
      <w:r w:rsidR="00566FB7">
        <w:rPr>
          <w:sz w:val="24"/>
        </w:rPr>
        <w:t>, however,</w:t>
      </w:r>
      <w:r>
        <w:rPr>
          <w:sz w:val="24"/>
        </w:rPr>
        <w:t xml:space="preserve"> been adopted in some laws. </w:t>
      </w:r>
      <w:r w:rsidRPr="004C71D1">
        <w:rPr>
          <w:sz w:val="24"/>
        </w:rPr>
        <w:t xml:space="preserve">Canadian (and similarly New Zealand) law excludes from terrorist offences ‘an act or omission </w:t>
      </w:r>
      <w:r w:rsidRPr="004C71D1">
        <w:rPr>
          <w:sz w:val="24"/>
        </w:rPr>
        <w:lastRenderedPageBreak/>
        <w:t xml:space="preserve">that is committed during an armed conflict’ </w:t>
      </w:r>
      <w:r w:rsidRPr="004C71D1">
        <w:rPr>
          <w:i/>
          <w:sz w:val="24"/>
        </w:rPr>
        <w:t>and</w:t>
      </w:r>
      <w:r w:rsidRPr="004C71D1">
        <w:rPr>
          <w:sz w:val="24"/>
        </w:rPr>
        <w:t xml:space="preserve"> </w:t>
      </w:r>
      <w:r w:rsidRPr="00894E41">
        <w:rPr>
          <w:i/>
          <w:sz w:val="24"/>
        </w:rPr>
        <w:t>in accordance with</w:t>
      </w:r>
      <w:r w:rsidRPr="004C71D1">
        <w:rPr>
          <w:sz w:val="24"/>
        </w:rPr>
        <w:t xml:space="preserve"> international law.</w:t>
      </w:r>
      <w:r w:rsidRPr="004C71D1">
        <w:rPr>
          <w:sz w:val="24"/>
          <w:vertAlign w:val="superscript"/>
        </w:rPr>
        <w:footnoteReference w:id="86"/>
      </w:r>
      <w:r w:rsidRPr="004C71D1">
        <w:rPr>
          <w:sz w:val="24"/>
        </w:rPr>
        <w:t xml:space="preserve"> In a more limited fashion, </w:t>
      </w:r>
      <w:r w:rsidR="00894E41">
        <w:rPr>
          <w:sz w:val="24"/>
        </w:rPr>
        <w:t>Swiss law</w:t>
      </w:r>
      <w:r w:rsidRPr="004C71D1">
        <w:rPr>
          <w:sz w:val="24"/>
        </w:rPr>
        <w:t xml:space="preserve"> excludes terrorist financing that ‘is intended to support acts that do not violate’ IHL.</w:t>
      </w:r>
      <w:r w:rsidRPr="004C71D1">
        <w:rPr>
          <w:sz w:val="24"/>
          <w:vertAlign w:val="superscript"/>
        </w:rPr>
        <w:footnoteReference w:id="87"/>
      </w:r>
      <w:r w:rsidR="00566FB7">
        <w:rPr>
          <w:sz w:val="24"/>
        </w:rPr>
        <w:t xml:space="preserve"> </w:t>
      </w:r>
      <w:r w:rsidR="00894E41">
        <w:rPr>
          <w:sz w:val="24"/>
        </w:rPr>
        <w:t>One</w:t>
      </w:r>
      <w:r w:rsidR="00EA285F">
        <w:rPr>
          <w:sz w:val="24"/>
        </w:rPr>
        <w:t xml:space="preserve"> advantage</w:t>
      </w:r>
      <w:r w:rsidR="00566FB7">
        <w:rPr>
          <w:sz w:val="24"/>
        </w:rPr>
        <w:t xml:space="preserve"> </w:t>
      </w:r>
      <w:r w:rsidR="00EA285F">
        <w:rPr>
          <w:sz w:val="24"/>
        </w:rPr>
        <w:t xml:space="preserve">is that </w:t>
      </w:r>
      <w:r w:rsidR="00ED4758">
        <w:rPr>
          <w:sz w:val="24"/>
        </w:rPr>
        <w:t>mere</w:t>
      </w:r>
      <w:r w:rsidR="00EA285F">
        <w:rPr>
          <w:sz w:val="24"/>
        </w:rPr>
        <w:t xml:space="preserve"> participation in hostilities, without harm to civilians or use of unlawful means or methods, is not criminalized, thereby respecting IHL’s equilibrium</w:t>
      </w:r>
      <w:r w:rsidR="00894E41">
        <w:rPr>
          <w:sz w:val="24"/>
        </w:rPr>
        <w:t xml:space="preserve">; IHL itself does not regard civilian DPH (including CCF) as unlawful, but leaves its legality to </w:t>
      </w:r>
      <w:r w:rsidR="00894E41" w:rsidRPr="00ED4758">
        <w:rPr>
          <w:sz w:val="24"/>
        </w:rPr>
        <w:t>national</w:t>
      </w:r>
      <w:r w:rsidR="00894E41">
        <w:rPr>
          <w:sz w:val="24"/>
        </w:rPr>
        <w:t xml:space="preserve"> law</w:t>
      </w:r>
      <w:r w:rsidR="00EA285F">
        <w:rPr>
          <w:sz w:val="24"/>
        </w:rPr>
        <w:t xml:space="preserve">. </w:t>
      </w:r>
    </w:p>
    <w:p w14:paraId="2F5C7323" w14:textId="77777777" w:rsidR="00894E41" w:rsidRDefault="00894E41" w:rsidP="004C71D1">
      <w:pPr>
        <w:tabs>
          <w:tab w:val="left" w:pos="851"/>
        </w:tabs>
        <w:spacing w:line="360" w:lineRule="auto"/>
        <w:rPr>
          <w:sz w:val="24"/>
        </w:rPr>
      </w:pPr>
    </w:p>
    <w:p w14:paraId="4E7B2BD3" w14:textId="487E80F3" w:rsidR="00EA285F" w:rsidRDefault="00EA285F" w:rsidP="004C71D1">
      <w:pPr>
        <w:tabs>
          <w:tab w:val="left" w:pos="851"/>
        </w:tabs>
        <w:spacing w:line="360" w:lineRule="auto"/>
        <w:rPr>
          <w:sz w:val="24"/>
        </w:rPr>
      </w:pPr>
      <w:r>
        <w:rPr>
          <w:sz w:val="24"/>
        </w:rPr>
        <w:t xml:space="preserve">Further, CTL offences </w:t>
      </w:r>
      <w:r w:rsidR="00ED4758">
        <w:rPr>
          <w:sz w:val="24"/>
        </w:rPr>
        <w:t xml:space="preserve">will </w:t>
      </w:r>
      <w:r>
        <w:rPr>
          <w:sz w:val="24"/>
        </w:rPr>
        <w:t xml:space="preserve">still apply to conduct that </w:t>
      </w:r>
      <w:r w:rsidR="00894E41">
        <w:rPr>
          <w:sz w:val="24"/>
        </w:rPr>
        <w:t>violates IHL</w:t>
      </w:r>
      <w:r>
        <w:rPr>
          <w:sz w:val="24"/>
        </w:rPr>
        <w:t xml:space="preserve"> </w:t>
      </w:r>
      <w:r w:rsidR="00566FB7">
        <w:rPr>
          <w:sz w:val="24"/>
        </w:rPr>
        <w:t>(whether a war crime</w:t>
      </w:r>
      <w:r>
        <w:rPr>
          <w:sz w:val="24"/>
        </w:rPr>
        <w:t xml:space="preserve"> or not), thereby reinforcing IHL’s protection of civilians (and combatants, for instance against the use of prohibited weapons or means of war) – just as crimes against humanity and genocide co-apply</w:t>
      </w:r>
      <w:r w:rsidR="00894E41">
        <w:rPr>
          <w:sz w:val="24"/>
        </w:rPr>
        <w:t xml:space="preserve"> in conflict</w:t>
      </w:r>
      <w:r>
        <w:rPr>
          <w:sz w:val="24"/>
        </w:rPr>
        <w:t xml:space="preserve">. </w:t>
      </w:r>
      <w:r w:rsidR="00894E41">
        <w:rPr>
          <w:sz w:val="24"/>
        </w:rPr>
        <w:t xml:space="preserve">In the Canadian case of </w:t>
      </w:r>
      <w:r w:rsidR="00894E41" w:rsidRPr="00894E41">
        <w:rPr>
          <w:i/>
          <w:sz w:val="24"/>
        </w:rPr>
        <w:t>Khawaja</w:t>
      </w:r>
      <w:r w:rsidR="00894E41">
        <w:rPr>
          <w:sz w:val="24"/>
        </w:rPr>
        <w:t xml:space="preserve">, for instance, the exclusion </w:t>
      </w:r>
      <w:r w:rsidR="00894E41" w:rsidRPr="00712DEF">
        <w:rPr>
          <w:sz w:val="24"/>
        </w:rPr>
        <w:t xml:space="preserve">clause did not apply to conduct that </w:t>
      </w:r>
      <w:r w:rsidR="00712DEF" w:rsidRPr="00712DEF">
        <w:rPr>
          <w:sz w:val="24"/>
        </w:rPr>
        <w:t xml:space="preserve">involved the </w:t>
      </w:r>
      <w:r w:rsidR="00712DEF" w:rsidRPr="00712DEF">
        <w:rPr>
          <w:color w:val="000000"/>
          <w:sz w:val="24"/>
          <w:shd w:val="clear" w:color="auto" w:fill="FFFFFF"/>
        </w:rPr>
        <w:t xml:space="preserve">war crime of spreading terror </w:t>
      </w:r>
      <w:r w:rsidR="00712DEF">
        <w:rPr>
          <w:color w:val="000000"/>
          <w:sz w:val="24"/>
          <w:shd w:val="clear" w:color="auto" w:fill="FFFFFF"/>
        </w:rPr>
        <w:t>and</w:t>
      </w:r>
      <w:r w:rsidR="00712DEF" w:rsidRPr="00712DEF">
        <w:rPr>
          <w:color w:val="000000"/>
          <w:sz w:val="24"/>
          <w:shd w:val="clear" w:color="auto" w:fill="FFFFFF"/>
        </w:rPr>
        <w:t xml:space="preserve"> suicide attacks against civilians</w:t>
      </w:r>
      <w:r w:rsidR="00712DEF">
        <w:rPr>
          <w:sz w:val="24"/>
        </w:rPr>
        <w:t xml:space="preserve"> in a NIAC in Afghanistan.</w:t>
      </w:r>
      <w:r w:rsidR="00712DEF" w:rsidRPr="00712DEF">
        <w:rPr>
          <w:rStyle w:val="FootnoteReference"/>
          <w:sz w:val="24"/>
        </w:rPr>
        <w:footnoteReference w:id="88"/>
      </w:r>
      <w:r w:rsidR="00712DEF">
        <w:rPr>
          <w:sz w:val="24"/>
        </w:rPr>
        <w:t xml:space="preserve"> </w:t>
      </w:r>
      <w:r>
        <w:rPr>
          <w:sz w:val="24"/>
        </w:rPr>
        <w:t xml:space="preserve">A disadvantage is that, in practice, CTL offences are only likely to be applied (by state authorities) to members of non-state armed groups who violate IHL, </w:t>
      </w:r>
      <w:r w:rsidR="00894E41">
        <w:rPr>
          <w:sz w:val="24"/>
        </w:rPr>
        <w:t>accentuating the</w:t>
      </w:r>
      <w:r>
        <w:rPr>
          <w:sz w:val="24"/>
        </w:rPr>
        <w:t xml:space="preserve"> asymmetrical treatment of the belligerents in NIAC</w:t>
      </w:r>
      <w:r w:rsidR="00894E41">
        <w:rPr>
          <w:sz w:val="24"/>
        </w:rPr>
        <w:t xml:space="preserve"> and the drawbacks (mentioned earlier) of transnationally stigmatizing such groups as terrorist. </w:t>
      </w:r>
    </w:p>
    <w:p w14:paraId="1AE94D56" w14:textId="36A2DCF0" w:rsidR="004C71D1" w:rsidRDefault="004C71D1" w:rsidP="004C71D1">
      <w:pPr>
        <w:tabs>
          <w:tab w:val="left" w:pos="851"/>
        </w:tabs>
        <w:spacing w:line="360" w:lineRule="auto"/>
        <w:rPr>
          <w:sz w:val="24"/>
        </w:rPr>
      </w:pPr>
    </w:p>
    <w:p w14:paraId="4A2CC43C" w14:textId="45A704AF" w:rsidR="0018384C" w:rsidRDefault="0018384C" w:rsidP="004C71D1">
      <w:pPr>
        <w:tabs>
          <w:tab w:val="left" w:pos="851"/>
        </w:tabs>
        <w:spacing w:line="360" w:lineRule="auto"/>
        <w:rPr>
          <w:sz w:val="24"/>
        </w:rPr>
      </w:pPr>
      <w:r>
        <w:rPr>
          <w:sz w:val="24"/>
        </w:rPr>
        <w:t xml:space="preserve">A fourth approach in some national laws </w:t>
      </w:r>
      <w:r w:rsidR="00E14747">
        <w:rPr>
          <w:sz w:val="24"/>
        </w:rPr>
        <w:t>is a</w:t>
      </w:r>
      <w:r>
        <w:rPr>
          <w:sz w:val="24"/>
        </w:rPr>
        <w:t xml:space="preserve"> narrower exclusion for humanitarian activities from either terrorism offences generally</w:t>
      </w:r>
      <w:r>
        <w:rPr>
          <w:rStyle w:val="FootnoteReference"/>
          <w:sz w:val="24"/>
        </w:rPr>
        <w:footnoteReference w:id="89"/>
      </w:r>
      <w:r>
        <w:rPr>
          <w:sz w:val="24"/>
        </w:rPr>
        <w:t xml:space="preserve"> or from specific offences</w:t>
      </w:r>
      <w:r w:rsidR="00ED4758">
        <w:rPr>
          <w:sz w:val="24"/>
        </w:rPr>
        <w:t>.</w:t>
      </w:r>
      <w:r w:rsidR="00ED4758">
        <w:rPr>
          <w:rStyle w:val="FootnoteReference"/>
          <w:sz w:val="24"/>
        </w:rPr>
        <w:footnoteReference w:id="90"/>
      </w:r>
      <w:r>
        <w:rPr>
          <w:sz w:val="24"/>
        </w:rPr>
        <w:t xml:space="preserve"> </w:t>
      </w:r>
      <w:r w:rsidR="00BE545C">
        <w:rPr>
          <w:sz w:val="24"/>
        </w:rPr>
        <w:t xml:space="preserve">In the separate context of terrorist asset freezing, EU law exempts certain activities for </w:t>
      </w:r>
      <w:r w:rsidR="00BE545C" w:rsidRPr="00E14747">
        <w:rPr>
          <w:sz w:val="24"/>
          <w:lang w:val="en-GB"/>
        </w:rPr>
        <w:t>‘</w:t>
      </w:r>
      <w:r w:rsidR="00BE545C" w:rsidRPr="00E14747">
        <w:rPr>
          <w:sz w:val="24"/>
        </w:rPr>
        <w:t>humanitarian purposes, such as</w:t>
      </w:r>
      <w:r w:rsidR="00ED4758">
        <w:rPr>
          <w:sz w:val="24"/>
        </w:rPr>
        <w:t>…</w:t>
      </w:r>
      <w:r w:rsidR="00BE545C" w:rsidRPr="00E14747">
        <w:rPr>
          <w:sz w:val="24"/>
        </w:rPr>
        <w:t xml:space="preserve"> delivering or facilitating the delivery of assistance, including medical supplies, food, or the transfer of humanitarian workers and related assistance or for evacuations’.</w:t>
      </w:r>
      <w:r w:rsidR="00BE545C" w:rsidRPr="00E14747">
        <w:rPr>
          <w:sz w:val="24"/>
          <w:vertAlign w:val="superscript"/>
          <w:lang w:val="en-GB"/>
        </w:rPr>
        <w:footnoteReference w:id="91"/>
      </w:r>
      <w:r w:rsidR="00BE545C">
        <w:rPr>
          <w:sz w:val="24"/>
        </w:rPr>
        <w:t xml:space="preserve"> </w:t>
      </w:r>
      <w:r w:rsidR="00E14747">
        <w:rPr>
          <w:sz w:val="24"/>
        </w:rPr>
        <w:t xml:space="preserve">More tangentially, a few states exclude </w:t>
      </w:r>
      <w:r w:rsidR="00E14747" w:rsidRPr="00E14747">
        <w:rPr>
          <w:sz w:val="24"/>
        </w:rPr>
        <w:t xml:space="preserve">acts intended to create or restore </w:t>
      </w:r>
      <w:r w:rsidR="00ED4758">
        <w:rPr>
          <w:sz w:val="24"/>
        </w:rPr>
        <w:t>democracy, the</w:t>
      </w:r>
      <w:r w:rsidR="00E14747" w:rsidRPr="00E14747">
        <w:rPr>
          <w:sz w:val="24"/>
        </w:rPr>
        <w:t xml:space="preserve"> constitutional, or human </w:t>
      </w:r>
      <w:r w:rsidR="00E14747">
        <w:rPr>
          <w:sz w:val="24"/>
        </w:rPr>
        <w:t>rights,</w:t>
      </w:r>
      <w:r w:rsidR="00E14747" w:rsidRPr="00E14747">
        <w:rPr>
          <w:sz w:val="24"/>
          <w:vertAlign w:val="superscript"/>
        </w:rPr>
        <w:footnoteReference w:id="92"/>
      </w:r>
      <w:r w:rsidR="00E14747">
        <w:rPr>
          <w:sz w:val="24"/>
        </w:rPr>
        <w:t xml:space="preserve"> which could be relevant in </w:t>
      </w:r>
      <w:r w:rsidR="00ED4758">
        <w:rPr>
          <w:sz w:val="24"/>
        </w:rPr>
        <w:t xml:space="preserve">some rebel </w:t>
      </w:r>
      <w:r w:rsidR="00E14747">
        <w:rPr>
          <w:sz w:val="24"/>
        </w:rPr>
        <w:t>conflicts.</w:t>
      </w:r>
    </w:p>
    <w:p w14:paraId="4A248BBF" w14:textId="77777777" w:rsidR="009026A1" w:rsidRDefault="009026A1" w:rsidP="004C71D1">
      <w:pPr>
        <w:tabs>
          <w:tab w:val="left" w:pos="851"/>
        </w:tabs>
        <w:spacing w:line="360" w:lineRule="auto"/>
        <w:rPr>
          <w:sz w:val="24"/>
        </w:rPr>
      </w:pPr>
    </w:p>
    <w:p w14:paraId="16D99828" w14:textId="0453BAC2" w:rsidR="00BE545C" w:rsidRPr="00BE545C" w:rsidRDefault="00BE545C" w:rsidP="008243EE">
      <w:pPr>
        <w:tabs>
          <w:tab w:val="left" w:pos="851"/>
        </w:tabs>
        <w:spacing w:line="360" w:lineRule="auto"/>
        <w:rPr>
          <w:sz w:val="24"/>
        </w:rPr>
      </w:pPr>
      <w:r>
        <w:rPr>
          <w:sz w:val="24"/>
        </w:rPr>
        <w:lastRenderedPageBreak/>
        <w:t xml:space="preserve">At the international level, by contrast, there has been a reticence to recognize clear humanitarian exemptions from CTL. A Swiss proposal during the drafting of the Terrorist Financing Convention to exclude funds for humanitarian purposes was not </w:t>
      </w:r>
      <w:r w:rsidRPr="00BE545C">
        <w:rPr>
          <w:sz w:val="24"/>
        </w:rPr>
        <w:t>accepted,</w:t>
      </w:r>
      <w:r w:rsidRPr="00BE545C">
        <w:rPr>
          <w:rStyle w:val="FootnoteReference"/>
          <w:sz w:val="24"/>
        </w:rPr>
        <w:footnoteReference w:id="93"/>
      </w:r>
      <w:r w:rsidRPr="00BE545C">
        <w:rPr>
          <w:sz w:val="24"/>
        </w:rPr>
        <w:t xml:space="preserve"> due to concerns about fungibility of funds and their potential diversion for terrorist purposes. While s</w:t>
      </w:r>
      <w:r w:rsidR="009026A1" w:rsidRPr="00BE545C">
        <w:rPr>
          <w:sz w:val="24"/>
        </w:rPr>
        <w:t xml:space="preserve">ome Security Council </w:t>
      </w:r>
      <w:r w:rsidRPr="00BE545C">
        <w:rPr>
          <w:sz w:val="24"/>
        </w:rPr>
        <w:t xml:space="preserve">country </w:t>
      </w:r>
      <w:r w:rsidR="009026A1" w:rsidRPr="00BE545C">
        <w:rPr>
          <w:sz w:val="24"/>
        </w:rPr>
        <w:t xml:space="preserve">sanctions recognize </w:t>
      </w:r>
      <w:r w:rsidRPr="00BE545C">
        <w:rPr>
          <w:sz w:val="24"/>
        </w:rPr>
        <w:t>humanitarian exemptions,</w:t>
      </w:r>
      <w:r w:rsidRPr="00BE545C">
        <w:rPr>
          <w:rStyle w:val="FootnoteReference"/>
          <w:sz w:val="24"/>
        </w:rPr>
        <w:footnoteReference w:id="94"/>
      </w:r>
      <w:r w:rsidRPr="00BE545C">
        <w:rPr>
          <w:sz w:val="24"/>
        </w:rPr>
        <w:t xml:space="preserve"> the same benefit has not be</w:t>
      </w:r>
      <w:r w:rsidR="00D37946">
        <w:rPr>
          <w:sz w:val="24"/>
        </w:rPr>
        <w:t>en</w:t>
      </w:r>
      <w:r w:rsidRPr="00BE545C">
        <w:rPr>
          <w:sz w:val="24"/>
        </w:rPr>
        <w:t xml:space="preserve"> extended to CTL sanctions. At most, </w:t>
      </w:r>
      <w:r w:rsidR="008243EE">
        <w:rPr>
          <w:sz w:val="24"/>
        </w:rPr>
        <w:t>as mentioned, since 2019</w:t>
      </w:r>
      <w:r w:rsidRPr="00BE545C">
        <w:rPr>
          <w:sz w:val="24"/>
        </w:rPr>
        <w:t xml:space="preserve"> </w:t>
      </w:r>
      <w:r w:rsidR="008243EE">
        <w:rPr>
          <w:sz w:val="24"/>
        </w:rPr>
        <w:t xml:space="preserve">Council </w:t>
      </w:r>
      <w:r w:rsidRPr="00BE545C">
        <w:rPr>
          <w:sz w:val="24"/>
        </w:rPr>
        <w:t xml:space="preserve">resolutions </w:t>
      </w:r>
      <w:r w:rsidR="008243EE">
        <w:rPr>
          <w:sz w:val="24"/>
        </w:rPr>
        <w:t xml:space="preserve">have urged states to </w:t>
      </w:r>
      <w:r w:rsidR="00ED4758">
        <w:rPr>
          <w:sz w:val="24"/>
        </w:rPr>
        <w:t>‘</w:t>
      </w:r>
      <w:r w:rsidR="008243EE">
        <w:rPr>
          <w:sz w:val="24"/>
        </w:rPr>
        <w:t>take into account</w:t>
      </w:r>
      <w:r w:rsidR="00ED4758">
        <w:rPr>
          <w:sz w:val="24"/>
        </w:rPr>
        <w:t>’</w:t>
      </w:r>
      <w:r w:rsidR="008243EE">
        <w:rPr>
          <w:sz w:val="24"/>
        </w:rPr>
        <w:t xml:space="preserve"> the impacts of CTL on humanitarian and medical activities that are consistent with IHL.</w:t>
      </w:r>
      <w:r w:rsidRPr="00BE545C">
        <w:rPr>
          <w:sz w:val="24"/>
          <w:vertAlign w:val="superscript"/>
        </w:rPr>
        <w:footnoteReference w:id="95"/>
      </w:r>
    </w:p>
    <w:p w14:paraId="32590FCF" w14:textId="77777777" w:rsidR="0042561D" w:rsidRDefault="0042561D" w:rsidP="004C71D1">
      <w:pPr>
        <w:tabs>
          <w:tab w:val="left" w:pos="851"/>
        </w:tabs>
        <w:spacing w:line="360" w:lineRule="auto"/>
        <w:rPr>
          <w:sz w:val="24"/>
        </w:rPr>
      </w:pPr>
    </w:p>
    <w:p w14:paraId="3DF11148" w14:textId="66DB0BF8" w:rsidR="009615BB" w:rsidRPr="009615BB" w:rsidRDefault="00942910" w:rsidP="004C71D1">
      <w:pPr>
        <w:tabs>
          <w:tab w:val="left" w:pos="851"/>
        </w:tabs>
        <w:spacing w:line="360" w:lineRule="auto"/>
        <w:rPr>
          <w:b/>
          <w:sz w:val="24"/>
        </w:rPr>
      </w:pPr>
      <w:r>
        <w:rPr>
          <w:b/>
          <w:sz w:val="24"/>
        </w:rPr>
        <w:t>7.2</w:t>
      </w:r>
      <w:r>
        <w:rPr>
          <w:b/>
          <w:sz w:val="24"/>
        </w:rPr>
        <w:tab/>
      </w:r>
      <w:r w:rsidR="009615BB" w:rsidRPr="009615BB">
        <w:rPr>
          <w:b/>
          <w:sz w:val="24"/>
        </w:rPr>
        <w:t>No Accommodation of IHL</w:t>
      </w:r>
    </w:p>
    <w:p w14:paraId="6430C9F3" w14:textId="77777777" w:rsidR="009615BB" w:rsidRDefault="009615BB" w:rsidP="004C71D1">
      <w:pPr>
        <w:tabs>
          <w:tab w:val="left" w:pos="851"/>
        </w:tabs>
        <w:spacing w:line="360" w:lineRule="auto"/>
        <w:rPr>
          <w:sz w:val="24"/>
        </w:rPr>
      </w:pPr>
    </w:p>
    <w:p w14:paraId="5C7B09EB" w14:textId="0DEFEF1F" w:rsidR="009303C2" w:rsidRDefault="00894E41" w:rsidP="00F55872">
      <w:pPr>
        <w:tabs>
          <w:tab w:val="left" w:pos="851"/>
        </w:tabs>
        <w:spacing w:line="360" w:lineRule="auto"/>
        <w:rPr>
          <w:sz w:val="24"/>
        </w:rPr>
      </w:pPr>
      <w:r>
        <w:rPr>
          <w:sz w:val="24"/>
        </w:rPr>
        <w:t xml:space="preserve">A </w:t>
      </w:r>
      <w:r w:rsidR="0018384C">
        <w:rPr>
          <w:sz w:val="24"/>
        </w:rPr>
        <w:t>final</w:t>
      </w:r>
      <w:r>
        <w:rPr>
          <w:sz w:val="24"/>
        </w:rPr>
        <w:t xml:space="preserve"> approach to the relationship with IHL is the most common in national</w:t>
      </w:r>
      <w:r w:rsidR="007539C4">
        <w:rPr>
          <w:sz w:val="24"/>
        </w:rPr>
        <w:t xml:space="preserve"> law</w:t>
      </w:r>
      <w:r w:rsidR="00712DEF">
        <w:rPr>
          <w:rStyle w:val="FootnoteReference"/>
          <w:sz w:val="24"/>
        </w:rPr>
        <w:footnoteReference w:id="96"/>
      </w:r>
      <w:r w:rsidR="00712DEF">
        <w:rPr>
          <w:sz w:val="24"/>
        </w:rPr>
        <w:t xml:space="preserve"> and </w:t>
      </w:r>
      <w:r w:rsidR="00ED4758">
        <w:rPr>
          <w:sz w:val="24"/>
        </w:rPr>
        <w:t xml:space="preserve">certain </w:t>
      </w:r>
      <w:r w:rsidR="00712DEF">
        <w:rPr>
          <w:sz w:val="24"/>
        </w:rPr>
        <w:t>regional</w:t>
      </w:r>
      <w:r w:rsidR="00712DEF">
        <w:rPr>
          <w:rStyle w:val="FootnoteReference"/>
          <w:sz w:val="24"/>
        </w:rPr>
        <w:footnoteReference w:id="97"/>
      </w:r>
      <w:r>
        <w:rPr>
          <w:sz w:val="24"/>
        </w:rPr>
        <w:t xml:space="preserve"> law</w:t>
      </w:r>
      <w:r w:rsidR="00ED4758">
        <w:rPr>
          <w:sz w:val="24"/>
        </w:rPr>
        <w:t>s</w:t>
      </w:r>
      <w:r>
        <w:rPr>
          <w:sz w:val="24"/>
        </w:rPr>
        <w:t xml:space="preserve">: </w:t>
      </w:r>
      <w:r w:rsidR="00712DEF">
        <w:rPr>
          <w:sz w:val="24"/>
        </w:rPr>
        <w:t xml:space="preserve">no explicit exclusion or accommodation </w:t>
      </w:r>
      <w:r w:rsidR="00E20EB9">
        <w:rPr>
          <w:sz w:val="24"/>
        </w:rPr>
        <w:t xml:space="preserve">of IHL at all, and thus potentially full </w:t>
      </w:r>
      <w:r w:rsidR="004609FB">
        <w:rPr>
          <w:sz w:val="24"/>
        </w:rPr>
        <w:t xml:space="preserve">co-application of CTL. </w:t>
      </w:r>
      <w:r w:rsidR="007539C4">
        <w:rPr>
          <w:sz w:val="24"/>
        </w:rPr>
        <w:t>National</w:t>
      </w:r>
      <w:r w:rsidR="007539C4">
        <w:rPr>
          <w:rStyle w:val="FootnoteReference"/>
          <w:sz w:val="24"/>
        </w:rPr>
        <w:footnoteReference w:id="98"/>
      </w:r>
      <w:r w:rsidR="007539C4">
        <w:rPr>
          <w:sz w:val="24"/>
        </w:rPr>
        <w:t xml:space="preserve">  and regional</w:t>
      </w:r>
      <w:r w:rsidR="007539C4">
        <w:rPr>
          <w:rStyle w:val="FootnoteReference"/>
          <w:sz w:val="24"/>
        </w:rPr>
        <w:footnoteReference w:id="99"/>
      </w:r>
      <w:r w:rsidR="007539C4">
        <w:rPr>
          <w:sz w:val="24"/>
        </w:rPr>
        <w:t xml:space="preserve"> courts have upheld </w:t>
      </w:r>
      <w:r w:rsidR="00ED4758">
        <w:rPr>
          <w:sz w:val="24"/>
        </w:rPr>
        <w:t>CTL offences in armed conflict</w:t>
      </w:r>
      <w:r w:rsidR="007539C4">
        <w:rPr>
          <w:sz w:val="24"/>
        </w:rPr>
        <w:t xml:space="preserve"> on the basis that, inter alia: international law (including the ICTCs) does not prohibit the criminalization of hostilities in NIAC (even if not prohibited by IHL) and no combatant immunity exists in NIAC;</w:t>
      </w:r>
      <w:r w:rsidR="007539C4">
        <w:rPr>
          <w:rStyle w:val="FootnoteReference"/>
          <w:sz w:val="24"/>
        </w:rPr>
        <w:footnoteReference w:id="100"/>
      </w:r>
      <w:r w:rsidR="007539C4">
        <w:rPr>
          <w:sz w:val="24"/>
        </w:rPr>
        <w:t xml:space="preserve"> the application of IHL and war crimes does not preclude the concurrent application of CTL;</w:t>
      </w:r>
      <w:r w:rsidR="007539C4">
        <w:rPr>
          <w:rStyle w:val="FootnoteReference"/>
          <w:sz w:val="24"/>
        </w:rPr>
        <w:footnoteReference w:id="101"/>
      </w:r>
      <w:r w:rsidR="007539C4">
        <w:rPr>
          <w:sz w:val="24"/>
        </w:rPr>
        <w:t xml:space="preserve"> there are no exceptions for resistance to oppression;</w:t>
      </w:r>
      <w:r w:rsidR="007539C4">
        <w:rPr>
          <w:rStyle w:val="FootnoteReference"/>
          <w:sz w:val="24"/>
        </w:rPr>
        <w:footnoteReference w:id="102"/>
      </w:r>
      <w:r w:rsidR="007539C4">
        <w:rPr>
          <w:sz w:val="24"/>
        </w:rPr>
        <w:t xml:space="preserve"> and Security Council resolution 1373 does not exempt armed forces in armed conflict.</w:t>
      </w:r>
      <w:r w:rsidR="007539C4">
        <w:rPr>
          <w:rStyle w:val="FootnoteReference"/>
          <w:sz w:val="24"/>
        </w:rPr>
        <w:footnoteReference w:id="103"/>
      </w:r>
    </w:p>
    <w:p w14:paraId="1483CC1A" w14:textId="77777777" w:rsidR="007539C4" w:rsidRDefault="007539C4" w:rsidP="00F55872">
      <w:pPr>
        <w:tabs>
          <w:tab w:val="left" w:pos="851"/>
        </w:tabs>
        <w:spacing w:line="360" w:lineRule="auto"/>
        <w:rPr>
          <w:sz w:val="24"/>
        </w:rPr>
      </w:pPr>
    </w:p>
    <w:p w14:paraId="002156B3" w14:textId="14827C0D" w:rsidR="007539C4" w:rsidRDefault="007539C4" w:rsidP="00EB2CBB">
      <w:pPr>
        <w:tabs>
          <w:tab w:val="left" w:pos="851"/>
        </w:tabs>
        <w:spacing w:line="360" w:lineRule="auto"/>
        <w:rPr>
          <w:sz w:val="24"/>
        </w:rPr>
      </w:pPr>
      <w:r w:rsidRPr="007539C4">
        <w:rPr>
          <w:sz w:val="24"/>
        </w:rPr>
        <w:lastRenderedPageBreak/>
        <w:t xml:space="preserve">Such laws criminalize acts </w:t>
      </w:r>
      <w:r w:rsidR="00516437">
        <w:rPr>
          <w:sz w:val="24"/>
        </w:rPr>
        <w:t xml:space="preserve">by armed forces and other actors alike, as well as acts in conformity with IHL or not. </w:t>
      </w:r>
      <w:r w:rsidR="00EB2CBB">
        <w:rPr>
          <w:sz w:val="24"/>
        </w:rPr>
        <w:t>In some states, they reflect a deliberate choice to maximise the reach of CTL</w:t>
      </w:r>
      <w:r w:rsidR="001E0215">
        <w:rPr>
          <w:sz w:val="24"/>
        </w:rPr>
        <w:t xml:space="preserve">, for instance, to criminalize the making of improvised explosive devices in NIAC, or incitement to </w:t>
      </w:r>
      <w:r w:rsidR="00ED4758">
        <w:rPr>
          <w:sz w:val="24"/>
        </w:rPr>
        <w:t>commit</w:t>
      </w:r>
      <w:r w:rsidR="001E0215">
        <w:rPr>
          <w:sz w:val="24"/>
        </w:rPr>
        <w:t xml:space="preserve"> hostilities</w:t>
      </w:r>
      <w:r w:rsidR="00EB2CBB">
        <w:rPr>
          <w:sz w:val="24"/>
        </w:rPr>
        <w:t>. In other states, a</w:t>
      </w:r>
      <w:r w:rsidR="00777B70" w:rsidRPr="00777B70">
        <w:rPr>
          <w:sz w:val="24"/>
        </w:rPr>
        <w:t xml:space="preserve">s in the drafting of most criminal offences, interaction </w:t>
      </w:r>
      <w:r w:rsidR="00EB2CBB">
        <w:rPr>
          <w:sz w:val="24"/>
        </w:rPr>
        <w:t>of CTL with</w:t>
      </w:r>
      <w:r w:rsidR="00777B70" w:rsidRPr="00777B70">
        <w:rPr>
          <w:sz w:val="24"/>
        </w:rPr>
        <w:t xml:space="preserve"> IHL </w:t>
      </w:r>
      <w:r w:rsidR="00EB2CBB">
        <w:rPr>
          <w:sz w:val="24"/>
        </w:rPr>
        <w:t>may</w:t>
      </w:r>
      <w:r w:rsidR="00777B70" w:rsidRPr="00777B70">
        <w:rPr>
          <w:sz w:val="24"/>
        </w:rPr>
        <w:t xml:space="preserve"> not </w:t>
      </w:r>
      <w:r w:rsidR="00EB2CBB">
        <w:rPr>
          <w:sz w:val="24"/>
        </w:rPr>
        <w:t>be</w:t>
      </w:r>
      <w:r w:rsidR="00777B70" w:rsidRPr="00777B70">
        <w:rPr>
          <w:sz w:val="24"/>
        </w:rPr>
        <w:t xml:space="preserve"> front of mind, </w:t>
      </w:r>
      <w:r w:rsidR="00EB2CBB">
        <w:rPr>
          <w:sz w:val="24"/>
        </w:rPr>
        <w:t>since</w:t>
      </w:r>
      <w:r w:rsidR="00777B70" w:rsidRPr="00777B70">
        <w:rPr>
          <w:sz w:val="24"/>
        </w:rPr>
        <w:t xml:space="preserve"> most states are not engaged in armed conflicts involving terrorist organizations.</w:t>
      </w:r>
      <w:r w:rsidR="00EB2CBB">
        <w:rPr>
          <w:sz w:val="24"/>
        </w:rPr>
        <w:t xml:space="preserve"> </w:t>
      </w:r>
      <w:r w:rsidR="00777B70" w:rsidRPr="00777B70">
        <w:rPr>
          <w:sz w:val="24"/>
        </w:rPr>
        <w:t xml:space="preserve">However, given </w:t>
      </w:r>
      <w:r w:rsidR="00EB2CBB">
        <w:rPr>
          <w:sz w:val="24"/>
        </w:rPr>
        <w:t xml:space="preserve">Security Council </w:t>
      </w:r>
      <w:r w:rsidR="00777B70" w:rsidRPr="00777B70">
        <w:rPr>
          <w:sz w:val="24"/>
        </w:rPr>
        <w:t xml:space="preserve">obligations to cooperate with other states in the suppression of terrorist offences, even states not embroiled in conflict may </w:t>
      </w:r>
      <w:r w:rsidR="00ED4758">
        <w:rPr>
          <w:sz w:val="24"/>
        </w:rPr>
        <w:t>encounter</w:t>
      </w:r>
      <w:r w:rsidR="00777B70" w:rsidRPr="00777B70">
        <w:rPr>
          <w:sz w:val="24"/>
        </w:rPr>
        <w:t xml:space="preserve"> requests from other states for extradition or mutual assistance in relation to offences in foreign armed conflicts. The issue is </w:t>
      </w:r>
      <w:r w:rsidR="00EB2CBB">
        <w:rPr>
          <w:sz w:val="24"/>
        </w:rPr>
        <w:t>thus</w:t>
      </w:r>
      <w:r w:rsidR="00777B70" w:rsidRPr="00777B70">
        <w:rPr>
          <w:sz w:val="24"/>
        </w:rPr>
        <w:t xml:space="preserve"> relevant </w:t>
      </w:r>
      <w:r w:rsidR="00EB2CBB">
        <w:rPr>
          <w:sz w:val="24"/>
        </w:rPr>
        <w:t>for</w:t>
      </w:r>
      <w:r w:rsidR="00777B70" w:rsidRPr="00777B70">
        <w:rPr>
          <w:sz w:val="24"/>
        </w:rPr>
        <w:t xml:space="preserve"> all states. </w:t>
      </w:r>
    </w:p>
    <w:p w14:paraId="7F740321" w14:textId="77777777" w:rsidR="00516437" w:rsidRDefault="00516437" w:rsidP="00F55872">
      <w:pPr>
        <w:tabs>
          <w:tab w:val="left" w:pos="851"/>
        </w:tabs>
        <w:spacing w:line="360" w:lineRule="auto"/>
        <w:rPr>
          <w:sz w:val="24"/>
        </w:rPr>
      </w:pPr>
    </w:p>
    <w:p w14:paraId="70CC5047" w14:textId="3FCBCDA4" w:rsidR="0018384C" w:rsidRDefault="009606D4" w:rsidP="00F55872">
      <w:pPr>
        <w:tabs>
          <w:tab w:val="left" w:pos="851"/>
        </w:tabs>
        <w:spacing w:line="360" w:lineRule="auto"/>
        <w:rPr>
          <w:sz w:val="24"/>
        </w:rPr>
      </w:pPr>
      <w:r>
        <w:rPr>
          <w:sz w:val="24"/>
        </w:rPr>
        <w:t xml:space="preserve">Where laws do not generally accommodate IHL, there </w:t>
      </w:r>
      <w:r w:rsidR="00ED4758">
        <w:rPr>
          <w:sz w:val="24"/>
        </w:rPr>
        <w:t>can</w:t>
      </w:r>
      <w:r>
        <w:rPr>
          <w:sz w:val="24"/>
        </w:rPr>
        <w:t xml:space="preserve"> still be some flexibility in them. </w:t>
      </w:r>
      <w:r w:rsidR="0018384C">
        <w:rPr>
          <w:sz w:val="24"/>
        </w:rPr>
        <w:t>S</w:t>
      </w:r>
      <w:r w:rsidR="00516437">
        <w:rPr>
          <w:sz w:val="24"/>
        </w:rPr>
        <w:t xml:space="preserve">tates will inevitably exempt their own military forces from CTL laws since there will be positive legal authority in national law for their military operations, providing a lawful or reasonable excuse to CTL charges. In addition, the functional immunity of one’s state’s military personnel would shield them from CTL laws before another state’s courts, as would combatant immunity under IHL. </w:t>
      </w:r>
    </w:p>
    <w:p w14:paraId="0911F672" w14:textId="77777777" w:rsidR="0018384C" w:rsidRDefault="0018384C" w:rsidP="00F55872">
      <w:pPr>
        <w:tabs>
          <w:tab w:val="left" w:pos="851"/>
        </w:tabs>
        <w:spacing w:line="360" w:lineRule="auto"/>
        <w:rPr>
          <w:sz w:val="24"/>
        </w:rPr>
      </w:pPr>
    </w:p>
    <w:p w14:paraId="77385E26" w14:textId="1FD89DE3" w:rsidR="009303C2" w:rsidRPr="00F55872" w:rsidRDefault="00516437" w:rsidP="00F55872">
      <w:pPr>
        <w:tabs>
          <w:tab w:val="left" w:pos="851"/>
        </w:tabs>
        <w:spacing w:line="360" w:lineRule="auto"/>
        <w:rPr>
          <w:sz w:val="24"/>
        </w:rPr>
      </w:pPr>
      <w:r>
        <w:rPr>
          <w:sz w:val="24"/>
        </w:rPr>
        <w:t>The burden of CTL laws will thus</w:t>
      </w:r>
      <w:r w:rsidR="009303C2">
        <w:rPr>
          <w:sz w:val="24"/>
        </w:rPr>
        <w:t xml:space="preserve"> fall asymmetrically on non-state groups in NIAC. At most, persons in NIAC </w:t>
      </w:r>
      <w:r>
        <w:rPr>
          <w:sz w:val="24"/>
        </w:rPr>
        <w:t>can</w:t>
      </w:r>
      <w:r w:rsidR="008339F3">
        <w:rPr>
          <w:sz w:val="24"/>
        </w:rPr>
        <w:t xml:space="preserve"> hope that prosecutorial discretion wil</w:t>
      </w:r>
      <w:r>
        <w:rPr>
          <w:sz w:val="24"/>
        </w:rPr>
        <w:t xml:space="preserve">l be exercised </w:t>
      </w:r>
      <w:r w:rsidR="00336FAB">
        <w:rPr>
          <w:sz w:val="24"/>
        </w:rPr>
        <w:t xml:space="preserve">not to lay CTL charges where </w:t>
      </w:r>
      <w:r>
        <w:rPr>
          <w:sz w:val="24"/>
        </w:rPr>
        <w:t>they do not violate IHL. That is, however, unlikely in many states,</w:t>
      </w:r>
      <w:r w:rsidR="00336FAB">
        <w:rPr>
          <w:sz w:val="24"/>
        </w:rPr>
        <w:t xml:space="preserve"> given that CTL is often precisely designed to target rebels. It is also</w:t>
      </w:r>
      <w:r>
        <w:rPr>
          <w:sz w:val="24"/>
        </w:rPr>
        <w:t xml:space="preserve"> undesirable from a rule of law standpoint, since it politicizes prosecutors by inviting them to selectively determine who should be regarded as a terrorist </w:t>
      </w:r>
      <w:r w:rsidR="00336FAB">
        <w:rPr>
          <w:sz w:val="24"/>
        </w:rPr>
        <w:t>(say, ISIL but not Kurdish forces in Syria)</w:t>
      </w:r>
      <w:r w:rsidR="002D0B90">
        <w:rPr>
          <w:sz w:val="24"/>
        </w:rPr>
        <w:t>, abdicates</w:t>
      </w:r>
      <w:r>
        <w:rPr>
          <w:sz w:val="24"/>
        </w:rPr>
        <w:t xml:space="preserve"> the legislature’s responsibility to clearly </w:t>
      </w:r>
      <w:r w:rsidR="002D0B90">
        <w:rPr>
          <w:sz w:val="24"/>
        </w:rPr>
        <w:t>identity the scope of liability, and compromises the rule of law.</w:t>
      </w:r>
      <w:r>
        <w:rPr>
          <w:rStyle w:val="FootnoteReference"/>
          <w:sz w:val="24"/>
        </w:rPr>
        <w:footnoteReference w:id="104"/>
      </w:r>
    </w:p>
    <w:p w14:paraId="40CBC6DB" w14:textId="77777777" w:rsidR="00F55872" w:rsidRDefault="00F55872" w:rsidP="00F55872">
      <w:pPr>
        <w:tabs>
          <w:tab w:val="left" w:pos="851"/>
        </w:tabs>
        <w:spacing w:line="360" w:lineRule="auto"/>
        <w:rPr>
          <w:sz w:val="24"/>
        </w:rPr>
      </w:pPr>
    </w:p>
    <w:p w14:paraId="45DD7A0B" w14:textId="7C6715F6" w:rsidR="00EA7454" w:rsidRPr="001E0215" w:rsidRDefault="00942910" w:rsidP="00F55872">
      <w:pPr>
        <w:tabs>
          <w:tab w:val="left" w:pos="851"/>
        </w:tabs>
        <w:spacing w:line="360" w:lineRule="auto"/>
        <w:rPr>
          <w:b/>
          <w:sz w:val="24"/>
        </w:rPr>
      </w:pPr>
      <w:r>
        <w:rPr>
          <w:b/>
          <w:sz w:val="24"/>
        </w:rPr>
        <w:t>8</w:t>
      </w:r>
      <w:r>
        <w:rPr>
          <w:b/>
          <w:sz w:val="24"/>
        </w:rPr>
        <w:tab/>
      </w:r>
      <w:r w:rsidR="001E0215" w:rsidRPr="001E0215">
        <w:rPr>
          <w:b/>
          <w:sz w:val="24"/>
        </w:rPr>
        <w:t xml:space="preserve">Conclusion </w:t>
      </w:r>
    </w:p>
    <w:p w14:paraId="63F56396" w14:textId="77777777" w:rsidR="001E0215" w:rsidRDefault="001E0215" w:rsidP="00F55872">
      <w:pPr>
        <w:tabs>
          <w:tab w:val="left" w:pos="851"/>
        </w:tabs>
        <w:spacing w:line="360" w:lineRule="auto"/>
        <w:rPr>
          <w:sz w:val="24"/>
        </w:rPr>
      </w:pPr>
    </w:p>
    <w:p w14:paraId="57143BED" w14:textId="591BBD74" w:rsidR="003F16F8" w:rsidRDefault="00012255" w:rsidP="00F55872">
      <w:pPr>
        <w:tabs>
          <w:tab w:val="left" w:pos="851"/>
        </w:tabs>
        <w:spacing w:line="360" w:lineRule="auto"/>
        <w:rPr>
          <w:sz w:val="24"/>
        </w:rPr>
      </w:pPr>
      <w:r>
        <w:rPr>
          <w:sz w:val="24"/>
        </w:rPr>
        <w:t xml:space="preserve">There is clearly little support in state practice for </w:t>
      </w:r>
      <w:r w:rsidR="003F16F8">
        <w:rPr>
          <w:sz w:val="24"/>
        </w:rPr>
        <w:t xml:space="preserve">entirely </w:t>
      </w:r>
      <w:r>
        <w:rPr>
          <w:sz w:val="24"/>
        </w:rPr>
        <w:t>quarantining armed conflict from CTL and exclusively applying IHL; to the contrary, the thrust of CTL since the 1970s, accelerating after 2001</w:t>
      </w:r>
      <w:r w:rsidR="00ED4758">
        <w:rPr>
          <w:sz w:val="24"/>
        </w:rPr>
        <w:t xml:space="preserve"> and promoted by the Security Council</w:t>
      </w:r>
      <w:r>
        <w:rPr>
          <w:sz w:val="24"/>
        </w:rPr>
        <w:t>, has been</w:t>
      </w:r>
      <w:r w:rsidR="00ED4758">
        <w:rPr>
          <w:sz w:val="24"/>
        </w:rPr>
        <w:t xml:space="preserve"> a story of co-application</w:t>
      </w:r>
      <w:r>
        <w:rPr>
          <w:sz w:val="24"/>
        </w:rPr>
        <w:t xml:space="preserve"> (sometimes) </w:t>
      </w:r>
      <w:r w:rsidR="00ED4758">
        <w:rPr>
          <w:sz w:val="24"/>
        </w:rPr>
        <w:t xml:space="preserve">with </w:t>
      </w:r>
      <w:r>
        <w:rPr>
          <w:sz w:val="24"/>
        </w:rPr>
        <w:t>diverse exceptions. Amongst the exceptions, support is strongest for the</w:t>
      </w:r>
      <w:r w:rsidR="003F16F8">
        <w:rPr>
          <w:sz w:val="24"/>
        </w:rPr>
        <w:t xml:space="preserve"> exclusion of the activities of</w:t>
      </w:r>
      <w:r>
        <w:rPr>
          <w:sz w:val="24"/>
        </w:rPr>
        <w:t xml:space="preserve"> armed forces in armed conflict, evident in six ICTCs, </w:t>
      </w:r>
      <w:r>
        <w:rPr>
          <w:sz w:val="24"/>
        </w:rPr>
        <w:lastRenderedPageBreak/>
        <w:t xml:space="preserve">proposed in the UN Draft Convention, and generalized in EU law across all terrorism offences. </w:t>
      </w:r>
      <w:r w:rsidR="00ED4758">
        <w:rPr>
          <w:sz w:val="24"/>
        </w:rPr>
        <w:t>The Security Council is, regrettably, missing in action in this regard, despite being the progenitor of much contemporary national CTL.</w:t>
      </w:r>
    </w:p>
    <w:p w14:paraId="7C0AAFFA" w14:textId="77777777" w:rsidR="003F16F8" w:rsidRDefault="003F16F8" w:rsidP="00F55872">
      <w:pPr>
        <w:tabs>
          <w:tab w:val="left" w:pos="851"/>
        </w:tabs>
        <w:spacing w:line="360" w:lineRule="auto"/>
        <w:rPr>
          <w:sz w:val="24"/>
        </w:rPr>
      </w:pPr>
    </w:p>
    <w:p w14:paraId="6AE6782E" w14:textId="183FEE93" w:rsidR="003F16F8" w:rsidRDefault="009615CB" w:rsidP="00F55872">
      <w:pPr>
        <w:tabs>
          <w:tab w:val="left" w:pos="851"/>
        </w:tabs>
        <w:spacing w:line="360" w:lineRule="auto"/>
        <w:rPr>
          <w:sz w:val="24"/>
        </w:rPr>
      </w:pPr>
      <w:r>
        <w:rPr>
          <w:sz w:val="24"/>
        </w:rPr>
        <w:t>That approach preserves the freedom of action of belligerents in IAC and NIAC under IHL, including non-state armed groups not</w:t>
      </w:r>
      <w:r w:rsidR="00313A04">
        <w:rPr>
          <w:sz w:val="24"/>
        </w:rPr>
        <w:t xml:space="preserve"> entitled to combatant immunity, and minimizes adverse impacts on incentives to comply with IHL and prospects for post-conflict reconciliation. </w:t>
      </w:r>
      <w:r>
        <w:rPr>
          <w:sz w:val="24"/>
        </w:rPr>
        <w:t xml:space="preserve"> </w:t>
      </w:r>
      <w:r w:rsidR="003F16F8">
        <w:rPr>
          <w:sz w:val="24"/>
        </w:rPr>
        <w:t xml:space="preserve">It </w:t>
      </w:r>
      <w:r>
        <w:rPr>
          <w:sz w:val="24"/>
        </w:rPr>
        <w:t xml:space="preserve">comes at the expense, however, of preventing CTL (including its preparatory offences and machinery of prevention and cooperation) from co-regulating </w:t>
      </w:r>
      <w:r w:rsidRPr="003F16F8">
        <w:rPr>
          <w:i/>
          <w:sz w:val="24"/>
        </w:rPr>
        <w:t>violations of IHL</w:t>
      </w:r>
      <w:r>
        <w:rPr>
          <w:sz w:val="24"/>
        </w:rPr>
        <w:t xml:space="preserve"> – whether to strengthen protection of civilians or fighters, i</w:t>
      </w:r>
      <w:r w:rsidR="003F16F8">
        <w:rPr>
          <w:sz w:val="24"/>
        </w:rPr>
        <w:t xml:space="preserve">ncluding where war crimes </w:t>
      </w:r>
      <w:r w:rsidR="00ED4758">
        <w:rPr>
          <w:sz w:val="24"/>
        </w:rPr>
        <w:t xml:space="preserve">laws </w:t>
      </w:r>
      <w:r w:rsidR="003F16F8">
        <w:rPr>
          <w:sz w:val="24"/>
        </w:rPr>
        <w:t>are</w:t>
      </w:r>
      <w:r>
        <w:rPr>
          <w:sz w:val="24"/>
        </w:rPr>
        <w:t xml:space="preserve"> too limited. </w:t>
      </w:r>
      <w:r w:rsidR="00313A04">
        <w:rPr>
          <w:sz w:val="24"/>
        </w:rPr>
        <w:t xml:space="preserve">For the same reason, excluding </w:t>
      </w:r>
      <w:r w:rsidR="00313A04" w:rsidRPr="00313A04">
        <w:rPr>
          <w:i/>
          <w:sz w:val="24"/>
        </w:rPr>
        <w:t>any acts</w:t>
      </w:r>
      <w:r w:rsidR="00313A04">
        <w:rPr>
          <w:sz w:val="24"/>
        </w:rPr>
        <w:t xml:space="preserve"> (by whomever) governed by IHL</w:t>
      </w:r>
      <w:r w:rsidR="003F16F8">
        <w:rPr>
          <w:sz w:val="24"/>
        </w:rPr>
        <w:t xml:space="preserve"> </w:t>
      </w:r>
      <w:r w:rsidR="003B2940">
        <w:rPr>
          <w:sz w:val="24"/>
        </w:rPr>
        <w:t xml:space="preserve">goes too far, additionally because it exempts not only members of armed groups </w:t>
      </w:r>
      <w:r w:rsidR="00C22840">
        <w:rPr>
          <w:sz w:val="24"/>
        </w:rPr>
        <w:t xml:space="preserve">(who are likely to be subject to an internal disciplinary system) but anyone who </w:t>
      </w:r>
      <w:r w:rsidR="003B2940">
        <w:rPr>
          <w:sz w:val="24"/>
        </w:rPr>
        <w:t>d</w:t>
      </w:r>
      <w:r w:rsidR="00C22840">
        <w:rPr>
          <w:sz w:val="24"/>
        </w:rPr>
        <w:t>irectly participates in hostilities.</w:t>
      </w:r>
    </w:p>
    <w:p w14:paraId="023E353A" w14:textId="77777777" w:rsidR="003F16F8" w:rsidRDefault="003F16F8" w:rsidP="00F55872">
      <w:pPr>
        <w:tabs>
          <w:tab w:val="left" w:pos="851"/>
        </w:tabs>
        <w:spacing w:line="360" w:lineRule="auto"/>
        <w:rPr>
          <w:sz w:val="24"/>
        </w:rPr>
      </w:pPr>
    </w:p>
    <w:p w14:paraId="6EF955F6" w14:textId="59356816" w:rsidR="009E2B69" w:rsidRPr="009E2B69" w:rsidRDefault="0042159E" w:rsidP="009E2B69">
      <w:pPr>
        <w:tabs>
          <w:tab w:val="left" w:pos="851"/>
        </w:tabs>
        <w:spacing w:line="360" w:lineRule="auto"/>
        <w:rPr>
          <w:sz w:val="24"/>
        </w:rPr>
      </w:pPr>
      <w:r>
        <w:rPr>
          <w:sz w:val="24"/>
        </w:rPr>
        <w:t>A preferable</w:t>
      </w:r>
      <w:r w:rsidR="00313A04">
        <w:rPr>
          <w:sz w:val="24"/>
        </w:rPr>
        <w:t xml:space="preserve"> </w:t>
      </w:r>
      <w:r w:rsidR="009615CB">
        <w:rPr>
          <w:sz w:val="24"/>
        </w:rPr>
        <w:t xml:space="preserve">approach </w:t>
      </w:r>
      <w:r w:rsidR="003F16F8">
        <w:rPr>
          <w:sz w:val="24"/>
        </w:rPr>
        <w:t>is</w:t>
      </w:r>
      <w:r w:rsidR="009615CB">
        <w:rPr>
          <w:sz w:val="24"/>
        </w:rPr>
        <w:t xml:space="preserve"> to confine </w:t>
      </w:r>
      <w:r w:rsidR="00ED4758">
        <w:rPr>
          <w:sz w:val="24"/>
        </w:rPr>
        <w:t>an</w:t>
      </w:r>
      <w:r w:rsidR="009615CB">
        <w:rPr>
          <w:sz w:val="24"/>
        </w:rPr>
        <w:t xml:space="preserve"> armed forces exception to activities which are not unlawful under IHL, thus buttressing IHL without </w:t>
      </w:r>
      <w:r>
        <w:rPr>
          <w:sz w:val="24"/>
        </w:rPr>
        <w:t xml:space="preserve">unduly </w:t>
      </w:r>
      <w:r w:rsidR="009615CB">
        <w:rPr>
          <w:sz w:val="24"/>
        </w:rPr>
        <w:t>detracting from it</w:t>
      </w:r>
      <w:r w:rsidR="001B163F">
        <w:rPr>
          <w:sz w:val="24"/>
        </w:rPr>
        <w:t xml:space="preserve"> (for instance, by criminalizing mere participation in hostilities)</w:t>
      </w:r>
      <w:r w:rsidR="009615CB">
        <w:rPr>
          <w:sz w:val="24"/>
        </w:rPr>
        <w:t xml:space="preserve">. </w:t>
      </w:r>
      <w:r>
        <w:rPr>
          <w:sz w:val="24"/>
        </w:rPr>
        <w:t xml:space="preserve">There are still drawbacks: in practice, states are unlikely to criminalize their own military forces as terrorists; and the stigmatization of non-state groups as terrorists may </w:t>
      </w:r>
      <w:r w:rsidR="00ED4758">
        <w:rPr>
          <w:sz w:val="24"/>
        </w:rPr>
        <w:t xml:space="preserve">still </w:t>
      </w:r>
      <w:r>
        <w:rPr>
          <w:sz w:val="24"/>
        </w:rPr>
        <w:t>undermine compliance and impede reconciliation. Even so, if a group is</w:t>
      </w:r>
      <w:r w:rsidR="001B163F">
        <w:rPr>
          <w:sz w:val="24"/>
        </w:rPr>
        <w:t xml:space="preserve"> already</w:t>
      </w:r>
      <w:r>
        <w:rPr>
          <w:sz w:val="24"/>
        </w:rPr>
        <w:t xml:space="preserve"> systematically violating IHL</w:t>
      </w:r>
      <w:r w:rsidR="001B163F">
        <w:rPr>
          <w:sz w:val="24"/>
        </w:rPr>
        <w:t xml:space="preserve">, at that point IHL’s weak incentives to comply </w:t>
      </w:r>
      <w:r w:rsidR="003F16F8">
        <w:rPr>
          <w:sz w:val="24"/>
        </w:rPr>
        <w:t xml:space="preserve">are </w:t>
      </w:r>
      <w:r w:rsidR="001B163F">
        <w:rPr>
          <w:sz w:val="24"/>
        </w:rPr>
        <w:t xml:space="preserve">already </w:t>
      </w:r>
      <w:r w:rsidR="003F16F8">
        <w:rPr>
          <w:sz w:val="24"/>
        </w:rPr>
        <w:t xml:space="preserve">likely to be </w:t>
      </w:r>
      <w:r w:rsidR="001B163F">
        <w:rPr>
          <w:sz w:val="24"/>
        </w:rPr>
        <w:t xml:space="preserve">ineffective, and the application of CTL may </w:t>
      </w:r>
      <w:r w:rsidR="003F16F8">
        <w:rPr>
          <w:sz w:val="24"/>
        </w:rPr>
        <w:t xml:space="preserve">then </w:t>
      </w:r>
      <w:r w:rsidR="001B163F">
        <w:rPr>
          <w:sz w:val="24"/>
        </w:rPr>
        <w:t xml:space="preserve">enhance, </w:t>
      </w:r>
      <w:r w:rsidR="00BD4726">
        <w:rPr>
          <w:sz w:val="24"/>
        </w:rPr>
        <w:t>not</w:t>
      </w:r>
      <w:r w:rsidR="001B163F">
        <w:rPr>
          <w:sz w:val="24"/>
        </w:rPr>
        <w:t xml:space="preserve"> detract, from civilian protection and </w:t>
      </w:r>
      <w:r w:rsidR="00ED4758">
        <w:rPr>
          <w:sz w:val="24"/>
        </w:rPr>
        <w:t xml:space="preserve">overall </w:t>
      </w:r>
      <w:r w:rsidR="001B163F">
        <w:rPr>
          <w:sz w:val="24"/>
        </w:rPr>
        <w:t>respect for I</w:t>
      </w:r>
      <w:r w:rsidR="00BD4726">
        <w:rPr>
          <w:sz w:val="24"/>
        </w:rPr>
        <w:t>HL</w:t>
      </w:r>
      <w:r w:rsidR="00ED4758">
        <w:rPr>
          <w:sz w:val="24"/>
        </w:rPr>
        <w:t>’s core purposes</w:t>
      </w:r>
      <w:r w:rsidR="00BD4726">
        <w:rPr>
          <w:sz w:val="24"/>
        </w:rPr>
        <w:t>.</w:t>
      </w:r>
    </w:p>
    <w:sectPr w:rsidR="009E2B69" w:rsidRPr="009E2B69" w:rsidSect="00A73B3B">
      <w:footerReference w:type="even" r:id="rId8"/>
      <w:footerReference w:type="default" r:id="rId9"/>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D5C8E" w14:textId="77777777" w:rsidR="00E43FC5" w:rsidRDefault="00E43FC5" w:rsidP="002F3197">
      <w:r>
        <w:separator/>
      </w:r>
    </w:p>
  </w:endnote>
  <w:endnote w:type="continuationSeparator" w:id="0">
    <w:p w14:paraId="17E3A9E6" w14:textId="77777777" w:rsidR="00E43FC5" w:rsidRDefault="00E43FC5" w:rsidP="002F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erling Antiqua">
    <w:altName w:val="Constantia"/>
    <w:charset w:val="00"/>
    <w:family w:val="roman"/>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51BF2" w14:textId="77777777" w:rsidR="00391CF0" w:rsidRDefault="00391CF0" w:rsidP="00A73B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EDF11A" w14:textId="77777777" w:rsidR="00391CF0" w:rsidRDefault="00391CF0" w:rsidP="00A73B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0EB12" w14:textId="77777777" w:rsidR="00391CF0" w:rsidRDefault="00391CF0" w:rsidP="00A73B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73A7">
      <w:rPr>
        <w:rStyle w:val="PageNumber"/>
        <w:noProof/>
      </w:rPr>
      <w:t>22</w:t>
    </w:r>
    <w:r>
      <w:rPr>
        <w:rStyle w:val="PageNumber"/>
      </w:rPr>
      <w:fldChar w:fldCharType="end"/>
    </w:r>
  </w:p>
  <w:p w14:paraId="4F26CF21" w14:textId="77777777" w:rsidR="00391CF0" w:rsidRDefault="00391CF0" w:rsidP="00A73B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443B1" w14:textId="77777777" w:rsidR="00E43FC5" w:rsidRDefault="00E43FC5" w:rsidP="002F3197">
      <w:r>
        <w:separator/>
      </w:r>
    </w:p>
  </w:footnote>
  <w:footnote w:type="continuationSeparator" w:id="0">
    <w:p w14:paraId="26A7D0BC" w14:textId="77777777" w:rsidR="00E43FC5" w:rsidRDefault="00E43FC5" w:rsidP="002F3197">
      <w:r>
        <w:continuationSeparator/>
      </w:r>
    </w:p>
  </w:footnote>
  <w:footnote w:id="1">
    <w:p w14:paraId="2B5D5805" w14:textId="250E6F6F"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t>*</w:t>
      </w:r>
      <w:r w:rsidRPr="009416FC">
        <w:rPr>
          <w:rFonts w:ascii="Times New Roman" w:hAnsi="Times New Roman"/>
        </w:rPr>
        <w:t xml:space="preserve"> Challis Chair of International Law, University of Sydney</w:t>
      </w:r>
      <w:r w:rsidR="009416FC" w:rsidRPr="009416FC">
        <w:rPr>
          <w:rFonts w:ascii="Times New Roman" w:hAnsi="Times New Roman"/>
        </w:rPr>
        <w:t>.</w:t>
      </w:r>
    </w:p>
  </w:footnote>
  <w:footnote w:id="2">
    <w:p w14:paraId="550E5DC1" w14:textId="259754D4"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For a list see &lt;</w:t>
      </w:r>
      <w:hyperlink r:id="rId1" w:history="1">
        <w:r w:rsidRPr="009416FC">
          <w:rPr>
            <w:rStyle w:val="Hyperlink"/>
            <w:rFonts w:ascii="Times New Roman" w:hAnsi="Times New Roman"/>
            <w:color w:val="auto"/>
            <w:u w:val="none"/>
          </w:rPr>
          <w:t>www.un.org/counterterrorism/international-legal-instruments</w:t>
        </w:r>
      </w:hyperlink>
      <w:r w:rsidRPr="009416FC">
        <w:rPr>
          <w:rFonts w:ascii="Times New Roman" w:hAnsi="Times New Roman"/>
        </w:rPr>
        <w:t>&gt;.</w:t>
      </w:r>
    </w:p>
  </w:footnote>
  <w:footnote w:id="3">
    <w:p w14:paraId="49FA871C" w14:textId="77777777"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See eg </w:t>
      </w:r>
      <w:r w:rsidRPr="009416FC">
        <w:rPr>
          <w:rFonts w:ascii="Times New Roman" w:hAnsi="Times New Roman"/>
          <w:lang w:val="en-US"/>
        </w:rPr>
        <w:t xml:space="preserve">Daniel O’Donnell, ‘International Treaties against Terrorism and the Use of Terrorism during Armed Conflict and by Armed Forces’ (2006) 88 IRRC 653; </w:t>
      </w:r>
      <w:r w:rsidRPr="009416FC">
        <w:rPr>
          <w:rFonts w:ascii="Times New Roman" w:hAnsi="Times New Roman"/>
        </w:rPr>
        <w:t xml:space="preserve">Alejandro Sanchez Frias, ‘Bringing Terrorists to Justice in the Context of Armed Conflict: Interaction between International Humanitarian Law and the UN Conventions against Terrorism’ (2020) 53 Israel Law Review 71; Ben Saul, ‘Terrorism, Counter-terrorism, and International Humanitarian Law’ in Ben Saul and Dapo Akande (eds), </w:t>
      </w:r>
      <w:r w:rsidRPr="009416FC">
        <w:rPr>
          <w:rFonts w:ascii="Times New Roman" w:hAnsi="Times New Roman"/>
          <w:i/>
        </w:rPr>
        <w:t>The Oxford Guide to International Humanitarian Law</w:t>
      </w:r>
      <w:r w:rsidRPr="009416FC">
        <w:rPr>
          <w:rFonts w:ascii="Times New Roman" w:hAnsi="Times New Roman"/>
        </w:rPr>
        <w:t xml:space="preserve"> (OUP 2020) 403; Andrea Bianchi and Yasmin Naqvi, </w:t>
      </w:r>
      <w:r w:rsidRPr="009416FC">
        <w:rPr>
          <w:rFonts w:ascii="Times New Roman" w:hAnsi="Times New Roman"/>
          <w:i/>
        </w:rPr>
        <w:t>International Humanitarian Law and Terrorism</w:t>
      </w:r>
      <w:r w:rsidRPr="009416FC">
        <w:rPr>
          <w:rFonts w:ascii="Times New Roman" w:hAnsi="Times New Roman"/>
        </w:rPr>
        <w:t xml:space="preserve"> (Hart 2011). </w:t>
      </w:r>
    </w:p>
  </w:footnote>
  <w:footnote w:id="4">
    <w:p w14:paraId="5F683564" w14:textId="77904A9B"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Nuclear Material Convention 1980 (as amended 2005) art 7(1). </w:t>
      </w:r>
    </w:p>
  </w:footnote>
  <w:footnote w:id="5">
    <w:p w14:paraId="3BD52494" w14:textId="77777777"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Nuclear Terrorism Convention 2005 art 2(1).</w:t>
      </w:r>
    </w:p>
  </w:footnote>
  <w:footnote w:id="6">
    <w:p w14:paraId="7AE92724" w14:textId="758B0428"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Montreal Convention 1971 art 1(e).</w:t>
      </w:r>
    </w:p>
  </w:footnote>
  <w:footnote w:id="7">
    <w:p w14:paraId="5D8F8710" w14:textId="712B6971"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Beijing Convention 2020 art 1(1)(i).</w:t>
      </w:r>
    </w:p>
  </w:footnote>
  <w:footnote w:id="8">
    <w:p w14:paraId="41D892F0" w14:textId="01A97D3F"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See eg </w:t>
      </w:r>
      <w:r w:rsidRPr="009416FC">
        <w:rPr>
          <w:rFonts w:ascii="Times New Roman" w:hAnsi="Times New Roman"/>
          <w:i/>
        </w:rPr>
        <w:t>Tallinn Manual 2.0 on the International Law Applicable to </w:t>
      </w:r>
      <w:r w:rsidRPr="009416FC">
        <w:rPr>
          <w:rFonts w:ascii="Times New Roman" w:hAnsi="Times New Roman"/>
          <w:bCs/>
          <w:i/>
        </w:rPr>
        <w:t>Cyber</w:t>
      </w:r>
      <w:r w:rsidRPr="009416FC">
        <w:rPr>
          <w:rFonts w:ascii="Times New Roman" w:hAnsi="Times New Roman"/>
          <w:i/>
        </w:rPr>
        <w:t> Operations</w:t>
      </w:r>
      <w:r w:rsidRPr="009416FC">
        <w:rPr>
          <w:rFonts w:ascii="Times New Roman" w:hAnsi="Times New Roman"/>
        </w:rPr>
        <w:t xml:space="preserve"> (2017) rules 92 and 100.</w:t>
      </w:r>
    </w:p>
  </w:footnote>
  <w:footnote w:id="9">
    <w:p w14:paraId="714C5898" w14:textId="473D5367"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Organization of African Union Convention on the Prevention and Combating of </w:t>
      </w:r>
      <w:r w:rsidRPr="009416FC">
        <w:rPr>
          <w:rFonts w:ascii="Times New Roman" w:hAnsi="Times New Roman"/>
          <w:bCs/>
        </w:rPr>
        <w:t>Terrorism 1999</w:t>
      </w:r>
      <w:r w:rsidRPr="009416FC">
        <w:rPr>
          <w:rFonts w:ascii="Times New Roman" w:hAnsi="Times New Roman"/>
          <w:b/>
          <w:bCs/>
        </w:rPr>
        <w:t xml:space="preserve"> </w:t>
      </w:r>
      <w:r w:rsidRPr="009416FC">
        <w:rPr>
          <w:rFonts w:ascii="Times New Roman" w:hAnsi="Times New Roman"/>
        </w:rPr>
        <w:t>art 1(3)(a).</w:t>
      </w:r>
    </w:p>
  </w:footnote>
  <w:footnote w:id="10">
    <w:p w14:paraId="6096DFC3" w14:textId="0BDA8D23"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ICC Statute 1988 art 8(2)(b)(iv) (‘widespread, long-term, and severe damage to the natural environment which would be clearly excessive’ to the military advantage anticipated, reflecting the test in API art 35(3)). </w:t>
      </w:r>
    </w:p>
  </w:footnote>
  <w:footnote w:id="11">
    <w:p w14:paraId="663D5BBC" w14:textId="04090ECC"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Hague Convention 1970 art 1(a).</w:t>
      </w:r>
    </w:p>
  </w:footnote>
  <w:footnote w:id="12">
    <w:p w14:paraId="5AF51CDA" w14:textId="10072A0C"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Montreal Convention 1971 art 1(c).</w:t>
      </w:r>
    </w:p>
  </w:footnote>
  <w:footnote w:id="13">
    <w:p w14:paraId="165CB2CB" w14:textId="711DC19D"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The latest ICTCs require states to criminalize commission, attempt, complicity, conspiracy, and organizing or directing; a few also a</w:t>
      </w:r>
      <w:r w:rsidR="009416FC">
        <w:rPr>
          <w:rFonts w:ascii="Times New Roman" w:hAnsi="Times New Roman"/>
        </w:rPr>
        <w:t>ddress threats and concealment</w:t>
      </w:r>
      <w:r w:rsidRPr="009416FC">
        <w:rPr>
          <w:rFonts w:ascii="Times New Roman" w:hAnsi="Times New Roman"/>
        </w:rPr>
        <w:t xml:space="preserve">. </w:t>
      </w:r>
    </w:p>
  </w:footnote>
  <w:footnote w:id="14">
    <w:p w14:paraId="7D43C506" w14:textId="1B3049BB"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ICRC Customary IHL Rule 195 (commission, attempt, assistance, facilitating, aiding or abetting, and planning or instigating).</w:t>
      </w:r>
    </w:p>
  </w:footnote>
  <w:footnote w:id="15">
    <w:p w14:paraId="038BE1D9" w14:textId="49593AB5"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UNSC res 1373 (2001) requires states to ‘bring to justice’ such persons, which the UNSC later interpreted to impose an ‘extradite or prosecute’ obligation: UNSC res 1456 (2003) para 3 and res 1566 (2004) para 2.</w:t>
      </w:r>
    </w:p>
  </w:footnote>
  <w:footnote w:id="16">
    <w:p w14:paraId="10983246" w14:textId="5259DA84"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UNSC res 1373 (2001) para 2(a) (refrain from supporting terrorism), (b) prevent terrorist acts, (c) deny safe haven), (d) (prevent use of territory for terrorism), and (g) prevent the movement of terrorists).</w:t>
      </w:r>
    </w:p>
  </w:footnote>
  <w:footnote w:id="17">
    <w:p w14:paraId="4A4F931F" w14:textId="3B6CAA0C"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See Ben Saul, </w:t>
      </w:r>
      <w:r w:rsidRPr="009416FC">
        <w:rPr>
          <w:rFonts w:ascii="Times New Roman" w:hAnsi="Times New Roman"/>
          <w:i/>
        </w:rPr>
        <w:t>Defining Terrorism in International Law</w:t>
      </w:r>
      <w:r w:rsidRPr="009416FC">
        <w:rPr>
          <w:rFonts w:ascii="Times New Roman" w:hAnsi="Times New Roman"/>
        </w:rPr>
        <w:t xml:space="preserve"> (OUP 2006) ch 2. </w:t>
      </w:r>
    </w:p>
  </w:footnote>
  <w:footnote w:id="18">
    <w:p w14:paraId="03E94B1F" w14:textId="6DBAA07A" w:rsidR="00391CF0" w:rsidRPr="009416FC" w:rsidRDefault="00391CF0" w:rsidP="009416FC">
      <w:pPr>
        <w:pStyle w:val="FootnoteText"/>
        <w:jc w:val="both"/>
        <w:rPr>
          <w:rFonts w:ascii="Times New Roman" w:hAnsi="Times New Roman"/>
          <w:lang w:val="en-US"/>
        </w:rPr>
      </w:pPr>
      <w:r w:rsidRPr="009416FC">
        <w:rPr>
          <w:rStyle w:val="FootnoteReference"/>
          <w:rFonts w:ascii="Times New Roman" w:hAnsi="Times New Roman"/>
        </w:rPr>
        <w:footnoteRef/>
      </w:r>
      <w:r w:rsidRPr="009416FC">
        <w:rPr>
          <w:rFonts w:ascii="Times New Roman" w:hAnsi="Times New Roman"/>
        </w:rPr>
        <w:t xml:space="preserve"> See eg</w:t>
      </w:r>
      <w:r w:rsidRPr="009416FC">
        <w:rPr>
          <w:rFonts w:ascii="Times New Roman" w:hAnsi="Times New Roman"/>
          <w:i/>
          <w:shd w:val="clear" w:color="auto" w:fill="FBFAF6"/>
        </w:rPr>
        <w:t xml:space="preserve"> Holder v Humanitarian Law Project</w:t>
      </w:r>
      <w:r w:rsidRPr="009416FC">
        <w:rPr>
          <w:rFonts w:ascii="Times New Roman" w:hAnsi="Times New Roman"/>
          <w:shd w:val="clear" w:color="auto" w:fill="FBFAF6"/>
        </w:rPr>
        <w:t>, 561 US (2010), Nos 08-1498 and 09-89 (21 June 2010);</w:t>
      </w:r>
      <w:r w:rsidRPr="009416FC">
        <w:rPr>
          <w:rFonts w:ascii="Times New Roman" w:hAnsi="Times New Roman"/>
        </w:rPr>
        <w:t xml:space="preserve"> </w:t>
      </w:r>
      <w:r w:rsidRPr="009416FC">
        <w:rPr>
          <w:rFonts w:ascii="Times New Roman" w:hAnsi="Times New Roman"/>
          <w:lang w:val="en-GB"/>
        </w:rPr>
        <w:t xml:space="preserve">Norwegian Refugee Council, </w:t>
      </w:r>
      <w:r w:rsidRPr="009416FC">
        <w:rPr>
          <w:rFonts w:ascii="Times New Roman" w:hAnsi="Times New Roman"/>
          <w:i/>
          <w:lang w:val="en-GB"/>
        </w:rPr>
        <w:t>Principles under Pressure: The Impact of Counterterrorism Measures and Preventing/Countering Violent Extremism on Principled Humanitarian Action</w:t>
      </w:r>
      <w:r w:rsidRPr="009416FC">
        <w:rPr>
          <w:rFonts w:ascii="Times New Roman" w:hAnsi="Times New Roman"/>
          <w:lang w:val="en-GB"/>
        </w:rPr>
        <w:t xml:space="preserve"> (2018).</w:t>
      </w:r>
    </w:p>
  </w:footnote>
  <w:footnote w:id="19">
    <w:p w14:paraId="14C9BCB0" w14:textId="52585A82"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GCIV arts 65-67.</w:t>
      </w:r>
    </w:p>
  </w:footnote>
  <w:footnote w:id="20">
    <w:p w14:paraId="6A074EBE" w14:textId="1AEF4006"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ICRC, ‘Terrorism and International Law: Challenges and Responses: The Complementary Nature of Human Rights Law, International Humanitarian Law and Refugee Law’ (2002).</w:t>
      </w:r>
    </w:p>
  </w:footnote>
  <w:footnote w:id="21">
    <w:p w14:paraId="3DFD3003" w14:textId="7AB068DE" w:rsidR="00391CF0" w:rsidRPr="009416FC" w:rsidRDefault="00391CF0" w:rsidP="009416FC">
      <w:pPr>
        <w:pStyle w:val="ListParagraph"/>
        <w:tabs>
          <w:tab w:val="left" w:pos="851"/>
        </w:tabs>
        <w:ind w:left="0"/>
        <w:contextualSpacing w:val="0"/>
        <w:rPr>
          <w:position w:val="0"/>
          <w:szCs w:val="20"/>
        </w:rPr>
      </w:pPr>
      <w:r w:rsidRPr="009416FC">
        <w:rPr>
          <w:rStyle w:val="FootnoteReference"/>
          <w:position w:val="0"/>
          <w:szCs w:val="20"/>
        </w:rPr>
        <w:footnoteRef/>
      </w:r>
      <w:r w:rsidRPr="009416FC">
        <w:rPr>
          <w:position w:val="0"/>
          <w:szCs w:val="20"/>
        </w:rPr>
        <w:t xml:space="preserve"> ICRC Commentary to GCI art 3 (2016) para 895. See also ICRC, ibid; ICRC, ‘The Applicability of IHL to Terrorism and Counterterrorism’ (2015); Jelena </w:t>
      </w:r>
      <w:r w:rsidR="00E70309" w:rsidRPr="009416FC">
        <w:rPr>
          <w:position w:val="0"/>
          <w:szCs w:val="20"/>
          <w:lang w:val="en-US"/>
        </w:rPr>
        <w:t>Pejic</w:t>
      </w:r>
      <w:r w:rsidRPr="009416FC">
        <w:rPr>
          <w:position w:val="0"/>
          <w:szCs w:val="20"/>
          <w:lang w:val="en-US"/>
        </w:rPr>
        <w:t xml:space="preserve">, ‘Armed Conflict and Terrorism’ in Ana Maria Salinas de Frias, Katja Samuel and Nigel White (eds), </w:t>
      </w:r>
      <w:r w:rsidRPr="009416FC">
        <w:rPr>
          <w:i/>
          <w:position w:val="0"/>
          <w:szCs w:val="20"/>
          <w:lang w:val="en-US"/>
        </w:rPr>
        <w:t>Counter-Terrorism: International Law and Practice</w:t>
      </w:r>
      <w:r w:rsidRPr="009416FC">
        <w:rPr>
          <w:position w:val="0"/>
          <w:szCs w:val="20"/>
          <w:lang w:val="en-US"/>
        </w:rPr>
        <w:t xml:space="preserve"> (OUP 2012) 171, 177; </w:t>
      </w:r>
      <w:r w:rsidRPr="009416FC">
        <w:rPr>
          <w:position w:val="0"/>
          <w:szCs w:val="20"/>
        </w:rPr>
        <w:t>Tristan Ferraro, ‘Interaction and Overlap between Counter-Terrorism Legislation and International Humanitarian Law’ in </w:t>
      </w:r>
      <w:r w:rsidRPr="009416FC">
        <w:rPr>
          <w:i/>
          <w:iCs/>
          <w:position w:val="0"/>
          <w:szCs w:val="20"/>
        </w:rPr>
        <w:t>Terrorism, Counter-Terrorism and International Humanitarian Law</w:t>
      </w:r>
      <w:r w:rsidRPr="009416FC">
        <w:rPr>
          <w:position w:val="0"/>
          <w:szCs w:val="20"/>
        </w:rPr>
        <w:t>, Proceedings of the Bruges Colloquium, 20–21 October 2016.</w:t>
      </w:r>
    </w:p>
  </w:footnote>
  <w:footnote w:id="22">
    <w:p w14:paraId="014938A8" w14:textId="5B2E7F36" w:rsidR="00391CF0" w:rsidRPr="009416FC" w:rsidRDefault="00391CF0" w:rsidP="009416FC">
      <w:pPr>
        <w:pStyle w:val="FootnoteText"/>
        <w:shd w:val="clear" w:color="auto" w:fill="FFFFFF" w:themeFill="background1"/>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ICRC, ‘The Applicability of IHL’, ibid; </w:t>
      </w:r>
      <w:r w:rsidRPr="009416FC">
        <w:rPr>
          <w:rFonts w:ascii="Times New Roman" w:hAnsi="Times New Roman"/>
          <w:lang w:val="en-US"/>
        </w:rPr>
        <w:t xml:space="preserve">Pejic, ibid; </w:t>
      </w:r>
      <w:r w:rsidRPr="009416FC">
        <w:rPr>
          <w:rFonts w:ascii="Times New Roman" w:hAnsi="Times New Roman"/>
        </w:rPr>
        <w:t>ICRC, ‘Terrorism and International Law’ (above n 19).</w:t>
      </w:r>
    </w:p>
  </w:footnote>
  <w:footnote w:id="23">
    <w:p w14:paraId="598CCD0A" w14:textId="04A77695"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APII art 6(5).</w:t>
      </w:r>
    </w:p>
  </w:footnote>
  <w:footnote w:id="24">
    <w:p w14:paraId="494D3C8B" w14:textId="3F3FD8B3" w:rsidR="00391CF0" w:rsidRPr="009416FC" w:rsidRDefault="00391CF0" w:rsidP="009416FC">
      <w:pPr>
        <w:pStyle w:val="FootnoteText"/>
        <w:shd w:val="clear" w:color="auto" w:fill="FFFFFF" w:themeFill="background1"/>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ICRC, ‘The Applicability of IHL’ (above n 20); </w:t>
      </w:r>
      <w:r w:rsidRPr="009416FC">
        <w:rPr>
          <w:rFonts w:ascii="Times New Roman" w:hAnsi="Times New Roman"/>
          <w:lang w:val="en-US"/>
        </w:rPr>
        <w:t xml:space="preserve">Pejic, ibid; </w:t>
      </w:r>
      <w:r w:rsidRPr="009416FC">
        <w:rPr>
          <w:rFonts w:ascii="Times New Roman" w:hAnsi="Times New Roman"/>
        </w:rPr>
        <w:t>ICRC, ‘Terrorism and International Law’ (above n 19).</w:t>
      </w:r>
    </w:p>
  </w:footnote>
  <w:footnote w:id="25">
    <w:p w14:paraId="6D3C56C7" w14:textId="5BB7160B"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Tokyo Convention 1963 art 1(4); Hague Convention 1970 art 3(2); Montreal Convention 1971 art 4; Maritime Safety Convention 1988 art 2.</w:t>
      </w:r>
    </w:p>
  </w:footnote>
  <w:footnote w:id="26">
    <w:p w14:paraId="3ED9F3F3" w14:textId="53D9C1D9" w:rsidR="00391CF0" w:rsidRPr="009416FC" w:rsidRDefault="00391CF0" w:rsidP="009416FC">
      <w:pPr>
        <w:pStyle w:val="FootnoteText"/>
        <w:jc w:val="both"/>
        <w:rPr>
          <w:rFonts w:ascii="Times New Roman" w:hAnsi="Times New Roman"/>
          <w:lang w:val="en-US"/>
        </w:rPr>
      </w:pPr>
      <w:r w:rsidRPr="009416FC">
        <w:rPr>
          <w:rStyle w:val="FootnoteReference"/>
          <w:rFonts w:ascii="Times New Roman" w:hAnsi="Times New Roman"/>
        </w:rPr>
        <w:footnoteRef/>
      </w:r>
      <w:r w:rsidRPr="009416FC">
        <w:rPr>
          <w:rFonts w:ascii="Times New Roman" w:hAnsi="Times New Roman"/>
        </w:rPr>
        <w:t xml:space="preserve"> </w:t>
      </w:r>
      <w:r w:rsidRPr="009416FC">
        <w:rPr>
          <w:rFonts w:ascii="Times New Roman" w:hAnsi="Times New Roman"/>
          <w:lang w:val="en-US"/>
        </w:rPr>
        <w:t>Airports Protocol 1988 art II.</w:t>
      </w:r>
    </w:p>
  </w:footnote>
  <w:footnote w:id="27">
    <w:p w14:paraId="4D99E251" w14:textId="63D2CACE" w:rsidR="00391CF0" w:rsidRPr="009416FC" w:rsidRDefault="00391CF0" w:rsidP="009416FC">
      <w:pPr>
        <w:pStyle w:val="FootnoteText"/>
        <w:jc w:val="both"/>
        <w:rPr>
          <w:rFonts w:ascii="Times New Roman" w:hAnsi="Times New Roman"/>
        </w:rPr>
      </w:pPr>
      <w:r w:rsidRPr="009416FC">
        <w:rPr>
          <w:rStyle w:val="FootnoteReference"/>
          <w:rFonts w:ascii="Times New Roman" w:eastAsiaTheme="majorEastAsia" w:hAnsi="Times New Roman"/>
        </w:rPr>
        <w:footnoteRef/>
      </w:r>
      <w:r w:rsidRPr="009416FC">
        <w:rPr>
          <w:rFonts w:ascii="Times New Roman" w:hAnsi="Times New Roman"/>
        </w:rPr>
        <w:t xml:space="preserve"> Fixed Platforms Protocol 1988 art 1(3) (fixed platforms on the continental shelf are defined as those for resource-related or economic purposes).</w:t>
      </w:r>
    </w:p>
  </w:footnote>
  <w:footnote w:id="28">
    <w:p w14:paraId="340CDD46" w14:textId="11B687F2"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See eg Chicago Convention 1944 art 3, which applies the Convention only to ‘civil’ aircraft and excludes ‘state aircraft’ (defined to include those used in military, customs, and police services).</w:t>
      </w:r>
    </w:p>
  </w:footnote>
  <w:footnote w:id="29">
    <w:p w14:paraId="1B8778DD" w14:textId="77777777"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Art 1(b). </w:t>
      </w:r>
    </w:p>
  </w:footnote>
  <w:footnote w:id="30">
    <w:p w14:paraId="2BECC150" w14:textId="0B34FB7D" w:rsidR="00391CF0" w:rsidRPr="009416FC" w:rsidRDefault="00391CF0" w:rsidP="009416FC">
      <w:pPr>
        <w:pStyle w:val="FootnoteText"/>
        <w:jc w:val="both"/>
        <w:rPr>
          <w:rFonts w:ascii="Times New Roman" w:hAnsi="Times New Roman"/>
        </w:rPr>
      </w:pPr>
      <w:r w:rsidRPr="009416FC">
        <w:rPr>
          <w:rStyle w:val="FootnoteReference"/>
          <w:rFonts w:ascii="Times New Roman" w:eastAsiaTheme="majorEastAsia" w:hAnsi="Times New Roman"/>
        </w:rPr>
        <w:footnoteRef/>
      </w:r>
      <w:r w:rsidRPr="009416FC">
        <w:rPr>
          <w:rFonts w:ascii="Times New Roman" w:hAnsi="Times New Roman"/>
        </w:rPr>
        <w:t xml:space="preserve"> ILC Study Group, Report on Fragmentation of International Law: Difficulties arising from the Diversification and Expansion of International Law, A/CN.4/L.682 (13 April 2006) para 58; see also para 111.</w:t>
      </w:r>
    </w:p>
  </w:footnote>
  <w:footnote w:id="31">
    <w:p w14:paraId="0F8C7D30" w14:textId="3956B72F" w:rsidR="00391CF0" w:rsidRPr="009416FC" w:rsidRDefault="00391CF0" w:rsidP="009416FC">
      <w:pPr>
        <w:pStyle w:val="FootnoteText"/>
        <w:jc w:val="both"/>
        <w:rPr>
          <w:rFonts w:ascii="Times New Roman" w:hAnsi="Times New Roman"/>
        </w:rPr>
      </w:pPr>
      <w:r w:rsidRPr="009416FC">
        <w:rPr>
          <w:rStyle w:val="FootnoteReference"/>
          <w:rFonts w:ascii="Times New Roman" w:eastAsiaTheme="majorEastAsia" w:hAnsi="Times New Roman"/>
        </w:rPr>
        <w:footnoteRef/>
      </w:r>
      <w:r w:rsidRPr="009416FC">
        <w:rPr>
          <w:rFonts w:ascii="Times New Roman" w:hAnsi="Times New Roman"/>
        </w:rPr>
        <w:t xml:space="preserve"> VCDR 1961 art 2(1). </w:t>
      </w:r>
    </w:p>
  </w:footnote>
  <w:footnote w:id="32">
    <w:p w14:paraId="1BAB587B" w14:textId="77777777" w:rsidR="00391CF0" w:rsidRPr="009416FC" w:rsidRDefault="00391CF0" w:rsidP="009416FC">
      <w:pPr>
        <w:pStyle w:val="FootnoteText"/>
        <w:jc w:val="both"/>
        <w:rPr>
          <w:rFonts w:ascii="Times New Roman" w:hAnsi="Times New Roman"/>
        </w:rPr>
      </w:pPr>
      <w:r w:rsidRPr="009416FC">
        <w:rPr>
          <w:rStyle w:val="FootnoteReference"/>
          <w:rFonts w:ascii="Times New Roman" w:eastAsiaTheme="majorEastAsia" w:hAnsi="Times New Roman"/>
        </w:rPr>
        <w:footnoteRef/>
      </w:r>
      <w:r w:rsidRPr="009416FC">
        <w:rPr>
          <w:rFonts w:ascii="Times New Roman" w:hAnsi="Times New Roman"/>
        </w:rPr>
        <w:t xml:space="preserve"> VCDR 1961 arts 29 and 22 respectively. </w:t>
      </w:r>
    </w:p>
  </w:footnote>
  <w:footnote w:id="33">
    <w:p w14:paraId="6ED0C249" w14:textId="5D8766E6" w:rsidR="00391CF0" w:rsidRPr="009416FC" w:rsidRDefault="00391CF0" w:rsidP="009416FC">
      <w:pPr>
        <w:pStyle w:val="FootnoteText"/>
        <w:jc w:val="both"/>
        <w:rPr>
          <w:rFonts w:ascii="Times New Roman" w:hAnsi="Times New Roman"/>
        </w:rPr>
      </w:pPr>
      <w:r w:rsidRPr="009416FC">
        <w:rPr>
          <w:rStyle w:val="FootnoteReference"/>
          <w:rFonts w:ascii="Times New Roman" w:eastAsiaTheme="majorEastAsia" w:hAnsi="Times New Roman"/>
        </w:rPr>
        <w:footnoteRef/>
      </w:r>
      <w:r w:rsidRPr="009416FC">
        <w:rPr>
          <w:rFonts w:ascii="Times New Roman" w:hAnsi="Times New Roman"/>
        </w:rPr>
        <w:t xml:space="preserve"> As argued by Laurie Blank, ‘The Limits of Inviolability: The Parameters for Protection of United Nations Facilities during Armed Conflict’ (2017) 93 ILS 45, 62.</w:t>
      </w:r>
    </w:p>
  </w:footnote>
  <w:footnote w:id="34">
    <w:p w14:paraId="3F9DAE8B" w14:textId="2317576F" w:rsidR="00391CF0" w:rsidRPr="009416FC" w:rsidRDefault="00391CF0" w:rsidP="009416FC">
      <w:pPr>
        <w:pStyle w:val="ListParagraph"/>
        <w:shd w:val="clear" w:color="auto" w:fill="FFFFFF" w:themeFill="background1"/>
        <w:tabs>
          <w:tab w:val="left" w:pos="851"/>
        </w:tabs>
        <w:ind w:left="0"/>
        <w:contextualSpacing w:val="0"/>
        <w:rPr>
          <w:position w:val="0"/>
          <w:szCs w:val="20"/>
        </w:rPr>
      </w:pPr>
      <w:r w:rsidRPr="009416FC">
        <w:rPr>
          <w:rStyle w:val="FootnoteReference"/>
          <w:position w:val="0"/>
          <w:szCs w:val="20"/>
        </w:rPr>
        <w:footnoteRef/>
      </w:r>
      <w:r w:rsidRPr="009416FC">
        <w:rPr>
          <w:position w:val="0"/>
          <w:szCs w:val="20"/>
        </w:rPr>
        <w:t xml:space="preserve"> The Protected Persons Convention 1973 applies to state officials who are entitled to special protection from attack under international law (that is, particularly under the VDCR 1961) at the time of the crime; as per the VCDR, a person abusing their diplomatic functions is still entitled to inviolability. It is unsettled whether personal self-defence (or defence of others) may justify interference: Eileen Denza, </w:t>
      </w:r>
      <w:r w:rsidRPr="009416FC">
        <w:rPr>
          <w:i/>
          <w:position w:val="0"/>
          <w:szCs w:val="20"/>
        </w:rPr>
        <w:t>Diplomatic </w:t>
      </w:r>
      <w:r w:rsidRPr="009416FC">
        <w:rPr>
          <w:bCs/>
          <w:i/>
          <w:position w:val="0"/>
          <w:szCs w:val="20"/>
        </w:rPr>
        <w:t>Law</w:t>
      </w:r>
      <w:r w:rsidRPr="009416FC">
        <w:rPr>
          <w:i/>
          <w:position w:val="0"/>
          <w:szCs w:val="20"/>
        </w:rPr>
        <w:t>: Commentary on the Vienna Convention on </w:t>
      </w:r>
      <w:r w:rsidRPr="009416FC">
        <w:rPr>
          <w:bCs/>
          <w:i/>
          <w:position w:val="0"/>
          <w:szCs w:val="20"/>
        </w:rPr>
        <w:t>Diplomatic Relations</w:t>
      </w:r>
      <w:r w:rsidRPr="009416FC">
        <w:rPr>
          <w:b/>
          <w:bCs/>
          <w:position w:val="0"/>
          <w:szCs w:val="20"/>
        </w:rPr>
        <w:t xml:space="preserve"> </w:t>
      </w:r>
      <w:r w:rsidRPr="009416FC">
        <w:rPr>
          <w:bCs/>
          <w:position w:val="0"/>
          <w:szCs w:val="20"/>
        </w:rPr>
        <w:t>(4</w:t>
      </w:r>
      <w:r w:rsidRPr="009416FC">
        <w:rPr>
          <w:bCs/>
          <w:position w:val="0"/>
          <w:szCs w:val="20"/>
          <w:vertAlign w:val="superscript"/>
        </w:rPr>
        <w:t>th</w:t>
      </w:r>
      <w:r w:rsidRPr="009416FC">
        <w:rPr>
          <w:bCs/>
          <w:position w:val="0"/>
          <w:szCs w:val="20"/>
        </w:rPr>
        <w:t xml:space="preserve"> edn OUP 2016)</w:t>
      </w:r>
      <w:r w:rsidRPr="009416FC">
        <w:rPr>
          <w:b/>
          <w:bCs/>
          <w:position w:val="0"/>
          <w:szCs w:val="20"/>
        </w:rPr>
        <w:t xml:space="preserve"> </w:t>
      </w:r>
      <w:r w:rsidRPr="009416FC">
        <w:rPr>
          <w:position w:val="0"/>
          <w:szCs w:val="20"/>
        </w:rPr>
        <w:t>123</w:t>
      </w:r>
      <w:r w:rsidRPr="009416FC">
        <w:rPr>
          <w:rFonts w:eastAsia="Times New Roman"/>
          <w:iCs/>
          <w:position w:val="0"/>
          <w:szCs w:val="20"/>
          <w:lang w:eastAsia="en-AU" w:bidi="ne-NP"/>
        </w:rPr>
        <w:t>.</w:t>
      </w:r>
    </w:p>
  </w:footnote>
  <w:footnote w:id="35">
    <w:p w14:paraId="1F3DDBB9" w14:textId="36E7502A" w:rsidR="00391CF0" w:rsidRPr="009416FC" w:rsidRDefault="00391CF0" w:rsidP="009416FC">
      <w:pPr>
        <w:pStyle w:val="FootnoteText"/>
        <w:jc w:val="both"/>
        <w:rPr>
          <w:rFonts w:ascii="Times New Roman" w:hAnsi="Times New Roman"/>
        </w:rPr>
      </w:pPr>
      <w:r w:rsidRPr="009416FC">
        <w:rPr>
          <w:rStyle w:val="FootnoteReference"/>
          <w:rFonts w:ascii="Times New Roman" w:eastAsiaTheme="majorEastAsia" w:hAnsi="Times New Roman"/>
        </w:rPr>
        <w:footnoteRef/>
      </w:r>
      <w:r w:rsidRPr="009416FC">
        <w:rPr>
          <w:rFonts w:ascii="Times New Roman" w:hAnsi="Times New Roman"/>
        </w:rPr>
        <w:t xml:space="preserve"> </w:t>
      </w:r>
      <w:r w:rsidRPr="009416FC">
        <w:rPr>
          <w:rFonts w:ascii="Times New Roman" w:hAnsi="Times New Roman"/>
          <w:i/>
          <w:iCs/>
        </w:rPr>
        <w:t>Tehran Hostages Case</w:t>
      </w:r>
      <w:r w:rsidRPr="009416FC">
        <w:rPr>
          <w:rFonts w:ascii="Times New Roman" w:hAnsi="Times New Roman"/>
        </w:rPr>
        <w:t> (1980) ICJ Reports 3 at paras 83–87.</w:t>
      </w:r>
    </w:p>
  </w:footnote>
  <w:footnote w:id="36">
    <w:p w14:paraId="23230341" w14:textId="03DF079E" w:rsidR="00391CF0" w:rsidRPr="009416FC" w:rsidRDefault="00391CF0" w:rsidP="009416FC">
      <w:pPr>
        <w:pStyle w:val="FootnoteText"/>
        <w:jc w:val="both"/>
        <w:rPr>
          <w:rFonts w:ascii="Times New Roman" w:hAnsi="Times New Roman"/>
        </w:rPr>
      </w:pPr>
      <w:r w:rsidRPr="009416FC">
        <w:rPr>
          <w:rStyle w:val="FootnoteReference"/>
          <w:rFonts w:ascii="Times New Roman" w:eastAsiaTheme="majorEastAsia" w:hAnsi="Times New Roman"/>
        </w:rPr>
        <w:footnoteRef/>
      </w:r>
      <w:r w:rsidR="00E70309" w:rsidRPr="009416FC">
        <w:rPr>
          <w:rFonts w:ascii="Times New Roman" w:hAnsi="Times New Roman"/>
        </w:rPr>
        <w:t xml:space="preserve"> Denza (above n 33</w:t>
      </w:r>
      <w:r w:rsidRPr="009416FC">
        <w:rPr>
          <w:rFonts w:ascii="Times New Roman" w:hAnsi="Times New Roman"/>
        </w:rPr>
        <w:t>) 123.</w:t>
      </w:r>
    </w:p>
  </w:footnote>
  <w:footnote w:id="37">
    <w:p w14:paraId="7E6066A4" w14:textId="2AC1F3A3"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See eg </w:t>
      </w:r>
      <w:r w:rsidRPr="009416FC">
        <w:rPr>
          <w:rFonts w:ascii="Times New Roman" w:hAnsi="Times New Roman"/>
          <w:i/>
          <w:iCs/>
          <w:lang w:eastAsia="en-AU" w:bidi="ne-NP"/>
        </w:rPr>
        <w:t>Eritrea-Ethiopia Claims Commission – Partial Award: Diplomatic Claim, Eritrea’s Claim 20</w:t>
      </w:r>
      <w:r w:rsidRPr="009416FC">
        <w:rPr>
          <w:rFonts w:ascii="Times New Roman" w:hAnsi="Times New Roman"/>
          <w:iCs/>
          <w:lang w:eastAsia="en-AU" w:bidi="ne-NP"/>
        </w:rPr>
        <w:t xml:space="preserve">, </w:t>
      </w:r>
      <w:r w:rsidRPr="009416FC">
        <w:rPr>
          <w:rFonts w:ascii="Times New Roman" w:hAnsi="Times New Roman"/>
        </w:rPr>
        <w:t xml:space="preserve">Partial Award of 19 December 2005, XXVI RIAA 381, paras 45-46 (absolute inviolability of embassy, even if it had been used to stockpile weapons for the war effort in an IAC); </w:t>
      </w:r>
      <w:r w:rsidRPr="009416FC">
        <w:rPr>
          <w:rFonts w:ascii="Times New Roman" w:hAnsi="Times New Roman"/>
          <w:bCs/>
          <w:i/>
        </w:rPr>
        <w:t>Von Dardel v Union of Soviet Socialist Republics</w:t>
      </w:r>
      <w:r w:rsidRPr="009416FC">
        <w:rPr>
          <w:rFonts w:ascii="Times New Roman" w:hAnsi="Times New Roman"/>
          <w:bCs/>
        </w:rPr>
        <w:t>, 623 F Supp 246 (DDC 1985) 262 (US awarded damages in an alien tort claim to f</w:t>
      </w:r>
      <w:r w:rsidRPr="009416FC">
        <w:rPr>
          <w:rFonts w:ascii="Times New Roman" w:hAnsi="Times New Roman"/>
          <w:iCs/>
          <w:lang w:eastAsia="en-AU" w:bidi="ne-NP"/>
        </w:rPr>
        <w:t xml:space="preserve">or the kidnapping and possible murder of the Swedish diplomat, Raoul Wallenberg, by Soviet forces in occupied Hungary in 1945, in contravention of a domestic statute implementing the Protected Persons Convention); </w:t>
      </w:r>
      <w:r w:rsidRPr="009416FC">
        <w:rPr>
          <w:rFonts w:ascii="Times New Roman" w:hAnsi="Times New Roman"/>
        </w:rPr>
        <w:t>UNSC Debate concerning Letter dated 7 May 1999 from China to the SC President (S/1999/523), S/PV.4000 (8 May 1999) (China argued that a mistaken attack by NATO forces on its Yugoslav embassy violated the Protected Persons Convention, in addition to being a war crime); Sanchez Frias (above n 2) 74 (US extradition under the Protected Persons Convention of a suspected murderer of a US diplomat in an armed conflict in Mali).</w:t>
      </w:r>
    </w:p>
  </w:footnote>
  <w:footnote w:id="38">
    <w:p w14:paraId="20F8BE8B" w14:textId="46FCB089"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GCIV arts 34 and 146-147.</w:t>
      </w:r>
    </w:p>
  </w:footnote>
  <w:footnote w:id="39">
    <w:p w14:paraId="01B2A069" w14:textId="2722BE5D" w:rsidR="00391CF0" w:rsidRPr="009416FC" w:rsidRDefault="00391CF0" w:rsidP="009416FC">
      <w:pPr>
        <w:tabs>
          <w:tab w:val="left" w:pos="851"/>
        </w:tabs>
        <w:outlineLvl w:val="0"/>
        <w:rPr>
          <w:position w:val="0"/>
          <w:szCs w:val="20"/>
        </w:rPr>
      </w:pPr>
      <w:r w:rsidRPr="009416FC">
        <w:rPr>
          <w:rStyle w:val="FootnoteReference"/>
          <w:position w:val="0"/>
          <w:szCs w:val="20"/>
        </w:rPr>
        <w:footnoteRef/>
      </w:r>
      <w:r w:rsidRPr="009416FC">
        <w:rPr>
          <w:position w:val="0"/>
          <w:szCs w:val="20"/>
        </w:rPr>
        <w:t xml:space="preserve"> Hostages Convention 1979 art 12.</w:t>
      </w:r>
    </w:p>
  </w:footnote>
  <w:footnote w:id="40">
    <w:p w14:paraId="3CC07B51" w14:textId="31552DE0" w:rsidR="00391CF0" w:rsidRPr="009416FC" w:rsidRDefault="00391CF0" w:rsidP="009416FC">
      <w:pPr>
        <w:pStyle w:val="ListParagraph"/>
        <w:shd w:val="clear" w:color="auto" w:fill="FFFFFF" w:themeFill="background1"/>
        <w:tabs>
          <w:tab w:val="left" w:pos="851"/>
        </w:tabs>
        <w:ind w:left="0"/>
        <w:contextualSpacing w:val="0"/>
        <w:rPr>
          <w:b/>
          <w:position w:val="0"/>
          <w:szCs w:val="20"/>
        </w:rPr>
      </w:pPr>
      <w:r w:rsidRPr="009416FC">
        <w:rPr>
          <w:rStyle w:val="FootnoteReference"/>
          <w:position w:val="0"/>
          <w:szCs w:val="20"/>
        </w:rPr>
        <w:footnoteRef/>
      </w:r>
      <w:r w:rsidRPr="009416FC">
        <w:rPr>
          <w:position w:val="0"/>
          <w:szCs w:val="20"/>
        </w:rPr>
        <w:t xml:space="preserve"> Specifically, where a hostage is not (i) a protected person under GCIV art 4, including nationals of the state party, a co-belligerent state, or a neutral state, or (ii) within the expanded categories protected by API art 85(2) (</w:t>
      </w:r>
      <w:r w:rsidRPr="009416FC">
        <w:rPr>
          <w:position w:val="0"/>
          <w:szCs w:val="20"/>
          <w:lang w:val="en-US"/>
        </w:rPr>
        <w:t xml:space="preserve">including prisoners of war, other captured persons who took part in hostilities, </w:t>
      </w:r>
      <w:r w:rsidRPr="009416FC">
        <w:rPr>
          <w:position w:val="0"/>
          <w:szCs w:val="20"/>
        </w:rPr>
        <w:t xml:space="preserve">stateless persons and refugees, and the wounded, sick and ship wrecked of the other party). </w:t>
      </w:r>
    </w:p>
  </w:footnote>
  <w:footnote w:id="41">
    <w:p w14:paraId="3F479B7C" w14:textId="77777777"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Four Geneva Conventions 1949, Common Article 3(1)(b); APII article 4(2)(c); Rome Statute article 8(2)(c)(iii) (NIAC); Jean Marie Henckaerts and Louise Doswald-Beck (eds), </w:t>
      </w:r>
      <w:r w:rsidRPr="009416FC">
        <w:rPr>
          <w:rFonts w:ascii="Times New Roman" w:hAnsi="Times New Roman"/>
          <w:i/>
        </w:rPr>
        <w:t>Customary International Humanitarian Law</w:t>
      </w:r>
      <w:r w:rsidRPr="009416FC">
        <w:rPr>
          <w:rFonts w:ascii="Times New Roman" w:hAnsi="Times New Roman"/>
        </w:rPr>
        <w:t xml:space="preserve">, </w:t>
      </w:r>
      <w:r w:rsidRPr="009416FC">
        <w:rPr>
          <w:rFonts w:ascii="Times New Roman" w:hAnsi="Times New Roman"/>
          <w:i/>
        </w:rPr>
        <w:t>Volume I: Rules</w:t>
      </w:r>
      <w:r w:rsidRPr="009416FC">
        <w:rPr>
          <w:rFonts w:ascii="Times New Roman" w:hAnsi="Times New Roman"/>
        </w:rPr>
        <w:t xml:space="preserve"> (CUP 2005) (CIHL) rule 96.</w:t>
      </w:r>
    </w:p>
  </w:footnote>
  <w:footnote w:id="42">
    <w:p w14:paraId="3924B259" w14:textId="77777777" w:rsidR="00391CF0" w:rsidRPr="009416FC" w:rsidRDefault="00391CF0" w:rsidP="009416FC">
      <w:pPr>
        <w:pStyle w:val="FootnoteText"/>
        <w:jc w:val="both"/>
        <w:rPr>
          <w:rFonts w:ascii="Times New Roman" w:hAnsi="Times New Roman"/>
        </w:rPr>
      </w:pPr>
      <w:r w:rsidRPr="009416FC">
        <w:rPr>
          <w:rStyle w:val="FootnoteReference"/>
          <w:rFonts w:ascii="Times New Roman" w:eastAsiaTheme="majorEastAsia" w:hAnsi="Times New Roman"/>
        </w:rPr>
        <w:footnoteRef/>
      </w:r>
      <w:r w:rsidRPr="009416FC">
        <w:rPr>
          <w:rFonts w:ascii="Times New Roman" w:hAnsi="Times New Roman"/>
        </w:rPr>
        <w:t xml:space="preserve"> Verwey 85.</w:t>
      </w:r>
    </w:p>
  </w:footnote>
  <w:footnote w:id="43">
    <w:p w14:paraId="4FDAD30D" w14:textId="0489FBCA"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See generally Wil Verwey, ‘The International Hostages Convention and National Liberation Movements’ (1981) 75 AJIL 69; </w:t>
      </w:r>
      <w:r w:rsidRPr="009416FC">
        <w:rPr>
          <w:rFonts w:ascii="Times New Roman" w:hAnsi="Times New Roman"/>
          <w:lang w:val="en-US"/>
        </w:rPr>
        <w:t xml:space="preserve">Joseph Lambert, </w:t>
      </w:r>
      <w:r w:rsidRPr="009416FC">
        <w:rPr>
          <w:rFonts w:ascii="Times New Roman" w:hAnsi="Times New Roman"/>
          <w:i/>
          <w:lang w:val="en-US"/>
        </w:rPr>
        <w:t>Terrorism and Hostages in International Law: A Commentary on the Hostages Convention 1979</w:t>
      </w:r>
      <w:r w:rsidRPr="009416FC">
        <w:rPr>
          <w:rFonts w:ascii="Times New Roman" w:hAnsi="Times New Roman"/>
          <w:lang w:val="en-US"/>
        </w:rPr>
        <w:t xml:space="preserve"> (Grotius 1990) </w:t>
      </w:r>
      <w:r w:rsidRPr="009416FC">
        <w:rPr>
          <w:rFonts w:ascii="Times New Roman" w:hAnsi="Times New Roman"/>
        </w:rPr>
        <w:t>266-273.</w:t>
      </w:r>
    </w:p>
  </w:footnote>
  <w:footnote w:id="44">
    <w:p w14:paraId="75F46FF1" w14:textId="5D235FC6" w:rsidR="00391CF0" w:rsidRPr="009416FC" w:rsidRDefault="00391CF0" w:rsidP="009416FC">
      <w:pPr>
        <w:pStyle w:val="FootnoteText"/>
        <w:jc w:val="both"/>
        <w:rPr>
          <w:rFonts w:ascii="Times New Roman" w:hAnsi="Times New Roman"/>
          <w:lang w:val="en-US"/>
        </w:rPr>
      </w:pPr>
      <w:r w:rsidRPr="009416FC">
        <w:rPr>
          <w:rStyle w:val="FootnoteReference"/>
          <w:rFonts w:ascii="Times New Roman" w:eastAsiaTheme="majorEastAsia" w:hAnsi="Times New Roman"/>
        </w:rPr>
        <w:footnoteRef/>
      </w:r>
      <w:r w:rsidRPr="009416FC">
        <w:rPr>
          <w:rFonts w:ascii="Times New Roman" w:hAnsi="Times New Roman"/>
        </w:rPr>
        <w:t xml:space="preserve"> </w:t>
      </w:r>
      <w:r w:rsidRPr="009416FC">
        <w:rPr>
          <w:rFonts w:ascii="Times New Roman" w:hAnsi="Times New Roman"/>
          <w:lang w:val="en-US"/>
        </w:rPr>
        <w:t>Terrorist Financing Convention 1999 art 2(1)(b).</w:t>
      </w:r>
    </w:p>
  </w:footnote>
  <w:footnote w:id="45">
    <w:p w14:paraId="5ADAF10E" w14:textId="2E4134BA"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w:t>
      </w:r>
      <w:r w:rsidRPr="009416FC">
        <w:rPr>
          <w:rFonts w:ascii="Times New Roman" w:hAnsi="Times New Roman"/>
          <w:i/>
        </w:rPr>
        <w:t xml:space="preserve">Bouyahia Maher Ben Abdelaziz et al, </w:t>
      </w:r>
      <w:r w:rsidRPr="009416FC">
        <w:rPr>
          <w:rFonts w:ascii="Times New Roman" w:hAnsi="Times New Roman"/>
        </w:rPr>
        <w:t>Italian Court of Cassation (Penal Section), No 1072, 17 January 2007.</w:t>
      </w:r>
    </w:p>
  </w:footnote>
  <w:footnote w:id="46">
    <w:p w14:paraId="299E3DEC" w14:textId="2E6B19D9" w:rsidR="00391CF0" w:rsidRPr="009416FC" w:rsidRDefault="00391CF0" w:rsidP="009416FC">
      <w:pPr>
        <w:pStyle w:val="FootnoteText"/>
        <w:jc w:val="both"/>
        <w:rPr>
          <w:rFonts w:ascii="Times New Roman" w:hAnsi="Times New Roman"/>
        </w:rPr>
      </w:pPr>
      <w:r w:rsidRPr="009416FC">
        <w:rPr>
          <w:rStyle w:val="FootnoteReference"/>
          <w:rFonts w:ascii="Times New Roman" w:eastAsiaTheme="majorEastAsia" w:hAnsi="Times New Roman"/>
        </w:rPr>
        <w:footnoteRef/>
      </w:r>
      <w:r w:rsidRPr="009416FC">
        <w:rPr>
          <w:rFonts w:ascii="Times New Roman" w:hAnsi="Times New Roman"/>
        </w:rPr>
        <w:t xml:space="preserve"> Terrorist Financing Convention 1999 art 2(1)(a) and (b) respectively.</w:t>
      </w:r>
    </w:p>
  </w:footnote>
  <w:footnote w:id="47">
    <w:p w14:paraId="0B28C4A9" w14:textId="3B367F0E"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Terrorist Bombings Convention 1997 art 19(2); </w:t>
      </w:r>
      <w:r w:rsidRPr="009416FC">
        <w:rPr>
          <w:rFonts w:ascii="Times New Roman" w:hAnsi="Times New Roman"/>
          <w:iCs/>
        </w:rPr>
        <w:t>Nuclear Terrorism Convention 2005</w:t>
      </w:r>
      <w:r w:rsidRPr="009416FC">
        <w:rPr>
          <w:rFonts w:ascii="Times New Roman" w:hAnsi="Times New Roman"/>
        </w:rPr>
        <w:t xml:space="preserve"> art 4(2); Nuclear Material Convention 1980 (as amended by the Amendment 2005) art 2(4)(b); Hague Convention 1970 (as amended by the Beijing Protocol 2010) art 3 </w:t>
      </w:r>
      <w:r w:rsidRPr="009416FC">
        <w:rPr>
          <w:rFonts w:ascii="Times New Roman" w:hAnsi="Times New Roman"/>
          <w:i/>
        </w:rPr>
        <w:t>bis</w:t>
      </w:r>
      <w:r w:rsidRPr="009416FC">
        <w:rPr>
          <w:rFonts w:ascii="Times New Roman" w:hAnsi="Times New Roman"/>
        </w:rPr>
        <w:t xml:space="preserve">; Rome Convention 1988 (as amended by the Protocol 2005) art 2 </w:t>
      </w:r>
      <w:r w:rsidRPr="009416FC">
        <w:rPr>
          <w:rFonts w:ascii="Times New Roman" w:hAnsi="Times New Roman"/>
          <w:i/>
          <w:iCs/>
        </w:rPr>
        <w:t xml:space="preserve">bis </w:t>
      </w:r>
      <w:r w:rsidRPr="009416FC">
        <w:rPr>
          <w:rFonts w:ascii="Times New Roman" w:hAnsi="Times New Roman"/>
        </w:rPr>
        <w:t xml:space="preserve">(2); Beijing Convention 2010 art 6(2). </w:t>
      </w:r>
    </w:p>
  </w:footnote>
  <w:footnote w:id="48">
    <w:p w14:paraId="4442B817" w14:textId="2CA6B950" w:rsidR="00391CF0" w:rsidRPr="009416FC" w:rsidRDefault="00391CF0" w:rsidP="009416FC">
      <w:pPr>
        <w:pStyle w:val="FootnoteText"/>
        <w:jc w:val="both"/>
        <w:rPr>
          <w:rFonts w:ascii="Times New Roman" w:hAnsi="Times New Roman"/>
          <w:shd w:val="clear" w:color="auto" w:fill="FFFFFF"/>
        </w:rPr>
      </w:pPr>
      <w:r w:rsidRPr="009416FC">
        <w:rPr>
          <w:rStyle w:val="FootnoteReference"/>
          <w:rFonts w:ascii="Times New Roman" w:eastAsiaTheme="majorEastAsia" w:hAnsi="Times New Roman"/>
        </w:rPr>
        <w:footnoteRef/>
      </w:r>
      <w:r w:rsidRPr="009416FC">
        <w:rPr>
          <w:rFonts w:ascii="Times New Roman" w:hAnsi="Times New Roman"/>
        </w:rPr>
        <w:t xml:space="preserve"> As under the Canadian Criminal Code </w:t>
      </w:r>
      <w:r w:rsidRPr="009416FC">
        <w:rPr>
          <w:rStyle w:val="Hyperlink"/>
          <w:rFonts w:ascii="Times New Roman" w:hAnsi="Times New Roman"/>
          <w:color w:val="auto"/>
          <w:u w:val="none"/>
        </w:rPr>
        <w:t>s 83.01(1</w:t>
      </w:r>
      <w:r w:rsidRPr="009416FC">
        <w:rPr>
          <w:rFonts w:ascii="Times New Roman" w:hAnsi="Times New Roman"/>
        </w:rPr>
        <w:t xml:space="preserve">): see </w:t>
      </w:r>
      <w:r w:rsidRPr="009416FC">
        <w:rPr>
          <w:rFonts w:ascii="Times New Roman" w:hAnsi="Times New Roman"/>
          <w:i/>
        </w:rPr>
        <w:t xml:space="preserve">R v </w:t>
      </w:r>
      <w:r w:rsidRPr="009416FC">
        <w:rPr>
          <w:rFonts w:ascii="Times New Roman" w:hAnsi="Times New Roman"/>
          <w:i/>
          <w:shd w:val="clear" w:color="auto" w:fill="FFFFFF"/>
        </w:rPr>
        <w:t>Khawaja</w:t>
      </w:r>
      <w:r w:rsidRPr="009416FC">
        <w:rPr>
          <w:rFonts w:ascii="Times New Roman" w:hAnsi="Times New Roman"/>
          <w:shd w:val="clear" w:color="auto" w:fill="FFFFFF"/>
        </w:rPr>
        <w:t>, [2012] 3 SCR 555 (‘since the armed conflict exception functions as a defence, the accused must raise it and make a </w:t>
      </w:r>
      <w:r w:rsidRPr="009416FC">
        <w:rPr>
          <w:rFonts w:ascii="Times New Roman" w:hAnsi="Times New Roman"/>
          <w:i/>
          <w:iCs/>
          <w:shd w:val="clear" w:color="auto" w:fill="FFFFFF"/>
        </w:rPr>
        <w:t>prima facie </w:t>
      </w:r>
      <w:r w:rsidRPr="009416FC">
        <w:rPr>
          <w:rFonts w:ascii="Times New Roman" w:hAnsi="Times New Roman"/>
          <w:shd w:val="clear" w:color="auto" w:fill="FFFFFF"/>
        </w:rPr>
        <w:t>case that it applies’).</w:t>
      </w:r>
    </w:p>
  </w:footnote>
  <w:footnote w:id="49">
    <w:p w14:paraId="4E9D1B94" w14:textId="77777777"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GCIII art 4A(1).</w:t>
      </w:r>
    </w:p>
  </w:footnote>
  <w:footnote w:id="50">
    <w:p w14:paraId="7C37D2B4" w14:textId="77777777"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GCIII art 4A(2) and API art 43(1).</w:t>
      </w:r>
    </w:p>
  </w:footnote>
  <w:footnote w:id="51">
    <w:p w14:paraId="049B50B6" w14:textId="77777777"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API art 43(3).</w:t>
      </w:r>
    </w:p>
  </w:footnote>
  <w:footnote w:id="52">
    <w:p w14:paraId="5573F968" w14:textId="77777777"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API art 44(3).</w:t>
      </w:r>
    </w:p>
  </w:footnote>
  <w:footnote w:id="53">
    <w:p w14:paraId="5D33F9D3" w14:textId="77777777"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API art 1(4).</w:t>
      </w:r>
    </w:p>
  </w:footnote>
  <w:footnote w:id="54">
    <w:p w14:paraId="2E03F4D6" w14:textId="131FF8B9"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GCIII art 4A(6).</w:t>
      </w:r>
      <w:r w:rsidRPr="009416FC">
        <w:rPr>
          <w:rFonts w:ascii="Times New Roman" w:hAnsi="Times New Roman"/>
          <w:color w:val="FF0000"/>
        </w:rPr>
        <w:t xml:space="preserve"> </w:t>
      </w:r>
      <w:r w:rsidRPr="009416FC">
        <w:rPr>
          <w:rFonts w:ascii="Times New Roman" w:hAnsi="Times New Roman"/>
        </w:rPr>
        <w:t>Such persons are neither regular nor irregular forces under GCIII, and do not qualify as armed forces under AP I because they are neither under a command responsible to the state nor subject to an internal disciplinary system. They are, however, ‘belligerents’ under the Hague Regulations 1907 art 2.</w:t>
      </w:r>
    </w:p>
  </w:footnote>
  <w:footnote w:id="55">
    <w:p w14:paraId="4EF7B0DC" w14:textId="162EBB35" w:rsidR="00391CF0" w:rsidRPr="009416FC" w:rsidRDefault="00391CF0" w:rsidP="009416FC">
      <w:pPr>
        <w:pStyle w:val="FootnoteText"/>
        <w:jc w:val="both"/>
        <w:rPr>
          <w:rFonts w:ascii="Times New Roman" w:hAnsi="Times New Roman"/>
          <w:lang w:val="en-US"/>
        </w:rPr>
      </w:pPr>
      <w:r w:rsidRPr="009416FC">
        <w:rPr>
          <w:rStyle w:val="FootnoteReference"/>
          <w:rFonts w:ascii="Times New Roman" w:hAnsi="Times New Roman"/>
        </w:rPr>
        <w:footnoteRef/>
      </w:r>
      <w:r w:rsidRPr="009416FC">
        <w:rPr>
          <w:rFonts w:ascii="Times New Roman" w:hAnsi="Times New Roman"/>
        </w:rPr>
        <w:t xml:space="preserve"> </w:t>
      </w:r>
      <w:r w:rsidRPr="009416FC">
        <w:rPr>
          <w:rFonts w:ascii="Times New Roman" w:hAnsi="Times New Roman"/>
          <w:lang w:val="en-US"/>
        </w:rPr>
        <w:t>Pejic (above n 20) 189.</w:t>
      </w:r>
    </w:p>
  </w:footnote>
  <w:footnote w:id="56">
    <w:p w14:paraId="0F48D70C" w14:textId="7283B5CF" w:rsidR="00391CF0" w:rsidRPr="009416FC" w:rsidRDefault="00391CF0" w:rsidP="009416FC">
      <w:pPr>
        <w:pStyle w:val="FootnoteText"/>
        <w:jc w:val="both"/>
        <w:rPr>
          <w:rFonts w:ascii="Times New Roman" w:hAnsi="Times New Roman"/>
          <w:lang w:val="en-US"/>
        </w:rPr>
      </w:pPr>
      <w:r w:rsidRPr="009416FC">
        <w:rPr>
          <w:rStyle w:val="FootnoteReference"/>
          <w:rFonts w:ascii="Times New Roman" w:hAnsi="Times New Roman"/>
        </w:rPr>
        <w:footnoteRef/>
      </w:r>
      <w:r w:rsidRPr="009416FC">
        <w:rPr>
          <w:rFonts w:ascii="Times New Roman" w:hAnsi="Times New Roman"/>
        </w:rPr>
        <w:t xml:space="preserve"> </w:t>
      </w:r>
      <w:r w:rsidRPr="009416FC">
        <w:rPr>
          <w:rFonts w:ascii="Times New Roman" w:hAnsi="Times New Roman"/>
          <w:lang w:val="en-US"/>
        </w:rPr>
        <w:t>O’Donnell (above n 2) 866.</w:t>
      </w:r>
    </w:p>
  </w:footnote>
  <w:footnote w:id="57">
    <w:p w14:paraId="2A0BB2AE" w14:textId="35DA1B16"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APII art 1.</w:t>
      </w:r>
    </w:p>
  </w:footnote>
  <w:footnote w:id="58">
    <w:p w14:paraId="7A30F77B" w14:textId="7D7C3CA7" w:rsidR="00391CF0" w:rsidRPr="009416FC" w:rsidRDefault="00391CF0" w:rsidP="009416FC">
      <w:pPr>
        <w:pStyle w:val="FootnoteText"/>
        <w:jc w:val="both"/>
        <w:rPr>
          <w:rFonts w:ascii="Times New Roman" w:hAnsi="Times New Roman"/>
          <w:lang w:val="en-US"/>
        </w:rPr>
      </w:pPr>
      <w:r w:rsidRPr="009416FC">
        <w:rPr>
          <w:rStyle w:val="FootnoteReference"/>
          <w:rFonts w:ascii="Times New Roman" w:eastAsiaTheme="majorEastAsia" w:hAnsi="Times New Roman"/>
        </w:rPr>
        <w:footnoteRef/>
      </w:r>
      <w:r w:rsidRPr="009416FC">
        <w:rPr>
          <w:rFonts w:ascii="Times New Roman" w:hAnsi="Times New Roman"/>
        </w:rPr>
        <w:t xml:space="preserve"> </w:t>
      </w:r>
      <w:r w:rsidRPr="009416FC">
        <w:rPr>
          <w:rFonts w:ascii="Times New Roman" w:hAnsi="Times New Roman"/>
          <w:lang w:val="en-US"/>
        </w:rPr>
        <w:t>Pejic (above n 20) 189.</w:t>
      </w:r>
    </w:p>
  </w:footnote>
  <w:footnote w:id="59">
    <w:p w14:paraId="4AF72FAA" w14:textId="1E5E4124" w:rsidR="00391CF0" w:rsidRPr="009416FC" w:rsidRDefault="00391CF0" w:rsidP="009416FC">
      <w:pPr>
        <w:shd w:val="clear" w:color="auto" w:fill="FFFFFF" w:themeFill="background1"/>
        <w:rPr>
          <w:position w:val="0"/>
          <w:szCs w:val="20"/>
        </w:rPr>
      </w:pPr>
      <w:r w:rsidRPr="009416FC">
        <w:rPr>
          <w:rStyle w:val="FootnoteReference"/>
          <w:position w:val="0"/>
          <w:szCs w:val="20"/>
        </w:rPr>
        <w:footnoteRef/>
      </w:r>
      <w:r w:rsidRPr="009416FC">
        <w:rPr>
          <w:position w:val="0"/>
          <w:szCs w:val="20"/>
        </w:rPr>
        <w:t xml:space="preserve"> As in the drafting of the Terrorist Bombings Convention (see </w:t>
      </w:r>
      <w:r w:rsidRPr="009416FC">
        <w:rPr>
          <w:position w:val="0"/>
          <w:szCs w:val="20"/>
          <w:lang w:val="en-US"/>
        </w:rPr>
        <w:t xml:space="preserve">Ad Hoc Committee </w:t>
      </w:r>
      <w:r w:rsidRPr="009416FC">
        <w:rPr>
          <w:position w:val="0"/>
          <w:szCs w:val="20"/>
        </w:rPr>
        <w:t>established by UNGA res 51/210 (17 December 1996)</w:t>
      </w:r>
      <w:r w:rsidRPr="009416FC">
        <w:rPr>
          <w:position w:val="0"/>
          <w:szCs w:val="20"/>
          <w:lang w:val="en-US"/>
        </w:rPr>
        <w:t>, Report, A/52/37 (1997) 32 (Netherlands), 43 (Switzerland), 53</w:t>
      </w:r>
      <w:r w:rsidR="00E70309" w:rsidRPr="009416FC">
        <w:rPr>
          <w:position w:val="0"/>
          <w:szCs w:val="20"/>
          <w:lang w:val="en-US"/>
        </w:rPr>
        <w:t>)</w:t>
      </w:r>
      <w:r w:rsidRPr="009416FC">
        <w:rPr>
          <w:position w:val="0"/>
          <w:szCs w:val="20"/>
          <w:lang w:val="en-US"/>
        </w:rPr>
        <w:t xml:space="preserve">; Working Group, Report on Measures to Eliminate International Terrorism, A/C.6/52/L.3 (10 October 1997) 31 and 40 (Belgium)) and </w:t>
      </w:r>
      <w:r w:rsidRPr="009416FC">
        <w:rPr>
          <w:position w:val="0"/>
          <w:szCs w:val="20"/>
        </w:rPr>
        <w:t>the Beijing Protocol 2010 and Beijing Convention 2010 (see Damien van der Toorn, ‘September 11 Inspired Aviation Counter-terrorism Convention and Protocol Adopted’ (2010) 15(3) ASIL Insights). Belgium proposed a bifurcated approach, by which state armed forces would be excluded, but other (non-state) forces would only be excluded if ‘acting in accordance with’ IHL: Working Group Report, infra 31.</w:t>
      </w:r>
    </w:p>
  </w:footnote>
  <w:footnote w:id="60">
    <w:p w14:paraId="492ED070" w14:textId="37EE54D2" w:rsidR="00391CF0" w:rsidRPr="009416FC" w:rsidRDefault="00391CF0" w:rsidP="009416FC">
      <w:pPr>
        <w:pStyle w:val="FootnoteText"/>
        <w:jc w:val="both"/>
        <w:rPr>
          <w:rFonts w:ascii="Times New Roman" w:hAnsi="Times New Roman"/>
        </w:rPr>
      </w:pPr>
      <w:r w:rsidRPr="009416FC">
        <w:rPr>
          <w:rStyle w:val="FootnoteReference"/>
          <w:rFonts w:ascii="Times New Roman" w:eastAsiaTheme="majorEastAsia" w:hAnsi="Times New Roman"/>
        </w:rPr>
        <w:footnoteRef/>
      </w:r>
      <w:r w:rsidRPr="009416FC">
        <w:rPr>
          <w:rFonts w:ascii="Times New Roman" w:hAnsi="Times New Roman"/>
        </w:rPr>
        <w:t xml:space="preserve"> </w:t>
      </w:r>
      <w:r w:rsidRPr="009416FC">
        <w:rPr>
          <w:rFonts w:ascii="Times New Roman" w:hAnsi="Times New Roman"/>
          <w:i/>
        </w:rPr>
        <w:t>Prosecutor v Tadić</w:t>
      </w:r>
      <w:r w:rsidRPr="009416FC">
        <w:rPr>
          <w:rFonts w:ascii="Times New Roman" w:hAnsi="Times New Roman"/>
        </w:rPr>
        <w:t xml:space="preserve">, IT-, Appeal Chamber Decision (Interlocutory Appeal on Jurisdiction) (2 October 1995) para 70. </w:t>
      </w:r>
    </w:p>
  </w:footnote>
  <w:footnote w:id="61">
    <w:p w14:paraId="23FF2724" w14:textId="07A9C2EB" w:rsidR="00391CF0" w:rsidRPr="009416FC" w:rsidRDefault="00391CF0" w:rsidP="009416FC">
      <w:pPr>
        <w:pStyle w:val="FootnoteText"/>
        <w:jc w:val="both"/>
        <w:rPr>
          <w:rFonts w:ascii="Times New Roman" w:hAnsi="Times New Roman"/>
        </w:rPr>
      </w:pPr>
      <w:r w:rsidRPr="009416FC">
        <w:rPr>
          <w:rStyle w:val="FootnoteReference"/>
          <w:rFonts w:ascii="Times New Roman" w:eastAsiaTheme="majorEastAsia" w:hAnsi="Times New Roman"/>
        </w:rPr>
        <w:footnoteRef/>
      </w:r>
      <w:r w:rsidRPr="009416FC">
        <w:rPr>
          <w:rFonts w:ascii="Times New Roman" w:hAnsi="Times New Roman"/>
        </w:rPr>
        <w:t xml:space="preserve"> </w:t>
      </w:r>
      <w:r w:rsidRPr="009416FC">
        <w:rPr>
          <w:rFonts w:ascii="Times New Roman" w:hAnsi="Times New Roman"/>
          <w:i/>
        </w:rPr>
        <w:t>Prosecutor v Kunarac</w:t>
      </w:r>
      <w:r w:rsidRPr="009416FC">
        <w:rPr>
          <w:rFonts w:ascii="Times New Roman" w:hAnsi="Times New Roman"/>
        </w:rPr>
        <w:t>, IT-96-23 and IT-96-23/1-A, Appeals Chamber Judgment (12 June 2002) para 59.</w:t>
      </w:r>
    </w:p>
  </w:footnote>
  <w:footnote w:id="62">
    <w:p w14:paraId="2D18CE24" w14:textId="77777777" w:rsidR="00391CF0" w:rsidRPr="009416FC" w:rsidRDefault="00391CF0" w:rsidP="009416FC">
      <w:pPr>
        <w:autoSpaceDE w:val="0"/>
        <w:autoSpaceDN w:val="0"/>
        <w:adjustRightInd w:val="0"/>
        <w:rPr>
          <w:position w:val="0"/>
          <w:szCs w:val="20"/>
        </w:rPr>
      </w:pPr>
      <w:r w:rsidRPr="009416FC">
        <w:rPr>
          <w:rStyle w:val="FootnoteReference"/>
          <w:position w:val="0"/>
          <w:szCs w:val="20"/>
        </w:rPr>
        <w:footnoteRef/>
      </w:r>
      <w:r w:rsidRPr="009416FC">
        <w:rPr>
          <w:position w:val="0"/>
          <w:szCs w:val="20"/>
        </w:rPr>
        <w:t xml:space="preserve"> Ad Hoc Committee established by UNGA res 51/210 (17 December 1996)</w:t>
      </w:r>
      <w:r w:rsidRPr="009416FC">
        <w:rPr>
          <w:position w:val="0"/>
          <w:szCs w:val="20"/>
          <w:lang w:val="en-US"/>
        </w:rPr>
        <w:t xml:space="preserve">, Report, </w:t>
      </w:r>
      <w:r w:rsidRPr="009416FC">
        <w:rPr>
          <w:position w:val="0"/>
          <w:szCs w:val="20"/>
        </w:rPr>
        <w:t>A/57/37 (2002) annex IV, 17 and A/58/37 (2003) 11-12.</w:t>
      </w:r>
    </w:p>
  </w:footnote>
  <w:footnote w:id="63">
    <w:p w14:paraId="67334E6A" w14:textId="10C51373"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See eg </w:t>
      </w:r>
      <w:r w:rsidRPr="009416FC">
        <w:rPr>
          <w:rFonts w:ascii="Times New Roman" w:hAnsi="Times New Roman"/>
          <w:lang w:eastAsia="en-AU" w:bidi="ne-NP"/>
        </w:rPr>
        <w:t>Hague Regulations 1907,</w:t>
      </w:r>
      <w:r w:rsidRPr="009416FC">
        <w:rPr>
          <w:rFonts w:ascii="Times New Roman" w:hAnsi="Times New Roman"/>
        </w:rPr>
        <w:t xml:space="preserve"> four Geneva Conventions 1949, API and APII; as well as the ICRC customary IHL study.</w:t>
      </w:r>
    </w:p>
  </w:footnote>
  <w:footnote w:id="64">
    <w:p w14:paraId="606A7375" w14:textId="412C9251"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See eg GCIII art 4(2) and API art 43.</w:t>
      </w:r>
    </w:p>
  </w:footnote>
  <w:footnote w:id="65">
    <w:p w14:paraId="16FF9D7F" w14:textId="13EC955C"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In contrast, APII refers only to (state) High Contracting Parties, not also parties to the conflict; art 1 then refers to conflicts between (state) ‘armed forces’ and ‘dissident armed forces’ or ‘other organized armed groups’.</w:t>
      </w:r>
    </w:p>
  </w:footnote>
  <w:footnote w:id="66">
    <w:p w14:paraId="043BB9BC" w14:textId="1969774E" w:rsidR="00391CF0" w:rsidRPr="009416FC" w:rsidRDefault="00391CF0" w:rsidP="009416FC">
      <w:pPr>
        <w:pStyle w:val="FootnoteText"/>
        <w:jc w:val="both"/>
        <w:rPr>
          <w:rFonts w:ascii="Times New Roman" w:hAnsi="Times New Roman"/>
          <w:lang w:val="en-US"/>
        </w:rPr>
      </w:pPr>
      <w:r w:rsidRPr="009416FC">
        <w:rPr>
          <w:rStyle w:val="FootnoteReference"/>
          <w:rFonts w:ascii="Times New Roman" w:hAnsi="Times New Roman"/>
        </w:rPr>
        <w:footnoteRef/>
      </w:r>
      <w:r w:rsidRPr="009416FC">
        <w:rPr>
          <w:rFonts w:ascii="Times New Roman" w:hAnsi="Times New Roman"/>
        </w:rPr>
        <w:t xml:space="preserve"> </w:t>
      </w:r>
      <w:r w:rsidRPr="009416FC">
        <w:rPr>
          <w:rFonts w:ascii="Times New Roman" w:hAnsi="Times New Roman"/>
          <w:lang w:val="en-US"/>
        </w:rPr>
        <w:t>Pejic (above n 20) 192.</w:t>
      </w:r>
    </w:p>
  </w:footnote>
  <w:footnote w:id="67">
    <w:p w14:paraId="70122CFE" w14:textId="77777777" w:rsidR="00391CF0" w:rsidRPr="009416FC" w:rsidRDefault="00391CF0" w:rsidP="009416FC">
      <w:pPr>
        <w:pStyle w:val="FootnoteText"/>
        <w:jc w:val="both"/>
        <w:rPr>
          <w:rFonts w:ascii="Times New Roman" w:hAnsi="Times New Roman"/>
          <w:lang w:val="en-US"/>
        </w:rPr>
      </w:pPr>
      <w:r w:rsidRPr="009416FC">
        <w:rPr>
          <w:rStyle w:val="FootnoteReference"/>
          <w:rFonts w:ascii="Times New Roman" w:hAnsi="Times New Roman"/>
        </w:rPr>
        <w:footnoteRef/>
      </w:r>
      <w:r w:rsidRPr="009416FC">
        <w:rPr>
          <w:rFonts w:ascii="Times New Roman" w:hAnsi="Times New Roman"/>
        </w:rPr>
        <w:t xml:space="preserve"> </w:t>
      </w:r>
      <w:r w:rsidRPr="009416FC">
        <w:rPr>
          <w:rFonts w:ascii="Times New Roman" w:hAnsi="Times New Roman"/>
          <w:lang w:val="en-US"/>
        </w:rPr>
        <w:t>Ibid 193.</w:t>
      </w:r>
    </w:p>
  </w:footnote>
  <w:footnote w:id="68">
    <w:p w14:paraId="0454F481" w14:textId="54C1CEB8" w:rsidR="00391CF0" w:rsidRPr="009416FC" w:rsidRDefault="00391CF0" w:rsidP="009416FC">
      <w:pPr>
        <w:rPr>
          <w:position w:val="0"/>
          <w:szCs w:val="20"/>
        </w:rPr>
      </w:pPr>
      <w:r w:rsidRPr="009416FC">
        <w:rPr>
          <w:rStyle w:val="FootnoteReference"/>
          <w:position w:val="0"/>
          <w:szCs w:val="20"/>
        </w:rPr>
        <w:footnoteRef/>
      </w:r>
      <w:r w:rsidRPr="009416FC">
        <w:rPr>
          <w:position w:val="0"/>
          <w:szCs w:val="20"/>
        </w:rPr>
        <w:t xml:space="preserve"> See eg Christian Walter, ‘Defining Terrorism in National and International Law’ in Christian Walter et al (eds), </w:t>
      </w:r>
      <w:r w:rsidRPr="009416FC">
        <w:rPr>
          <w:i/>
          <w:position w:val="0"/>
          <w:szCs w:val="20"/>
        </w:rPr>
        <w:t>Terrorism as a Challenge for National and International Law</w:t>
      </w:r>
      <w:r w:rsidRPr="009416FC">
        <w:rPr>
          <w:position w:val="0"/>
          <w:szCs w:val="20"/>
        </w:rPr>
        <w:t xml:space="preserve"> (Springer 2003) 23, 39-40.</w:t>
      </w:r>
    </w:p>
  </w:footnote>
  <w:footnote w:id="69">
    <w:p w14:paraId="41D0226F" w14:textId="3BCC3B24"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Sandesh Sivakumaran, </w:t>
      </w:r>
      <w:r w:rsidRPr="009416FC">
        <w:rPr>
          <w:rFonts w:ascii="Times New Roman" w:hAnsi="Times New Roman"/>
          <w:i/>
        </w:rPr>
        <w:t>The Law of Non-International Armed Conflict</w:t>
      </w:r>
      <w:r w:rsidRPr="009416FC">
        <w:rPr>
          <w:rFonts w:ascii="Times New Roman" w:hAnsi="Times New Roman"/>
        </w:rPr>
        <w:t xml:space="preserve"> (OUP 2012) 180.</w:t>
      </w:r>
    </w:p>
  </w:footnote>
  <w:footnote w:id="70">
    <w:p w14:paraId="5435731C" w14:textId="141B72E6"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For example, persons detained by the separate civil components of an armed group, or treated in its hospitals, or prosecuted in its courts, </w:t>
      </w:r>
      <w:r w:rsidR="001C196E" w:rsidRPr="009416FC">
        <w:rPr>
          <w:rFonts w:ascii="Times New Roman" w:hAnsi="Times New Roman"/>
        </w:rPr>
        <w:t>may</w:t>
      </w:r>
      <w:r w:rsidRPr="009416FC">
        <w:rPr>
          <w:rFonts w:ascii="Times New Roman" w:hAnsi="Times New Roman"/>
        </w:rPr>
        <w:t xml:space="preserve"> not be protected by CA3.</w:t>
      </w:r>
    </w:p>
  </w:footnote>
  <w:footnote w:id="71">
    <w:p w14:paraId="623669FC" w14:textId="490C12B5" w:rsidR="00391CF0" w:rsidRPr="009416FC" w:rsidRDefault="00391CF0" w:rsidP="009416FC">
      <w:pPr>
        <w:pStyle w:val="FootnoteText"/>
        <w:jc w:val="both"/>
        <w:rPr>
          <w:rFonts w:ascii="Times New Roman" w:hAnsi="Times New Roman"/>
          <w:lang w:val="en-US"/>
        </w:rPr>
      </w:pPr>
      <w:r w:rsidRPr="009416FC">
        <w:rPr>
          <w:rStyle w:val="FootnoteReference"/>
          <w:rFonts w:ascii="Times New Roman" w:hAnsi="Times New Roman"/>
        </w:rPr>
        <w:footnoteRef/>
      </w:r>
      <w:r w:rsidRPr="009416FC">
        <w:rPr>
          <w:rFonts w:ascii="Times New Roman" w:hAnsi="Times New Roman"/>
        </w:rPr>
        <w:t xml:space="preserve"> </w:t>
      </w:r>
      <w:r w:rsidRPr="009416FC">
        <w:rPr>
          <w:rFonts w:ascii="Times New Roman" w:hAnsi="Times New Roman"/>
          <w:lang w:val="en-US"/>
        </w:rPr>
        <w:t>Pejic (above n 20) 189, 193.</w:t>
      </w:r>
    </w:p>
  </w:footnote>
  <w:footnote w:id="72">
    <w:p w14:paraId="005DAF34" w14:textId="4FED7610" w:rsidR="00391CF0" w:rsidRPr="009416FC" w:rsidRDefault="00391CF0" w:rsidP="009416FC">
      <w:pPr>
        <w:pStyle w:val="FootnoteText"/>
        <w:jc w:val="both"/>
        <w:rPr>
          <w:rFonts w:ascii="Times New Roman" w:hAnsi="Times New Roman"/>
          <w:lang w:val="en-GB"/>
        </w:rPr>
      </w:pPr>
      <w:r w:rsidRPr="009416FC">
        <w:rPr>
          <w:rStyle w:val="FootnoteReference"/>
          <w:rFonts w:ascii="Times New Roman" w:hAnsi="Times New Roman"/>
        </w:rPr>
        <w:footnoteRef/>
      </w:r>
      <w:r w:rsidRPr="009416FC">
        <w:rPr>
          <w:rFonts w:ascii="Times New Roman" w:hAnsi="Times New Roman"/>
        </w:rPr>
        <w:t xml:space="preserve"> </w:t>
      </w:r>
      <w:r w:rsidRPr="009416FC">
        <w:rPr>
          <w:rFonts w:ascii="Times New Roman" w:hAnsi="Times New Roman"/>
          <w:lang w:val="en-GB"/>
        </w:rPr>
        <w:t xml:space="preserve">UNSC res 1566 (2004) para 3 is predicated on ICTC offences combined with additional general elements but it does not deal with conduct beyond ICTC offences. </w:t>
      </w:r>
    </w:p>
  </w:footnote>
  <w:footnote w:id="73">
    <w:p w14:paraId="40C3E2D0" w14:textId="206D1B1A"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See eg UNSC resolutions 2178 (2014), 2396 (2017) and 2462 (2019).</w:t>
      </w:r>
      <w:r w:rsidR="001C196E" w:rsidRPr="009416FC">
        <w:rPr>
          <w:rFonts w:ascii="Times New Roman" w:hAnsi="Times New Roman"/>
        </w:rPr>
        <w:t xml:space="preserve"> </w:t>
      </w:r>
    </w:p>
  </w:footnote>
  <w:footnote w:id="74">
    <w:p w14:paraId="6852F81E" w14:textId="3DAC1F67"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Report of the Special Rapporteur on the promotion and protection of human rights and fundamental freedoms while countering terrorism (Fionnuala Ní Aoláin), A/73/45453 (3 September 2018) para 37.</w:t>
      </w:r>
    </w:p>
  </w:footnote>
  <w:footnote w:id="75">
    <w:p w14:paraId="72B2DB19" w14:textId="5DF40992" w:rsidR="00391CF0" w:rsidRPr="009416FC" w:rsidRDefault="00391CF0" w:rsidP="009416FC">
      <w:pPr>
        <w:pStyle w:val="FootnoteText"/>
        <w:jc w:val="both"/>
        <w:rPr>
          <w:rFonts w:ascii="Times New Roman" w:hAnsi="Times New Roman"/>
        </w:rPr>
      </w:pPr>
      <w:r w:rsidRPr="009416FC">
        <w:rPr>
          <w:rStyle w:val="FootnoteReference"/>
          <w:rFonts w:ascii="Times New Roman" w:eastAsiaTheme="majorEastAsia" w:hAnsi="Times New Roman"/>
        </w:rPr>
        <w:footnoteRef/>
      </w:r>
      <w:r w:rsidRPr="009416FC">
        <w:rPr>
          <w:rFonts w:ascii="Times New Roman" w:hAnsi="Times New Roman"/>
        </w:rPr>
        <w:t xml:space="preserve"> UNSC resolutions 2462 (2019) para 24 and </w:t>
      </w:r>
      <w:r w:rsidRPr="009416FC">
        <w:rPr>
          <w:rFonts w:ascii="Times New Roman" w:hAnsi="Times New Roman"/>
          <w:bCs/>
          <w:iCs/>
          <w:spacing w:val="3"/>
          <w:lang w:val="en-GB"/>
        </w:rPr>
        <w:t xml:space="preserve">2482 (2019) para 16. See also </w:t>
      </w:r>
      <w:r w:rsidRPr="009416FC">
        <w:rPr>
          <w:rFonts w:ascii="Times New Roman" w:hAnsi="Times New Roman"/>
        </w:rPr>
        <w:t>Report of the UN Secretary-General on the Protection of Civilians in Armed Conflict’, S/2010/579 (11 November 2010) para 57.</w:t>
      </w:r>
    </w:p>
  </w:footnote>
  <w:footnote w:id="76">
    <w:p w14:paraId="1A04D416" w14:textId="77777777"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ICRC Customary IHL Rules 55, 56, 31-32 respectively.</w:t>
      </w:r>
    </w:p>
  </w:footnote>
  <w:footnote w:id="77">
    <w:p w14:paraId="464911DB" w14:textId="77777777"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ICRC Customary IHL Rules 110 and 25-30 respectively.</w:t>
      </w:r>
    </w:p>
  </w:footnote>
  <w:footnote w:id="78">
    <w:p w14:paraId="46EB79AB" w14:textId="5ED0A8CA" w:rsidR="00391CF0" w:rsidRPr="009416FC" w:rsidRDefault="00391CF0" w:rsidP="009416FC">
      <w:pPr>
        <w:pStyle w:val="FootnoteText"/>
        <w:jc w:val="both"/>
        <w:rPr>
          <w:rFonts w:ascii="Times New Roman" w:hAnsi="Times New Roman"/>
          <w:lang w:val="en-US"/>
        </w:rPr>
      </w:pPr>
      <w:r w:rsidRPr="009416FC">
        <w:rPr>
          <w:rStyle w:val="FootnoteReference"/>
          <w:rFonts w:ascii="Times New Roman" w:eastAsiaTheme="majorEastAsia" w:hAnsi="Times New Roman"/>
        </w:rPr>
        <w:footnoteRef/>
      </w:r>
      <w:r w:rsidRPr="009416FC">
        <w:rPr>
          <w:rFonts w:ascii="Times New Roman" w:hAnsi="Times New Roman"/>
        </w:rPr>
        <w:t xml:space="preserve"> EU Directive</w:t>
      </w:r>
      <w:r w:rsidRPr="009416FC">
        <w:rPr>
          <w:rFonts w:ascii="Times New Roman" w:hAnsi="Times New Roman"/>
          <w:bCs/>
        </w:rPr>
        <w:t xml:space="preserve"> of 15 March 2017 on Combating Terrorism, </w:t>
      </w:r>
      <w:r w:rsidRPr="009416FC">
        <w:rPr>
          <w:rFonts w:ascii="Times New Roman" w:hAnsi="Times New Roman"/>
        </w:rPr>
        <w:t xml:space="preserve">recital 37; see also the superseded </w:t>
      </w:r>
      <w:r w:rsidRPr="009416FC">
        <w:rPr>
          <w:rFonts w:ascii="Times New Roman" w:hAnsi="Times New Roman"/>
          <w:iCs/>
        </w:rPr>
        <w:t>EU Framework Decision on Combating Terrorism of 13 June 2002, recital 11.</w:t>
      </w:r>
      <w:r w:rsidRPr="009416FC">
        <w:rPr>
          <w:rFonts w:ascii="Times New Roman" w:hAnsi="Times New Roman"/>
        </w:rPr>
        <w:t xml:space="preserve"> </w:t>
      </w:r>
    </w:p>
  </w:footnote>
  <w:footnote w:id="79">
    <w:p w14:paraId="075AA0B2" w14:textId="77777777" w:rsidR="00391CF0" w:rsidRPr="009416FC" w:rsidRDefault="00391CF0" w:rsidP="009416FC">
      <w:pPr>
        <w:pStyle w:val="FootnoteText"/>
        <w:jc w:val="both"/>
        <w:rPr>
          <w:rFonts w:ascii="Times New Roman" w:hAnsi="Times New Roman"/>
          <w:b/>
          <w:lang w:val="en-US"/>
        </w:rPr>
      </w:pPr>
      <w:r w:rsidRPr="009416FC">
        <w:rPr>
          <w:rStyle w:val="FootnoteReference"/>
          <w:rFonts w:ascii="Times New Roman" w:eastAsiaTheme="majorEastAsia" w:hAnsi="Times New Roman"/>
        </w:rPr>
        <w:footnoteRef/>
      </w:r>
      <w:r w:rsidRPr="009416FC">
        <w:rPr>
          <w:rFonts w:ascii="Times New Roman" w:hAnsi="Times New Roman"/>
        </w:rPr>
        <w:t xml:space="preserve"> </w:t>
      </w:r>
      <w:r w:rsidRPr="009416FC">
        <w:rPr>
          <w:rStyle w:val="Strong"/>
          <w:rFonts w:ascii="Times New Roman" w:hAnsi="Times New Roman"/>
          <w:b w:val="0"/>
        </w:rPr>
        <w:t>Council of Europe Convention on the Prevention of Terrorism 2005 art 26(5).</w:t>
      </w:r>
    </w:p>
  </w:footnote>
  <w:footnote w:id="80">
    <w:p w14:paraId="7D7598B8" w14:textId="5A74FB40" w:rsidR="00391CF0" w:rsidRPr="009416FC" w:rsidRDefault="00391CF0" w:rsidP="009416FC">
      <w:pPr>
        <w:pStyle w:val="FootnoteText"/>
        <w:jc w:val="both"/>
        <w:rPr>
          <w:rFonts w:ascii="Times New Roman" w:hAnsi="Times New Roman"/>
          <w:color w:val="FF0000"/>
        </w:rPr>
      </w:pPr>
      <w:r w:rsidRPr="009416FC">
        <w:rPr>
          <w:rStyle w:val="FootnoteReference"/>
          <w:rFonts w:ascii="Times New Roman" w:hAnsi="Times New Roman"/>
        </w:rPr>
        <w:footnoteRef/>
      </w:r>
      <w:r w:rsidRPr="009416FC">
        <w:rPr>
          <w:rFonts w:ascii="Times New Roman" w:hAnsi="Times New Roman"/>
        </w:rPr>
        <w:t xml:space="preserve"> See eg </w:t>
      </w:r>
      <w:r w:rsidRPr="009416FC">
        <w:rPr>
          <w:rFonts w:ascii="Times New Roman" w:hAnsi="Times New Roman"/>
          <w:lang w:val="en-US"/>
        </w:rPr>
        <w:t>Chamber of Indictments of the Court of Appeal of Brussels, 8 March 2019 (applying the Belgian Criminal Code art 141bis</w:t>
      </w:r>
      <w:r w:rsidRPr="009416FC">
        <w:rPr>
          <w:rFonts w:ascii="Times New Roman" w:hAnsi="Times New Roman"/>
        </w:rPr>
        <w:t xml:space="preserve">, </w:t>
      </w:r>
      <w:r w:rsidRPr="009416FC">
        <w:rPr>
          <w:rFonts w:ascii="Times New Roman" w:hAnsi="Times New Roman"/>
          <w:shd w:val="clear" w:color="auto" w:fill="FFFFFF"/>
        </w:rPr>
        <w:t xml:space="preserve">implementing the EU law, to </w:t>
      </w:r>
      <w:r w:rsidRPr="009416FC">
        <w:rPr>
          <w:rFonts w:ascii="Times New Roman" w:hAnsi="Times New Roman"/>
        </w:rPr>
        <w:t xml:space="preserve">acquit Kurdistan Workers’ Party members on the basis that the PKK was a party to a NIAC and was not engaged in terrorist offences outside of it); see also </w:t>
      </w:r>
      <w:r w:rsidRPr="009416FC">
        <w:rPr>
          <w:rFonts w:ascii="Times New Roman" w:hAnsi="Times New Roman"/>
          <w:i/>
        </w:rPr>
        <w:t>Republic of</w:t>
      </w:r>
      <w:r w:rsidRPr="009416FC">
        <w:rPr>
          <w:rFonts w:ascii="Times New Roman" w:hAnsi="Times New Roman"/>
        </w:rPr>
        <w:t xml:space="preserve"> </w:t>
      </w:r>
      <w:r w:rsidRPr="009416FC">
        <w:rPr>
          <w:rFonts w:ascii="Times New Roman" w:hAnsi="Times New Roman"/>
          <w:i/>
        </w:rPr>
        <w:t>Italy v TJ (aka Kumar) and 29 Others</w:t>
      </w:r>
      <w:r w:rsidRPr="009416FC">
        <w:rPr>
          <w:rFonts w:ascii="Times New Roman" w:hAnsi="Times New Roman"/>
        </w:rPr>
        <w:t xml:space="preserve">, Court of Naples, 23 June 2011; District </w:t>
      </w:r>
      <w:r w:rsidRPr="009416FC">
        <w:rPr>
          <w:rFonts w:ascii="Times New Roman" w:hAnsi="Times New Roman"/>
          <w:shd w:val="clear" w:color="auto" w:fill="FFFFFF"/>
        </w:rPr>
        <w:t xml:space="preserve">Court of The Hague, Judgement of </w:t>
      </w:r>
      <w:r w:rsidRPr="009416FC">
        <w:rPr>
          <w:rFonts w:ascii="Times New Roman" w:hAnsi="Times New Roman"/>
          <w:spacing w:val="2"/>
          <w:shd w:val="clear" w:color="auto" w:fill="FCFCFC"/>
        </w:rPr>
        <w:t>21 October 2011 (</w:t>
      </w:r>
      <w:r w:rsidRPr="009416FC">
        <w:rPr>
          <w:rFonts w:ascii="Times New Roman" w:hAnsi="Times New Roman"/>
          <w:shd w:val="clear" w:color="auto" w:fill="FFFFFF"/>
        </w:rPr>
        <w:t>ECLI: NL: RBSGR: 2011: BU2066 and BT8829).</w:t>
      </w:r>
    </w:p>
    <w:p w14:paraId="2370BF36" w14:textId="77777777" w:rsidR="00391CF0" w:rsidRPr="009416FC" w:rsidRDefault="00391CF0" w:rsidP="009416FC">
      <w:pPr>
        <w:pStyle w:val="FootnoteText"/>
        <w:jc w:val="both"/>
        <w:rPr>
          <w:rFonts w:ascii="Times New Roman" w:hAnsi="Times New Roman"/>
        </w:rPr>
      </w:pPr>
    </w:p>
  </w:footnote>
  <w:footnote w:id="81">
    <w:p w14:paraId="22CC9597" w14:textId="3D0E7237"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w:t>
      </w:r>
      <w:r w:rsidRPr="009416FC">
        <w:rPr>
          <w:rFonts w:ascii="Times New Roman" w:hAnsi="Times New Roman"/>
          <w:i/>
        </w:rPr>
        <w:t>Italy v TJ</w:t>
      </w:r>
      <w:r w:rsidRPr="009416FC">
        <w:rPr>
          <w:rFonts w:ascii="Times New Roman" w:hAnsi="Times New Roman"/>
        </w:rPr>
        <w:t xml:space="preserve"> ibid.</w:t>
      </w:r>
    </w:p>
  </w:footnote>
  <w:footnote w:id="82">
    <w:p w14:paraId="4D86F7E3" w14:textId="2DC656DB"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Terrorist Financing Convention 1999 art 21; see similarly Terrorist Bombings Convention 1997 art 19(1); Nuclear Terrorism Convention 2005 art 4(3); Protocol 2005 to the Maritime Safety Convention 1988 art 3; Beijing Protocol 2010 art 6 (amending the Hague Convention 1970); Beijing Convention 2010 art 6(1) (consolidating the Montreal Convention 1971 and the Airports Protocol 1988).</w:t>
      </w:r>
    </w:p>
  </w:footnote>
  <w:footnote w:id="83">
    <w:p w14:paraId="7E5F06F5" w14:textId="0F98BF5C"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w:t>
      </w:r>
      <w:r w:rsidRPr="009416FC">
        <w:rPr>
          <w:rFonts w:ascii="Times New Roman" w:hAnsi="Times New Roman"/>
          <w:lang w:val="en-US"/>
        </w:rPr>
        <w:t>Working Group Report 1997</w:t>
      </w:r>
      <w:r w:rsidR="00E70309" w:rsidRPr="009416FC">
        <w:rPr>
          <w:rFonts w:ascii="Times New Roman" w:hAnsi="Times New Roman"/>
          <w:lang w:val="en-US"/>
        </w:rPr>
        <w:t xml:space="preserve"> (above n 58</w:t>
      </w:r>
      <w:r w:rsidRPr="009416FC">
        <w:rPr>
          <w:rFonts w:ascii="Times New Roman" w:hAnsi="Times New Roman"/>
          <w:lang w:val="en-US"/>
        </w:rPr>
        <w:t>) 31 (South Africa and Switzerland).</w:t>
      </w:r>
    </w:p>
  </w:footnote>
  <w:footnote w:id="84">
    <w:p w14:paraId="59C863A5" w14:textId="7F10A930"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w:t>
      </w:r>
      <w:r w:rsidRPr="009416FC">
        <w:rPr>
          <w:rFonts w:ascii="Times New Roman" w:hAnsi="Times New Roman"/>
          <w:lang w:val="en-US"/>
        </w:rPr>
        <w:t xml:space="preserve">Ad Hoc Committee </w:t>
      </w:r>
      <w:r w:rsidRPr="009416FC">
        <w:rPr>
          <w:rFonts w:ascii="Times New Roman" w:hAnsi="Times New Roman"/>
        </w:rPr>
        <w:t>established by UNGA res 51/210 (17 December 1996)</w:t>
      </w:r>
      <w:r w:rsidRPr="009416FC">
        <w:rPr>
          <w:rFonts w:ascii="Times New Roman" w:hAnsi="Times New Roman"/>
          <w:lang w:val="en-US"/>
        </w:rPr>
        <w:t xml:space="preserve">, Report, A/54/37 (1999) </w:t>
      </w:r>
      <w:r w:rsidRPr="009416FC">
        <w:rPr>
          <w:rFonts w:ascii="Times New Roman" w:hAnsi="Times New Roman"/>
        </w:rPr>
        <w:t>15, 42, 47 (France, Lebanon, Belgium).</w:t>
      </w:r>
    </w:p>
  </w:footnote>
  <w:footnote w:id="85">
    <w:p w14:paraId="7FA86499" w14:textId="672A6DE9"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Working Group, Report on Measures to Eliminate International Terrorism, A/C.6/54/L.2 (26 October 1999) 54 (Kuwait).</w:t>
      </w:r>
    </w:p>
  </w:footnote>
  <w:footnote w:id="86">
    <w:p w14:paraId="79F02FB6" w14:textId="77777777" w:rsidR="00391CF0" w:rsidRPr="009416FC" w:rsidRDefault="00391CF0" w:rsidP="009416FC">
      <w:pPr>
        <w:pStyle w:val="FootnoteText"/>
        <w:jc w:val="both"/>
        <w:rPr>
          <w:rFonts w:ascii="Times New Roman" w:hAnsi="Times New Roman"/>
          <w:lang w:val="en-US"/>
        </w:rPr>
      </w:pPr>
      <w:r w:rsidRPr="009416FC">
        <w:rPr>
          <w:rStyle w:val="FootnoteReference"/>
          <w:rFonts w:ascii="Times New Roman" w:hAnsi="Times New Roman"/>
        </w:rPr>
        <w:footnoteRef/>
      </w:r>
      <w:r w:rsidRPr="009416FC">
        <w:rPr>
          <w:rFonts w:ascii="Times New Roman" w:hAnsi="Times New Roman"/>
        </w:rPr>
        <w:t xml:space="preserve"> Criminal Code (RSC 1985 c C-46) (Canada) </w:t>
      </w:r>
      <w:r w:rsidRPr="009416FC">
        <w:rPr>
          <w:rFonts w:ascii="Times New Roman" w:hAnsi="Times New Roman"/>
          <w:lang w:val="en-US"/>
        </w:rPr>
        <w:t>s 83.01(1); see also Terrorism Suppression Act 2002 (NZ) s 5(4).</w:t>
      </w:r>
    </w:p>
  </w:footnote>
  <w:footnote w:id="87">
    <w:p w14:paraId="0E634C5C" w14:textId="77777777"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w:t>
      </w:r>
      <w:r w:rsidRPr="009416FC">
        <w:rPr>
          <w:rFonts w:ascii="Times New Roman" w:hAnsi="Times New Roman"/>
          <w:lang w:val="en-GB"/>
        </w:rPr>
        <w:t>Swiss Criminal Code 1937 art 260</w:t>
      </w:r>
      <w:r w:rsidRPr="009416FC">
        <w:rPr>
          <w:rFonts w:ascii="Times New Roman" w:hAnsi="Times New Roman"/>
          <w:vertAlign w:val="superscript"/>
        </w:rPr>
        <w:t>quinquies1</w:t>
      </w:r>
      <w:r w:rsidRPr="009416FC">
        <w:rPr>
          <w:rFonts w:ascii="Times New Roman" w:hAnsi="Times New Roman"/>
        </w:rPr>
        <w:t xml:space="preserve"> (4).</w:t>
      </w:r>
    </w:p>
  </w:footnote>
  <w:footnote w:id="88">
    <w:p w14:paraId="4671AE90" w14:textId="0C65CC6D"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w:t>
      </w:r>
      <w:r w:rsidRPr="009416FC">
        <w:rPr>
          <w:rFonts w:ascii="Times New Roman" w:hAnsi="Times New Roman"/>
          <w:i/>
        </w:rPr>
        <w:t xml:space="preserve">R v </w:t>
      </w:r>
      <w:r w:rsidRPr="009416FC">
        <w:rPr>
          <w:rFonts w:ascii="Times New Roman" w:hAnsi="Times New Roman"/>
          <w:i/>
          <w:shd w:val="clear" w:color="auto" w:fill="FFFFFF"/>
        </w:rPr>
        <w:t>Khawaja</w:t>
      </w:r>
      <w:r w:rsidRPr="009416FC">
        <w:rPr>
          <w:rFonts w:ascii="Times New Roman" w:hAnsi="Times New Roman"/>
          <w:shd w:val="clear" w:color="auto" w:fill="FFFFFF"/>
        </w:rPr>
        <w:t>, [2012] 3 SCR 555 paras 100-103.</w:t>
      </w:r>
    </w:p>
  </w:footnote>
  <w:footnote w:id="89">
    <w:p w14:paraId="3710DB29" w14:textId="02FA231D"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EU Directive 2017 </w:t>
      </w:r>
      <w:r w:rsidR="00E70309" w:rsidRPr="009416FC">
        <w:rPr>
          <w:rFonts w:ascii="Times New Roman" w:hAnsi="Times New Roman"/>
        </w:rPr>
        <w:t>(above n 77</w:t>
      </w:r>
      <w:r w:rsidRPr="009416FC">
        <w:rPr>
          <w:rFonts w:ascii="Times New Roman" w:hAnsi="Times New Roman"/>
        </w:rPr>
        <w:t>) recital 38; Law No 3 on the Repression of Acts of Terrorism in the Republic of Chad (28 April 2020) art 1(4)</w:t>
      </w:r>
      <w:r w:rsidRPr="009416FC">
        <w:rPr>
          <w:rFonts w:ascii="Times New Roman" w:hAnsi="Times New Roman"/>
          <w:lang w:val="en-GB"/>
        </w:rPr>
        <w:t>.</w:t>
      </w:r>
    </w:p>
  </w:footnote>
  <w:footnote w:id="90">
    <w:p w14:paraId="3D625BCB" w14:textId="0C64EAE2" w:rsidR="00ED4758" w:rsidRPr="009416FC" w:rsidRDefault="00ED4758"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S</w:t>
      </w:r>
      <w:r w:rsidRPr="009416FC">
        <w:rPr>
          <w:rFonts w:ascii="Times New Roman" w:hAnsi="Times New Roman"/>
        </w:rPr>
        <w:t>uch as being present</w:t>
      </w:r>
      <w:r w:rsidRPr="009416FC">
        <w:rPr>
          <w:rFonts w:ascii="Times New Roman" w:hAnsi="Times New Roman"/>
        </w:rPr>
        <w:t xml:space="preserve"> in a prohibited terrorist area (see </w:t>
      </w:r>
      <w:r w:rsidRPr="009416FC">
        <w:rPr>
          <w:rFonts w:ascii="Times New Roman" w:hAnsi="Times New Roman"/>
          <w:lang w:val="en-GB"/>
        </w:rPr>
        <w:t xml:space="preserve">Counter-Terrorism and Border Security Act 2009 (UK) s 4; Criminal Code (Australia) s 119.2(3)(a)); Criminal Code (Denmark) </w:t>
      </w:r>
      <w:r w:rsidRPr="009416FC">
        <w:rPr>
          <w:rFonts w:ascii="Times New Roman" w:hAnsi="Times New Roman"/>
          <w:lang w:val="en-GB"/>
        </w:rPr>
        <w:t xml:space="preserve">s 114(j)), or </w:t>
      </w:r>
      <w:r w:rsidRPr="009416FC">
        <w:rPr>
          <w:rFonts w:ascii="Times New Roman" w:hAnsi="Times New Roman"/>
        </w:rPr>
        <w:t>or associating with a terrorist organization, treasonously aiding the enemy, hostile foreign incursions, or foreign military training</w:t>
      </w:r>
      <w:r w:rsidRPr="009416FC">
        <w:rPr>
          <w:rFonts w:ascii="Times New Roman" w:hAnsi="Times New Roman"/>
        </w:rPr>
        <w:t xml:space="preserve"> (</w:t>
      </w:r>
      <w:r w:rsidRPr="009416FC">
        <w:rPr>
          <w:rFonts w:ascii="Times New Roman" w:hAnsi="Times New Roman"/>
        </w:rPr>
        <w:t>Criminal Code (Australia) ss 102.8, 83.3, s 80</w:t>
      </w:r>
      <w:r w:rsidRPr="009416FC">
        <w:rPr>
          <w:rFonts w:ascii="Times New Roman" w:hAnsi="Times New Roman"/>
        </w:rPr>
        <w:t>.1AA(1), and 119.5 respectively).</w:t>
      </w:r>
    </w:p>
  </w:footnote>
  <w:footnote w:id="91">
    <w:p w14:paraId="16FBDE1F" w14:textId="6F75A10B"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EU Council, EU Best Practices for the Effective Implementation of Restrictive Measures (Sanctions), 8519/18 (4 May 2018) para 76.</w:t>
      </w:r>
    </w:p>
  </w:footnote>
  <w:footnote w:id="92">
    <w:p w14:paraId="64A1611F" w14:textId="0C496262" w:rsidR="00391CF0" w:rsidRPr="009416FC" w:rsidRDefault="00391CF0" w:rsidP="009416FC">
      <w:pPr>
        <w:pStyle w:val="FootnoteText"/>
        <w:jc w:val="both"/>
        <w:rPr>
          <w:rFonts w:ascii="Times New Roman" w:hAnsi="Times New Roman"/>
          <w:lang w:val="en-US"/>
        </w:rPr>
      </w:pPr>
      <w:r w:rsidRPr="009416FC">
        <w:rPr>
          <w:rStyle w:val="FootnoteReference"/>
          <w:rFonts w:ascii="Times New Roman" w:hAnsi="Times New Roman"/>
        </w:rPr>
        <w:footnoteRef/>
      </w:r>
      <w:r w:rsidRPr="009416FC">
        <w:rPr>
          <w:rFonts w:ascii="Times New Roman" w:hAnsi="Times New Roman"/>
        </w:rPr>
        <w:t xml:space="preserve"> Austrian Criminal Code art 278c (3); Swiss Criminal Code 1937 art 260</w:t>
      </w:r>
      <w:r w:rsidRPr="009416FC">
        <w:rPr>
          <w:rFonts w:ascii="Times New Roman" w:hAnsi="Times New Roman"/>
          <w:vertAlign w:val="superscript"/>
        </w:rPr>
        <w:t>quinquies1</w:t>
      </w:r>
      <w:r w:rsidRPr="009416FC">
        <w:rPr>
          <w:rFonts w:ascii="Times New Roman" w:hAnsi="Times New Roman"/>
        </w:rPr>
        <w:t xml:space="preserve"> (3) (concerning terrorist financing offences only). See also the repealed </w:t>
      </w:r>
      <w:r w:rsidRPr="009416FC">
        <w:rPr>
          <w:rFonts w:ascii="Times New Roman" w:eastAsiaTheme="minorHAnsi" w:hAnsi="Times New Roman"/>
        </w:rPr>
        <w:t xml:space="preserve">Greek Penal Code art 187A(8) (from 2004-2010) and repealed </w:t>
      </w:r>
      <w:r w:rsidRPr="009416FC">
        <w:rPr>
          <w:rFonts w:ascii="Times New Roman" w:hAnsi="Times New Roman"/>
        </w:rPr>
        <w:t>Terrorism Suppression Act 2002 (NZ) s 8(2) (from 2002-2007).</w:t>
      </w:r>
    </w:p>
  </w:footnote>
  <w:footnote w:id="93">
    <w:p w14:paraId="4BF058D3" w14:textId="6ADBE18C"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Proposal of Switzerland, A/AC.252/1999/WP.1 (15 March 1999) proposed art 1(1); see also Ad Hoc Committee Report 1999 (</w:t>
      </w:r>
      <w:r w:rsidR="00E70309" w:rsidRPr="009416FC">
        <w:rPr>
          <w:rFonts w:ascii="Times New Roman" w:hAnsi="Times New Roman"/>
        </w:rPr>
        <w:t>above n 83</w:t>
      </w:r>
      <w:r w:rsidRPr="009416FC">
        <w:rPr>
          <w:rFonts w:ascii="Times New Roman" w:hAnsi="Times New Roman"/>
        </w:rPr>
        <w:t>) 57.</w:t>
      </w:r>
    </w:p>
  </w:footnote>
  <w:footnote w:id="94">
    <w:p w14:paraId="59002150" w14:textId="7031B1CA"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UNSC res 2385 (2017) para 33; see also UNSC res 2397 (2017) para 25 (North Korea).</w:t>
      </w:r>
    </w:p>
  </w:footnote>
  <w:footnote w:id="95">
    <w:p w14:paraId="34AEFF36" w14:textId="4563190C" w:rsidR="00391CF0" w:rsidRPr="009416FC" w:rsidRDefault="00391CF0" w:rsidP="009416FC">
      <w:pPr>
        <w:pStyle w:val="FootnoteText"/>
        <w:jc w:val="both"/>
        <w:rPr>
          <w:rFonts w:ascii="Times New Roman" w:hAnsi="Times New Roman"/>
        </w:rPr>
      </w:pPr>
      <w:r w:rsidRPr="009416FC">
        <w:rPr>
          <w:rStyle w:val="FootnoteReference"/>
          <w:rFonts w:ascii="Times New Roman" w:eastAsiaTheme="majorEastAsia" w:hAnsi="Times New Roman"/>
        </w:rPr>
        <w:footnoteRef/>
      </w:r>
      <w:r w:rsidRPr="009416FC">
        <w:rPr>
          <w:rFonts w:ascii="Times New Roman" w:hAnsi="Times New Roman"/>
        </w:rPr>
        <w:t xml:space="preserve"> UNSC resolutions 2462 (28 March 2019) para 24 and 2482 (2019) para 16; see also</w:t>
      </w:r>
      <w:r w:rsidRPr="009416FC">
        <w:rPr>
          <w:rFonts w:ascii="Times New Roman" w:hAnsi="Times New Roman"/>
          <w:bCs/>
          <w:iCs/>
          <w:spacing w:val="3"/>
          <w:lang w:val="en-GB"/>
        </w:rPr>
        <w:t xml:space="preserve"> </w:t>
      </w:r>
      <w:r w:rsidRPr="009416FC">
        <w:rPr>
          <w:rFonts w:ascii="Times New Roman" w:hAnsi="Times New Roman"/>
        </w:rPr>
        <w:t>Report of the UN Secretary-General on the Protection of Civilians in Armed Conflict’, S/2010/579 (11 November 2010) para 57.</w:t>
      </w:r>
    </w:p>
  </w:footnote>
  <w:footnote w:id="96">
    <w:p w14:paraId="128366F0" w14:textId="727F19E0"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See eg </w:t>
      </w:r>
      <w:r w:rsidRPr="009416FC">
        <w:rPr>
          <w:rFonts w:ascii="Times New Roman" w:hAnsi="Times New Roman"/>
          <w:lang w:val="en-US"/>
        </w:rPr>
        <w:t xml:space="preserve">Terrorism Act 2000 (UK) s 1, applied in </w:t>
      </w:r>
      <w:r w:rsidRPr="009416FC">
        <w:rPr>
          <w:rFonts w:ascii="Times New Roman" w:hAnsi="Times New Roman"/>
          <w:i/>
          <w:iCs/>
          <w:lang w:val="en-US"/>
        </w:rPr>
        <w:t>R v Mohammed Gul</w:t>
      </w:r>
      <w:r w:rsidRPr="009416FC">
        <w:rPr>
          <w:rFonts w:ascii="Times New Roman" w:hAnsi="Times New Roman"/>
          <w:lang w:val="en-US"/>
        </w:rPr>
        <w:t xml:space="preserve"> [2013] UK SC 64; Criminal Code 1995 (Australia) s 100.1; </w:t>
      </w:r>
      <w:r w:rsidRPr="009416FC">
        <w:rPr>
          <w:rFonts w:ascii="Times New Roman" w:hAnsi="Times New Roman"/>
        </w:rPr>
        <w:t xml:space="preserve">Dutch </w:t>
      </w:r>
      <w:r w:rsidRPr="009416FC">
        <w:rPr>
          <w:rFonts w:ascii="Times New Roman" w:hAnsi="Times New Roman"/>
          <w:shd w:val="clear" w:color="auto" w:fill="FFFFFF"/>
        </w:rPr>
        <w:t xml:space="preserve">Supreme Court, Judgment (7 May 2004), ECLI: NL: HR: AF6988, paras 3.3.7-3.3.8; </w:t>
      </w:r>
      <w:r w:rsidRPr="009416FC">
        <w:rPr>
          <w:rFonts w:ascii="Times New Roman" w:hAnsi="Times New Roman"/>
          <w:i/>
        </w:rPr>
        <w:t>Prosecutor v Maher H</w:t>
      </w:r>
      <w:r w:rsidRPr="009416FC">
        <w:rPr>
          <w:rFonts w:ascii="Times New Roman" w:hAnsi="Times New Roman"/>
        </w:rPr>
        <w:t xml:space="preserve">, Case No </w:t>
      </w:r>
      <w:r w:rsidRPr="009416FC">
        <w:rPr>
          <w:rFonts w:ascii="Times New Roman" w:hAnsi="Times New Roman"/>
          <w:shd w:val="clear" w:color="auto" w:fill="FFFFFF"/>
        </w:rPr>
        <w:t xml:space="preserve">09/767116-14, District Court of The Hague, Judgment (1 December 2014) para 3; </w:t>
      </w:r>
      <w:r w:rsidRPr="009416FC">
        <w:rPr>
          <w:rFonts w:ascii="Times New Roman" w:hAnsi="Times New Roman"/>
          <w:i/>
        </w:rPr>
        <w:t>Prosecutor v Imane B et al</w:t>
      </w:r>
      <w:r w:rsidRPr="009416FC">
        <w:rPr>
          <w:rFonts w:ascii="Times New Roman" w:hAnsi="Times New Roman"/>
        </w:rPr>
        <w:t xml:space="preserve">, District Court of The Hague, Judgment (10 December 2015) paras 7.23-7.29; </w:t>
      </w:r>
    </w:p>
  </w:footnote>
  <w:footnote w:id="97">
    <w:p w14:paraId="328D3464" w14:textId="2EDC06B3"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EU Common Position 2001/931/CFSP on the Application of Specific Measures to Combat Terrorism (OJ 2001 L 344, 93) (concerning terrorist financing), applied in </w:t>
      </w:r>
      <w:r w:rsidRPr="009416FC">
        <w:rPr>
          <w:rFonts w:ascii="Times New Roman" w:hAnsi="Times New Roman"/>
          <w:bCs/>
          <w:i/>
          <w:shd w:val="clear" w:color="auto" w:fill="FFFFFF"/>
        </w:rPr>
        <w:t>Liberation Tigers of Tamil Eelam (LTTE) v Council of the European Union</w:t>
      </w:r>
      <w:r w:rsidRPr="009416FC">
        <w:rPr>
          <w:rFonts w:ascii="Times New Roman" w:hAnsi="Times New Roman"/>
          <w:bCs/>
          <w:shd w:val="clear" w:color="auto" w:fill="FFFFFF"/>
        </w:rPr>
        <w:t xml:space="preserve">, T-208/11, CJEU, Judgment of the General Court (Sixth Chamber) (16 October 2014) </w:t>
      </w:r>
      <w:r w:rsidRPr="009416FC">
        <w:rPr>
          <w:rFonts w:ascii="Times New Roman" w:hAnsi="Times New Roman"/>
        </w:rPr>
        <w:t xml:space="preserve">paras 54-83; </w:t>
      </w:r>
      <w:r w:rsidRPr="009416FC">
        <w:rPr>
          <w:rFonts w:ascii="Times New Roman" w:hAnsi="Times New Roman"/>
          <w:i/>
          <w:iCs/>
        </w:rPr>
        <w:t>A, B, C and D v Minister van Buitenlandse Zaken</w:t>
      </w:r>
      <w:r w:rsidRPr="009416FC">
        <w:rPr>
          <w:rFonts w:ascii="Times New Roman" w:hAnsi="Times New Roman"/>
        </w:rPr>
        <w:t>, CJEU, Case C-158/14, Judgment (14 March 2017) ECLI:EU:C:2017:202.</w:t>
      </w:r>
      <w:r w:rsidR="00ED4758" w:rsidRPr="009416FC">
        <w:rPr>
          <w:rFonts w:ascii="Times New Roman" w:hAnsi="Times New Roman"/>
        </w:rPr>
        <w:t xml:space="preserve"> Most regional treaties to not mention IHL.</w:t>
      </w:r>
    </w:p>
  </w:footnote>
  <w:footnote w:id="98">
    <w:p w14:paraId="5D139D85" w14:textId="0755B72C" w:rsidR="00391CF0" w:rsidRPr="009416FC" w:rsidRDefault="00391CF0" w:rsidP="009416FC">
      <w:pPr>
        <w:pStyle w:val="FootnoteText"/>
        <w:jc w:val="both"/>
        <w:rPr>
          <w:rFonts w:ascii="Times New Roman" w:hAnsi="Times New Roman"/>
          <w:lang w:val="en-US"/>
        </w:rPr>
      </w:pPr>
      <w:r w:rsidRPr="009416FC">
        <w:rPr>
          <w:rStyle w:val="FootnoteReference"/>
          <w:rFonts w:ascii="Times New Roman" w:hAnsi="Times New Roman"/>
        </w:rPr>
        <w:footnoteRef/>
      </w:r>
      <w:r w:rsidRPr="009416FC">
        <w:rPr>
          <w:rFonts w:ascii="Times New Roman" w:hAnsi="Times New Roman"/>
        </w:rPr>
        <w:t xml:space="preserve"> </w:t>
      </w:r>
      <w:r w:rsidRPr="009416FC">
        <w:rPr>
          <w:rFonts w:ascii="Times New Roman" w:hAnsi="Times New Roman"/>
          <w:i/>
        </w:rPr>
        <w:t xml:space="preserve">R v Gul </w:t>
      </w:r>
      <w:r w:rsidRPr="009416FC">
        <w:rPr>
          <w:rFonts w:ascii="Times New Roman" w:hAnsi="Times New Roman"/>
        </w:rPr>
        <w:t>(above</w:t>
      </w:r>
      <w:r w:rsidR="00F61162" w:rsidRPr="009416FC">
        <w:rPr>
          <w:rFonts w:ascii="Times New Roman" w:hAnsi="Times New Roman"/>
        </w:rPr>
        <w:t xml:space="preserve"> n 95</w:t>
      </w:r>
      <w:r w:rsidRPr="009416FC">
        <w:rPr>
          <w:rFonts w:ascii="Times New Roman" w:hAnsi="Times New Roman"/>
        </w:rPr>
        <w:t xml:space="preserve">) </w:t>
      </w:r>
      <w:r w:rsidRPr="009416FC">
        <w:rPr>
          <w:rFonts w:ascii="Times New Roman" w:hAnsi="Times New Roman"/>
          <w:lang w:val="en-US"/>
        </w:rPr>
        <w:t xml:space="preserve">paras 48-51; </w:t>
      </w:r>
      <w:r w:rsidRPr="009416FC">
        <w:rPr>
          <w:rFonts w:ascii="Times New Roman" w:hAnsi="Times New Roman"/>
        </w:rPr>
        <w:t xml:space="preserve">Dutch </w:t>
      </w:r>
      <w:r w:rsidRPr="009416FC">
        <w:rPr>
          <w:rFonts w:ascii="Times New Roman" w:hAnsi="Times New Roman"/>
          <w:shd w:val="clear" w:color="auto" w:fill="FFFFFF"/>
        </w:rPr>
        <w:t xml:space="preserve">Supreme Court (7 May 2004) paras 3.3.7-3.3.8; </w:t>
      </w:r>
      <w:r w:rsidRPr="009416FC">
        <w:rPr>
          <w:rFonts w:ascii="Times New Roman" w:hAnsi="Times New Roman"/>
          <w:i/>
        </w:rPr>
        <w:t>Prosecutor v Maher H</w:t>
      </w:r>
      <w:r w:rsidRPr="009416FC">
        <w:rPr>
          <w:rFonts w:ascii="Times New Roman" w:hAnsi="Times New Roman"/>
        </w:rPr>
        <w:t xml:space="preserve"> </w:t>
      </w:r>
      <w:r w:rsidR="00F61162" w:rsidRPr="009416FC">
        <w:rPr>
          <w:rFonts w:ascii="Times New Roman" w:hAnsi="Times New Roman"/>
        </w:rPr>
        <w:t>(above n 95</w:t>
      </w:r>
      <w:r w:rsidRPr="009416FC">
        <w:rPr>
          <w:rFonts w:ascii="Times New Roman" w:hAnsi="Times New Roman"/>
        </w:rPr>
        <w:t xml:space="preserve">) </w:t>
      </w:r>
      <w:r w:rsidRPr="009416FC">
        <w:rPr>
          <w:rFonts w:ascii="Times New Roman" w:hAnsi="Times New Roman"/>
          <w:shd w:val="clear" w:color="auto" w:fill="FFFFFF"/>
        </w:rPr>
        <w:t xml:space="preserve">para 3; cf </w:t>
      </w:r>
      <w:r w:rsidRPr="009416FC">
        <w:rPr>
          <w:rFonts w:ascii="Times New Roman" w:hAnsi="Times New Roman"/>
        </w:rPr>
        <w:t xml:space="preserve">District </w:t>
      </w:r>
      <w:r w:rsidRPr="009416FC">
        <w:rPr>
          <w:rFonts w:ascii="Times New Roman" w:hAnsi="Times New Roman"/>
          <w:shd w:val="clear" w:color="auto" w:fill="FFFFFF"/>
        </w:rPr>
        <w:t>Court of The Hague (</w:t>
      </w:r>
      <w:r w:rsidRPr="009416FC">
        <w:rPr>
          <w:rFonts w:ascii="Times New Roman" w:hAnsi="Times New Roman"/>
          <w:spacing w:val="2"/>
          <w:shd w:val="clear" w:color="auto" w:fill="FCFCFC"/>
        </w:rPr>
        <w:t>2011) (a</w:t>
      </w:r>
      <w:r w:rsidR="00E70309" w:rsidRPr="009416FC">
        <w:rPr>
          <w:rFonts w:ascii="Times New Roman" w:hAnsi="Times New Roman"/>
          <w:spacing w:val="2"/>
          <w:shd w:val="clear" w:color="auto" w:fill="FCFCFC"/>
        </w:rPr>
        <w:t>bove n 79</w:t>
      </w:r>
      <w:r w:rsidRPr="009416FC">
        <w:rPr>
          <w:rFonts w:ascii="Times New Roman" w:hAnsi="Times New Roman"/>
          <w:spacing w:val="2"/>
          <w:shd w:val="clear" w:color="auto" w:fill="FCFCFC"/>
        </w:rPr>
        <w:t>)</w:t>
      </w:r>
      <w:r w:rsidRPr="009416FC">
        <w:rPr>
          <w:rFonts w:ascii="Times New Roman" w:hAnsi="Times New Roman"/>
          <w:shd w:val="clear" w:color="auto" w:fill="FFFFFF"/>
        </w:rPr>
        <w:t>.</w:t>
      </w:r>
    </w:p>
  </w:footnote>
  <w:footnote w:id="99">
    <w:p w14:paraId="07426E77" w14:textId="1A41C769"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w:t>
      </w:r>
      <w:r w:rsidRPr="009416FC">
        <w:rPr>
          <w:rFonts w:ascii="Times New Roman" w:hAnsi="Times New Roman"/>
          <w:bCs/>
          <w:i/>
          <w:shd w:val="clear" w:color="auto" w:fill="FFFFFF"/>
        </w:rPr>
        <w:t>LTTE v EU Council</w:t>
      </w:r>
      <w:r w:rsidRPr="009416FC">
        <w:rPr>
          <w:rFonts w:ascii="Times New Roman" w:hAnsi="Times New Roman"/>
          <w:bCs/>
          <w:shd w:val="clear" w:color="auto" w:fill="FFFFFF"/>
        </w:rPr>
        <w:t xml:space="preserve"> (</w:t>
      </w:r>
      <w:r w:rsidR="00F61162" w:rsidRPr="009416FC">
        <w:rPr>
          <w:rFonts w:ascii="Times New Roman" w:hAnsi="Times New Roman"/>
          <w:bCs/>
          <w:shd w:val="clear" w:color="auto" w:fill="FFFFFF"/>
        </w:rPr>
        <w:t>above n 96</w:t>
      </w:r>
      <w:r w:rsidRPr="009416FC">
        <w:rPr>
          <w:rFonts w:ascii="Times New Roman" w:hAnsi="Times New Roman"/>
          <w:bCs/>
          <w:shd w:val="clear" w:color="auto" w:fill="FFFFFF"/>
        </w:rPr>
        <w:t xml:space="preserve">) </w:t>
      </w:r>
      <w:r w:rsidRPr="009416FC">
        <w:rPr>
          <w:rFonts w:ascii="Times New Roman" w:hAnsi="Times New Roman"/>
        </w:rPr>
        <w:t xml:space="preserve">paras 54-83; </w:t>
      </w:r>
      <w:r w:rsidRPr="009416FC">
        <w:rPr>
          <w:rFonts w:ascii="Times New Roman" w:hAnsi="Times New Roman"/>
          <w:i/>
          <w:iCs/>
        </w:rPr>
        <w:t>A, B, C and D v Minister</w:t>
      </w:r>
      <w:r w:rsidR="00F61162" w:rsidRPr="009416FC">
        <w:rPr>
          <w:rFonts w:ascii="Times New Roman" w:hAnsi="Times New Roman"/>
        </w:rPr>
        <w:t xml:space="preserve"> (above n 96</w:t>
      </w:r>
      <w:r w:rsidRPr="009416FC">
        <w:rPr>
          <w:rFonts w:ascii="Times New Roman" w:hAnsi="Times New Roman"/>
        </w:rPr>
        <w:t>).</w:t>
      </w:r>
    </w:p>
  </w:footnote>
  <w:footnote w:id="100">
    <w:p w14:paraId="53F2E45F" w14:textId="6C8369A7"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w:t>
      </w:r>
      <w:r w:rsidRPr="009416FC">
        <w:rPr>
          <w:rFonts w:ascii="Times New Roman" w:hAnsi="Times New Roman"/>
          <w:i/>
        </w:rPr>
        <w:t>R v Gul</w:t>
      </w:r>
      <w:r w:rsidRPr="009416FC">
        <w:rPr>
          <w:rFonts w:ascii="Times New Roman" w:hAnsi="Times New Roman"/>
        </w:rPr>
        <w:t xml:space="preserve"> </w:t>
      </w:r>
      <w:r w:rsidR="00F61162" w:rsidRPr="009416FC">
        <w:rPr>
          <w:rFonts w:ascii="Times New Roman" w:hAnsi="Times New Roman"/>
        </w:rPr>
        <w:t>(above n 95</w:t>
      </w:r>
      <w:r w:rsidRPr="009416FC">
        <w:rPr>
          <w:rFonts w:ascii="Times New Roman" w:hAnsi="Times New Roman"/>
        </w:rPr>
        <w:t xml:space="preserve">) paras 48-51; </w:t>
      </w:r>
      <w:r w:rsidRPr="009416FC">
        <w:rPr>
          <w:rFonts w:ascii="Times New Roman" w:hAnsi="Times New Roman"/>
          <w:i/>
        </w:rPr>
        <w:t>Prosecutor v Maher H</w:t>
      </w:r>
      <w:r w:rsidRPr="009416FC">
        <w:rPr>
          <w:rFonts w:ascii="Times New Roman" w:hAnsi="Times New Roman"/>
        </w:rPr>
        <w:t xml:space="preserve"> </w:t>
      </w:r>
      <w:r w:rsidR="00F61162" w:rsidRPr="009416FC">
        <w:rPr>
          <w:rFonts w:ascii="Times New Roman" w:hAnsi="Times New Roman"/>
        </w:rPr>
        <w:t>(above n 95</w:t>
      </w:r>
      <w:r w:rsidRPr="009416FC">
        <w:rPr>
          <w:rFonts w:ascii="Times New Roman" w:hAnsi="Times New Roman"/>
        </w:rPr>
        <w:t xml:space="preserve">) </w:t>
      </w:r>
      <w:r w:rsidRPr="009416FC">
        <w:rPr>
          <w:rFonts w:ascii="Times New Roman" w:hAnsi="Times New Roman"/>
          <w:shd w:val="clear" w:color="auto" w:fill="FFFFFF"/>
        </w:rPr>
        <w:t>para 3.</w:t>
      </w:r>
    </w:p>
  </w:footnote>
  <w:footnote w:id="101">
    <w:p w14:paraId="557BB787" w14:textId="569C93BD"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Dutch </w:t>
      </w:r>
      <w:r w:rsidRPr="009416FC">
        <w:rPr>
          <w:rFonts w:ascii="Times New Roman" w:hAnsi="Times New Roman"/>
          <w:shd w:val="clear" w:color="auto" w:fill="FFFFFF"/>
        </w:rPr>
        <w:t xml:space="preserve">Supreme Court (2004) </w:t>
      </w:r>
      <w:r w:rsidR="00F61162" w:rsidRPr="009416FC">
        <w:rPr>
          <w:rFonts w:ascii="Times New Roman" w:hAnsi="Times New Roman"/>
          <w:shd w:val="clear" w:color="auto" w:fill="FFFFFF"/>
        </w:rPr>
        <w:t>(above n 95</w:t>
      </w:r>
      <w:r w:rsidRPr="009416FC">
        <w:rPr>
          <w:rFonts w:ascii="Times New Roman" w:hAnsi="Times New Roman"/>
          <w:shd w:val="clear" w:color="auto" w:fill="FFFFFF"/>
        </w:rPr>
        <w:t xml:space="preserve">) paras 3.3.7-3.3.8; </w:t>
      </w:r>
      <w:r w:rsidRPr="009416FC">
        <w:rPr>
          <w:rFonts w:ascii="Times New Roman" w:hAnsi="Times New Roman"/>
          <w:i/>
        </w:rPr>
        <w:t xml:space="preserve">LTTE v Council </w:t>
      </w:r>
      <w:r w:rsidRPr="009416FC">
        <w:rPr>
          <w:rFonts w:ascii="Times New Roman" w:hAnsi="Times New Roman"/>
        </w:rPr>
        <w:t xml:space="preserve">ibid; </w:t>
      </w:r>
      <w:r w:rsidRPr="009416FC">
        <w:rPr>
          <w:rFonts w:ascii="Times New Roman" w:hAnsi="Times New Roman"/>
          <w:i/>
        </w:rPr>
        <w:t>Prosecutor v Maher H</w:t>
      </w:r>
      <w:r w:rsidRPr="009416FC">
        <w:rPr>
          <w:rFonts w:ascii="Times New Roman" w:hAnsi="Times New Roman"/>
        </w:rPr>
        <w:t xml:space="preserve"> ibid, </w:t>
      </w:r>
      <w:r w:rsidRPr="009416FC">
        <w:rPr>
          <w:rFonts w:ascii="Times New Roman" w:hAnsi="Times New Roman"/>
          <w:shd w:val="clear" w:color="auto" w:fill="FFFFFF"/>
        </w:rPr>
        <w:t>para 3.</w:t>
      </w:r>
    </w:p>
  </w:footnote>
  <w:footnote w:id="102">
    <w:p w14:paraId="58130917" w14:textId="11DD540E"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w:t>
      </w:r>
      <w:r w:rsidRPr="009416FC">
        <w:rPr>
          <w:rFonts w:ascii="Times New Roman" w:hAnsi="Times New Roman"/>
          <w:i/>
        </w:rPr>
        <w:t xml:space="preserve">LTTE v EU Council </w:t>
      </w:r>
      <w:r w:rsidRPr="009416FC">
        <w:rPr>
          <w:rFonts w:ascii="Times New Roman" w:hAnsi="Times New Roman"/>
        </w:rPr>
        <w:t>ibid.</w:t>
      </w:r>
    </w:p>
  </w:footnote>
  <w:footnote w:id="103">
    <w:p w14:paraId="1DE9A67E" w14:textId="3CEE6677"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w:t>
      </w:r>
      <w:r w:rsidRPr="009416FC">
        <w:rPr>
          <w:rFonts w:ascii="Times New Roman" w:hAnsi="Times New Roman"/>
          <w:i/>
        </w:rPr>
        <w:t>LTTE v EU Council</w:t>
      </w:r>
      <w:r w:rsidRPr="009416FC">
        <w:rPr>
          <w:rFonts w:ascii="Times New Roman" w:hAnsi="Times New Roman"/>
        </w:rPr>
        <w:t xml:space="preserve"> ibid para 74.</w:t>
      </w:r>
    </w:p>
  </w:footnote>
  <w:footnote w:id="104">
    <w:p w14:paraId="18A9A2C9" w14:textId="5E0790AB" w:rsidR="00391CF0" w:rsidRPr="009416FC" w:rsidRDefault="00391CF0" w:rsidP="009416FC">
      <w:pPr>
        <w:pStyle w:val="FootnoteText"/>
        <w:jc w:val="both"/>
        <w:rPr>
          <w:rFonts w:ascii="Times New Roman" w:hAnsi="Times New Roman"/>
        </w:rPr>
      </w:pPr>
      <w:r w:rsidRPr="009416FC">
        <w:rPr>
          <w:rStyle w:val="FootnoteReference"/>
          <w:rFonts w:ascii="Times New Roman" w:hAnsi="Times New Roman"/>
        </w:rPr>
        <w:footnoteRef/>
      </w:r>
      <w:r w:rsidRPr="009416FC">
        <w:rPr>
          <w:rFonts w:ascii="Times New Roman" w:hAnsi="Times New Roman"/>
        </w:rPr>
        <w:t xml:space="preserve"> </w:t>
      </w:r>
      <w:r w:rsidRPr="009416FC">
        <w:rPr>
          <w:rFonts w:ascii="Times New Roman" w:hAnsi="Times New Roman"/>
          <w:i/>
        </w:rPr>
        <w:t>R v Gul</w:t>
      </w:r>
      <w:r w:rsidRPr="009416FC">
        <w:rPr>
          <w:rFonts w:ascii="Times New Roman" w:hAnsi="Times New Roman"/>
        </w:rPr>
        <w:t xml:space="preserve"> (abo</w:t>
      </w:r>
      <w:r w:rsidR="00F61162" w:rsidRPr="009416FC">
        <w:rPr>
          <w:rFonts w:ascii="Times New Roman" w:hAnsi="Times New Roman"/>
        </w:rPr>
        <w:t>ve n 95</w:t>
      </w:r>
      <w:r w:rsidRPr="009416FC">
        <w:rPr>
          <w:rFonts w:ascii="Times New Roman" w:hAnsi="Times New Roman"/>
        </w:rPr>
        <w:t>) para 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A3001"/>
    <w:multiLevelType w:val="hybridMultilevel"/>
    <w:tmpl w:val="8A623246"/>
    <w:lvl w:ilvl="0" w:tplc="164CE26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8D14451"/>
    <w:multiLevelType w:val="hybridMultilevel"/>
    <w:tmpl w:val="59187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D3E064A"/>
    <w:multiLevelType w:val="hybridMultilevel"/>
    <w:tmpl w:val="18C488C8"/>
    <w:lvl w:ilvl="0" w:tplc="BB7ACD0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7B66C9"/>
    <w:multiLevelType w:val="hybridMultilevel"/>
    <w:tmpl w:val="DC0AF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7C4B1B36"/>
    <w:multiLevelType w:val="hybridMultilevel"/>
    <w:tmpl w:val="553A2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97"/>
    <w:rsid w:val="00000689"/>
    <w:rsid w:val="000078EC"/>
    <w:rsid w:val="00012255"/>
    <w:rsid w:val="00021DF0"/>
    <w:rsid w:val="000425B7"/>
    <w:rsid w:val="00045BFD"/>
    <w:rsid w:val="00082EAF"/>
    <w:rsid w:val="000B484A"/>
    <w:rsid w:val="000B7F72"/>
    <w:rsid w:val="00100B21"/>
    <w:rsid w:val="00117B80"/>
    <w:rsid w:val="00123C97"/>
    <w:rsid w:val="001273A7"/>
    <w:rsid w:val="001300CF"/>
    <w:rsid w:val="00132DD5"/>
    <w:rsid w:val="00146690"/>
    <w:rsid w:val="0018384C"/>
    <w:rsid w:val="001A2F98"/>
    <w:rsid w:val="001A63C3"/>
    <w:rsid w:val="001B163F"/>
    <w:rsid w:val="001B3F91"/>
    <w:rsid w:val="001B6033"/>
    <w:rsid w:val="001C196E"/>
    <w:rsid w:val="001C2BD4"/>
    <w:rsid w:val="001D4B3F"/>
    <w:rsid w:val="001E0215"/>
    <w:rsid w:val="001F0A9E"/>
    <w:rsid w:val="001F32CB"/>
    <w:rsid w:val="001F3A37"/>
    <w:rsid w:val="001F611F"/>
    <w:rsid w:val="00201D18"/>
    <w:rsid w:val="00206F3B"/>
    <w:rsid w:val="0020744C"/>
    <w:rsid w:val="00221504"/>
    <w:rsid w:val="00235381"/>
    <w:rsid w:val="0023747E"/>
    <w:rsid w:val="00251FD2"/>
    <w:rsid w:val="002520E3"/>
    <w:rsid w:val="002721A3"/>
    <w:rsid w:val="002C11A5"/>
    <w:rsid w:val="002D0B90"/>
    <w:rsid w:val="002E1728"/>
    <w:rsid w:val="002F3197"/>
    <w:rsid w:val="002F3209"/>
    <w:rsid w:val="00313A04"/>
    <w:rsid w:val="00325511"/>
    <w:rsid w:val="00327B59"/>
    <w:rsid w:val="00336FAB"/>
    <w:rsid w:val="003521D7"/>
    <w:rsid w:val="003631EC"/>
    <w:rsid w:val="003805A3"/>
    <w:rsid w:val="003870DD"/>
    <w:rsid w:val="00387809"/>
    <w:rsid w:val="00391CF0"/>
    <w:rsid w:val="003A1F1D"/>
    <w:rsid w:val="003A3E8D"/>
    <w:rsid w:val="003B2670"/>
    <w:rsid w:val="003B2940"/>
    <w:rsid w:val="003C551D"/>
    <w:rsid w:val="003D0CFD"/>
    <w:rsid w:val="003D4CD4"/>
    <w:rsid w:val="003F1390"/>
    <w:rsid w:val="003F16F8"/>
    <w:rsid w:val="00415B53"/>
    <w:rsid w:val="0042159E"/>
    <w:rsid w:val="0042561D"/>
    <w:rsid w:val="00431962"/>
    <w:rsid w:val="004455D4"/>
    <w:rsid w:val="00455EF9"/>
    <w:rsid w:val="004609FB"/>
    <w:rsid w:val="004737E8"/>
    <w:rsid w:val="0048304F"/>
    <w:rsid w:val="0049139A"/>
    <w:rsid w:val="00495BF0"/>
    <w:rsid w:val="004A418A"/>
    <w:rsid w:val="004C3C02"/>
    <w:rsid w:val="004C71D1"/>
    <w:rsid w:val="004D1ECA"/>
    <w:rsid w:val="004D47F8"/>
    <w:rsid w:val="004E7A7D"/>
    <w:rsid w:val="004F181A"/>
    <w:rsid w:val="004F1ABB"/>
    <w:rsid w:val="00516437"/>
    <w:rsid w:val="00525605"/>
    <w:rsid w:val="00527230"/>
    <w:rsid w:val="00527C5A"/>
    <w:rsid w:val="00533933"/>
    <w:rsid w:val="005577B7"/>
    <w:rsid w:val="00561ABD"/>
    <w:rsid w:val="00566552"/>
    <w:rsid w:val="00566FB7"/>
    <w:rsid w:val="00580F14"/>
    <w:rsid w:val="00586C89"/>
    <w:rsid w:val="00587570"/>
    <w:rsid w:val="005A34EB"/>
    <w:rsid w:val="005C370D"/>
    <w:rsid w:val="005E12DC"/>
    <w:rsid w:val="005E3241"/>
    <w:rsid w:val="005F2A41"/>
    <w:rsid w:val="005F6979"/>
    <w:rsid w:val="00615FF2"/>
    <w:rsid w:val="00635C32"/>
    <w:rsid w:val="0064266A"/>
    <w:rsid w:val="00643F6C"/>
    <w:rsid w:val="00693B66"/>
    <w:rsid w:val="006A3828"/>
    <w:rsid w:val="006A4FA1"/>
    <w:rsid w:val="006B0082"/>
    <w:rsid w:val="006B0188"/>
    <w:rsid w:val="006C41F6"/>
    <w:rsid w:val="006C5ABF"/>
    <w:rsid w:val="006D2421"/>
    <w:rsid w:val="006F3091"/>
    <w:rsid w:val="007122AB"/>
    <w:rsid w:val="00712DEF"/>
    <w:rsid w:val="0071563C"/>
    <w:rsid w:val="0073061B"/>
    <w:rsid w:val="007539C4"/>
    <w:rsid w:val="007613C2"/>
    <w:rsid w:val="00774071"/>
    <w:rsid w:val="00777B70"/>
    <w:rsid w:val="00782D7A"/>
    <w:rsid w:val="00790940"/>
    <w:rsid w:val="007942DA"/>
    <w:rsid w:val="007C0F7D"/>
    <w:rsid w:val="007E2AB0"/>
    <w:rsid w:val="007E32CF"/>
    <w:rsid w:val="007E774E"/>
    <w:rsid w:val="007F7072"/>
    <w:rsid w:val="007F7959"/>
    <w:rsid w:val="00801A5B"/>
    <w:rsid w:val="00804BFF"/>
    <w:rsid w:val="00806A18"/>
    <w:rsid w:val="008243EE"/>
    <w:rsid w:val="00825D93"/>
    <w:rsid w:val="00830951"/>
    <w:rsid w:val="008339F3"/>
    <w:rsid w:val="00853A3E"/>
    <w:rsid w:val="008634FF"/>
    <w:rsid w:val="00863AC3"/>
    <w:rsid w:val="0087438C"/>
    <w:rsid w:val="00894E41"/>
    <w:rsid w:val="008A0980"/>
    <w:rsid w:val="008C6B5A"/>
    <w:rsid w:val="008E5923"/>
    <w:rsid w:val="008F7BF0"/>
    <w:rsid w:val="009026A1"/>
    <w:rsid w:val="009168B4"/>
    <w:rsid w:val="00923532"/>
    <w:rsid w:val="009303C2"/>
    <w:rsid w:val="0093197C"/>
    <w:rsid w:val="009416FC"/>
    <w:rsid w:val="00942910"/>
    <w:rsid w:val="009606D4"/>
    <w:rsid w:val="009615BB"/>
    <w:rsid w:val="009615CB"/>
    <w:rsid w:val="00967419"/>
    <w:rsid w:val="00976EF1"/>
    <w:rsid w:val="0098250C"/>
    <w:rsid w:val="00992D02"/>
    <w:rsid w:val="009A3EDB"/>
    <w:rsid w:val="009B2008"/>
    <w:rsid w:val="009B3952"/>
    <w:rsid w:val="009C7148"/>
    <w:rsid w:val="009E2B69"/>
    <w:rsid w:val="009E4F14"/>
    <w:rsid w:val="009F05B0"/>
    <w:rsid w:val="009F507E"/>
    <w:rsid w:val="00A25356"/>
    <w:rsid w:val="00A30668"/>
    <w:rsid w:val="00A42EBA"/>
    <w:rsid w:val="00A60557"/>
    <w:rsid w:val="00A73B3B"/>
    <w:rsid w:val="00A763B6"/>
    <w:rsid w:val="00A77959"/>
    <w:rsid w:val="00A81F93"/>
    <w:rsid w:val="00A913E2"/>
    <w:rsid w:val="00AD70CB"/>
    <w:rsid w:val="00AE62A7"/>
    <w:rsid w:val="00AF0C07"/>
    <w:rsid w:val="00B26330"/>
    <w:rsid w:val="00B27776"/>
    <w:rsid w:val="00B30C6E"/>
    <w:rsid w:val="00B3208E"/>
    <w:rsid w:val="00B4225E"/>
    <w:rsid w:val="00B5050E"/>
    <w:rsid w:val="00B5191A"/>
    <w:rsid w:val="00B520AF"/>
    <w:rsid w:val="00B7067D"/>
    <w:rsid w:val="00B74980"/>
    <w:rsid w:val="00B770DD"/>
    <w:rsid w:val="00B84D42"/>
    <w:rsid w:val="00BA0B83"/>
    <w:rsid w:val="00BA3980"/>
    <w:rsid w:val="00BD4726"/>
    <w:rsid w:val="00BE545C"/>
    <w:rsid w:val="00BF129F"/>
    <w:rsid w:val="00C04653"/>
    <w:rsid w:val="00C07DF0"/>
    <w:rsid w:val="00C22840"/>
    <w:rsid w:val="00C33DD1"/>
    <w:rsid w:val="00C508FB"/>
    <w:rsid w:val="00C632B1"/>
    <w:rsid w:val="00C725EB"/>
    <w:rsid w:val="00C86938"/>
    <w:rsid w:val="00C92267"/>
    <w:rsid w:val="00CA59B2"/>
    <w:rsid w:val="00CB383B"/>
    <w:rsid w:val="00CE31FF"/>
    <w:rsid w:val="00CF0A90"/>
    <w:rsid w:val="00D22B0A"/>
    <w:rsid w:val="00D35D0A"/>
    <w:rsid w:val="00D37946"/>
    <w:rsid w:val="00D40E90"/>
    <w:rsid w:val="00D57AC8"/>
    <w:rsid w:val="00D60B1A"/>
    <w:rsid w:val="00D62625"/>
    <w:rsid w:val="00D731BA"/>
    <w:rsid w:val="00D919B6"/>
    <w:rsid w:val="00DA1DEF"/>
    <w:rsid w:val="00DA771A"/>
    <w:rsid w:val="00DE32A1"/>
    <w:rsid w:val="00E00F6C"/>
    <w:rsid w:val="00E10CC4"/>
    <w:rsid w:val="00E14747"/>
    <w:rsid w:val="00E15CDE"/>
    <w:rsid w:val="00E20EB9"/>
    <w:rsid w:val="00E258C5"/>
    <w:rsid w:val="00E342F3"/>
    <w:rsid w:val="00E43FC5"/>
    <w:rsid w:val="00E44B9B"/>
    <w:rsid w:val="00E66F01"/>
    <w:rsid w:val="00E70309"/>
    <w:rsid w:val="00EA1DCA"/>
    <w:rsid w:val="00EA2296"/>
    <w:rsid w:val="00EA285F"/>
    <w:rsid w:val="00EA38BC"/>
    <w:rsid w:val="00EA7454"/>
    <w:rsid w:val="00EB2CBB"/>
    <w:rsid w:val="00ED4239"/>
    <w:rsid w:val="00ED4758"/>
    <w:rsid w:val="00EE4A5C"/>
    <w:rsid w:val="00EE612A"/>
    <w:rsid w:val="00EF5447"/>
    <w:rsid w:val="00F14D65"/>
    <w:rsid w:val="00F16644"/>
    <w:rsid w:val="00F500DD"/>
    <w:rsid w:val="00F55872"/>
    <w:rsid w:val="00F61162"/>
    <w:rsid w:val="00F62652"/>
    <w:rsid w:val="00F669BD"/>
    <w:rsid w:val="00F84DA0"/>
    <w:rsid w:val="00F87DC4"/>
    <w:rsid w:val="00FB5135"/>
    <w:rsid w:val="00FE4EF5"/>
    <w:rsid w:val="00FE731F"/>
    <w:rsid w:val="00FF3A24"/>
    <w:rsid w:val="00FF3C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84D5C"/>
  <w15:chartTrackingRefBased/>
  <w15:docId w15:val="{2A63626D-6F2D-4DA3-9B21-994DAB8C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197"/>
    <w:pPr>
      <w:spacing w:after="0" w:line="240" w:lineRule="auto"/>
      <w:jc w:val="both"/>
    </w:pPr>
    <w:rPr>
      <w:position w:val="6"/>
      <w:sz w:val="20"/>
    </w:rPr>
  </w:style>
  <w:style w:type="paragraph" w:styleId="Heading1">
    <w:name w:val="heading 1"/>
    <w:basedOn w:val="Normal"/>
    <w:next w:val="Normal"/>
    <w:link w:val="Heading1Char"/>
    <w:uiPriority w:val="9"/>
    <w:qFormat/>
    <w:rsid w:val="002F3197"/>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197"/>
    <w:rPr>
      <w:rFonts w:asciiTheme="majorHAnsi" w:eastAsiaTheme="majorEastAsia" w:hAnsiTheme="majorHAnsi" w:cstheme="majorBidi"/>
      <w:b/>
      <w:bCs/>
      <w:color w:val="2C6EAB" w:themeColor="accent1" w:themeShade="B5"/>
      <w:position w:val="6"/>
      <w:sz w:val="32"/>
      <w:szCs w:val="32"/>
    </w:rPr>
  </w:style>
  <w:style w:type="paragraph" w:styleId="ListParagraph">
    <w:name w:val="List Paragraph"/>
    <w:basedOn w:val="Normal"/>
    <w:uiPriority w:val="34"/>
    <w:qFormat/>
    <w:rsid w:val="002F3197"/>
    <w:pPr>
      <w:ind w:left="720"/>
      <w:contextualSpacing/>
    </w:pPr>
  </w:style>
  <w:style w:type="paragraph" w:styleId="FootnoteText">
    <w:name w:val="footnote text"/>
    <w:aliases w:val=" Char,Char,Footnote Text Char1 Char,Footnote Text Char Char Char,Footnote Text Char2 Char Char Char,Footnote Text Char1 Char1 Char Char Char,Footnote Text Char Char Char Char Char Char,Footnote Text Char1,Footnote Text Char2,f,5_G, Car,fn"/>
    <w:basedOn w:val="Normal"/>
    <w:link w:val="FootnoteTextChar"/>
    <w:qFormat/>
    <w:rsid w:val="002F3197"/>
    <w:pPr>
      <w:jc w:val="left"/>
    </w:pPr>
    <w:rPr>
      <w:rFonts w:ascii="Berling Antiqua" w:eastAsia="Times New Roman" w:hAnsi="Berling Antiqua"/>
      <w:position w:val="0"/>
      <w:szCs w:val="20"/>
    </w:rPr>
  </w:style>
  <w:style w:type="character" w:customStyle="1" w:styleId="FootnoteTextChar">
    <w:name w:val="Footnote Text Char"/>
    <w:aliases w:val=" Char Char,Char Char,Footnote Text Char1 Char Char,Footnote Text Char Char Char Char,Footnote Text Char2 Char Char Char Char,Footnote Text Char1 Char1 Char Char Char Char,Footnote Text Char Char Char Char Char Char Char,f Char,fn Char"/>
    <w:basedOn w:val="DefaultParagraphFont"/>
    <w:link w:val="FootnoteText"/>
    <w:qFormat/>
    <w:rsid w:val="002F3197"/>
    <w:rPr>
      <w:rFonts w:ascii="Berling Antiqua" w:eastAsia="Times New Roman" w:hAnsi="Berling Antiqua"/>
      <w:sz w:val="20"/>
      <w:szCs w:val="20"/>
    </w:rPr>
  </w:style>
  <w:style w:type="character" w:styleId="FootnoteReference">
    <w:name w:val="footnote reference"/>
    <w:aliases w:val="Footnotes refss,Footnote number,Footnote Reference Char3,Footnote Reference Char1 Char,Char Char Car Char Car Char Car Char Car Char Car Char Char Char1 Char,Footnote Reference Char Char Char,Texto de nota al pie,ftref,4_G"/>
    <w:basedOn w:val="DefaultParagraphFont"/>
    <w:link w:val="4GChar"/>
    <w:qFormat/>
    <w:rsid w:val="002F3197"/>
    <w:rPr>
      <w:vertAlign w:val="superscript"/>
    </w:rPr>
  </w:style>
  <w:style w:type="paragraph" w:styleId="Footer">
    <w:name w:val="footer"/>
    <w:basedOn w:val="Normal"/>
    <w:link w:val="FooterChar"/>
    <w:uiPriority w:val="99"/>
    <w:unhideWhenUsed/>
    <w:rsid w:val="002F3197"/>
    <w:pPr>
      <w:tabs>
        <w:tab w:val="center" w:pos="4320"/>
        <w:tab w:val="right" w:pos="8640"/>
      </w:tabs>
    </w:pPr>
  </w:style>
  <w:style w:type="character" w:customStyle="1" w:styleId="FooterChar">
    <w:name w:val="Footer Char"/>
    <w:basedOn w:val="DefaultParagraphFont"/>
    <w:link w:val="Footer"/>
    <w:uiPriority w:val="99"/>
    <w:rsid w:val="002F3197"/>
    <w:rPr>
      <w:position w:val="6"/>
      <w:sz w:val="20"/>
    </w:rPr>
  </w:style>
  <w:style w:type="character" w:styleId="PageNumber">
    <w:name w:val="page number"/>
    <w:basedOn w:val="DefaultParagraphFont"/>
    <w:uiPriority w:val="99"/>
    <w:semiHidden/>
    <w:unhideWhenUsed/>
    <w:rsid w:val="002F3197"/>
  </w:style>
  <w:style w:type="paragraph" w:customStyle="1" w:styleId="doc-ti">
    <w:name w:val="doc-ti"/>
    <w:basedOn w:val="Normal"/>
    <w:rsid w:val="002F3197"/>
    <w:pPr>
      <w:spacing w:before="100" w:beforeAutospacing="1" w:after="100" w:afterAutospacing="1"/>
      <w:jc w:val="left"/>
    </w:pPr>
    <w:rPr>
      <w:rFonts w:eastAsia="Times New Roman"/>
      <w:position w:val="0"/>
      <w:sz w:val="24"/>
      <w:lang w:eastAsia="en-AU"/>
    </w:rPr>
  </w:style>
  <w:style w:type="paragraph" w:customStyle="1" w:styleId="4GChar">
    <w:name w:val="4_G Char"/>
    <w:aliases w:val="Footnote Reference1 Char,Footnotes refss Char,ftref Char,BVI fnr Char,BVI fnr Car Car Char,BVI fnr Car Char,BVI fnr Car Car Car Car Char,BVI fnr Char Car Car Car Char,BVI fnr Char Car Car Car Char Char"/>
    <w:basedOn w:val="Normal"/>
    <w:link w:val="FootnoteReference"/>
    <w:uiPriority w:val="99"/>
    <w:rsid w:val="002F3197"/>
    <w:pPr>
      <w:autoSpaceDE w:val="0"/>
      <w:autoSpaceDN w:val="0"/>
      <w:adjustRightInd w:val="0"/>
      <w:spacing w:line="240" w:lineRule="exact"/>
    </w:pPr>
    <w:rPr>
      <w:position w:val="0"/>
      <w:sz w:val="24"/>
      <w:vertAlign w:val="superscript"/>
    </w:rPr>
  </w:style>
  <w:style w:type="paragraph" w:customStyle="1" w:styleId="4GCharCharChar">
    <w:name w:val="4_G Char Char Char"/>
    <w:aliases w:val="ftref Char Char Char,16 Point Char Char Char,Superscript 6 Point Char Char Char Char Char Char"/>
    <w:basedOn w:val="Normal"/>
    <w:rsid w:val="007E32CF"/>
    <w:rPr>
      <w:position w:val="0"/>
      <w:sz w:val="24"/>
      <w:vertAlign w:val="superscript"/>
    </w:rPr>
  </w:style>
  <w:style w:type="character" w:styleId="CommentReference">
    <w:name w:val="annotation reference"/>
    <w:basedOn w:val="DefaultParagraphFont"/>
    <w:uiPriority w:val="99"/>
    <w:semiHidden/>
    <w:unhideWhenUsed/>
    <w:rsid w:val="009B2008"/>
    <w:rPr>
      <w:sz w:val="16"/>
      <w:szCs w:val="16"/>
    </w:rPr>
  </w:style>
  <w:style w:type="paragraph" w:styleId="CommentText">
    <w:name w:val="annotation text"/>
    <w:basedOn w:val="Normal"/>
    <w:link w:val="CommentTextChar"/>
    <w:uiPriority w:val="99"/>
    <w:unhideWhenUsed/>
    <w:rsid w:val="009B2008"/>
    <w:pPr>
      <w:spacing w:after="200"/>
      <w:jc w:val="left"/>
    </w:pPr>
    <w:rPr>
      <w:rFonts w:asciiTheme="minorHAnsi" w:hAnsiTheme="minorHAnsi" w:cstheme="minorBidi"/>
      <w:position w:val="0"/>
      <w:szCs w:val="20"/>
      <w:lang w:val="en-GB"/>
    </w:rPr>
  </w:style>
  <w:style w:type="character" w:customStyle="1" w:styleId="CommentTextChar">
    <w:name w:val="Comment Text Char"/>
    <w:basedOn w:val="DefaultParagraphFont"/>
    <w:link w:val="CommentText"/>
    <w:uiPriority w:val="99"/>
    <w:rsid w:val="009B2008"/>
    <w:rPr>
      <w:rFonts w:asciiTheme="minorHAnsi" w:hAnsiTheme="minorHAnsi" w:cstheme="minorBidi"/>
      <w:sz w:val="20"/>
      <w:szCs w:val="20"/>
      <w:lang w:val="en-GB"/>
    </w:rPr>
  </w:style>
  <w:style w:type="paragraph" w:styleId="BalloonText">
    <w:name w:val="Balloon Text"/>
    <w:basedOn w:val="Normal"/>
    <w:link w:val="BalloonTextChar"/>
    <w:uiPriority w:val="99"/>
    <w:semiHidden/>
    <w:unhideWhenUsed/>
    <w:rsid w:val="009B20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008"/>
    <w:rPr>
      <w:rFonts w:ascii="Segoe UI" w:hAnsi="Segoe UI" w:cs="Segoe UI"/>
      <w:position w:val="6"/>
      <w:sz w:val="18"/>
      <w:szCs w:val="18"/>
    </w:rPr>
  </w:style>
  <w:style w:type="character" w:styleId="Hyperlink">
    <w:name w:val="Hyperlink"/>
    <w:basedOn w:val="DefaultParagraphFont"/>
    <w:uiPriority w:val="99"/>
    <w:unhideWhenUsed/>
    <w:rsid w:val="007C0F7D"/>
    <w:rPr>
      <w:color w:val="0563C1" w:themeColor="hyperlink"/>
      <w:u w:val="single"/>
    </w:rPr>
  </w:style>
  <w:style w:type="paragraph" w:styleId="NormalWeb">
    <w:name w:val="Normal (Web)"/>
    <w:basedOn w:val="Normal"/>
    <w:uiPriority w:val="99"/>
    <w:unhideWhenUsed/>
    <w:rsid w:val="001F0A9E"/>
    <w:pPr>
      <w:spacing w:before="100" w:beforeAutospacing="1" w:after="100" w:afterAutospacing="1"/>
      <w:jc w:val="left"/>
    </w:pPr>
    <w:rPr>
      <w:rFonts w:eastAsia="Times New Roman"/>
      <w:position w:val="0"/>
      <w:sz w:val="24"/>
      <w:lang w:val="en-US"/>
    </w:rPr>
  </w:style>
  <w:style w:type="character" w:styleId="Strong">
    <w:name w:val="Strong"/>
    <w:basedOn w:val="DefaultParagraphFont"/>
    <w:uiPriority w:val="22"/>
    <w:qFormat/>
    <w:rsid w:val="008C6B5A"/>
    <w:rPr>
      <w:b/>
      <w:bCs/>
    </w:rPr>
  </w:style>
  <w:style w:type="paragraph" w:styleId="Header">
    <w:name w:val="header"/>
    <w:basedOn w:val="Normal"/>
    <w:link w:val="HeaderChar"/>
    <w:uiPriority w:val="99"/>
    <w:unhideWhenUsed/>
    <w:rsid w:val="001E0215"/>
    <w:pPr>
      <w:tabs>
        <w:tab w:val="center" w:pos="4513"/>
        <w:tab w:val="right" w:pos="9026"/>
      </w:tabs>
    </w:pPr>
  </w:style>
  <w:style w:type="character" w:customStyle="1" w:styleId="HeaderChar">
    <w:name w:val="Header Char"/>
    <w:basedOn w:val="DefaultParagraphFont"/>
    <w:link w:val="Header"/>
    <w:uiPriority w:val="99"/>
    <w:rsid w:val="001E0215"/>
    <w:rPr>
      <w:position w:val="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6164">
      <w:bodyDiv w:val="1"/>
      <w:marLeft w:val="0"/>
      <w:marRight w:val="0"/>
      <w:marTop w:val="0"/>
      <w:marBottom w:val="0"/>
      <w:divBdr>
        <w:top w:val="none" w:sz="0" w:space="0" w:color="auto"/>
        <w:left w:val="none" w:sz="0" w:space="0" w:color="auto"/>
        <w:bottom w:val="none" w:sz="0" w:space="0" w:color="auto"/>
        <w:right w:val="none" w:sz="0" w:space="0" w:color="auto"/>
      </w:divBdr>
    </w:div>
    <w:div w:id="704673963">
      <w:bodyDiv w:val="1"/>
      <w:marLeft w:val="0"/>
      <w:marRight w:val="0"/>
      <w:marTop w:val="0"/>
      <w:marBottom w:val="0"/>
      <w:divBdr>
        <w:top w:val="none" w:sz="0" w:space="0" w:color="auto"/>
        <w:left w:val="none" w:sz="0" w:space="0" w:color="auto"/>
        <w:bottom w:val="none" w:sz="0" w:space="0" w:color="auto"/>
        <w:right w:val="none" w:sz="0" w:space="0" w:color="auto"/>
      </w:divBdr>
    </w:div>
    <w:div w:id="749929770">
      <w:bodyDiv w:val="1"/>
      <w:marLeft w:val="0"/>
      <w:marRight w:val="0"/>
      <w:marTop w:val="0"/>
      <w:marBottom w:val="0"/>
      <w:divBdr>
        <w:top w:val="none" w:sz="0" w:space="0" w:color="auto"/>
        <w:left w:val="none" w:sz="0" w:space="0" w:color="auto"/>
        <w:bottom w:val="none" w:sz="0" w:space="0" w:color="auto"/>
        <w:right w:val="none" w:sz="0" w:space="0" w:color="auto"/>
      </w:divBdr>
    </w:div>
    <w:div w:id="1423599085">
      <w:bodyDiv w:val="1"/>
      <w:marLeft w:val="0"/>
      <w:marRight w:val="0"/>
      <w:marTop w:val="0"/>
      <w:marBottom w:val="0"/>
      <w:divBdr>
        <w:top w:val="none" w:sz="0" w:space="0" w:color="auto"/>
        <w:left w:val="none" w:sz="0" w:space="0" w:color="auto"/>
        <w:bottom w:val="none" w:sz="0" w:space="0" w:color="auto"/>
        <w:right w:val="none" w:sz="0" w:space="0" w:color="auto"/>
      </w:divBdr>
    </w:div>
    <w:div w:id="1732265062">
      <w:bodyDiv w:val="1"/>
      <w:marLeft w:val="0"/>
      <w:marRight w:val="0"/>
      <w:marTop w:val="0"/>
      <w:marBottom w:val="0"/>
      <w:divBdr>
        <w:top w:val="none" w:sz="0" w:space="0" w:color="auto"/>
        <w:left w:val="none" w:sz="0" w:space="0" w:color="auto"/>
        <w:bottom w:val="none" w:sz="0" w:space="0" w:color="auto"/>
        <w:right w:val="none" w:sz="0" w:space="0" w:color="auto"/>
      </w:divBdr>
    </w:div>
    <w:div w:id="194368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counterterrorism/international-legal-instr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F9ADD8-5724-48EA-A33D-9CC8E04408A6}">
  <ds:schemaRefs>
    <ds:schemaRef ds:uri="http://schemas.openxmlformats.org/officeDocument/2006/bibliography"/>
  </ds:schemaRefs>
</ds:datastoreItem>
</file>

<file path=customXml/itemProps2.xml><?xml version="1.0" encoding="utf-8"?>
<ds:datastoreItem xmlns:ds="http://schemas.openxmlformats.org/officeDocument/2006/customXml" ds:itemID="{E3936444-42F0-462C-8B78-1C15F1BADB9E}"/>
</file>

<file path=customXml/itemProps3.xml><?xml version="1.0" encoding="utf-8"?>
<ds:datastoreItem xmlns:ds="http://schemas.openxmlformats.org/officeDocument/2006/customXml" ds:itemID="{265302F4-9AC1-4BA1-B23E-BB12CC24C549}"/>
</file>

<file path=customXml/itemProps4.xml><?xml version="1.0" encoding="utf-8"?>
<ds:datastoreItem xmlns:ds="http://schemas.openxmlformats.org/officeDocument/2006/customXml" ds:itemID="{41E6D8EA-F37B-4C45-9966-4746E8C2041F}"/>
</file>

<file path=docProps/app.xml><?xml version="1.0" encoding="utf-8"?>
<Properties xmlns="http://schemas.openxmlformats.org/officeDocument/2006/extended-properties" xmlns:vt="http://schemas.openxmlformats.org/officeDocument/2006/docPropsVTypes">
  <Template>Normal</Template>
  <TotalTime>1633</TotalTime>
  <Pages>28</Pages>
  <Words>8980</Words>
  <Characters>51188</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138</cp:revision>
  <cp:lastPrinted>2020-06-30T08:32:00Z</cp:lastPrinted>
  <dcterms:created xsi:type="dcterms:W3CDTF">2020-06-18T05:49:00Z</dcterms:created>
  <dcterms:modified xsi:type="dcterms:W3CDTF">2020-06-30T13:53:00Z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