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C5138" w14:textId="1AF15614" w:rsidR="006C46F2" w:rsidRDefault="006C46F2" w:rsidP="006C46F2">
      <w:pPr>
        <w:pStyle w:val="Header"/>
        <w:jc w:val="center"/>
      </w:pPr>
    </w:p>
    <w:p w14:paraId="040032BF" w14:textId="76C36AB1" w:rsidR="00966BDF" w:rsidRPr="00FC7E15" w:rsidRDefault="00966BDF" w:rsidP="00C50459">
      <w:pPr>
        <w:jc w:val="center"/>
        <w:rPr>
          <w:b/>
          <w:color w:val="000000" w:themeColor="text1"/>
          <w:sz w:val="24"/>
          <w:szCs w:val="24"/>
          <w:lang w:val="es-ES"/>
        </w:rPr>
      </w:pPr>
      <w:r w:rsidRPr="00FC7E15">
        <w:rPr>
          <w:b/>
          <w:color w:val="000000" w:themeColor="text1"/>
          <w:sz w:val="24"/>
          <w:szCs w:val="24"/>
          <w:lang w:val="es-ES"/>
        </w:rPr>
        <w:t>Directrices ASPIRE</w:t>
      </w:r>
    </w:p>
    <w:p w14:paraId="16A776CC" w14:textId="018A7671" w:rsidR="00966BDF" w:rsidRPr="00FC7E15" w:rsidRDefault="00966BDF" w:rsidP="00C50459">
      <w:pPr>
        <w:jc w:val="center"/>
        <w:rPr>
          <w:b/>
          <w:color w:val="000000" w:themeColor="text1"/>
          <w:sz w:val="24"/>
          <w:szCs w:val="24"/>
          <w:lang w:val="es-ES"/>
        </w:rPr>
      </w:pPr>
      <w:r w:rsidRPr="00FC7E15">
        <w:rPr>
          <w:b/>
          <w:color w:val="000000" w:themeColor="text1"/>
          <w:sz w:val="24"/>
          <w:szCs w:val="24"/>
          <w:lang w:val="es-ES"/>
        </w:rPr>
        <w:t>sobre acciones de respuesta y recuperación f</w:t>
      </w:r>
      <w:bookmarkStart w:id="0" w:name="_GoBack"/>
      <w:bookmarkEnd w:id="0"/>
      <w:r w:rsidRPr="00FC7E15">
        <w:rPr>
          <w:b/>
          <w:color w:val="000000" w:themeColor="text1"/>
          <w:sz w:val="24"/>
          <w:szCs w:val="24"/>
          <w:lang w:val="es-ES"/>
        </w:rPr>
        <w:t>rente al COVID-19</w:t>
      </w:r>
    </w:p>
    <w:p w14:paraId="3185266F" w14:textId="77777777" w:rsidR="00966BDF" w:rsidRPr="00FC7E15" w:rsidRDefault="00966BDF" w:rsidP="00C50459">
      <w:pPr>
        <w:jc w:val="center"/>
        <w:rPr>
          <w:b/>
          <w:color w:val="000000" w:themeColor="text1"/>
          <w:sz w:val="24"/>
          <w:szCs w:val="24"/>
          <w:lang w:val="es-ES"/>
        </w:rPr>
      </w:pPr>
      <w:r w:rsidRPr="00FC7E15">
        <w:rPr>
          <w:b/>
          <w:color w:val="000000" w:themeColor="text1"/>
          <w:sz w:val="24"/>
          <w:szCs w:val="24"/>
          <w:lang w:val="es-ES"/>
        </w:rPr>
        <w:t>libres de violencia y discriminación por motivos de orientación sexual y la identidad de género</w:t>
      </w:r>
    </w:p>
    <w:p w14:paraId="5C203E40" w14:textId="77777777" w:rsidR="00966BDF" w:rsidRPr="00FC7E15" w:rsidRDefault="00966BDF" w:rsidP="00C50459">
      <w:pPr>
        <w:jc w:val="center"/>
        <w:rPr>
          <w:b/>
          <w:color w:val="000000" w:themeColor="text1"/>
          <w:sz w:val="24"/>
          <w:szCs w:val="24"/>
          <w:lang w:val="es-ES"/>
        </w:rPr>
      </w:pPr>
    </w:p>
    <w:p w14:paraId="5C00F37E" w14:textId="77777777" w:rsidR="00966BDF" w:rsidRPr="00FC7E15" w:rsidRDefault="00966BDF" w:rsidP="00C50459">
      <w:pPr>
        <w:jc w:val="center"/>
        <w:rPr>
          <w:b/>
          <w:color w:val="000000" w:themeColor="text1"/>
          <w:sz w:val="24"/>
          <w:szCs w:val="24"/>
          <w:lang w:val="es-ES"/>
        </w:rPr>
      </w:pPr>
      <w:r w:rsidRPr="00FC7E15">
        <w:rPr>
          <w:b/>
          <w:color w:val="000000" w:themeColor="text1"/>
          <w:sz w:val="24"/>
          <w:szCs w:val="24"/>
          <w:lang w:val="es-ES"/>
        </w:rPr>
        <w:t>Víctor Madrigal-Borloz</w:t>
      </w:r>
    </w:p>
    <w:p w14:paraId="2B8A053D" w14:textId="37EE749D" w:rsidR="00966BDF" w:rsidRPr="00FC7E15" w:rsidRDefault="00966BDF" w:rsidP="00C50459">
      <w:pPr>
        <w:jc w:val="center"/>
        <w:rPr>
          <w:b/>
          <w:color w:val="000000" w:themeColor="text1"/>
          <w:sz w:val="24"/>
          <w:szCs w:val="24"/>
          <w:lang w:val="es-ES"/>
        </w:rPr>
      </w:pPr>
      <w:r w:rsidRPr="00FC7E15">
        <w:rPr>
          <w:b/>
          <w:color w:val="000000" w:themeColor="text1"/>
          <w:sz w:val="24"/>
          <w:szCs w:val="24"/>
          <w:lang w:val="es-ES"/>
        </w:rPr>
        <w:t>Experto Independiente sobre la protección contra la violencia y la discriminación</w:t>
      </w:r>
    </w:p>
    <w:p w14:paraId="68F7AE2E" w14:textId="77777777" w:rsidR="00966BDF" w:rsidRPr="00FC7E15" w:rsidRDefault="00966BDF" w:rsidP="00C50459">
      <w:pPr>
        <w:jc w:val="center"/>
        <w:rPr>
          <w:b/>
          <w:color w:val="000000" w:themeColor="text1"/>
          <w:sz w:val="24"/>
          <w:szCs w:val="24"/>
          <w:lang w:val="es-ES"/>
        </w:rPr>
      </w:pPr>
      <w:r w:rsidRPr="00FC7E15">
        <w:rPr>
          <w:b/>
          <w:color w:val="000000" w:themeColor="text1"/>
          <w:sz w:val="24"/>
          <w:szCs w:val="24"/>
          <w:lang w:val="es-ES"/>
        </w:rPr>
        <w:t>por motivos de orientación sexual o identidad de género</w:t>
      </w:r>
    </w:p>
    <w:p w14:paraId="00E1FD52" w14:textId="77777777" w:rsidR="00966BDF" w:rsidRPr="00FC7E15" w:rsidRDefault="00966BDF" w:rsidP="00C50459">
      <w:pPr>
        <w:jc w:val="center"/>
        <w:rPr>
          <w:b/>
          <w:color w:val="000000" w:themeColor="text1"/>
          <w:sz w:val="24"/>
          <w:szCs w:val="24"/>
          <w:lang w:val="es-ES"/>
        </w:rPr>
      </w:pPr>
    </w:p>
    <w:p w14:paraId="78BFE7C3" w14:textId="77777777" w:rsidR="00966BDF" w:rsidRPr="00FC7E15" w:rsidRDefault="00966BDF" w:rsidP="00C50459">
      <w:pPr>
        <w:jc w:val="center"/>
        <w:rPr>
          <w:b/>
          <w:color w:val="000000" w:themeColor="text1"/>
          <w:sz w:val="24"/>
          <w:szCs w:val="24"/>
          <w:lang w:val="es-ES"/>
        </w:rPr>
      </w:pPr>
    </w:p>
    <w:p w14:paraId="752B0DC9" w14:textId="18F5384F" w:rsidR="00966BDF" w:rsidRPr="00FC7E15" w:rsidRDefault="00954D40" w:rsidP="00C50459">
      <w:pPr>
        <w:jc w:val="center"/>
        <w:rPr>
          <w:b/>
          <w:color w:val="000000" w:themeColor="text1"/>
          <w:sz w:val="24"/>
          <w:szCs w:val="24"/>
          <w:lang w:val="es-ES"/>
        </w:rPr>
      </w:pPr>
      <w:r w:rsidRPr="00FC7E15">
        <w:rPr>
          <w:b/>
          <w:color w:val="000000" w:themeColor="text1"/>
          <w:sz w:val="24"/>
          <w:szCs w:val="24"/>
          <w:lang w:val="es-ES"/>
        </w:rPr>
        <w:t>18</w:t>
      </w:r>
      <w:r w:rsidR="00966BDF" w:rsidRPr="00FC7E15">
        <w:rPr>
          <w:b/>
          <w:color w:val="000000" w:themeColor="text1"/>
          <w:sz w:val="24"/>
          <w:szCs w:val="24"/>
          <w:lang w:val="es-ES"/>
        </w:rPr>
        <w:t xml:space="preserve"> de junio de 2020</w:t>
      </w:r>
    </w:p>
    <w:p w14:paraId="0FBCDD9F" w14:textId="77777777" w:rsidR="00966BDF" w:rsidRPr="00C50459" w:rsidRDefault="00966BDF" w:rsidP="00C50459">
      <w:pPr>
        <w:jc w:val="both"/>
        <w:rPr>
          <w:color w:val="000000" w:themeColor="text1"/>
          <w:sz w:val="22"/>
          <w:szCs w:val="22"/>
          <w:lang w:val="es-ES"/>
        </w:rPr>
      </w:pPr>
    </w:p>
    <w:p w14:paraId="5B8ECB24" w14:textId="77777777" w:rsidR="00966BDF" w:rsidRPr="00C50459" w:rsidRDefault="00966BDF" w:rsidP="00C50459">
      <w:pPr>
        <w:jc w:val="both"/>
        <w:rPr>
          <w:b/>
          <w:color w:val="000000" w:themeColor="text1"/>
          <w:sz w:val="22"/>
          <w:szCs w:val="22"/>
          <w:lang w:val="es-ES"/>
        </w:rPr>
      </w:pPr>
      <w:r w:rsidRPr="00C50459">
        <w:rPr>
          <w:b/>
          <w:color w:val="000000" w:themeColor="text1"/>
          <w:sz w:val="22"/>
          <w:szCs w:val="22"/>
          <w:lang w:val="es-ES"/>
        </w:rPr>
        <w:t>Introducción</w:t>
      </w:r>
    </w:p>
    <w:p w14:paraId="10140EA1" w14:textId="77777777" w:rsidR="00966BDF" w:rsidRPr="00C50459" w:rsidRDefault="00966BDF" w:rsidP="00C50459">
      <w:pPr>
        <w:jc w:val="both"/>
        <w:rPr>
          <w:color w:val="000000" w:themeColor="text1"/>
          <w:sz w:val="22"/>
          <w:szCs w:val="22"/>
          <w:lang w:val="es-ES"/>
        </w:rPr>
      </w:pPr>
    </w:p>
    <w:p w14:paraId="6C81F533" w14:textId="77777777" w:rsidR="00966BDF" w:rsidRPr="00C50459" w:rsidRDefault="00966BDF" w:rsidP="00C50459">
      <w:pPr>
        <w:jc w:val="both"/>
        <w:rPr>
          <w:color w:val="000000" w:themeColor="text1"/>
          <w:sz w:val="22"/>
          <w:szCs w:val="22"/>
          <w:lang w:val="es-ES"/>
        </w:rPr>
      </w:pPr>
      <w:r w:rsidRPr="00C50459">
        <w:rPr>
          <w:color w:val="000000" w:themeColor="text1"/>
          <w:sz w:val="22"/>
          <w:szCs w:val="22"/>
          <w:lang w:val="es-ES"/>
        </w:rPr>
        <w:t>La pandemia del COVID-19 es un desafío mundial que ha exacerbado las desigualdades existentes en todas las regiones del mundo. La Asamblea General de las Naciones Unidas ha reconocido que " los más pobres y los más vulnerables son los más afectados por la pandemia"</w:t>
      </w:r>
      <w:r w:rsidRPr="00C50459">
        <w:rPr>
          <w:rStyle w:val="FootnoteReference"/>
          <w:sz w:val="22"/>
          <w:szCs w:val="22"/>
          <w:lang w:val="es-ES"/>
        </w:rPr>
        <w:footnoteReference w:id="1"/>
      </w:r>
      <w:r w:rsidRPr="00C50459">
        <w:rPr>
          <w:color w:val="000000" w:themeColor="text1"/>
          <w:sz w:val="22"/>
          <w:szCs w:val="22"/>
          <w:lang w:val="es-ES"/>
        </w:rPr>
        <w:t xml:space="preserve"> y es necesario "que todas las partes interesadas colaboren en los planos nacional, regional y mundial para asegurar que no se deje a nadie atrás".</w:t>
      </w:r>
      <w:r w:rsidRPr="00C50459">
        <w:rPr>
          <w:rStyle w:val="FootnoteReference"/>
          <w:sz w:val="22"/>
          <w:szCs w:val="22"/>
          <w:lang w:val="es-ES"/>
        </w:rPr>
        <w:footnoteReference w:id="2"/>
      </w:r>
      <w:r w:rsidRPr="00C50459">
        <w:rPr>
          <w:color w:val="000000" w:themeColor="text1"/>
          <w:sz w:val="22"/>
          <w:szCs w:val="22"/>
          <w:lang w:val="es-ES"/>
        </w:rPr>
        <w:t xml:space="preserve"> El Secretario General de las Naciones Unidas ha señalado que "[l]a crisis de la COVID-19 ha exacerbado la vulnerabilidad de quienes menos protecciones gozan en la sociedad, y está poniendo de relieve las profundas desigualdades económicas y sociales y las deficiencias de los sistemas de salud y protección social que exigen una atención urgente como parte de la respuesta de salud pública. Las mujeres y los hombres, los niños, los jóvenes y las personas de edad, los refugiados y los migrantes, los pobres, las personas con discapacidad, las personas detenidas, las minorías y las personas LGBTI, entre otros grupos, padecen consecuencias muy distintas. Tenemos la obligación de asegurarnos de que todos estén protegidos e incluidos en la respuesta a esta crisis".</w:t>
      </w:r>
      <w:r w:rsidRPr="00C50459">
        <w:rPr>
          <w:rStyle w:val="FootnoteReference"/>
          <w:sz w:val="22"/>
          <w:szCs w:val="22"/>
          <w:lang w:val="es-ES"/>
        </w:rPr>
        <w:footnoteReference w:id="3"/>
      </w:r>
    </w:p>
    <w:p w14:paraId="50A8A701" w14:textId="77777777" w:rsidR="00966BDF" w:rsidRPr="00C50459" w:rsidRDefault="00966BDF" w:rsidP="00C50459">
      <w:pPr>
        <w:jc w:val="both"/>
        <w:rPr>
          <w:color w:val="000000" w:themeColor="text1"/>
          <w:sz w:val="22"/>
          <w:szCs w:val="22"/>
          <w:lang w:val="es-ES"/>
        </w:rPr>
      </w:pPr>
    </w:p>
    <w:p w14:paraId="711BA667" w14:textId="77777777" w:rsidR="00966BDF" w:rsidRPr="00C50459" w:rsidRDefault="00966BDF" w:rsidP="00C50459">
      <w:pPr>
        <w:jc w:val="both"/>
        <w:rPr>
          <w:color w:val="000000" w:themeColor="text1"/>
          <w:sz w:val="22"/>
          <w:szCs w:val="22"/>
          <w:lang w:val="es-ES"/>
        </w:rPr>
      </w:pPr>
      <w:r w:rsidRPr="00C50459">
        <w:rPr>
          <w:color w:val="000000" w:themeColor="text1"/>
          <w:sz w:val="22"/>
          <w:szCs w:val="22"/>
          <w:lang w:val="es-ES"/>
        </w:rPr>
        <w:t>Las personas, comunidades y poblaciones víctimas de la violencia y la discriminación por motivos de orientación sexual e identidad de género forman parte de quienes arriban a esta lucha enfrentando un legado que condena a una proporción significativa de ellas a la exclusión y la pobreza. A este respecto, los Estados tienen la obligación de adoptar medidas para prevenir y, en su caso, mitigar el impacto de la crisis. El Comité de Derechos Económicos, Sociales y Culturales de las Naciones Unidas ha advertido que "si los Estados no actúan dentro del marco de los derechos humanos, existe un riesgo evidente de que las medidas adoptadas vulneren los derechos económicos, sociales y culturales y aumenten el sufrimiento de los grupos más marginados".</w:t>
      </w:r>
      <w:r w:rsidRPr="00C50459">
        <w:rPr>
          <w:rStyle w:val="FootnoteReference"/>
          <w:sz w:val="22"/>
          <w:szCs w:val="22"/>
          <w:lang w:val="es-ES"/>
        </w:rPr>
        <w:footnoteReference w:id="4"/>
      </w:r>
    </w:p>
    <w:p w14:paraId="4CCBC3D7" w14:textId="77777777" w:rsidR="00966BDF" w:rsidRPr="00C50459" w:rsidRDefault="00966BDF" w:rsidP="00C50459">
      <w:pPr>
        <w:jc w:val="both"/>
        <w:rPr>
          <w:color w:val="000000" w:themeColor="text1"/>
          <w:sz w:val="22"/>
          <w:szCs w:val="22"/>
          <w:lang w:val="es-ES"/>
        </w:rPr>
      </w:pPr>
    </w:p>
    <w:p w14:paraId="4024E3DA" w14:textId="77777777" w:rsidR="00966BDF" w:rsidRPr="00C50459" w:rsidRDefault="00966BDF" w:rsidP="00C50459">
      <w:pPr>
        <w:jc w:val="both"/>
        <w:rPr>
          <w:color w:val="000000" w:themeColor="text1"/>
          <w:sz w:val="22"/>
          <w:szCs w:val="22"/>
          <w:lang w:val="es-ES"/>
        </w:rPr>
      </w:pPr>
      <w:r w:rsidRPr="00C50459">
        <w:rPr>
          <w:color w:val="000000" w:themeColor="text1"/>
          <w:sz w:val="22"/>
          <w:szCs w:val="22"/>
          <w:lang w:val="es-ES"/>
        </w:rPr>
        <w:t xml:space="preserve">Desde el inicio de la pandemia, el Experto Independiente de las Naciones Unidas sobre la protección contra la violencia y la discriminación basada en la orientación sexual y la identidad </w:t>
      </w:r>
      <w:r w:rsidRPr="00C50459">
        <w:rPr>
          <w:color w:val="000000" w:themeColor="text1"/>
          <w:sz w:val="22"/>
          <w:szCs w:val="22"/>
          <w:lang w:val="es-ES"/>
        </w:rPr>
        <w:lastRenderedPageBreak/>
        <w:t>de género (IE SOGI) ha estado supervisando las formas en que la pandemia está generando impacto sobre las personas de orientaciones sexuales e identidades de género diversas. Como parte de este proceso, llevó a cabo un proceso de consulta e investigación entre marzo y mayo de 2020, el cual incluyó tres reuniones abiertas el 30 de abril y el 1 de mayo de 2020, y su participación en más de media docena de consultas y reuniones virtuales con activistas, defensores de derechos humanos, líderes de la sociedad civil, funcionarios gubernamentales y académicos: en total, más de 500 personas de más de 75 países aportaron evidencia y evidencia anecdótica sobre las implicaciones de la pandemia en lesbianas, personas gay, bisexual, trans y de género-diversas (LGBT).</w:t>
      </w:r>
    </w:p>
    <w:p w14:paraId="6245E661" w14:textId="77777777" w:rsidR="00966BDF" w:rsidRPr="00C50459" w:rsidRDefault="00966BDF" w:rsidP="00C50459">
      <w:pPr>
        <w:pBdr>
          <w:top w:val="nil"/>
          <w:left w:val="nil"/>
          <w:bottom w:val="nil"/>
          <w:right w:val="nil"/>
          <w:between w:val="nil"/>
        </w:pBdr>
        <w:jc w:val="both"/>
        <w:rPr>
          <w:color w:val="000000" w:themeColor="text1"/>
          <w:sz w:val="22"/>
          <w:szCs w:val="22"/>
          <w:lang w:val="es-ES"/>
        </w:rPr>
      </w:pPr>
    </w:p>
    <w:p w14:paraId="2EA3FC51" w14:textId="77777777" w:rsidR="00966BDF" w:rsidRPr="00C50459" w:rsidRDefault="00966BDF" w:rsidP="00C50459">
      <w:pPr>
        <w:pBdr>
          <w:top w:val="nil"/>
          <w:left w:val="nil"/>
          <w:bottom w:val="nil"/>
          <w:right w:val="nil"/>
          <w:between w:val="nil"/>
        </w:pBdr>
        <w:jc w:val="both"/>
        <w:rPr>
          <w:color w:val="000000" w:themeColor="text1"/>
          <w:sz w:val="22"/>
          <w:szCs w:val="22"/>
          <w:lang w:val="es-ES"/>
        </w:rPr>
      </w:pPr>
      <w:r w:rsidRPr="00C50459">
        <w:rPr>
          <w:color w:val="000000" w:themeColor="text1"/>
          <w:sz w:val="22"/>
          <w:szCs w:val="22"/>
          <w:lang w:val="es-ES"/>
        </w:rPr>
        <w:t>Adicionalmente, el IE SOGI examinó más de 80 informes, documentos y ensayos publicados en el período comprendido entre el 1o de marzo y el 31 de mayo de 2020 sobre el impacto específico del COVID-19 en las personas LGBT, así como las denuncias de violaciones de los derechos humanos presentadas al mandato en el marco del procedimiento de comunicación y la globalidad de la labor realizada por los Procedimientos Especiales de las Naciones Unidas.</w:t>
      </w:r>
      <w:r w:rsidRPr="00C50459">
        <w:rPr>
          <w:color w:val="000000" w:themeColor="text1"/>
          <w:sz w:val="22"/>
          <w:szCs w:val="22"/>
          <w:vertAlign w:val="superscript"/>
          <w:lang w:val="es-ES"/>
        </w:rPr>
        <w:footnoteReference w:id="5"/>
      </w:r>
    </w:p>
    <w:p w14:paraId="64138A89" w14:textId="77777777" w:rsidR="00966BDF" w:rsidRPr="00C50459" w:rsidRDefault="00966BDF" w:rsidP="00C50459">
      <w:pPr>
        <w:pBdr>
          <w:top w:val="nil"/>
          <w:left w:val="nil"/>
          <w:bottom w:val="nil"/>
          <w:right w:val="nil"/>
          <w:between w:val="nil"/>
        </w:pBdr>
        <w:jc w:val="both"/>
        <w:rPr>
          <w:color w:val="000000" w:themeColor="text1"/>
          <w:sz w:val="22"/>
          <w:szCs w:val="22"/>
          <w:lang w:val="es-ES"/>
        </w:rPr>
      </w:pPr>
    </w:p>
    <w:p w14:paraId="5CB6A52D" w14:textId="77777777" w:rsidR="00966BDF" w:rsidRPr="00C50459" w:rsidRDefault="00966BDF" w:rsidP="00C50459">
      <w:pPr>
        <w:pBdr>
          <w:top w:val="nil"/>
          <w:left w:val="nil"/>
          <w:bottom w:val="nil"/>
          <w:right w:val="nil"/>
          <w:between w:val="nil"/>
        </w:pBdr>
        <w:jc w:val="both"/>
        <w:rPr>
          <w:color w:val="000000" w:themeColor="text1"/>
          <w:sz w:val="22"/>
          <w:szCs w:val="22"/>
          <w:lang w:val="es-ES"/>
        </w:rPr>
      </w:pPr>
      <w:r w:rsidRPr="00C50459">
        <w:rPr>
          <w:color w:val="000000" w:themeColor="text1"/>
          <w:sz w:val="22"/>
          <w:szCs w:val="22"/>
          <w:lang w:val="es-ES"/>
        </w:rPr>
        <w:t>El marco que se ha identificado a través de este proceso es claro: para ser eficiente y eficaces, las medidas deben adoptarse dentro de un enfoque basado en los derechos humanos y enmarcarse en los principios de igualdad y no discriminación, participación, indivisibilidad, empoderamiento y rendición de cuentas; además, las medidas deben ser necesarias para combatir la crisis de salud pública creada por la pandemia, deben ser razonables y proporcionadas. Las atribuciones de emergencia para hacer frente a la pandemia no deben ser objeto de abuso y deben levantarse tan pronto como ya no sean necesarias, y cumplir con los procedimientos de notificación y excepción pertinentes establecidos en los respectivos tratados de los que los Estados son partes.</w:t>
      </w:r>
      <w:r w:rsidRPr="00C50459">
        <w:rPr>
          <w:rStyle w:val="FootnoteReference"/>
          <w:color w:val="000000" w:themeColor="text1"/>
          <w:sz w:val="22"/>
          <w:szCs w:val="22"/>
          <w:lang w:val="es-ES"/>
        </w:rPr>
        <w:footnoteReference w:id="6"/>
      </w:r>
    </w:p>
    <w:p w14:paraId="65EB8F67" w14:textId="77777777" w:rsidR="00966BDF" w:rsidRPr="00C50459" w:rsidRDefault="00966BDF" w:rsidP="00C50459">
      <w:pPr>
        <w:pBdr>
          <w:top w:val="nil"/>
          <w:left w:val="nil"/>
          <w:bottom w:val="nil"/>
          <w:right w:val="nil"/>
          <w:between w:val="nil"/>
        </w:pBdr>
        <w:jc w:val="both"/>
        <w:rPr>
          <w:color w:val="000000" w:themeColor="text1"/>
          <w:sz w:val="22"/>
          <w:szCs w:val="22"/>
          <w:lang w:val="es-ES"/>
        </w:rPr>
      </w:pPr>
    </w:p>
    <w:p w14:paraId="18E95D61" w14:textId="77777777" w:rsidR="00966BDF" w:rsidRPr="00C50459" w:rsidRDefault="00966BDF" w:rsidP="00C50459">
      <w:pPr>
        <w:pBdr>
          <w:top w:val="nil"/>
          <w:left w:val="nil"/>
          <w:bottom w:val="nil"/>
          <w:right w:val="nil"/>
          <w:between w:val="nil"/>
        </w:pBdr>
        <w:jc w:val="both"/>
        <w:rPr>
          <w:color w:val="000000" w:themeColor="text1"/>
          <w:sz w:val="22"/>
          <w:szCs w:val="22"/>
          <w:lang w:val="es-ES"/>
        </w:rPr>
      </w:pPr>
      <w:r w:rsidRPr="00C50459">
        <w:rPr>
          <w:color w:val="000000" w:themeColor="text1"/>
          <w:sz w:val="22"/>
          <w:szCs w:val="22"/>
          <w:lang w:val="es-ES"/>
        </w:rPr>
        <w:t>Lo más importante es que todas las medidas deben respetar la dignidad inherente de todas las personas.</w:t>
      </w:r>
      <w:r w:rsidRPr="00C50459">
        <w:rPr>
          <w:rStyle w:val="FootnoteReference"/>
          <w:color w:val="000000" w:themeColor="text1"/>
          <w:sz w:val="22"/>
          <w:szCs w:val="22"/>
          <w:lang w:val="es-ES"/>
        </w:rPr>
        <w:footnoteReference w:id="7"/>
      </w:r>
    </w:p>
    <w:p w14:paraId="4BB0087C" w14:textId="77777777" w:rsidR="00966BDF" w:rsidRPr="00C50459" w:rsidRDefault="00966BDF" w:rsidP="00C50459">
      <w:pPr>
        <w:pBdr>
          <w:top w:val="nil"/>
          <w:left w:val="nil"/>
          <w:bottom w:val="nil"/>
          <w:right w:val="nil"/>
          <w:between w:val="nil"/>
        </w:pBdr>
        <w:jc w:val="both"/>
        <w:rPr>
          <w:color w:val="000000" w:themeColor="text1"/>
          <w:sz w:val="22"/>
          <w:szCs w:val="22"/>
          <w:lang w:val="es-ES"/>
        </w:rPr>
      </w:pPr>
    </w:p>
    <w:p w14:paraId="3B426A5E" w14:textId="77777777" w:rsidR="00966BDF" w:rsidRPr="00C50459" w:rsidRDefault="00966BDF" w:rsidP="00C50459">
      <w:pPr>
        <w:pBdr>
          <w:top w:val="nil"/>
          <w:left w:val="nil"/>
          <w:bottom w:val="nil"/>
          <w:right w:val="nil"/>
          <w:between w:val="nil"/>
        </w:pBdr>
        <w:jc w:val="both"/>
        <w:rPr>
          <w:color w:val="000000" w:themeColor="text1"/>
          <w:sz w:val="22"/>
          <w:szCs w:val="22"/>
          <w:lang w:val="es-ES"/>
        </w:rPr>
      </w:pPr>
      <w:r w:rsidRPr="00C50459">
        <w:rPr>
          <w:color w:val="000000" w:themeColor="text1"/>
          <w:sz w:val="22"/>
          <w:szCs w:val="22"/>
          <w:lang w:val="es-ES"/>
        </w:rPr>
        <w:t>A través de este proceso, el IE SOGI se ha enterado de las medidas de respuesta del Estado que intencional o involuntariamente discriminan a las personas LGBT. En particular, las personas y comunidades LGBT, por regla general, no han sido parte de la formulación de políticas de respuesta o mitigación de la pandemia, y en muchos casos se enfrentan a discriminación o impacto desproporcionado derivado de ellas. El 17 de mayo de 2020, 96 expertos de las Naciones Unidas y de derechos humanos internacionales emitieron una declaración histórica en la que concluyeron que:</w:t>
      </w:r>
    </w:p>
    <w:p w14:paraId="7DF77282" w14:textId="77777777" w:rsidR="00966BDF" w:rsidRPr="00C50459" w:rsidRDefault="00966BDF" w:rsidP="00C50459">
      <w:pPr>
        <w:pBdr>
          <w:top w:val="nil"/>
          <w:left w:val="nil"/>
          <w:bottom w:val="nil"/>
          <w:right w:val="nil"/>
          <w:between w:val="nil"/>
        </w:pBdr>
        <w:jc w:val="both"/>
        <w:rPr>
          <w:color w:val="000000" w:themeColor="text1"/>
          <w:sz w:val="22"/>
          <w:szCs w:val="22"/>
          <w:lang w:val="es-ES"/>
        </w:rPr>
      </w:pPr>
    </w:p>
    <w:p w14:paraId="18F0E7AE" w14:textId="77777777" w:rsidR="00966BDF" w:rsidRPr="00C50459" w:rsidRDefault="00966BDF" w:rsidP="00C50459">
      <w:pPr>
        <w:pBdr>
          <w:top w:val="nil"/>
          <w:left w:val="nil"/>
          <w:bottom w:val="nil"/>
          <w:right w:val="nil"/>
          <w:between w:val="nil"/>
        </w:pBdr>
        <w:ind w:left="567" w:right="571"/>
        <w:jc w:val="both"/>
        <w:rPr>
          <w:color w:val="000000" w:themeColor="text1"/>
          <w:sz w:val="22"/>
          <w:szCs w:val="22"/>
          <w:lang w:val="es-ES"/>
        </w:rPr>
      </w:pPr>
      <w:r w:rsidRPr="00C50459">
        <w:rPr>
          <w:color w:val="000000" w:themeColor="text1"/>
          <w:sz w:val="22"/>
          <w:szCs w:val="22"/>
          <w:lang w:val="es-ES"/>
        </w:rPr>
        <w:t xml:space="preserve">COVID-19, y las medidas adoptadas para abordarlo, exacerban las desigualdades y la discriminación. La existencia de leyes de criminalización, por ejemplo, hace que las personas LGBT sean más vulnerables a los abusos policiales y a las detenciones y detenciones arbitrarias en el contexto de restricciones de movimiento y toques de queda. Al tiempo que contribuyen a la lucha contra la pandemia al permanecer en casa, los niños, jóvenes y ancianos LGBT se ven obligados a soportar exposición prolongada a miembros de la familia que no les aceptan, lo que exacerba las tasas de violencia doméstica y abuso físico y emocional, así como daños a la salud mental. En muchas jurisdicciones, las personas LGBT, en particular las más empobrecidas o sin documentación adecuada, dependen abrumadoramente de las economías informales que las restricciones COVID-19 hacen imposible. Las consecuencias socioeconómicas de la pandemia y la pérdida de ingresos también podrían aumentar las vulnerabilidades de las personas LGBT a la trata de personas y la explotación sexual. La reasignación de recursos de salud también ha creado o exacerbado la escasez de antirretrovirales para quienes viven con el VIH, al tiempo que ha influido en la capacidad de los hombres y mujeres trans para recibir terapia hormonal o </w:t>
      </w:r>
      <w:r w:rsidRPr="00C50459">
        <w:rPr>
          <w:color w:val="000000" w:themeColor="text1"/>
          <w:sz w:val="22"/>
          <w:szCs w:val="22"/>
          <w:lang w:val="es-ES"/>
        </w:rPr>
        <w:lastRenderedPageBreak/>
        <w:t>atención que confirma el género. De conformidad con los informes disponibles, las leyes y políticas de toque de queda basados en el género han condenado a las personas de género diverso a la reclusión permanente, al tiempo que han hecho que las personas trans sean sujeto de humillación y violencia al salir.</w:t>
      </w:r>
      <w:r w:rsidRPr="00C50459">
        <w:rPr>
          <w:rStyle w:val="FootnoteReference"/>
          <w:color w:val="000000" w:themeColor="text1"/>
          <w:sz w:val="22"/>
          <w:szCs w:val="22"/>
          <w:lang w:val="es-ES"/>
        </w:rPr>
        <w:footnoteReference w:id="8"/>
      </w:r>
    </w:p>
    <w:p w14:paraId="6CF4BAD3" w14:textId="77777777" w:rsidR="00966BDF" w:rsidRPr="00C50459" w:rsidRDefault="00966BDF" w:rsidP="00C50459">
      <w:pPr>
        <w:pBdr>
          <w:top w:val="nil"/>
          <w:left w:val="nil"/>
          <w:bottom w:val="nil"/>
          <w:right w:val="nil"/>
          <w:between w:val="nil"/>
        </w:pBdr>
        <w:jc w:val="both"/>
        <w:rPr>
          <w:color w:val="000000" w:themeColor="text1"/>
          <w:sz w:val="22"/>
          <w:szCs w:val="22"/>
          <w:lang w:val="es-ES"/>
        </w:rPr>
      </w:pPr>
    </w:p>
    <w:p w14:paraId="03B02ED6" w14:textId="77777777" w:rsidR="00966BDF" w:rsidRPr="00C50459" w:rsidRDefault="00966BDF" w:rsidP="00C50459">
      <w:pPr>
        <w:pBdr>
          <w:top w:val="nil"/>
          <w:left w:val="nil"/>
          <w:bottom w:val="nil"/>
          <w:right w:val="nil"/>
          <w:between w:val="nil"/>
        </w:pBdr>
        <w:jc w:val="both"/>
        <w:rPr>
          <w:color w:val="000000" w:themeColor="text1"/>
          <w:sz w:val="22"/>
          <w:szCs w:val="22"/>
          <w:lang w:val="es-ES"/>
        </w:rPr>
      </w:pPr>
      <w:r w:rsidRPr="00C50459">
        <w:rPr>
          <w:color w:val="000000" w:themeColor="text1"/>
          <w:sz w:val="22"/>
          <w:szCs w:val="22"/>
          <w:lang w:val="es-ES"/>
        </w:rPr>
        <w:t>El IE SOGI es consciente de la naturaleza global del daño infligido por la pandemia. Al mismo tiempo, toda solución eficiente y eficaz depende de una comprensión basada en la evidencia sobre las razones por las que ciertas personas, comunidades o poblaciones se encuentran en desventaja cuando se enfrentan las consecuencias de la pandemia o el impacto de las medidas estatales para enfrentarla. A través del prisma de marcos internacionales de derechos humanos establecidos, el IE SOGI emite estas directrices, basadas en seis acciones fundamentales identificadas como buenas prácticas en el diseño, la implementación y la evaluación de medidas de respuesta y recuperación de pandemias:</w:t>
      </w:r>
    </w:p>
    <w:p w14:paraId="190176BA" w14:textId="77777777" w:rsidR="00966BDF" w:rsidRPr="00C50459" w:rsidRDefault="00966BDF" w:rsidP="00C50459">
      <w:pPr>
        <w:jc w:val="both"/>
        <w:rPr>
          <w:color w:val="000000" w:themeColor="text1"/>
          <w:sz w:val="22"/>
          <w:szCs w:val="22"/>
          <w:lang w:val="es-ES"/>
        </w:rPr>
      </w:pPr>
    </w:p>
    <w:p w14:paraId="68346CC6" w14:textId="77777777" w:rsidR="00966BDF" w:rsidRPr="00C50459" w:rsidRDefault="00966BDF" w:rsidP="00C50459">
      <w:pPr>
        <w:ind w:left="567"/>
        <w:jc w:val="both"/>
        <w:rPr>
          <w:color w:val="000000" w:themeColor="text1"/>
          <w:sz w:val="22"/>
          <w:szCs w:val="22"/>
          <w:lang w:val="es-ES"/>
        </w:rPr>
      </w:pPr>
      <w:r w:rsidRPr="00C50459">
        <w:rPr>
          <w:b/>
          <w:bCs/>
          <w:color w:val="000000" w:themeColor="text1"/>
          <w:sz w:val="22"/>
          <w:szCs w:val="22"/>
          <w:lang w:val="es-ES"/>
        </w:rPr>
        <w:t>A</w:t>
      </w:r>
      <w:r w:rsidRPr="00C50459">
        <w:rPr>
          <w:color w:val="000000" w:themeColor="text1"/>
          <w:sz w:val="22"/>
          <w:szCs w:val="22"/>
          <w:lang w:val="es-ES"/>
        </w:rPr>
        <w:t>ceptación</w:t>
      </w:r>
    </w:p>
    <w:p w14:paraId="3E3DD267" w14:textId="77777777" w:rsidR="00966BDF" w:rsidRPr="00C50459" w:rsidRDefault="00966BDF" w:rsidP="00C50459">
      <w:pPr>
        <w:ind w:left="567"/>
        <w:jc w:val="both"/>
        <w:rPr>
          <w:color w:val="000000" w:themeColor="text1"/>
          <w:sz w:val="22"/>
          <w:szCs w:val="22"/>
          <w:lang w:val="es-ES"/>
        </w:rPr>
      </w:pPr>
      <w:r w:rsidRPr="00C50459">
        <w:rPr>
          <w:b/>
          <w:bCs/>
          <w:color w:val="000000" w:themeColor="text1"/>
          <w:sz w:val="22"/>
          <w:szCs w:val="22"/>
          <w:lang w:val="es-ES"/>
        </w:rPr>
        <w:t>S</w:t>
      </w:r>
      <w:r w:rsidRPr="00C50459">
        <w:rPr>
          <w:color w:val="000000" w:themeColor="text1"/>
          <w:sz w:val="22"/>
          <w:szCs w:val="22"/>
          <w:lang w:val="es-ES"/>
        </w:rPr>
        <w:t>ustento</w:t>
      </w:r>
    </w:p>
    <w:p w14:paraId="64BD9787" w14:textId="77777777" w:rsidR="00966BDF" w:rsidRPr="00C50459" w:rsidRDefault="00966BDF" w:rsidP="00C50459">
      <w:pPr>
        <w:ind w:left="567"/>
        <w:jc w:val="both"/>
        <w:rPr>
          <w:color w:val="000000" w:themeColor="text1"/>
          <w:sz w:val="22"/>
          <w:szCs w:val="22"/>
          <w:lang w:val="es-ES"/>
        </w:rPr>
      </w:pPr>
      <w:r w:rsidRPr="00C50459">
        <w:rPr>
          <w:b/>
          <w:bCs/>
          <w:color w:val="000000" w:themeColor="text1"/>
          <w:sz w:val="22"/>
          <w:szCs w:val="22"/>
          <w:lang w:val="es-ES"/>
        </w:rPr>
        <w:t>P</w:t>
      </w:r>
      <w:r w:rsidRPr="00C50459">
        <w:rPr>
          <w:color w:val="000000" w:themeColor="text1"/>
          <w:sz w:val="22"/>
          <w:szCs w:val="22"/>
          <w:lang w:val="es-ES"/>
        </w:rPr>
        <w:t>rotección</w:t>
      </w:r>
    </w:p>
    <w:p w14:paraId="586AF547" w14:textId="77777777" w:rsidR="00966BDF" w:rsidRPr="00C50459" w:rsidRDefault="00966BDF" w:rsidP="00C50459">
      <w:pPr>
        <w:ind w:left="567"/>
        <w:jc w:val="both"/>
        <w:rPr>
          <w:color w:val="000000" w:themeColor="text1"/>
          <w:sz w:val="22"/>
          <w:szCs w:val="22"/>
          <w:lang w:val="es-ES"/>
        </w:rPr>
      </w:pPr>
      <w:r w:rsidRPr="00C50459">
        <w:rPr>
          <w:b/>
          <w:bCs/>
          <w:color w:val="000000" w:themeColor="text1"/>
          <w:sz w:val="22"/>
          <w:szCs w:val="22"/>
          <w:lang w:val="es-ES"/>
        </w:rPr>
        <w:t>I</w:t>
      </w:r>
      <w:r w:rsidRPr="00C50459">
        <w:rPr>
          <w:color w:val="000000" w:themeColor="text1"/>
          <w:sz w:val="22"/>
          <w:szCs w:val="22"/>
          <w:lang w:val="es-ES"/>
        </w:rPr>
        <w:t>ndirecta (discriminación)</w:t>
      </w:r>
    </w:p>
    <w:p w14:paraId="1A507977" w14:textId="77777777" w:rsidR="00966BDF" w:rsidRPr="00C50459" w:rsidRDefault="00966BDF" w:rsidP="00C50459">
      <w:pPr>
        <w:ind w:left="567"/>
        <w:jc w:val="both"/>
        <w:rPr>
          <w:color w:val="000000" w:themeColor="text1"/>
          <w:sz w:val="22"/>
          <w:szCs w:val="22"/>
          <w:lang w:val="es-ES"/>
        </w:rPr>
      </w:pPr>
      <w:r w:rsidRPr="00C50459">
        <w:rPr>
          <w:b/>
          <w:bCs/>
          <w:color w:val="000000" w:themeColor="text1"/>
          <w:sz w:val="22"/>
          <w:szCs w:val="22"/>
          <w:lang w:val="es-ES"/>
        </w:rPr>
        <w:t>R</w:t>
      </w:r>
      <w:r w:rsidRPr="00C50459">
        <w:rPr>
          <w:color w:val="000000" w:themeColor="text1"/>
          <w:sz w:val="22"/>
          <w:szCs w:val="22"/>
          <w:lang w:val="es-ES"/>
        </w:rPr>
        <w:t>epresentatividad</w:t>
      </w:r>
    </w:p>
    <w:p w14:paraId="1C508773" w14:textId="77777777" w:rsidR="00966BDF" w:rsidRPr="00C50459" w:rsidRDefault="00966BDF" w:rsidP="00C50459">
      <w:pPr>
        <w:ind w:left="567"/>
        <w:jc w:val="both"/>
        <w:rPr>
          <w:color w:val="000000" w:themeColor="text1"/>
          <w:sz w:val="22"/>
          <w:szCs w:val="22"/>
          <w:lang w:val="es-ES"/>
        </w:rPr>
      </w:pPr>
      <w:r w:rsidRPr="00C50459">
        <w:rPr>
          <w:b/>
          <w:bCs/>
          <w:color w:val="000000" w:themeColor="text1"/>
          <w:sz w:val="22"/>
          <w:szCs w:val="22"/>
          <w:lang w:val="es-ES"/>
        </w:rPr>
        <w:t>E</w:t>
      </w:r>
      <w:r w:rsidRPr="00C50459">
        <w:rPr>
          <w:color w:val="000000" w:themeColor="text1"/>
          <w:sz w:val="22"/>
          <w:szCs w:val="22"/>
          <w:lang w:val="es-ES"/>
        </w:rPr>
        <w:t>videncia</w:t>
      </w:r>
    </w:p>
    <w:p w14:paraId="5869099D" w14:textId="77777777" w:rsidR="00966BDF" w:rsidRPr="00C50459" w:rsidRDefault="00966BDF" w:rsidP="00C50459">
      <w:pPr>
        <w:ind w:left="567"/>
        <w:jc w:val="both"/>
        <w:rPr>
          <w:color w:val="000000" w:themeColor="text1"/>
          <w:sz w:val="22"/>
          <w:szCs w:val="22"/>
          <w:lang w:val="es-ES"/>
        </w:rPr>
      </w:pPr>
    </w:p>
    <w:p w14:paraId="50A2A6C6" w14:textId="77777777" w:rsidR="00966BDF" w:rsidRPr="00C50459" w:rsidRDefault="00966BDF" w:rsidP="00C50459">
      <w:pPr>
        <w:pStyle w:val="ListParagraph"/>
        <w:numPr>
          <w:ilvl w:val="0"/>
          <w:numId w:val="26"/>
        </w:numPr>
        <w:spacing w:line="276" w:lineRule="auto"/>
        <w:jc w:val="both"/>
        <w:rPr>
          <w:b/>
          <w:color w:val="000000" w:themeColor="text1"/>
          <w:sz w:val="22"/>
          <w:szCs w:val="22"/>
          <w:lang w:val="es-ES"/>
        </w:rPr>
      </w:pPr>
      <w:r w:rsidRPr="00C50459">
        <w:rPr>
          <w:b/>
          <w:color w:val="000000" w:themeColor="text1"/>
          <w:sz w:val="22"/>
          <w:szCs w:val="22"/>
          <w:lang w:val="es-ES"/>
        </w:rPr>
        <w:t xml:space="preserve">Aceptar que las personas LGTB están presentes en todo contexto </w:t>
      </w:r>
    </w:p>
    <w:p w14:paraId="0AE4D280" w14:textId="77777777" w:rsidR="00966BDF" w:rsidRPr="00C50459" w:rsidRDefault="00966BDF" w:rsidP="00C50459">
      <w:pPr>
        <w:pStyle w:val="ListParagraph"/>
        <w:ind w:left="1080"/>
        <w:jc w:val="both"/>
        <w:rPr>
          <w:b/>
          <w:color w:val="000000" w:themeColor="text1"/>
          <w:sz w:val="22"/>
          <w:szCs w:val="22"/>
          <w:lang w:val="es-ES"/>
        </w:rPr>
      </w:pPr>
      <w:r w:rsidRPr="00C50459">
        <w:rPr>
          <w:b/>
          <w:color w:val="000000" w:themeColor="text1"/>
          <w:sz w:val="22"/>
          <w:szCs w:val="22"/>
          <w:lang w:val="es-ES"/>
        </w:rPr>
        <w:t>(y que sufren fuerte impacto por la pandemia)</w:t>
      </w:r>
    </w:p>
    <w:p w14:paraId="076C2071" w14:textId="77777777" w:rsidR="00966BDF" w:rsidRPr="00C50459" w:rsidRDefault="00966BDF" w:rsidP="00C50459">
      <w:pPr>
        <w:jc w:val="both"/>
        <w:rPr>
          <w:color w:val="000000" w:themeColor="text1"/>
          <w:sz w:val="22"/>
          <w:szCs w:val="22"/>
          <w:lang w:val="es-ES"/>
        </w:rPr>
      </w:pPr>
    </w:p>
    <w:p w14:paraId="5A253B68" w14:textId="77777777" w:rsidR="00966BDF" w:rsidRPr="00C50459" w:rsidRDefault="00966BDF" w:rsidP="00C50459">
      <w:pPr>
        <w:jc w:val="both"/>
        <w:rPr>
          <w:color w:val="000000" w:themeColor="text1"/>
          <w:sz w:val="22"/>
          <w:szCs w:val="22"/>
          <w:lang w:val="es-ES"/>
        </w:rPr>
      </w:pPr>
      <w:r w:rsidRPr="00C50459">
        <w:rPr>
          <w:color w:val="000000" w:themeColor="text1"/>
          <w:sz w:val="22"/>
          <w:szCs w:val="22"/>
          <w:lang w:val="es-ES"/>
        </w:rPr>
        <w:t>Cada persona humana en el mundo tiene una orientación sexual y una identidad de género. El género y las personas sexualmente diversas, incluidas las que se identifican como LGBT, están presentes en todas las regiones y en todos los países del mundo. Si bien negar la existencia de personas LGBT en cualquier sociedad es una violación de sus derechos humanos en cualquier momento, es una forma de negligencia particularmente chocante en tiempos de pandemia, cuando la comprensión de la vida de todas las personas afectadas es la clave para respuestas eficaces y eficientes.</w:t>
      </w:r>
    </w:p>
    <w:p w14:paraId="6164F300" w14:textId="77777777" w:rsidR="00966BDF" w:rsidRPr="00C50459" w:rsidRDefault="00966BDF" w:rsidP="00C50459">
      <w:pPr>
        <w:jc w:val="both"/>
        <w:rPr>
          <w:color w:val="000000" w:themeColor="text1"/>
          <w:sz w:val="22"/>
          <w:szCs w:val="22"/>
          <w:lang w:val="es-ES"/>
        </w:rPr>
      </w:pPr>
    </w:p>
    <w:p w14:paraId="78CB2841" w14:textId="77777777" w:rsidR="00966BDF" w:rsidRPr="00C50459" w:rsidRDefault="00966BDF" w:rsidP="00C50459">
      <w:pPr>
        <w:jc w:val="both"/>
        <w:rPr>
          <w:color w:val="000000" w:themeColor="text1"/>
          <w:sz w:val="22"/>
          <w:szCs w:val="22"/>
          <w:lang w:val="es-ES"/>
        </w:rPr>
      </w:pPr>
      <w:r w:rsidRPr="00C50459">
        <w:rPr>
          <w:color w:val="000000" w:themeColor="text1"/>
          <w:sz w:val="22"/>
          <w:szCs w:val="22"/>
          <w:lang w:val="es-ES"/>
        </w:rPr>
        <w:t xml:space="preserve">En las experiencias de vida de las personas LGBT se reúnen múltiples identidades que pueden crear ciclos de violencia y dinámicas de </w:t>
      </w:r>
      <w:proofErr w:type="spellStart"/>
      <w:r w:rsidRPr="00C50459">
        <w:rPr>
          <w:color w:val="000000" w:themeColor="text1"/>
          <w:sz w:val="22"/>
          <w:szCs w:val="22"/>
          <w:lang w:val="es-ES"/>
        </w:rPr>
        <w:t>desempoderamiento</w:t>
      </w:r>
      <w:proofErr w:type="spellEnd"/>
      <w:r w:rsidRPr="00C50459">
        <w:rPr>
          <w:color w:val="000000" w:themeColor="text1"/>
          <w:sz w:val="22"/>
          <w:szCs w:val="22"/>
          <w:lang w:val="es-ES"/>
        </w:rPr>
        <w:t>. Por ejemplo, las personas LGBT:</w:t>
      </w:r>
    </w:p>
    <w:p w14:paraId="24D43CFA" w14:textId="77777777" w:rsidR="00966BDF" w:rsidRPr="00C50459" w:rsidRDefault="00966BDF" w:rsidP="00C50459">
      <w:pPr>
        <w:jc w:val="both"/>
        <w:rPr>
          <w:color w:val="000000" w:themeColor="text1"/>
          <w:sz w:val="22"/>
          <w:szCs w:val="22"/>
          <w:lang w:val="es-ES"/>
        </w:rPr>
      </w:pPr>
    </w:p>
    <w:p w14:paraId="7D3403EE" w14:textId="77777777" w:rsidR="00966BDF" w:rsidRPr="00C50459" w:rsidRDefault="00966BDF" w:rsidP="00C50459">
      <w:pPr>
        <w:numPr>
          <w:ilvl w:val="0"/>
          <w:numId w:val="27"/>
        </w:numPr>
        <w:pBdr>
          <w:top w:val="nil"/>
          <w:left w:val="nil"/>
          <w:bottom w:val="nil"/>
          <w:right w:val="nil"/>
          <w:between w:val="nil"/>
        </w:pBdr>
        <w:spacing w:line="276" w:lineRule="auto"/>
        <w:jc w:val="both"/>
        <w:rPr>
          <w:color w:val="000000" w:themeColor="text1"/>
          <w:sz w:val="22"/>
          <w:szCs w:val="22"/>
          <w:lang w:val="es-ES"/>
        </w:rPr>
      </w:pPr>
      <w:r w:rsidRPr="00C50459">
        <w:rPr>
          <w:color w:val="000000" w:themeColor="text1"/>
          <w:sz w:val="22"/>
          <w:szCs w:val="22"/>
          <w:lang w:val="es-ES"/>
        </w:rPr>
        <w:t>se ven afectadas desproporcionadamente por la pobreza</w:t>
      </w:r>
      <w:r w:rsidRPr="00C50459">
        <w:rPr>
          <w:color w:val="000000" w:themeColor="text1"/>
          <w:sz w:val="22"/>
          <w:szCs w:val="22"/>
          <w:vertAlign w:val="superscript"/>
          <w:lang w:val="es-ES"/>
        </w:rPr>
        <w:footnoteReference w:id="9"/>
      </w:r>
      <w:r w:rsidRPr="00C50459">
        <w:rPr>
          <w:color w:val="000000" w:themeColor="text1"/>
          <w:sz w:val="22"/>
          <w:szCs w:val="22"/>
          <w:lang w:val="es-ES"/>
        </w:rPr>
        <w:t xml:space="preserve"> y, por lo tanto, tienen menos recursos para hacer frente al desempleo o a una situación de suspensión de la actividad económica;</w:t>
      </w:r>
      <w:r w:rsidRPr="00C50459">
        <w:rPr>
          <w:rStyle w:val="FootnoteReference"/>
          <w:color w:val="000000" w:themeColor="text1"/>
          <w:sz w:val="22"/>
          <w:szCs w:val="22"/>
          <w:lang w:val="es-ES"/>
        </w:rPr>
        <w:footnoteReference w:id="10"/>
      </w:r>
    </w:p>
    <w:p w14:paraId="4F87BBBE" w14:textId="77777777" w:rsidR="00966BDF" w:rsidRPr="00C50459" w:rsidRDefault="00966BDF" w:rsidP="00C50459">
      <w:pPr>
        <w:numPr>
          <w:ilvl w:val="0"/>
          <w:numId w:val="27"/>
        </w:numPr>
        <w:pBdr>
          <w:top w:val="nil"/>
          <w:left w:val="nil"/>
          <w:bottom w:val="nil"/>
          <w:right w:val="nil"/>
          <w:between w:val="nil"/>
        </w:pBdr>
        <w:spacing w:line="276" w:lineRule="auto"/>
        <w:jc w:val="both"/>
        <w:rPr>
          <w:color w:val="000000" w:themeColor="text1"/>
          <w:sz w:val="22"/>
          <w:szCs w:val="22"/>
          <w:lang w:val="es-ES"/>
        </w:rPr>
      </w:pPr>
      <w:r w:rsidRPr="00C50459">
        <w:rPr>
          <w:color w:val="000000" w:themeColor="text1"/>
          <w:sz w:val="22"/>
          <w:szCs w:val="22"/>
          <w:lang w:val="es-ES"/>
        </w:rPr>
        <w:t>tienden a ser trabajadores precarios que trabajan a destajo o en el sector informal, incluido el trabajo sexual,</w:t>
      </w:r>
      <w:r w:rsidRPr="00C50459">
        <w:rPr>
          <w:rStyle w:val="FootnoteReference"/>
          <w:color w:val="000000" w:themeColor="text1"/>
          <w:sz w:val="22"/>
          <w:szCs w:val="22"/>
          <w:lang w:val="es-ES"/>
        </w:rPr>
        <w:footnoteReference w:id="11"/>
      </w:r>
      <w:r w:rsidRPr="00C50459">
        <w:rPr>
          <w:color w:val="000000" w:themeColor="text1"/>
          <w:sz w:val="22"/>
          <w:szCs w:val="22"/>
          <w:lang w:val="es-ES"/>
        </w:rPr>
        <w:t xml:space="preserve"> lo que crea economías precarias de supervivencia diaria y barreras al acceso al apoyo estatal, y dificulta el acceso a la asistencia sanitaria y a la cobertura médica;</w:t>
      </w:r>
      <w:r w:rsidRPr="00C50459">
        <w:rPr>
          <w:color w:val="000000" w:themeColor="text1"/>
          <w:sz w:val="22"/>
          <w:szCs w:val="22"/>
          <w:vertAlign w:val="superscript"/>
          <w:lang w:val="es-ES"/>
        </w:rPr>
        <w:footnoteReference w:id="12"/>
      </w:r>
    </w:p>
    <w:p w14:paraId="253A52A6" w14:textId="77777777" w:rsidR="00966BDF" w:rsidRPr="00C50459" w:rsidRDefault="00966BDF" w:rsidP="00C50459">
      <w:pPr>
        <w:numPr>
          <w:ilvl w:val="0"/>
          <w:numId w:val="27"/>
        </w:numPr>
        <w:pBdr>
          <w:top w:val="nil"/>
          <w:left w:val="nil"/>
          <w:bottom w:val="nil"/>
          <w:right w:val="nil"/>
          <w:between w:val="nil"/>
        </w:pBdr>
        <w:spacing w:line="276" w:lineRule="auto"/>
        <w:jc w:val="both"/>
        <w:rPr>
          <w:color w:val="000000" w:themeColor="text1"/>
          <w:sz w:val="22"/>
          <w:szCs w:val="22"/>
          <w:lang w:val="es-ES"/>
        </w:rPr>
      </w:pPr>
      <w:r w:rsidRPr="00C50459">
        <w:rPr>
          <w:color w:val="000000" w:themeColor="text1"/>
          <w:sz w:val="22"/>
          <w:szCs w:val="22"/>
          <w:lang w:val="es-ES"/>
        </w:rPr>
        <w:lastRenderedPageBreak/>
        <w:t>a menudo son víctimas de discriminación en el acceso a la vivienda y pueden vivir en barrios hacinados</w:t>
      </w:r>
      <w:r w:rsidRPr="00C50459">
        <w:rPr>
          <w:color w:val="000000" w:themeColor="text1"/>
          <w:sz w:val="22"/>
          <w:szCs w:val="22"/>
          <w:vertAlign w:val="superscript"/>
          <w:lang w:val="es-ES"/>
        </w:rPr>
        <w:footnoteReference w:id="13"/>
      </w:r>
      <w:r w:rsidRPr="00C50459">
        <w:rPr>
          <w:color w:val="000000" w:themeColor="text1"/>
          <w:sz w:val="22"/>
          <w:szCs w:val="22"/>
          <w:lang w:val="es-ES"/>
        </w:rPr>
        <w:t xml:space="preserve"> en que el distanciamiento social es casi imposible, o tienen que pagar alquileres más altos;</w:t>
      </w:r>
      <w:r w:rsidRPr="00C50459">
        <w:rPr>
          <w:color w:val="000000" w:themeColor="text1"/>
          <w:sz w:val="22"/>
          <w:szCs w:val="22"/>
          <w:vertAlign w:val="superscript"/>
          <w:lang w:val="es-ES"/>
        </w:rPr>
        <w:footnoteReference w:id="14"/>
      </w:r>
    </w:p>
    <w:p w14:paraId="49816FFD" w14:textId="77777777" w:rsidR="00966BDF" w:rsidRPr="00C50459" w:rsidRDefault="00966BDF" w:rsidP="00C50459">
      <w:pPr>
        <w:numPr>
          <w:ilvl w:val="0"/>
          <w:numId w:val="27"/>
        </w:numPr>
        <w:pBdr>
          <w:top w:val="nil"/>
          <w:left w:val="nil"/>
          <w:bottom w:val="nil"/>
          <w:right w:val="nil"/>
          <w:between w:val="nil"/>
        </w:pBdr>
        <w:spacing w:line="276" w:lineRule="auto"/>
        <w:jc w:val="both"/>
        <w:rPr>
          <w:color w:val="000000" w:themeColor="text1"/>
          <w:sz w:val="22"/>
          <w:szCs w:val="22"/>
          <w:lang w:val="es-ES"/>
        </w:rPr>
      </w:pPr>
      <w:r w:rsidRPr="00C50459">
        <w:rPr>
          <w:color w:val="000000" w:themeColor="text1"/>
          <w:sz w:val="22"/>
          <w:szCs w:val="22"/>
          <w:lang w:val="es-ES"/>
        </w:rPr>
        <w:t>son adultos mayores que frecuentemente reportan rendimientos inferiores en sus indicadores de salud y son más propensos a vivir solos y a experimentar aislamiento social que tiene un impacto directo en su salud y bienestar</w:t>
      </w:r>
      <w:r w:rsidRPr="00C50459">
        <w:rPr>
          <w:color w:val="000000" w:themeColor="text1"/>
          <w:sz w:val="22"/>
          <w:szCs w:val="22"/>
          <w:vertAlign w:val="superscript"/>
          <w:lang w:val="es-ES"/>
        </w:rPr>
        <w:footnoteReference w:id="15"/>
      </w:r>
      <w:r w:rsidRPr="00C50459">
        <w:rPr>
          <w:color w:val="000000" w:themeColor="text1"/>
          <w:sz w:val="22"/>
          <w:szCs w:val="22"/>
          <w:lang w:val="es-ES"/>
        </w:rPr>
        <w:t xml:space="preserve"> y en su capacidad de recibir la atención y el apoyo que necesitan;</w:t>
      </w:r>
      <w:r w:rsidRPr="00C50459">
        <w:rPr>
          <w:rStyle w:val="FootnoteReference"/>
          <w:color w:val="000000" w:themeColor="text1"/>
          <w:sz w:val="22"/>
          <w:szCs w:val="22"/>
          <w:lang w:val="es-ES"/>
        </w:rPr>
        <w:footnoteReference w:id="16"/>
      </w:r>
    </w:p>
    <w:p w14:paraId="05B213E8" w14:textId="77777777" w:rsidR="00966BDF" w:rsidRPr="00C50459" w:rsidRDefault="00966BDF" w:rsidP="00C50459">
      <w:pPr>
        <w:numPr>
          <w:ilvl w:val="0"/>
          <w:numId w:val="27"/>
        </w:numPr>
        <w:pBdr>
          <w:top w:val="nil"/>
          <w:left w:val="nil"/>
          <w:bottom w:val="nil"/>
          <w:right w:val="nil"/>
          <w:between w:val="nil"/>
        </w:pBdr>
        <w:spacing w:line="276" w:lineRule="auto"/>
        <w:jc w:val="both"/>
        <w:rPr>
          <w:color w:val="000000" w:themeColor="text1"/>
          <w:sz w:val="22"/>
          <w:szCs w:val="22"/>
          <w:lang w:val="es-ES"/>
        </w:rPr>
      </w:pPr>
      <w:r w:rsidRPr="00C50459">
        <w:rPr>
          <w:color w:val="000000" w:themeColor="text1"/>
          <w:sz w:val="22"/>
          <w:szCs w:val="22"/>
          <w:lang w:val="es-ES"/>
        </w:rPr>
        <w:t>son jóvenes que experimentan desventajas particulares relacionadas, entre otras, con la dependencia económica y la dependencia de las redes familiares y comunitarias</w:t>
      </w:r>
      <w:r w:rsidRPr="00C50459">
        <w:rPr>
          <w:color w:val="000000" w:themeColor="text1"/>
          <w:sz w:val="22"/>
          <w:szCs w:val="22"/>
          <w:vertAlign w:val="superscript"/>
          <w:lang w:val="es-ES"/>
        </w:rPr>
        <w:footnoteReference w:id="17"/>
      </w:r>
      <w:r w:rsidRPr="00C50459">
        <w:rPr>
          <w:color w:val="000000" w:themeColor="text1"/>
          <w:sz w:val="22"/>
          <w:szCs w:val="22"/>
          <w:lang w:val="es-ES"/>
        </w:rPr>
        <w:t xml:space="preserve"> y corren un mayor riesgo de sufrir violencia doméstica al permanecer en casa y observar las cuarentenas, particularmente debido a la convivencia forzada con familiares hostiles a su orientación sexual o identidad de género;</w:t>
      </w:r>
      <w:r w:rsidRPr="00C50459">
        <w:rPr>
          <w:color w:val="000000" w:themeColor="text1"/>
          <w:sz w:val="22"/>
          <w:szCs w:val="22"/>
          <w:vertAlign w:val="superscript"/>
          <w:lang w:val="es-ES"/>
        </w:rPr>
        <w:footnoteReference w:id="18"/>
      </w:r>
    </w:p>
    <w:p w14:paraId="1BB25A57" w14:textId="77777777" w:rsidR="00966BDF" w:rsidRPr="00C50459" w:rsidRDefault="00966BDF" w:rsidP="00C50459">
      <w:pPr>
        <w:numPr>
          <w:ilvl w:val="0"/>
          <w:numId w:val="27"/>
        </w:numPr>
        <w:pBdr>
          <w:top w:val="nil"/>
          <w:left w:val="nil"/>
          <w:bottom w:val="nil"/>
          <w:right w:val="nil"/>
          <w:between w:val="nil"/>
        </w:pBdr>
        <w:spacing w:line="276" w:lineRule="auto"/>
        <w:jc w:val="both"/>
        <w:rPr>
          <w:color w:val="000000" w:themeColor="text1"/>
          <w:sz w:val="22"/>
          <w:szCs w:val="22"/>
          <w:lang w:val="es-ES"/>
        </w:rPr>
      </w:pPr>
      <w:r w:rsidRPr="00C50459">
        <w:rPr>
          <w:color w:val="000000" w:themeColor="text1"/>
          <w:sz w:val="22"/>
          <w:szCs w:val="22"/>
          <w:lang w:val="es-ES"/>
        </w:rPr>
        <w:t xml:space="preserve">son a menudo excluidas de las medidas de protección social adoptadas por los Estados y son particularmente vulnerables a la xenofobia y las intolerancias conexas, </w:t>
      </w:r>
      <w:r w:rsidRPr="00C50459">
        <w:rPr>
          <w:color w:val="000000" w:themeColor="text1"/>
          <w:sz w:val="22"/>
          <w:szCs w:val="22"/>
          <w:vertAlign w:val="superscript"/>
          <w:lang w:val="es-ES"/>
        </w:rPr>
        <w:footnoteReference w:id="19"/>
      </w:r>
      <w:r w:rsidRPr="00C50459">
        <w:rPr>
          <w:sz w:val="22"/>
          <w:szCs w:val="22"/>
          <w:lang w:val="es-ES"/>
        </w:rPr>
        <w:t xml:space="preserve"> </w:t>
      </w:r>
      <w:r w:rsidRPr="00C50459">
        <w:rPr>
          <w:color w:val="000000" w:themeColor="text1"/>
          <w:sz w:val="22"/>
          <w:szCs w:val="22"/>
          <w:lang w:val="es-ES"/>
        </w:rPr>
        <w:t>son refugiados que viven en asentamientos informales de alta densidad en los que el distanciamiento físico es un desafío,</w:t>
      </w:r>
      <w:r w:rsidRPr="00C50459">
        <w:rPr>
          <w:rStyle w:val="FootnoteReference"/>
          <w:color w:val="000000" w:themeColor="text1"/>
          <w:sz w:val="22"/>
          <w:szCs w:val="22"/>
          <w:lang w:val="es-ES"/>
        </w:rPr>
        <w:footnoteReference w:id="20"/>
      </w:r>
      <w:r w:rsidRPr="00C50459">
        <w:rPr>
          <w:sz w:val="22"/>
          <w:szCs w:val="22"/>
          <w:lang w:val="es-ES"/>
        </w:rPr>
        <w:t xml:space="preserve"> </w:t>
      </w:r>
      <w:r w:rsidRPr="00C50459">
        <w:rPr>
          <w:color w:val="000000" w:themeColor="text1"/>
          <w:sz w:val="22"/>
          <w:szCs w:val="22"/>
          <w:lang w:val="es-ES"/>
        </w:rPr>
        <w:t xml:space="preserve"> son solicitantes de asilo y personas desplazadas en un mundo en el que la mayoría de los países han cerrado sus fronteras y muchos han suspendido los derechos de asilo;</w:t>
      </w:r>
      <w:r w:rsidRPr="00C50459">
        <w:rPr>
          <w:color w:val="000000" w:themeColor="text1"/>
          <w:sz w:val="22"/>
          <w:szCs w:val="22"/>
          <w:vertAlign w:val="superscript"/>
          <w:lang w:val="es-ES"/>
        </w:rPr>
        <w:footnoteReference w:id="21"/>
      </w:r>
      <w:r w:rsidRPr="00C50459">
        <w:rPr>
          <w:sz w:val="22"/>
          <w:szCs w:val="22"/>
          <w:lang w:val="es-ES"/>
        </w:rPr>
        <w:t xml:space="preserve"> </w:t>
      </w:r>
      <w:r w:rsidRPr="00C50459">
        <w:rPr>
          <w:color w:val="000000" w:themeColor="text1"/>
          <w:sz w:val="22"/>
          <w:szCs w:val="22"/>
          <w:lang w:val="es-ES"/>
        </w:rPr>
        <w:t>y</w:t>
      </w:r>
    </w:p>
    <w:p w14:paraId="244071C8" w14:textId="77777777" w:rsidR="00966BDF" w:rsidRPr="00C50459" w:rsidRDefault="00966BDF" w:rsidP="00C50459">
      <w:pPr>
        <w:numPr>
          <w:ilvl w:val="0"/>
          <w:numId w:val="27"/>
        </w:numPr>
        <w:pBdr>
          <w:top w:val="nil"/>
          <w:left w:val="nil"/>
          <w:bottom w:val="nil"/>
          <w:right w:val="nil"/>
          <w:between w:val="nil"/>
        </w:pBdr>
        <w:spacing w:line="276" w:lineRule="auto"/>
        <w:jc w:val="both"/>
        <w:rPr>
          <w:color w:val="000000" w:themeColor="text1"/>
          <w:sz w:val="22"/>
          <w:szCs w:val="22"/>
          <w:lang w:val="es-ES"/>
        </w:rPr>
      </w:pPr>
      <w:r w:rsidRPr="00C50459">
        <w:rPr>
          <w:color w:val="000000" w:themeColor="text1"/>
          <w:sz w:val="22"/>
          <w:szCs w:val="22"/>
          <w:lang w:val="es-ES"/>
        </w:rPr>
        <w:t>son personas que viven con VIH/SIDA y están profundamente afectadas por las existencias y la falta de disponibilidad de los servicios médicos</w:t>
      </w:r>
      <w:r w:rsidRPr="00C50459">
        <w:rPr>
          <w:color w:val="000000" w:themeColor="text1"/>
          <w:sz w:val="22"/>
          <w:szCs w:val="22"/>
          <w:vertAlign w:val="superscript"/>
          <w:lang w:val="es-ES"/>
        </w:rPr>
        <w:footnoteReference w:id="22"/>
      </w:r>
      <w:r w:rsidRPr="00C50459">
        <w:rPr>
          <w:color w:val="000000" w:themeColor="text1"/>
          <w:sz w:val="22"/>
          <w:szCs w:val="22"/>
          <w:lang w:val="es-ES"/>
        </w:rPr>
        <w:t xml:space="preserve"> o por las limitaciones en el pago de los costos de</w:t>
      </w:r>
      <w:r w:rsidRPr="00C50459">
        <w:rPr>
          <w:sz w:val="22"/>
          <w:szCs w:val="22"/>
          <w:lang w:val="es-ES"/>
        </w:rPr>
        <w:t xml:space="preserve"> </w:t>
      </w:r>
      <w:r w:rsidRPr="00C50459">
        <w:rPr>
          <w:color w:val="000000" w:themeColor="text1"/>
          <w:sz w:val="22"/>
          <w:szCs w:val="22"/>
          <w:lang w:val="es-ES"/>
        </w:rPr>
        <w:t>transporte a los centros de salud.</w:t>
      </w:r>
      <w:r w:rsidRPr="00C50459">
        <w:rPr>
          <w:rStyle w:val="FootnoteReference"/>
          <w:color w:val="000000" w:themeColor="text1"/>
          <w:sz w:val="22"/>
          <w:szCs w:val="22"/>
          <w:lang w:val="es-ES"/>
        </w:rPr>
        <w:footnoteReference w:id="23"/>
      </w:r>
      <w:r w:rsidRPr="00C50459">
        <w:rPr>
          <w:sz w:val="22"/>
          <w:szCs w:val="22"/>
          <w:lang w:val="es-ES"/>
        </w:rPr>
        <w:t xml:space="preserve"> </w:t>
      </w:r>
      <w:r w:rsidRPr="00C50459">
        <w:rPr>
          <w:color w:val="000000" w:themeColor="text1"/>
          <w:sz w:val="22"/>
          <w:szCs w:val="22"/>
          <w:lang w:val="es-ES"/>
        </w:rPr>
        <w:t>Cuando no están en tratamiento antirretroviral pueden tener un sistema inmunitario comprometido, lo que puede ponerlos en mayor riesgo.</w:t>
      </w:r>
      <w:r w:rsidRPr="00C50459">
        <w:rPr>
          <w:color w:val="000000" w:themeColor="text1"/>
          <w:sz w:val="22"/>
          <w:szCs w:val="22"/>
          <w:vertAlign w:val="superscript"/>
          <w:lang w:val="es-ES"/>
        </w:rPr>
        <w:footnoteReference w:id="24"/>
      </w:r>
    </w:p>
    <w:p w14:paraId="5759C5A5" w14:textId="77777777" w:rsidR="00966BDF" w:rsidRPr="00C50459" w:rsidRDefault="00966BDF" w:rsidP="00C50459">
      <w:pPr>
        <w:jc w:val="both"/>
        <w:rPr>
          <w:color w:val="000000" w:themeColor="text1"/>
          <w:sz w:val="22"/>
          <w:szCs w:val="22"/>
          <w:lang w:val="es-ES"/>
        </w:rPr>
      </w:pPr>
    </w:p>
    <w:p w14:paraId="2A00296D" w14:textId="77777777" w:rsidR="00966BDF" w:rsidRPr="00C50459" w:rsidRDefault="00966BDF" w:rsidP="00C50459">
      <w:pPr>
        <w:jc w:val="both"/>
        <w:rPr>
          <w:i/>
          <w:color w:val="000000" w:themeColor="text1"/>
          <w:sz w:val="22"/>
          <w:szCs w:val="22"/>
          <w:lang w:val="es-ES"/>
        </w:rPr>
      </w:pPr>
      <w:r w:rsidRPr="00C50459">
        <w:rPr>
          <w:i/>
          <w:color w:val="000000" w:themeColor="text1"/>
          <w:sz w:val="22"/>
          <w:szCs w:val="22"/>
          <w:lang w:val="es-ES"/>
        </w:rPr>
        <w:t>Los Estados deben reconocer la existencia de todas las personas LGBT bajo su jurisdicción y enfrentar las formas de discriminación múltiples e intersectoriales que les afectan, así como el impacto negativo agravado de la pandemia en el disfrute de sus derechos, y adoptar las medidas necesarias para incorporar sus preocupaciones y desafíos en el diseño, la aplicación y la evaluación de las medidas de respuesta y recuperación de la pandemia.</w:t>
      </w:r>
    </w:p>
    <w:p w14:paraId="6342164F" w14:textId="77777777" w:rsidR="00966BDF" w:rsidRPr="00C50459" w:rsidRDefault="00966BDF" w:rsidP="00C50459">
      <w:pPr>
        <w:jc w:val="both"/>
        <w:rPr>
          <w:b/>
          <w:color w:val="000000" w:themeColor="text1"/>
          <w:sz w:val="22"/>
          <w:szCs w:val="22"/>
          <w:lang w:val="es-ES"/>
        </w:rPr>
      </w:pPr>
    </w:p>
    <w:p w14:paraId="795EBB1F" w14:textId="77777777" w:rsidR="00966BDF" w:rsidRPr="00C50459" w:rsidRDefault="00966BDF" w:rsidP="00C50459">
      <w:pPr>
        <w:pStyle w:val="ListParagraph"/>
        <w:numPr>
          <w:ilvl w:val="0"/>
          <w:numId w:val="26"/>
        </w:numPr>
        <w:spacing w:line="276" w:lineRule="auto"/>
        <w:jc w:val="both"/>
        <w:rPr>
          <w:b/>
          <w:color w:val="000000" w:themeColor="text1"/>
          <w:sz w:val="22"/>
          <w:szCs w:val="22"/>
          <w:lang w:val="es-ES"/>
        </w:rPr>
      </w:pPr>
      <w:r w:rsidRPr="00C50459">
        <w:rPr>
          <w:b/>
          <w:color w:val="000000" w:themeColor="text1"/>
          <w:sz w:val="22"/>
          <w:szCs w:val="22"/>
          <w:lang w:val="es-ES"/>
        </w:rPr>
        <w:lastRenderedPageBreak/>
        <w:t>Sustentar el trabajo de la sociedad civil LGBT y los defensores de derechos humanos</w:t>
      </w:r>
    </w:p>
    <w:p w14:paraId="423DA014" w14:textId="77777777" w:rsidR="00966BDF" w:rsidRPr="00C50459" w:rsidRDefault="00966BDF" w:rsidP="00C50459">
      <w:pPr>
        <w:pStyle w:val="ListParagraph"/>
        <w:ind w:left="1080"/>
        <w:jc w:val="both"/>
        <w:rPr>
          <w:b/>
          <w:color w:val="000000" w:themeColor="text1"/>
          <w:sz w:val="22"/>
          <w:szCs w:val="22"/>
          <w:lang w:val="es-ES"/>
        </w:rPr>
      </w:pPr>
      <w:r w:rsidRPr="00C50459">
        <w:rPr>
          <w:b/>
          <w:color w:val="000000" w:themeColor="text1"/>
          <w:sz w:val="22"/>
          <w:szCs w:val="22"/>
          <w:lang w:val="es-ES"/>
        </w:rPr>
        <w:t>(y aprender de sus significativos logros)</w:t>
      </w:r>
    </w:p>
    <w:p w14:paraId="5132F702" w14:textId="77777777" w:rsidR="00966BDF" w:rsidRPr="00C50459" w:rsidRDefault="00966BDF" w:rsidP="00C50459">
      <w:pPr>
        <w:jc w:val="both"/>
        <w:rPr>
          <w:color w:val="000000" w:themeColor="text1"/>
          <w:sz w:val="22"/>
          <w:szCs w:val="22"/>
          <w:lang w:val="es-ES"/>
        </w:rPr>
      </w:pPr>
    </w:p>
    <w:p w14:paraId="2B3AD61A" w14:textId="77777777" w:rsidR="00966BDF" w:rsidRPr="00C50459" w:rsidRDefault="00966BDF" w:rsidP="00C50459">
      <w:pPr>
        <w:jc w:val="both"/>
        <w:rPr>
          <w:color w:val="000000" w:themeColor="text1"/>
          <w:sz w:val="22"/>
          <w:szCs w:val="22"/>
          <w:lang w:val="es-ES"/>
        </w:rPr>
      </w:pPr>
      <w:r w:rsidRPr="00C50459">
        <w:rPr>
          <w:color w:val="000000" w:themeColor="text1"/>
          <w:sz w:val="22"/>
          <w:szCs w:val="22"/>
          <w:lang w:val="es-ES"/>
        </w:rPr>
        <w:t xml:space="preserve">En su informe de recursos globales, el </w:t>
      </w:r>
      <w:r w:rsidRPr="00C50459">
        <w:rPr>
          <w:i/>
          <w:iCs/>
          <w:color w:val="000000" w:themeColor="text1"/>
          <w:sz w:val="22"/>
          <w:szCs w:val="22"/>
          <w:lang w:val="es-ES"/>
        </w:rPr>
        <w:t xml:space="preserve">Global </w:t>
      </w:r>
      <w:proofErr w:type="spellStart"/>
      <w:r w:rsidRPr="00C50459">
        <w:rPr>
          <w:i/>
          <w:iCs/>
          <w:color w:val="000000" w:themeColor="text1"/>
          <w:sz w:val="22"/>
          <w:szCs w:val="22"/>
          <w:lang w:val="es-ES"/>
        </w:rPr>
        <w:t>Philanthropy</w:t>
      </w:r>
      <w:proofErr w:type="spellEnd"/>
      <w:r w:rsidRPr="00C50459">
        <w:rPr>
          <w:i/>
          <w:iCs/>
          <w:color w:val="000000" w:themeColor="text1"/>
          <w:sz w:val="22"/>
          <w:szCs w:val="22"/>
          <w:lang w:val="es-ES"/>
        </w:rPr>
        <w:t xml:space="preserve"> Project, </w:t>
      </w:r>
      <w:r w:rsidRPr="00C50459">
        <w:rPr>
          <w:color w:val="000000" w:themeColor="text1"/>
          <w:sz w:val="22"/>
          <w:szCs w:val="22"/>
          <w:lang w:val="es-ES"/>
        </w:rPr>
        <w:t xml:space="preserve">que recaba información de 15 gobiernos donantes y organismos multilaterales y 800 fundaciones privadas, ONG intermediarias y corporaciones, documentó un total de 560 millones de dólares en actividades de cooperación para el período 2017-2018. El proyecto concluyó </w:t>
      </w:r>
      <w:proofErr w:type="gramStart"/>
      <w:r w:rsidRPr="00C50459">
        <w:rPr>
          <w:color w:val="000000" w:themeColor="text1"/>
          <w:sz w:val="22"/>
          <w:szCs w:val="22"/>
          <w:lang w:val="es-ES"/>
        </w:rPr>
        <w:t>que</w:t>
      </w:r>
      <w:proofErr w:type="gramEnd"/>
      <w:r w:rsidRPr="00C50459">
        <w:rPr>
          <w:color w:val="000000" w:themeColor="text1"/>
          <w:sz w:val="22"/>
          <w:szCs w:val="22"/>
          <w:lang w:val="es-ES"/>
        </w:rPr>
        <w:t xml:space="preserve"> en ese período, la cooperación global dedicó menos de 31 centavos por cada $100 al financiamiento de actividades en el campo de los derechos de las personas LGBT (0,31%). En los mismos dos años, la financiación global por parte de gobiernos donantes a actividades relevantes a los derechos de las personas LGBT fue de menos de 4 centavos por cada $100 dólares (0,04%).</w:t>
      </w:r>
      <w:r w:rsidRPr="00C50459">
        <w:rPr>
          <w:rStyle w:val="FootnoteReference"/>
          <w:color w:val="000000" w:themeColor="text1"/>
          <w:sz w:val="22"/>
          <w:szCs w:val="22"/>
          <w:lang w:val="es-ES"/>
        </w:rPr>
        <w:footnoteReference w:id="25"/>
      </w:r>
      <w:r w:rsidRPr="00C50459">
        <w:rPr>
          <w:color w:val="000000" w:themeColor="text1"/>
          <w:sz w:val="22"/>
          <w:szCs w:val="22"/>
          <w:lang w:val="es-ES"/>
        </w:rPr>
        <w:t xml:space="preserve"> En la mayor parte del mundo los extraordinarios retos planteados por la situación de violencia y discriminación basadas en orientación sexual e identidad de género son enfrentados por la sociedad civil con esos exiguos recursos y sin ninguna intervención del Estado.</w:t>
      </w:r>
    </w:p>
    <w:p w14:paraId="0B347D23" w14:textId="77777777" w:rsidR="00966BDF" w:rsidRPr="00C50459" w:rsidRDefault="00966BDF" w:rsidP="00C50459">
      <w:pPr>
        <w:jc w:val="both"/>
        <w:rPr>
          <w:color w:val="000000" w:themeColor="text1"/>
          <w:sz w:val="22"/>
          <w:szCs w:val="22"/>
          <w:lang w:val="es-ES"/>
        </w:rPr>
      </w:pPr>
    </w:p>
    <w:p w14:paraId="77B16B72" w14:textId="77777777" w:rsidR="00966BDF" w:rsidRPr="00C50459" w:rsidRDefault="00966BDF" w:rsidP="00C50459">
      <w:pPr>
        <w:jc w:val="both"/>
        <w:rPr>
          <w:color w:val="000000" w:themeColor="text1"/>
          <w:sz w:val="22"/>
          <w:szCs w:val="22"/>
          <w:lang w:val="es-ES"/>
        </w:rPr>
      </w:pPr>
      <w:r w:rsidRPr="00C50459">
        <w:rPr>
          <w:color w:val="000000" w:themeColor="text1"/>
          <w:sz w:val="22"/>
          <w:szCs w:val="22"/>
          <w:lang w:val="es-ES"/>
        </w:rPr>
        <w:t>A estos retos se suma la situación generada por la pandemia. En su actividad de recabo de información el mandato recibió información sobre una multiplicidad de organizaciones que vieron sus fuentes de recursos mermadas o suspendidas, prácticamente de la noche a la mañana, y otras muchas que desde entonces tienen graves preocupaciones sobre sus prospectos de financiamiento para el futuro.</w:t>
      </w:r>
    </w:p>
    <w:p w14:paraId="6C73FC68" w14:textId="77777777" w:rsidR="00966BDF" w:rsidRPr="00C50459" w:rsidRDefault="00966BDF" w:rsidP="00C50459">
      <w:pPr>
        <w:jc w:val="both"/>
        <w:rPr>
          <w:color w:val="000000" w:themeColor="text1"/>
          <w:sz w:val="22"/>
          <w:szCs w:val="22"/>
          <w:lang w:val="es-ES"/>
        </w:rPr>
      </w:pPr>
    </w:p>
    <w:p w14:paraId="38A715B2" w14:textId="77777777" w:rsidR="00966BDF" w:rsidRPr="00C50459" w:rsidRDefault="00966BDF" w:rsidP="00C50459">
      <w:pPr>
        <w:jc w:val="both"/>
        <w:rPr>
          <w:color w:val="000000" w:themeColor="text1"/>
          <w:sz w:val="22"/>
          <w:szCs w:val="22"/>
          <w:lang w:val="es-ES"/>
        </w:rPr>
      </w:pPr>
      <w:r w:rsidRPr="00C50459">
        <w:rPr>
          <w:color w:val="000000" w:themeColor="text1"/>
          <w:sz w:val="22"/>
          <w:szCs w:val="22"/>
          <w:lang w:val="es-ES"/>
        </w:rPr>
        <w:t>Existe abundante evidencia de que la perseverancia y la resiliencia son rasgos de los movimientos LGBT</w:t>
      </w:r>
      <w:r w:rsidRPr="00C50459">
        <w:rPr>
          <w:color w:val="000000" w:themeColor="text1"/>
          <w:sz w:val="22"/>
          <w:szCs w:val="22"/>
          <w:vertAlign w:val="superscript"/>
          <w:lang w:val="es-ES"/>
        </w:rPr>
        <w:footnoteReference w:id="26"/>
      </w:r>
      <w:r w:rsidRPr="00C50459">
        <w:rPr>
          <w:sz w:val="22"/>
          <w:szCs w:val="22"/>
          <w:lang w:val="es-ES"/>
        </w:rPr>
        <w:t xml:space="preserve"> </w:t>
      </w:r>
      <w:r w:rsidRPr="00C50459">
        <w:rPr>
          <w:color w:val="000000" w:themeColor="text1"/>
          <w:sz w:val="22"/>
          <w:szCs w:val="22"/>
          <w:lang w:val="es-ES"/>
        </w:rPr>
        <w:t xml:space="preserve"> y el IE SOGI ha recibido abundante información sobre diferentes iniciativas emprendidas por las organizaciones de la sociedad civil para, aún bajo estas graves dificultades, abordar las consecuencias de la pandemia en las comunidades que sirven. Entre estas se encuentran actividades tan diversas como la formulación y suministro de información sobre el avance de la pandemia y las medidas necesarias para enfrentarla; la recolección y distribución de paquetes de alimentos, productos de higiene y, en algunos casos, suministros médicos;</w:t>
      </w:r>
      <w:r w:rsidRPr="00C50459">
        <w:rPr>
          <w:sz w:val="22"/>
          <w:szCs w:val="22"/>
          <w:lang w:val="es-ES"/>
        </w:rPr>
        <w:t xml:space="preserve"> </w:t>
      </w:r>
      <w:r w:rsidRPr="00C50459">
        <w:rPr>
          <w:color w:val="000000" w:themeColor="text1"/>
          <w:sz w:val="22"/>
          <w:szCs w:val="22"/>
          <w:lang w:val="es-ES"/>
        </w:rPr>
        <w:t>y múltiples iniciativas de apoyo jurídico, psicológico y psicosocial.</w:t>
      </w:r>
      <w:r w:rsidRPr="00C50459">
        <w:rPr>
          <w:color w:val="000000" w:themeColor="text1"/>
          <w:sz w:val="22"/>
          <w:szCs w:val="22"/>
          <w:vertAlign w:val="superscript"/>
          <w:lang w:val="es-ES"/>
        </w:rPr>
        <w:footnoteReference w:id="27"/>
      </w:r>
      <w:r w:rsidRPr="00C50459">
        <w:rPr>
          <w:color w:val="000000" w:themeColor="text1"/>
          <w:sz w:val="22"/>
          <w:szCs w:val="22"/>
          <w:lang w:val="es-ES"/>
        </w:rPr>
        <w:t xml:space="preserve"> </w:t>
      </w:r>
    </w:p>
    <w:p w14:paraId="7CF82780" w14:textId="77777777" w:rsidR="00966BDF" w:rsidRPr="00C50459" w:rsidRDefault="00966BDF" w:rsidP="00C50459">
      <w:pPr>
        <w:jc w:val="both"/>
        <w:rPr>
          <w:color w:val="000000" w:themeColor="text1"/>
          <w:sz w:val="22"/>
          <w:szCs w:val="22"/>
          <w:lang w:val="es-ES"/>
        </w:rPr>
      </w:pPr>
    </w:p>
    <w:p w14:paraId="57105189" w14:textId="77777777" w:rsidR="00966BDF" w:rsidRPr="00C50459" w:rsidRDefault="00966BDF" w:rsidP="00C50459">
      <w:pPr>
        <w:jc w:val="both"/>
        <w:rPr>
          <w:color w:val="000000" w:themeColor="text1"/>
          <w:sz w:val="22"/>
          <w:szCs w:val="22"/>
          <w:lang w:val="es-ES"/>
        </w:rPr>
      </w:pPr>
      <w:r w:rsidRPr="00C50459">
        <w:rPr>
          <w:color w:val="000000" w:themeColor="text1"/>
          <w:sz w:val="22"/>
          <w:szCs w:val="22"/>
          <w:lang w:val="es-ES"/>
        </w:rPr>
        <w:t xml:space="preserve">Asimismo, en el mundo existe un complejo tejido de personas y entidades individuales cuya acción colectiva garantiza el apoyo mutuo, la solidaridad y la protección de todos; está formada por activistas individuales, sociedad civil y sus aliados, incluyendo a iglesias y empresas que promueven la inclusión social, así como las entidades donantes que trabajan con la sociedad civil. En este contexto, varias </w:t>
      </w:r>
      <w:proofErr w:type="spellStart"/>
      <w:r w:rsidRPr="00C50459">
        <w:rPr>
          <w:color w:val="000000" w:themeColor="text1"/>
          <w:sz w:val="22"/>
          <w:szCs w:val="22"/>
          <w:lang w:val="es-ES"/>
        </w:rPr>
        <w:t>ONGs</w:t>
      </w:r>
      <w:proofErr w:type="spellEnd"/>
      <w:r w:rsidRPr="00C50459">
        <w:rPr>
          <w:color w:val="000000" w:themeColor="text1"/>
          <w:sz w:val="22"/>
          <w:szCs w:val="22"/>
          <w:lang w:val="es-ES"/>
        </w:rPr>
        <w:t xml:space="preserve"> globales han desplegado arduos y exitosos esfuerzos para crear y mantener fondos de emergencia que están proporcionando líneas vitales a organizaciones locales que, en algunos casos, vieron sus ingresos detenerse de la noche a la mañana.</w:t>
      </w:r>
      <w:r w:rsidRPr="00C50459">
        <w:rPr>
          <w:color w:val="000000" w:themeColor="text1"/>
          <w:sz w:val="22"/>
          <w:szCs w:val="22"/>
          <w:vertAlign w:val="superscript"/>
          <w:lang w:val="es-ES"/>
        </w:rPr>
        <w:footnoteReference w:id="28"/>
      </w:r>
      <w:r w:rsidRPr="00C50459">
        <w:rPr>
          <w:color w:val="000000" w:themeColor="text1"/>
          <w:sz w:val="22"/>
          <w:szCs w:val="22"/>
          <w:lang w:val="es-ES"/>
        </w:rPr>
        <w:t xml:space="preserve"> El mandato está convencido de que esta labor ha protegido a los movimientos LGBT de lo que de otra manera hubiese sido un colapso inmediato y catastrófico, y constituye evidencia del aporte que brindan las organizaciones que operan como centros neurálgicos de estas redes, en estrecho contacto con la comunidad internacional y las Naciones Unidas.</w:t>
      </w:r>
    </w:p>
    <w:p w14:paraId="2814CE50" w14:textId="77777777" w:rsidR="00966BDF" w:rsidRPr="00C50459" w:rsidRDefault="00966BDF" w:rsidP="00C50459">
      <w:pPr>
        <w:jc w:val="both"/>
        <w:rPr>
          <w:color w:val="000000" w:themeColor="text1"/>
          <w:sz w:val="22"/>
          <w:szCs w:val="22"/>
          <w:lang w:val="es-ES"/>
        </w:rPr>
      </w:pPr>
    </w:p>
    <w:p w14:paraId="413B88DC" w14:textId="77777777" w:rsidR="00966BDF" w:rsidRPr="00C50459" w:rsidRDefault="00966BDF" w:rsidP="00C50459">
      <w:pPr>
        <w:jc w:val="both"/>
        <w:rPr>
          <w:color w:val="000000" w:themeColor="text1"/>
          <w:sz w:val="22"/>
          <w:szCs w:val="22"/>
          <w:lang w:val="es-ES"/>
        </w:rPr>
      </w:pPr>
      <w:r w:rsidRPr="00C50459">
        <w:rPr>
          <w:color w:val="000000" w:themeColor="text1"/>
          <w:sz w:val="22"/>
          <w:szCs w:val="22"/>
          <w:lang w:val="es-ES"/>
        </w:rPr>
        <w:t xml:space="preserve">Al mismo tiempo, los fondos de respuesta rápida que son una medida indispensable durante la crisis no pueden ser considerados como sustitutivos de la necesidad de apoyo estratégico a la sociedad civil y a la labor continua y sustentada en mediano y largo plazo de los defensores y defensoras de los derechos humanos. A medida que las anomalías creadas por la pandemia se </w:t>
      </w:r>
      <w:r w:rsidRPr="00C50459">
        <w:rPr>
          <w:color w:val="000000" w:themeColor="text1"/>
          <w:sz w:val="22"/>
          <w:szCs w:val="22"/>
          <w:lang w:val="es-ES"/>
        </w:rPr>
        <w:lastRenderedPageBreak/>
        <w:t xml:space="preserve">extienden en el tiempo y se hace evidente que partes significativas de ellas pasarán a formar parte integral de la llamada "nueva normalidad", se hace evidente que la </w:t>
      </w:r>
      <w:proofErr w:type="spellStart"/>
      <w:r w:rsidRPr="00C50459">
        <w:rPr>
          <w:color w:val="000000" w:themeColor="text1"/>
          <w:sz w:val="22"/>
          <w:szCs w:val="22"/>
          <w:lang w:val="es-ES"/>
        </w:rPr>
        <w:t>reconceptualización</w:t>
      </w:r>
      <w:proofErr w:type="spellEnd"/>
      <w:r w:rsidRPr="00C50459">
        <w:rPr>
          <w:color w:val="000000" w:themeColor="text1"/>
          <w:sz w:val="22"/>
          <w:szCs w:val="22"/>
          <w:lang w:val="es-ES"/>
        </w:rPr>
        <w:t xml:space="preserve"> de las estructuras de diseño y gestión de las actividades de cooperación, la continuidad del trabajo global y regional, el apoyo continuo a las organizaciones de base (en particular a su capacidad de planificación y ejecución estratégica), el acceso de todos al financiamiento en condiciones de equidad, y la continua democratización de las actividades de cooperación internacional continúan siendo un componente indispensable de la agenda de derechos humanos. </w:t>
      </w:r>
    </w:p>
    <w:p w14:paraId="23FE49CC" w14:textId="77777777" w:rsidR="00966BDF" w:rsidRPr="00C50459" w:rsidRDefault="00966BDF" w:rsidP="00C50459">
      <w:pPr>
        <w:jc w:val="both"/>
        <w:rPr>
          <w:color w:val="000000" w:themeColor="text1"/>
          <w:sz w:val="22"/>
          <w:szCs w:val="22"/>
          <w:lang w:val="es-ES"/>
        </w:rPr>
      </w:pPr>
    </w:p>
    <w:p w14:paraId="6D61E3D5" w14:textId="77777777" w:rsidR="00966BDF" w:rsidRPr="00C50459" w:rsidRDefault="00966BDF" w:rsidP="00C50459">
      <w:pPr>
        <w:jc w:val="both"/>
        <w:rPr>
          <w:i/>
          <w:color w:val="000000" w:themeColor="text1"/>
          <w:sz w:val="22"/>
          <w:szCs w:val="22"/>
          <w:lang w:val="es-ES"/>
        </w:rPr>
      </w:pPr>
      <w:r w:rsidRPr="00C50459">
        <w:rPr>
          <w:i/>
          <w:color w:val="000000" w:themeColor="text1"/>
          <w:sz w:val="22"/>
          <w:szCs w:val="22"/>
          <w:lang w:val="es-ES"/>
        </w:rPr>
        <w:t>Los organismos de cooperación del Estado, así como otros organismos y entidades donantes, deben comprometerse a aumentar los recursos destinados a mejorar el disfrute de los derechos de las personas, comunidades y poblaciones LGBT mediante la promoción de la equidad y la justicia de género, racial y económica. El impacto de cualquier reducción de la financiación en la viabilidad a largo plazo del extraordinario sistema de alerta temprana, apoyo mutuo, protección y promoción que se ha creado a lo largo de medio siglo de movimientos modernos para los derechos humanos de las personas LGBT debe ser considerado cuidadosamente. Además, los donantes que aún no lo hayan hecho deberían considerar urgentemente la posibilidad de introducir cambios relevantes en contratos de cooperación en curso, adjudicar prórrogas sin costo, permitir la reasignación de recursos a través de líneas presupuestarias, apoyar la mejora de los protocolos de seguridad y autocuidado y la priorización de la seguridad y simplificar los procedimientos administrativos, incluyendo la flexibilidad a mecanismos de respuesta COVID-19 que protegen los servicios esenciales, los enfoques basados en derechos, y el diálogo inclusivo y transparente con las comunidades.</w:t>
      </w:r>
    </w:p>
    <w:p w14:paraId="5F6E6294" w14:textId="77777777" w:rsidR="00966BDF" w:rsidRPr="00C50459" w:rsidRDefault="00966BDF" w:rsidP="00C50459">
      <w:pPr>
        <w:jc w:val="both"/>
        <w:rPr>
          <w:color w:val="000000" w:themeColor="text1"/>
          <w:sz w:val="22"/>
          <w:szCs w:val="22"/>
          <w:lang w:val="es-ES"/>
        </w:rPr>
      </w:pPr>
    </w:p>
    <w:p w14:paraId="28C8BFE1" w14:textId="77777777" w:rsidR="00966BDF" w:rsidRPr="00C50459" w:rsidRDefault="00966BDF" w:rsidP="00C50459">
      <w:pPr>
        <w:pStyle w:val="ListParagraph"/>
        <w:numPr>
          <w:ilvl w:val="0"/>
          <w:numId w:val="26"/>
        </w:numPr>
        <w:spacing w:line="276" w:lineRule="auto"/>
        <w:jc w:val="both"/>
        <w:rPr>
          <w:b/>
          <w:color w:val="000000" w:themeColor="text1"/>
          <w:sz w:val="22"/>
          <w:szCs w:val="22"/>
          <w:lang w:val="es-ES"/>
        </w:rPr>
      </w:pPr>
      <w:r w:rsidRPr="00C50459">
        <w:rPr>
          <w:b/>
          <w:color w:val="000000" w:themeColor="text1"/>
          <w:sz w:val="22"/>
          <w:szCs w:val="22"/>
          <w:lang w:val="es-ES"/>
        </w:rPr>
        <w:t>Proteger a las personas LGBT de violencia y discriminación en el contexto de la pandemia</w:t>
      </w:r>
    </w:p>
    <w:p w14:paraId="3875D4BC" w14:textId="77777777" w:rsidR="00966BDF" w:rsidRPr="00C50459" w:rsidRDefault="00966BDF" w:rsidP="00C50459">
      <w:pPr>
        <w:pStyle w:val="ListParagraph"/>
        <w:ind w:left="1080"/>
        <w:jc w:val="both"/>
        <w:rPr>
          <w:b/>
          <w:color w:val="000000" w:themeColor="text1"/>
          <w:sz w:val="22"/>
          <w:szCs w:val="22"/>
          <w:lang w:val="es-ES"/>
        </w:rPr>
      </w:pPr>
      <w:r w:rsidRPr="00C50459">
        <w:rPr>
          <w:b/>
          <w:color w:val="000000" w:themeColor="text1"/>
          <w:sz w:val="22"/>
          <w:szCs w:val="22"/>
          <w:lang w:val="es-ES"/>
        </w:rPr>
        <w:t>(y enjuiciar a los perpetradores)</w:t>
      </w:r>
    </w:p>
    <w:p w14:paraId="1B6EFA67" w14:textId="77777777" w:rsidR="00966BDF" w:rsidRPr="00C50459" w:rsidRDefault="00966BDF" w:rsidP="00C50459">
      <w:pPr>
        <w:jc w:val="both"/>
        <w:rPr>
          <w:b/>
          <w:color w:val="000000" w:themeColor="text1"/>
          <w:sz w:val="22"/>
          <w:szCs w:val="22"/>
          <w:lang w:val="es-ES"/>
        </w:rPr>
      </w:pPr>
    </w:p>
    <w:p w14:paraId="0B890D8C" w14:textId="77777777" w:rsidR="00966BDF" w:rsidRPr="00C50459" w:rsidRDefault="00966BDF" w:rsidP="00C50459">
      <w:pPr>
        <w:jc w:val="both"/>
        <w:rPr>
          <w:color w:val="000000" w:themeColor="text1"/>
          <w:sz w:val="22"/>
          <w:szCs w:val="22"/>
          <w:lang w:val="es-ES"/>
        </w:rPr>
      </w:pPr>
      <w:r w:rsidRPr="00C50459">
        <w:rPr>
          <w:color w:val="000000" w:themeColor="text1"/>
          <w:sz w:val="22"/>
          <w:szCs w:val="22"/>
          <w:lang w:val="es-ES"/>
        </w:rPr>
        <w:t>La vulnerabilidad acrecentada de las personas LGBT en situaciones de emergencia está bien documentada.</w:t>
      </w:r>
      <w:r w:rsidRPr="00C50459">
        <w:rPr>
          <w:color w:val="000000" w:themeColor="text1"/>
          <w:sz w:val="22"/>
          <w:szCs w:val="22"/>
          <w:vertAlign w:val="superscript"/>
          <w:lang w:val="es-ES"/>
        </w:rPr>
        <w:footnoteReference w:id="29"/>
      </w:r>
      <w:r w:rsidRPr="00C50459">
        <w:rPr>
          <w:sz w:val="22"/>
          <w:szCs w:val="22"/>
          <w:lang w:val="es-ES"/>
        </w:rPr>
        <w:t xml:space="preserve"> </w:t>
      </w:r>
      <w:r w:rsidRPr="00C50459">
        <w:rPr>
          <w:color w:val="000000" w:themeColor="text1"/>
          <w:sz w:val="22"/>
          <w:szCs w:val="22"/>
          <w:lang w:val="es-ES"/>
        </w:rPr>
        <w:t>Como establece el mandato, "[l]a las desigualdades, la discriminación y la violencia se refuerzan en los entornos humanitarios, poniendo en peligro a los que ya son más vulnerables".</w:t>
      </w:r>
      <w:r w:rsidRPr="00C50459">
        <w:rPr>
          <w:color w:val="000000" w:themeColor="text1"/>
          <w:sz w:val="22"/>
          <w:szCs w:val="22"/>
          <w:vertAlign w:val="superscript"/>
          <w:lang w:val="es-ES"/>
        </w:rPr>
        <w:footnoteReference w:id="30"/>
      </w:r>
      <w:r w:rsidRPr="00C50459">
        <w:rPr>
          <w:sz w:val="22"/>
          <w:szCs w:val="22"/>
          <w:lang w:val="es-ES"/>
        </w:rPr>
        <w:t xml:space="preserve"> </w:t>
      </w:r>
      <w:r w:rsidRPr="00C50459">
        <w:rPr>
          <w:color w:val="000000" w:themeColor="text1"/>
          <w:sz w:val="22"/>
          <w:szCs w:val="22"/>
          <w:lang w:val="es-ES"/>
        </w:rPr>
        <w:t>Todas las medidas de emergencia deben adoptarse dentro del marco jurídico que exige que sean lícitas, necesarias y proporcionadas al objetivo perseguido; tampoco deben desplegar un impacto discriminatorio directo o indirecto, y ser limitadas en el tiempo.</w:t>
      </w:r>
      <w:r w:rsidRPr="00C50459">
        <w:rPr>
          <w:rStyle w:val="FootnoteReference"/>
          <w:color w:val="000000" w:themeColor="text1"/>
          <w:sz w:val="22"/>
          <w:szCs w:val="22"/>
          <w:lang w:val="es-ES"/>
        </w:rPr>
        <w:footnoteReference w:id="31"/>
      </w:r>
      <w:r w:rsidRPr="00C50459">
        <w:rPr>
          <w:sz w:val="22"/>
          <w:szCs w:val="22"/>
          <w:lang w:val="es-ES"/>
        </w:rPr>
        <w:t xml:space="preserve"> </w:t>
      </w:r>
      <w:r w:rsidRPr="00C50459">
        <w:rPr>
          <w:color w:val="000000" w:themeColor="text1"/>
          <w:sz w:val="22"/>
          <w:szCs w:val="22"/>
          <w:lang w:val="es-ES"/>
        </w:rPr>
        <w:t>Cuando los gobiernos promulgan políticas públicas para combatir la pandemia, deben considerar de qué manera afectarán las vidas y los medios de vida de las personas LGBT.</w:t>
      </w:r>
    </w:p>
    <w:p w14:paraId="23D97C51" w14:textId="77777777" w:rsidR="00966BDF" w:rsidRPr="00C50459" w:rsidRDefault="00966BDF" w:rsidP="00C50459">
      <w:pPr>
        <w:jc w:val="both"/>
        <w:rPr>
          <w:color w:val="000000" w:themeColor="text1"/>
          <w:sz w:val="22"/>
          <w:szCs w:val="22"/>
          <w:lang w:val="es-ES"/>
        </w:rPr>
      </w:pPr>
    </w:p>
    <w:p w14:paraId="6982FBB3" w14:textId="77777777" w:rsidR="00966BDF" w:rsidRPr="00C50459" w:rsidRDefault="00966BDF" w:rsidP="00C50459">
      <w:pPr>
        <w:jc w:val="both"/>
        <w:rPr>
          <w:color w:val="000000" w:themeColor="text1"/>
          <w:sz w:val="22"/>
          <w:szCs w:val="22"/>
          <w:lang w:val="es-ES"/>
        </w:rPr>
      </w:pPr>
      <w:r w:rsidRPr="00C50459">
        <w:rPr>
          <w:color w:val="000000" w:themeColor="text1"/>
          <w:sz w:val="22"/>
          <w:szCs w:val="22"/>
          <w:lang w:val="es-ES"/>
        </w:rPr>
        <w:t xml:space="preserve">La evaluación de si una medida es necesaria y proporcional, así como su posible impacto discriminatorio, se evalúa con la debida atención al contexto en el que se ésta se implementa. En cada comunidad, eso significa tener en cuenta las realidades y necesidades de las personas históricamente sometidas a discriminación. Por ejemplo, en términos de disparidades de salud, los hombres homosexuales y las mujeres trans constituyen una proporción significativa de las personas que viven con sistemas inmunitarios comprometidos por el VIH cuando no están en terapia antirretroviral y no hay supresión viral y, por lo tanto, corren un mayor riesgo de desarrollar síntomas graves de COVID-19. Esto se ve agravado por el estrés al que la pandemia ha sujetado a la industria de los suministros médicos, que ha dado lugar a la escasez de antirretrovirales para quienes viven con el VIH/SIDA en muchas partes del mundo. Al mismo </w:t>
      </w:r>
      <w:r w:rsidRPr="00C50459">
        <w:rPr>
          <w:color w:val="000000" w:themeColor="text1"/>
          <w:sz w:val="22"/>
          <w:szCs w:val="22"/>
          <w:lang w:val="es-ES"/>
        </w:rPr>
        <w:lastRenderedPageBreak/>
        <w:t>tiempo, las leyes de criminalización harán que sea mucho menos probable que las personas LGBT estén dispuestas a ir al gobierno a buscar ayuda o ayuda cuando estén enfermas. Dado que la criminalización es discriminación y violencia promovida por el Estado, las barreras creadas por ella en el acceso a los servicios deben abordarse como una responsabilidad de éste.</w:t>
      </w:r>
    </w:p>
    <w:p w14:paraId="60FEFEC8" w14:textId="77777777" w:rsidR="00966BDF" w:rsidRPr="00C50459" w:rsidRDefault="00966BDF" w:rsidP="00C50459">
      <w:pPr>
        <w:jc w:val="both"/>
        <w:rPr>
          <w:color w:val="000000" w:themeColor="text1"/>
          <w:sz w:val="22"/>
          <w:szCs w:val="22"/>
          <w:lang w:val="es-ES"/>
        </w:rPr>
      </w:pPr>
      <w:r w:rsidRPr="00C50459">
        <w:rPr>
          <w:color w:val="000000" w:themeColor="text1"/>
          <w:sz w:val="22"/>
          <w:szCs w:val="22"/>
          <w:lang w:val="es-ES"/>
        </w:rPr>
        <w:t xml:space="preserve"> </w:t>
      </w:r>
    </w:p>
    <w:p w14:paraId="3181290E" w14:textId="77777777" w:rsidR="00966BDF" w:rsidRPr="00C50459" w:rsidRDefault="00966BDF" w:rsidP="00C50459">
      <w:pPr>
        <w:jc w:val="both"/>
        <w:rPr>
          <w:color w:val="000000" w:themeColor="text1"/>
          <w:sz w:val="22"/>
          <w:szCs w:val="22"/>
          <w:lang w:val="es-ES"/>
        </w:rPr>
      </w:pPr>
      <w:r w:rsidRPr="00C50459">
        <w:rPr>
          <w:color w:val="000000" w:themeColor="text1"/>
          <w:sz w:val="22"/>
          <w:szCs w:val="22"/>
          <w:lang w:val="es-ES"/>
        </w:rPr>
        <w:t>Los toques de queda basados en género -que dictan qué días pueden salir a la calle las personas de un género específico - han condenado a las personas de género diverso a la reclusión permanente, al tiempo que hacen que las personas trans sean blanco de humillaciones y violencia cuando salen.</w:t>
      </w:r>
      <w:r w:rsidRPr="00C50459">
        <w:rPr>
          <w:color w:val="000000" w:themeColor="text1"/>
          <w:sz w:val="22"/>
          <w:szCs w:val="22"/>
          <w:vertAlign w:val="superscript"/>
          <w:lang w:val="es-ES"/>
        </w:rPr>
        <w:footnoteReference w:id="32"/>
      </w:r>
    </w:p>
    <w:p w14:paraId="4310D53A" w14:textId="77777777" w:rsidR="00966BDF" w:rsidRPr="00C50459" w:rsidRDefault="00966BDF" w:rsidP="00C50459">
      <w:pPr>
        <w:jc w:val="both"/>
        <w:rPr>
          <w:color w:val="000000" w:themeColor="text1"/>
          <w:sz w:val="22"/>
          <w:szCs w:val="22"/>
          <w:lang w:val="es-ES"/>
        </w:rPr>
      </w:pPr>
    </w:p>
    <w:p w14:paraId="77D0F56C" w14:textId="77777777" w:rsidR="00966BDF" w:rsidRPr="00C50459" w:rsidRDefault="00966BDF" w:rsidP="00C50459">
      <w:pPr>
        <w:jc w:val="both"/>
        <w:rPr>
          <w:color w:val="000000" w:themeColor="text1"/>
          <w:sz w:val="22"/>
          <w:szCs w:val="22"/>
          <w:lang w:val="es-ES"/>
        </w:rPr>
      </w:pPr>
      <w:r w:rsidRPr="00C50459">
        <w:rPr>
          <w:color w:val="000000" w:themeColor="text1"/>
          <w:sz w:val="22"/>
          <w:szCs w:val="22"/>
          <w:lang w:val="es-ES"/>
        </w:rPr>
        <w:t>Se debe considerar cuidadosamente la forma en que las personas que han trabajado en el sector informal, y en esferas como el trabajo sexual, tienen acceso a los regímenes de protección social que a menudo les excluyen. Hay una necesidad urgente de que los gobiernos y, en particular,</w:t>
      </w:r>
      <w:r w:rsidRPr="00C50459">
        <w:rPr>
          <w:sz w:val="22"/>
          <w:szCs w:val="22"/>
          <w:lang w:val="es-ES"/>
        </w:rPr>
        <w:t xml:space="preserve"> los proveedores de</w:t>
      </w:r>
      <w:r w:rsidRPr="00C50459">
        <w:rPr>
          <w:color w:val="000000" w:themeColor="text1"/>
          <w:sz w:val="22"/>
          <w:szCs w:val="22"/>
          <w:lang w:val="es-ES"/>
        </w:rPr>
        <w:t xml:space="preserve"> salud y</w:t>
      </w:r>
      <w:r w:rsidRPr="00C50459">
        <w:rPr>
          <w:sz w:val="22"/>
          <w:szCs w:val="22"/>
          <w:lang w:val="es-ES"/>
        </w:rPr>
        <w:t xml:space="preserve"> atención</w:t>
      </w:r>
      <w:r w:rsidRPr="00C50459">
        <w:rPr>
          <w:color w:val="000000" w:themeColor="text1"/>
          <w:sz w:val="22"/>
          <w:szCs w:val="22"/>
          <w:lang w:val="es-ES"/>
        </w:rPr>
        <w:t xml:space="preserve"> social trabajen con las comunidades afectadas.</w:t>
      </w:r>
      <w:r w:rsidRPr="00C50459">
        <w:rPr>
          <w:rStyle w:val="FootnoteReference"/>
          <w:color w:val="000000" w:themeColor="text1"/>
          <w:sz w:val="22"/>
          <w:szCs w:val="22"/>
          <w:lang w:val="es-ES"/>
        </w:rPr>
        <w:footnoteReference w:id="33"/>
      </w:r>
      <w:r w:rsidRPr="00C50459">
        <w:rPr>
          <w:sz w:val="22"/>
          <w:szCs w:val="22"/>
          <w:lang w:val="es-ES"/>
        </w:rPr>
        <w:t xml:space="preserve"> </w:t>
      </w:r>
      <w:r w:rsidRPr="00C50459">
        <w:rPr>
          <w:color w:val="000000" w:themeColor="text1"/>
          <w:sz w:val="22"/>
          <w:szCs w:val="22"/>
          <w:lang w:val="es-ES"/>
        </w:rPr>
        <w:t>En todas las circunstancias, el apoyo a las personas que fuera de los tiempos de pandemia operan en el sector informal debería ser fácilmente accesible para todos los trabajadores sexuales, incluidos los migrantes con estatus de residencia ilegal o incierto y sin hogar.</w:t>
      </w:r>
    </w:p>
    <w:p w14:paraId="26642AE5" w14:textId="77777777" w:rsidR="00966BDF" w:rsidRPr="00C50459" w:rsidRDefault="00966BDF" w:rsidP="00C50459">
      <w:pPr>
        <w:jc w:val="both"/>
        <w:rPr>
          <w:color w:val="000000" w:themeColor="text1"/>
          <w:sz w:val="22"/>
          <w:szCs w:val="22"/>
          <w:lang w:val="es-ES"/>
        </w:rPr>
      </w:pPr>
    </w:p>
    <w:p w14:paraId="6BCE5401" w14:textId="77777777" w:rsidR="00966BDF" w:rsidRPr="00C50459" w:rsidRDefault="00966BDF" w:rsidP="00C50459">
      <w:pPr>
        <w:jc w:val="both"/>
        <w:rPr>
          <w:color w:val="000000" w:themeColor="text1"/>
          <w:sz w:val="22"/>
          <w:szCs w:val="22"/>
          <w:lang w:val="es-ES"/>
        </w:rPr>
      </w:pPr>
      <w:r w:rsidRPr="00C50459">
        <w:rPr>
          <w:color w:val="000000" w:themeColor="text1"/>
          <w:sz w:val="22"/>
          <w:szCs w:val="22"/>
          <w:lang w:val="es-ES"/>
        </w:rPr>
        <w:t>Los Estados también deben considerar la posibilidad de establecer refugios de emergencia para las personas LGBT, que generalmente están sobrerrepresentadas en las poblaciones en situación de calle debido a procesos de exclusión social.</w:t>
      </w:r>
      <w:r w:rsidRPr="00C50459">
        <w:rPr>
          <w:rStyle w:val="FootnoteReference"/>
          <w:color w:val="000000" w:themeColor="text1"/>
          <w:sz w:val="22"/>
          <w:szCs w:val="22"/>
          <w:lang w:val="es-ES"/>
        </w:rPr>
        <w:footnoteReference w:id="34"/>
      </w:r>
      <w:r w:rsidRPr="00C50459">
        <w:rPr>
          <w:sz w:val="22"/>
          <w:szCs w:val="22"/>
          <w:lang w:val="es-ES"/>
        </w:rPr>
        <w:t xml:space="preserve"> </w:t>
      </w:r>
      <w:r w:rsidRPr="00C50459">
        <w:rPr>
          <w:color w:val="000000" w:themeColor="text1"/>
          <w:sz w:val="22"/>
          <w:szCs w:val="22"/>
          <w:lang w:val="es-ES"/>
        </w:rPr>
        <w:t>Deben garantizar la protección y posiblemente el tratamiento; y suspender las sanciones para aquellos que puedan demostrar que no pueden cumplir con las directivas de estancia en el hogar debido a preocupaciones materiales, como en el caso de los huéspedes de dormitorios que no pueden permanecer en las instalaciones durante el día.</w:t>
      </w:r>
      <w:r w:rsidRPr="00C50459">
        <w:rPr>
          <w:rStyle w:val="FootnoteReference"/>
          <w:color w:val="000000" w:themeColor="text1"/>
          <w:sz w:val="22"/>
          <w:szCs w:val="22"/>
          <w:lang w:val="es-ES"/>
        </w:rPr>
        <w:footnoteReference w:id="35"/>
      </w:r>
    </w:p>
    <w:p w14:paraId="657988C5" w14:textId="77777777" w:rsidR="00966BDF" w:rsidRPr="00C50459" w:rsidRDefault="00966BDF" w:rsidP="00C50459">
      <w:pPr>
        <w:jc w:val="both"/>
        <w:rPr>
          <w:color w:val="000000" w:themeColor="text1"/>
          <w:sz w:val="22"/>
          <w:szCs w:val="22"/>
          <w:lang w:val="es-ES"/>
        </w:rPr>
      </w:pPr>
    </w:p>
    <w:p w14:paraId="0280E8AD" w14:textId="77777777" w:rsidR="00966BDF" w:rsidRPr="00C50459" w:rsidRDefault="00966BDF" w:rsidP="00C50459">
      <w:pPr>
        <w:jc w:val="both"/>
        <w:rPr>
          <w:color w:val="000000" w:themeColor="text1"/>
          <w:sz w:val="22"/>
          <w:szCs w:val="22"/>
          <w:lang w:val="es-ES"/>
        </w:rPr>
      </w:pPr>
      <w:r w:rsidRPr="00C50459">
        <w:rPr>
          <w:color w:val="000000" w:themeColor="text1"/>
          <w:sz w:val="22"/>
          <w:szCs w:val="22"/>
          <w:lang w:val="es-ES"/>
        </w:rPr>
        <w:t>Por último, dado que las órdenes de estancia en casa han confinado a muchos niños y jóvenes LGBT y ancianos a hogares que no aceptan sus orientaciones sexuales e identidades de género, lo que conduce a condiciones inseguras en el hogar y a mayores tasas de violencia doméstica, abuso físico y emocional, así como daños a largo plazo en su salud mental, deben habilitarse sistemas de apoyo y ayuda (como líneas directas y respuestas policiales) , inclusivos para las personas LGBT, y que deben funcionar en todo momento.</w:t>
      </w:r>
    </w:p>
    <w:p w14:paraId="266AF909" w14:textId="77777777" w:rsidR="00966BDF" w:rsidRPr="00C50459" w:rsidRDefault="00966BDF" w:rsidP="00C50459">
      <w:pPr>
        <w:jc w:val="both"/>
        <w:rPr>
          <w:color w:val="000000" w:themeColor="text1"/>
          <w:sz w:val="22"/>
          <w:szCs w:val="22"/>
          <w:lang w:val="es-ES"/>
        </w:rPr>
      </w:pPr>
      <w:r w:rsidRPr="00C50459">
        <w:rPr>
          <w:color w:val="000000" w:themeColor="text1"/>
          <w:sz w:val="22"/>
          <w:szCs w:val="22"/>
          <w:lang w:val="es-ES"/>
        </w:rPr>
        <w:t xml:space="preserve"> </w:t>
      </w:r>
    </w:p>
    <w:p w14:paraId="70E08CFC" w14:textId="77777777" w:rsidR="00966BDF" w:rsidRPr="00C50459" w:rsidRDefault="00966BDF" w:rsidP="00C50459">
      <w:pPr>
        <w:jc w:val="both"/>
        <w:rPr>
          <w:color w:val="000000" w:themeColor="text1"/>
          <w:sz w:val="22"/>
          <w:szCs w:val="22"/>
          <w:lang w:val="es-ES"/>
        </w:rPr>
      </w:pPr>
      <w:r w:rsidRPr="00C50459">
        <w:rPr>
          <w:color w:val="000000" w:themeColor="text1"/>
          <w:sz w:val="22"/>
          <w:szCs w:val="22"/>
          <w:lang w:val="es-ES"/>
        </w:rPr>
        <w:t>Las medidas gubernamentales para combatir la pandemia deben limitarse a la protección de la salud pública y no a la promoción de agendas anti-LGBT. Los gobiernos y los líderes políticos y religiosos no deben amplificar la toxicidad de COVID-19 con una mezcla de desinformación y odio, y las autoridades estatales deben observar y aplicar severamente los límites entre el discurso protegido y el discurso de odio. En este sentido, se deben tomar medidas para abordar las campañas de desinformación y el discurso de odio a través de las redes sociales.</w:t>
      </w:r>
      <w:r w:rsidRPr="00C50459">
        <w:rPr>
          <w:rStyle w:val="FootnoteReference"/>
          <w:color w:val="000000" w:themeColor="text1"/>
          <w:sz w:val="22"/>
          <w:szCs w:val="22"/>
          <w:lang w:val="es-ES"/>
        </w:rPr>
        <w:footnoteReference w:id="36"/>
      </w:r>
    </w:p>
    <w:p w14:paraId="718D91A9" w14:textId="77777777" w:rsidR="00966BDF" w:rsidRPr="00C50459" w:rsidRDefault="00966BDF" w:rsidP="00C50459">
      <w:pPr>
        <w:jc w:val="both"/>
        <w:rPr>
          <w:color w:val="000000" w:themeColor="text1"/>
          <w:sz w:val="22"/>
          <w:szCs w:val="22"/>
          <w:lang w:val="es-ES"/>
        </w:rPr>
      </w:pPr>
    </w:p>
    <w:p w14:paraId="5F19F2CF" w14:textId="77777777" w:rsidR="00966BDF" w:rsidRPr="00C50459" w:rsidRDefault="00966BDF" w:rsidP="00C50459">
      <w:pPr>
        <w:jc w:val="both"/>
        <w:rPr>
          <w:color w:val="000000" w:themeColor="text1"/>
          <w:sz w:val="22"/>
          <w:szCs w:val="22"/>
          <w:lang w:val="es-ES"/>
        </w:rPr>
      </w:pPr>
      <w:r w:rsidRPr="00C50459">
        <w:rPr>
          <w:color w:val="000000" w:themeColor="text1"/>
          <w:sz w:val="22"/>
          <w:szCs w:val="22"/>
          <w:lang w:val="es-ES"/>
        </w:rPr>
        <w:t xml:space="preserve">Por último, los gobiernos no deben utilizar medidas relacionadas con el COVID-19 para atacar o enjuiciar a las personas en función de su orientación sexual o identidad de género. El uso de la pandemia para justificar la introducción o aprobación de legislación que limite o retire los derechos o pospone la entrada en vigor de los derechos exigidos judicialmente es una manera </w:t>
      </w:r>
      <w:r w:rsidRPr="00C50459">
        <w:rPr>
          <w:color w:val="000000" w:themeColor="text1"/>
          <w:sz w:val="22"/>
          <w:szCs w:val="22"/>
          <w:lang w:val="es-ES"/>
        </w:rPr>
        <w:lastRenderedPageBreak/>
        <w:t>escandalosa de utilizar la emergencia sanitaria para alcanzar objetivos políticos que de otro modo han fracasado. Todas las acciones de la policía y los funcionarios administrativos, incluida la aplicación de las disposiciones de cuarentena, las redadas, las demandas de documentos de identificación y la ejecución de las multas durante el toque de queda, no deben ser discriminatorias ni arbitrarias, y no deben ser una excusa para atacar a las personas LGBT ni el disfrute de sus derechos. A este respecto, los Estados tendrán que velar por que las víctimas de violaciones de los derechos humanos que se hayan perpetrado utilizando COVID-19 como excusa, o como resultado de las medidas aplicadas para hacer frente a la pandemia, tengan acceso a reparación, incluida la no repetición y las reparaciones. Esto debe, a su vez, ir acompañado de las acciones respectivas para garantizar la rendición de cuentas de los agentes estatales y no estatales involucrados en la perpetración.</w:t>
      </w:r>
    </w:p>
    <w:p w14:paraId="0184D721" w14:textId="77777777" w:rsidR="00966BDF" w:rsidRPr="00C50459" w:rsidRDefault="00966BDF" w:rsidP="00C50459">
      <w:pPr>
        <w:jc w:val="both"/>
        <w:rPr>
          <w:color w:val="000000" w:themeColor="text1"/>
          <w:sz w:val="22"/>
          <w:szCs w:val="22"/>
          <w:lang w:val="es-ES"/>
        </w:rPr>
      </w:pPr>
    </w:p>
    <w:p w14:paraId="603DBDFD" w14:textId="77777777" w:rsidR="00966BDF" w:rsidRPr="00C50459" w:rsidRDefault="00966BDF" w:rsidP="00C50459">
      <w:pPr>
        <w:jc w:val="both"/>
        <w:rPr>
          <w:color w:val="000000" w:themeColor="text1"/>
          <w:sz w:val="22"/>
          <w:szCs w:val="22"/>
          <w:lang w:val="es-ES"/>
        </w:rPr>
      </w:pPr>
      <w:r w:rsidRPr="00C50459">
        <w:rPr>
          <w:color w:val="000000" w:themeColor="text1"/>
          <w:sz w:val="22"/>
          <w:szCs w:val="22"/>
          <w:lang w:val="es-ES"/>
        </w:rPr>
        <w:t>En este contexto, el acceso eficiente y eficaz a la justicia es una necesidad. Como señaló el Comité de Derechos Económicos, Sociales y Culturales de las Naciones Unidas,</w:t>
      </w:r>
    </w:p>
    <w:p w14:paraId="3BAE8B2C" w14:textId="77777777" w:rsidR="00966BDF" w:rsidRPr="00C50459" w:rsidRDefault="00966BDF" w:rsidP="00C50459">
      <w:pPr>
        <w:jc w:val="both"/>
        <w:rPr>
          <w:color w:val="000000" w:themeColor="text1"/>
          <w:sz w:val="22"/>
          <w:szCs w:val="22"/>
          <w:lang w:val="es-ES"/>
        </w:rPr>
      </w:pPr>
    </w:p>
    <w:p w14:paraId="321DEA61" w14:textId="77777777" w:rsidR="00966BDF" w:rsidRPr="00C50459" w:rsidRDefault="00966BDF" w:rsidP="00C50459">
      <w:pPr>
        <w:ind w:left="567" w:right="571"/>
        <w:jc w:val="both"/>
        <w:rPr>
          <w:sz w:val="22"/>
          <w:szCs w:val="22"/>
          <w:lang w:val="es-ES"/>
        </w:rPr>
      </w:pPr>
      <w:r w:rsidRPr="00C50459">
        <w:rPr>
          <w:color w:val="000000" w:themeColor="text1"/>
          <w:sz w:val="22"/>
          <w:szCs w:val="22"/>
          <w:lang w:val="es-ES"/>
        </w:rPr>
        <w:t>el acceso a la justicia y a recursos jurídicos eficaces no es un lujo, sino un elemento básico para proteger los derechos económicos, sociales y culturales, especialmente los de los grupos más vulnerables y marginados. Así, por ejemplo, es esencial que los funcionarios encargados de hacer cumplir la ley respondan a los casos de violencia doméstica, que los teléfonos de emergencia para atender casos de violencia doméstica funcionen y que las mujeres y niños víctimas de este tipo de violencia tengan acceso efectivo a la justicia y a los recursos jurídicos.</w:t>
      </w:r>
      <w:r w:rsidRPr="00C50459">
        <w:rPr>
          <w:rStyle w:val="FootnoteReference"/>
          <w:color w:val="000000" w:themeColor="text1"/>
          <w:sz w:val="22"/>
          <w:szCs w:val="22"/>
          <w:lang w:val="es-ES"/>
        </w:rPr>
        <w:footnoteReference w:id="37"/>
      </w:r>
    </w:p>
    <w:p w14:paraId="40B56B72" w14:textId="77777777" w:rsidR="00966BDF" w:rsidRPr="00C50459" w:rsidRDefault="00966BDF" w:rsidP="00C50459">
      <w:pPr>
        <w:jc w:val="both"/>
        <w:rPr>
          <w:color w:val="000000" w:themeColor="text1"/>
          <w:sz w:val="22"/>
          <w:szCs w:val="22"/>
          <w:lang w:val="es-ES"/>
        </w:rPr>
      </w:pPr>
    </w:p>
    <w:p w14:paraId="0AE7D6F3" w14:textId="77777777" w:rsidR="00966BDF" w:rsidRPr="00C50459" w:rsidRDefault="00966BDF" w:rsidP="00C50459">
      <w:pPr>
        <w:jc w:val="both"/>
        <w:rPr>
          <w:i/>
          <w:iCs/>
          <w:color w:val="000000" w:themeColor="text1"/>
          <w:sz w:val="22"/>
          <w:szCs w:val="22"/>
          <w:lang w:val="es-ES"/>
        </w:rPr>
      </w:pPr>
      <w:r w:rsidRPr="00C50459">
        <w:rPr>
          <w:i/>
          <w:iCs/>
          <w:color w:val="000000" w:themeColor="text1"/>
          <w:sz w:val="22"/>
          <w:szCs w:val="22"/>
          <w:lang w:val="es-ES"/>
        </w:rPr>
        <w:t>Las autoridades deben adoptar medidas de respuesta a la pandemia dentro del marco jurídico dado por el derecho internacional de los derechos humanos, considerar cómo estas políticas afectarán la vida y los medios de vida de las personas LGBT, y garantizar el funcionamiento continuo de los sistemas de apoyo y acceso a la justicia. En contextos en los que persiste la criminalización de las relaciones entre personas del mismo sexo, el Estado debe remediar todas las barreras creadas por él en el acceso a los servicios. Los Estados deben adoptar todas las medidas para combatir la incitación al odio en el contexto de la pandemia y todas las medidas necesarias para remediar las campañas de desinformación y la incitación al odio a través de las redes sociales.</w:t>
      </w:r>
      <w:r w:rsidRPr="00C50459">
        <w:rPr>
          <w:rStyle w:val="FootnoteReference"/>
          <w:i/>
          <w:iCs/>
          <w:color w:val="000000" w:themeColor="text1"/>
          <w:sz w:val="22"/>
          <w:szCs w:val="22"/>
          <w:lang w:val="es-ES"/>
        </w:rPr>
        <w:footnoteReference w:id="38"/>
      </w:r>
    </w:p>
    <w:p w14:paraId="7B2DD648" w14:textId="77777777" w:rsidR="00966BDF" w:rsidRPr="00C50459" w:rsidRDefault="00966BDF" w:rsidP="00C50459">
      <w:pPr>
        <w:jc w:val="both"/>
        <w:rPr>
          <w:color w:val="000000" w:themeColor="text1"/>
          <w:sz w:val="22"/>
          <w:szCs w:val="22"/>
          <w:lang w:val="es-ES"/>
        </w:rPr>
      </w:pPr>
    </w:p>
    <w:p w14:paraId="2882763A" w14:textId="77777777" w:rsidR="00966BDF" w:rsidRPr="00C50459" w:rsidRDefault="00966BDF" w:rsidP="00C50459">
      <w:pPr>
        <w:pStyle w:val="ListParagraph"/>
        <w:numPr>
          <w:ilvl w:val="0"/>
          <w:numId w:val="26"/>
        </w:numPr>
        <w:spacing w:line="276" w:lineRule="auto"/>
        <w:jc w:val="both"/>
        <w:rPr>
          <w:b/>
          <w:color w:val="000000" w:themeColor="text1"/>
          <w:sz w:val="22"/>
          <w:szCs w:val="22"/>
          <w:lang w:val="es-ES"/>
        </w:rPr>
      </w:pPr>
      <w:r w:rsidRPr="00C50459">
        <w:rPr>
          <w:b/>
          <w:color w:val="000000" w:themeColor="text1"/>
          <w:sz w:val="22"/>
          <w:szCs w:val="22"/>
          <w:lang w:val="es-ES"/>
        </w:rPr>
        <w:t>La discriminación indirecta es un riesgo real y significativo</w:t>
      </w:r>
    </w:p>
    <w:p w14:paraId="2FFE6278" w14:textId="77777777" w:rsidR="00966BDF" w:rsidRPr="00C50459" w:rsidRDefault="00966BDF" w:rsidP="00C50459">
      <w:pPr>
        <w:pStyle w:val="ListParagraph"/>
        <w:ind w:left="1080"/>
        <w:jc w:val="both"/>
        <w:rPr>
          <w:b/>
          <w:color w:val="000000" w:themeColor="text1"/>
          <w:sz w:val="22"/>
          <w:szCs w:val="22"/>
          <w:lang w:val="es-ES"/>
        </w:rPr>
      </w:pPr>
      <w:r w:rsidRPr="00C50459">
        <w:rPr>
          <w:b/>
          <w:color w:val="000000" w:themeColor="text1"/>
          <w:sz w:val="22"/>
          <w:szCs w:val="22"/>
          <w:lang w:val="es-ES"/>
        </w:rPr>
        <w:t>(y exacerba la estigmatización contra las personas LGBT)</w:t>
      </w:r>
    </w:p>
    <w:p w14:paraId="4D144F70" w14:textId="77777777" w:rsidR="00966BDF" w:rsidRPr="00C50459" w:rsidRDefault="00966BDF" w:rsidP="00C50459">
      <w:pPr>
        <w:pBdr>
          <w:top w:val="nil"/>
          <w:left w:val="nil"/>
          <w:bottom w:val="nil"/>
          <w:right w:val="nil"/>
          <w:between w:val="nil"/>
        </w:pBdr>
        <w:jc w:val="both"/>
        <w:rPr>
          <w:color w:val="000000" w:themeColor="text1"/>
          <w:sz w:val="22"/>
          <w:szCs w:val="22"/>
          <w:lang w:val="es-ES"/>
        </w:rPr>
      </w:pPr>
    </w:p>
    <w:p w14:paraId="1F385E38" w14:textId="77777777" w:rsidR="00966BDF" w:rsidRPr="00C50459" w:rsidRDefault="00966BDF" w:rsidP="00C50459">
      <w:pPr>
        <w:pBdr>
          <w:top w:val="nil"/>
          <w:left w:val="nil"/>
          <w:bottom w:val="nil"/>
          <w:right w:val="nil"/>
          <w:between w:val="nil"/>
        </w:pBdr>
        <w:jc w:val="both"/>
        <w:rPr>
          <w:color w:val="000000" w:themeColor="text1"/>
          <w:sz w:val="22"/>
          <w:szCs w:val="22"/>
          <w:lang w:val="es-ES"/>
        </w:rPr>
      </w:pPr>
      <w:r w:rsidRPr="00C50459">
        <w:rPr>
          <w:color w:val="000000" w:themeColor="text1"/>
          <w:sz w:val="22"/>
          <w:szCs w:val="22"/>
          <w:lang w:val="es-ES"/>
        </w:rPr>
        <w:t>Las normas jurídicas que prohíben la discriminación indirecta se encuentran en diversas leyes nacionales, tratados internacionales y otros instrumentos de derechos humanos. La discriminación indirecta en esta materia se produce cuando una disposición o práctica aparentemente neutral pone a las personas que tienen una orientación sexual o identidad de género en particular en desventaja en comparación con otras, a menos que la disposición o la práctica tenga un objetivo legítimo, sea necesaria y apropiada.</w:t>
      </w:r>
    </w:p>
    <w:p w14:paraId="50835EB6" w14:textId="77777777" w:rsidR="00966BDF" w:rsidRPr="00C50459" w:rsidRDefault="00966BDF" w:rsidP="00C50459">
      <w:pPr>
        <w:pBdr>
          <w:top w:val="nil"/>
          <w:left w:val="nil"/>
          <w:bottom w:val="nil"/>
          <w:right w:val="nil"/>
          <w:between w:val="nil"/>
        </w:pBdr>
        <w:jc w:val="both"/>
        <w:rPr>
          <w:color w:val="000000" w:themeColor="text1"/>
          <w:sz w:val="22"/>
          <w:szCs w:val="22"/>
          <w:lang w:val="es-ES"/>
        </w:rPr>
      </w:pPr>
      <w:r w:rsidRPr="00C50459">
        <w:rPr>
          <w:color w:val="000000" w:themeColor="text1"/>
          <w:sz w:val="22"/>
          <w:szCs w:val="22"/>
          <w:lang w:val="es-ES"/>
        </w:rPr>
        <w:t xml:space="preserve"> </w:t>
      </w:r>
    </w:p>
    <w:p w14:paraId="5AD55A2F" w14:textId="77777777" w:rsidR="00966BDF" w:rsidRPr="00C50459" w:rsidRDefault="00966BDF" w:rsidP="00C50459">
      <w:pPr>
        <w:pBdr>
          <w:top w:val="nil"/>
          <w:left w:val="nil"/>
          <w:bottom w:val="nil"/>
          <w:right w:val="nil"/>
          <w:between w:val="nil"/>
        </w:pBdr>
        <w:jc w:val="both"/>
        <w:rPr>
          <w:color w:val="000000" w:themeColor="text1"/>
          <w:sz w:val="22"/>
          <w:szCs w:val="22"/>
          <w:lang w:val="es-ES"/>
        </w:rPr>
      </w:pPr>
      <w:r w:rsidRPr="00C50459">
        <w:rPr>
          <w:color w:val="000000" w:themeColor="text1"/>
          <w:sz w:val="22"/>
          <w:szCs w:val="22"/>
          <w:lang w:val="es-ES"/>
        </w:rPr>
        <w:t>Las medidas relacionadas con el COVID-19 pueden aumentar el riesgo significativo de discriminación indirecta. Por ejemplo, las pruebas y el tratamiento deben estar disponibles y ser accesibles para todas las personas, un principio que ha sido afirmado por una gran mayoría de los titulares de mandatos de Procedimientos Especiales: "Toda persona, sin excepción, tiene derecho a intervenciones que salvan vidas y esta responsabilidad recae en el gobierno. La escasez de recursos o el uso de regímenes de seguro públicos o privados nunca deben ser una justificación para discriminar a determinados grupos de pacientes [...] Toda persona tiene derecho a la salud",</w:t>
      </w:r>
      <w:r w:rsidRPr="00C50459">
        <w:rPr>
          <w:color w:val="000000" w:themeColor="text1"/>
          <w:sz w:val="22"/>
          <w:szCs w:val="22"/>
          <w:vertAlign w:val="superscript"/>
          <w:lang w:val="es-ES"/>
        </w:rPr>
        <w:footnoteReference w:id="39"/>
      </w:r>
      <w:r w:rsidRPr="00C50459">
        <w:rPr>
          <w:sz w:val="22"/>
          <w:szCs w:val="22"/>
          <w:lang w:val="es-ES"/>
        </w:rPr>
        <w:t xml:space="preserve"> </w:t>
      </w:r>
      <w:r w:rsidRPr="00C50459">
        <w:rPr>
          <w:color w:val="000000" w:themeColor="text1"/>
          <w:sz w:val="22"/>
          <w:szCs w:val="22"/>
          <w:lang w:val="es-ES"/>
        </w:rPr>
        <w:t xml:space="preserve"> y la </w:t>
      </w:r>
      <w:r w:rsidRPr="00C50459">
        <w:rPr>
          <w:i/>
          <w:iCs/>
          <w:color w:val="000000" w:themeColor="text1"/>
          <w:sz w:val="22"/>
          <w:szCs w:val="22"/>
          <w:lang w:val="es-ES"/>
        </w:rPr>
        <w:t xml:space="preserve">Equal Rights </w:t>
      </w:r>
      <w:proofErr w:type="spellStart"/>
      <w:r w:rsidRPr="00C50459">
        <w:rPr>
          <w:i/>
          <w:iCs/>
          <w:color w:val="000000" w:themeColor="text1"/>
          <w:sz w:val="22"/>
          <w:szCs w:val="22"/>
          <w:lang w:val="es-ES"/>
        </w:rPr>
        <w:t>Coalition</w:t>
      </w:r>
      <w:proofErr w:type="spellEnd"/>
      <w:r w:rsidRPr="00C50459">
        <w:rPr>
          <w:color w:val="000000" w:themeColor="text1"/>
          <w:sz w:val="22"/>
          <w:szCs w:val="22"/>
          <w:lang w:val="es-ES"/>
        </w:rPr>
        <w:t xml:space="preserve"> ha determinado que esto "debe incluir la divulgación a las </w:t>
      </w:r>
      <w:r w:rsidRPr="00C50459">
        <w:rPr>
          <w:color w:val="000000" w:themeColor="text1"/>
          <w:sz w:val="22"/>
          <w:szCs w:val="22"/>
          <w:lang w:val="es-ES"/>
        </w:rPr>
        <w:lastRenderedPageBreak/>
        <w:t>comunidades marginadas que de otro modo podrían carecer de acceso a la atención médica (por ejemplo, aquellos que sufren desamparo, trabajadores sexuales, personas en situación de pobreza)".</w:t>
      </w:r>
      <w:r w:rsidRPr="00C50459">
        <w:rPr>
          <w:color w:val="000000" w:themeColor="text1"/>
          <w:sz w:val="22"/>
          <w:szCs w:val="22"/>
          <w:vertAlign w:val="superscript"/>
          <w:lang w:val="es-ES"/>
        </w:rPr>
        <w:footnoteReference w:id="40"/>
      </w:r>
    </w:p>
    <w:p w14:paraId="45F1B6C2" w14:textId="77777777" w:rsidR="00966BDF" w:rsidRPr="00C50459" w:rsidRDefault="00966BDF" w:rsidP="00C50459">
      <w:pPr>
        <w:jc w:val="both"/>
        <w:rPr>
          <w:color w:val="000000" w:themeColor="text1"/>
          <w:sz w:val="22"/>
          <w:szCs w:val="22"/>
          <w:lang w:val="es-ES"/>
        </w:rPr>
      </w:pPr>
    </w:p>
    <w:p w14:paraId="64FD09B7" w14:textId="77777777" w:rsidR="00966BDF" w:rsidRPr="00C50459" w:rsidRDefault="00966BDF" w:rsidP="00C50459">
      <w:pPr>
        <w:pBdr>
          <w:top w:val="nil"/>
          <w:left w:val="nil"/>
          <w:bottom w:val="nil"/>
          <w:right w:val="nil"/>
          <w:between w:val="nil"/>
        </w:pBdr>
        <w:jc w:val="both"/>
        <w:rPr>
          <w:color w:val="000000" w:themeColor="text1"/>
          <w:sz w:val="22"/>
          <w:szCs w:val="22"/>
          <w:lang w:val="es-ES"/>
        </w:rPr>
      </w:pPr>
      <w:r w:rsidRPr="00C50459">
        <w:rPr>
          <w:color w:val="000000" w:themeColor="text1"/>
          <w:sz w:val="22"/>
          <w:szCs w:val="22"/>
          <w:lang w:val="es-ES"/>
        </w:rPr>
        <w:t>Ser capaz de pagar y acceder a la atención médica es esencial para las pruebas de COVID-19, así como para tratar los síntomas de la enfermedad. Sin embargo, las personas LGBT son más propensas que sus contrapartes a carecer de cobertura de salud o de los recursos monetarios para visitar a un médico, incluso cuando esto sea necesario. Esto puede conducir a graves dificultades económicas cuando la atención médica se evalúa en última instancia.</w:t>
      </w:r>
      <w:r w:rsidRPr="00C50459">
        <w:rPr>
          <w:color w:val="000000" w:themeColor="text1"/>
          <w:sz w:val="22"/>
          <w:szCs w:val="22"/>
          <w:vertAlign w:val="superscript"/>
          <w:lang w:val="es-ES"/>
        </w:rPr>
        <w:footnoteReference w:id="41"/>
      </w:r>
      <w:r w:rsidRPr="00C50459">
        <w:rPr>
          <w:color w:val="000000" w:themeColor="text1"/>
          <w:sz w:val="22"/>
          <w:szCs w:val="22"/>
          <w:lang w:val="es-ES"/>
        </w:rPr>
        <w:t xml:space="preserve"> Además, las personas LGBT regularmente experimentan estigma y discriminación cuando acuden a los servicios de salud, lo que conduce a disparidades en el acceso, la calidad y la disponibilidad de atención médica. Esa discriminación, exacerbada por el riesgo de detención o violencia en entornos de criminalización, eleva los riesgos para la salud de las personas LGBT durante la pandemia.</w:t>
      </w:r>
      <w:r w:rsidRPr="00C50459">
        <w:rPr>
          <w:rStyle w:val="FootnoteReference"/>
          <w:color w:val="000000" w:themeColor="text1"/>
          <w:sz w:val="22"/>
          <w:szCs w:val="22"/>
          <w:lang w:val="es-ES"/>
        </w:rPr>
        <w:footnoteReference w:id="42"/>
      </w:r>
    </w:p>
    <w:p w14:paraId="5A6A9822" w14:textId="77777777" w:rsidR="00966BDF" w:rsidRPr="00C50459" w:rsidRDefault="00966BDF" w:rsidP="00C50459">
      <w:pPr>
        <w:jc w:val="both"/>
        <w:rPr>
          <w:color w:val="000000" w:themeColor="text1"/>
          <w:sz w:val="22"/>
          <w:szCs w:val="22"/>
          <w:lang w:val="es-ES"/>
        </w:rPr>
      </w:pPr>
    </w:p>
    <w:p w14:paraId="465B2459" w14:textId="77777777" w:rsidR="00966BDF" w:rsidRPr="00C50459" w:rsidRDefault="00966BDF" w:rsidP="00C50459">
      <w:pPr>
        <w:pBdr>
          <w:top w:val="nil"/>
          <w:left w:val="nil"/>
          <w:bottom w:val="nil"/>
          <w:right w:val="nil"/>
          <w:between w:val="nil"/>
        </w:pBdr>
        <w:jc w:val="both"/>
        <w:rPr>
          <w:color w:val="000000" w:themeColor="text1"/>
          <w:sz w:val="22"/>
          <w:szCs w:val="22"/>
          <w:lang w:val="es-ES"/>
        </w:rPr>
      </w:pPr>
      <w:r w:rsidRPr="00C50459">
        <w:rPr>
          <w:color w:val="000000" w:themeColor="text1"/>
          <w:sz w:val="22"/>
          <w:szCs w:val="22"/>
          <w:lang w:val="es-ES"/>
        </w:rPr>
        <w:t>Los servicios de salud, como el tratamiento del VIH/SIDA, la terapia de sustitución hormonal y la atención sanitaria reproductiva y sexual, deben considerarse tratamientos esenciales para salvaguardar la vida, ya que hay abundantes pruebas de su impacto vital en la buena salud y el bienestar. Debe darse prioridad a la continuidad de los servicios de salud mental y en la aplicación de sistemas para facilitar su prestación en línea en condiciones de cuarentena o aislamiento.</w:t>
      </w:r>
    </w:p>
    <w:p w14:paraId="318E3590" w14:textId="77777777" w:rsidR="00966BDF" w:rsidRPr="00C50459" w:rsidRDefault="00966BDF" w:rsidP="00C50459">
      <w:pPr>
        <w:jc w:val="both"/>
        <w:rPr>
          <w:color w:val="000000" w:themeColor="text1"/>
          <w:sz w:val="22"/>
          <w:szCs w:val="22"/>
          <w:lang w:val="es-ES"/>
        </w:rPr>
      </w:pPr>
    </w:p>
    <w:p w14:paraId="37A996E0" w14:textId="77777777" w:rsidR="00966BDF" w:rsidRPr="00C50459" w:rsidRDefault="00966BDF" w:rsidP="00C50459">
      <w:pPr>
        <w:pBdr>
          <w:top w:val="nil"/>
          <w:left w:val="nil"/>
          <w:bottom w:val="nil"/>
          <w:right w:val="nil"/>
          <w:between w:val="nil"/>
        </w:pBdr>
        <w:jc w:val="both"/>
        <w:rPr>
          <w:color w:val="000000" w:themeColor="text1"/>
          <w:sz w:val="22"/>
          <w:szCs w:val="22"/>
          <w:lang w:val="es-ES"/>
        </w:rPr>
      </w:pPr>
      <w:r w:rsidRPr="00C50459">
        <w:rPr>
          <w:color w:val="000000" w:themeColor="text1"/>
          <w:sz w:val="22"/>
          <w:szCs w:val="22"/>
          <w:lang w:val="es-ES"/>
        </w:rPr>
        <w:t>En muchos casos, los líderes militares, policiales, comunitarios o religiosos son reclutados para administrar los sistemas de distribución de alimentos o productos higiénicos. Es necesario que, como requisito para llevar a cabo esta función, dichas personas se comprometan a no discriminar por cualesquiera motivos. En el marco de la emergencia de salud pública, las definiciones particulares de lo que se reconoce como una familia no pueden utilizarse como criterio o excusa para rechazar la entrega de recursos, y las decisiones de entrega de recursos deben estar absolutamente libres de ideas preconcebidas sobre las personas LGBT y sus familias. En el caso de comunidades o poblaciones en las que la desconfianza hacia la policía es generalizada, se debe tener en cuenta la entrega de alimentos u otros recursos por medios alternativos.</w:t>
      </w:r>
    </w:p>
    <w:p w14:paraId="000DE6BF" w14:textId="77777777" w:rsidR="00966BDF" w:rsidRPr="00C50459" w:rsidRDefault="00966BDF" w:rsidP="00C50459">
      <w:pPr>
        <w:jc w:val="both"/>
        <w:rPr>
          <w:color w:val="000000" w:themeColor="text1"/>
          <w:sz w:val="22"/>
          <w:szCs w:val="22"/>
          <w:lang w:val="es-ES"/>
        </w:rPr>
      </w:pPr>
    </w:p>
    <w:p w14:paraId="3059D8EC" w14:textId="77777777" w:rsidR="00966BDF" w:rsidRPr="00C50459" w:rsidRDefault="00966BDF" w:rsidP="00C50459">
      <w:pPr>
        <w:pBdr>
          <w:top w:val="nil"/>
          <w:left w:val="nil"/>
          <w:bottom w:val="nil"/>
          <w:right w:val="nil"/>
          <w:between w:val="nil"/>
        </w:pBdr>
        <w:jc w:val="both"/>
        <w:rPr>
          <w:i/>
          <w:color w:val="000000" w:themeColor="text1"/>
          <w:sz w:val="22"/>
          <w:szCs w:val="22"/>
          <w:lang w:val="es-ES"/>
        </w:rPr>
      </w:pPr>
      <w:r w:rsidRPr="00C50459">
        <w:rPr>
          <w:i/>
          <w:color w:val="000000" w:themeColor="text1"/>
          <w:sz w:val="22"/>
          <w:szCs w:val="22"/>
          <w:lang w:val="es-ES"/>
        </w:rPr>
        <w:t>Por estas y otras razones, las organizaciones internacionales de la sociedad civil han estado pidiendo que los Estados se adhieran proactivamente a un estándar de diligencia debida: 1) estudiando y evaluando los impactos en los derechos humanos que el Estado puede causar o contribuir a través de medidas de respuesta o recuperación de la pandemia; 2)  implementando las conclusiones de las evaluaciones de impacto en los procesos interinstitucionales pertinentes y tomando las medidas apropiadas de acuerdo con su participación en el impacto; 3) evaluar la eficacia de las medidas y los procesos para hacer frente a los impactos adversos de los derechos humanos con el fin de saber si están funcionando; y 4) monitoreando cómo se están abordando los impactos y mostrando a las partes interesadas, en particular las comunidades afectadas, que existan políticas y procesos adecuados como elemento integral del proceso de diseño, aplicación y evaluación de las medidas de respuesta a la pandemia.</w:t>
      </w:r>
      <w:r w:rsidRPr="00C50459">
        <w:rPr>
          <w:iCs/>
          <w:color w:val="000000" w:themeColor="text1"/>
          <w:sz w:val="22"/>
          <w:szCs w:val="22"/>
          <w:vertAlign w:val="superscript"/>
          <w:lang w:val="es-ES"/>
        </w:rPr>
        <w:footnoteReference w:id="43"/>
      </w:r>
    </w:p>
    <w:p w14:paraId="01E39DAC" w14:textId="77777777" w:rsidR="00966BDF" w:rsidRPr="00C50459" w:rsidRDefault="00966BDF" w:rsidP="00C50459">
      <w:pPr>
        <w:jc w:val="both"/>
        <w:rPr>
          <w:color w:val="000000" w:themeColor="text1"/>
          <w:sz w:val="22"/>
          <w:szCs w:val="22"/>
          <w:lang w:val="es-ES"/>
        </w:rPr>
      </w:pPr>
    </w:p>
    <w:p w14:paraId="1424789F" w14:textId="77777777" w:rsidR="00966BDF" w:rsidRPr="00C50459" w:rsidRDefault="00966BDF" w:rsidP="00C50459">
      <w:pPr>
        <w:pStyle w:val="ListParagraph"/>
        <w:numPr>
          <w:ilvl w:val="0"/>
          <w:numId w:val="26"/>
        </w:numPr>
        <w:spacing w:line="276" w:lineRule="auto"/>
        <w:jc w:val="both"/>
        <w:rPr>
          <w:b/>
          <w:color w:val="000000" w:themeColor="text1"/>
          <w:sz w:val="22"/>
          <w:szCs w:val="22"/>
          <w:lang w:val="es-ES"/>
        </w:rPr>
      </w:pPr>
      <w:r w:rsidRPr="00C50459">
        <w:rPr>
          <w:b/>
          <w:color w:val="000000" w:themeColor="text1"/>
          <w:sz w:val="22"/>
          <w:szCs w:val="22"/>
          <w:lang w:val="es-ES"/>
        </w:rPr>
        <w:t>La representación de las personas LGBT en el proceso de diseño, implementación y evaluación de las medidas específicas COVID-19 es clave (así como reflejar sus voces)</w:t>
      </w:r>
    </w:p>
    <w:p w14:paraId="56343AE3" w14:textId="77777777" w:rsidR="00966BDF" w:rsidRPr="00C50459" w:rsidRDefault="00966BDF" w:rsidP="00C50459">
      <w:pPr>
        <w:jc w:val="both"/>
        <w:rPr>
          <w:color w:val="000000" w:themeColor="text1"/>
          <w:sz w:val="22"/>
          <w:szCs w:val="22"/>
          <w:lang w:val="es-ES"/>
        </w:rPr>
      </w:pPr>
    </w:p>
    <w:p w14:paraId="2CC4001D" w14:textId="77777777" w:rsidR="00966BDF" w:rsidRPr="00C50459" w:rsidRDefault="00966BDF" w:rsidP="00C50459">
      <w:pPr>
        <w:pBdr>
          <w:top w:val="nil"/>
          <w:left w:val="nil"/>
          <w:bottom w:val="nil"/>
          <w:right w:val="nil"/>
          <w:between w:val="nil"/>
        </w:pBdr>
        <w:jc w:val="both"/>
        <w:rPr>
          <w:color w:val="000000" w:themeColor="text1"/>
          <w:sz w:val="22"/>
          <w:szCs w:val="22"/>
          <w:lang w:val="es-ES"/>
        </w:rPr>
      </w:pPr>
      <w:r w:rsidRPr="00C50459">
        <w:rPr>
          <w:color w:val="000000" w:themeColor="text1"/>
          <w:sz w:val="22"/>
          <w:szCs w:val="22"/>
          <w:lang w:val="es-ES"/>
        </w:rPr>
        <w:t xml:space="preserve">La necesidad de involucrar a las organizaciones LGBT fue una demanda constante hecha por la mayoría de las partes interesadas que intervinieron en los diálogos con el mandato. Como resultado de la historia de violencia y discriminación por motivos de orientación sexual e </w:t>
      </w:r>
      <w:r w:rsidRPr="00C50459">
        <w:rPr>
          <w:color w:val="000000" w:themeColor="text1"/>
          <w:sz w:val="22"/>
          <w:szCs w:val="22"/>
          <w:lang w:val="es-ES"/>
        </w:rPr>
        <w:lastRenderedPageBreak/>
        <w:t>identidad de género, las personas LGBT han desarrollado en muchos casos mecanismos particulares de supervivencia y resiliencia que no serán inmediatamente evidentes para aquellos que no pertenecen a las comunidades, o que no han tenido interacción con ellas a lo largo del tiempo. Los responsables de la formulación de políticas no deben confiar en sus intuiciones al diseñar respuestas que impacten a la comunidad LGBT.</w:t>
      </w:r>
    </w:p>
    <w:p w14:paraId="764536B8" w14:textId="77777777" w:rsidR="00966BDF" w:rsidRPr="00C50459" w:rsidRDefault="00966BDF" w:rsidP="00C50459">
      <w:pPr>
        <w:jc w:val="both"/>
        <w:rPr>
          <w:color w:val="000000" w:themeColor="text1"/>
          <w:sz w:val="22"/>
          <w:szCs w:val="22"/>
          <w:lang w:val="es-ES"/>
        </w:rPr>
      </w:pPr>
    </w:p>
    <w:p w14:paraId="5851170B" w14:textId="77777777" w:rsidR="00966BDF" w:rsidRPr="00C50459" w:rsidRDefault="00966BDF" w:rsidP="00C50459">
      <w:pPr>
        <w:pBdr>
          <w:top w:val="nil"/>
          <w:left w:val="nil"/>
          <w:bottom w:val="nil"/>
          <w:right w:val="nil"/>
          <w:between w:val="nil"/>
        </w:pBdr>
        <w:jc w:val="both"/>
        <w:rPr>
          <w:color w:val="000000" w:themeColor="text1"/>
          <w:sz w:val="22"/>
          <w:szCs w:val="22"/>
          <w:lang w:val="es-ES"/>
        </w:rPr>
      </w:pPr>
      <w:r w:rsidRPr="00C50459">
        <w:rPr>
          <w:color w:val="000000" w:themeColor="text1"/>
          <w:sz w:val="22"/>
          <w:szCs w:val="22"/>
          <w:lang w:val="es-ES"/>
        </w:rPr>
        <w:t>Por ejemplo, es difícil confiar en la confianza entre las personas LGBT y el personal encargado de hacer cumplir la ley en contextos en los que se criminaliza la diversidad sexual y de género e, incluso sin criminalización, la violencia y la discriminación históricas promovidas por el Estado dificultan el intercambio de información. Las rutinas desarrolladas por personas LGBT pueden ser muy diferentes: para dar solo un ejemplo, las personas que se dedican al trabajo sexual solo podrían interactuar con los proveedores de salud durante un horario de noche.</w:t>
      </w:r>
    </w:p>
    <w:p w14:paraId="39EDF7E8" w14:textId="77777777" w:rsidR="00966BDF" w:rsidRPr="00C50459" w:rsidRDefault="00966BDF" w:rsidP="00C50459">
      <w:pPr>
        <w:jc w:val="both"/>
        <w:rPr>
          <w:color w:val="000000" w:themeColor="text1"/>
          <w:sz w:val="22"/>
          <w:szCs w:val="22"/>
          <w:lang w:val="es-ES"/>
        </w:rPr>
      </w:pPr>
    </w:p>
    <w:p w14:paraId="794C633B" w14:textId="77777777" w:rsidR="00966BDF" w:rsidRPr="00C50459" w:rsidRDefault="00966BDF" w:rsidP="00C50459">
      <w:pPr>
        <w:pBdr>
          <w:top w:val="nil"/>
          <w:left w:val="nil"/>
          <w:bottom w:val="nil"/>
          <w:right w:val="nil"/>
          <w:between w:val="nil"/>
        </w:pBdr>
        <w:jc w:val="both"/>
        <w:rPr>
          <w:i/>
          <w:color w:val="000000" w:themeColor="text1"/>
          <w:sz w:val="22"/>
          <w:szCs w:val="22"/>
          <w:lang w:val="es-ES"/>
        </w:rPr>
      </w:pPr>
      <w:r w:rsidRPr="00C50459">
        <w:rPr>
          <w:i/>
          <w:color w:val="000000" w:themeColor="text1"/>
          <w:sz w:val="22"/>
          <w:szCs w:val="22"/>
          <w:lang w:val="es-ES"/>
        </w:rPr>
        <w:t>Sólo la participación de las personas y comunidades interesadas en el proceso a través del cual se prevén e implementan las medidas permitirá respuestas que aumenten su impacto reorientando la respuesta a los modelos comunitarios de prestación de servicios de salud, el monitoreo de las respuestas a la pandemia, la movilización y promoción de la resiliencia y el monitoreo con base en las obligaciones de derechos humanos.</w:t>
      </w:r>
      <w:r w:rsidRPr="00C50459">
        <w:rPr>
          <w:iCs/>
          <w:color w:val="000000" w:themeColor="text1"/>
          <w:sz w:val="22"/>
          <w:szCs w:val="22"/>
          <w:vertAlign w:val="superscript"/>
          <w:lang w:val="es-ES"/>
        </w:rPr>
        <w:footnoteReference w:id="44"/>
      </w:r>
    </w:p>
    <w:p w14:paraId="0287DA7B" w14:textId="77777777" w:rsidR="00966BDF" w:rsidRPr="00C50459" w:rsidRDefault="00966BDF" w:rsidP="00C50459">
      <w:pPr>
        <w:jc w:val="both"/>
        <w:rPr>
          <w:color w:val="000000" w:themeColor="text1"/>
          <w:sz w:val="22"/>
          <w:szCs w:val="22"/>
          <w:lang w:val="es-ES"/>
        </w:rPr>
      </w:pPr>
    </w:p>
    <w:p w14:paraId="30D54088" w14:textId="77777777" w:rsidR="00966BDF" w:rsidRPr="00C50459" w:rsidRDefault="00966BDF" w:rsidP="00C50459">
      <w:pPr>
        <w:pStyle w:val="ListParagraph"/>
        <w:numPr>
          <w:ilvl w:val="0"/>
          <w:numId w:val="26"/>
        </w:numPr>
        <w:spacing w:line="276" w:lineRule="auto"/>
        <w:jc w:val="both"/>
        <w:rPr>
          <w:b/>
          <w:color w:val="000000" w:themeColor="text1"/>
          <w:sz w:val="22"/>
          <w:szCs w:val="22"/>
          <w:lang w:val="es-ES"/>
        </w:rPr>
      </w:pPr>
      <w:r w:rsidRPr="00C50459">
        <w:rPr>
          <w:b/>
          <w:color w:val="000000" w:themeColor="text1"/>
          <w:sz w:val="22"/>
          <w:szCs w:val="22"/>
          <w:lang w:val="es-ES"/>
        </w:rPr>
        <w:t xml:space="preserve">Evidencia: debe obtenerse en materia de impacto del COVID-19 en las personas LGBT </w:t>
      </w:r>
    </w:p>
    <w:p w14:paraId="00195C75" w14:textId="77777777" w:rsidR="00966BDF" w:rsidRPr="00C50459" w:rsidRDefault="00966BDF" w:rsidP="00C50459">
      <w:pPr>
        <w:pStyle w:val="ListParagraph"/>
        <w:ind w:left="1080"/>
        <w:jc w:val="both"/>
        <w:rPr>
          <w:b/>
          <w:color w:val="000000" w:themeColor="text1"/>
          <w:sz w:val="22"/>
          <w:szCs w:val="22"/>
          <w:lang w:val="es-ES"/>
        </w:rPr>
      </w:pPr>
      <w:r w:rsidRPr="00C50459">
        <w:rPr>
          <w:b/>
          <w:color w:val="000000" w:themeColor="text1"/>
          <w:sz w:val="22"/>
          <w:szCs w:val="22"/>
          <w:lang w:val="es-ES"/>
        </w:rPr>
        <w:t>(y los Estados deben seguir buenas prácticas)</w:t>
      </w:r>
    </w:p>
    <w:p w14:paraId="67FC9DB6" w14:textId="77777777" w:rsidR="00966BDF" w:rsidRPr="00C50459" w:rsidRDefault="00966BDF" w:rsidP="00C50459">
      <w:pPr>
        <w:jc w:val="both"/>
        <w:rPr>
          <w:b/>
          <w:color w:val="000000" w:themeColor="text1"/>
          <w:sz w:val="22"/>
          <w:szCs w:val="22"/>
          <w:lang w:val="es-ES"/>
        </w:rPr>
      </w:pPr>
    </w:p>
    <w:p w14:paraId="613B4B93" w14:textId="77777777" w:rsidR="00966BDF" w:rsidRPr="00C50459" w:rsidRDefault="00966BDF" w:rsidP="00C50459">
      <w:pPr>
        <w:jc w:val="both"/>
        <w:rPr>
          <w:color w:val="000000" w:themeColor="text1"/>
          <w:sz w:val="22"/>
          <w:szCs w:val="22"/>
          <w:lang w:val="es-ES"/>
        </w:rPr>
      </w:pPr>
      <w:r w:rsidRPr="00C50459">
        <w:rPr>
          <w:color w:val="000000" w:themeColor="text1"/>
          <w:sz w:val="22"/>
          <w:szCs w:val="22"/>
          <w:lang w:val="es-ES"/>
        </w:rPr>
        <w:t>Como ha señalado el mandato,</w:t>
      </w:r>
      <w:r w:rsidRPr="00C50459">
        <w:rPr>
          <w:color w:val="000000" w:themeColor="text1"/>
          <w:sz w:val="22"/>
          <w:szCs w:val="22"/>
          <w:vertAlign w:val="superscript"/>
          <w:lang w:val="es-ES"/>
        </w:rPr>
        <w:footnoteReference w:id="45"/>
      </w:r>
      <w:r w:rsidRPr="00C50459">
        <w:rPr>
          <w:color w:val="000000" w:themeColor="text1"/>
          <w:sz w:val="22"/>
          <w:szCs w:val="22"/>
          <w:lang w:val="es-ES"/>
        </w:rPr>
        <w:t xml:space="preserve"> como resultado de las barreras creadas por la criminalización, la patologización, la demonización y otros factores institucionales para el estigma, no existen estimaciones precisas sobre la población mundial afectada por la violencia y la discriminación basada en la orientación sexual y/o la identidad de género. Además, "en un contexto de negación, los perpetradores se sienten motivados y habilitados para suprimir o castigar la diversidad. Invariablemente, los datos recopilados serán poco fiables, poco sistemáticos y sesgados; por lo tanto, todas las medidas estatales para hacer frente a la violencia y la discriminación ya sean políticas públicas, acceso a la justicia, reforma de la ley o acciones administrativas, se verán obstaculizadas por este hecho."</w:t>
      </w:r>
      <w:r w:rsidRPr="00C50459">
        <w:rPr>
          <w:sz w:val="22"/>
          <w:szCs w:val="22"/>
          <w:vertAlign w:val="superscript"/>
          <w:lang w:val="es-ES"/>
        </w:rPr>
        <w:footnoteReference w:id="46"/>
      </w:r>
    </w:p>
    <w:p w14:paraId="3ACF2291" w14:textId="77777777" w:rsidR="00966BDF" w:rsidRPr="00C50459" w:rsidRDefault="00966BDF" w:rsidP="00C50459">
      <w:pPr>
        <w:jc w:val="both"/>
        <w:rPr>
          <w:color w:val="000000" w:themeColor="text1"/>
          <w:sz w:val="22"/>
          <w:szCs w:val="22"/>
          <w:lang w:val="es-ES"/>
        </w:rPr>
      </w:pPr>
    </w:p>
    <w:p w14:paraId="376DD830" w14:textId="77777777" w:rsidR="00966BDF" w:rsidRPr="00C50459" w:rsidRDefault="00966BDF" w:rsidP="00C50459">
      <w:pPr>
        <w:jc w:val="both"/>
        <w:rPr>
          <w:color w:val="000000" w:themeColor="text1"/>
          <w:sz w:val="22"/>
          <w:szCs w:val="22"/>
          <w:lang w:val="es-ES"/>
        </w:rPr>
      </w:pPr>
      <w:r w:rsidRPr="00C50459">
        <w:rPr>
          <w:color w:val="000000" w:themeColor="text1"/>
          <w:sz w:val="22"/>
          <w:szCs w:val="22"/>
          <w:lang w:val="es-ES"/>
        </w:rPr>
        <w:t>El principio de la debida diligencia, que exige a los Estados proteger a quienes están bajo riesgo de violencia y discriminación y adoptar medidas para comprender y eliminar la estigmatización cultural y otras causas sociales de violencia y discriminación, también forma parte de la base de la responsabilidad del Estado cuando el Estado sabe, o tiene motivos razonables para creer, que se están perpetrando abusos.</w:t>
      </w:r>
    </w:p>
    <w:p w14:paraId="0C0B762B" w14:textId="77777777" w:rsidR="00966BDF" w:rsidRPr="00C50459" w:rsidRDefault="00966BDF" w:rsidP="00C50459">
      <w:pPr>
        <w:jc w:val="both"/>
        <w:rPr>
          <w:color w:val="000000" w:themeColor="text1"/>
          <w:sz w:val="22"/>
          <w:szCs w:val="22"/>
          <w:lang w:val="es-ES"/>
        </w:rPr>
      </w:pPr>
    </w:p>
    <w:p w14:paraId="2EC10319" w14:textId="77777777" w:rsidR="00966BDF" w:rsidRPr="00C50459" w:rsidRDefault="00966BDF" w:rsidP="00C50459">
      <w:pPr>
        <w:jc w:val="both"/>
        <w:rPr>
          <w:color w:val="000000" w:themeColor="text1"/>
          <w:sz w:val="22"/>
          <w:szCs w:val="22"/>
          <w:lang w:val="es-ES"/>
        </w:rPr>
      </w:pPr>
      <w:r w:rsidRPr="00C50459">
        <w:rPr>
          <w:color w:val="000000" w:themeColor="text1"/>
          <w:sz w:val="22"/>
          <w:szCs w:val="22"/>
          <w:lang w:val="es-ES"/>
        </w:rPr>
        <w:t>Las leyes que existen en más de 70 países que criminalizan, estigmatizan e imponen discriminación contra las personas homosexuales, lesbianas y bisexuales harán casi imposible recopilar adecuadamente datos de salud pública sobre ellos: como ha señalado el mandato,</w:t>
      </w:r>
    </w:p>
    <w:p w14:paraId="3DA0A7C1" w14:textId="77777777" w:rsidR="00966BDF" w:rsidRPr="00C50459" w:rsidRDefault="00966BDF" w:rsidP="00C50459">
      <w:pPr>
        <w:jc w:val="both"/>
        <w:rPr>
          <w:color w:val="000000" w:themeColor="text1"/>
          <w:sz w:val="22"/>
          <w:szCs w:val="22"/>
          <w:lang w:val="es-ES"/>
        </w:rPr>
      </w:pPr>
    </w:p>
    <w:p w14:paraId="57507080" w14:textId="77777777" w:rsidR="00966BDF" w:rsidRPr="00C50459" w:rsidRDefault="00966BDF" w:rsidP="00C50459">
      <w:pPr>
        <w:pBdr>
          <w:top w:val="nil"/>
          <w:left w:val="nil"/>
          <w:bottom w:val="nil"/>
          <w:right w:val="nil"/>
          <w:between w:val="nil"/>
        </w:pBdr>
        <w:ind w:left="567" w:right="571"/>
        <w:jc w:val="both"/>
        <w:rPr>
          <w:color w:val="000000" w:themeColor="text1"/>
          <w:sz w:val="22"/>
          <w:szCs w:val="22"/>
          <w:lang w:val="es-ES"/>
        </w:rPr>
      </w:pPr>
      <w:r w:rsidRPr="00C50459">
        <w:rPr>
          <w:color w:val="000000" w:themeColor="text1"/>
          <w:sz w:val="22"/>
          <w:szCs w:val="22"/>
          <w:lang w:val="es-ES"/>
        </w:rPr>
        <w:t xml:space="preserve">La diligencia del Estado para prevenir, enjuiciar y castigar la violencia y la discriminación basadas en la orientación sexual y la identidad y expresión de género es imposible en entornos en los que el Estado criminaliza ciertas formas de orientación sexual e identidad y expresión de género. En esos entornos, la recopilación de datos totalmente eficaz, es decir, la recopilación de datos que sirve para abordar la violencia y la discriminación también es imposible. De hecho, en contextos como los descritos debe existir la presunción de que los datos se recopilan para fines contrarios al derecho internacional de los derechos humanos, una hipótesis </w:t>
      </w:r>
      <w:r w:rsidRPr="00C50459">
        <w:rPr>
          <w:color w:val="000000" w:themeColor="text1"/>
          <w:sz w:val="22"/>
          <w:szCs w:val="22"/>
          <w:lang w:val="es-ES"/>
        </w:rPr>
        <w:lastRenderedPageBreak/>
        <w:t>respaldada por múltiples informaciones recibidas por el titular del mandato sobre la utilización de datos para objetivos tales como la vigilancia, el acoso, el entrampamiento, la detención y la persecución por parte de funcionarios gubernamentales.</w:t>
      </w:r>
      <w:r w:rsidRPr="00C50459">
        <w:rPr>
          <w:rStyle w:val="FootnoteReference"/>
          <w:color w:val="000000" w:themeColor="text1"/>
          <w:sz w:val="22"/>
          <w:szCs w:val="22"/>
          <w:lang w:val="es-ES"/>
        </w:rPr>
        <w:footnoteReference w:id="47"/>
      </w:r>
    </w:p>
    <w:p w14:paraId="43F8D317" w14:textId="77777777" w:rsidR="00966BDF" w:rsidRPr="00C50459" w:rsidRDefault="00966BDF" w:rsidP="00C50459">
      <w:pPr>
        <w:jc w:val="both"/>
        <w:rPr>
          <w:color w:val="000000" w:themeColor="text1"/>
          <w:sz w:val="22"/>
          <w:szCs w:val="22"/>
          <w:lang w:val="es-ES"/>
        </w:rPr>
      </w:pPr>
    </w:p>
    <w:p w14:paraId="3BC6E51C" w14:textId="77777777" w:rsidR="00966BDF" w:rsidRPr="00C50459" w:rsidRDefault="00966BDF" w:rsidP="00C50459">
      <w:pPr>
        <w:jc w:val="both"/>
        <w:rPr>
          <w:color w:val="000000" w:themeColor="text1"/>
          <w:sz w:val="22"/>
          <w:szCs w:val="22"/>
          <w:lang w:val="es-ES"/>
        </w:rPr>
      </w:pPr>
      <w:r w:rsidRPr="00C50459">
        <w:rPr>
          <w:color w:val="000000" w:themeColor="text1"/>
          <w:sz w:val="22"/>
          <w:szCs w:val="22"/>
          <w:lang w:val="es-ES"/>
        </w:rPr>
        <w:t>Por lo tanto, la desagregación de datos que permite una comparación de los grupos de población forma parte de las obligaciones bajo el derecho internacional de los derechos humanos y se ha convertido en un elemento del enfoque de derechos humanos. Esto incluye datos relacionados con la violencia y la discriminación basada en la orientación sexual y la identidad de género. Los Estados también necesitan datos de esta naturaleza para sus informes a los organismos internacionales de derechos humanos en cumplimiento de sus obligaciones. El monitoreo incluye examinar los datos recopilados por los organismos administrativos y a través de encuestas estadísticas, censos, encuestas de percepción y opinión y juicios de expertos.</w:t>
      </w:r>
    </w:p>
    <w:p w14:paraId="58502F26" w14:textId="77777777" w:rsidR="00966BDF" w:rsidRPr="00C50459" w:rsidRDefault="00966BDF" w:rsidP="00C50459">
      <w:pPr>
        <w:jc w:val="both"/>
        <w:rPr>
          <w:color w:val="000000" w:themeColor="text1"/>
          <w:sz w:val="22"/>
          <w:szCs w:val="22"/>
          <w:lang w:val="es-ES"/>
        </w:rPr>
      </w:pPr>
    </w:p>
    <w:p w14:paraId="172DA5B1" w14:textId="77777777" w:rsidR="00966BDF" w:rsidRPr="00C50459" w:rsidRDefault="00966BDF" w:rsidP="00C50459">
      <w:pPr>
        <w:jc w:val="both"/>
        <w:rPr>
          <w:i/>
          <w:color w:val="000000" w:themeColor="text1"/>
          <w:sz w:val="22"/>
          <w:szCs w:val="22"/>
          <w:lang w:val="es-ES"/>
        </w:rPr>
      </w:pPr>
      <w:r w:rsidRPr="00C50459">
        <w:rPr>
          <w:i/>
          <w:color w:val="000000" w:themeColor="text1"/>
          <w:sz w:val="22"/>
          <w:szCs w:val="22"/>
          <w:lang w:val="es-ES"/>
        </w:rPr>
        <w:t>A través de este sistema de seguimiento y evaluación, los Estados pueden cumplir con su deber de vigilar el impacto de la pandemia en todas las personas cuya identidad (o identidades) las coloca en una situación de desventaja o vulnerabilidad. El IE SOGI alienta a los Estados a que se comprometan con las organizaciones y redes LGBT para diseñar y adoptar metodologías que permitan la recopilación de datos relacionados con las personas LGBT, garantizando al mismo tiempo su seguridad. Sólo entonces se puede decir que las lecciones aprendidas se extraerán de esta pandemia y se aplicarán para mitigar y prevenir un impacto discriminatorio de la siguiente.</w:t>
      </w:r>
    </w:p>
    <w:p w14:paraId="4D3A2575" w14:textId="77777777" w:rsidR="00966BDF" w:rsidRPr="00C50459" w:rsidRDefault="00966BDF" w:rsidP="00C50459">
      <w:pPr>
        <w:jc w:val="both"/>
        <w:rPr>
          <w:color w:val="000000" w:themeColor="text1"/>
          <w:sz w:val="22"/>
          <w:szCs w:val="22"/>
          <w:lang w:val="es-ES"/>
        </w:rPr>
      </w:pPr>
    </w:p>
    <w:p w14:paraId="4ABBCF26" w14:textId="77777777" w:rsidR="00966BDF" w:rsidRPr="00C50459" w:rsidRDefault="00966BDF" w:rsidP="00C50459">
      <w:pPr>
        <w:jc w:val="both"/>
        <w:rPr>
          <w:b/>
          <w:color w:val="000000" w:themeColor="text1"/>
          <w:sz w:val="22"/>
          <w:szCs w:val="22"/>
          <w:lang w:val="es-ES"/>
        </w:rPr>
      </w:pPr>
    </w:p>
    <w:p w14:paraId="2206AFE3" w14:textId="77777777" w:rsidR="00966BDF" w:rsidRPr="00C50459" w:rsidRDefault="00966BDF" w:rsidP="00C50459">
      <w:pPr>
        <w:jc w:val="both"/>
        <w:rPr>
          <w:b/>
          <w:color w:val="000000" w:themeColor="text1"/>
          <w:sz w:val="22"/>
          <w:szCs w:val="22"/>
          <w:lang w:val="es-ES"/>
        </w:rPr>
      </w:pPr>
    </w:p>
    <w:p w14:paraId="75964B16" w14:textId="77777777" w:rsidR="00966BDF" w:rsidRPr="00C50459" w:rsidRDefault="00966BDF" w:rsidP="00C50459">
      <w:pPr>
        <w:jc w:val="both"/>
        <w:rPr>
          <w:b/>
          <w:color w:val="000000" w:themeColor="text1"/>
          <w:sz w:val="22"/>
          <w:szCs w:val="22"/>
          <w:lang w:val="es-ES"/>
        </w:rPr>
      </w:pPr>
    </w:p>
    <w:p w14:paraId="22638B65" w14:textId="2936F21F" w:rsidR="008D373E" w:rsidRPr="0028119B" w:rsidRDefault="008D373E" w:rsidP="006C46F2">
      <w:pPr>
        <w:jc w:val="center"/>
        <w:rPr>
          <w:color w:val="000000"/>
          <w:sz w:val="24"/>
          <w:szCs w:val="24"/>
          <w:lang w:val="es-ES"/>
        </w:rPr>
      </w:pPr>
    </w:p>
    <w:sectPr w:rsidR="008D373E" w:rsidRPr="0028119B" w:rsidSect="00C772EF">
      <w:headerReference w:type="default" r:id="rId11"/>
      <w:footerReference w:type="default" r:id="rId12"/>
      <w:headerReference w:type="first" r:id="rId13"/>
      <w:footerReference w:type="first" r:id="rId14"/>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CC405" w14:textId="77777777" w:rsidR="00C31BCC" w:rsidRDefault="00C31BCC">
      <w:r>
        <w:separator/>
      </w:r>
    </w:p>
  </w:endnote>
  <w:endnote w:type="continuationSeparator" w:id="0">
    <w:p w14:paraId="0C40ABBD" w14:textId="77777777" w:rsidR="00C31BCC" w:rsidRDefault="00C31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73E4C" w14:textId="77777777" w:rsidR="000D44ED" w:rsidRDefault="00FC7E15"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E53C3" w14:textId="77777777" w:rsidR="00FC7E15" w:rsidRDefault="00FC7E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75B51" w14:textId="77777777" w:rsidR="00C31BCC" w:rsidRDefault="00C31BCC">
      <w:r>
        <w:separator/>
      </w:r>
    </w:p>
  </w:footnote>
  <w:footnote w:type="continuationSeparator" w:id="0">
    <w:p w14:paraId="4239BEA6" w14:textId="77777777" w:rsidR="00C31BCC" w:rsidRDefault="00C31BCC">
      <w:r>
        <w:continuationSeparator/>
      </w:r>
    </w:p>
  </w:footnote>
  <w:footnote w:id="1">
    <w:p w14:paraId="21CB90F7" w14:textId="77777777" w:rsidR="00966BDF" w:rsidRPr="00C50459" w:rsidRDefault="00966BDF" w:rsidP="00966BDF">
      <w:pPr>
        <w:pBdr>
          <w:top w:val="nil"/>
          <w:left w:val="nil"/>
          <w:bottom w:val="nil"/>
          <w:right w:val="nil"/>
          <w:between w:val="nil"/>
        </w:pBdr>
        <w:rPr>
          <w:color w:val="000000" w:themeColor="text1"/>
          <w:sz w:val="18"/>
          <w:szCs w:val="18"/>
          <w:lang w:val="fr-FR"/>
        </w:rPr>
      </w:pPr>
      <w:r w:rsidRPr="00C50459" w:rsidDel="00000001">
        <w:rPr>
          <w:color w:val="000000" w:themeColor="text1"/>
          <w:sz w:val="18"/>
          <w:szCs w:val="18"/>
          <w:vertAlign w:val="superscript"/>
          <w:lang w:val="es"/>
        </w:rPr>
        <w:footnoteRef/>
      </w:r>
      <w:r w:rsidRPr="00C50459" w:rsidDel="00000002">
        <w:rPr>
          <w:color w:val="000000" w:themeColor="text1"/>
          <w:sz w:val="18"/>
          <w:szCs w:val="18"/>
          <w:lang w:val="es"/>
        </w:rPr>
        <w:t xml:space="preserve"> A/RES/74/270, </w:t>
      </w:r>
      <w:r w:rsidRPr="00C50459">
        <w:rPr>
          <w:color w:val="000000" w:themeColor="text1"/>
          <w:sz w:val="18"/>
          <w:szCs w:val="18"/>
          <w:lang w:val="es"/>
        </w:rPr>
        <w:t>preámbulo</w:t>
      </w:r>
    </w:p>
  </w:footnote>
  <w:footnote w:id="2">
    <w:p w14:paraId="198524E1" w14:textId="77777777" w:rsidR="00966BDF" w:rsidRPr="00C50459" w:rsidRDefault="00966BDF" w:rsidP="00966BDF">
      <w:pPr>
        <w:pBdr>
          <w:top w:val="nil"/>
          <w:left w:val="nil"/>
          <w:bottom w:val="nil"/>
          <w:right w:val="nil"/>
          <w:between w:val="nil"/>
        </w:pBdr>
        <w:rPr>
          <w:color w:val="000000" w:themeColor="text1"/>
          <w:sz w:val="18"/>
          <w:szCs w:val="18"/>
          <w:lang w:val="fr-FR"/>
        </w:rPr>
      </w:pPr>
      <w:r w:rsidRPr="00C50459" w:rsidDel="00000001">
        <w:rPr>
          <w:color w:val="000000" w:themeColor="text1"/>
          <w:sz w:val="18"/>
          <w:szCs w:val="18"/>
          <w:vertAlign w:val="superscript"/>
          <w:lang w:val="es"/>
        </w:rPr>
        <w:footnoteRef/>
      </w:r>
      <w:r w:rsidRPr="00C50459" w:rsidDel="00000002">
        <w:rPr>
          <w:i/>
          <w:color w:val="000000" w:themeColor="text1"/>
          <w:sz w:val="18"/>
          <w:szCs w:val="18"/>
          <w:lang w:val="es"/>
        </w:rPr>
        <w:t xml:space="preserve"> Ibíd.</w:t>
      </w:r>
    </w:p>
  </w:footnote>
  <w:footnote w:id="3">
    <w:p w14:paraId="23E49AB7" w14:textId="77777777" w:rsidR="00966BDF" w:rsidRPr="00C50459" w:rsidRDefault="00966BDF" w:rsidP="00966BDF">
      <w:pPr>
        <w:pStyle w:val="FootnoteText"/>
        <w:rPr>
          <w:rFonts w:ascii="Times New Roman" w:hAnsi="Times New Roman" w:cs="Times New Roman"/>
          <w:color w:val="000000" w:themeColor="text1"/>
          <w:sz w:val="18"/>
          <w:szCs w:val="18"/>
          <w:lang w:val="fr-FR"/>
        </w:rPr>
      </w:pPr>
      <w:r w:rsidRPr="00C50459" w:rsidDel="00000001">
        <w:rPr>
          <w:rStyle w:val="FootnoteReference"/>
          <w:rFonts w:ascii="Times New Roman" w:hAnsi="Times New Roman"/>
          <w:color w:val="000000" w:themeColor="text1"/>
          <w:sz w:val="18"/>
          <w:szCs w:val="18"/>
          <w:lang w:val="es"/>
        </w:rPr>
        <w:footnoteRef/>
      </w:r>
      <w:r w:rsidRPr="00C50459" w:rsidDel="00000002">
        <w:rPr>
          <w:rFonts w:ascii="Times New Roman" w:hAnsi="Times New Roman" w:cs="Times New Roman"/>
          <w:color w:val="000000" w:themeColor="text1"/>
          <w:sz w:val="18"/>
          <w:szCs w:val="18"/>
          <w:lang w:val="es"/>
        </w:rPr>
        <w:t xml:space="preserve"> Antonio </w:t>
      </w:r>
      <w:proofErr w:type="spellStart"/>
      <w:r w:rsidRPr="00C50459" w:rsidDel="00000002">
        <w:rPr>
          <w:rFonts w:ascii="Times New Roman" w:hAnsi="Times New Roman" w:cs="Times New Roman"/>
          <w:color w:val="000000" w:themeColor="text1"/>
          <w:sz w:val="18"/>
          <w:szCs w:val="18"/>
          <w:lang w:val="es"/>
        </w:rPr>
        <w:t>Guterres</w:t>
      </w:r>
      <w:proofErr w:type="spellEnd"/>
      <w:r w:rsidRPr="00C50459">
        <w:rPr>
          <w:rFonts w:ascii="Times New Roman" w:hAnsi="Times New Roman" w:cs="Times New Roman"/>
          <w:color w:val="000000" w:themeColor="text1"/>
          <w:sz w:val="18"/>
          <w:szCs w:val="18"/>
          <w:lang w:val="es"/>
        </w:rPr>
        <w:t>, “</w:t>
      </w:r>
      <w:hyperlink r:id="rId1" w:history="1">
        <w:r w:rsidRPr="00C50459">
          <w:rPr>
            <w:rStyle w:val="Hyperlink"/>
            <w:rFonts w:ascii="Times New Roman" w:hAnsi="Times New Roman" w:cs="Times New Roman"/>
            <w:sz w:val="18"/>
            <w:szCs w:val="18"/>
            <w:lang w:val="es"/>
          </w:rPr>
          <w:t>COVID-19: En esto estamos todos juntos</w:t>
        </w:r>
      </w:hyperlink>
      <w:r w:rsidRPr="00C50459">
        <w:rPr>
          <w:rFonts w:ascii="Times New Roman" w:hAnsi="Times New Roman" w:cs="Times New Roman"/>
          <w:color w:val="000000" w:themeColor="text1"/>
          <w:sz w:val="18"/>
          <w:szCs w:val="18"/>
          <w:lang w:val="es"/>
        </w:rPr>
        <w:t>”,</w:t>
      </w:r>
      <w:r w:rsidRPr="00C50459" w:rsidDel="00000004">
        <w:rPr>
          <w:rFonts w:ascii="Times New Roman" w:hAnsi="Times New Roman" w:cs="Times New Roman"/>
          <w:color w:val="000000" w:themeColor="text1"/>
          <w:sz w:val="18"/>
          <w:szCs w:val="18"/>
          <w:lang w:val="es"/>
        </w:rPr>
        <w:t xml:space="preserve"> </w:t>
      </w:r>
      <w:r w:rsidRPr="00C50459" w:rsidDel="00000005">
        <w:rPr>
          <w:rFonts w:ascii="Times New Roman" w:hAnsi="Times New Roman" w:cs="Times New Roman"/>
          <w:color w:val="000000" w:themeColor="text1"/>
          <w:sz w:val="18"/>
          <w:szCs w:val="18"/>
          <w:lang w:val="es"/>
        </w:rPr>
        <w:t xml:space="preserve">23 </w:t>
      </w:r>
      <w:r w:rsidRPr="00C50459">
        <w:rPr>
          <w:rFonts w:ascii="Times New Roman" w:hAnsi="Times New Roman" w:cs="Times New Roman"/>
          <w:color w:val="000000" w:themeColor="text1"/>
          <w:sz w:val="18"/>
          <w:szCs w:val="18"/>
          <w:lang w:val="es"/>
        </w:rPr>
        <w:t>de abril de 2020</w:t>
      </w:r>
    </w:p>
  </w:footnote>
  <w:footnote w:id="4">
    <w:p w14:paraId="14102331" w14:textId="77777777" w:rsidR="00966BDF" w:rsidRPr="00C50459" w:rsidRDefault="00966BDF" w:rsidP="00966BDF">
      <w:pPr>
        <w:pBdr>
          <w:top w:val="nil"/>
          <w:left w:val="nil"/>
          <w:bottom w:val="nil"/>
          <w:right w:val="nil"/>
          <w:between w:val="nil"/>
        </w:pBdr>
        <w:rPr>
          <w:color w:val="000000" w:themeColor="text1"/>
          <w:sz w:val="18"/>
          <w:szCs w:val="18"/>
          <w:lang w:val="es"/>
        </w:rPr>
      </w:pPr>
      <w:r w:rsidRPr="00C50459" w:rsidDel="00000001">
        <w:rPr>
          <w:rStyle w:val="FootnoteReference"/>
          <w:color w:val="000000" w:themeColor="text1"/>
          <w:sz w:val="18"/>
          <w:szCs w:val="18"/>
          <w:lang w:val="es"/>
        </w:rPr>
        <w:footnoteRef/>
      </w:r>
      <w:r w:rsidRPr="00C50459" w:rsidDel="00000002">
        <w:rPr>
          <w:rStyle w:val="FootnoteReference"/>
          <w:sz w:val="18"/>
          <w:szCs w:val="18"/>
          <w:lang w:val="fr-FR"/>
        </w:rPr>
        <w:t xml:space="preserve"> </w:t>
      </w:r>
      <w:r w:rsidRPr="00C50459">
        <w:rPr>
          <w:color w:val="000000" w:themeColor="text1"/>
          <w:sz w:val="18"/>
          <w:szCs w:val="18"/>
          <w:lang w:val="es"/>
        </w:rPr>
        <w:t>Comité de Derechos Económicos, Sociales y Culturales de las Naciones Unidas</w:t>
      </w:r>
      <w:r w:rsidRPr="00C50459" w:rsidDel="00000002">
        <w:rPr>
          <w:color w:val="000000" w:themeColor="text1"/>
          <w:sz w:val="18"/>
          <w:szCs w:val="18"/>
          <w:lang w:val="es"/>
        </w:rPr>
        <w:t xml:space="preserve">, </w:t>
      </w:r>
      <w:r w:rsidRPr="00C50459" w:rsidDel="00000003">
        <w:rPr>
          <w:color w:val="000000" w:themeColor="text1"/>
          <w:sz w:val="18"/>
          <w:szCs w:val="18"/>
          <w:lang w:val="es"/>
        </w:rPr>
        <w:t>“</w:t>
      </w:r>
      <w:hyperlink r:id="rId2" w:history="1">
        <w:r w:rsidRPr="00C50459">
          <w:rPr>
            <w:color w:val="000000" w:themeColor="text1"/>
            <w:sz w:val="18"/>
            <w:szCs w:val="18"/>
            <w:lang w:val="es"/>
          </w:rPr>
          <w:t>Declaración sobre la pandemia de enfermedad por coronavirus (COVID-19) y los derechos económicos, sociales y culturales</w:t>
        </w:r>
      </w:hyperlink>
      <w:r w:rsidRPr="00C50459">
        <w:rPr>
          <w:color w:val="000000" w:themeColor="text1"/>
          <w:sz w:val="18"/>
          <w:szCs w:val="18"/>
          <w:lang w:val="es"/>
        </w:rPr>
        <w:t xml:space="preserve">”, </w:t>
      </w:r>
      <w:r w:rsidRPr="00C50459" w:rsidDel="00000004">
        <w:rPr>
          <w:color w:val="000000" w:themeColor="text1"/>
          <w:sz w:val="18"/>
          <w:szCs w:val="18"/>
          <w:lang w:val="es"/>
        </w:rPr>
        <w:t xml:space="preserve">17 </w:t>
      </w:r>
      <w:r w:rsidRPr="00C50459">
        <w:rPr>
          <w:color w:val="000000" w:themeColor="text1"/>
          <w:sz w:val="18"/>
          <w:szCs w:val="18"/>
          <w:lang w:val="es"/>
        </w:rPr>
        <w:t>de abril de</w:t>
      </w:r>
      <w:r w:rsidRPr="00C50459" w:rsidDel="00000004">
        <w:rPr>
          <w:color w:val="000000" w:themeColor="text1"/>
          <w:sz w:val="18"/>
          <w:szCs w:val="18"/>
          <w:lang w:val="es"/>
        </w:rPr>
        <w:t xml:space="preserve"> 2020 (</w:t>
      </w:r>
      <w:r w:rsidRPr="00C50459">
        <w:rPr>
          <w:color w:val="000000" w:themeColor="text1"/>
          <w:sz w:val="18"/>
          <w:szCs w:val="18"/>
          <w:lang w:val="es"/>
        </w:rPr>
        <w:t>E/C.12/2020/1</w:t>
      </w:r>
      <w:r w:rsidRPr="00C50459" w:rsidDel="00000004">
        <w:rPr>
          <w:color w:val="000000" w:themeColor="text1"/>
          <w:sz w:val="18"/>
          <w:szCs w:val="18"/>
          <w:lang w:val="es"/>
        </w:rPr>
        <w:t xml:space="preserve">, para. 2). </w:t>
      </w:r>
      <w:r w:rsidRPr="00C50459">
        <w:rPr>
          <w:color w:val="000000" w:themeColor="text1"/>
          <w:sz w:val="18"/>
          <w:szCs w:val="18"/>
          <w:lang w:val="es"/>
        </w:rPr>
        <w:t>Ver también</w:t>
      </w:r>
      <w:r w:rsidRPr="00C50459" w:rsidDel="00000006">
        <w:rPr>
          <w:color w:val="000000" w:themeColor="text1"/>
          <w:sz w:val="18"/>
          <w:szCs w:val="18"/>
          <w:lang w:val="es"/>
        </w:rPr>
        <w:t xml:space="preserve"> </w:t>
      </w:r>
      <w:r w:rsidRPr="00C50459">
        <w:rPr>
          <w:color w:val="000000" w:themeColor="text1"/>
          <w:sz w:val="18"/>
          <w:szCs w:val="18"/>
          <w:lang w:val="es"/>
        </w:rPr>
        <w:t>Comité de Derechos Humanos de las Naciones Unidas, “</w:t>
      </w:r>
      <w:hyperlink r:id="rId3" w:history="1">
        <w:r w:rsidRPr="00C50459">
          <w:rPr>
            <w:color w:val="000000" w:themeColor="text1"/>
            <w:sz w:val="18"/>
            <w:szCs w:val="18"/>
            <w:lang w:val="es"/>
          </w:rPr>
          <w:t>Declaración sobre la pandemia de enfermedad por coronavirus (COVID-19) y los derechos económicos, sociales y culturales</w:t>
        </w:r>
      </w:hyperlink>
      <w:r w:rsidRPr="00C50459">
        <w:rPr>
          <w:color w:val="000000" w:themeColor="text1"/>
          <w:sz w:val="18"/>
          <w:szCs w:val="18"/>
          <w:lang w:val="es"/>
        </w:rPr>
        <w:t>”</w:t>
      </w:r>
      <w:r w:rsidRPr="00C50459" w:rsidDel="00000008">
        <w:rPr>
          <w:color w:val="000000" w:themeColor="text1"/>
          <w:sz w:val="18"/>
          <w:szCs w:val="18"/>
          <w:lang w:val="es"/>
        </w:rPr>
        <w:t xml:space="preserve"> 30 </w:t>
      </w:r>
      <w:r w:rsidRPr="00C50459">
        <w:rPr>
          <w:color w:val="000000" w:themeColor="text1"/>
          <w:sz w:val="18"/>
          <w:szCs w:val="18"/>
          <w:lang w:val="es"/>
        </w:rPr>
        <w:t>de abril de 2020</w:t>
      </w:r>
      <w:r w:rsidRPr="00C50459" w:rsidDel="00000008">
        <w:rPr>
          <w:color w:val="000000" w:themeColor="text1"/>
          <w:sz w:val="18"/>
          <w:szCs w:val="18"/>
          <w:lang w:val="es"/>
        </w:rPr>
        <w:t xml:space="preserve"> (</w:t>
      </w:r>
      <w:r w:rsidRPr="00C50459">
        <w:rPr>
          <w:color w:val="000000" w:themeColor="text1"/>
          <w:sz w:val="18"/>
          <w:szCs w:val="18"/>
          <w:lang w:val="es"/>
        </w:rPr>
        <w:t>E/C.12/2020/1</w:t>
      </w:r>
      <w:r w:rsidRPr="00C50459" w:rsidDel="00000008">
        <w:rPr>
          <w:color w:val="000000" w:themeColor="text1"/>
          <w:sz w:val="18"/>
          <w:szCs w:val="18"/>
          <w:lang w:val="es"/>
        </w:rPr>
        <w:t>)</w:t>
      </w:r>
    </w:p>
  </w:footnote>
  <w:footnote w:id="5">
    <w:p w14:paraId="4A22D7EE" w14:textId="77777777" w:rsidR="00966BDF" w:rsidRPr="00C50459" w:rsidRDefault="00966BDF" w:rsidP="00966BDF">
      <w:pPr>
        <w:pBdr>
          <w:top w:val="nil"/>
          <w:left w:val="nil"/>
          <w:bottom w:val="nil"/>
          <w:right w:val="nil"/>
          <w:between w:val="nil"/>
        </w:pBdr>
        <w:rPr>
          <w:color w:val="000000" w:themeColor="text1"/>
          <w:sz w:val="18"/>
          <w:szCs w:val="18"/>
          <w:lang w:val="fr-FR"/>
        </w:rPr>
      </w:pPr>
      <w:r w:rsidRPr="00C50459" w:rsidDel="00000001">
        <w:rPr>
          <w:color w:val="000000" w:themeColor="text1"/>
          <w:sz w:val="18"/>
          <w:szCs w:val="18"/>
          <w:vertAlign w:val="superscript"/>
          <w:lang w:val="es"/>
        </w:rPr>
        <w:footnoteRef/>
      </w:r>
      <w:r w:rsidRPr="00C50459" w:rsidDel="00000002">
        <w:rPr>
          <w:color w:val="000000" w:themeColor="text1"/>
          <w:sz w:val="18"/>
          <w:szCs w:val="18"/>
          <w:lang w:val="es"/>
        </w:rPr>
        <w:t xml:space="preserve"> </w:t>
      </w:r>
      <w:r w:rsidRPr="00C50459">
        <w:rPr>
          <w:color w:val="000000" w:themeColor="text1"/>
          <w:sz w:val="18"/>
          <w:szCs w:val="18"/>
          <w:lang w:val="es"/>
        </w:rPr>
        <w:t>El trabajo colectivo de los procedimientos especiales está disponible</w:t>
      </w:r>
      <w:r w:rsidRPr="00C50459" w:rsidDel="00000002">
        <w:rPr>
          <w:color w:val="000000" w:themeColor="text1"/>
          <w:sz w:val="18"/>
          <w:szCs w:val="18"/>
          <w:lang w:val="es"/>
        </w:rPr>
        <w:t xml:space="preserve"> </w:t>
      </w:r>
      <w:r w:rsidRPr="00C50459">
        <w:rPr>
          <w:sz w:val="18"/>
          <w:szCs w:val="18"/>
          <w:lang w:val="fr-FR"/>
        </w:rPr>
        <w:t xml:space="preserve">en </w:t>
      </w:r>
      <w:hyperlink r:id="rId4" w:history="1">
        <w:r w:rsidRPr="00C50459">
          <w:rPr>
            <w:rStyle w:val="Hyperlink"/>
            <w:sz w:val="18"/>
            <w:szCs w:val="18"/>
            <w:lang w:val="fr-FR"/>
          </w:rPr>
          <w:t xml:space="preserve">este </w:t>
        </w:r>
        <w:proofErr w:type="spellStart"/>
        <w:r w:rsidRPr="00C50459">
          <w:rPr>
            <w:rStyle w:val="Hyperlink"/>
            <w:sz w:val="18"/>
            <w:szCs w:val="18"/>
            <w:lang w:val="fr-FR"/>
          </w:rPr>
          <w:t>vínculo</w:t>
        </w:r>
        <w:proofErr w:type="spellEnd"/>
      </w:hyperlink>
    </w:p>
  </w:footnote>
  <w:footnote w:id="6">
    <w:p w14:paraId="35C2AA17" w14:textId="77777777" w:rsidR="00966BDF" w:rsidRPr="00C50459" w:rsidRDefault="00966BDF" w:rsidP="00966BDF">
      <w:pPr>
        <w:rPr>
          <w:color w:val="000000" w:themeColor="text1"/>
          <w:sz w:val="18"/>
          <w:szCs w:val="18"/>
          <w:lang w:val="fr-FR"/>
        </w:rPr>
      </w:pPr>
      <w:r w:rsidRPr="00C50459" w:rsidDel="00000001">
        <w:rPr>
          <w:rStyle w:val="FootnoteReference"/>
          <w:color w:val="000000" w:themeColor="text1"/>
          <w:sz w:val="18"/>
          <w:szCs w:val="18"/>
          <w:lang w:val="es"/>
        </w:rPr>
        <w:footnoteRef/>
      </w:r>
      <w:r w:rsidRPr="00C50459" w:rsidDel="00000002">
        <w:rPr>
          <w:color w:val="000000" w:themeColor="text1"/>
          <w:sz w:val="18"/>
          <w:szCs w:val="18"/>
          <w:lang w:val="es"/>
        </w:rPr>
        <w:t xml:space="preserve"> </w:t>
      </w:r>
      <w:r w:rsidRPr="00C50459">
        <w:rPr>
          <w:color w:val="000000" w:themeColor="text1"/>
          <w:sz w:val="18"/>
          <w:szCs w:val="18"/>
          <w:lang w:val="es"/>
        </w:rPr>
        <w:t>Comité de Derechos Humanos</w:t>
      </w:r>
      <w:r w:rsidRPr="00C50459" w:rsidDel="00000002">
        <w:rPr>
          <w:color w:val="000000" w:themeColor="text1"/>
          <w:sz w:val="18"/>
          <w:szCs w:val="18"/>
          <w:lang w:val="es"/>
        </w:rPr>
        <w:t xml:space="preserve">, </w:t>
      </w:r>
      <w:r w:rsidRPr="00C50459" w:rsidDel="00000003">
        <w:rPr>
          <w:i/>
          <w:color w:val="000000" w:themeColor="text1"/>
          <w:sz w:val="18"/>
          <w:szCs w:val="18"/>
          <w:lang w:val="es"/>
        </w:rPr>
        <w:t xml:space="preserve">supra </w:t>
      </w:r>
      <w:r w:rsidRPr="00C50459">
        <w:rPr>
          <w:color w:val="000000" w:themeColor="text1"/>
          <w:sz w:val="18"/>
          <w:szCs w:val="18"/>
          <w:lang w:val="es"/>
        </w:rPr>
        <w:t>nota</w:t>
      </w:r>
      <w:r w:rsidRPr="00C50459" w:rsidDel="00000004">
        <w:rPr>
          <w:color w:val="000000" w:themeColor="text1"/>
          <w:sz w:val="18"/>
          <w:szCs w:val="18"/>
          <w:lang w:val="es"/>
        </w:rPr>
        <w:t xml:space="preserve"> 4</w:t>
      </w:r>
    </w:p>
  </w:footnote>
  <w:footnote w:id="7">
    <w:p w14:paraId="08040C06" w14:textId="77777777" w:rsidR="00966BDF" w:rsidRPr="00C50459" w:rsidRDefault="00966BDF" w:rsidP="00966BDF">
      <w:pPr>
        <w:rPr>
          <w:color w:val="000000" w:themeColor="text1"/>
          <w:sz w:val="18"/>
          <w:szCs w:val="18"/>
          <w:lang w:val="fr-FR"/>
        </w:rPr>
      </w:pPr>
      <w:r w:rsidRPr="00C50459" w:rsidDel="00000001">
        <w:rPr>
          <w:rStyle w:val="FootnoteReference"/>
          <w:color w:val="000000" w:themeColor="text1"/>
          <w:sz w:val="18"/>
          <w:szCs w:val="18"/>
          <w:lang w:val="es"/>
        </w:rPr>
        <w:footnoteRef/>
      </w:r>
      <w:r w:rsidRPr="00C50459" w:rsidDel="00000002">
        <w:rPr>
          <w:color w:val="000000" w:themeColor="text1"/>
          <w:sz w:val="18"/>
          <w:szCs w:val="18"/>
          <w:lang w:val="es"/>
        </w:rPr>
        <w:t xml:space="preserve"> </w:t>
      </w:r>
      <w:r w:rsidRPr="00C50459">
        <w:rPr>
          <w:color w:val="000000" w:themeColor="text1"/>
          <w:sz w:val="18"/>
          <w:szCs w:val="18"/>
          <w:lang w:val="es"/>
        </w:rPr>
        <w:t>Comité de Derechos Económicos, Sociales y Culturales</w:t>
      </w:r>
      <w:r w:rsidRPr="00C50459" w:rsidDel="00000002">
        <w:rPr>
          <w:color w:val="000000" w:themeColor="text1"/>
          <w:sz w:val="18"/>
          <w:szCs w:val="18"/>
          <w:lang w:val="es"/>
        </w:rPr>
        <w:t xml:space="preserve">, </w:t>
      </w:r>
      <w:r w:rsidRPr="00C50459" w:rsidDel="00000003">
        <w:rPr>
          <w:i/>
          <w:color w:val="000000" w:themeColor="text1"/>
          <w:sz w:val="18"/>
          <w:szCs w:val="18"/>
          <w:lang w:val="es"/>
        </w:rPr>
        <w:t xml:space="preserve">supra </w:t>
      </w:r>
      <w:r w:rsidRPr="00C50459">
        <w:rPr>
          <w:color w:val="000000" w:themeColor="text1"/>
          <w:sz w:val="18"/>
          <w:szCs w:val="18"/>
          <w:lang w:val="es"/>
        </w:rPr>
        <w:t>nota</w:t>
      </w:r>
      <w:r w:rsidRPr="00C50459" w:rsidDel="00000004">
        <w:rPr>
          <w:color w:val="000000" w:themeColor="text1"/>
          <w:sz w:val="18"/>
          <w:szCs w:val="18"/>
          <w:lang w:val="es"/>
        </w:rPr>
        <w:t xml:space="preserve"> 4, par 4</w:t>
      </w:r>
    </w:p>
  </w:footnote>
  <w:footnote w:id="8">
    <w:p w14:paraId="1E4E0997" w14:textId="77777777" w:rsidR="00966BDF" w:rsidRPr="00C50459" w:rsidRDefault="00966BDF" w:rsidP="00966BDF">
      <w:pPr>
        <w:rPr>
          <w:color w:val="000000" w:themeColor="text1"/>
          <w:sz w:val="18"/>
          <w:szCs w:val="18"/>
        </w:rPr>
      </w:pPr>
      <w:r w:rsidRPr="00C50459" w:rsidDel="00000001">
        <w:rPr>
          <w:rStyle w:val="FootnoteReference"/>
          <w:color w:val="000000" w:themeColor="text1"/>
          <w:sz w:val="18"/>
          <w:szCs w:val="18"/>
          <w:lang w:val="es"/>
        </w:rPr>
        <w:footnoteRef/>
      </w:r>
      <w:r w:rsidRPr="00C50459" w:rsidDel="00000002">
        <w:rPr>
          <w:color w:val="000000" w:themeColor="text1"/>
          <w:sz w:val="18"/>
          <w:szCs w:val="18"/>
          <w:lang w:val="es"/>
        </w:rPr>
        <w:t xml:space="preserve"> </w:t>
      </w:r>
      <w:r w:rsidRPr="00C50459">
        <w:rPr>
          <w:color w:val="000000" w:themeColor="text1"/>
          <w:sz w:val="18"/>
          <w:szCs w:val="18"/>
          <w:lang w:val="es"/>
        </w:rPr>
        <w:t>Procedimientos Especiales de las Naciones Unidas</w:t>
      </w:r>
      <w:r w:rsidRPr="00C50459" w:rsidDel="00000002">
        <w:rPr>
          <w:color w:val="000000" w:themeColor="text1"/>
          <w:sz w:val="18"/>
          <w:szCs w:val="18"/>
          <w:lang w:val="es"/>
        </w:rPr>
        <w:t xml:space="preserve">, </w:t>
      </w:r>
      <w:hyperlink r:id="rId5" w:history="1">
        <w:r w:rsidRPr="00C50459" w:rsidDel="00000003">
          <w:rPr>
            <w:rStyle w:val="Hyperlink"/>
            <w:sz w:val="18"/>
            <w:szCs w:val="18"/>
            <w:lang w:val="es"/>
          </w:rPr>
          <w:t xml:space="preserve">“COVID-19: </w:t>
        </w:r>
        <w:proofErr w:type="spellStart"/>
        <w:r w:rsidRPr="00C50459" w:rsidDel="00000003">
          <w:rPr>
            <w:rStyle w:val="Hyperlink"/>
            <w:sz w:val="18"/>
            <w:szCs w:val="18"/>
            <w:lang w:val="es"/>
          </w:rPr>
          <w:t>the</w:t>
        </w:r>
        <w:proofErr w:type="spellEnd"/>
        <w:r w:rsidRPr="00C50459" w:rsidDel="00000003">
          <w:rPr>
            <w:rStyle w:val="Hyperlink"/>
            <w:sz w:val="18"/>
            <w:szCs w:val="18"/>
            <w:lang w:val="es"/>
          </w:rPr>
          <w:t xml:space="preserve"> </w:t>
        </w:r>
        <w:proofErr w:type="spellStart"/>
        <w:r w:rsidRPr="00C50459" w:rsidDel="00000003">
          <w:rPr>
            <w:rStyle w:val="Hyperlink"/>
            <w:sz w:val="18"/>
            <w:szCs w:val="18"/>
            <w:lang w:val="es"/>
          </w:rPr>
          <w:t>suffering</w:t>
        </w:r>
        <w:proofErr w:type="spellEnd"/>
        <w:r w:rsidRPr="00C50459" w:rsidDel="00000003">
          <w:rPr>
            <w:rStyle w:val="Hyperlink"/>
            <w:sz w:val="18"/>
            <w:szCs w:val="18"/>
            <w:lang w:val="es"/>
          </w:rPr>
          <w:t xml:space="preserve"> and </w:t>
        </w:r>
        <w:proofErr w:type="spellStart"/>
        <w:r w:rsidRPr="00C50459" w:rsidDel="00000003">
          <w:rPr>
            <w:rStyle w:val="Hyperlink"/>
            <w:sz w:val="18"/>
            <w:szCs w:val="18"/>
            <w:lang w:val="es"/>
          </w:rPr>
          <w:t>resilience</w:t>
        </w:r>
        <w:proofErr w:type="spellEnd"/>
        <w:r w:rsidRPr="00C50459" w:rsidDel="00000003">
          <w:rPr>
            <w:rStyle w:val="Hyperlink"/>
            <w:sz w:val="18"/>
            <w:szCs w:val="18"/>
            <w:lang w:val="es"/>
          </w:rPr>
          <w:t xml:space="preserve"> of LGBT </w:t>
        </w:r>
        <w:proofErr w:type="spellStart"/>
        <w:r w:rsidRPr="00C50459" w:rsidDel="00000003">
          <w:rPr>
            <w:rStyle w:val="Hyperlink"/>
            <w:sz w:val="18"/>
            <w:szCs w:val="18"/>
            <w:lang w:val="es"/>
          </w:rPr>
          <w:t>persons</w:t>
        </w:r>
        <w:proofErr w:type="spellEnd"/>
        <w:r w:rsidRPr="00C50459" w:rsidDel="00000003">
          <w:rPr>
            <w:rStyle w:val="Hyperlink"/>
            <w:sz w:val="18"/>
            <w:szCs w:val="18"/>
            <w:lang w:val="es"/>
          </w:rPr>
          <w:t xml:space="preserve"> </w:t>
        </w:r>
        <w:proofErr w:type="spellStart"/>
        <w:r w:rsidRPr="00C50459" w:rsidDel="00000003">
          <w:rPr>
            <w:rStyle w:val="Hyperlink"/>
            <w:sz w:val="18"/>
            <w:szCs w:val="18"/>
            <w:lang w:val="es"/>
          </w:rPr>
          <w:t>must</w:t>
        </w:r>
        <w:proofErr w:type="spellEnd"/>
        <w:r w:rsidRPr="00C50459" w:rsidDel="00000003">
          <w:rPr>
            <w:rStyle w:val="Hyperlink"/>
            <w:sz w:val="18"/>
            <w:szCs w:val="18"/>
            <w:lang w:val="es"/>
          </w:rPr>
          <w:t xml:space="preserve"> be visible and </w:t>
        </w:r>
        <w:proofErr w:type="spellStart"/>
        <w:r w:rsidRPr="00C50459" w:rsidDel="00000003">
          <w:rPr>
            <w:rStyle w:val="Hyperlink"/>
            <w:sz w:val="18"/>
            <w:szCs w:val="18"/>
            <w:lang w:val="es"/>
          </w:rPr>
          <w:t>inform</w:t>
        </w:r>
        <w:proofErr w:type="spellEnd"/>
        <w:r w:rsidRPr="00C50459" w:rsidDel="00000003">
          <w:rPr>
            <w:rStyle w:val="Hyperlink"/>
            <w:sz w:val="18"/>
            <w:szCs w:val="18"/>
            <w:lang w:val="es"/>
          </w:rPr>
          <w:t xml:space="preserve"> </w:t>
        </w:r>
        <w:proofErr w:type="spellStart"/>
        <w:r w:rsidRPr="00C50459" w:rsidDel="00000003">
          <w:rPr>
            <w:rStyle w:val="Hyperlink"/>
            <w:sz w:val="18"/>
            <w:szCs w:val="18"/>
            <w:lang w:val="es"/>
          </w:rPr>
          <w:t>the</w:t>
        </w:r>
        <w:proofErr w:type="spellEnd"/>
        <w:r w:rsidRPr="00C50459" w:rsidDel="00000003">
          <w:rPr>
            <w:rStyle w:val="Hyperlink"/>
            <w:sz w:val="18"/>
            <w:szCs w:val="18"/>
            <w:lang w:val="es"/>
          </w:rPr>
          <w:t xml:space="preserve"> </w:t>
        </w:r>
        <w:proofErr w:type="spellStart"/>
        <w:r w:rsidRPr="00C50459" w:rsidDel="00000003">
          <w:rPr>
            <w:rStyle w:val="Hyperlink"/>
            <w:sz w:val="18"/>
            <w:szCs w:val="18"/>
            <w:lang w:val="es"/>
          </w:rPr>
          <w:t>actions</w:t>
        </w:r>
        <w:proofErr w:type="spellEnd"/>
        <w:r w:rsidRPr="00C50459" w:rsidDel="00000003">
          <w:rPr>
            <w:rStyle w:val="Hyperlink"/>
            <w:sz w:val="18"/>
            <w:szCs w:val="18"/>
            <w:lang w:val="es"/>
          </w:rPr>
          <w:t xml:space="preserve"> of States”</w:t>
        </w:r>
      </w:hyperlink>
      <w:r w:rsidRPr="00C50459" w:rsidDel="00000004">
        <w:rPr>
          <w:color w:val="000000" w:themeColor="text1"/>
          <w:sz w:val="18"/>
          <w:szCs w:val="18"/>
          <w:lang w:val="es"/>
        </w:rPr>
        <w:t xml:space="preserve">, 20 </w:t>
      </w:r>
      <w:proofErr w:type="spellStart"/>
      <w:r w:rsidRPr="00C50459" w:rsidDel="00000004">
        <w:rPr>
          <w:color w:val="000000" w:themeColor="text1"/>
          <w:sz w:val="18"/>
          <w:szCs w:val="18"/>
          <w:lang w:val="es"/>
        </w:rPr>
        <w:t>April</w:t>
      </w:r>
      <w:proofErr w:type="spellEnd"/>
      <w:r w:rsidRPr="00C50459" w:rsidDel="00000004">
        <w:rPr>
          <w:color w:val="000000" w:themeColor="text1"/>
          <w:sz w:val="18"/>
          <w:szCs w:val="18"/>
          <w:lang w:val="es"/>
        </w:rPr>
        <w:t xml:space="preserve"> 2020.</w:t>
      </w:r>
    </w:p>
  </w:footnote>
  <w:footnote w:id="9">
    <w:p w14:paraId="32D29D4E" w14:textId="77777777" w:rsidR="00966BDF" w:rsidRPr="00C50459" w:rsidRDefault="00966BDF" w:rsidP="00966BDF">
      <w:pPr>
        <w:pBdr>
          <w:top w:val="nil"/>
          <w:left w:val="nil"/>
          <w:bottom w:val="nil"/>
          <w:right w:val="nil"/>
          <w:between w:val="nil"/>
        </w:pBdr>
        <w:rPr>
          <w:color w:val="000000" w:themeColor="text1"/>
          <w:sz w:val="18"/>
          <w:szCs w:val="18"/>
          <w:lang w:eastAsia="ja-JP"/>
        </w:rPr>
      </w:pPr>
      <w:r w:rsidRPr="00C50459" w:rsidDel="00000001">
        <w:rPr>
          <w:color w:val="000000" w:themeColor="text1"/>
          <w:sz w:val="18"/>
          <w:szCs w:val="18"/>
          <w:vertAlign w:val="superscript"/>
          <w:lang w:val="es"/>
        </w:rPr>
        <w:footnoteRef/>
      </w:r>
      <w:r w:rsidRPr="00C50459">
        <w:rPr>
          <w:color w:val="000000" w:themeColor="text1"/>
          <w:sz w:val="18"/>
          <w:szCs w:val="18"/>
          <w:lang w:val="es"/>
        </w:rPr>
        <w:t xml:space="preserve"> </w:t>
      </w:r>
      <w:hyperlink r:id="rId6" w:history="1">
        <w:r w:rsidRPr="00C50459" w:rsidDel="00000004">
          <w:rPr>
            <w:rStyle w:val="Hyperlink"/>
            <w:sz w:val="18"/>
            <w:szCs w:val="18"/>
            <w:lang w:val="es"/>
          </w:rPr>
          <w:t>A/72/502</w:t>
        </w:r>
      </w:hyperlink>
      <w:r w:rsidRPr="00C50459" w:rsidDel="00000005">
        <w:rPr>
          <w:color w:val="000000" w:themeColor="text1"/>
          <w:sz w:val="18"/>
          <w:szCs w:val="18"/>
          <w:lang w:val="es"/>
        </w:rPr>
        <w:t xml:space="preserve">, para. 6. </w:t>
      </w:r>
      <w:r w:rsidRPr="00C50459">
        <w:rPr>
          <w:i/>
          <w:color w:val="000000" w:themeColor="text1"/>
          <w:sz w:val="18"/>
          <w:szCs w:val="18"/>
          <w:lang w:val="es"/>
        </w:rPr>
        <w:t>Ver también</w:t>
      </w:r>
      <w:r w:rsidRPr="00C50459" w:rsidDel="00000006">
        <w:rPr>
          <w:i/>
          <w:color w:val="000000" w:themeColor="text1"/>
          <w:sz w:val="18"/>
          <w:szCs w:val="18"/>
          <w:lang w:val="es"/>
        </w:rPr>
        <w:t xml:space="preserve"> </w:t>
      </w:r>
      <w:r w:rsidRPr="00C50459" w:rsidDel="00000007">
        <w:rPr>
          <w:color w:val="000000" w:themeColor="text1"/>
          <w:sz w:val="18"/>
          <w:szCs w:val="18"/>
          <w:lang w:val="es"/>
        </w:rPr>
        <w:t xml:space="preserve">Lee </w:t>
      </w:r>
      <w:proofErr w:type="spellStart"/>
      <w:r w:rsidRPr="00C50459" w:rsidDel="00000007">
        <w:rPr>
          <w:color w:val="000000" w:themeColor="text1"/>
          <w:sz w:val="18"/>
          <w:szCs w:val="18"/>
          <w:lang w:val="es"/>
        </w:rPr>
        <w:t>Badgett</w:t>
      </w:r>
      <w:proofErr w:type="spellEnd"/>
      <w:r w:rsidRPr="00C50459" w:rsidDel="00000007">
        <w:rPr>
          <w:color w:val="000000" w:themeColor="text1"/>
          <w:sz w:val="18"/>
          <w:szCs w:val="18"/>
          <w:lang w:val="es"/>
        </w:rPr>
        <w:t xml:space="preserve"> </w:t>
      </w:r>
      <w:r w:rsidRPr="00C50459" w:rsidDel="00000008">
        <w:rPr>
          <w:i/>
          <w:color w:val="000000" w:themeColor="text1"/>
          <w:sz w:val="18"/>
          <w:szCs w:val="18"/>
          <w:lang w:val="es"/>
        </w:rPr>
        <w:t>et al</w:t>
      </w:r>
      <w:r w:rsidRPr="00C50459" w:rsidDel="00000009">
        <w:rPr>
          <w:color w:val="000000" w:themeColor="text1"/>
          <w:sz w:val="18"/>
          <w:szCs w:val="18"/>
          <w:lang w:val="es"/>
        </w:rPr>
        <w:t xml:space="preserve">., </w:t>
      </w:r>
      <w:r w:rsidRPr="00C50459" w:rsidDel="00000010">
        <w:rPr>
          <w:rStyle w:val="Hyperlink"/>
          <w:sz w:val="18"/>
          <w:szCs w:val="18"/>
          <w:lang w:val="es"/>
        </w:rPr>
        <w:t>“</w:t>
      </w:r>
      <w:proofErr w:type="spellStart"/>
      <w:r w:rsidRPr="00C50459">
        <w:rPr>
          <w:lang w:val="en"/>
        </w:rPr>
        <w:fldChar w:fldCharType="begin"/>
      </w:r>
      <w:r w:rsidRPr="00C50459">
        <w:rPr>
          <w:sz w:val="18"/>
          <w:szCs w:val="18"/>
        </w:rPr>
        <w:instrText xml:space="preserve"> HYPERLINK "https://williamsinstitute.law.ucla.edu/publications/lgbt-inclusion-development/" </w:instrText>
      </w:r>
      <w:r w:rsidRPr="00C50459">
        <w:rPr>
          <w:lang w:val="en"/>
        </w:rPr>
        <w:fldChar w:fldCharType="separate"/>
      </w:r>
      <w:r w:rsidRPr="00C50459" w:rsidDel="00000011">
        <w:rPr>
          <w:rStyle w:val="Hyperlink"/>
          <w:sz w:val="18"/>
          <w:szCs w:val="18"/>
          <w:lang w:val="es"/>
        </w:rPr>
        <w:t>The</w:t>
      </w:r>
      <w:proofErr w:type="spellEnd"/>
      <w:r w:rsidRPr="00C50459" w:rsidDel="00000011">
        <w:rPr>
          <w:rStyle w:val="Hyperlink"/>
          <w:sz w:val="18"/>
          <w:szCs w:val="18"/>
          <w:lang w:val="es"/>
        </w:rPr>
        <w:t xml:space="preserve"> </w:t>
      </w:r>
      <w:proofErr w:type="spellStart"/>
      <w:r w:rsidRPr="00C50459" w:rsidDel="00000011">
        <w:rPr>
          <w:rStyle w:val="Hyperlink"/>
          <w:sz w:val="18"/>
          <w:szCs w:val="18"/>
          <w:lang w:val="es"/>
        </w:rPr>
        <w:t>Relationship</w:t>
      </w:r>
      <w:proofErr w:type="spellEnd"/>
      <w:r w:rsidRPr="00C50459" w:rsidDel="00000011">
        <w:rPr>
          <w:rStyle w:val="Hyperlink"/>
          <w:sz w:val="18"/>
          <w:szCs w:val="18"/>
          <w:lang w:val="es"/>
        </w:rPr>
        <w:t xml:space="preserve"> </w:t>
      </w:r>
      <w:proofErr w:type="spellStart"/>
      <w:r w:rsidRPr="00C50459" w:rsidDel="00000011">
        <w:rPr>
          <w:rStyle w:val="Hyperlink"/>
          <w:sz w:val="18"/>
          <w:szCs w:val="18"/>
          <w:lang w:val="es"/>
        </w:rPr>
        <w:t>between</w:t>
      </w:r>
      <w:proofErr w:type="spellEnd"/>
      <w:r w:rsidRPr="00C50459" w:rsidDel="00000011">
        <w:rPr>
          <w:rStyle w:val="Hyperlink"/>
          <w:sz w:val="18"/>
          <w:szCs w:val="18"/>
          <w:lang w:val="es"/>
        </w:rPr>
        <w:t xml:space="preserve"> LGBT </w:t>
      </w:r>
      <w:proofErr w:type="spellStart"/>
      <w:r w:rsidRPr="00C50459" w:rsidDel="00000011">
        <w:rPr>
          <w:rStyle w:val="Hyperlink"/>
          <w:sz w:val="18"/>
          <w:szCs w:val="18"/>
          <w:lang w:val="es"/>
        </w:rPr>
        <w:t>Inclusion</w:t>
      </w:r>
      <w:proofErr w:type="spellEnd"/>
      <w:r w:rsidRPr="00C50459" w:rsidDel="00000011">
        <w:rPr>
          <w:rStyle w:val="Hyperlink"/>
          <w:sz w:val="18"/>
          <w:szCs w:val="18"/>
          <w:lang w:val="es"/>
        </w:rPr>
        <w:t xml:space="preserve"> and </w:t>
      </w:r>
      <w:proofErr w:type="spellStart"/>
      <w:r w:rsidRPr="00C50459" w:rsidDel="00000011">
        <w:rPr>
          <w:rStyle w:val="Hyperlink"/>
          <w:sz w:val="18"/>
          <w:szCs w:val="18"/>
          <w:lang w:val="es"/>
        </w:rPr>
        <w:t>Economic</w:t>
      </w:r>
      <w:proofErr w:type="spellEnd"/>
      <w:r w:rsidRPr="00C50459" w:rsidDel="00000011">
        <w:rPr>
          <w:rStyle w:val="Hyperlink"/>
          <w:sz w:val="18"/>
          <w:szCs w:val="18"/>
          <w:lang w:val="es"/>
        </w:rPr>
        <w:t xml:space="preserve"> </w:t>
      </w:r>
      <w:proofErr w:type="spellStart"/>
      <w:r w:rsidRPr="00C50459" w:rsidDel="00000011">
        <w:rPr>
          <w:rStyle w:val="Hyperlink"/>
          <w:sz w:val="18"/>
          <w:szCs w:val="18"/>
          <w:lang w:val="es"/>
        </w:rPr>
        <w:t>Development</w:t>
      </w:r>
      <w:proofErr w:type="spellEnd"/>
      <w:r w:rsidRPr="00C50459" w:rsidDel="00000011">
        <w:rPr>
          <w:rStyle w:val="Hyperlink"/>
          <w:sz w:val="18"/>
          <w:szCs w:val="18"/>
          <w:lang w:val="es"/>
        </w:rPr>
        <w:t>: Macro-</w:t>
      </w:r>
      <w:proofErr w:type="spellStart"/>
      <w:r w:rsidRPr="00C50459" w:rsidDel="00000011">
        <w:rPr>
          <w:rStyle w:val="Hyperlink"/>
          <w:sz w:val="18"/>
          <w:szCs w:val="18"/>
          <w:lang w:val="es"/>
        </w:rPr>
        <w:t>Level</w:t>
      </w:r>
      <w:proofErr w:type="spellEnd"/>
      <w:r w:rsidRPr="00C50459" w:rsidDel="00000011">
        <w:rPr>
          <w:rStyle w:val="Hyperlink"/>
          <w:sz w:val="18"/>
          <w:szCs w:val="18"/>
          <w:lang w:val="es"/>
        </w:rPr>
        <w:t xml:space="preserve"> </w:t>
      </w:r>
      <w:proofErr w:type="spellStart"/>
      <w:r w:rsidRPr="00C50459" w:rsidDel="00000011">
        <w:rPr>
          <w:rStyle w:val="Hyperlink"/>
          <w:sz w:val="18"/>
          <w:szCs w:val="18"/>
          <w:lang w:val="es"/>
        </w:rPr>
        <w:t>Evidence</w:t>
      </w:r>
      <w:proofErr w:type="spellEnd"/>
      <w:r w:rsidRPr="00C50459">
        <w:rPr>
          <w:rStyle w:val="Hyperlink"/>
          <w:sz w:val="18"/>
          <w:szCs w:val="18"/>
          <w:lang w:val="es"/>
        </w:rPr>
        <w:fldChar w:fldCharType="end"/>
      </w:r>
      <w:r w:rsidRPr="00C50459" w:rsidDel="00000012">
        <w:rPr>
          <w:rStyle w:val="Hyperlink"/>
          <w:sz w:val="18"/>
          <w:szCs w:val="18"/>
          <w:lang w:val="es"/>
        </w:rPr>
        <w:t>”</w:t>
      </w:r>
      <w:r w:rsidRPr="00C50459" w:rsidDel="00000013">
        <w:rPr>
          <w:color w:val="000000" w:themeColor="text1"/>
          <w:sz w:val="18"/>
          <w:szCs w:val="18"/>
          <w:lang w:val="es"/>
        </w:rPr>
        <w:t xml:space="preserve">, </w:t>
      </w:r>
      <w:r w:rsidRPr="00C50459">
        <w:rPr>
          <w:color w:val="000000" w:themeColor="text1"/>
          <w:sz w:val="18"/>
          <w:szCs w:val="18"/>
          <w:lang w:val="es"/>
        </w:rPr>
        <w:t>agosto de 2019</w:t>
      </w:r>
      <w:r w:rsidRPr="00C50459" w:rsidDel="00000015">
        <w:rPr>
          <w:color w:val="000000" w:themeColor="text1"/>
          <w:sz w:val="18"/>
          <w:szCs w:val="18"/>
          <w:lang w:val="es"/>
        </w:rPr>
        <w:t xml:space="preserve">. </w:t>
      </w:r>
    </w:p>
  </w:footnote>
  <w:footnote w:id="10">
    <w:p w14:paraId="54E97CB2" w14:textId="77777777" w:rsidR="00966BDF" w:rsidRPr="00C50459" w:rsidRDefault="00966BDF" w:rsidP="00966BDF">
      <w:pPr>
        <w:pStyle w:val="FootnoteText"/>
        <w:rPr>
          <w:rFonts w:ascii="Times New Roman" w:hAnsi="Times New Roman" w:cs="Times New Roman"/>
          <w:color w:val="000000" w:themeColor="text1"/>
          <w:sz w:val="18"/>
          <w:szCs w:val="18"/>
        </w:rPr>
      </w:pPr>
      <w:r w:rsidRPr="00C50459" w:rsidDel="00000001">
        <w:rPr>
          <w:rFonts w:ascii="Times New Roman" w:hAnsi="Times New Roman" w:cs="Times New Roman"/>
          <w:color w:val="000000" w:themeColor="text1"/>
          <w:sz w:val="18"/>
          <w:szCs w:val="18"/>
          <w:vertAlign w:val="superscript"/>
          <w:lang w:val="es"/>
        </w:rPr>
        <w:footnoteRef/>
      </w:r>
      <w:r w:rsidRPr="00C50459" w:rsidDel="00000002">
        <w:rPr>
          <w:rFonts w:ascii="Times New Roman" w:hAnsi="Times New Roman" w:cs="Times New Roman"/>
          <w:color w:val="000000" w:themeColor="text1"/>
          <w:sz w:val="18"/>
          <w:szCs w:val="18"/>
          <w:lang w:val="es"/>
        </w:rPr>
        <w:t xml:space="preserve"> </w:t>
      </w:r>
      <w:r w:rsidRPr="00C50459">
        <w:rPr>
          <w:rFonts w:ascii="Times New Roman" w:hAnsi="Times New Roman" w:cs="Times New Roman"/>
          <w:color w:val="000000" w:themeColor="text1"/>
          <w:sz w:val="18"/>
          <w:szCs w:val="18"/>
          <w:lang w:val="es"/>
        </w:rPr>
        <w:t xml:space="preserve">Grupo de Trabajo de Sociedad Civil del </w:t>
      </w:r>
      <w:r w:rsidRPr="00C50459">
        <w:rPr>
          <w:rFonts w:ascii="Times New Roman" w:hAnsi="Times New Roman" w:cs="Times New Roman"/>
          <w:i/>
          <w:iCs/>
          <w:color w:val="000000" w:themeColor="text1"/>
          <w:sz w:val="18"/>
          <w:szCs w:val="18"/>
          <w:lang w:val="es"/>
        </w:rPr>
        <w:t xml:space="preserve">Equal Rights </w:t>
      </w:r>
      <w:proofErr w:type="spellStart"/>
      <w:r w:rsidRPr="00C50459">
        <w:rPr>
          <w:rFonts w:ascii="Times New Roman" w:hAnsi="Times New Roman" w:cs="Times New Roman"/>
          <w:i/>
          <w:iCs/>
          <w:color w:val="000000" w:themeColor="text1"/>
          <w:sz w:val="18"/>
          <w:szCs w:val="18"/>
          <w:lang w:val="es"/>
        </w:rPr>
        <w:t>Coalition</w:t>
      </w:r>
      <w:proofErr w:type="spellEnd"/>
      <w:r w:rsidRPr="00C50459">
        <w:rPr>
          <w:rFonts w:ascii="Times New Roman" w:hAnsi="Times New Roman" w:cs="Times New Roman"/>
          <w:i/>
          <w:iCs/>
          <w:color w:val="000000" w:themeColor="text1"/>
          <w:sz w:val="18"/>
          <w:szCs w:val="18"/>
          <w:lang w:val="es"/>
        </w:rPr>
        <w:t xml:space="preserve"> </w:t>
      </w:r>
      <w:r w:rsidRPr="00C50459">
        <w:rPr>
          <w:rFonts w:ascii="Times New Roman" w:hAnsi="Times New Roman" w:cs="Times New Roman"/>
          <w:color w:val="000000" w:themeColor="text1"/>
          <w:sz w:val="18"/>
          <w:szCs w:val="18"/>
          <w:lang w:val="es"/>
        </w:rPr>
        <w:t>sobre COVID-19</w:t>
      </w:r>
      <w:r w:rsidRPr="00C50459" w:rsidDel="00000002">
        <w:rPr>
          <w:rFonts w:ascii="Times New Roman" w:hAnsi="Times New Roman" w:cs="Times New Roman"/>
          <w:color w:val="000000" w:themeColor="text1"/>
          <w:sz w:val="18"/>
          <w:szCs w:val="18"/>
          <w:lang w:val="es"/>
        </w:rPr>
        <w:t xml:space="preserve">, </w:t>
      </w:r>
      <w:hyperlink r:id="rId7" w:history="1">
        <w:r w:rsidRPr="00C50459" w:rsidDel="00000003">
          <w:rPr>
            <w:rStyle w:val="Hyperlink"/>
            <w:rFonts w:ascii="Times New Roman" w:hAnsi="Times New Roman" w:cs="Times New Roman"/>
            <w:sz w:val="18"/>
            <w:szCs w:val="18"/>
            <w:lang w:val="es"/>
          </w:rPr>
          <w:t>“</w:t>
        </w:r>
        <w:proofErr w:type="spellStart"/>
        <w:r w:rsidRPr="00C50459" w:rsidDel="00000003">
          <w:rPr>
            <w:rStyle w:val="Hyperlink"/>
            <w:rFonts w:ascii="Times New Roman" w:hAnsi="Times New Roman" w:cs="Times New Roman"/>
            <w:sz w:val="18"/>
            <w:szCs w:val="18"/>
            <w:lang w:val="es"/>
          </w:rPr>
          <w:t>Report</w:t>
        </w:r>
        <w:proofErr w:type="spellEnd"/>
        <w:r w:rsidRPr="00C50459" w:rsidDel="00000003">
          <w:rPr>
            <w:rStyle w:val="Hyperlink"/>
            <w:rFonts w:ascii="Times New Roman" w:hAnsi="Times New Roman" w:cs="Times New Roman"/>
            <w:sz w:val="18"/>
            <w:szCs w:val="18"/>
            <w:lang w:val="es"/>
          </w:rPr>
          <w:t xml:space="preserve"> 1: Global </w:t>
        </w:r>
        <w:proofErr w:type="spellStart"/>
        <w:r w:rsidRPr="00C50459" w:rsidDel="00000003">
          <w:rPr>
            <w:rStyle w:val="Hyperlink"/>
            <w:rFonts w:ascii="Times New Roman" w:hAnsi="Times New Roman" w:cs="Times New Roman"/>
            <w:sz w:val="18"/>
            <w:szCs w:val="18"/>
            <w:lang w:val="es"/>
          </w:rPr>
          <w:t>Impacts</w:t>
        </w:r>
        <w:proofErr w:type="spellEnd"/>
        <w:r w:rsidRPr="00C50459" w:rsidDel="00000003">
          <w:rPr>
            <w:rStyle w:val="Hyperlink"/>
            <w:rFonts w:ascii="Times New Roman" w:hAnsi="Times New Roman" w:cs="Times New Roman"/>
            <w:sz w:val="18"/>
            <w:szCs w:val="18"/>
            <w:lang w:val="es"/>
          </w:rPr>
          <w:t xml:space="preserve"> of COVID-19 on LGBTI </w:t>
        </w:r>
        <w:proofErr w:type="spellStart"/>
        <w:r w:rsidRPr="00C50459" w:rsidDel="00000003">
          <w:rPr>
            <w:rStyle w:val="Hyperlink"/>
            <w:rFonts w:ascii="Times New Roman" w:hAnsi="Times New Roman" w:cs="Times New Roman"/>
            <w:sz w:val="18"/>
            <w:szCs w:val="18"/>
            <w:lang w:val="es"/>
          </w:rPr>
          <w:t>Communities</w:t>
        </w:r>
        <w:proofErr w:type="spellEnd"/>
        <w:r w:rsidRPr="00C50459" w:rsidDel="00000003">
          <w:rPr>
            <w:rStyle w:val="Hyperlink"/>
            <w:rFonts w:ascii="Times New Roman" w:hAnsi="Times New Roman" w:cs="Times New Roman"/>
            <w:sz w:val="18"/>
            <w:szCs w:val="18"/>
            <w:lang w:val="es"/>
          </w:rPr>
          <w:t>”</w:t>
        </w:r>
      </w:hyperlink>
      <w:r w:rsidRPr="00C50459" w:rsidDel="00000004">
        <w:rPr>
          <w:rFonts w:ascii="Times New Roman" w:hAnsi="Times New Roman" w:cs="Times New Roman"/>
          <w:color w:val="000000" w:themeColor="text1"/>
          <w:sz w:val="18"/>
          <w:szCs w:val="18"/>
          <w:lang w:val="es"/>
        </w:rPr>
        <w:t xml:space="preserve">, p. 5, </w:t>
      </w:r>
      <w:r w:rsidRPr="00C50459">
        <w:rPr>
          <w:rFonts w:ascii="Times New Roman" w:hAnsi="Times New Roman" w:cs="Times New Roman"/>
          <w:color w:val="000000" w:themeColor="text1"/>
          <w:sz w:val="18"/>
          <w:szCs w:val="18"/>
          <w:lang w:val="es"/>
        </w:rPr>
        <w:t>20 de abril de 2020</w:t>
      </w:r>
      <w:r w:rsidRPr="00C50459" w:rsidDel="00000005">
        <w:rPr>
          <w:rFonts w:ascii="Times New Roman" w:hAnsi="Times New Roman" w:cs="Times New Roman"/>
          <w:color w:val="000000" w:themeColor="text1"/>
          <w:sz w:val="18"/>
          <w:szCs w:val="18"/>
          <w:lang w:val="es"/>
        </w:rPr>
        <w:t>;</w:t>
      </w:r>
      <w:r w:rsidRPr="00C50459" w:rsidDel="00000006">
        <w:rPr>
          <w:rFonts w:ascii="Times New Roman" w:hAnsi="Times New Roman" w:cs="Times New Roman"/>
          <w:color w:val="000000" w:themeColor="text1"/>
          <w:sz w:val="18"/>
          <w:szCs w:val="18"/>
          <w:lang w:val="es"/>
        </w:rPr>
        <w:t xml:space="preserve"> Human Rights Campaign, </w:t>
      </w:r>
      <w:hyperlink r:id="rId8" w:history="1">
        <w:r w:rsidRPr="00C50459" w:rsidDel="00000007">
          <w:rPr>
            <w:rStyle w:val="Hyperlink"/>
            <w:rFonts w:ascii="Times New Roman" w:hAnsi="Times New Roman" w:cs="Times New Roman"/>
            <w:sz w:val="18"/>
            <w:szCs w:val="18"/>
            <w:lang w:val="es"/>
          </w:rPr>
          <w:t>“</w:t>
        </w:r>
        <w:proofErr w:type="spellStart"/>
        <w:r w:rsidRPr="00C50459" w:rsidDel="00000007">
          <w:rPr>
            <w:rStyle w:val="Hyperlink"/>
            <w:rFonts w:ascii="Times New Roman" w:hAnsi="Times New Roman" w:cs="Times New Roman"/>
            <w:sz w:val="18"/>
            <w:szCs w:val="18"/>
            <w:lang w:val="es"/>
          </w:rPr>
          <w:t>The</w:t>
        </w:r>
        <w:proofErr w:type="spellEnd"/>
        <w:r w:rsidRPr="00C50459" w:rsidDel="00000007">
          <w:rPr>
            <w:rStyle w:val="Hyperlink"/>
            <w:rFonts w:ascii="Times New Roman" w:hAnsi="Times New Roman" w:cs="Times New Roman"/>
            <w:sz w:val="18"/>
            <w:szCs w:val="18"/>
            <w:lang w:val="es"/>
          </w:rPr>
          <w:t xml:space="preserve"> </w:t>
        </w:r>
        <w:proofErr w:type="spellStart"/>
        <w:r w:rsidRPr="00C50459" w:rsidDel="00000007">
          <w:rPr>
            <w:rStyle w:val="Hyperlink"/>
            <w:rFonts w:ascii="Times New Roman" w:hAnsi="Times New Roman" w:cs="Times New Roman"/>
            <w:sz w:val="18"/>
            <w:szCs w:val="18"/>
            <w:lang w:val="es"/>
          </w:rPr>
          <w:t>Lives</w:t>
        </w:r>
        <w:proofErr w:type="spellEnd"/>
        <w:r w:rsidRPr="00C50459" w:rsidDel="00000007">
          <w:rPr>
            <w:rStyle w:val="Hyperlink"/>
            <w:rFonts w:ascii="Times New Roman" w:hAnsi="Times New Roman" w:cs="Times New Roman"/>
            <w:sz w:val="18"/>
            <w:szCs w:val="18"/>
            <w:lang w:val="es"/>
          </w:rPr>
          <w:t xml:space="preserve"> &amp; </w:t>
        </w:r>
        <w:proofErr w:type="spellStart"/>
        <w:r w:rsidRPr="00C50459" w:rsidDel="00000007">
          <w:rPr>
            <w:rStyle w:val="Hyperlink"/>
            <w:rFonts w:ascii="Times New Roman" w:hAnsi="Times New Roman" w:cs="Times New Roman"/>
            <w:sz w:val="18"/>
            <w:szCs w:val="18"/>
            <w:lang w:val="es"/>
          </w:rPr>
          <w:t>Livelihoods</w:t>
        </w:r>
        <w:proofErr w:type="spellEnd"/>
        <w:r w:rsidRPr="00C50459" w:rsidDel="00000007">
          <w:rPr>
            <w:rStyle w:val="Hyperlink"/>
            <w:rFonts w:ascii="Times New Roman" w:hAnsi="Times New Roman" w:cs="Times New Roman"/>
            <w:sz w:val="18"/>
            <w:szCs w:val="18"/>
            <w:lang w:val="es"/>
          </w:rPr>
          <w:t xml:space="preserve"> of </w:t>
        </w:r>
        <w:proofErr w:type="spellStart"/>
        <w:r w:rsidRPr="00C50459" w:rsidDel="00000007">
          <w:rPr>
            <w:rStyle w:val="Hyperlink"/>
            <w:rFonts w:ascii="Times New Roman" w:hAnsi="Times New Roman" w:cs="Times New Roman"/>
            <w:sz w:val="18"/>
            <w:szCs w:val="18"/>
            <w:lang w:val="es"/>
          </w:rPr>
          <w:t>Many</w:t>
        </w:r>
        <w:proofErr w:type="spellEnd"/>
        <w:r w:rsidRPr="00C50459" w:rsidDel="00000007">
          <w:rPr>
            <w:rStyle w:val="Hyperlink"/>
            <w:rFonts w:ascii="Times New Roman" w:hAnsi="Times New Roman" w:cs="Times New Roman"/>
            <w:sz w:val="18"/>
            <w:szCs w:val="18"/>
            <w:lang w:val="es"/>
          </w:rPr>
          <w:t xml:space="preserve"> on </w:t>
        </w:r>
        <w:proofErr w:type="spellStart"/>
        <w:r w:rsidRPr="00C50459" w:rsidDel="00000007">
          <w:rPr>
            <w:rStyle w:val="Hyperlink"/>
            <w:rFonts w:ascii="Times New Roman" w:hAnsi="Times New Roman" w:cs="Times New Roman"/>
            <w:sz w:val="18"/>
            <w:szCs w:val="18"/>
            <w:lang w:val="es"/>
          </w:rPr>
          <w:t>the</w:t>
        </w:r>
        <w:proofErr w:type="spellEnd"/>
        <w:r w:rsidRPr="00C50459" w:rsidDel="00000007">
          <w:rPr>
            <w:rStyle w:val="Hyperlink"/>
            <w:rFonts w:ascii="Times New Roman" w:hAnsi="Times New Roman" w:cs="Times New Roman"/>
            <w:sz w:val="18"/>
            <w:szCs w:val="18"/>
            <w:lang w:val="es"/>
          </w:rPr>
          <w:t xml:space="preserve"> LGBTQ </w:t>
        </w:r>
        <w:proofErr w:type="spellStart"/>
        <w:r w:rsidRPr="00C50459" w:rsidDel="00000007">
          <w:rPr>
            <w:rStyle w:val="Hyperlink"/>
            <w:rFonts w:ascii="Times New Roman" w:hAnsi="Times New Roman" w:cs="Times New Roman"/>
            <w:sz w:val="18"/>
            <w:szCs w:val="18"/>
            <w:lang w:val="es"/>
          </w:rPr>
          <w:t>Community</w:t>
        </w:r>
        <w:proofErr w:type="spellEnd"/>
        <w:r w:rsidRPr="00C50459" w:rsidDel="00000007">
          <w:rPr>
            <w:rStyle w:val="Hyperlink"/>
            <w:rFonts w:ascii="Times New Roman" w:hAnsi="Times New Roman" w:cs="Times New Roman"/>
            <w:sz w:val="18"/>
            <w:szCs w:val="18"/>
            <w:lang w:val="es"/>
          </w:rPr>
          <w:t xml:space="preserve"> are at </w:t>
        </w:r>
        <w:proofErr w:type="spellStart"/>
        <w:r w:rsidRPr="00C50459" w:rsidDel="00000007">
          <w:rPr>
            <w:rStyle w:val="Hyperlink"/>
            <w:rFonts w:ascii="Times New Roman" w:hAnsi="Times New Roman" w:cs="Times New Roman"/>
            <w:sz w:val="18"/>
            <w:szCs w:val="18"/>
            <w:lang w:val="es"/>
          </w:rPr>
          <w:t>Risk</w:t>
        </w:r>
        <w:proofErr w:type="spellEnd"/>
        <w:r w:rsidRPr="00C50459" w:rsidDel="00000007">
          <w:rPr>
            <w:rStyle w:val="Hyperlink"/>
            <w:rFonts w:ascii="Times New Roman" w:hAnsi="Times New Roman" w:cs="Times New Roman"/>
            <w:sz w:val="18"/>
            <w:szCs w:val="18"/>
            <w:lang w:val="es"/>
          </w:rPr>
          <w:t xml:space="preserve"> </w:t>
        </w:r>
        <w:proofErr w:type="spellStart"/>
        <w:r w:rsidRPr="00C50459" w:rsidDel="00000007">
          <w:rPr>
            <w:rStyle w:val="Hyperlink"/>
            <w:rFonts w:ascii="Times New Roman" w:hAnsi="Times New Roman" w:cs="Times New Roman"/>
            <w:sz w:val="18"/>
            <w:szCs w:val="18"/>
            <w:lang w:val="es"/>
          </w:rPr>
          <w:t>Amidst</w:t>
        </w:r>
        <w:proofErr w:type="spellEnd"/>
        <w:r w:rsidRPr="00C50459" w:rsidDel="00000007">
          <w:rPr>
            <w:rStyle w:val="Hyperlink"/>
            <w:rFonts w:ascii="Times New Roman" w:hAnsi="Times New Roman" w:cs="Times New Roman"/>
            <w:sz w:val="18"/>
            <w:szCs w:val="18"/>
            <w:lang w:val="es"/>
          </w:rPr>
          <w:t xml:space="preserve"> COVID-19 Crisis”</w:t>
        </w:r>
      </w:hyperlink>
      <w:r w:rsidRPr="00C50459" w:rsidDel="00000008">
        <w:rPr>
          <w:rFonts w:ascii="Times New Roman" w:hAnsi="Times New Roman" w:cs="Times New Roman"/>
          <w:color w:val="000000" w:themeColor="text1"/>
          <w:sz w:val="18"/>
          <w:szCs w:val="18"/>
          <w:lang w:val="es"/>
        </w:rPr>
        <w:t xml:space="preserve">, Human Rights Campaign Foundation, </w:t>
      </w:r>
      <w:r w:rsidRPr="00C50459">
        <w:rPr>
          <w:rFonts w:ascii="Times New Roman" w:hAnsi="Times New Roman" w:cs="Times New Roman"/>
          <w:color w:val="000000" w:themeColor="text1"/>
          <w:sz w:val="18"/>
          <w:szCs w:val="18"/>
          <w:lang w:val="es"/>
        </w:rPr>
        <w:t>3 de marzo de 2020</w:t>
      </w:r>
      <w:r w:rsidRPr="00C50459" w:rsidDel="00000008">
        <w:rPr>
          <w:rFonts w:ascii="Times New Roman" w:hAnsi="Times New Roman" w:cs="Times New Roman"/>
          <w:color w:val="000000" w:themeColor="text1"/>
          <w:sz w:val="18"/>
          <w:szCs w:val="18"/>
          <w:lang w:val="es"/>
        </w:rPr>
        <w:t xml:space="preserve">; </w:t>
      </w:r>
      <w:proofErr w:type="spellStart"/>
      <w:r w:rsidRPr="00C50459" w:rsidDel="00000008">
        <w:rPr>
          <w:rFonts w:ascii="Times New Roman" w:hAnsi="Times New Roman" w:cs="Times New Roman"/>
          <w:color w:val="000000" w:themeColor="text1"/>
          <w:sz w:val="18"/>
          <w:szCs w:val="18"/>
          <w:lang w:val="es"/>
        </w:rPr>
        <w:t>Edge</w:t>
      </w:r>
      <w:proofErr w:type="spellEnd"/>
      <w:r w:rsidRPr="00C50459" w:rsidDel="00000008">
        <w:rPr>
          <w:rFonts w:ascii="Times New Roman" w:hAnsi="Times New Roman" w:cs="Times New Roman"/>
          <w:color w:val="000000" w:themeColor="text1"/>
          <w:sz w:val="18"/>
          <w:szCs w:val="18"/>
          <w:lang w:val="es"/>
        </w:rPr>
        <w:t xml:space="preserve"> </w:t>
      </w:r>
      <w:proofErr w:type="spellStart"/>
      <w:r w:rsidRPr="00C50459" w:rsidDel="00000008">
        <w:rPr>
          <w:rFonts w:ascii="Times New Roman" w:hAnsi="Times New Roman" w:cs="Times New Roman"/>
          <w:color w:val="000000" w:themeColor="text1"/>
          <w:sz w:val="18"/>
          <w:szCs w:val="18"/>
          <w:lang w:val="es"/>
        </w:rPr>
        <w:t>Effect</w:t>
      </w:r>
      <w:proofErr w:type="spellEnd"/>
      <w:r w:rsidRPr="00C50459" w:rsidDel="00000008">
        <w:rPr>
          <w:rFonts w:ascii="Times New Roman" w:hAnsi="Times New Roman" w:cs="Times New Roman"/>
          <w:color w:val="000000" w:themeColor="text1"/>
          <w:sz w:val="18"/>
          <w:szCs w:val="18"/>
          <w:lang w:val="es"/>
        </w:rPr>
        <w:t>,</w:t>
      </w:r>
      <w:hyperlink r:id="rId9" w:history="1">
        <w:r w:rsidRPr="00C50459" w:rsidDel="00000009">
          <w:rPr>
            <w:rStyle w:val="Hyperlink"/>
            <w:rFonts w:ascii="Times New Roman" w:hAnsi="Times New Roman" w:cs="Times New Roman"/>
            <w:sz w:val="18"/>
            <w:szCs w:val="18"/>
            <w:lang w:val="es"/>
          </w:rPr>
          <w:t xml:space="preserve"> “</w:t>
        </w:r>
        <w:proofErr w:type="spellStart"/>
        <w:r w:rsidRPr="00C50459" w:rsidDel="00000009">
          <w:rPr>
            <w:rStyle w:val="Hyperlink"/>
            <w:rFonts w:ascii="Times New Roman" w:hAnsi="Times New Roman" w:cs="Times New Roman"/>
            <w:sz w:val="18"/>
            <w:szCs w:val="18"/>
            <w:lang w:val="es"/>
          </w:rPr>
          <w:t>Impacts</w:t>
        </w:r>
        <w:proofErr w:type="spellEnd"/>
        <w:r w:rsidRPr="00C50459" w:rsidDel="00000009">
          <w:rPr>
            <w:rStyle w:val="Hyperlink"/>
            <w:rFonts w:ascii="Times New Roman" w:hAnsi="Times New Roman" w:cs="Times New Roman"/>
            <w:sz w:val="18"/>
            <w:szCs w:val="18"/>
            <w:lang w:val="es"/>
          </w:rPr>
          <w:t xml:space="preserve"> of COVID-19 on LGBTIQ+ </w:t>
        </w:r>
        <w:proofErr w:type="spellStart"/>
        <w:r w:rsidRPr="00C50459" w:rsidDel="00000009">
          <w:rPr>
            <w:rStyle w:val="Hyperlink"/>
            <w:rFonts w:ascii="Times New Roman" w:hAnsi="Times New Roman" w:cs="Times New Roman"/>
            <w:sz w:val="18"/>
            <w:szCs w:val="18"/>
            <w:lang w:val="es"/>
          </w:rPr>
          <w:t>people</w:t>
        </w:r>
        <w:proofErr w:type="spellEnd"/>
        <w:r w:rsidRPr="00C50459" w:rsidDel="00000009">
          <w:rPr>
            <w:rStyle w:val="Hyperlink"/>
            <w:rFonts w:ascii="Times New Roman" w:hAnsi="Times New Roman" w:cs="Times New Roman"/>
            <w:sz w:val="18"/>
            <w:szCs w:val="18"/>
            <w:lang w:val="es"/>
          </w:rPr>
          <w:t>”</w:t>
        </w:r>
      </w:hyperlink>
      <w:r w:rsidRPr="00C50459" w:rsidDel="00000010">
        <w:rPr>
          <w:rFonts w:ascii="Times New Roman" w:hAnsi="Times New Roman" w:cs="Times New Roman"/>
          <w:color w:val="000000" w:themeColor="text1"/>
          <w:sz w:val="18"/>
          <w:szCs w:val="18"/>
          <w:lang w:val="es"/>
        </w:rPr>
        <w:t xml:space="preserve">, </w:t>
      </w:r>
      <w:r w:rsidRPr="00C50459">
        <w:rPr>
          <w:rFonts w:ascii="Times New Roman" w:hAnsi="Times New Roman" w:cs="Times New Roman"/>
          <w:color w:val="000000" w:themeColor="text1"/>
          <w:sz w:val="18"/>
          <w:szCs w:val="18"/>
          <w:lang w:val="es"/>
        </w:rPr>
        <w:t>Nota Informativa, 2020</w:t>
      </w:r>
      <w:r w:rsidRPr="00C50459" w:rsidDel="00000011">
        <w:rPr>
          <w:rFonts w:ascii="Times New Roman" w:hAnsi="Times New Roman" w:cs="Times New Roman"/>
          <w:color w:val="000000" w:themeColor="text1"/>
          <w:sz w:val="18"/>
          <w:szCs w:val="18"/>
          <w:lang w:val="es"/>
        </w:rPr>
        <w:t xml:space="preserve">. </w:t>
      </w:r>
    </w:p>
  </w:footnote>
  <w:footnote w:id="11">
    <w:p w14:paraId="1C619DD2" w14:textId="77777777" w:rsidR="00966BDF" w:rsidRPr="00C50459" w:rsidRDefault="00966BDF" w:rsidP="00966BDF">
      <w:pPr>
        <w:pStyle w:val="FootnoteText"/>
        <w:rPr>
          <w:rFonts w:ascii="Times New Roman" w:hAnsi="Times New Roman" w:cs="Times New Roman"/>
          <w:color w:val="000000" w:themeColor="text1"/>
          <w:sz w:val="18"/>
          <w:szCs w:val="18"/>
        </w:rPr>
      </w:pPr>
      <w:r w:rsidRPr="00C50459" w:rsidDel="00000001">
        <w:rPr>
          <w:rFonts w:ascii="Times New Roman" w:hAnsi="Times New Roman" w:cs="Times New Roman"/>
          <w:color w:val="000000" w:themeColor="text1"/>
          <w:sz w:val="18"/>
          <w:szCs w:val="18"/>
          <w:vertAlign w:val="superscript"/>
          <w:lang w:val="es"/>
        </w:rPr>
        <w:footnoteRef/>
      </w:r>
      <w:r w:rsidRPr="00C50459" w:rsidDel="00000002">
        <w:rPr>
          <w:rFonts w:ascii="Times New Roman" w:hAnsi="Times New Roman" w:cs="Times New Roman"/>
          <w:color w:val="000000" w:themeColor="text1"/>
          <w:sz w:val="18"/>
          <w:szCs w:val="18"/>
          <w:lang w:val="es"/>
        </w:rPr>
        <w:t xml:space="preserve"> IE SOGI, </w:t>
      </w:r>
      <w:hyperlink r:id="rId10" w:history="1">
        <w:r w:rsidRPr="00C50459" w:rsidDel="00000003">
          <w:rPr>
            <w:rStyle w:val="Hyperlink"/>
            <w:rFonts w:ascii="Times New Roman" w:hAnsi="Times New Roman" w:cs="Times New Roman"/>
            <w:sz w:val="18"/>
            <w:szCs w:val="18"/>
            <w:lang w:val="es"/>
          </w:rPr>
          <w:t>A/74/181</w:t>
        </w:r>
      </w:hyperlink>
      <w:r w:rsidRPr="00C50459" w:rsidDel="00000004">
        <w:rPr>
          <w:rFonts w:ascii="Times New Roman" w:hAnsi="Times New Roman" w:cs="Times New Roman"/>
          <w:color w:val="000000" w:themeColor="text1"/>
          <w:sz w:val="18"/>
          <w:szCs w:val="18"/>
          <w:lang w:val="es"/>
        </w:rPr>
        <w:t>;</w:t>
      </w:r>
      <w:r w:rsidRPr="00C50459" w:rsidDel="00000005">
        <w:rPr>
          <w:rFonts w:ascii="Times New Roman" w:hAnsi="Times New Roman" w:cs="Times New Roman"/>
          <w:color w:val="000000" w:themeColor="text1"/>
          <w:sz w:val="18"/>
          <w:szCs w:val="18"/>
          <w:lang w:val="es"/>
        </w:rPr>
        <w:t xml:space="preserve"> Lee </w:t>
      </w:r>
      <w:proofErr w:type="spellStart"/>
      <w:r w:rsidRPr="00C50459" w:rsidDel="00000005">
        <w:rPr>
          <w:rFonts w:ascii="Times New Roman" w:hAnsi="Times New Roman" w:cs="Times New Roman"/>
          <w:color w:val="000000" w:themeColor="text1"/>
          <w:sz w:val="18"/>
          <w:szCs w:val="18"/>
          <w:lang w:val="es"/>
        </w:rPr>
        <w:t>Badgett</w:t>
      </w:r>
      <w:proofErr w:type="spellEnd"/>
      <w:r w:rsidRPr="00C50459" w:rsidDel="00000005">
        <w:rPr>
          <w:rFonts w:ascii="Times New Roman" w:hAnsi="Times New Roman" w:cs="Times New Roman"/>
          <w:color w:val="000000" w:themeColor="text1"/>
          <w:sz w:val="18"/>
          <w:szCs w:val="18"/>
          <w:lang w:val="es"/>
        </w:rPr>
        <w:t xml:space="preserve"> </w:t>
      </w:r>
      <w:r w:rsidRPr="00C50459" w:rsidDel="00000006">
        <w:rPr>
          <w:rFonts w:ascii="Times New Roman" w:hAnsi="Times New Roman" w:cs="Times New Roman"/>
          <w:i/>
          <w:color w:val="000000" w:themeColor="text1"/>
          <w:sz w:val="18"/>
          <w:szCs w:val="18"/>
          <w:lang w:val="es"/>
        </w:rPr>
        <w:t>et al</w:t>
      </w:r>
      <w:r w:rsidRPr="00C50459" w:rsidDel="00000007">
        <w:rPr>
          <w:rFonts w:ascii="Times New Roman" w:hAnsi="Times New Roman" w:cs="Times New Roman"/>
          <w:color w:val="000000" w:themeColor="text1"/>
          <w:sz w:val="18"/>
          <w:szCs w:val="18"/>
          <w:lang w:val="es"/>
        </w:rPr>
        <w:t xml:space="preserve">., </w:t>
      </w:r>
      <w:r w:rsidRPr="00C50459" w:rsidDel="00000008">
        <w:rPr>
          <w:rFonts w:ascii="Times New Roman" w:hAnsi="Times New Roman" w:cs="Times New Roman"/>
          <w:i/>
          <w:color w:val="000000" w:themeColor="text1"/>
          <w:sz w:val="18"/>
          <w:szCs w:val="18"/>
          <w:lang w:val="es"/>
        </w:rPr>
        <w:t>supra</w:t>
      </w:r>
      <w:r w:rsidRPr="00C50459" w:rsidDel="00000009">
        <w:rPr>
          <w:rFonts w:ascii="Times New Roman" w:hAnsi="Times New Roman" w:cs="Times New Roman"/>
          <w:color w:val="000000" w:themeColor="text1"/>
          <w:sz w:val="18"/>
          <w:szCs w:val="18"/>
          <w:lang w:val="es"/>
        </w:rPr>
        <w:t xml:space="preserve"> </w:t>
      </w:r>
      <w:r w:rsidRPr="00C50459">
        <w:rPr>
          <w:rFonts w:ascii="Times New Roman" w:hAnsi="Times New Roman" w:cs="Times New Roman"/>
          <w:color w:val="000000" w:themeColor="text1"/>
          <w:sz w:val="18"/>
          <w:szCs w:val="18"/>
          <w:lang w:val="es"/>
        </w:rPr>
        <w:t>nota</w:t>
      </w:r>
      <w:r w:rsidRPr="00C50459" w:rsidDel="00000009">
        <w:rPr>
          <w:rFonts w:ascii="Times New Roman" w:hAnsi="Times New Roman" w:cs="Times New Roman"/>
          <w:color w:val="000000" w:themeColor="text1"/>
          <w:sz w:val="18"/>
          <w:szCs w:val="18"/>
          <w:lang w:val="es"/>
        </w:rPr>
        <w:t xml:space="preserve"> 9. </w:t>
      </w:r>
    </w:p>
  </w:footnote>
  <w:footnote w:id="12">
    <w:p w14:paraId="67F03D01" w14:textId="77777777" w:rsidR="00966BDF" w:rsidRPr="00C50459" w:rsidRDefault="00966BDF" w:rsidP="00966BDF">
      <w:pPr>
        <w:rPr>
          <w:color w:val="000000" w:themeColor="text1"/>
          <w:sz w:val="18"/>
          <w:szCs w:val="18"/>
          <w:lang w:val="fr-CH"/>
        </w:rPr>
      </w:pPr>
      <w:r w:rsidRPr="00C50459" w:rsidDel="00000001">
        <w:rPr>
          <w:color w:val="000000" w:themeColor="text1"/>
          <w:sz w:val="18"/>
          <w:szCs w:val="18"/>
          <w:vertAlign w:val="superscript"/>
          <w:lang w:val="es"/>
        </w:rPr>
        <w:footnoteRef/>
      </w:r>
      <w:r w:rsidRPr="00C50459" w:rsidDel="00000002">
        <w:rPr>
          <w:color w:val="000000" w:themeColor="text1"/>
          <w:sz w:val="18"/>
          <w:szCs w:val="18"/>
          <w:lang w:val="es"/>
        </w:rPr>
        <w:t xml:space="preserve"> Thomson Reuters Foundation</w:t>
      </w:r>
      <w:hyperlink r:id="rId11" w:history="1">
        <w:r w:rsidRPr="00C50459" w:rsidDel="00000003">
          <w:rPr>
            <w:rStyle w:val="Hyperlink"/>
            <w:color w:val="000000" w:themeColor="text1"/>
            <w:sz w:val="18"/>
            <w:szCs w:val="18"/>
            <w:lang w:val="es"/>
          </w:rPr>
          <w:t>,</w:t>
        </w:r>
        <w:r w:rsidRPr="00C50459" w:rsidDel="00000004">
          <w:rPr>
            <w:rStyle w:val="Hyperlink"/>
            <w:sz w:val="18"/>
            <w:szCs w:val="18"/>
            <w:lang w:val="es"/>
          </w:rPr>
          <w:t xml:space="preserve"> “‘</w:t>
        </w:r>
        <w:proofErr w:type="spellStart"/>
        <w:r w:rsidRPr="00C50459" w:rsidDel="00000004">
          <w:rPr>
            <w:rStyle w:val="Hyperlink"/>
            <w:sz w:val="18"/>
            <w:szCs w:val="18"/>
            <w:lang w:val="es"/>
          </w:rPr>
          <w:t>Who</w:t>
        </w:r>
        <w:proofErr w:type="spellEnd"/>
        <w:r w:rsidRPr="00C50459" w:rsidDel="00000004">
          <w:rPr>
            <w:rStyle w:val="Hyperlink"/>
            <w:sz w:val="18"/>
            <w:szCs w:val="18"/>
            <w:lang w:val="es"/>
          </w:rPr>
          <w:t xml:space="preserve"> </w:t>
        </w:r>
        <w:proofErr w:type="spellStart"/>
        <w:r w:rsidRPr="00C50459" w:rsidDel="00000004">
          <w:rPr>
            <w:rStyle w:val="Hyperlink"/>
            <w:sz w:val="18"/>
            <w:szCs w:val="18"/>
            <w:lang w:val="es"/>
          </w:rPr>
          <w:t>is</w:t>
        </w:r>
        <w:proofErr w:type="spellEnd"/>
        <w:r w:rsidRPr="00C50459" w:rsidDel="00000004">
          <w:rPr>
            <w:rStyle w:val="Hyperlink"/>
            <w:sz w:val="18"/>
            <w:szCs w:val="18"/>
            <w:lang w:val="es"/>
          </w:rPr>
          <w:t xml:space="preserve"> </w:t>
        </w:r>
        <w:proofErr w:type="spellStart"/>
        <w:r w:rsidRPr="00C50459" w:rsidDel="00000004">
          <w:rPr>
            <w:rStyle w:val="Hyperlink"/>
            <w:sz w:val="18"/>
            <w:szCs w:val="18"/>
            <w:lang w:val="es"/>
          </w:rPr>
          <w:t>going</w:t>
        </w:r>
        <w:proofErr w:type="spellEnd"/>
        <w:r w:rsidRPr="00C50459" w:rsidDel="00000004">
          <w:rPr>
            <w:rStyle w:val="Hyperlink"/>
            <w:sz w:val="18"/>
            <w:szCs w:val="18"/>
            <w:lang w:val="es"/>
          </w:rPr>
          <w:t xml:space="preserve"> to stand up </w:t>
        </w:r>
        <w:proofErr w:type="spellStart"/>
        <w:r w:rsidRPr="00C50459" w:rsidDel="00000004">
          <w:rPr>
            <w:rStyle w:val="Hyperlink"/>
            <w:sz w:val="18"/>
            <w:szCs w:val="18"/>
            <w:lang w:val="es"/>
          </w:rPr>
          <w:t>for</w:t>
        </w:r>
        <w:proofErr w:type="spellEnd"/>
        <w:r w:rsidRPr="00C50459" w:rsidDel="00000004">
          <w:rPr>
            <w:rStyle w:val="Hyperlink"/>
            <w:sz w:val="18"/>
            <w:szCs w:val="18"/>
            <w:lang w:val="es"/>
          </w:rPr>
          <w:t xml:space="preserve"> </w:t>
        </w:r>
        <w:proofErr w:type="spellStart"/>
        <w:r w:rsidRPr="00C50459" w:rsidDel="00000004">
          <w:rPr>
            <w:rStyle w:val="Hyperlink"/>
            <w:sz w:val="18"/>
            <w:szCs w:val="18"/>
            <w:lang w:val="es"/>
          </w:rPr>
          <w:t>us</w:t>
        </w:r>
        <w:proofErr w:type="spellEnd"/>
        <w:r w:rsidRPr="00C50459" w:rsidDel="00000004">
          <w:rPr>
            <w:rStyle w:val="Hyperlink"/>
            <w:sz w:val="18"/>
            <w:szCs w:val="18"/>
            <w:lang w:val="es"/>
          </w:rPr>
          <w:t xml:space="preserve">?’ A trans sex </w:t>
        </w:r>
        <w:proofErr w:type="spellStart"/>
        <w:r w:rsidRPr="00C50459" w:rsidDel="00000004">
          <w:rPr>
            <w:rStyle w:val="Hyperlink"/>
            <w:sz w:val="18"/>
            <w:szCs w:val="18"/>
            <w:lang w:val="es"/>
          </w:rPr>
          <w:t>worker</w:t>
        </w:r>
        <w:proofErr w:type="spellEnd"/>
        <w:r w:rsidRPr="00C50459" w:rsidDel="00000004">
          <w:rPr>
            <w:rStyle w:val="Hyperlink"/>
            <w:sz w:val="18"/>
            <w:szCs w:val="18"/>
            <w:lang w:val="es"/>
          </w:rPr>
          <w:t xml:space="preserve"> in Uganda on </w:t>
        </w:r>
        <w:proofErr w:type="spellStart"/>
        <w:r w:rsidRPr="00C50459" w:rsidDel="00000004">
          <w:rPr>
            <w:rStyle w:val="Hyperlink"/>
            <w:sz w:val="18"/>
            <w:szCs w:val="18"/>
            <w:lang w:val="es"/>
          </w:rPr>
          <w:t>life</w:t>
        </w:r>
        <w:proofErr w:type="spellEnd"/>
        <w:r w:rsidRPr="00C50459" w:rsidDel="00000004">
          <w:rPr>
            <w:rStyle w:val="Hyperlink"/>
            <w:sz w:val="18"/>
            <w:szCs w:val="18"/>
            <w:lang w:val="es"/>
          </w:rPr>
          <w:t xml:space="preserve"> </w:t>
        </w:r>
        <w:proofErr w:type="spellStart"/>
        <w:r w:rsidRPr="00C50459" w:rsidDel="00000004">
          <w:rPr>
            <w:rStyle w:val="Hyperlink"/>
            <w:sz w:val="18"/>
            <w:szCs w:val="18"/>
            <w:lang w:val="es"/>
          </w:rPr>
          <w:t>under</w:t>
        </w:r>
        <w:proofErr w:type="spellEnd"/>
        <w:r w:rsidRPr="00C50459" w:rsidDel="00000004">
          <w:rPr>
            <w:rStyle w:val="Hyperlink"/>
            <w:sz w:val="18"/>
            <w:szCs w:val="18"/>
            <w:lang w:val="es"/>
          </w:rPr>
          <w:t xml:space="preserve"> </w:t>
        </w:r>
        <w:proofErr w:type="spellStart"/>
        <w:r w:rsidRPr="00C50459" w:rsidDel="00000004">
          <w:rPr>
            <w:rStyle w:val="Hyperlink"/>
            <w:sz w:val="18"/>
            <w:szCs w:val="18"/>
            <w:lang w:val="es"/>
          </w:rPr>
          <w:t>lockdown</w:t>
        </w:r>
        <w:proofErr w:type="spellEnd"/>
        <w:r w:rsidRPr="00C50459" w:rsidDel="00000004">
          <w:rPr>
            <w:rStyle w:val="Hyperlink"/>
            <w:sz w:val="18"/>
            <w:szCs w:val="18"/>
            <w:lang w:val="es"/>
          </w:rPr>
          <w:t>”</w:t>
        </w:r>
      </w:hyperlink>
      <w:r w:rsidRPr="00C50459" w:rsidDel="00000005">
        <w:rPr>
          <w:color w:val="000000" w:themeColor="text1"/>
          <w:sz w:val="18"/>
          <w:szCs w:val="18"/>
          <w:lang w:val="es"/>
        </w:rPr>
        <w:t xml:space="preserve">, </w:t>
      </w:r>
      <w:proofErr w:type="spellStart"/>
      <w:r w:rsidRPr="00C50459" w:rsidDel="00000005">
        <w:rPr>
          <w:color w:val="000000" w:themeColor="text1"/>
          <w:sz w:val="18"/>
          <w:szCs w:val="18"/>
          <w:lang w:val="es"/>
        </w:rPr>
        <w:t>Openly</w:t>
      </w:r>
      <w:proofErr w:type="spellEnd"/>
      <w:r w:rsidRPr="00C50459" w:rsidDel="00000005">
        <w:rPr>
          <w:color w:val="000000" w:themeColor="text1"/>
          <w:sz w:val="18"/>
          <w:szCs w:val="18"/>
          <w:lang w:val="es"/>
        </w:rPr>
        <w:t xml:space="preserve">, 14 </w:t>
      </w:r>
      <w:r w:rsidRPr="00C50459">
        <w:rPr>
          <w:color w:val="000000" w:themeColor="text1"/>
          <w:sz w:val="18"/>
          <w:szCs w:val="18"/>
          <w:lang w:val="es"/>
        </w:rPr>
        <w:t>de abril de</w:t>
      </w:r>
      <w:r w:rsidRPr="00C50459" w:rsidDel="00000005">
        <w:rPr>
          <w:color w:val="000000" w:themeColor="text1"/>
          <w:sz w:val="18"/>
          <w:szCs w:val="18"/>
          <w:lang w:val="es"/>
        </w:rPr>
        <w:t xml:space="preserve"> 2020. </w:t>
      </w:r>
      <w:r w:rsidRPr="00C50459">
        <w:rPr>
          <w:i/>
          <w:color w:val="000000" w:themeColor="text1"/>
          <w:sz w:val="18"/>
          <w:szCs w:val="18"/>
          <w:lang w:val="es"/>
        </w:rPr>
        <w:t>Ver también</w:t>
      </w:r>
      <w:r w:rsidRPr="00C50459" w:rsidDel="00000007">
        <w:rPr>
          <w:color w:val="000000" w:themeColor="text1"/>
          <w:sz w:val="18"/>
          <w:szCs w:val="18"/>
          <w:lang w:val="es"/>
        </w:rPr>
        <w:t xml:space="preserve"> ILGA LAC, </w:t>
      </w:r>
      <w:hyperlink r:id="rId12" w:history="1">
        <w:r w:rsidRPr="00C50459" w:rsidDel="00000008">
          <w:rPr>
            <w:rStyle w:val="Hyperlink"/>
            <w:sz w:val="18"/>
            <w:szCs w:val="18"/>
            <w:lang w:val="es"/>
          </w:rPr>
          <w:t>“PRONUNCIAMIENTO DE ILGALAC ANTE LA PANDEMIA DE CORONAVIRUS Y SUS EFECTOS EN NUESTRA REGIÓN”</w:t>
        </w:r>
      </w:hyperlink>
      <w:r w:rsidRPr="00C50459" w:rsidDel="00000009">
        <w:rPr>
          <w:color w:val="000000" w:themeColor="text1"/>
          <w:sz w:val="18"/>
          <w:szCs w:val="18"/>
          <w:lang w:val="es"/>
        </w:rPr>
        <w:t xml:space="preserve">, 20 </w:t>
      </w:r>
      <w:r w:rsidRPr="00C50459">
        <w:rPr>
          <w:color w:val="000000" w:themeColor="text1"/>
          <w:sz w:val="18"/>
          <w:szCs w:val="18"/>
          <w:lang w:val="es"/>
        </w:rPr>
        <w:t>de marzo de</w:t>
      </w:r>
      <w:r w:rsidRPr="00C50459" w:rsidDel="00000009">
        <w:rPr>
          <w:color w:val="000000" w:themeColor="text1"/>
          <w:sz w:val="18"/>
          <w:szCs w:val="18"/>
          <w:lang w:val="es"/>
        </w:rPr>
        <w:t xml:space="preserve"> 2020. </w:t>
      </w:r>
    </w:p>
  </w:footnote>
  <w:footnote w:id="13">
    <w:p w14:paraId="066146A7" w14:textId="77777777" w:rsidR="00966BDF" w:rsidRPr="00C50459" w:rsidRDefault="00966BDF" w:rsidP="00966BDF">
      <w:pPr>
        <w:rPr>
          <w:color w:val="000000" w:themeColor="text1"/>
          <w:sz w:val="18"/>
          <w:szCs w:val="18"/>
        </w:rPr>
      </w:pPr>
      <w:r w:rsidRPr="00C50459" w:rsidDel="00000001">
        <w:rPr>
          <w:color w:val="000000" w:themeColor="text1"/>
          <w:sz w:val="18"/>
          <w:szCs w:val="18"/>
          <w:vertAlign w:val="superscript"/>
          <w:lang w:val="es"/>
        </w:rPr>
        <w:footnoteRef/>
      </w:r>
      <w:r w:rsidRPr="00C50459" w:rsidDel="00000002">
        <w:rPr>
          <w:color w:val="000000" w:themeColor="text1"/>
          <w:sz w:val="18"/>
          <w:szCs w:val="18"/>
          <w:lang w:val="es"/>
        </w:rPr>
        <w:t xml:space="preserve"> IE SOGI, </w:t>
      </w:r>
      <w:r w:rsidRPr="00C50459" w:rsidDel="00000003">
        <w:rPr>
          <w:i/>
          <w:color w:val="000000" w:themeColor="text1"/>
          <w:sz w:val="18"/>
          <w:szCs w:val="18"/>
          <w:lang w:val="es"/>
        </w:rPr>
        <w:t>supra</w:t>
      </w:r>
      <w:r w:rsidRPr="00C50459" w:rsidDel="00000004">
        <w:rPr>
          <w:color w:val="000000" w:themeColor="text1"/>
          <w:sz w:val="18"/>
          <w:szCs w:val="18"/>
          <w:lang w:val="es"/>
        </w:rPr>
        <w:t xml:space="preserve"> </w:t>
      </w:r>
      <w:r w:rsidRPr="00C50459">
        <w:rPr>
          <w:color w:val="000000" w:themeColor="text1"/>
          <w:sz w:val="18"/>
          <w:szCs w:val="18"/>
          <w:lang w:val="es"/>
        </w:rPr>
        <w:t>nota</w:t>
      </w:r>
      <w:r w:rsidRPr="00C50459" w:rsidDel="00000004">
        <w:rPr>
          <w:color w:val="000000" w:themeColor="text1"/>
          <w:sz w:val="18"/>
          <w:szCs w:val="18"/>
          <w:lang w:val="es"/>
        </w:rPr>
        <w:t xml:space="preserve"> 11</w:t>
      </w:r>
      <w:r w:rsidRPr="00C50459" w:rsidDel="00000005">
        <w:rPr>
          <w:color w:val="000000" w:themeColor="text1"/>
          <w:sz w:val="18"/>
          <w:szCs w:val="18"/>
          <w:lang w:val="es"/>
        </w:rPr>
        <w:t xml:space="preserve">, para. </w:t>
      </w:r>
      <w:r w:rsidRPr="00C50459" w:rsidDel="00000006">
        <w:rPr>
          <w:color w:val="000000" w:themeColor="text1"/>
          <w:sz w:val="18"/>
          <w:szCs w:val="18"/>
          <w:lang w:val="es"/>
        </w:rPr>
        <w:t xml:space="preserve">14 -18; </w:t>
      </w:r>
      <w:hyperlink r:id="rId13" w:history="1">
        <w:r w:rsidRPr="00C50459" w:rsidDel="00000007">
          <w:rPr>
            <w:rStyle w:val="Hyperlink"/>
            <w:sz w:val="18"/>
            <w:szCs w:val="18"/>
            <w:lang w:val="es"/>
          </w:rPr>
          <w:t>A/HRC/43/43</w:t>
        </w:r>
      </w:hyperlink>
      <w:r w:rsidRPr="00C50459" w:rsidDel="00000008">
        <w:rPr>
          <w:color w:val="000000" w:themeColor="text1"/>
          <w:sz w:val="18"/>
          <w:szCs w:val="18"/>
          <w:lang w:val="es"/>
        </w:rPr>
        <w:t>, para. 44</w:t>
      </w:r>
      <w:r w:rsidRPr="00C50459" w:rsidDel="00000009">
        <w:rPr>
          <w:color w:val="000000" w:themeColor="text1"/>
          <w:sz w:val="18"/>
          <w:szCs w:val="18"/>
          <w:lang w:val="es"/>
        </w:rPr>
        <w:t xml:space="preserve">. </w:t>
      </w:r>
    </w:p>
  </w:footnote>
  <w:footnote w:id="14">
    <w:p w14:paraId="5CE02EBC" w14:textId="77777777" w:rsidR="00966BDF" w:rsidRPr="00C50459" w:rsidRDefault="00966BDF" w:rsidP="00966BDF">
      <w:pPr>
        <w:rPr>
          <w:color w:val="000000" w:themeColor="text1"/>
          <w:sz w:val="18"/>
          <w:szCs w:val="18"/>
        </w:rPr>
      </w:pPr>
      <w:r w:rsidRPr="00C50459" w:rsidDel="00000001">
        <w:rPr>
          <w:color w:val="000000" w:themeColor="text1"/>
          <w:sz w:val="18"/>
          <w:szCs w:val="18"/>
          <w:vertAlign w:val="superscript"/>
          <w:lang w:val="es"/>
        </w:rPr>
        <w:footnoteRef/>
      </w:r>
      <w:r w:rsidRPr="00C50459" w:rsidDel="00000002">
        <w:rPr>
          <w:color w:val="000000" w:themeColor="text1"/>
          <w:sz w:val="18"/>
          <w:szCs w:val="18"/>
          <w:lang w:val="es"/>
        </w:rPr>
        <w:t xml:space="preserve"> </w:t>
      </w:r>
      <w:proofErr w:type="spellStart"/>
      <w:r w:rsidRPr="00C50459" w:rsidDel="00000002">
        <w:rPr>
          <w:color w:val="000000" w:themeColor="text1"/>
          <w:sz w:val="18"/>
          <w:szCs w:val="18"/>
          <w:lang w:val="es"/>
        </w:rPr>
        <w:t>Surysarathi</w:t>
      </w:r>
      <w:proofErr w:type="spellEnd"/>
      <w:r w:rsidRPr="00C50459" w:rsidDel="00000002">
        <w:rPr>
          <w:color w:val="000000" w:themeColor="text1"/>
          <w:sz w:val="18"/>
          <w:szCs w:val="18"/>
          <w:lang w:val="es"/>
        </w:rPr>
        <w:t xml:space="preserve"> </w:t>
      </w:r>
      <w:proofErr w:type="spellStart"/>
      <w:r w:rsidRPr="00C50459" w:rsidDel="00000002">
        <w:rPr>
          <w:color w:val="000000" w:themeColor="text1"/>
          <w:sz w:val="18"/>
          <w:szCs w:val="18"/>
          <w:lang w:val="es"/>
        </w:rPr>
        <w:t>Bhattacharya</w:t>
      </w:r>
      <w:proofErr w:type="spellEnd"/>
      <w:r w:rsidRPr="00C50459" w:rsidDel="00000002">
        <w:rPr>
          <w:color w:val="000000" w:themeColor="text1"/>
          <w:sz w:val="18"/>
          <w:szCs w:val="18"/>
          <w:lang w:val="es"/>
        </w:rPr>
        <w:t xml:space="preserve">, </w:t>
      </w:r>
      <w:hyperlink r:id="rId14" w:history="1">
        <w:r w:rsidRPr="00C50459" w:rsidDel="00000003">
          <w:rPr>
            <w:rStyle w:val="Hyperlink"/>
            <w:sz w:val="18"/>
            <w:szCs w:val="18"/>
            <w:lang w:val="es"/>
          </w:rPr>
          <w:t xml:space="preserve">“Coronavirus </w:t>
        </w:r>
        <w:proofErr w:type="spellStart"/>
        <w:r w:rsidRPr="00C50459" w:rsidDel="00000003">
          <w:rPr>
            <w:rStyle w:val="Hyperlink"/>
            <w:sz w:val="18"/>
            <w:szCs w:val="18"/>
            <w:lang w:val="es"/>
          </w:rPr>
          <w:t>Outbreak</w:t>
        </w:r>
        <w:proofErr w:type="spellEnd"/>
        <w:r w:rsidRPr="00C50459" w:rsidDel="00000003">
          <w:rPr>
            <w:rStyle w:val="Hyperlink"/>
            <w:sz w:val="18"/>
            <w:szCs w:val="18"/>
            <w:lang w:val="es"/>
          </w:rPr>
          <w:t xml:space="preserve">: Trans </w:t>
        </w:r>
        <w:proofErr w:type="spellStart"/>
        <w:r w:rsidRPr="00C50459" w:rsidDel="00000003">
          <w:rPr>
            <w:rStyle w:val="Hyperlink"/>
            <w:sz w:val="18"/>
            <w:szCs w:val="18"/>
            <w:lang w:val="es"/>
          </w:rPr>
          <w:t>community’s</w:t>
        </w:r>
        <w:proofErr w:type="spellEnd"/>
        <w:r w:rsidRPr="00C50459" w:rsidDel="00000003">
          <w:rPr>
            <w:rStyle w:val="Hyperlink"/>
            <w:sz w:val="18"/>
            <w:szCs w:val="18"/>
            <w:lang w:val="es"/>
          </w:rPr>
          <w:t xml:space="preserve"> </w:t>
        </w:r>
        <w:proofErr w:type="spellStart"/>
        <w:r w:rsidRPr="00C50459" w:rsidDel="00000003">
          <w:rPr>
            <w:rStyle w:val="Hyperlink"/>
            <w:sz w:val="18"/>
            <w:szCs w:val="18"/>
            <w:lang w:val="es"/>
          </w:rPr>
          <w:t>lives</w:t>
        </w:r>
        <w:proofErr w:type="spellEnd"/>
        <w:r w:rsidRPr="00C50459" w:rsidDel="00000003">
          <w:rPr>
            <w:rStyle w:val="Hyperlink"/>
            <w:sz w:val="18"/>
            <w:szCs w:val="18"/>
            <w:lang w:val="es"/>
          </w:rPr>
          <w:t xml:space="preserve"> come to </w:t>
        </w:r>
        <w:proofErr w:type="spellStart"/>
        <w:r w:rsidRPr="00C50459" w:rsidDel="00000003">
          <w:rPr>
            <w:rStyle w:val="Hyperlink"/>
            <w:sz w:val="18"/>
            <w:szCs w:val="18"/>
            <w:lang w:val="es"/>
          </w:rPr>
          <w:t>standstill</w:t>
        </w:r>
        <w:proofErr w:type="spellEnd"/>
        <w:r w:rsidRPr="00C50459" w:rsidDel="00000003">
          <w:rPr>
            <w:rStyle w:val="Hyperlink"/>
            <w:sz w:val="18"/>
            <w:szCs w:val="18"/>
            <w:lang w:val="es"/>
          </w:rPr>
          <w:t xml:space="preserve">, </w:t>
        </w:r>
        <w:proofErr w:type="spellStart"/>
        <w:r w:rsidRPr="00C50459" w:rsidDel="00000003">
          <w:rPr>
            <w:rStyle w:val="Hyperlink"/>
            <w:sz w:val="18"/>
            <w:szCs w:val="18"/>
            <w:lang w:val="es"/>
          </w:rPr>
          <w:t>but</w:t>
        </w:r>
        <w:proofErr w:type="spellEnd"/>
        <w:r w:rsidRPr="00C50459" w:rsidDel="00000003">
          <w:rPr>
            <w:rStyle w:val="Hyperlink"/>
            <w:sz w:val="18"/>
            <w:szCs w:val="18"/>
            <w:lang w:val="es"/>
          </w:rPr>
          <w:t xml:space="preserve"> hope </w:t>
        </w:r>
        <w:proofErr w:type="spellStart"/>
        <w:r w:rsidRPr="00C50459" w:rsidDel="00000003">
          <w:rPr>
            <w:rStyle w:val="Hyperlink"/>
            <w:sz w:val="18"/>
            <w:szCs w:val="18"/>
            <w:lang w:val="es"/>
          </w:rPr>
          <w:t>presents</w:t>
        </w:r>
        <w:proofErr w:type="spellEnd"/>
        <w:r w:rsidRPr="00C50459" w:rsidDel="00000003">
          <w:rPr>
            <w:rStyle w:val="Hyperlink"/>
            <w:sz w:val="18"/>
            <w:szCs w:val="18"/>
            <w:lang w:val="es"/>
          </w:rPr>
          <w:t xml:space="preserve"> </w:t>
        </w:r>
        <w:proofErr w:type="spellStart"/>
        <w:r w:rsidRPr="00C50459" w:rsidDel="00000003">
          <w:rPr>
            <w:rStyle w:val="Hyperlink"/>
            <w:sz w:val="18"/>
            <w:szCs w:val="18"/>
            <w:lang w:val="es"/>
          </w:rPr>
          <w:t>itself</w:t>
        </w:r>
        <w:proofErr w:type="spellEnd"/>
        <w:r w:rsidRPr="00C50459" w:rsidDel="00000003">
          <w:rPr>
            <w:rStyle w:val="Hyperlink"/>
            <w:sz w:val="18"/>
            <w:szCs w:val="18"/>
            <w:lang w:val="es"/>
          </w:rPr>
          <w:t xml:space="preserve"> </w:t>
        </w:r>
        <w:proofErr w:type="spellStart"/>
        <w:r w:rsidRPr="00C50459" w:rsidDel="00000003">
          <w:rPr>
            <w:rStyle w:val="Hyperlink"/>
            <w:sz w:val="18"/>
            <w:szCs w:val="18"/>
            <w:lang w:val="es"/>
          </w:rPr>
          <w:t>through</w:t>
        </w:r>
        <w:proofErr w:type="spellEnd"/>
        <w:r w:rsidRPr="00C50459" w:rsidDel="00000003">
          <w:rPr>
            <w:rStyle w:val="Hyperlink"/>
            <w:sz w:val="18"/>
            <w:szCs w:val="18"/>
            <w:lang w:val="es"/>
          </w:rPr>
          <w:t xml:space="preserve"> </w:t>
        </w:r>
        <w:proofErr w:type="spellStart"/>
        <w:r w:rsidRPr="00C50459" w:rsidDel="00000003">
          <w:rPr>
            <w:rStyle w:val="Hyperlink"/>
            <w:sz w:val="18"/>
            <w:szCs w:val="18"/>
            <w:lang w:val="es"/>
          </w:rPr>
          <w:t>welfare</w:t>
        </w:r>
        <w:proofErr w:type="spellEnd"/>
        <w:r w:rsidRPr="00C50459" w:rsidDel="00000003">
          <w:rPr>
            <w:rStyle w:val="Hyperlink"/>
            <w:sz w:val="18"/>
            <w:szCs w:val="18"/>
            <w:lang w:val="es"/>
          </w:rPr>
          <w:t xml:space="preserve"> </w:t>
        </w:r>
        <w:proofErr w:type="spellStart"/>
        <w:r w:rsidRPr="00C50459" w:rsidDel="00000003">
          <w:rPr>
            <w:rStyle w:val="Hyperlink"/>
            <w:sz w:val="18"/>
            <w:szCs w:val="18"/>
            <w:lang w:val="es"/>
          </w:rPr>
          <w:t>initiatives</w:t>
        </w:r>
        <w:proofErr w:type="spellEnd"/>
        <w:r w:rsidRPr="00C50459" w:rsidDel="00000003">
          <w:rPr>
            <w:rStyle w:val="Hyperlink"/>
            <w:sz w:val="18"/>
            <w:szCs w:val="18"/>
            <w:lang w:val="es"/>
          </w:rPr>
          <w:t>”</w:t>
        </w:r>
      </w:hyperlink>
      <w:r w:rsidRPr="00C50459" w:rsidDel="00000004">
        <w:rPr>
          <w:color w:val="000000" w:themeColor="text1"/>
          <w:sz w:val="18"/>
          <w:szCs w:val="18"/>
          <w:lang w:val="es"/>
        </w:rPr>
        <w:t xml:space="preserve">, </w:t>
      </w:r>
      <w:proofErr w:type="spellStart"/>
      <w:r w:rsidRPr="00C50459" w:rsidDel="00000004">
        <w:rPr>
          <w:color w:val="000000" w:themeColor="text1"/>
          <w:sz w:val="18"/>
          <w:szCs w:val="18"/>
          <w:lang w:val="es"/>
        </w:rPr>
        <w:t>FirstPost</w:t>
      </w:r>
      <w:proofErr w:type="spellEnd"/>
      <w:r w:rsidRPr="00C50459" w:rsidDel="00000004">
        <w:rPr>
          <w:color w:val="000000" w:themeColor="text1"/>
          <w:sz w:val="18"/>
          <w:szCs w:val="18"/>
          <w:lang w:val="es"/>
        </w:rPr>
        <w:t xml:space="preserve">, </w:t>
      </w:r>
      <w:r w:rsidRPr="00C50459">
        <w:rPr>
          <w:color w:val="000000" w:themeColor="text1"/>
          <w:sz w:val="18"/>
          <w:szCs w:val="18"/>
          <w:lang w:val="es"/>
        </w:rPr>
        <w:t>19 de abril de 2020</w:t>
      </w:r>
      <w:r w:rsidRPr="00C50459" w:rsidDel="00000004">
        <w:rPr>
          <w:color w:val="000000" w:themeColor="text1"/>
          <w:sz w:val="18"/>
          <w:szCs w:val="18"/>
          <w:lang w:val="es"/>
        </w:rPr>
        <w:t xml:space="preserve">; </w:t>
      </w:r>
      <w:proofErr w:type="spellStart"/>
      <w:r w:rsidRPr="00C50459" w:rsidDel="00000004">
        <w:rPr>
          <w:color w:val="000000" w:themeColor="text1"/>
          <w:sz w:val="18"/>
          <w:szCs w:val="18"/>
          <w:lang w:val="es"/>
        </w:rPr>
        <w:t>Kyle</w:t>
      </w:r>
      <w:proofErr w:type="spellEnd"/>
      <w:r w:rsidRPr="00C50459" w:rsidDel="00000004">
        <w:rPr>
          <w:color w:val="000000" w:themeColor="text1"/>
          <w:sz w:val="18"/>
          <w:szCs w:val="18"/>
          <w:lang w:val="es"/>
        </w:rPr>
        <w:t xml:space="preserve"> </w:t>
      </w:r>
      <w:proofErr w:type="spellStart"/>
      <w:r w:rsidRPr="00C50459" w:rsidDel="00000004">
        <w:rPr>
          <w:color w:val="000000" w:themeColor="text1"/>
          <w:sz w:val="18"/>
          <w:szCs w:val="18"/>
          <w:lang w:val="es"/>
        </w:rPr>
        <w:t>Knight</w:t>
      </w:r>
      <w:proofErr w:type="spellEnd"/>
      <w:r w:rsidRPr="00C50459" w:rsidDel="00000004">
        <w:rPr>
          <w:color w:val="000000" w:themeColor="text1"/>
          <w:sz w:val="18"/>
          <w:szCs w:val="18"/>
          <w:lang w:val="es"/>
        </w:rPr>
        <w:t xml:space="preserve">, Human Rights </w:t>
      </w:r>
      <w:proofErr w:type="spellStart"/>
      <w:r w:rsidRPr="00C50459" w:rsidDel="00000004">
        <w:rPr>
          <w:color w:val="000000" w:themeColor="text1"/>
          <w:sz w:val="18"/>
          <w:szCs w:val="18"/>
          <w:lang w:val="es"/>
        </w:rPr>
        <w:t>Watch</w:t>
      </w:r>
      <w:proofErr w:type="spellEnd"/>
      <w:r w:rsidRPr="00C50459" w:rsidDel="00000004">
        <w:rPr>
          <w:color w:val="000000" w:themeColor="text1"/>
          <w:sz w:val="18"/>
          <w:szCs w:val="18"/>
          <w:lang w:val="es"/>
        </w:rPr>
        <w:t xml:space="preserve">, </w:t>
      </w:r>
      <w:hyperlink r:id="rId15" w:history="1">
        <w:r w:rsidRPr="00C50459" w:rsidDel="00000005">
          <w:rPr>
            <w:rStyle w:val="Hyperlink"/>
            <w:sz w:val="18"/>
            <w:szCs w:val="18"/>
            <w:lang w:val="es"/>
          </w:rPr>
          <w:t xml:space="preserve">“Bangladesh </w:t>
        </w:r>
        <w:proofErr w:type="spellStart"/>
        <w:r w:rsidRPr="00C50459" w:rsidDel="00000005">
          <w:rPr>
            <w:rStyle w:val="Hyperlink"/>
            <w:sz w:val="18"/>
            <w:szCs w:val="18"/>
            <w:lang w:val="es"/>
          </w:rPr>
          <w:t>Should</w:t>
        </w:r>
        <w:proofErr w:type="spellEnd"/>
        <w:r w:rsidRPr="00C50459" w:rsidDel="00000005">
          <w:rPr>
            <w:rStyle w:val="Hyperlink"/>
            <w:sz w:val="18"/>
            <w:szCs w:val="18"/>
            <w:lang w:val="es"/>
          </w:rPr>
          <w:t xml:space="preserve"> </w:t>
        </w:r>
        <w:proofErr w:type="spellStart"/>
        <w:r w:rsidRPr="00C50459" w:rsidDel="00000005">
          <w:rPr>
            <w:rStyle w:val="Hyperlink"/>
            <w:sz w:val="18"/>
            <w:szCs w:val="18"/>
            <w:lang w:val="es"/>
          </w:rPr>
          <w:t>Support</w:t>
        </w:r>
        <w:proofErr w:type="spellEnd"/>
        <w:r w:rsidRPr="00C50459" w:rsidDel="00000005">
          <w:rPr>
            <w:rStyle w:val="Hyperlink"/>
            <w:sz w:val="18"/>
            <w:szCs w:val="18"/>
            <w:lang w:val="es"/>
          </w:rPr>
          <w:t xml:space="preserve"> </w:t>
        </w:r>
        <w:proofErr w:type="spellStart"/>
        <w:r w:rsidRPr="00C50459" w:rsidDel="00000005">
          <w:rPr>
            <w:rStyle w:val="Hyperlink"/>
            <w:sz w:val="18"/>
            <w:szCs w:val="18"/>
            <w:lang w:val="es"/>
          </w:rPr>
          <w:t>Hijra</w:t>
        </w:r>
        <w:proofErr w:type="spellEnd"/>
        <w:r w:rsidRPr="00C50459" w:rsidDel="00000005">
          <w:rPr>
            <w:rStyle w:val="Hyperlink"/>
            <w:sz w:val="18"/>
            <w:szCs w:val="18"/>
            <w:lang w:val="es"/>
          </w:rPr>
          <w:t xml:space="preserve">, Trans </w:t>
        </w:r>
        <w:proofErr w:type="spellStart"/>
        <w:r w:rsidRPr="00C50459" w:rsidDel="00000005">
          <w:rPr>
            <w:rStyle w:val="Hyperlink"/>
            <w:sz w:val="18"/>
            <w:szCs w:val="18"/>
            <w:lang w:val="es"/>
          </w:rPr>
          <w:t>Under</w:t>
        </w:r>
        <w:proofErr w:type="spellEnd"/>
        <w:r w:rsidRPr="00C50459" w:rsidDel="00000005">
          <w:rPr>
            <w:rStyle w:val="Hyperlink"/>
            <w:sz w:val="18"/>
            <w:szCs w:val="18"/>
            <w:lang w:val="es"/>
          </w:rPr>
          <w:t xml:space="preserve"> Covid-19”</w:t>
        </w:r>
      </w:hyperlink>
      <w:r w:rsidRPr="00C50459" w:rsidDel="00000006">
        <w:rPr>
          <w:color w:val="000000" w:themeColor="text1"/>
          <w:sz w:val="18"/>
          <w:szCs w:val="18"/>
          <w:lang w:val="es"/>
        </w:rPr>
        <w:t xml:space="preserve">, 8 </w:t>
      </w:r>
      <w:r w:rsidRPr="00C50459">
        <w:rPr>
          <w:color w:val="000000" w:themeColor="text1"/>
          <w:sz w:val="18"/>
          <w:szCs w:val="18"/>
          <w:lang w:val="es"/>
        </w:rPr>
        <w:t>de mayo de</w:t>
      </w:r>
      <w:r w:rsidRPr="00C50459" w:rsidDel="00000006">
        <w:rPr>
          <w:color w:val="000000" w:themeColor="text1"/>
          <w:sz w:val="18"/>
          <w:szCs w:val="18"/>
          <w:lang w:val="es"/>
        </w:rPr>
        <w:t xml:space="preserve"> 2020. </w:t>
      </w:r>
    </w:p>
  </w:footnote>
  <w:footnote w:id="15">
    <w:p w14:paraId="1F6DD9BC" w14:textId="77777777" w:rsidR="00966BDF" w:rsidRPr="00C50459" w:rsidRDefault="00966BDF" w:rsidP="00966BDF">
      <w:pPr>
        <w:pBdr>
          <w:top w:val="nil"/>
          <w:left w:val="nil"/>
          <w:bottom w:val="nil"/>
          <w:right w:val="nil"/>
          <w:between w:val="nil"/>
        </w:pBdr>
        <w:rPr>
          <w:color w:val="000000" w:themeColor="text1"/>
          <w:sz w:val="18"/>
          <w:szCs w:val="18"/>
        </w:rPr>
      </w:pPr>
      <w:r w:rsidRPr="00C50459" w:rsidDel="00000001">
        <w:rPr>
          <w:color w:val="000000" w:themeColor="text1"/>
          <w:sz w:val="18"/>
          <w:szCs w:val="18"/>
          <w:vertAlign w:val="superscript"/>
          <w:lang w:val="es"/>
        </w:rPr>
        <w:footnoteRef/>
      </w:r>
      <w:r w:rsidRPr="00C50459" w:rsidDel="00000002">
        <w:rPr>
          <w:color w:val="000000" w:themeColor="text1"/>
          <w:sz w:val="18"/>
          <w:szCs w:val="18"/>
          <w:lang w:val="es"/>
        </w:rPr>
        <w:t xml:space="preserve"> IE SOGI, </w:t>
      </w:r>
      <w:r w:rsidRPr="00C50459" w:rsidDel="00000003">
        <w:rPr>
          <w:i/>
          <w:color w:val="000000" w:themeColor="text1"/>
          <w:sz w:val="18"/>
          <w:szCs w:val="18"/>
          <w:lang w:val="es"/>
        </w:rPr>
        <w:t>supra</w:t>
      </w:r>
      <w:r w:rsidRPr="00C50459" w:rsidDel="00000004">
        <w:rPr>
          <w:color w:val="000000" w:themeColor="text1"/>
          <w:sz w:val="18"/>
          <w:szCs w:val="18"/>
          <w:lang w:val="es"/>
        </w:rPr>
        <w:t xml:space="preserve"> </w:t>
      </w:r>
      <w:r w:rsidRPr="00C50459">
        <w:rPr>
          <w:color w:val="000000" w:themeColor="text1"/>
          <w:sz w:val="18"/>
          <w:szCs w:val="18"/>
          <w:lang w:val="es"/>
        </w:rPr>
        <w:t>nota</w:t>
      </w:r>
      <w:r w:rsidRPr="00C50459" w:rsidDel="00000004">
        <w:rPr>
          <w:color w:val="000000" w:themeColor="text1"/>
          <w:sz w:val="18"/>
          <w:szCs w:val="18"/>
          <w:lang w:val="es"/>
        </w:rPr>
        <w:t xml:space="preserve"> 11, paras. </w:t>
      </w:r>
      <w:r w:rsidRPr="00C50459" w:rsidDel="00000005">
        <w:rPr>
          <w:color w:val="000000" w:themeColor="text1"/>
          <w:sz w:val="18"/>
          <w:szCs w:val="18"/>
          <w:lang w:val="es"/>
        </w:rPr>
        <w:t xml:space="preserve">45-49; </w:t>
      </w:r>
      <w:r w:rsidRPr="00C50459" w:rsidDel="00000006">
        <w:rPr>
          <w:color w:val="000000" w:themeColor="text1"/>
          <w:sz w:val="18"/>
          <w:szCs w:val="18"/>
          <w:lang w:val="es"/>
        </w:rPr>
        <w:t>Angela Houghton</w:t>
      </w:r>
      <w:r w:rsidRPr="00C50459" w:rsidDel="00000007">
        <w:rPr>
          <w:color w:val="000000" w:themeColor="text1"/>
          <w:sz w:val="18"/>
          <w:szCs w:val="18"/>
          <w:lang w:val="es"/>
        </w:rPr>
        <w:t>, </w:t>
      </w:r>
      <w:hyperlink r:id="rId16" w:history="1">
        <w:r w:rsidRPr="00C50459" w:rsidDel="00000008">
          <w:rPr>
            <w:rStyle w:val="Hyperlink"/>
            <w:sz w:val="18"/>
            <w:szCs w:val="18"/>
            <w:lang w:val="es"/>
          </w:rPr>
          <w:t>“</w:t>
        </w:r>
        <w:proofErr w:type="spellStart"/>
        <w:r w:rsidRPr="00C50459" w:rsidDel="00000008">
          <w:rPr>
            <w:rStyle w:val="Hyperlink"/>
            <w:sz w:val="18"/>
            <w:szCs w:val="18"/>
            <w:lang w:val="es"/>
          </w:rPr>
          <w:t>Maintaining</w:t>
        </w:r>
        <w:proofErr w:type="spellEnd"/>
        <w:r w:rsidRPr="00C50459" w:rsidDel="00000008">
          <w:rPr>
            <w:rStyle w:val="Hyperlink"/>
            <w:sz w:val="18"/>
            <w:szCs w:val="18"/>
            <w:lang w:val="es"/>
          </w:rPr>
          <w:t xml:space="preserve"> </w:t>
        </w:r>
        <w:proofErr w:type="spellStart"/>
        <w:r w:rsidRPr="00C50459" w:rsidDel="00000008">
          <w:rPr>
            <w:rStyle w:val="Hyperlink"/>
            <w:sz w:val="18"/>
            <w:szCs w:val="18"/>
            <w:lang w:val="es"/>
          </w:rPr>
          <w:t>Dignity</w:t>
        </w:r>
        <w:proofErr w:type="spellEnd"/>
        <w:r w:rsidRPr="00C50459" w:rsidDel="00000008">
          <w:rPr>
            <w:rStyle w:val="Hyperlink"/>
            <w:sz w:val="18"/>
            <w:szCs w:val="18"/>
            <w:lang w:val="es"/>
          </w:rPr>
          <w:t xml:space="preserve">: A </w:t>
        </w:r>
        <w:proofErr w:type="spellStart"/>
        <w:r w:rsidRPr="00C50459" w:rsidDel="00000008">
          <w:rPr>
            <w:rStyle w:val="Hyperlink"/>
            <w:sz w:val="18"/>
            <w:szCs w:val="18"/>
            <w:lang w:val="es"/>
          </w:rPr>
          <w:t>Survey</w:t>
        </w:r>
        <w:proofErr w:type="spellEnd"/>
        <w:r w:rsidRPr="00C50459" w:rsidDel="00000008">
          <w:rPr>
            <w:rStyle w:val="Hyperlink"/>
            <w:sz w:val="18"/>
            <w:szCs w:val="18"/>
            <w:lang w:val="es"/>
          </w:rPr>
          <w:t xml:space="preserve"> of LGBT </w:t>
        </w:r>
        <w:proofErr w:type="spellStart"/>
        <w:r w:rsidRPr="00C50459" w:rsidDel="00000008">
          <w:rPr>
            <w:rStyle w:val="Hyperlink"/>
            <w:sz w:val="18"/>
            <w:szCs w:val="18"/>
            <w:lang w:val="es"/>
          </w:rPr>
          <w:t>Adults</w:t>
        </w:r>
        <w:proofErr w:type="spellEnd"/>
        <w:r w:rsidRPr="00C50459" w:rsidDel="00000008">
          <w:rPr>
            <w:rStyle w:val="Hyperlink"/>
            <w:sz w:val="18"/>
            <w:szCs w:val="18"/>
            <w:lang w:val="es"/>
          </w:rPr>
          <w:t xml:space="preserve"> </w:t>
        </w:r>
        <w:proofErr w:type="spellStart"/>
        <w:r w:rsidRPr="00C50459" w:rsidDel="00000008">
          <w:rPr>
            <w:rStyle w:val="Hyperlink"/>
            <w:sz w:val="18"/>
            <w:szCs w:val="18"/>
            <w:lang w:val="es"/>
          </w:rPr>
          <w:t>Age</w:t>
        </w:r>
        <w:proofErr w:type="spellEnd"/>
        <w:r w:rsidRPr="00C50459" w:rsidDel="00000008">
          <w:rPr>
            <w:rStyle w:val="Hyperlink"/>
            <w:sz w:val="18"/>
            <w:szCs w:val="18"/>
            <w:lang w:val="es"/>
          </w:rPr>
          <w:t xml:space="preserve"> 45 and </w:t>
        </w:r>
        <w:proofErr w:type="spellStart"/>
        <w:r w:rsidRPr="00C50459" w:rsidDel="00000008">
          <w:rPr>
            <w:rStyle w:val="Hyperlink"/>
            <w:sz w:val="18"/>
            <w:szCs w:val="18"/>
            <w:lang w:val="es"/>
          </w:rPr>
          <w:t>Older</w:t>
        </w:r>
        <w:proofErr w:type="spellEnd"/>
        <w:r w:rsidRPr="00C50459" w:rsidDel="00000008">
          <w:rPr>
            <w:rStyle w:val="Hyperlink"/>
            <w:sz w:val="18"/>
            <w:szCs w:val="18"/>
            <w:lang w:val="es"/>
          </w:rPr>
          <w:t>”</w:t>
        </w:r>
      </w:hyperlink>
      <w:r w:rsidRPr="00C50459" w:rsidDel="00000009">
        <w:rPr>
          <w:i/>
          <w:iCs/>
          <w:color w:val="000000" w:themeColor="text1"/>
          <w:sz w:val="18"/>
          <w:szCs w:val="18"/>
          <w:lang w:val="es"/>
        </w:rPr>
        <w:t>,</w:t>
      </w:r>
      <w:r w:rsidRPr="00C50459" w:rsidDel="00000010">
        <w:rPr>
          <w:color w:val="000000" w:themeColor="text1"/>
          <w:sz w:val="18"/>
          <w:szCs w:val="18"/>
          <w:lang w:val="es"/>
        </w:rPr>
        <w:t xml:space="preserve"> AARP </w:t>
      </w:r>
      <w:proofErr w:type="spellStart"/>
      <w:r w:rsidRPr="00C50459" w:rsidDel="00000010">
        <w:rPr>
          <w:color w:val="000000" w:themeColor="text1"/>
          <w:sz w:val="18"/>
          <w:szCs w:val="18"/>
          <w:lang w:val="es"/>
        </w:rPr>
        <w:t>Research</w:t>
      </w:r>
      <w:proofErr w:type="spellEnd"/>
      <w:r w:rsidRPr="00C50459" w:rsidDel="00000010">
        <w:rPr>
          <w:color w:val="000000" w:themeColor="text1"/>
          <w:sz w:val="18"/>
          <w:szCs w:val="18"/>
          <w:lang w:val="es"/>
        </w:rPr>
        <w:t xml:space="preserve">, </w:t>
      </w:r>
      <w:r w:rsidRPr="00C50459">
        <w:rPr>
          <w:color w:val="000000" w:themeColor="text1"/>
          <w:sz w:val="18"/>
          <w:szCs w:val="18"/>
          <w:lang w:val="es"/>
        </w:rPr>
        <w:t>marzo de</w:t>
      </w:r>
      <w:r w:rsidRPr="00C50459" w:rsidDel="00000010">
        <w:rPr>
          <w:color w:val="000000" w:themeColor="text1"/>
          <w:sz w:val="18"/>
          <w:szCs w:val="18"/>
          <w:lang w:val="es"/>
        </w:rPr>
        <w:t xml:space="preserve"> 2018</w:t>
      </w:r>
      <w:r w:rsidRPr="00C50459" w:rsidDel="00000011">
        <w:rPr>
          <w:color w:val="000000" w:themeColor="text1"/>
          <w:sz w:val="18"/>
          <w:szCs w:val="18"/>
          <w:lang w:val="es"/>
        </w:rPr>
        <w:t xml:space="preserve">. </w:t>
      </w:r>
    </w:p>
  </w:footnote>
  <w:footnote w:id="16">
    <w:p w14:paraId="5446C94D" w14:textId="77777777" w:rsidR="00966BDF" w:rsidRPr="00C50459" w:rsidRDefault="00966BDF" w:rsidP="00966BDF">
      <w:pPr>
        <w:pBdr>
          <w:top w:val="nil"/>
          <w:left w:val="nil"/>
          <w:bottom w:val="nil"/>
          <w:right w:val="nil"/>
          <w:between w:val="nil"/>
        </w:pBdr>
        <w:rPr>
          <w:rFonts w:eastAsia="Arial"/>
          <w:color w:val="000000" w:themeColor="text1"/>
          <w:sz w:val="18"/>
          <w:szCs w:val="18"/>
        </w:rPr>
      </w:pPr>
      <w:r w:rsidRPr="00C50459" w:rsidDel="00000001">
        <w:rPr>
          <w:color w:val="000000" w:themeColor="text1"/>
          <w:sz w:val="18"/>
          <w:szCs w:val="18"/>
          <w:vertAlign w:val="superscript"/>
          <w:lang w:val="es"/>
        </w:rPr>
        <w:footnoteRef/>
      </w:r>
      <w:r w:rsidRPr="00C50459" w:rsidDel="00000002">
        <w:rPr>
          <w:color w:val="000000" w:themeColor="text1"/>
          <w:sz w:val="18"/>
          <w:szCs w:val="18"/>
          <w:lang w:val="es"/>
        </w:rPr>
        <w:t xml:space="preserve"> </w:t>
      </w:r>
      <w:proofErr w:type="spellStart"/>
      <w:r w:rsidRPr="00C50459" w:rsidDel="00000002">
        <w:rPr>
          <w:color w:val="000000" w:themeColor="text1"/>
          <w:sz w:val="18"/>
          <w:szCs w:val="18"/>
          <w:lang w:val="es"/>
        </w:rPr>
        <w:t>Movement</w:t>
      </w:r>
      <w:proofErr w:type="spellEnd"/>
      <w:r w:rsidRPr="00C50459" w:rsidDel="00000002">
        <w:rPr>
          <w:color w:val="000000" w:themeColor="text1"/>
          <w:sz w:val="18"/>
          <w:szCs w:val="18"/>
          <w:lang w:val="es"/>
        </w:rPr>
        <w:t xml:space="preserve"> </w:t>
      </w:r>
      <w:proofErr w:type="spellStart"/>
      <w:r w:rsidRPr="00C50459" w:rsidDel="00000002">
        <w:rPr>
          <w:color w:val="000000" w:themeColor="text1"/>
          <w:sz w:val="18"/>
          <w:szCs w:val="18"/>
          <w:lang w:val="es"/>
        </w:rPr>
        <w:t>Advancement</w:t>
      </w:r>
      <w:proofErr w:type="spellEnd"/>
      <w:r w:rsidRPr="00C50459" w:rsidDel="00000002">
        <w:rPr>
          <w:color w:val="000000" w:themeColor="text1"/>
          <w:sz w:val="18"/>
          <w:szCs w:val="18"/>
          <w:lang w:val="es"/>
        </w:rPr>
        <w:t xml:space="preserve"> Project and SAGE, </w:t>
      </w:r>
      <w:r w:rsidRPr="00C50459" w:rsidDel="00000003">
        <w:rPr>
          <w:rStyle w:val="Hyperlink"/>
          <w:sz w:val="18"/>
          <w:szCs w:val="18"/>
          <w:lang w:val="es"/>
        </w:rPr>
        <w:t>“</w:t>
      </w:r>
      <w:proofErr w:type="spellStart"/>
      <w:r w:rsidRPr="00C50459">
        <w:rPr>
          <w:lang w:val="en"/>
        </w:rPr>
        <w:fldChar w:fldCharType="begin"/>
      </w:r>
      <w:r w:rsidRPr="00C50459">
        <w:rPr>
          <w:sz w:val="18"/>
          <w:szCs w:val="18"/>
        </w:rPr>
        <w:instrText xml:space="preserve"> HYPERLINK "https://www.lgbtmap.org/file/understanding-issues-facing-lgbt-older-adults.pdf" </w:instrText>
      </w:r>
      <w:r w:rsidRPr="00C50459">
        <w:rPr>
          <w:lang w:val="en"/>
        </w:rPr>
        <w:fldChar w:fldCharType="separate"/>
      </w:r>
      <w:r w:rsidRPr="00C50459" w:rsidDel="00000004">
        <w:rPr>
          <w:rStyle w:val="Hyperlink"/>
          <w:sz w:val="18"/>
          <w:szCs w:val="18"/>
          <w:lang w:val="es"/>
        </w:rPr>
        <w:t>Understanding</w:t>
      </w:r>
      <w:proofErr w:type="spellEnd"/>
      <w:r w:rsidRPr="00C50459" w:rsidDel="00000004">
        <w:rPr>
          <w:rStyle w:val="Hyperlink"/>
          <w:sz w:val="18"/>
          <w:szCs w:val="18"/>
          <w:lang w:val="es"/>
        </w:rPr>
        <w:t xml:space="preserve"> Issues </w:t>
      </w:r>
      <w:proofErr w:type="spellStart"/>
      <w:r w:rsidRPr="00C50459" w:rsidDel="00000004">
        <w:rPr>
          <w:rStyle w:val="Hyperlink"/>
          <w:sz w:val="18"/>
          <w:szCs w:val="18"/>
          <w:lang w:val="es"/>
        </w:rPr>
        <w:t>Facing</w:t>
      </w:r>
      <w:proofErr w:type="spellEnd"/>
      <w:r w:rsidRPr="00C50459" w:rsidDel="00000004">
        <w:rPr>
          <w:rStyle w:val="Hyperlink"/>
          <w:sz w:val="18"/>
          <w:szCs w:val="18"/>
          <w:lang w:val="es"/>
        </w:rPr>
        <w:t xml:space="preserve"> LGBT </w:t>
      </w:r>
      <w:proofErr w:type="spellStart"/>
      <w:r w:rsidRPr="00C50459" w:rsidDel="00000004">
        <w:rPr>
          <w:rStyle w:val="Hyperlink"/>
          <w:sz w:val="18"/>
          <w:szCs w:val="18"/>
          <w:lang w:val="es"/>
        </w:rPr>
        <w:t>Older</w:t>
      </w:r>
      <w:proofErr w:type="spellEnd"/>
      <w:r w:rsidRPr="00C50459" w:rsidDel="00000004">
        <w:rPr>
          <w:rStyle w:val="Hyperlink"/>
          <w:sz w:val="18"/>
          <w:szCs w:val="18"/>
          <w:lang w:val="es"/>
        </w:rPr>
        <w:t xml:space="preserve"> </w:t>
      </w:r>
      <w:proofErr w:type="spellStart"/>
      <w:r w:rsidRPr="00C50459" w:rsidDel="00000004">
        <w:rPr>
          <w:rStyle w:val="Hyperlink"/>
          <w:sz w:val="18"/>
          <w:szCs w:val="18"/>
          <w:lang w:val="es"/>
        </w:rPr>
        <w:t>Adults</w:t>
      </w:r>
      <w:proofErr w:type="spellEnd"/>
      <w:r w:rsidRPr="00C50459">
        <w:rPr>
          <w:rStyle w:val="Hyperlink"/>
          <w:sz w:val="18"/>
          <w:szCs w:val="18"/>
          <w:lang w:val="es"/>
        </w:rPr>
        <w:fldChar w:fldCharType="end"/>
      </w:r>
      <w:r w:rsidRPr="00C50459" w:rsidDel="00000005">
        <w:rPr>
          <w:rStyle w:val="Hyperlink"/>
          <w:sz w:val="18"/>
          <w:szCs w:val="18"/>
          <w:lang w:val="es"/>
        </w:rPr>
        <w:t>”</w:t>
      </w:r>
      <w:r w:rsidRPr="00C50459" w:rsidDel="00000006">
        <w:rPr>
          <w:color w:val="000000" w:themeColor="text1"/>
          <w:sz w:val="18"/>
          <w:szCs w:val="18"/>
          <w:lang w:val="es"/>
        </w:rPr>
        <w:t xml:space="preserve">, 2017; </w:t>
      </w:r>
      <w:proofErr w:type="spellStart"/>
      <w:r w:rsidRPr="00C50459" w:rsidDel="00000006">
        <w:rPr>
          <w:color w:val="000000" w:themeColor="text1"/>
          <w:sz w:val="18"/>
          <w:szCs w:val="18"/>
          <w:lang w:val="es"/>
        </w:rPr>
        <w:t>The</w:t>
      </w:r>
      <w:proofErr w:type="spellEnd"/>
      <w:r w:rsidRPr="00C50459" w:rsidDel="00000006">
        <w:rPr>
          <w:color w:val="000000" w:themeColor="text1"/>
          <w:sz w:val="18"/>
          <w:szCs w:val="18"/>
          <w:lang w:val="es"/>
        </w:rPr>
        <w:t xml:space="preserve"> Human Rights Campaign and SAGE, </w:t>
      </w:r>
      <w:r w:rsidRPr="00C50459" w:rsidDel="00000007">
        <w:rPr>
          <w:rStyle w:val="Hyperlink"/>
          <w:sz w:val="18"/>
          <w:szCs w:val="18"/>
          <w:lang w:val="es"/>
        </w:rPr>
        <w:t>“</w:t>
      </w:r>
      <w:hyperlink r:id="rId17" w:history="1">
        <w:r w:rsidRPr="00C50459" w:rsidDel="00000008">
          <w:rPr>
            <w:rStyle w:val="Hyperlink"/>
            <w:sz w:val="18"/>
            <w:szCs w:val="18"/>
            <w:lang w:val="es"/>
          </w:rPr>
          <w:t xml:space="preserve">COVID-19 &amp; LGBTQ </w:t>
        </w:r>
        <w:proofErr w:type="spellStart"/>
        <w:r w:rsidRPr="00C50459" w:rsidDel="00000008">
          <w:rPr>
            <w:rStyle w:val="Hyperlink"/>
            <w:sz w:val="18"/>
            <w:szCs w:val="18"/>
            <w:lang w:val="es"/>
          </w:rPr>
          <w:t>Older</w:t>
        </w:r>
        <w:proofErr w:type="spellEnd"/>
        <w:r w:rsidRPr="00C50459" w:rsidDel="00000008">
          <w:rPr>
            <w:rStyle w:val="Hyperlink"/>
            <w:sz w:val="18"/>
            <w:szCs w:val="18"/>
            <w:lang w:val="es"/>
          </w:rPr>
          <w:t xml:space="preserve"> </w:t>
        </w:r>
        <w:proofErr w:type="spellStart"/>
        <w:r w:rsidRPr="00C50459" w:rsidDel="00000008">
          <w:rPr>
            <w:rStyle w:val="Hyperlink"/>
            <w:sz w:val="18"/>
            <w:szCs w:val="18"/>
            <w:lang w:val="es"/>
          </w:rPr>
          <w:t>People</w:t>
        </w:r>
        <w:proofErr w:type="spellEnd"/>
      </w:hyperlink>
      <w:r w:rsidRPr="00C50459" w:rsidDel="00000009">
        <w:rPr>
          <w:rStyle w:val="Hyperlink"/>
          <w:sz w:val="18"/>
          <w:szCs w:val="18"/>
          <w:lang w:val="es"/>
        </w:rPr>
        <w:t>”</w:t>
      </w:r>
      <w:r w:rsidRPr="00C50459" w:rsidDel="00000010">
        <w:rPr>
          <w:color w:val="000000" w:themeColor="text1"/>
          <w:sz w:val="18"/>
          <w:szCs w:val="18"/>
          <w:lang w:val="es"/>
        </w:rPr>
        <w:t xml:space="preserve">, </w:t>
      </w:r>
      <w:r w:rsidRPr="00C50459">
        <w:rPr>
          <w:color w:val="000000" w:themeColor="text1"/>
          <w:sz w:val="18"/>
          <w:szCs w:val="18"/>
          <w:lang w:val="es"/>
        </w:rPr>
        <w:t>abril de</w:t>
      </w:r>
      <w:r w:rsidRPr="00C50459" w:rsidDel="00000010">
        <w:rPr>
          <w:color w:val="000000" w:themeColor="text1"/>
          <w:sz w:val="18"/>
          <w:szCs w:val="18"/>
          <w:lang w:val="es"/>
        </w:rPr>
        <w:t xml:space="preserve"> 2020. </w:t>
      </w:r>
    </w:p>
  </w:footnote>
  <w:footnote w:id="17">
    <w:p w14:paraId="3AA57E2B" w14:textId="77777777" w:rsidR="00966BDF" w:rsidRPr="00C50459" w:rsidRDefault="00966BDF" w:rsidP="00966BDF">
      <w:pPr>
        <w:rPr>
          <w:rFonts w:eastAsia="Arial"/>
          <w:color w:val="000000" w:themeColor="text1"/>
          <w:sz w:val="18"/>
          <w:szCs w:val="18"/>
        </w:rPr>
      </w:pPr>
      <w:r w:rsidRPr="00C50459" w:rsidDel="00000001">
        <w:rPr>
          <w:color w:val="000000" w:themeColor="text1"/>
          <w:sz w:val="18"/>
          <w:szCs w:val="18"/>
          <w:vertAlign w:val="superscript"/>
          <w:lang w:val="es"/>
        </w:rPr>
        <w:footnoteRef/>
      </w:r>
      <w:r w:rsidRPr="00C50459" w:rsidDel="00000002">
        <w:rPr>
          <w:color w:val="000000" w:themeColor="text1"/>
          <w:sz w:val="18"/>
          <w:szCs w:val="18"/>
          <w:lang w:val="es"/>
        </w:rPr>
        <w:t xml:space="preserve"> IE SOGI, </w:t>
      </w:r>
      <w:r w:rsidRPr="00C50459" w:rsidDel="00000003">
        <w:rPr>
          <w:i/>
          <w:color w:val="000000" w:themeColor="text1"/>
          <w:sz w:val="18"/>
          <w:szCs w:val="18"/>
          <w:lang w:val="es"/>
        </w:rPr>
        <w:t>supra</w:t>
      </w:r>
      <w:r w:rsidRPr="00C50459" w:rsidDel="00000004">
        <w:rPr>
          <w:color w:val="000000" w:themeColor="text1"/>
          <w:sz w:val="18"/>
          <w:szCs w:val="18"/>
          <w:lang w:val="es"/>
        </w:rPr>
        <w:t xml:space="preserve"> </w:t>
      </w:r>
      <w:r w:rsidRPr="00C50459">
        <w:rPr>
          <w:color w:val="000000" w:themeColor="text1"/>
          <w:sz w:val="18"/>
          <w:szCs w:val="18"/>
          <w:lang w:val="es"/>
        </w:rPr>
        <w:t>nota</w:t>
      </w:r>
      <w:r w:rsidRPr="00C50459" w:rsidDel="00000004">
        <w:rPr>
          <w:color w:val="000000" w:themeColor="text1"/>
          <w:sz w:val="18"/>
          <w:szCs w:val="18"/>
          <w:lang w:val="es"/>
        </w:rPr>
        <w:t xml:space="preserve"> 11, para. </w:t>
      </w:r>
      <w:r w:rsidRPr="00C50459" w:rsidDel="00000005">
        <w:rPr>
          <w:color w:val="000000" w:themeColor="text1"/>
          <w:sz w:val="18"/>
          <w:szCs w:val="18"/>
          <w:lang w:val="es"/>
        </w:rPr>
        <w:t xml:space="preserve">42-45, </w:t>
      </w:r>
      <w:r w:rsidRPr="00C50459">
        <w:rPr>
          <w:i/>
          <w:iCs/>
          <w:color w:val="000000" w:themeColor="text1"/>
          <w:sz w:val="18"/>
          <w:szCs w:val="18"/>
          <w:lang w:val="es"/>
        </w:rPr>
        <w:t>Ver también</w:t>
      </w:r>
      <w:r w:rsidRPr="00C50459" w:rsidDel="00000006">
        <w:rPr>
          <w:color w:val="000000" w:themeColor="text1"/>
          <w:sz w:val="18"/>
          <w:szCs w:val="18"/>
          <w:lang w:val="es"/>
        </w:rPr>
        <w:t xml:space="preserve"> </w:t>
      </w:r>
      <w:hyperlink r:id="rId18" w:history="1">
        <w:r w:rsidRPr="00C50459" w:rsidDel="00000007">
          <w:rPr>
            <w:rStyle w:val="Hyperlink"/>
            <w:sz w:val="18"/>
            <w:szCs w:val="18"/>
            <w:lang w:val="es"/>
          </w:rPr>
          <w:t>A/HRC/31/54</w:t>
        </w:r>
      </w:hyperlink>
      <w:r w:rsidRPr="00C50459" w:rsidDel="00000008">
        <w:rPr>
          <w:color w:val="000000" w:themeColor="text1"/>
          <w:sz w:val="18"/>
          <w:szCs w:val="18"/>
          <w:lang w:val="es"/>
        </w:rPr>
        <w:t>, para. 44.</w:t>
      </w:r>
    </w:p>
  </w:footnote>
  <w:footnote w:id="18">
    <w:p w14:paraId="79E60060" w14:textId="77777777" w:rsidR="00966BDF" w:rsidRPr="00C50459" w:rsidRDefault="00966BDF" w:rsidP="00966BDF">
      <w:pPr>
        <w:rPr>
          <w:color w:val="000000" w:themeColor="text1"/>
          <w:sz w:val="18"/>
          <w:szCs w:val="18"/>
        </w:rPr>
      </w:pPr>
      <w:r w:rsidRPr="00C50459" w:rsidDel="00000001">
        <w:rPr>
          <w:color w:val="000000" w:themeColor="text1"/>
          <w:sz w:val="18"/>
          <w:szCs w:val="18"/>
          <w:vertAlign w:val="superscript"/>
          <w:lang w:val="es"/>
        </w:rPr>
        <w:footnoteRef/>
      </w:r>
      <w:r w:rsidRPr="00C50459" w:rsidDel="00000002">
        <w:rPr>
          <w:color w:val="000000" w:themeColor="text1"/>
          <w:sz w:val="18"/>
          <w:szCs w:val="18"/>
          <w:lang w:val="es"/>
        </w:rPr>
        <w:t xml:space="preserve"> </w:t>
      </w:r>
      <w:r w:rsidRPr="00C50459">
        <w:rPr>
          <w:color w:val="000000" w:themeColor="text1"/>
          <w:sz w:val="18"/>
          <w:szCs w:val="18"/>
          <w:lang w:val="es"/>
        </w:rPr>
        <w:t>OACNUDH</w:t>
      </w:r>
      <w:r w:rsidRPr="00C50459" w:rsidDel="00000002">
        <w:rPr>
          <w:color w:val="000000" w:themeColor="text1"/>
          <w:sz w:val="18"/>
          <w:szCs w:val="18"/>
          <w:lang w:val="es"/>
        </w:rPr>
        <w:t xml:space="preserve">, </w:t>
      </w:r>
      <w:r w:rsidRPr="00C50459" w:rsidDel="00000003">
        <w:rPr>
          <w:rStyle w:val="Hyperlink"/>
          <w:sz w:val="18"/>
          <w:szCs w:val="18"/>
          <w:lang w:val="es"/>
        </w:rPr>
        <w:t>“</w:t>
      </w:r>
      <w:hyperlink r:id="rId19" w:history="1">
        <w:r w:rsidRPr="00C50459" w:rsidDel="00000004">
          <w:rPr>
            <w:rStyle w:val="Hyperlink"/>
            <w:sz w:val="18"/>
            <w:szCs w:val="18"/>
            <w:lang w:val="es"/>
          </w:rPr>
          <w:t xml:space="preserve">COVID-19 and </w:t>
        </w:r>
        <w:proofErr w:type="spellStart"/>
        <w:r w:rsidRPr="00C50459" w:rsidDel="00000004">
          <w:rPr>
            <w:rStyle w:val="Hyperlink"/>
            <w:sz w:val="18"/>
            <w:szCs w:val="18"/>
            <w:lang w:val="es"/>
          </w:rPr>
          <w:t>the</w:t>
        </w:r>
        <w:proofErr w:type="spellEnd"/>
        <w:r w:rsidRPr="00C50459" w:rsidDel="00000004">
          <w:rPr>
            <w:rStyle w:val="Hyperlink"/>
            <w:sz w:val="18"/>
            <w:szCs w:val="18"/>
            <w:lang w:val="es"/>
          </w:rPr>
          <w:t xml:space="preserve"> Human Rights of LGBTI </w:t>
        </w:r>
        <w:proofErr w:type="spellStart"/>
        <w:r w:rsidRPr="00C50459" w:rsidDel="00000004">
          <w:rPr>
            <w:rStyle w:val="Hyperlink"/>
            <w:sz w:val="18"/>
            <w:szCs w:val="18"/>
            <w:lang w:val="es"/>
          </w:rPr>
          <w:t>People</w:t>
        </w:r>
        <w:proofErr w:type="spellEnd"/>
      </w:hyperlink>
      <w:r w:rsidRPr="00C50459" w:rsidDel="00000005">
        <w:rPr>
          <w:rStyle w:val="Hyperlink"/>
          <w:sz w:val="18"/>
          <w:szCs w:val="18"/>
          <w:lang w:val="es"/>
        </w:rPr>
        <w:t>”</w:t>
      </w:r>
      <w:r w:rsidRPr="00C50459" w:rsidDel="00000006">
        <w:rPr>
          <w:color w:val="000000" w:themeColor="text1"/>
          <w:sz w:val="18"/>
          <w:szCs w:val="18"/>
          <w:lang w:val="es"/>
        </w:rPr>
        <w:t xml:space="preserve">, </w:t>
      </w:r>
      <w:r w:rsidRPr="00C50459">
        <w:rPr>
          <w:color w:val="000000" w:themeColor="text1"/>
          <w:sz w:val="18"/>
          <w:szCs w:val="18"/>
          <w:lang w:val="es"/>
        </w:rPr>
        <w:t>17 de abril de 2020</w:t>
      </w:r>
      <w:r w:rsidRPr="00C50459" w:rsidDel="00000007">
        <w:rPr>
          <w:color w:val="000000" w:themeColor="text1"/>
          <w:sz w:val="18"/>
          <w:szCs w:val="18"/>
          <w:lang w:val="es"/>
        </w:rPr>
        <w:t xml:space="preserve">; </w:t>
      </w:r>
      <w:r w:rsidRPr="00C50459" w:rsidDel="00000008">
        <w:rPr>
          <w:color w:val="000000" w:themeColor="text1"/>
          <w:sz w:val="18"/>
          <w:szCs w:val="18"/>
          <w:lang w:val="es"/>
        </w:rPr>
        <w:t xml:space="preserve">PEPFAR, USAID and </w:t>
      </w:r>
      <w:proofErr w:type="spellStart"/>
      <w:r w:rsidRPr="00C50459" w:rsidDel="00000008">
        <w:rPr>
          <w:color w:val="000000" w:themeColor="text1"/>
          <w:sz w:val="18"/>
          <w:szCs w:val="18"/>
          <w:lang w:val="es"/>
        </w:rPr>
        <w:t>EpiC</w:t>
      </w:r>
      <w:proofErr w:type="spellEnd"/>
      <w:r w:rsidRPr="00C50459" w:rsidDel="00000008">
        <w:rPr>
          <w:color w:val="000000" w:themeColor="text1"/>
          <w:sz w:val="18"/>
          <w:szCs w:val="18"/>
          <w:lang w:val="es"/>
        </w:rPr>
        <w:t xml:space="preserve">, </w:t>
      </w:r>
      <w:hyperlink r:id="rId20" w:history="1">
        <w:r w:rsidRPr="00C50459" w:rsidDel="00000009">
          <w:rPr>
            <w:rStyle w:val="Hyperlink"/>
            <w:sz w:val="18"/>
            <w:szCs w:val="18"/>
            <w:lang w:val="es"/>
          </w:rPr>
          <w:t>“</w:t>
        </w:r>
        <w:proofErr w:type="spellStart"/>
        <w:r w:rsidRPr="00C50459" w:rsidDel="00000009">
          <w:rPr>
            <w:rStyle w:val="Hyperlink"/>
            <w:sz w:val="18"/>
            <w:szCs w:val="18"/>
            <w:lang w:val="es"/>
          </w:rPr>
          <w:t>Strategic</w:t>
        </w:r>
        <w:proofErr w:type="spellEnd"/>
        <w:r w:rsidRPr="00C50459" w:rsidDel="00000009">
          <w:rPr>
            <w:rStyle w:val="Hyperlink"/>
            <w:sz w:val="18"/>
            <w:szCs w:val="18"/>
            <w:lang w:val="es"/>
          </w:rPr>
          <w:t xml:space="preserve"> </w:t>
        </w:r>
        <w:proofErr w:type="spellStart"/>
        <w:r w:rsidRPr="00C50459" w:rsidDel="00000009">
          <w:rPr>
            <w:rStyle w:val="Hyperlink"/>
            <w:sz w:val="18"/>
            <w:szCs w:val="18"/>
            <w:lang w:val="es"/>
          </w:rPr>
          <w:t>Consideration</w:t>
        </w:r>
        <w:proofErr w:type="spellEnd"/>
        <w:r w:rsidRPr="00C50459" w:rsidDel="00000009">
          <w:rPr>
            <w:rStyle w:val="Hyperlink"/>
            <w:sz w:val="18"/>
            <w:szCs w:val="18"/>
            <w:lang w:val="es"/>
          </w:rPr>
          <w:t xml:space="preserve"> </w:t>
        </w:r>
        <w:proofErr w:type="spellStart"/>
        <w:r w:rsidRPr="00C50459" w:rsidDel="00000009">
          <w:rPr>
            <w:rStyle w:val="Hyperlink"/>
            <w:sz w:val="18"/>
            <w:szCs w:val="18"/>
            <w:lang w:val="es"/>
          </w:rPr>
          <w:t>for</w:t>
        </w:r>
        <w:proofErr w:type="spellEnd"/>
        <w:r w:rsidRPr="00C50459" w:rsidDel="00000009">
          <w:rPr>
            <w:rStyle w:val="Hyperlink"/>
            <w:sz w:val="18"/>
            <w:szCs w:val="18"/>
            <w:lang w:val="es"/>
          </w:rPr>
          <w:t xml:space="preserve"> </w:t>
        </w:r>
        <w:proofErr w:type="spellStart"/>
        <w:r w:rsidRPr="00C50459" w:rsidDel="00000009">
          <w:rPr>
            <w:rStyle w:val="Hyperlink"/>
            <w:sz w:val="18"/>
            <w:szCs w:val="18"/>
            <w:lang w:val="es"/>
          </w:rPr>
          <w:t>Mitigating</w:t>
        </w:r>
        <w:proofErr w:type="spellEnd"/>
        <w:r w:rsidRPr="00C50459" w:rsidDel="00000009">
          <w:rPr>
            <w:rStyle w:val="Hyperlink"/>
            <w:sz w:val="18"/>
            <w:szCs w:val="18"/>
            <w:lang w:val="es"/>
          </w:rPr>
          <w:t xml:space="preserve"> </w:t>
        </w:r>
        <w:proofErr w:type="spellStart"/>
        <w:r w:rsidRPr="00C50459" w:rsidDel="00000009">
          <w:rPr>
            <w:rStyle w:val="Hyperlink"/>
            <w:sz w:val="18"/>
            <w:szCs w:val="18"/>
            <w:lang w:val="es"/>
          </w:rPr>
          <w:t>the</w:t>
        </w:r>
        <w:proofErr w:type="spellEnd"/>
        <w:r w:rsidRPr="00C50459" w:rsidDel="00000009">
          <w:rPr>
            <w:rStyle w:val="Hyperlink"/>
            <w:sz w:val="18"/>
            <w:szCs w:val="18"/>
            <w:lang w:val="es"/>
          </w:rPr>
          <w:t xml:space="preserve"> </w:t>
        </w:r>
        <w:proofErr w:type="spellStart"/>
        <w:r w:rsidRPr="00C50459" w:rsidDel="00000009">
          <w:rPr>
            <w:rStyle w:val="Hyperlink"/>
            <w:sz w:val="18"/>
            <w:szCs w:val="18"/>
            <w:lang w:val="es"/>
          </w:rPr>
          <w:t>Impact</w:t>
        </w:r>
        <w:proofErr w:type="spellEnd"/>
        <w:r w:rsidRPr="00C50459" w:rsidDel="00000009">
          <w:rPr>
            <w:rStyle w:val="Hyperlink"/>
            <w:sz w:val="18"/>
            <w:szCs w:val="18"/>
            <w:lang w:val="es"/>
          </w:rPr>
          <w:t xml:space="preserve"> of COVID-19 on Key- </w:t>
        </w:r>
        <w:proofErr w:type="spellStart"/>
        <w:r w:rsidRPr="00C50459" w:rsidDel="00000009">
          <w:rPr>
            <w:rStyle w:val="Hyperlink"/>
            <w:sz w:val="18"/>
            <w:szCs w:val="18"/>
            <w:lang w:val="es"/>
          </w:rPr>
          <w:t>Population-Focused</w:t>
        </w:r>
        <w:proofErr w:type="spellEnd"/>
        <w:r w:rsidRPr="00C50459" w:rsidDel="00000009">
          <w:rPr>
            <w:rStyle w:val="Hyperlink"/>
            <w:sz w:val="18"/>
            <w:szCs w:val="18"/>
            <w:lang w:val="es"/>
          </w:rPr>
          <w:t xml:space="preserve"> HIV </w:t>
        </w:r>
        <w:proofErr w:type="spellStart"/>
        <w:r w:rsidRPr="00C50459" w:rsidDel="00000009">
          <w:rPr>
            <w:rStyle w:val="Hyperlink"/>
            <w:sz w:val="18"/>
            <w:szCs w:val="18"/>
            <w:lang w:val="es"/>
          </w:rPr>
          <w:t>Programs</w:t>
        </w:r>
        <w:proofErr w:type="spellEnd"/>
        <w:r w:rsidRPr="00C50459" w:rsidDel="00000009">
          <w:rPr>
            <w:rStyle w:val="Hyperlink"/>
            <w:sz w:val="18"/>
            <w:szCs w:val="18"/>
            <w:lang w:val="es"/>
          </w:rPr>
          <w:t>”</w:t>
        </w:r>
      </w:hyperlink>
      <w:r w:rsidRPr="00C50459" w:rsidDel="00000010">
        <w:rPr>
          <w:color w:val="000000" w:themeColor="text1"/>
          <w:sz w:val="18"/>
          <w:szCs w:val="18"/>
          <w:lang w:val="es"/>
        </w:rPr>
        <w:t xml:space="preserve">, p. 2, </w:t>
      </w:r>
      <w:r w:rsidRPr="00C50459">
        <w:rPr>
          <w:color w:val="000000" w:themeColor="text1"/>
          <w:sz w:val="18"/>
          <w:szCs w:val="18"/>
          <w:lang w:val="es"/>
        </w:rPr>
        <w:t>7 de abril de 2020</w:t>
      </w:r>
      <w:r w:rsidRPr="00C50459" w:rsidDel="00000010">
        <w:rPr>
          <w:color w:val="000000" w:themeColor="text1"/>
          <w:sz w:val="18"/>
          <w:szCs w:val="18"/>
          <w:lang w:val="es"/>
        </w:rPr>
        <w:t xml:space="preserve">; </w:t>
      </w:r>
      <w:r w:rsidRPr="00C50459" w:rsidDel="00000011">
        <w:rPr>
          <w:color w:val="000000" w:themeColor="text1"/>
          <w:sz w:val="18"/>
          <w:szCs w:val="18"/>
          <w:lang w:val="es"/>
        </w:rPr>
        <w:t xml:space="preserve">Ben </w:t>
      </w:r>
      <w:proofErr w:type="spellStart"/>
      <w:r w:rsidRPr="00C50459" w:rsidDel="00000011">
        <w:rPr>
          <w:color w:val="000000" w:themeColor="text1"/>
          <w:sz w:val="18"/>
          <w:szCs w:val="18"/>
          <w:lang w:val="es"/>
        </w:rPr>
        <w:t>Hunte</w:t>
      </w:r>
      <w:proofErr w:type="spellEnd"/>
      <w:r w:rsidRPr="00C50459" w:rsidDel="00000012">
        <w:rPr>
          <w:color w:val="000000" w:themeColor="text1"/>
          <w:sz w:val="18"/>
          <w:szCs w:val="18"/>
          <w:lang w:val="es"/>
        </w:rPr>
        <w:t xml:space="preserve">, </w:t>
      </w:r>
      <w:hyperlink r:id="rId21" w:history="1">
        <w:r w:rsidRPr="00C50459" w:rsidDel="00000013">
          <w:rPr>
            <w:rStyle w:val="Hyperlink"/>
            <w:sz w:val="18"/>
            <w:szCs w:val="18"/>
            <w:lang w:val="es"/>
          </w:rPr>
          <w:t>“Coronavirus: ‘</w:t>
        </w:r>
        <w:proofErr w:type="spellStart"/>
        <w:r w:rsidRPr="00C50459" w:rsidDel="00000013">
          <w:rPr>
            <w:rStyle w:val="Hyperlink"/>
            <w:sz w:val="18"/>
            <w:szCs w:val="18"/>
            <w:lang w:val="es"/>
          </w:rPr>
          <w:t>I'm</w:t>
        </w:r>
        <w:proofErr w:type="spellEnd"/>
        <w:r w:rsidRPr="00C50459" w:rsidDel="00000013">
          <w:rPr>
            <w:rStyle w:val="Hyperlink"/>
            <w:sz w:val="18"/>
            <w:szCs w:val="18"/>
            <w:lang w:val="es"/>
          </w:rPr>
          <w:t xml:space="preserve"> </w:t>
        </w:r>
        <w:proofErr w:type="spellStart"/>
        <w:r w:rsidRPr="00C50459" w:rsidDel="00000013">
          <w:rPr>
            <w:rStyle w:val="Hyperlink"/>
            <w:sz w:val="18"/>
            <w:szCs w:val="18"/>
            <w:lang w:val="es"/>
          </w:rPr>
          <w:t>stuck</w:t>
        </w:r>
        <w:proofErr w:type="spellEnd"/>
        <w:r w:rsidRPr="00C50459" w:rsidDel="00000013">
          <w:rPr>
            <w:rStyle w:val="Hyperlink"/>
            <w:sz w:val="18"/>
            <w:szCs w:val="18"/>
            <w:lang w:val="es"/>
          </w:rPr>
          <w:t xml:space="preserve"> in </w:t>
        </w:r>
        <w:proofErr w:type="spellStart"/>
        <w:r w:rsidRPr="00C50459" w:rsidDel="00000013">
          <w:rPr>
            <w:rStyle w:val="Hyperlink"/>
            <w:sz w:val="18"/>
            <w:szCs w:val="18"/>
            <w:lang w:val="es"/>
          </w:rPr>
          <w:t>isolation</w:t>
        </w:r>
        <w:proofErr w:type="spellEnd"/>
        <w:r w:rsidRPr="00C50459" w:rsidDel="00000013">
          <w:rPr>
            <w:rStyle w:val="Hyperlink"/>
            <w:sz w:val="18"/>
            <w:szCs w:val="18"/>
            <w:lang w:val="es"/>
          </w:rPr>
          <w:t xml:space="preserve"> </w:t>
        </w:r>
        <w:proofErr w:type="spellStart"/>
        <w:r w:rsidRPr="00C50459" w:rsidDel="00000013">
          <w:rPr>
            <w:rStyle w:val="Hyperlink"/>
            <w:sz w:val="18"/>
            <w:szCs w:val="18"/>
            <w:lang w:val="es"/>
          </w:rPr>
          <w:t>with</w:t>
        </w:r>
        <w:proofErr w:type="spellEnd"/>
        <w:r w:rsidRPr="00C50459" w:rsidDel="00000013">
          <w:rPr>
            <w:rStyle w:val="Hyperlink"/>
            <w:sz w:val="18"/>
            <w:szCs w:val="18"/>
            <w:lang w:val="es"/>
          </w:rPr>
          <w:t xml:space="preserve"> </w:t>
        </w:r>
        <w:proofErr w:type="spellStart"/>
        <w:r w:rsidRPr="00C50459" w:rsidDel="00000013">
          <w:rPr>
            <w:rStyle w:val="Hyperlink"/>
            <w:sz w:val="18"/>
            <w:szCs w:val="18"/>
            <w:lang w:val="es"/>
          </w:rPr>
          <w:t>my</w:t>
        </w:r>
        <w:proofErr w:type="spellEnd"/>
        <w:r w:rsidRPr="00C50459" w:rsidDel="00000013">
          <w:rPr>
            <w:rStyle w:val="Hyperlink"/>
            <w:sz w:val="18"/>
            <w:szCs w:val="18"/>
            <w:lang w:val="es"/>
          </w:rPr>
          <w:t xml:space="preserve"> </w:t>
        </w:r>
        <w:proofErr w:type="spellStart"/>
        <w:r w:rsidRPr="00C50459" w:rsidDel="00000013">
          <w:rPr>
            <w:rStyle w:val="Hyperlink"/>
            <w:sz w:val="18"/>
            <w:szCs w:val="18"/>
            <w:lang w:val="es"/>
          </w:rPr>
          <w:t>homophobic</w:t>
        </w:r>
        <w:proofErr w:type="spellEnd"/>
        <w:r w:rsidRPr="00C50459" w:rsidDel="00000013">
          <w:rPr>
            <w:rStyle w:val="Hyperlink"/>
            <w:sz w:val="18"/>
            <w:szCs w:val="18"/>
            <w:lang w:val="es"/>
          </w:rPr>
          <w:t xml:space="preserve"> </w:t>
        </w:r>
        <w:proofErr w:type="spellStart"/>
        <w:r w:rsidRPr="00C50459" w:rsidDel="00000013">
          <w:rPr>
            <w:rStyle w:val="Hyperlink"/>
            <w:sz w:val="18"/>
            <w:szCs w:val="18"/>
            <w:lang w:val="es"/>
          </w:rPr>
          <w:t>parents</w:t>
        </w:r>
        <w:proofErr w:type="spellEnd"/>
        <w:r w:rsidRPr="00C50459" w:rsidDel="00000013">
          <w:rPr>
            <w:rStyle w:val="Hyperlink"/>
            <w:sz w:val="18"/>
            <w:szCs w:val="18"/>
            <w:lang w:val="es"/>
          </w:rPr>
          <w:t>’”</w:t>
        </w:r>
      </w:hyperlink>
      <w:r w:rsidRPr="00C50459" w:rsidDel="00000014">
        <w:rPr>
          <w:color w:val="000000" w:themeColor="text1"/>
          <w:sz w:val="18"/>
          <w:szCs w:val="18"/>
          <w:lang w:val="es"/>
        </w:rPr>
        <w:t xml:space="preserve">, BBC News, </w:t>
      </w:r>
      <w:r w:rsidRPr="00C50459">
        <w:rPr>
          <w:color w:val="000000" w:themeColor="text1"/>
          <w:sz w:val="18"/>
          <w:szCs w:val="18"/>
          <w:lang w:val="es"/>
        </w:rPr>
        <w:t>16 de marzo de 2020</w:t>
      </w:r>
      <w:r w:rsidRPr="00C50459" w:rsidDel="00000014">
        <w:rPr>
          <w:color w:val="000000" w:themeColor="text1"/>
          <w:sz w:val="18"/>
          <w:szCs w:val="18"/>
          <w:lang w:val="es"/>
        </w:rPr>
        <w:t>.</w:t>
      </w:r>
    </w:p>
  </w:footnote>
  <w:footnote w:id="19">
    <w:p w14:paraId="07A94B07" w14:textId="77777777" w:rsidR="00966BDF" w:rsidRPr="00C50459" w:rsidRDefault="00966BDF" w:rsidP="00966BDF">
      <w:pPr>
        <w:pBdr>
          <w:top w:val="nil"/>
          <w:left w:val="nil"/>
          <w:bottom w:val="nil"/>
          <w:right w:val="nil"/>
          <w:between w:val="nil"/>
        </w:pBdr>
        <w:rPr>
          <w:color w:val="000000" w:themeColor="text1"/>
          <w:sz w:val="18"/>
          <w:szCs w:val="18"/>
        </w:rPr>
      </w:pPr>
      <w:r w:rsidRPr="00C50459" w:rsidDel="00000001">
        <w:rPr>
          <w:color w:val="000000" w:themeColor="text1"/>
          <w:sz w:val="18"/>
          <w:szCs w:val="18"/>
          <w:vertAlign w:val="superscript"/>
          <w:lang w:val="es"/>
        </w:rPr>
        <w:footnoteRef/>
      </w:r>
      <w:r w:rsidRPr="00C50459" w:rsidDel="00000002">
        <w:rPr>
          <w:color w:val="000000" w:themeColor="text1"/>
          <w:sz w:val="18"/>
          <w:szCs w:val="18"/>
          <w:lang w:val="es"/>
        </w:rPr>
        <w:t xml:space="preserve"> </w:t>
      </w:r>
      <w:proofErr w:type="spellStart"/>
      <w:r w:rsidRPr="00C50459" w:rsidDel="00000002">
        <w:rPr>
          <w:color w:val="000000" w:themeColor="text1"/>
          <w:sz w:val="18"/>
          <w:szCs w:val="18"/>
          <w:lang w:val="es"/>
        </w:rPr>
        <w:t>António</w:t>
      </w:r>
      <w:proofErr w:type="spellEnd"/>
      <w:r w:rsidRPr="00C50459" w:rsidDel="00000002">
        <w:rPr>
          <w:color w:val="000000" w:themeColor="text1"/>
          <w:sz w:val="18"/>
          <w:szCs w:val="18"/>
          <w:lang w:val="es"/>
        </w:rPr>
        <w:t xml:space="preserve"> </w:t>
      </w:r>
      <w:proofErr w:type="spellStart"/>
      <w:r w:rsidRPr="00C50459" w:rsidDel="00000002">
        <w:rPr>
          <w:color w:val="000000" w:themeColor="text1"/>
          <w:sz w:val="18"/>
          <w:szCs w:val="18"/>
          <w:lang w:val="es"/>
        </w:rPr>
        <w:t>Guterres</w:t>
      </w:r>
      <w:proofErr w:type="spellEnd"/>
      <w:r w:rsidRPr="00C50459" w:rsidDel="00000002">
        <w:rPr>
          <w:color w:val="000000" w:themeColor="text1"/>
          <w:sz w:val="18"/>
          <w:szCs w:val="18"/>
          <w:lang w:val="es"/>
        </w:rPr>
        <w:t xml:space="preserve">, </w:t>
      </w:r>
      <w:r w:rsidRPr="00C50459" w:rsidDel="00000003">
        <w:rPr>
          <w:i/>
          <w:color w:val="000000" w:themeColor="text1"/>
          <w:sz w:val="18"/>
          <w:szCs w:val="18"/>
          <w:lang w:val="es"/>
        </w:rPr>
        <w:t xml:space="preserve">supra </w:t>
      </w:r>
      <w:r w:rsidRPr="00C50459">
        <w:rPr>
          <w:color w:val="000000" w:themeColor="text1"/>
          <w:sz w:val="18"/>
          <w:szCs w:val="18"/>
          <w:lang w:val="es"/>
        </w:rPr>
        <w:t>nota</w:t>
      </w:r>
      <w:r w:rsidRPr="00C50459" w:rsidDel="00000004">
        <w:rPr>
          <w:color w:val="000000" w:themeColor="text1"/>
          <w:sz w:val="18"/>
          <w:szCs w:val="18"/>
          <w:lang w:val="es"/>
        </w:rPr>
        <w:t xml:space="preserve"> 3</w:t>
      </w:r>
      <w:r w:rsidRPr="00C50459" w:rsidDel="00000005">
        <w:rPr>
          <w:color w:val="000000" w:themeColor="text1"/>
          <w:sz w:val="18"/>
          <w:szCs w:val="18"/>
          <w:lang w:val="es"/>
        </w:rPr>
        <w:t>, p. 11</w:t>
      </w:r>
      <w:r w:rsidRPr="00C50459" w:rsidDel="00000006">
        <w:rPr>
          <w:color w:val="000000" w:themeColor="text1"/>
          <w:sz w:val="18"/>
          <w:szCs w:val="18"/>
          <w:lang w:val="es"/>
        </w:rPr>
        <w:t xml:space="preserve">; </w:t>
      </w:r>
      <w:r w:rsidRPr="00C50459">
        <w:rPr>
          <w:color w:val="000000" w:themeColor="text1"/>
          <w:sz w:val="18"/>
          <w:szCs w:val="18"/>
          <w:lang w:val="es"/>
        </w:rPr>
        <w:t xml:space="preserve">Grupo de Trabajo de Sociedad Civil del </w:t>
      </w:r>
      <w:r w:rsidRPr="00C50459">
        <w:rPr>
          <w:i/>
          <w:iCs/>
          <w:color w:val="000000" w:themeColor="text1"/>
          <w:sz w:val="18"/>
          <w:szCs w:val="18"/>
          <w:lang w:val="es"/>
        </w:rPr>
        <w:t xml:space="preserve">Equal Rights </w:t>
      </w:r>
      <w:proofErr w:type="spellStart"/>
      <w:r w:rsidRPr="00C50459">
        <w:rPr>
          <w:i/>
          <w:iCs/>
          <w:color w:val="000000" w:themeColor="text1"/>
          <w:sz w:val="18"/>
          <w:szCs w:val="18"/>
          <w:lang w:val="es"/>
        </w:rPr>
        <w:t>Coalition</w:t>
      </w:r>
      <w:proofErr w:type="spellEnd"/>
      <w:r w:rsidRPr="00C50459">
        <w:rPr>
          <w:i/>
          <w:iCs/>
          <w:color w:val="000000" w:themeColor="text1"/>
          <w:sz w:val="18"/>
          <w:szCs w:val="18"/>
          <w:lang w:val="es"/>
        </w:rPr>
        <w:t xml:space="preserve"> </w:t>
      </w:r>
      <w:r w:rsidRPr="00C50459">
        <w:rPr>
          <w:color w:val="000000" w:themeColor="text1"/>
          <w:sz w:val="18"/>
          <w:szCs w:val="18"/>
          <w:lang w:val="es"/>
        </w:rPr>
        <w:t>sobre COVID-</w:t>
      </w:r>
      <w:proofErr w:type="gramStart"/>
      <w:r w:rsidRPr="00C50459">
        <w:rPr>
          <w:color w:val="000000" w:themeColor="text1"/>
          <w:sz w:val="18"/>
          <w:szCs w:val="18"/>
          <w:lang w:val="es"/>
        </w:rPr>
        <w:t>19</w:t>
      </w:r>
      <w:r w:rsidRPr="00C50459" w:rsidDel="00000002">
        <w:rPr>
          <w:color w:val="000000" w:themeColor="text1"/>
          <w:sz w:val="18"/>
          <w:szCs w:val="18"/>
          <w:lang w:val="es"/>
        </w:rPr>
        <w:t xml:space="preserve">, </w:t>
      </w:r>
      <w:r w:rsidRPr="00C50459" w:rsidDel="00000007">
        <w:rPr>
          <w:i/>
          <w:color w:val="000000" w:themeColor="text1"/>
          <w:sz w:val="18"/>
          <w:szCs w:val="18"/>
          <w:lang w:val="es"/>
        </w:rPr>
        <w:t xml:space="preserve"> supra</w:t>
      </w:r>
      <w:proofErr w:type="gramEnd"/>
      <w:r w:rsidRPr="00C50459" w:rsidDel="00000007">
        <w:rPr>
          <w:i/>
          <w:color w:val="000000" w:themeColor="text1"/>
          <w:sz w:val="18"/>
          <w:szCs w:val="18"/>
          <w:lang w:val="es"/>
        </w:rPr>
        <w:t xml:space="preserve"> </w:t>
      </w:r>
      <w:r w:rsidRPr="00C50459">
        <w:rPr>
          <w:color w:val="000000" w:themeColor="text1"/>
          <w:sz w:val="18"/>
          <w:szCs w:val="18"/>
          <w:lang w:val="es"/>
        </w:rPr>
        <w:t>nota</w:t>
      </w:r>
      <w:r w:rsidRPr="00C50459" w:rsidDel="00000008">
        <w:rPr>
          <w:color w:val="000000" w:themeColor="text1"/>
          <w:sz w:val="18"/>
          <w:szCs w:val="18"/>
          <w:lang w:val="es"/>
        </w:rPr>
        <w:t xml:space="preserve"> 10, p. 6</w:t>
      </w:r>
      <w:r w:rsidRPr="00C50459" w:rsidDel="00000009">
        <w:rPr>
          <w:color w:val="000000" w:themeColor="text1"/>
          <w:sz w:val="18"/>
          <w:szCs w:val="18"/>
          <w:lang w:val="es"/>
        </w:rPr>
        <w:t>.</w:t>
      </w:r>
    </w:p>
  </w:footnote>
  <w:footnote w:id="20">
    <w:p w14:paraId="04B0119B" w14:textId="77777777" w:rsidR="00966BDF" w:rsidRPr="00C50459" w:rsidRDefault="00966BDF" w:rsidP="00966BDF">
      <w:pPr>
        <w:rPr>
          <w:color w:val="000000" w:themeColor="text1"/>
          <w:sz w:val="18"/>
          <w:szCs w:val="18"/>
        </w:rPr>
      </w:pPr>
      <w:r w:rsidRPr="00C50459" w:rsidDel="00000001">
        <w:rPr>
          <w:rStyle w:val="FootnoteReference"/>
          <w:color w:val="000000" w:themeColor="text1"/>
          <w:sz w:val="18"/>
          <w:szCs w:val="18"/>
          <w:lang w:val="es"/>
        </w:rPr>
        <w:footnoteRef/>
      </w:r>
      <w:r w:rsidRPr="00C50459" w:rsidDel="00000002">
        <w:rPr>
          <w:color w:val="000000" w:themeColor="text1"/>
          <w:sz w:val="18"/>
          <w:szCs w:val="18"/>
          <w:lang w:val="es"/>
        </w:rPr>
        <w:t xml:space="preserve"> </w:t>
      </w:r>
      <w:proofErr w:type="spellStart"/>
      <w:r w:rsidRPr="00C50459" w:rsidDel="00000002">
        <w:rPr>
          <w:color w:val="000000" w:themeColor="text1"/>
          <w:sz w:val="18"/>
          <w:szCs w:val="18"/>
          <w:lang w:val="es"/>
        </w:rPr>
        <w:t>António</w:t>
      </w:r>
      <w:proofErr w:type="spellEnd"/>
      <w:r w:rsidRPr="00C50459" w:rsidDel="00000002">
        <w:rPr>
          <w:color w:val="000000" w:themeColor="text1"/>
          <w:sz w:val="18"/>
          <w:szCs w:val="18"/>
          <w:lang w:val="es"/>
        </w:rPr>
        <w:t xml:space="preserve"> </w:t>
      </w:r>
      <w:proofErr w:type="spellStart"/>
      <w:r w:rsidRPr="00C50459" w:rsidDel="00000002">
        <w:rPr>
          <w:color w:val="000000" w:themeColor="text1"/>
          <w:sz w:val="18"/>
          <w:szCs w:val="18"/>
          <w:lang w:val="es"/>
        </w:rPr>
        <w:t>Guterres</w:t>
      </w:r>
      <w:proofErr w:type="spellEnd"/>
      <w:r w:rsidRPr="00C50459" w:rsidDel="00000003">
        <w:rPr>
          <w:color w:val="000000" w:themeColor="text1"/>
          <w:sz w:val="18"/>
          <w:szCs w:val="18"/>
          <w:lang w:val="es"/>
        </w:rPr>
        <w:t xml:space="preserve">, </w:t>
      </w:r>
      <w:r w:rsidRPr="00C50459" w:rsidDel="00000004">
        <w:rPr>
          <w:i/>
          <w:color w:val="000000" w:themeColor="text1"/>
          <w:sz w:val="18"/>
          <w:szCs w:val="18"/>
          <w:lang w:val="es"/>
        </w:rPr>
        <w:t xml:space="preserve">supra </w:t>
      </w:r>
      <w:r w:rsidRPr="00C50459">
        <w:rPr>
          <w:color w:val="000000" w:themeColor="text1"/>
          <w:sz w:val="18"/>
          <w:szCs w:val="18"/>
          <w:lang w:val="es"/>
        </w:rPr>
        <w:t>nota</w:t>
      </w:r>
      <w:r w:rsidRPr="00C50459" w:rsidDel="00000005">
        <w:rPr>
          <w:color w:val="000000" w:themeColor="text1"/>
          <w:sz w:val="18"/>
          <w:szCs w:val="18"/>
          <w:lang w:val="es"/>
        </w:rPr>
        <w:t xml:space="preserve"> 3</w:t>
      </w:r>
      <w:r w:rsidRPr="00C50459" w:rsidDel="00000006">
        <w:rPr>
          <w:color w:val="000000" w:themeColor="text1"/>
          <w:sz w:val="18"/>
          <w:szCs w:val="18"/>
          <w:lang w:val="es"/>
        </w:rPr>
        <w:t xml:space="preserve">, </w:t>
      </w:r>
      <w:r w:rsidRPr="00C50459" w:rsidDel="00000007">
        <w:rPr>
          <w:color w:val="000000" w:themeColor="text1"/>
          <w:sz w:val="18"/>
          <w:szCs w:val="18"/>
          <w:lang w:val="es"/>
        </w:rPr>
        <w:t xml:space="preserve">p. 8; </w:t>
      </w:r>
      <w:proofErr w:type="spellStart"/>
      <w:r w:rsidRPr="00C50459" w:rsidDel="00000007">
        <w:rPr>
          <w:color w:val="000000" w:themeColor="text1"/>
          <w:sz w:val="18"/>
          <w:szCs w:val="18"/>
          <w:lang w:val="es"/>
        </w:rPr>
        <w:t>Erasing</w:t>
      </w:r>
      <w:proofErr w:type="spellEnd"/>
      <w:r w:rsidRPr="00C50459" w:rsidDel="00000007">
        <w:rPr>
          <w:color w:val="000000" w:themeColor="text1"/>
          <w:sz w:val="18"/>
          <w:szCs w:val="18"/>
          <w:lang w:val="es"/>
        </w:rPr>
        <w:t xml:space="preserve"> 76 </w:t>
      </w:r>
      <w:proofErr w:type="spellStart"/>
      <w:r w:rsidRPr="00C50459" w:rsidDel="00000007">
        <w:rPr>
          <w:color w:val="000000" w:themeColor="text1"/>
          <w:sz w:val="18"/>
          <w:szCs w:val="18"/>
          <w:lang w:val="es"/>
        </w:rPr>
        <w:t>Crimes</w:t>
      </w:r>
      <w:proofErr w:type="spellEnd"/>
      <w:r w:rsidRPr="00C50459" w:rsidDel="00000007">
        <w:rPr>
          <w:color w:val="000000" w:themeColor="text1"/>
          <w:sz w:val="18"/>
          <w:szCs w:val="18"/>
          <w:lang w:val="es"/>
        </w:rPr>
        <w:t xml:space="preserve">, </w:t>
      </w:r>
      <w:hyperlink r:id="rId22" w:history="1">
        <w:r w:rsidRPr="00C50459" w:rsidDel="00000008">
          <w:rPr>
            <w:rStyle w:val="Hyperlink"/>
            <w:sz w:val="18"/>
            <w:szCs w:val="18"/>
            <w:lang w:val="es"/>
          </w:rPr>
          <w:t>“</w:t>
        </w:r>
        <w:proofErr w:type="spellStart"/>
        <w:r w:rsidRPr="00C50459" w:rsidDel="00000008">
          <w:rPr>
            <w:rStyle w:val="Hyperlink"/>
            <w:sz w:val="18"/>
            <w:szCs w:val="18"/>
            <w:lang w:val="es"/>
          </w:rPr>
          <w:t>Kenyan</w:t>
        </w:r>
        <w:proofErr w:type="spellEnd"/>
        <w:r w:rsidRPr="00C50459" w:rsidDel="00000008">
          <w:rPr>
            <w:rStyle w:val="Hyperlink"/>
            <w:sz w:val="18"/>
            <w:szCs w:val="18"/>
            <w:lang w:val="es"/>
          </w:rPr>
          <w:t xml:space="preserve"> </w:t>
        </w:r>
        <w:proofErr w:type="spellStart"/>
        <w:r w:rsidRPr="00C50459" w:rsidDel="00000008">
          <w:rPr>
            <w:rStyle w:val="Hyperlink"/>
            <w:sz w:val="18"/>
            <w:szCs w:val="18"/>
            <w:lang w:val="es"/>
          </w:rPr>
          <w:t>police</w:t>
        </w:r>
        <w:proofErr w:type="spellEnd"/>
        <w:r w:rsidRPr="00C50459" w:rsidDel="00000008">
          <w:rPr>
            <w:rStyle w:val="Hyperlink"/>
            <w:sz w:val="18"/>
            <w:szCs w:val="18"/>
            <w:lang w:val="es"/>
          </w:rPr>
          <w:t xml:space="preserve"> break up LGBT+ </w:t>
        </w:r>
        <w:proofErr w:type="spellStart"/>
        <w:r w:rsidRPr="00C50459" w:rsidDel="00000008">
          <w:rPr>
            <w:rStyle w:val="Hyperlink"/>
            <w:sz w:val="18"/>
            <w:szCs w:val="18"/>
            <w:lang w:val="es"/>
          </w:rPr>
          <w:t>refugees</w:t>
        </w:r>
        <w:proofErr w:type="spellEnd"/>
        <w:r w:rsidRPr="00C50459" w:rsidDel="00000008">
          <w:rPr>
            <w:rStyle w:val="Hyperlink"/>
            <w:sz w:val="18"/>
            <w:szCs w:val="18"/>
            <w:lang w:val="es"/>
          </w:rPr>
          <w:t xml:space="preserve">’ </w:t>
        </w:r>
        <w:proofErr w:type="spellStart"/>
        <w:r w:rsidRPr="00C50459" w:rsidDel="00000008">
          <w:rPr>
            <w:rStyle w:val="Hyperlink"/>
            <w:sz w:val="18"/>
            <w:szCs w:val="18"/>
            <w:lang w:val="es"/>
          </w:rPr>
          <w:t>protest</w:t>
        </w:r>
        <w:proofErr w:type="spellEnd"/>
        <w:r w:rsidRPr="00C50459" w:rsidDel="00000008">
          <w:rPr>
            <w:rStyle w:val="Hyperlink"/>
            <w:sz w:val="18"/>
            <w:szCs w:val="18"/>
            <w:lang w:val="es"/>
          </w:rPr>
          <w:t>”</w:t>
        </w:r>
      </w:hyperlink>
      <w:r w:rsidRPr="00C50459" w:rsidDel="00000009">
        <w:rPr>
          <w:color w:val="000000" w:themeColor="text1"/>
          <w:sz w:val="18"/>
          <w:szCs w:val="18"/>
          <w:lang w:val="es"/>
        </w:rPr>
        <w:t xml:space="preserve">, </w:t>
      </w:r>
      <w:r w:rsidRPr="00C50459">
        <w:rPr>
          <w:color w:val="000000" w:themeColor="text1"/>
          <w:sz w:val="18"/>
          <w:szCs w:val="18"/>
          <w:lang w:val="es"/>
        </w:rPr>
        <w:t>30 de abril de 2020</w:t>
      </w:r>
      <w:r w:rsidRPr="00C50459" w:rsidDel="00000009">
        <w:rPr>
          <w:color w:val="000000" w:themeColor="text1"/>
          <w:sz w:val="18"/>
          <w:szCs w:val="18"/>
          <w:lang w:val="es"/>
        </w:rPr>
        <w:t>.</w:t>
      </w:r>
    </w:p>
  </w:footnote>
  <w:footnote w:id="21">
    <w:p w14:paraId="71A0146A" w14:textId="77777777" w:rsidR="00966BDF" w:rsidRPr="00C50459" w:rsidRDefault="00966BDF" w:rsidP="00966BDF">
      <w:pPr>
        <w:pBdr>
          <w:top w:val="nil"/>
          <w:left w:val="nil"/>
          <w:bottom w:val="nil"/>
          <w:right w:val="nil"/>
          <w:between w:val="nil"/>
        </w:pBdr>
        <w:rPr>
          <w:color w:val="000000" w:themeColor="text1"/>
          <w:sz w:val="18"/>
          <w:szCs w:val="18"/>
        </w:rPr>
      </w:pPr>
      <w:r w:rsidRPr="00C50459" w:rsidDel="00000001">
        <w:rPr>
          <w:color w:val="000000" w:themeColor="text1"/>
          <w:sz w:val="18"/>
          <w:szCs w:val="18"/>
          <w:vertAlign w:val="superscript"/>
          <w:lang w:val="es"/>
        </w:rPr>
        <w:footnoteRef/>
      </w:r>
      <w:r w:rsidRPr="00C50459" w:rsidDel="00000002">
        <w:rPr>
          <w:color w:val="000000" w:themeColor="text1"/>
          <w:sz w:val="18"/>
          <w:szCs w:val="18"/>
          <w:lang w:val="es"/>
        </w:rPr>
        <w:t xml:space="preserve"> </w:t>
      </w:r>
      <w:proofErr w:type="spellStart"/>
      <w:r w:rsidRPr="00C50459" w:rsidDel="00000002">
        <w:rPr>
          <w:color w:val="000000" w:themeColor="text1"/>
          <w:sz w:val="18"/>
          <w:szCs w:val="18"/>
          <w:lang w:val="es"/>
        </w:rPr>
        <w:t>António</w:t>
      </w:r>
      <w:proofErr w:type="spellEnd"/>
      <w:r w:rsidRPr="00C50459" w:rsidDel="00000002">
        <w:rPr>
          <w:color w:val="000000" w:themeColor="text1"/>
          <w:sz w:val="18"/>
          <w:szCs w:val="18"/>
          <w:lang w:val="es"/>
        </w:rPr>
        <w:t xml:space="preserve"> </w:t>
      </w:r>
      <w:proofErr w:type="spellStart"/>
      <w:r w:rsidRPr="00C50459" w:rsidDel="00000002">
        <w:rPr>
          <w:color w:val="000000" w:themeColor="text1"/>
          <w:sz w:val="18"/>
          <w:szCs w:val="18"/>
          <w:lang w:val="es"/>
        </w:rPr>
        <w:t>Guterres</w:t>
      </w:r>
      <w:proofErr w:type="spellEnd"/>
      <w:r w:rsidRPr="00C50459" w:rsidDel="00000002">
        <w:rPr>
          <w:color w:val="000000" w:themeColor="text1"/>
          <w:sz w:val="18"/>
          <w:szCs w:val="18"/>
          <w:lang w:val="es"/>
        </w:rPr>
        <w:t xml:space="preserve">, </w:t>
      </w:r>
      <w:r w:rsidRPr="00C50459" w:rsidDel="00000003">
        <w:rPr>
          <w:i/>
          <w:color w:val="000000" w:themeColor="text1"/>
          <w:sz w:val="18"/>
          <w:szCs w:val="18"/>
          <w:lang w:val="es"/>
        </w:rPr>
        <w:t xml:space="preserve">supra </w:t>
      </w:r>
      <w:r w:rsidRPr="00C50459">
        <w:rPr>
          <w:color w:val="000000" w:themeColor="text1"/>
          <w:sz w:val="18"/>
          <w:szCs w:val="18"/>
          <w:lang w:val="es"/>
        </w:rPr>
        <w:t>nota</w:t>
      </w:r>
      <w:r w:rsidRPr="00C50459" w:rsidDel="00000004">
        <w:rPr>
          <w:color w:val="000000" w:themeColor="text1"/>
          <w:sz w:val="18"/>
          <w:szCs w:val="18"/>
          <w:lang w:val="es"/>
        </w:rPr>
        <w:t xml:space="preserve"> 3</w:t>
      </w:r>
      <w:r w:rsidRPr="00C50459" w:rsidDel="00000005">
        <w:rPr>
          <w:color w:val="000000" w:themeColor="text1"/>
          <w:sz w:val="18"/>
          <w:szCs w:val="18"/>
          <w:lang w:val="es"/>
        </w:rPr>
        <w:t xml:space="preserve">, </w:t>
      </w:r>
      <w:r w:rsidRPr="00C50459" w:rsidDel="00000006">
        <w:rPr>
          <w:color w:val="000000" w:themeColor="text1"/>
          <w:sz w:val="18"/>
          <w:szCs w:val="18"/>
          <w:lang w:val="es"/>
        </w:rPr>
        <w:t>p. 11</w:t>
      </w:r>
      <w:r w:rsidRPr="00C50459" w:rsidDel="00000007">
        <w:rPr>
          <w:color w:val="000000" w:themeColor="text1"/>
          <w:sz w:val="18"/>
          <w:szCs w:val="18"/>
          <w:lang w:val="es"/>
        </w:rPr>
        <w:t xml:space="preserve">; Equal Rights </w:t>
      </w:r>
      <w:proofErr w:type="spellStart"/>
      <w:r w:rsidRPr="00C50459" w:rsidDel="00000007">
        <w:rPr>
          <w:color w:val="000000" w:themeColor="text1"/>
          <w:sz w:val="18"/>
          <w:szCs w:val="18"/>
          <w:lang w:val="es"/>
        </w:rPr>
        <w:t>Coalition</w:t>
      </w:r>
      <w:proofErr w:type="spellEnd"/>
      <w:r w:rsidRPr="00C50459" w:rsidDel="00000007">
        <w:rPr>
          <w:color w:val="000000" w:themeColor="text1"/>
          <w:sz w:val="18"/>
          <w:szCs w:val="18"/>
          <w:lang w:val="es"/>
        </w:rPr>
        <w:t xml:space="preserve"> Civil Society </w:t>
      </w:r>
      <w:proofErr w:type="spellStart"/>
      <w:r w:rsidRPr="00C50459" w:rsidDel="00000007">
        <w:rPr>
          <w:color w:val="000000" w:themeColor="text1"/>
          <w:sz w:val="18"/>
          <w:szCs w:val="18"/>
          <w:lang w:val="es"/>
        </w:rPr>
        <w:t>Organisations</w:t>
      </w:r>
      <w:proofErr w:type="spellEnd"/>
      <w:r w:rsidRPr="00C50459" w:rsidDel="00000007">
        <w:rPr>
          <w:color w:val="000000" w:themeColor="text1"/>
          <w:sz w:val="18"/>
          <w:szCs w:val="18"/>
          <w:lang w:val="es"/>
        </w:rPr>
        <w:t xml:space="preserve"> Working Group on COVID-19, </w:t>
      </w:r>
      <w:r w:rsidRPr="00C50459" w:rsidDel="00000008">
        <w:rPr>
          <w:i/>
          <w:color w:val="000000" w:themeColor="text1"/>
          <w:sz w:val="18"/>
          <w:szCs w:val="18"/>
          <w:lang w:val="es"/>
        </w:rPr>
        <w:t xml:space="preserve">supra </w:t>
      </w:r>
      <w:r w:rsidRPr="00C50459">
        <w:rPr>
          <w:color w:val="000000" w:themeColor="text1"/>
          <w:sz w:val="18"/>
          <w:szCs w:val="18"/>
          <w:lang w:val="es"/>
        </w:rPr>
        <w:t>nota</w:t>
      </w:r>
      <w:r w:rsidRPr="00C50459" w:rsidDel="00000009">
        <w:rPr>
          <w:color w:val="000000" w:themeColor="text1"/>
          <w:sz w:val="18"/>
          <w:szCs w:val="18"/>
          <w:lang w:val="es"/>
        </w:rPr>
        <w:t xml:space="preserve"> 10</w:t>
      </w:r>
      <w:r w:rsidRPr="00C50459" w:rsidDel="00000010">
        <w:rPr>
          <w:color w:val="000000" w:themeColor="text1"/>
          <w:sz w:val="18"/>
          <w:szCs w:val="18"/>
          <w:lang w:val="es"/>
        </w:rPr>
        <w:t>, p.6</w:t>
      </w:r>
      <w:r w:rsidRPr="00C50459" w:rsidDel="00000011">
        <w:rPr>
          <w:color w:val="000000" w:themeColor="text1"/>
          <w:sz w:val="18"/>
          <w:szCs w:val="18"/>
          <w:lang w:val="es"/>
        </w:rPr>
        <w:t xml:space="preserve">; </w:t>
      </w:r>
      <w:proofErr w:type="spellStart"/>
      <w:r w:rsidRPr="00C50459" w:rsidDel="00000011">
        <w:rPr>
          <w:color w:val="000000" w:themeColor="text1"/>
          <w:sz w:val="18"/>
          <w:szCs w:val="18"/>
          <w:lang w:val="es"/>
        </w:rPr>
        <w:t>Rainbow</w:t>
      </w:r>
      <w:proofErr w:type="spellEnd"/>
      <w:r w:rsidRPr="00C50459" w:rsidDel="00000011">
        <w:rPr>
          <w:color w:val="000000" w:themeColor="text1"/>
          <w:sz w:val="18"/>
          <w:szCs w:val="18"/>
          <w:lang w:val="es"/>
        </w:rPr>
        <w:t xml:space="preserve"> </w:t>
      </w:r>
      <w:proofErr w:type="spellStart"/>
      <w:r w:rsidRPr="00C50459" w:rsidDel="00000011">
        <w:rPr>
          <w:color w:val="000000" w:themeColor="text1"/>
          <w:sz w:val="18"/>
          <w:szCs w:val="18"/>
          <w:lang w:val="es"/>
        </w:rPr>
        <w:t>Railroad</w:t>
      </w:r>
      <w:proofErr w:type="spellEnd"/>
      <w:r w:rsidRPr="00C50459" w:rsidDel="00000011">
        <w:rPr>
          <w:color w:val="000000" w:themeColor="text1"/>
          <w:sz w:val="18"/>
          <w:szCs w:val="18"/>
          <w:lang w:val="es"/>
        </w:rPr>
        <w:t xml:space="preserve">, </w:t>
      </w:r>
      <w:hyperlink r:id="rId23" w:history="1">
        <w:r w:rsidRPr="00C50459" w:rsidDel="00000012">
          <w:rPr>
            <w:rStyle w:val="Hyperlink"/>
            <w:sz w:val="18"/>
            <w:szCs w:val="18"/>
            <w:lang w:val="es"/>
          </w:rPr>
          <w:t>“</w:t>
        </w:r>
        <w:proofErr w:type="spellStart"/>
        <w:r w:rsidRPr="00C50459" w:rsidDel="00000012">
          <w:rPr>
            <w:rStyle w:val="Hyperlink"/>
            <w:sz w:val="18"/>
            <w:szCs w:val="18"/>
            <w:lang w:val="es"/>
          </w:rPr>
          <w:t>The</w:t>
        </w:r>
        <w:proofErr w:type="spellEnd"/>
        <w:r w:rsidRPr="00C50459" w:rsidDel="00000012">
          <w:rPr>
            <w:rStyle w:val="Hyperlink"/>
            <w:sz w:val="18"/>
            <w:szCs w:val="18"/>
            <w:lang w:val="es"/>
          </w:rPr>
          <w:t xml:space="preserve"> </w:t>
        </w:r>
        <w:proofErr w:type="spellStart"/>
        <w:r w:rsidRPr="00C50459" w:rsidDel="00000012">
          <w:rPr>
            <w:rStyle w:val="Hyperlink"/>
            <w:sz w:val="18"/>
            <w:szCs w:val="18"/>
            <w:lang w:val="es"/>
          </w:rPr>
          <w:t>Impact</w:t>
        </w:r>
        <w:proofErr w:type="spellEnd"/>
        <w:r w:rsidRPr="00C50459" w:rsidDel="00000012">
          <w:rPr>
            <w:rStyle w:val="Hyperlink"/>
            <w:sz w:val="18"/>
            <w:szCs w:val="18"/>
            <w:lang w:val="es"/>
          </w:rPr>
          <w:t xml:space="preserve"> of COVID-19 on Displaced LGBTQI </w:t>
        </w:r>
        <w:proofErr w:type="spellStart"/>
        <w:r w:rsidRPr="00C50459" w:rsidDel="00000012">
          <w:rPr>
            <w:rStyle w:val="Hyperlink"/>
            <w:sz w:val="18"/>
            <w:szCs w:val="18"/>
            <w:lang w:val="es"/>
          </w:rPr>
          <w:t>Persons</w:t>
        </w:r>
        <w:proofErr w:type="spellEnd"/>
        <w:r w:rsidRPr="00C50459" w:rsidDel="00000012">
          <w:rPr>
            <w:rStyle w:val="Hyperlink"/>
            <w:sz w:val="18"/>
            <w:szCs w:val="18"/>
            <w:lang w:val="es"/>
          </w:rPr>
          <w:t>”</w:t>
        </w:r>
      </w:hyperlink>
      <w:r w:rsidRPr="00C50459" w:rsidDel="00000013">
        <w:rPr>
          <w:color w:val="000000" w:themeColor="text1"/>
          <w:sz w:val="18"/>
          <w:szCs w:val="18"/>
          <w:lang w:val="es"/>
        </w:rPr>
        <w:t xml:space="preserve">, p. 23, </w:t>
      </w:r>
      <w:r w:rsidRPr="00C50459">
        <w:rPr>
          <w:color w:val="000000" w:themeColor="text1"/>
          <w:sz w:val="18"/>
          <w:szCs w:val="18"/>
          <w:lang w:val="es"/>
        </w:rPr>
        <w:t>junio de 2020</w:t>
      </w:r>
      <w:r w:rsidRPr="00C50459" w:rsidDel="00000013">
        <w:rPr>
          <w:color w:val="000000" w:themeColor="text1"/>
          <w:sz w:val="18"/>
          <w:szCs w:val="18"/>
          <w:lang w:val="es"/>
        </w:rPr>
        <w:t xml:space="preserve">. </w:t>
      </w:r>
    </w:p>
  </w:footnote>
  <w:footnote w:id="22">
    <w:p w14:paraId="253C0DB0" w14:textId="77777777" w:rsidR="00966BDF" w:rsidRPr="00C50459" w:rsidRDefault="00966BDF" w:rsidP="00966BDF">
      <w:pPr>
        <w:rPr>
          <w:color w:val="000000" w:themeColor="text1"/>
          <w:sz w:val="18"/>
          <w:szCs w:val="18"/>
        </w:rPr>
      </w:pPr>
      <w:r w:rsidRPr="00C50459" w:rsidDel="00000001">
        <w:rPr>
          <w:color w:val="000000" w:themeColor="text1"/>
          <w:sz w:val="18"/>
          <w:szCs w:val="18"/>
          <w:vertAlign w:val="superscript"/>
          <w:lang w:val="es"/>
        </w:rPr>
        <w:footnoteRef/>
      </w:r>
      <w:r w:rsidRPr="00C50459" w:rsidDel="00000002">
        <w:rPr>
          <w:color w:val="000000" w:themeColor="text1"/>
          <w:sz w:val="18"/>
          <w:szCs w:val="18"/>
          <w:lang w:val="es"/>
        </w:rPr>
        <w:t xml:space="preserve"> APCOM,</w:t>
      </w:r>
      <w:hyperlink r:id="rId24" w:history="1">
        <w:r w:rsidRPr="00C50459" w:rsidDel="00000003">
          <w:rPr>
            <w:rStyle w:val="Hyperlink"/>
            <w:sz w:val="18"/>
            <w:szCs w:val="18"/>
            <w:lang w:val="es"/>
          </w:rPr>
          <w:t xml:space="preserve"> “COVID-19 and </w:t>
        </w:r>
        <w:proofErr w:type="spellStart"/>
        <w:r w:rsidRPr="00C50459" w:rsidDel="00000003">
          <w:rPr>
            <w:rStyle w:val="Hyperlink"/>
            <w:sz w:val="18"/>
            <w:szCs w:val="18"/>
            <w:lang w:val="es"/>
          </w:rPr>
          <w:t>its</w:t>
        </w:r>
        <w:proofErr w:type="spellEnd"/>
        <w:r w:rsidRPr="00C50459" w:rsidDel="00000003">
          <w:rPr>
            <w:rStyle w:val="Hyperlink"/>
            <w:sz w:val="18"/>
            <w:szCs w:val="18"/>
            <w:lang w:val="es"/>
          </w:rPr>
          <w:t xml:space="preserve"> </w:t>
        </w:r>
        <w:proofErr w:type="spellStart"/>
        <w:r w:rsidRPr="00C50459" w:rsidDel="00000003">
          <w:rPr>
            <w:rStyle w:val="Hyperlink"/>
            <w:sz w:val="18"/>
            <w:szCs w:val="18"/>
            <w:lang w:val="es"/>
          </w:rPr>
          <w:t>effects</w:t>
        </w:r>
        <w:proofErr w:type="spellEnd"/>
        <w:r w:rsidRPr="00C50459" w:rsidDel="00000003">
          <w:rPr>
            <w:rStyle w:val="Hyperlink"/>
            <w:sz w:val="18"/>
            <w:szCs w:val="18"/>
            <w:lang w:val="es"/>
          </w:rPr>
          <w:t xml:space="preserve"> on </w:t>
        </w:r>
        <w:proofErr w:type="spellStart"/>
        <w:r w:rsidRPr="00C50459" w:rsidDel="00000003">
          <w:rPr>
            <w:rStyle w:val="Hyperlink"/>
            <w:sz w:val="18"/>
            <w:szCs w:val="18"/>
            <w:lang w:val="es"/>
          </w:rPr>
          <w:t>diverse</w:t>
        </w:r>
        <w:proofErr w:type="spellEnd"/>
        <w:r w:rsidRPr="00C50459" w:rsidDel="00000003">
          <w:rPr>
            <w:rStyle w:val="Hyperlink"/>
            <w:sz w:val="18"/>
            <w:szCs w:val="18"/>
            <w:lang w:val="es"/>
          </w:rPr>
          <w:t xml:space="preserve"> SOGIESC </w:t>
        </w:r>
        <w:proofErr w:type="spellStart"/>
        <w:r w:rsidRPr="00C50459" w:rsidDel="00000003">
          <w:rPr>
            <w:rStyle w:val="Hyperlink"/>
            <w:sz w:val="18"/>
            <w:szCs w:val="18"/>
            <w:lang w:val="es"/>
          </w:rPr>
          <w:t>communities</w:t>
        </w:r>
        <w:proofErr w:type="spellEnd"/>
        <w:r w:rsidRPr="00C50459" w:rsidDel="00000003">
          <w:rPr>
            <w:rStyle w:val="Hyperlink"/>
            <w:sz w:val="18"/>
            <w:szCs w:val="18"/>
            <w:lang w:val="es"/>
          </w:rPr>
          <w:t xml:space="preserve">, HIV </w:t>
        </w:r>
        <w:proofErr w:type="spellStart"/>
        <w:r w:rsidRPr="00C50459" w:rsidDel="00000003">
          <w:rPr>
            <w:rStyle w:val="Hyperlink"/>
            <w:sz w:val="18"/>
            <w:szCs w:val="18"/>
            <w:lang w:val="es"/>
          </w:rPr>
          <w:t>services</w:t>
        </w:r>
        <w:proofErr w:type="spellEnd"/>
        <w:r w:rsidRPr="00C50459" w:rsidDel="00000003">
          <w:rPr>
            <w:rStyle w:val="Hyperlink"/>
            <w:sz w:val="18"/>
            <w:szCs w:val="18"/>
            <w:lang w:val="es"/>
          </w:rPr>
          <w:t xml:space="preserve"> and Key </w:t>
        </w:r>
        <w:proofErr w:type="spellStart"/>
        <w:r w:rsidRPr="00C50459" w:rsidDel="00000003">
          <w:rPr>
            <w:rStyle w:val="Hyperlink"/>
            <w:sz w:val="18"/>
            <w:szCs w:val="18"/>
            <w:lang w:val="es"/>
          </w:rPr>
          <w:t>Populations</w:t>
        </w:r>
        <w:proofErr w:type="spellEnd"/>
        <w:r w:rsidRPr="00C50459" w:rsidDel="00000003">
          <w:rPr>
            <w:rStyle w:val="Hyperlink"/>
            <w:sz w:val="18"/>
            <w:szCs w:val="18"/>
            <w:lang w:val="es"/>
          </w:rPr>
          <w:t>”</w:t>
        </w:r>
      </w:hyperlink>
      <w:r w:rsidRPr="00C50459" w:rsidDel="00000004">
        <w:rPr>
          <w:color w:val="000000" w:themeColor="text1"/>
          <w:sz w:val="18"/>
          <w:szCs w:val="18"/>
          <w:lang w:val="es"/>
        </w:rPr>
        <w:t>.</w:t>
      </w:r>
    </w:p>
  </w:footnote>
  <w:footnote w:id="23">
    <w:p w14:paraId="0BE5D110" w14:textId="77777777" w:rsidR="00966BDF" w:rsidRPr="00C50459" w:rsidRDefault="00966BDF" w:rsidP="00966BDF">
      <w:pPr>
        <w:rPr>
          <w:color w:val="000000" w:themeColor="text1"/>
          <w:sz w:val="18"/>
          <w:szCs w:val="18"/>
        </w:rPr>
      </w:pPr>
      <w:r w:rsidRPr="00C50459" w:rsidDel="00000001">
        <w:rPr>
          <w:rStyle w:val="FootnoteReference"/>
          <w:color w:val="000000" w:themeColor="text1"/>
          <w:sz w:val="18"/>
          <w:szCs w:val="18"/>
          <w:lang w:val="es"/>
        </w:rPr>
        <w:footnoteRef/>
      </w:r>
      <w:r w:rsidRPr="00C50459" w:rsidDel="00000002">
        <w:rPr>
          <w:color w:val="000000" w:themeColor="text1"/>
          <w:sz w:val="18"/>
          <w:szCs w:val="18"/>
          <w:lang w:val="es"/>
        </w:rPr>
        <w:t xml:space="preserve"> </w:t>
      </w:r>
      <w:proofErr w:type="spellStart"/>
      <w:r w:rsidRPr="00C50459" w:rsidDel="00000002">
        <w:rPr>
          <w:color w:val="000000" w:themeColor="text1"/>
          <w:sz w:val="18"/>
          <w:szCs w:val="18"/>
          <w:lang w:val="es"/>
        </w:rPr>
        <w:t>Nita</w:t>
      </w:r>
      <w:proofErr w:type="spellEnd"/>
      <w:r w:rsidRPr="00C50459" w:rsidDel="00000002">
        <w:rPr>
          <w:color w:val="000000" w:themeColor="text1"/>
          <w:sz w:val="18"/>
          <w:szCs w:val="18"/>
          <w:lang w:val="es"/>
        </w:rPr>
        <w:t xml:space="preserve"> </w:t>
      </w:r>
      <w:proofErr w:type="spellStart"/>
      <w:r w:rsidRPr="00C50459" w:rsidDel="00000002">
        <w:rPr>
          <w:color w:val="000000" w:themeColor="text1"/>
          <w:sz w:val="18"/>
          <w:szCs w:val="18"/>
          <w:lang w:val="es"/>
        </w:rPr>
        <w:t>Bhalla</w:t>
      </w:r>
      <w:proofErr w:type="spellEnd"/>
      <w:r w:rsidRPr="00C50459" w:rsidDel="00000002">
        <w:rPr>
          <w:color w:val="000000" w:themeColor="text1"/>
          <w:sz w:val="18"/>
          <w:szCs w:val="18"/>
          <w:lang w:val="es"/>
        </w:rPr>
        <w:t xml:space="preserve"> &amp; Oscar Lopez, </w:t>
      </w:r>
      <w:hyperlink r:id="rId25" w:history="1">
        <w:r w:rsidRPr="00C50459" w:rsidDel="00000003">
          <w:rPr>
            <w:rStyle w:val="Hyperlink"/>
            <w:sz w:val="18"/>
            <w:szCs w:val="18"/>
            <w:lang w:val="es"/>
          </w:rPr>
          <w:t xml:space="preserve">“No medicine, no </w:t>
        </w:r>
        <w:proofErr w:type="spellStart"/>
        <w:r w:rsidRPr="00C50459" w:rsidDel="00000003">
          <w:rPr>
            <w:rStyle w:val="Hyperlink"/>
            <w:sz w:val="18"/>
            <w:szCs w:val="18"/>
            <w:lang w:val="es"/>
          </w:rPr>
          <w:t>food</w:t>
        </w:r>
        <w:proofErr w:type="spellEnd"/>
        <w:r w:rsidRPr="00C50459" w:rsidDel="00000003">
          <w:rPr>
            <w:rStyle w:val="Hyperlink"/>
            <w:sz w:val="18"/>
            <w:szCs w:val="18"/>
            <w:lang w:val="es"/>
          </w:rPr>
          <w:t xml:space="preserve">: Coronavirus </w:t>
        </w:r>
        <w:proofErr w:type="spellStart"/>
        <w:r w:rsidRPr="00C50459" w:rsidDel="00000003">
          <w:rPr>
            <w:rStyle w:val="Hyperlink"/>
            <w:sz w:val="18"/>
            <w:szCs w:val="18"/>
            <w:lang w:val="es"/>
          </w:rPr>
          <w:t>restrictions</w:t>
        </w:r>
        <w:proofErr w:type="spellEnd"/>
        <w:r w:rsidRPr="00C50459" w:rsidDel="00000003">
          <w:rPr>
            <w:rStyle w:val="Hyperlink"/>
            <w:sz w:val="18"/>
            <w:szCs w:val="18"/>
            <w:lang w:val="es"/>
          </w:rPr>
          <w:t xml:space="preserve"> </w:t>
        </w:r>
        <w:proofErr w:type="spellStart"/>
        <w:r w:rsidRPr="00C50459" w:rsidDel="00000003">
          <w:rPr>
            <w:rStyle w:val="Hyperlink"/>
            <w:sz w:val="18"/>
            <w:szCs w:val="18"/>
            <w:lang w:val="es"/>
          </w:rPr>
          <w:t>amplify</w:t>
        </w:r>
        <w:proofErr w:type="spellEnd"/>
        <w:r w:rsidRPr="00C50459" w:rsidDel="00000003">
          <w:rPr>
            <w:rStyle w:val="Hyperlink"/>
            <w:sz w:val="18"/>
            <w:szCs w:val="18"/>
            <w:lang w:val="es"/>
          </w:rPr>
          <w:t xml:space="preserve"> </w:t>
        </w:r>
        <w:proofErr w:type="spellStart"/>
        <w:r w:rsidRPr="00C50459" w:rsidDel="00000003">
          <w:rPr>
            <w:rStyle w:val="Hyperlink"/>
            <w:sz w:val="18"/>
            <w:szCs w:val="18"/>
            <w:lang w:val="es"/>
          </w:rPr>
          <w:t>health</w:t>
        </w:r>
        <w:proofErr w:type="spellEnd"/>
        <w:r w:rsidRPr="00C50459" w:rsidDel="00000003">
          <w:rPr>
            <w:rStyle w:val="Hyperlink"/>
            <w:sz w:val="18"/>
            <w:szCs w:val="18"/>
            <w:lang w:val="es"/>
          </w:rPr>
          <w:t xml:space="preserve"> </w:t>
        </w:r>
        <w:proofErr w:type="spellStart"/>
        <w:r w:rsidRPr="00C50459" w:rsidDel="00000003">
          <w:rPr>
            <w:rStyle w:val="Hyperlink"/>
            <w:sz w:val="18"/>
            <w:szCs w:val="18"/>
            <w:lang w:val="es"/>
          </w:rPr>
          <w:t>risks</w:t>
        </w:r>
        <w:proofErr w:type="spellEnd"/>
        <w:r w:rsidRPr="00C50459" w:rsidDel="00000003">
          <w:rPr>
            <w:rStyle w:val="Hyperlink"/>
            <w:sz w:val="18"/>
            <w:szCs w:val="18"/>
            <w:lang w:val="es"/>
          </w:rPr>
          <w:t xml:space="preserve"> to LGBT+ </w:t>
        </w:r>
        <w:proofErr w:type="spellStart"/>
        <w:r w:rsidRPr="00C50459" w:rsidDel="00000003">
          <w:rPr>
            <w:rStyle w:val="Hyperlink"/>
            <w:sz w:val="18"/>
            <w:szCs w:val="18"/>
            <w:lang w:val="es"/>
          </w:rPr>
          <w:t>people</w:t>
        </w:r>
        <w:proofErr w:type="spellEnd"/>
        <w:r w:rsidRPr="00C50459" w:rsidDel="00000003">
          <w:rPr>
            <w:rStyle w:val="Hyperlink"/>
            <w:sz w:val="18"/>
            <w:szCs w:val="18"/>
            <w:lang w:val="es"/>
          </w:rPr>
          <w:t xml:space="preserve"> </w:t>
        </w:r>
        <w:proofErr w:type="spellStart"/>
        <w:r w:rsidRPr="00C50459" w:rsidDel="00000003">
          <w:rPr>
            <w:rStyle w:val="Hyperlink"/>
            <w:sz w:val="18"/>
            <w:szCs w:val="18"/>
            <w:lang w:val="es"/>
          </w:rPr>
          <w:t>with</w:t>
        </w:r>
        <w:proofErr w:type="spellEnd"/>
        <w:r w:rsidRPr="00C50459" w:rsidDel="00000003">
          <w:rPr>
            <w:rStyle w:val="Hyperlink"/>
            <w:sz w:val="18"/>
            <w:szCs w:val="18"/>
            <w:lang w:val="es"/>
          </w:rPr>
          <w:t xml:space="preserve"> HIV”</w:t>
        </w:r>
      </w:hyperlink>
      <w:r w:rsidRPr="00C50459" w:rsidDel="00000004">
        <w:rPr>
          <w:color w:val="000000" w:themeColor="text1"/>
          <w:sz w:val="18"/>
          <w:szCs w:val="18"/>
          <w:lang w:val="es"/>
        </w:rPr>
        <w:t xml:space="preserve">, Reuters, </w:t>
      </w:r>
      <w:r w:rsidRPr="00C50459">
        <w:rPr>
          <w:color w:val="000000" w:themeColor="text1"/>
          <w:sz w:val="18"/>
          <w:szCs w:val="18"/>
          <w:lang w:val="es"/>
        </w:rPr>
        <w:t>20 de mayo de 2020</w:t>
      </w:r>
      <w:r w:rsidRPr="00C50459" w:rsidDel="00000004">
        <w:rPr>
          <w:color w:val="000000" w:themeColor="text1"/>
          <w:sz w:val="18"/>
          <w:szCs w:val="18"/>
          <w:lang w:val="es"/>
        </w:rPr>
        <w:t>.</w:t>
      </w:r>
    </w:p>
  </w:footnote>
  <w:footnote w:id="24">
    <w:p w14:paraId="0A92082A" w14:textId="77777777" w:rsidR="00966BDF" w:rsidRPr="00C50459" w:rsidRDefault="00966BDF" w:rsidP="00966BDF">
      <w:pPr>
        <w:rPr>
          <w:color w:val="000000" w:themeColor="text1"/>
          <w:sz w:val="18"/>
          <w:szCs w:val="18"/>
          <w:lang w:val="fr-CH"/>
        </w:rPr>
      </w:pPr>
      <w:r w:rsidRPr="00C50459" w:rsidDel="00000001">
        <w:rPr>
          <w:color w:val="000000" w:themeColor="text1"/>
          <w:sz w:val="18"/>
          <w:szCs w:val="18"/>
          <w:vertAlign w:val="superscript"/>
          <w:lang w:val="es"/>
        </w:rPr>
        <w:footnoteRef/>
      </w:r>
      <w:r w:rsidRPr="00C50459" w:rsidDel="00000002">
        <w:rPr>
          <w:color w:val="000000" w:themeColor="text1"/>
          <w:sz w:val="18"/>
          <w:szCs w:val="18"/>
          <w:lang w:val="es"/>
        </w:rPr>
        <w:t xml:space="preserve"> PEPFAR </w:t>
      </w:r>
      <w:r w:rsidRPr="00C50459" w:rsidDel="00000003">
        <w:rPr>
          <w:i/>
          <w:color w:val="000000" w:themeColor="text1"/>
          <w:sz w:val="18"/>
          <w:szCs w:val="18"/>
          <w:lang w:val="es"/>
        </w:rPr>
        <w:t>et al</w:t>
      </w:r>
      <w:r w:rsidRPr="00C50459" w:rsidDel="00000004">
        <w:rPr>
          <w:color w:val="000000" w:themeColor="text1"/>
          <w:sz w:val="18"/>
          <w:szCs w:val="18"/>
          <w:lang w:val="es"/>
        </w:rPr>
        <w:t xml:space="preserve">., </w:t>
      </w:r>
      <w:r w:rsidRPr="00C50459" w:rsidDel="00000005">
        <w:rPr>
          <w:i/>
          <w:color w:val="000000" w:themeColor="text1"/>
          <w:sz w:val="18"/>
          <w:szCs w:val="18"/>
          <w:lang w:val="es"/>
        </w:rPr>
        <w:t xml:space="preserve">supra </w:t>
      </w:r>
      <w:r w:rsidRPr="00C50459">
        <w:rPr>
          <w:color w:val="000000" w:themeColor="text1"/>
          <w:sz w:val="18"/>
          <w:szCs w:val="18"/>
          <w:lang w:val="es"/>
        </w:rPr>
        <w:t>nota</w:t>
      </w:r>
      <w:r w:rsidRPr="00C50459" w:rsidDel="00000006">
        <w:rPr>
          <w:color w:val="000000" w:themeColor="text1"/>
          <w:sz w:val="18"/>
          <w:szCs w:val="18"/>
          <w:lang w:val="es"/>
        </w:rPr>
        <w:t xml:space="preserve"> 18. </w:t>
      </w:r>
    </w:p>
  </w:footnote>
  <w:footnote w:id="25">
    <w:p w14:paraId="1F4FF353" w14:textId="77777777" w:rsidR="00966BDF" w:rsidRPr="00C50459" w:rsidRDefault="00966BDF" w:rsidP="00966BDF">
      <w:pPr>
        <w:pStyle w:val="FootnoteText"/>
        <w:rPr>
          <w:rFonts w:ascii="Times New Roman" w:hAnsi="Times New Roman" w:cs="Times New Roman"/>
          <w:color w:val="000000" w:themeColor="text1"/>
          <w:sz w:val="18"/>
          <w:szCs w:val="18"/>
        </w:rPr>
      </w:pPr>
      <w:r w:rsidRPr="00C50459" w:rsidDel="00000001">
        <w:rPr>
          <w:rStyle w:val="FootnoteReference"/>
          <w:rFonts w:ascii="Times New Roman" w:hAnsi="Times New Roman"/>
          <w:color w:val="000000" w:themeColor="text1"/>
          <w:sz w:val="18"/>
          <w:szCs w:val="18"/>
          <w:lang w:val="es"/>
        </w:rPr>
        <w:footnoteRef/>
      </w:r>
      <w:r w:rsidRPr="00C50459" w:rsidDel="00000002">
        <w:rPr>
          <w:rFonts w:ascii="Times New Roman" w:hAnsi="Times New Roman" w:cs="Times New Roman"/>
          <w:color w:val="000000" w:themeColor="text1"/>
          <w:sz w:val="18"/>
          <w:szCs w:val="18"/>
          <w:lang w:val="es"/>
        </w:rPr>
        <w:t xml:space="preserve"> Global </w:t>
      </w:r>
      <w:proofErr w:type="spellStart"/>
      <w:r w:rsidRPr="00C50459" w:rsidDel="00000002">
        <w:rPr>
          <w:rFonts w:ascii="Times New Roman" w:hAnsi="Times New Roman" w:cs="Times New Roman"/>
          <w:color w:val="000000" w:themeColor="text1"/>
          <w:sz w:val="18"/>
          <w:szCs w:val="18"/>
          <w:lang w:val="es"/>
        </w:rPr>
        <w:t>Philanthropy</w:t>
      </w:r>
      <w:proofErr w:type="spellEnd"/>
      <w:r w:rsidRPr="00C50459" w:rsidDel="00000002">
        <w:rPr>
          <w:rFonts w:ascii="Times New Roman" w:hAnsi="Times New Roman" w:cs="Times New Roman"/>
          <w:color w:val="000000" w:themeColor="text1"/>
          <w:sz w:val="18"/>
          <w:szCs w:val="18"/>
          <w:lang w:val="es"/>
        </w:rPr>
        <w:t xml:space="preserve"> Project</w:t>
      </w:r>
      <w:r w:rsidRPr="00C50459" w:rsidDel="00000003">
        <w:rPr>
          <w:rFonts w:ascii="Times New Roman" w:hAnsi="Times New Roman" w:cs="Times New Roman"/>
          <w:color w:val="000000" w:themeColor="text1"/>
          <w:sz w:val="18"/>
          <w:szCs w:val="18"/>
          <w:lang w:val="es"/>
        </w:rPr>
        <w:t xml:space="preserve">, </w:t>
      </w:r>
      <w:hyperlink r:id="rId26" w:history="1">
        <w:r w:rsidRPr="00C50459" w:rsidDel="00000004">
          <w:rPr>
            <w:rStyle w:val="Hyperlink"/>
            <w:rFonts w:ascii="Times New Roman" w:hAnsi="Times New Roman" w:cs="Times New Roman"/>
            <w:sz w:val="18"/>
            <w:szCs w:val="18"/>
            <w:lang w:val="es"/>
          </w:rPr>
          <w:t xml:space="preserve">“2017-2018 Global </w:t>
        </w:r>
        <w:proofErr w:type="spellStart"/>
        <w:r w:rsidRPr="00C50459" w:rsidDel="00000004">
          <w:rPr>
            <w:rStyle w:val="Hyperlink"/>
            <w:rFonts w:ascii="Times New Roman" w:hAnsi="Times New Roman" w:cs="Times New Roman"/>
            <w:sz w:val="18"/>
            <w:szCs w:val="18"/>
            <w:lang w:val="es"/>
          </w:rPr>
          <w:t>Resources</w:t>
        </w:r>
        <w:proofErr w:type="spellEnd"/>
        <w:r w:rsidRPr="00C50459" w:rsidDel="00000004">
          <w:rPr>
            <w:rStyle w:val="Hyperlink"/>
            <w:rFonts w:ascii="Times New Roman" w:hAnsi="Times New Roman" w:cs="Times New Roman"/>
            <w:sz w:val="18"/>
            <w:szCs w:val="18"/>
            <w:lang w:val="es"/>
          </w:rPr>
          <w:t xml:space="preserve"> </w:t>
        </w:r>
        <w:proofErr w:type="spellStart"/>
        <w:r w:rsidRPr="00C50459" w:rsidDel="00000004">
          <w:rPr>
            <w:rStyle w:val="Hyperlink"/>
            <w:rFonts w:ascii="Times New Roman" w:hAnsi="Times New Roman" w:cs="Times New Roman"/>
            <w:sz w:val="18"/>
            <w:szCs w:val="18"/>
            <w:lang w:val="es"/>
          </w:rPr>
          <w:t>Report</w:t>
        </w:r>
        <w:proofErr w:type="spellEnd"/>
        <w:r w:rsidRPr="00C50459" w:rsidDel="00000004">
          <w:rPr>
            <w:rStyle w:val="Hyperlink"/>
            <w:rFonts w:ascii="Times New Roman" w:hAnsi="Times New Roman" w:cs="Times New Roman"/>
            <w:sz w:val="18"/>
            <w:szCs w:val="18"/>
            <w:lang w:val="es"/>
          </w:rPr>
          <w:t xml:space="preserve">: </w:t>
        </w:r>
        <w:proofErr w:type="spellStart"/>
        <w:r w:rsidRPr="00C50459" w:rsidDel="00000004">
          <w:rPr>
            <w:rStyle w:val="Hyperlink"/>
            <w:rFonts w:ascii="Times New Roman" w:hAnsi="Times New Roman" w:cs="Times New Roman"/>
            <w:sz w:val="18"/>
            <w:szCs w:val="18"/>
            <w:lang w:val="es"/>
          </w:rPr>
          <w:t>Government</w:t>
        </w:r>
        <w:proofErr w:type="spellEnd"/>
        <w:r w:rsidRPr="00C50459" w:rsidDel="00000004">
          <w:rPr>
            <w:rStyle w:val="Hyperlink"/>
            <w:rFonts w:ascii="Times New Roman" w:hAnsi="Times New Roman" w:cs="Times New Roman"/>
            <w:sz w:val="18"/>
            <w:szCs w:val="18"/>
            <w:lang w:val="es"/>
          </w:rPr>
          <w:t xml:space="preserve"> and </w:t>
        </w:r>
        <w:proofErr w:type="spellStart"/>
        <w:r w:rsidRPr="00C50459" w:rsidDel="00000004">
          <w:rPr>
            <w:rStyle w:val="Hyperlink"/>
            <w:rFonts w:ascii="Times New Roman" w:hAnsi="Times New Roman" w:cs="Times New Roman"/>
            <w:sz w:val="18"/>
            <w:szCs w:val="18"/>
            <w:lang w:val="es"/>
          </w:rPr>
          <w:t>Philanthropic</w:t>
        </w:r>
        <w:proofErr w:type="spellEnd"/>
        <w:r w:rsidRPr="00C50459" w:rsidDel="00000004">
          <w:rPr>
            <w:rStyle w:val="Hyperlink"/>
            <w:rFonts w:ascii="Times New Roman" w:hAnsi="Times New Roman" w:cs="Times New Roman"/>
            <w:sz w:val="18"/>
            <w:szCs w:val="18"/>
            <w:lang w:val="es"/>
          </w:rPr>
          <w:t xml:space="preserve"> </w:t>
        </w:r>
        <w:proofErr w:type="spellStart"/>
        <w:r w:rsidRPr="00C50459" w:rsidDel="00000004">
          <w:rPr>
            <w:rStyle w:val="Hyperlink"/>
            <w:rFonts w:ascii="Times New Roman" w:hAnsi="Times New Roman" w:cs="Times New Roman"/>
            <w:sz w:val="18"/>
            <w:szCs w:val="18"/>
            <w:lang w:val="es"/>
          </w:rPr>
          <w:t>Support</w:t>
        </w:r>
        <w:proofErr w:type="spellEnd"/>
        <w:r w:rsidRPr="00C50459" w:rsidDel="00000004">
          <w:rPr>
            <w:rStyle w:val="Hyperlink"/>
            <w:rFonts w:ascii="Times New Roman" w:hAnsi="Times New Roman" w:cs="Times New Roman"/>
            <w:sz w:val="18"/>
            <w:szCs w:val="18"/>
            <w:lang w:val="es"/>
          </w:rPr>
          <w:t xml:space="preserve"> </w:t>
        </w:r>
        <w:proofErr w:type="spellStart"/>
        <w:r w:rsidRPr="00C50459" w:rsidDel="00000004">
          <w:rPr>
            <w:rStyle w:val="Hyperlink"/>
            <w:rFonts w:ascii="Times New Roman" w:hAnsi="Times New Roman" w:cs="Times New Roman"/>
            <w:sz w:val="18"/>
            <w:szCs w:val="18"/>
            <w:lang w:val="es"/>
          </w:rPr>
          <w:t>for</w:t>
        </w:r>
        <w:proofErr w:type="spellEnd"/>
        <w:r w:rsidRPr="00C50459" w:rsidDel="00000004">
          <w:rPr>
            <w:rStyle w:val="Hyperlink"/>
            <w:rFonts w:ascii="Times New Roman" w:hAnsi="Times New Roman" w:cs="Times New Roman"/>
            <w:sz w:val="18"/>
            <w:szCs w:val="18"/>
            <w:lang w:val="es"/>
          </w:rPr>
          <w:t xml:space="preserve"> </w:t>
        </w:r>
        <w:proofErr w:type="spellStart"/>
        <w:r w:rsidRPr="00C50459" w:rsidDel="00000004">
          <w:rPr>
            <w:rStyle w:val="Hyperlink"/>
            <w:rFonts w:ascii="Times New Roman" w:hAnsi="Times New Roman" w:cs="Times New Roman"/>
            <w:sz w:val="18"/>
            <w:szCs w:val="18"/>
            <w:lang w:val="es"/>
          </w:rPr>
          <w:t>Lesbian</w:t>
        </w:r>
        <w:proofErr w:type="spellEnd"/>
        <w:r w:rsidRPr="00C50459" w:rsidDel="00000004">
          <w:rPr>
            <w:rStyle w:val="Hyperlink"/>
            <w:rFonts w:ascii="Times New Roman" w:hAnsi="Times New Roman" w:cs="Times New Roman"/>
            <w:sz w:val="18"/>
            <w:szCs w:val="18"/>
            <w:lang w:val="es"/>
          </w:rPr>
          <w:t xml:space="preserve">, Gay, Bisexual, </w:t>
        </w:r>
        <w:proofErr w:type="spellStart"/>
        <w:r w:rsidRPr="00C50459" w:rsidDel="00000004">
          <w:rPr>
            <w:rStyle w:val="Hyperlink"/>
            <w:rFonts w:ascii="Times New Roman" w:hAnsi="Times New Roman" w:cs="Times New Roman"/>
            <w:sz w:val="18"/>
            <w:szCs w:val="18"/>
            <w:lang w:val="es"/>
          </w:rPr>
          <w:t>Transgender</w:t>
        </w:r>
        <w:proofErr w:type="spellEnd"/>
        <w:r w:rsidRPr="00C50459" w:rsidDel="00000004">
          <w:rPr>
            <w:rStyle w:val="Hyperlink"/>
            <w:rFonts w:ascii="Times New Roman" w:hAnsi="Times New Roman" w:cs="Times New Roman"/>
            <w:sz w:val="18"/>
            <w:szCs w:val="18"/>
            <w:lang w:val="es"/>
          </w:rPr>
          <w:t xml:space="preserve">, and </w:t>
        </w:r>
        <w:proofErr w:type="spellStart"/>
        <w:r w:rsidRPr="00C50459" w:rsidDel="00000004">
          <w:rPr>
            <w:rStyle w:val="Hyperlink"/>
            <w:rFonts w:ascii="Times New Roman" w:hAnsi="Times New Roman" w:cs="Times New Roman"/>
            <w:sz w:val="18"/>
            <w:szCs w:val="18"/>
            <w:lang w:val="es"/>
          </w:rPr>
          <w:t>Intersex</w:t>
        </w:r>
        <w:proofErr w:type="spellEnd"/>
        <w:r w:rsidRPr="00C50459" w:rsidDel="00000004">
          <w:rPr>
            <w:rStyle w:val="Hyperlink"/>
            <w:rFonts w:ascii="Times New Roman" w:hAnsi="Times New Roman" w:cs="Times New Roman"/>
            <w:sz w:val="18"/>
            <w:szCs w:val="18"/>
            <w:lang w:val="es"/>
          </w:rPr>
          <w:t xml:space="preserve"> </w:t>
        </w:r>
        <w:proofErr w:type="spellStart"/>
        <w:r w:rsidRPr="00C50459" w:rsidDel="00000004">
          <w:rPr>
            <w:rStyle w:val="Hyperlink"/>
            <w:rFonts w:ascii="Times New Roman" w:hAnsi="Times New Roman" w:cs="Times New Roman"/>
            <w:sz w:val="18"/>
            <w:szCs w:val="18"/>
            <w:lang w:val="es"/>
          </w:rPr>
          <w:t>Communities</w:t>
        </w:r>
        <w:proofErr w:type="spellEnd"/>
        <w:r w:rsidRPr="00C50459" w:rsidDel="00000004">
          <w:rPr>
            <w:rStyle w:val="Hyperlink"/>
            <w:rFonts w:ascii="Times New Roman" w:hAnsi="Times New Roman" w:cs="Times New Roman"/>
            <w:sz w:val="18"/>
            <w:szCs w:val="18"/>
            <w:lang w:val="es"/>
          </w:rPr>
          <w:t>”</w:t>
        </w:r>
      </w:hyperlink>
      <w:r w:rsidRPr="00C50459" w:rsidDel="00000005">
        <w:rPr>
          <w:rFonts w:ascii="Times New Roman" w:hAnsi="Times New Roman" w:cs="Times New Roman"/>
          <w:color w:val="000000" w:themeColor="text1"/>
          <w:sz w:val="18"/>
          <w:szCs w:val="18"/>
          <w:lang w:val="es"/>
        </w:rPr>
        <w:t xml:space="preserve">, p.20, </w:t>
      </w:r>
      <w:r w:rsidRPr="00C50459">
        <w:rPr>
          <w:rFonts w:ascii="Times New Roman" w:hAnsi="Times New Roman" w:cs="Times New Roman"/>
          <w:color w:val="000000" w:themeColor="text1"/>
          <w:sz w:val="18"/>
          <w:szCs w:val="18"/>
          <w:lang w:val="es"/>
        </w:rPr>
        <w:t>mayo de 2020</w:t>
      </w:r>
      <w:r w:rsidRPr="00C50459" w:rsidDel="00000005">
        <w:rPr>
          <w:rFonts w:ascii="Times New Roman" w:hAnsi="Times New Roman" w:cs="Times New Roman"/>
          <w:color w:val="000000" w:themeColor="text1"/>
          <w:sz w:val="18"/>
          <w:szCs w:val="18"/>
          <w:lang w:val="es"/>
        </w:rPr>
        <w:t>.</w:t>
      </w:r>
    </w:p>
  </w:footnote>
  <w:footnote w:id="26">
    <w:p w14:paraId="5936763E" w14:textId="77777777" w:rsidR="00966BDF" w:rsidRPr="00C50459" w:rsidRDefault="00966BDF" w:rsidP="00966BDF">
      <w:pPr>
        <w:rPr>
          <w:color w:val="000000" w:themeColor="text1"/>
          <w:sz w:val="18"/>
          <w:szCs w:val="18"/>
        </w:rPr>
      </w:pPr>
      <w:r w:rsidRPr="00C50459" w:rsidDel="00000001">
        <w:rPr>
          <w:color w:val="000000" w:themeColor="text1"/>
          <w:sz w:val="18"/>
          <w:szCs w:val="18"/>
          <w:vertAlign w:val="superscript"/>
          <w:lang w:val="es"/>
        </w:rPr>
        <w:footnoteRef/>
      </w:r>
      <w:r w:rsidRPr="00C50459" w:rsidDel="00000002">
        <w:rPr>
          <w:color w:val="000000" w:themeColor="text1"/>
          <w:sz w:val="18"/>
          <w:szCs w:val="18"/>
          <w:lang w:val="es"/>
        </w:rPr>
        <w:t xml:space="preserve"> </w:t>
      </w:r>
      <w:proofErr w:type="spellStart"/>
      <w:r w:rsidRPr="00C50459" w:rsidDel="00000002">
        <w:rPr>
          <w:color w:val="000000" w:themeColor="text1"/>
          <w:sz w:val="18"/>
          <w:szCs w:val="18"/>
          <w:lang w:val="es"/>
        </w:rPr>
        <w:t>OutRight</w:t>
      </w:r>
      <w:proofErr w:type="spellEnd"/>
      <w:r w:rsidRPr="00C50459" w:rsidDel="00000002">
        <w:rPr>
          <w:color w:val="000000" w:themeColor="text1"/>
          <w:sz w:val="18"/>
          <w:szCs w:val="18"/>
          <w:lang w:val="es"/>
        </w:rPr>
        <w:t xml:space="preserve"> </w:t>
      </w:r>
      <w:proofErr w:type="spellStart"/>
      <w:r w:rsidRPr="00C50459" w:rsidDel="00000002">
        <w:rPr>
          <w:color w:val="000000" w:themeColor="text1"/>
          <w:sz w:val="18"/>
          <w:szCs w:val="18"/>
          <w:lang w:val="es"/>
        </w:rPr>
        <w:t>Action</w:t>
      </w:r>
      <w:proofErr w:type="spellEnd"/>
      <w:r w:rsidRPr="00C50459" w:rsidDel="00000002">
        <w:rPr>
          <w:color w:val="000000" w:themeColor="text1"/>
          <w:sz w:val="18"/>
          <w:szCs w:val="18"/>
          <w:lang w:val="es"/>
        </w:rPr>
        <w:t xml:space="preserve"> International, </w:t>
      </w:r>
      <w:hyperlink r:id="rId27" w:history="1">
        <w:r w:rsidRPr="00C50459" w:rsidDel="00000003">
          <w:rPr>
            <w:rStyle w:val="Hyperlink"/>
            <w:sz w:val="18"/>
            <w:szCs w:val="18"/>
            <w:lang w:val="es"/>
          </w:rPr>
          <w:t>“</w:t>
        </w:r>
        <w:proofErr w:type="spellStart"/>
        <w:r w:rsidRPr="00C50459" w:rsidDel="00000003">
          <w:rPr>
            <w:rStyle w:val="Hyperlink"/>
            <w:sz w:val="18"/>
            <w:szCs w:val="18"/>
            <w:lang w:val="es"/>
          </w:rPr>
          <w:t>Vulnerability</w:t>
        </w:r>
        <w:proofErr w:type="spellEnd"/>
        <w:r w:rsidRPr="00C50459" w:rsidDel="00000003">
          <w:rPr>
            <w:rStyle w:val="Hyperlink"/>
            <w:sz w:val="18"/>
            <w:szCs w:val="18"/>
            <w:lang w:val="es"/>
          </w:rPr>
          <w:t xml:space="preserve"> </w:t>
        </w:r>
        <w:proofErr w:type="spellStart"/>
        <w:r w:rsidRPr="00C50459" w:rsidDel="00000003">
          <w:rPr>
            <w:rStyle w:val="Hyperlink"/>
            <w:sz w:val="18"/>
            <w:szCs w:val="18"/>
            <w:lang w:val="es"/>
          </w:rPr>
          <w:t>Amplified</w:t>
        </w:r>
        <w:proofErr w:type="spellEnd"/>
        <w:r w:rsidRPr="00C50459" w:rsidDel="00000003">
          <w:rPr>
            <w:rStyle w:val="Hyperlink"/>
            <w:sz w:val="18"/>
            <w:szCs w:val="18"/>
            <w:lang w:val="es"/>
          </w:rPr>
          <w:t xml:space="preserve">: </w:t>
        </w:r>
        <w:proofErr w:type="spellStart"/>
        <w:r w:rsidRPr="00C50459" w:rsidDel="00000003">
          <w:rPr>
            <w:rStyle w:val="Hyperlink"/>
            <w:sz w:val="18"/>
            <w:szCs w:val="18"/>
            <w:lang w:val="es"/>
          </w:rPr>
          <w:t>The</w:t>
        </w:r>
        <w:proofErr w:type="spellEnd"/>
        <w:r w:rsidRPr="00C50459" w:rsidDel="00000003">
          <w:rPr>
            <w:rStyle w:val="Hyperlink"/>
            <w:sz w:val="18"/>
            <w:szCs w:val="18"/>
            <w:lang w:val="es"/>
          </w:rPr>
          <w:t xml:space="preserve"> </w:t>
        </w:r>
        <w:proofErr w:type="spellStart"/>
        <w:r w:rsidRPr="00C50459" w:rsidDel="00000003">
          <w:rPr>
            <w:rStyle w:val="Hyperlink"/>
            <w:sz w:val="18"/>
            <w:szCs w:val="18"/>
            <w:lang w:val="es"/>
          </w:rPr>
          <w:t>Impact</w:t>
        </w:r>
        <w:proofErr w:type="spellEnd"/>
        <w:r w:rsidRPr="00C50459" w:rsidDel="00000003">
          <w:rPr>
            <w:rStyle w:val="Hyperlink"/>
            <w:sz w:val="18"/>
            <w:szCs w:val="18"/>
            <w:lang w:val="es"/>
          </w:rPr>
          <w:t xml:space="preserve"> of COVID-19 on LGBTIQ </w:t>
        </w:r>
        <w:proofErr w:type="spellStart"/>
        <w:r w:rsidRPr="00C50459" w:rsidDel="00000003">
          <w:rPr>
            <w:rStyle w:val="Hyperlink"/>
            <w:sz w:val="18"/>
            <w:szCs w:val="18"/>
            <w:lang w:val="es"/>
          </w:rPr>
          <w:t>People</w:t>
        </w:r>
        <w:proofErr w:type="spellEnd"/>
        <w:r w:rsidRPr="00C50459" w:rsidDel="00000003">
          <w:rPr>
            <w:rStyle w:val="Hyperlink"/>
            <w:sz w:val="18"/>
            <w:szCs w:val="18"/>
            <w:lang w:val="es"/>
          </w:rPr>
          <w:t>”</w:t>
        </w:r>
      </w:hyperlink>
      <w:r w:rsidRPr="00C50459" w:rsidDel="00000004">
        <w:rPr>
          <w:color w:val="000000" w:themeColor="text1"/>
          <w:sz w:val="18"/>
          <w:szCs w:val="18"/>
          <w:lang w:val="es"/>
        </w:rPr>
        <w:t xml:space="preserve">, p. 60, </w:t>
      </w:r>
      <w:r w:rsidRPr="00C50459">
        <w:rPr>
          <w:color w:val="000000" w:themeColor="text1"/>
          <w:sz w:val="18"/>
          <w:szCs w:val="18"/>
          <w:lang w:val="es"/>
        </w:rPr>
        <w:t>7 de mayo de 2020</w:t>
      </w:r>
      <w:r w:rsidRPr="00C50459" w:rsidDel="00000004">
        <w:rPr>
          <w:color w:val="000000" w:themeColor="text1"/>
          <w:sz w:val="18"/>
          <w:szCs w:val="18"/>
          <w:lang w:val="es"/>
        </w:rPr>
        <w:t>.</w:t>
      </w:r>
    </w:p>
  </w:footnote>
  <w:footnote w:id="27">
    <w:p w14:paraId="1963001E" w14:textId="77777777" w:rsidR="00966BDF" w:rsidRPr="00C50459" w:rsidRDefault="00966BDF" w:rsidP="00966BDF">
      <w:pPr>
        <w:rPr>
          <w:color w:val="000000" w:themeColor="text1"/>
          <w:sz w:val="18"/>
          <w:szCs w:val="18"/>
        </w:rPr>
      </w:pPr>
      <w:r w:rsidRPr="00C50459" w:rsidDel="00000001">
        <w:rPr>
          <w:color w:val="000000" w:themeColor="text1"/>
          <w:sz w:val="18"/>
          <w:szCs w:val="18"/>
          <w:vertAlign w:val="superscript"/>
          <w:lang w:val="es"/>
        </w:rPr>
        <w:footnoteRef/>
      </w:r>
      <w:r w:rsidRPr="00C50459" w:rsidDel="00000002">
        <w:rPr>
          <w:color w:val="000000" w:themeColor="text1"/>
          <w:sz w:val="18"/>
          <w:szCs w:val="18"/>
          <w:lang w:val="es"/>
        </w:rPr>
        <w:t xml:space="preserve"> </w:t>
      </w:r>
      <w:proofErr w:type="spellStart"/>
      <w:r w:rsidRPr="00C50459" w:rsidDel="00000002">
        <w:rPr>
          <w:color w:val="000000" w:themeColor="text1"/>
          <w:sz w:val="18"/>
          <w:szCs w:val="18"/>
          <w:lang w:val="es"/>
        </w:rPr>
        <w:t>OutRight</w:t>
      </w:r>
      <w:proofErr w:type="spellEnd"/>
      <w:r w:rsidRPr="00C50459" w:rsidDel="00000002">
        <w:rPr>
          <w:color w:val="000000" w:themeColor="text1"/>
          <w:sz w:val="18"/>
          <w:szCs w:val="18"/>
          <w:lang w:val="es"/>
        </w:rPr>
        <w:t xml:space="preserve"> </w:t>
      </w:r>
      <w:proofErr w:type="spellStart"/>
      <w:r w:rsidRPr="00C50459" w:rsidDel="00000002">
        <w:rPr>
          <w:color w:val="000000" w:themeColor="text1"/>
          <w:sz w:val="18"/>
          <w:szCs w:val="18"/>
          <w:lang w:val="es"/>
        </w:rPr>
        <w:t>Action</w:t>
      </w:r>
      <w:proofErr w:type="spellEnd"/>
      <w:r w:rsidRPr="00C50459" w:rsidDel="00000002">
        <w:rPr>
          <w:color w:val="000000" w:themeColor="text1"/>
          <w:sz w:val="18"/>
          <w:szCs w:val="18"/>
          <w:lang w:val="es"/>
        </w:rPr>
        <w:t xml:space="preserve"> International, </w:t>
      </w:r>
      <w:r w:rsidRPr="00C50459" w:rsidDel="00000003">
        <w:rPr>
          <w:i/>
          <w:color w:val="000000" w:themeColor="text1"/>
          <w:sz w:val="18"/>
          <w:szCs w:val="18"/>
          <w:lang w:val="es"/>
        </w:rPr>
        <w:t xml:space="preserve">supra </w:t>
      </w:r>
      <w:r w:rsidRPr="00C50459" w:rsidDel="00000004">
        <w:rPr>
          <w:color w:val="000000" w:themeColor="text1"/>
          <w:sz w:val="18"/>
          <w:szCs w:val="18"/>
          <w:lang w:val="es"/>
        </w:rPr>
        <w:t>not</w:t>
      </w:r>
      <w:r w:rsidRPr="00C50459">
        <w:rPr>
          <w:color w:val="000000" w:themeColor="text1"/>
          <w:sz w:val="18"/>
          <w:szCs w:val="18"/>
          <w:lang w:val="es"/>
        </w:rPr>
        <w:t>a</w:t>
      </w:r>
      <w:r w:rsidRPr="00C50459" w:rsidDel="00000004">
        <w:rPr>
          <w:color w:val="000000" w:themeColor="text1"/>
          <w:sz w:val="18"/>
          <w:szCs w:val="18"/>
          <w:lang w:val="es"/>
        </w:rPr>
        <w:t xml:space="preserve"> 2</w:t>
      </w:r>
      <w:r w:rsidRPr="00C50459">
        <w:rPr>
          <w:color w:val="000000" w:themeColor="text1"/>
          <w:sz w:val="18"/>
          <w:szCs w:val="18"/>
          <w:lang w:val="es"/>
        </w:rPr>
        <w:t>6</w:t>
      </w:r>
      <w:r w:rsidRPr="00C50459" w:rsidDel="00000004">
        <w:rPr>
          <w:color w:val="000000" w:themeColor="text1"/>
          <w:sz w:val="18"/>
          <w:szCs w:val="18"/>
          <w:lang w:val="es"/>
        </w:rPr>
        <w:t>.</w:t>
      </w:r>
    </w:p>
  </w:footnote>
  <w:footnote w:id="28">
    <w:p w14:paraId="06083F57" w14:textId="77777777" w:rsidR="00966BDF" w:rsidRPr="00C50459" w:rsidRDefault="00966BDF" w:rsidP="00966BDF">
      <w:pPr>
        <w:rPr>
          <w:sz w:val="18"/>
          <w:szCs w:val="18"/>
        </w:rPr>
      </w:pPr>
      <w:r w:rsidRPr="00C50459" w:rsidDel="00000001">
        <w:rPr>
          <w:color w:val="000000" w:themeColor="text1"/>
          <w:sz w:val="18"/>
          <w:szCs w:val="18"/>
          <w:vertAlign w:val="superscript"/>
          <w:lang w:val="es"/>
        </w:rPr>
        <w:footnoteRef/>
      </w:r>
      <w:r w:rsidRPr="00C50459" w:rsidDel="00000002">
        <w:rPr>
          <w:color w:val="000000" w:themeColor="text1"/>
          <w:sz w:val="18"/>
          <w:szCs w:val="18"/>
          <w:lang w:val="es"/>
        </w:rPr>
        <w:t xml:space="preserve"> </w:t>
      </w:r>
      <w:proofErr w:type="spellStart"/>
      <w:r w:rsidRPr="00C50459" w:rsidDel="00000002">
        <w:rPr>
          <w:color w:val="000000" w:themeColor="text1"/>
          <w:sz w:val="18"/>
          <w:szCs w:val="18"/>
          <w:lang w:val="es"/>
        </w:rPr>
        <w:t>The</w:t>
      </w:r>
      <w:proofErr w:type="spellEnd"/>
      <w:r w:rsidRPr="00C50459" w:rsidDel="00000002">
        <w:rPr>
          <w:color w:val="000000" w:themeColor="text1"/>
          <w:sz w:val="18"/>
          <w:szCs w:val="18"/>
          <w:lang w:val="es"/>
        </w:rPr>
        <w:t xml:space="preserve"> Commonwealth </w:t>
      </w:r>
      <w:proofErr w:type="spellStart"/>
      <w:r w:rsidRPr="00C50459" w:rsidDel="00000002">
        <w:rPr>
          <w:color w:val="000000" w:themeColor="text1"/>
          <w:sz w:val="18"/>
          <w:szCs w:val="18"/>
          <w:lang w:val="es"/>
        </w:rPr>
        <w:t>Equality</w:t>
      </w:r>
      <w:proofErr w:type="spellEnd"/>
      <w:r w:rsidRPr="00C50459" w:rsidDel="00000002">
        <w:rPr>
          <w:color w:val="000000" w:themeColor="text1"/>
          <w:sz w:val="18"/>
          <w:szCs w:val="18"/>
          <w:lang w:val="es"/>
        </w:rPr>
        <w:t xml:space="preserve"> Network &amp; </w:t>
      </w:r>
      <w:proofErr w:type="spellStart"/>
      <w:r w:rsidRPr="00C50459" w:rsidDel="00000002">
        <w:rPr>
          <w:color w:val="000000" w:themeColor="text1"/>
          <w:sz w:val="18"/>
          <w:szCs w:val="18"/>
          <w:lang w:val="es"/>
        </w:rPr>
        <w:t>the</w:t>
      </w:r>
      <w:proofErr w:type="spellEnd"/>
      <w:r w:rsidRPr="00C50459" w:rsidDel="00000002">
        <w:rPr>
          <w:color w:val="000000" w:themeColor="text1"/>
          <w:sz w:val="18"/>
          <w:szCs w:val="18"/>
          <w:lang w:val="es"/>
        </w:rPr>
        <w:t xml:space="preserve"> </w:t>
      </w:r>
      <w:proofErr w:type="spellStart"/>
      <w:r w:rsidRPr="00C50459" w:rsidDel="00000002">
        <w:rPr>
          <w:color w:val="000000" w:themeColor="text1"/>
          <w:sz w:val="18"/>
          <w:szCs w:val="18"/>
          <w:lang w:val="es"/>
        </w:rPr>
        <w:t>Kaleidoscope</w:t>
      </w:r>
      <w:proofErr w:type="spellEnd"/>
      <w:r w:rsidRPr="00C50459" w:rsidDel="00000002">
        <w:rPr>
          <w:color w:val="000000" w:themeColor="text1"/>
          <w:sz w:val="18"/>
          <w:szCs w:val="18"/>
          <w:lang w:val="es"/>
        </w:rPr>
        <w:t xml:space="preserve"> Trust, </w:t>
      </w:r>
      <w:hyperlink r:id="rId28" w:history="1">
        <w:r w:rsidRPr="00C50459" w:rsidDel="00000003">
          <w:rPr>
            <w:rStyle w:val="Hyperlink"/>
            <w:sz w:val="18"/>
            <w:szCs w:val="18"/>
            <w:lang w:val="es"/>
          </w:rPr>
          <w:t xml:space="preserve">“LGBTI+ in </w:t>
        </w:r>
        <w:proofErr w:type="spellStart"/>
        <w:r w:rsidRPr="00C50459" w:rsidDel="00000003">
          <w:rPr>
            <w:rStyle w:val="Hyperlink"/>
            <w:sz w:val="18"/>
            <w:szCs w:val="18"/>
            <w:lang w:val="es"/>
          </w:rPr>
          <w:t>the</w:t>
        </w:r>
        <w:proofErr w:type="spellEnd"/>
        <w:r w:rsidRPr="00C50459" w:rsidDel="00000003">
          <w:rPr>
            <w:rStyle w:val="Hyperlink"/>
            <w:sz w:val="18"/>
            <w:szCs w:val="18"/>
            <w:lang w:val="es"/>
          </w:rPr>
          <w:t xml:space="preserve"> Commonwealth in </w:t>
        </w:r>
        <w:proofErr w:type="spellStart"/>
        <w:r w:rsidRPr="00C50459" w:rsidDel="00000003">
          <w:rPr>
            <w:rStyle w:val="Hyperlink"/>
            <w:sz w:val="18"/>
            <w:szCs w:val="18"/>
            <w:lang w:val="es"/>
          </w:rPr>
          <w:t>the</w:t>
        </w:r>
        <w:proofErr w:type="spellEnd"/>
        <w:r w:rsidRPr="00C50459" w:rsidDel="00000003">
          <w:rPr>
            <w:rStyle w:val="Hyperlink"/>
            <w:sz w:val="18"/>
            <w:szCs w:val="18"/>
            <w:lang w:val="es"/>
          </w:rPr>
          <w:t xml:space="preserve"> COVID-19 era”</w:t>
        </w:r>
      </w:hyperlink>
      <w:r w:rsidRPr="00C50459" w:rsidDel="00000004">
        <w:rPr>
          <w:color w:val="000000" w:themeColor="text1"/>
          <w:sz w:val="18"/>
          <w:szCs w:val="18"/>
          <w:lang w:val="es"/>
        </w:rPr>
        <w:t xml:space="preserve">; </w:t>
      </w:r>
      <w:proofErr w:type="spellStart"/>
      <w:r w:rsidRPr="00C50459" w:rsidDel="00000004">
        <w:rPr>
          <w:color w:val="000000" w:themeColor="text1"/>
          <w:sz w:val="18"/>
          <w:szCs w:val="18"/>
          <w:lang w:val="es"/>
        </w:rPr>
        <w:t>OutRight</w:t>
      </w:r>
      <w:proofErr w:type="spellEnd"/>
      <w:r w:rsidRPr="00C50459" w:rsidDel="00000004">
        <w:rPr>
          <w:color w:val="000000" w:themeColor="text1"/>
          <w:sz w:val="18"/>
          <w:szCs w:val="18"/>
          <w:lang w:val="es"/>
        </w:rPr>
        <w:t xml:space="preserve"> </w:t>
      </w:r>
      <w:proofErr w:type="spellStart"/>
      <w:r w:rsidRPr="00C50459" w:rsidDel="00000004">
        <w:rPr>
          <w:color w:val="000000" w:themeColor="text1"/>
          <w:sz w:val="18"/>
          <w:szCs w:val="18"/>
          <w:lang w:val="es"/>
        </w:rPr>
        <w:t>Action</w:t>
      </w:r>
      <w:proofErr w:type="spellEnd"/>
      <w:r w:rsidRPr="00C50459" w:rsidDel="00000004">
        <w:rPr>
          <w:color w:val="000000" w:themeColor="text1"/>
          <w:sz w:val="18"/>
          <w:szCs w:val="18"/>
          <w:lang w:val="es"/>
        </w:rPr>
        <w:t xml:space="preserve"> International, </w:t>
      </w:r>
      <w:r w:rsidRPr="00C50459" w:rsidDel="00000005">
        <w:rPr>
          <w:i/>
          <w:color w:val="000000" w:themeColor="text1"/>
          <w:sz w:val="18"/>
          <w:szCs w:val="18"/>
          <w:lang w:val="es"/>
        </w:rPr>
        <w:t xml:space="preserve">supra </w:t>
      </w:r>
      <w:r w:rsidRPr="00C50459">
        <w:rPr>
          <w:color w:val="000000" w:themeColor="text1"/>
          <w:sz w:val="18"/>
          <w:szCs w:val="18"/>
          <w:lang w:val="es"/>
        </w:rPr>
        <w:t>nota</w:t>
      </w:r>
      <w:r w:rsidRPr="00C50459" w:rsidDel="00000006">
        <w:rPr>
          <w:color w:val="000000" w:themeColor="text1"/>
          <w:sz w:val="18"/>
          <w:szCs w:val="18"/>
          <w:lang w:val="es"/>
        </w:rPr>
        <w:t xml:space="preserve"> 25, p. 7 and </w:t>
      </w:r>
      <w:hyperlink r:id="rId29" w:history="1">
        <w:proofErr w:type="spellStart"/>
        <w:r w:rsidRPr="00C50459" w:rsidDel="00000007">
          <w:rPr>
            <w:rStyle w:val="Hyperlink"/>
            <w:sz w:val="18"/>
            <w:szCs w:val="18"/>
            <w:lang w:val="es"/>
          </w:rPr>
          <w:t>Outright</w:t>
        </w:r>
        <w:proofErr w:type="spellEnd"/>
        <w:r w:rsidRPr="00C50459" w:rsidDel="00000007">
          <w:rPr>
            <w:rStyle w:val="Hyperlink"/>
            <w:sz w:val="18"/>
            <w:szCs w:val="18"/>
            <w:lang w:val="es"/>
          </w:rPr>
          <w:t xml:space="preserve"> </w:t>
        </w:r>
        <w:proofErr w:type="spellStart"/>
        <w:r w:rsidRPr="00C50459" w:rsidDel="00000007">
          <w:rPr>
            <w:rStyle w:val="Hyperlink"/>
            <w:sz w:val="18"/>
            <w:szCs w:val="18"/>
            <w:lang w:val="es"/>
          </w:rPr>
          <w:t>Emergency</w:t>
        </w:r>
        <w:proofErr w:type="spellEnd"/>
        <w:r w:rsidRPr="00C50459" w:rsidDel="00000007">
          <w:rPr>
            <w:rStyle w:val="Hyperlink"/>
            <w:sz w:val="18"/>
            <w:szCs w:val="18"/>
            <w:lang w:val="es"/>
          </w:rPr>
          <w:t xml:space="preserve"> </w:t>
        </w:r>
        <w:proofErr w:type="spellStart"/>
        <w:r w:rsidRPr="00C50459" w:rsidDel="00000007">
          <w:rPr>
            <w:rStyle w:val="Hyperlink"/>
            <w:sz w:val="18"/>
            <w:szCs w:val="18"/>
            <w:lang w:val="es"/>
          </w:rPr>
          <w:t>Fund</w:t>
        </w:r>
        <w:proofErr w:type="spellEnd"/>
      </w:hyperlink>
      <w:r w:rsidRPr="00C50459" w:rsidDel="00000008">
        <w:rPr>
          <w:color w:val="000000" w:themeColor="text1"/>
          <w:sz w:val="18"/>
          <w:szCs w:val="18"/>
          <w:lang w:val="es"/>
        </w:rPr>
        <w:t>; ASEAN SOGIE CAUCUS</w:t>
      </w:r>
      <w:r w:rsidRPr="00C50459" w:rsidDel="00000009">
        <w:rPr>
          <w:sz w:val="18"/>
          <w:szCs w:val="18"/>
          <w:lang w:val="es"/>
        </w:rPr>
        <w:t xml:space="preserve">, </w:t>
      </w:r>
      <w:hyperlink r:id="rId30" w:history="1">
        <w:r w:rsidRPr="00C50459" w:rsidDel="00000010">
          <w:rPr>
            <w:rStyle w:val="Hyperlink"/>
            <w:sz w:val="18"/>
            <w:szCs w:val="18"/>
            <w:lang w:val="es"/>
          </w:rPr>
          <w:t>“</w:t>
        </w:r>
        <w:proofErr w:type="spellStart"/>
        <w:r w:rsidRPr="00C50459" w:rsidDel="00000010">
          <w:rPr>
            <w:rStyle w:val="Hyperlink"/>
            <w:sz w:val="18"/>
            <w:szCs w:val="18"/>
            <w:lang w:val="es"/>
          </w:rPr>
          <w:t>Call</w:t>
        </w:r>
        <w:proofErr w:type="spellEnd"/>
        <w:r w:rsidRPr="00C50459" w:rsidDel="00000010">
          <w:rPr>
            <w:rStyle w:val="Hyperlink"/>
            <w:sz w:val="18"/>
            <w:szCs w:val="18"/>
            <w:lang w:val="es"/>
          </w:rPr>
          <w:t xml:space="preserve"> to </w:t>
        </w:r>
        <w:proofErr w:type="spellStart"/>
        <w:r w:rsidRPr="00C50459" w:rsidDel="00000010">
          <w:rPr>
            <w:rStyle w:val="Hyperlink"/>
            <w:sz w:val="18"/>
            <w:szCs w:val="18"/>
            <w:lang w:val="es"/>
          </w:rPr>
          <w:t>donors</w:t>
        </w:r>
        <w:proofErr w:type="spellEnd"/>
        <w:r w:rsidRPr="00C50459" w:rsidDel="00000010">
          <w:rPr>
            <w:rStyle w:val="Hyperlink"/>
            <w:sz w:val="18"/>
            <w:szCs w:val="18"/>
            <w:lang w:val="es"/>
          </w:rPr>
          <w:t xml:space="preserve"> and </w:t>
        </w:r>
        <w:proofErr w:type="spellStart"/>
        <w:r w:rsidRPr="00C50459" w:rsidDel="00000010">
          <w:rPr>
            <w:rStyle w:val="Hyperlink"/>
            <w:sz w:val="18"/>
            <w:szCs w:val="18"/>
            <w:lang w:val="es"/>
          </w:rPr>
          <w:t>funders</w:t>
        </w:r>
        <w:proofErr w:type="spellEnd"/>
        <w:r w:rsidRPr="00C50459" w:rsidDel="00000010">
          <w:rPr>
            <w:rStyle w:val="Hyperlink"/>
            <w:sz w:val="18"/>
            <w:szCs w:val="18"/>
            <w:lang w:val="es"/>
          </w:rPr>
          <w:t xml:space="preserve"> </w:t>
        </w:r>
        <w:proofErr w:type="spellStart"/>
        <w:r w:rsidRPr="00C50459" w:rsidDel="00000010">
          <w:rPr>
            <w:rStyle w:val="Hyperlink"/>
            <w:sz w:val="18"/>
            <w:szCs w:val="18"/>
            <w:lang w:val="es"/>
          </w:rPr>
          <w:t>operating</w:t>
        </w:r>
        <w:proofErr w:type="spellEnd"/>
        <w:r w:rsidRPr="00C50459" w:rsidDel="00000010">
          <w:rPr>
            <w:rStyle w:val="Hyperlink"/>
            <w:sz w:val="18"/>
            <w:szCs w:val="18"/>
            <w:lang w:val="es"/>
          </w:rPr>
          <w:t xml:space="preserve"> in </w:t>
        </w:r>
        <w:proofErr w:type="spellStart"/>
        <w:r w:rsidRPr="00C50459" w:rsidDel="00000010">
          <w:rPr>
            <w:rStyle w:val="Hyperlink"/>
            <w:sz w:val="18"/>
            <w:szCs w:val="18"/>
            <w:lang w:val="es"/>
          </w:rPr>
          <w:t>Southeast</w:t>
        </w:r>
        <w:proofErr w:type="spellEnd"/>
        <w:r w:rsidRPr="00C50459" w:rsidDel="00000010">
          <w:rPr>
            <w:rStyle w:val="Hyperlink"/>
            <w:sz w:val="18"/>
            <w:szCs w:val="18"/>
            <w:lang w:val="es"/>
          </w:rPr>
          <w:t xml:space="preserve"> Asia: </w:t>
        </w:r>
        <w:proofErr w:type="spellStart"/>
        <w:r w:rsidRPr="00C50459" w:rsidDel="00000010">
          <w:rPr>
            <w:rStyle w:val="Hyperlink"/>
            <w:sz w:val="18"/>
            <w:szCs w:val="18"/>
            <w:lang w:val="es"/>
          </w:rPr>
          <w:t>Mobilize</w:t>
        </w:r>
        <w:proofErr w:type="spellEnd"/>
        <w:r w:rsidRPr="00C50459" w:rsidDel="00000010">
          <w:rPr>
            <w:rStyle w:val="Hyperlink"/>
            <w:sz w:val="18"/>
            <w:szCs w:val="18"/>
            <w:lang w:val="es"/>
          </w:rPr>
          <w:t xml:space="preserve"> </w:t>
        </w:r>
        <w:proofErr w:type="spellStart"/>
        <w:r w:rsidRPr="00C50459" w:rsidDel="00000010">
          <w:rPr>
            <w:rStyle w:val="Hyperlink"/>
            <w:sz w:val="18"/>
            <w:szCs w:val="18"/>
            <w:lang w:val="es"/>
          </w:rPr>
          <w:t>Rainbow</w:t>
        </w:r>
        <w:proofErr w:type="spellEnd"/>
        <w:r w:rsidRPr="00C50459" w:rsidDel="00000010">
          <w:rPr>
            <w:rStyle w:val="Hyperlink"/>
            <w:sz w:val="18"/>
            <w:szCs w:val="18"/>
            <w:lang w:val="es"/>
          </w:rPr>
          <w:t xml:space="preserve"> </w:t>
        </w:r>
        <w:proofErr w:type="spellStart"/>
        <w:r w:rsidRPr="00C50459" w:rsidDel="00000010">
          <w:rPr>
            <w:rStyle w:val="Hyperlink"/>
            <w:sz w:val="18"/>
            <w:szCs w:val="18"/>
            <w:lang w:val="es"/>
          </w:rPr>
          <w:t>Resilience</w:t>
        </w:r>
        <w:proofErr w:type="spellEnd"/>
        <w:r w:rsidRPr="00C50459" w:rsidDel="00000010">
          <w:rPr>
            <w:rStyle w:val="Hyperlink"/>
            <w:sz w:val="18"/>
            <w:szCs w:val="18"/>
            <w:lang w:val="es"/>
          </w:rPr>
          <w:t>”</w:t>
        </w:r>
      </w:hyperlink>
      <w:r w:rsidRPr="00C50459" w:rsidDel="00000011">
        <w:rPr>
          <w:color w:val="000000" w:themeColor="text1"/>
          <w:sz w:val="18"/>
          <w:szCs w:val="18"/>
          <w:lang w:val="es"/>
        </w:rPr>
        <w:t xml:space="preserve">; </w:t>
      </w:r>
      <w:hyperlink r:id="rId31" w:history="1">
        <w:proofErr w:type="spellStart"/>
        <w:r w:rsidRPr="00C50459" w:rsidDel="00000012">
          <w:rPr>
            <w:rStyle w:val="Hyperlink"/>
            <w:sz w:val="18"/>
            <w:szCs w:val="18"/>
            <w:lang w:val="es"/>
          </w:rPr>
          <w:t>Frontline</w:t>
        </w:r>
        <w:proofErr w:type="spellEnd"/>
        <w:r w:rsidRPr="00C50459" w:rsidDel="00000012">
          <w:rPr>
            <w:rStyle w:val="Hyperlink"/>
            <w:sz w:val="18"/>
            <w:szCs w:val="18"/>
            <w:lang w:val="es"/>
          </w:rPr>
          <w:t xml:space="preserve"> AIDS’ </w:t>
        </w:r>
        <w:proofErr w:type="spellStart"/>
        <w:r w:rsidRPr="00C50459" w:rsidDel="00000012">
          <w:rPr>
            <w:rStyle w:val="Hyperlink"/>
            <w:sz w:val="18"/>
            <w:szCs w:val="18"/>
            <w:lang w:val="es"/>
          </w:rPr>
          <w:t>Emergency</w:t>
        </w:r>
        <w:proofErr w:type="spellEnd"/>
        <w:r w:rsidRPr="00C50459" w:rsidDel="00000012">
          <w:rPr>
            <w:rStyle w:val="Hyperlink"/>
            <w:sz w:val="18"/>
            <w:szCs w:val="18"/>
            <w:lang w:val="es"/>
          </w:rPr>
          <w:t xml:space="preserve"> Response </w:t>
        </w:r>
        <w:proofErr w:type="spellStart"/>
        <w:r w:rsidRPr="00C50459" w:rsidDel="00000012">
          <w:rPr>
            <w:rStyle w:val="Hyperlink"/>
            <w:sz w:val="18"/>
            <w:szCs w:val="18"/>
            <w:lang w:val="es"/>
          </w:rPr>
          <w:t>Grants</w:t>
        </w:r>
        <w:proofErr w:type="spellEnd"/>
        <w:r w:rsidRPr="00C50459" w:rsidDel="00000012">
          <w:rPr>
            <w:rStyle w:val="Hyperlink"/>
            <w:sz w:val="18"/>
            <w:szCs w:val="18"/>
            <w:lang w:val="es"/>
          </w:rPr>
          <w:t xml:space="preserve">. </w:t>
        </w:r>
      </w:hyperlink>
    </w:p>
  </w:footnote>
  <w:footnote w:id="29">
    <w:p w14:paraId="0572A82D" w14:textId="77777777" w:rsidR="00966BDF" w:rsidRPr="00C50459" w:rsidRDefault="00966BDF" w:rsidP="00966BDF">
      <w:pPr>
        <w:rPr>
          <w:color w:val="000000" w:themeColor="text1"/>
          <w:sz w:val="18"/>
          <w:szCs w:val="18"/>
          <w:lang w:val="es"/>
        </w:rPr>
      </w:pPr>
      <w:r w:rsidRPr="00C50459" w:rsidDel="00000001">
        <w:rPr>
          <w:color w:val="000000" w:themeColor="text1"/>
          <w:sz w:val="18"/>
          <w:szCs w:val="18"/>
          <w:vertAlign w:val="superscript"/>
          <w:lang w:val="es"/>
        </w:rPr>
        <w:footnoteRef/>
      </w:r>
      <w:r w:rsidRPr="00C50459" w:rsidDel="00000002">
        <w:rPr>
          <w:color w:val="000000" w:themeColor="text1"/>
          <w:sz w:val="18"/>
          <w:szCs w:val="18"/>
          <w:lang w:val="es"/>
        </w:rPr>
        <w:t xml:space="preserve"> </w:t>
      </w:r>
      <w:r w:rsidRPr="00C50459">
        <w:rPr>
          <w:color w:val="000000" w:themeColor="text1"/>
          <w:sz w:val="18"/>
          <w:szCs w:val="18"/>
          <w:lang w:val="es"/>
        </w:rPr>
        <w:t xml:space="preserve">El tsunami del Océano Índico </w:t>
      </w:r>
      <w:r w:rsidRPr="00C50459" w:rsidDel="00000002">
        <w:rPr>
          <w:color w:val="000000" w:themeColor="text1"/>
          <w:sz w:val="18"/>
          <w:szCs w:val="18"/>
          <w:lang w:val="es"/>
        </w:rPr>
        <w:t xml:space="preserve">(2004), </w:t>
      </w:r>
      <w:r w:rsidRPr="00C50459">
        <w:rPr>
          <w:color w:val="000000" w:themeColor="text1"/>
          <w:sz w:val="18"/>
          <w:szCs w:val="18"/>
          <w:lang w:val="es"/>
        </w:rPr>
        <w:t xml:space="preserve">y los retos enfrentados por las </w:t>
      </w:r>
      <w:proofErr w:type="spellStart"/>
      <w:r w:rsidRPr="00C50459">
        <w:rPr>
          <w:i/>
          <w:iCs/>
          <w:color w:val="000000" w:themeColor="text1"/>
          <w:sz w:val="18"/>
          <w:szCs w:val="18"/>
          <w:lang w:val="es"/>
        </w:rPr>
        <w:t>warias</w:t>
      </w:r>
      <w:proofErr w:type="spellEnd"/>
      <w:r w:rsidRPr="00C50459" w:rsidDel="00000004">
        <w:rPr>
          <w:color w:val="000000" w:themeColor="text1"/>
          <w:sz w:val="18"/>
          <w:szCs w:val="18"/>
          <w:lang w:val="es"/>
        </w:rPr>
        <w:t xml:space="preserve"> (</w:t>
      </w:r>
      <w:r w:rsidRPr="00C50459">
        <w:rPr>
          <w:color w:val="000000" w:themeColor="text1"/>
          <w:sz w:val="18"/>
          <w:szCs w:val="18"/>
          <w:lang w:val="es"/>
        </w:rPr>
        <w:t xml:space="preserve">un “tercer género” tradicional en Indonesia) </w:t>
      </w:r>
    </w:p>
    <w:p w14:paraId="1AAA8956" w14:textId="77777777" w:rsidR="00966BDF" w:rsidRPr="00C50459" w:rsidRDefault="00966BDF" w:rsidP="00966BDF">
      <w:pPr>
        <w:rPr>
          <w:color w:val="000000" w:themeColor="text1"/>
          <w:sz w:val="18"/>
          <w:szCs w:val="18"/>
          <w:lang w:val="fr-FR"/>
        </w:rPr>
      </w:pPr>
      <w:r w:rsidRPr="00C50459">
        <w:rPr>
          <w:color w:val="000000" w:themeColor="text1"/>
          <w:sz w:val="18"/>
          <w:szCs w:val="18"/>
          <w:lang w:val="es"/>
        </w:rPr>
        <w:t xml:space="preserve">después de la erupción del Monte </w:t>
      </w:r>
      <w:proofErr w:type="spellStart"/>
      <w:r w:rsidRPr="00C50459">
        <w:rPr>
          <w:color w:val="000000" w:themeColor="text1"/>
          <w:sz w:val="18"/>
          <w:szCs w:val="18"/>
          <w:lang w:val="es"/>
        </w:rPr>
        <w:t>Merapi</w:t>
      </w:r>
      <w:proofErr w:type="spellEnd"/>
      <w:r w:rsidRPr="00C50459">
        <w:rPr>
          <w:color w:val="000000" w:themeColor="text1"/>
          <w:sz w:val="18"/>
          <w:szCs w:val="18"/>
          <w:lang w:val="es"/>
        </w:rPr>
        <w:t xml:space="preserve"> en 2010, el terremoto de Haití (2010) y el ciclón tropical Winston (2016), entre otros, han demostrado cómo se produce la </w:t>
      </w:r>
      <w:proofErr w:type="spellStart"/>
      <w:r w:rsidRPr="00C50459">
        <w:rPr>
          <w:color w:val="000000" w:themeColor="text1"/>
          <w:sz w:val="18"/>
          <w:szCs w:val="18"/>
          <w:lang w:val="es"/>
        </w:rPr>
        <w:t>secundarización</w:t>
      </w:r>
      <w:proofErr w:type="spellEnd"/>
      <w:r w:rsidRPr="00C50459">
        <w:rPr>
          <w:color w:val="000000" w:themeColor="text1"/>
          <w:sz w:val="18"/>
          <w:szCs w:val="18"/>
          <w:lang w:val="es"/>
        </w:rPr>
        <w:t xml:space="preserve"> de las personas LGBTIQ antes, durante y después de las emergencias. </w:t>
      </w:r>
      <w:proofErr w:type="spellStart"/>
      <w:r w:rsidRPr="00C50459">
        <w:rPr>
          <w:color w:val="000000" w:themeColor="text1"/>
          <w:sz w:val="18"/>
          <w:szCs w:val="18"/>
          <w:lang w:val="es"/>
        </w:rPr>
        <w:t>OutRight</w:t>
      </w:r>
      <w:proofErr w:type="spellEnd"/>
      <w:r w:rsidRPr="00C50459">
        <w:rPr>
          <w:color w:val="000000" w:themeColor="text1"/>
          <w:sz w:val="18"/>
          <w:szCs w:val="18"/>
          <w:lang w:val="es"/>
        </w:rPr>
        <w:t xml:space="preserve"> </w:t>
      </w:r>
      <w:proofErr w:type="spellStart"/>
      <w:r w:rsidRPr="00C50459">
        <w:rPr>
          <w:color w:val="000000" w:themeColor="text1"/>
          <w:sz w:val="18"/>
          <w:szCs w:val="18"/>
          <w:lang w:val="es"/>
        </w:rPr>
        <w:t>Action</w:t>
      </w:r>
      <w:proofErr w:type="spellEnd"/>
      <w:r w:rsidRPr="00C50459">
        <w:rPr>
          <w:color w:val="000000" w:themeColor="text1"/>
          <w:sz w:val="18"/>
          <w:szCs w:val="18"/>
          <w:lang w:val="es"/>
        </w:rPr>
        <w:t xml:space="preserve"> International, nota </w:t>
      </w:r>
      <w:r w:rsidRPr="00C50459">
        <w:rPr>
          <w:i/>
          <w:color w:val="000000" w:themeColor="text1"/>
          <w:sz w:val="18"/>
          <w:szCs w:val="18"/>
          <w:lang w:val="es"/>
        </w:rPr>
        <w:t>supra</w:t>
      </w:r>
      <w:r w:rsidRPr="00C50459">
        <w:rPr>
          <w:sz w:val="18"/>
          <w:szCs w:val="18"/>
          <w:lang w:val="es"/>
        </w:rPr>
        <w:t xml:space="preserve"> </w:t>
      </w:r>
      <w:r w:rsidRPr="00C50459">
        <w:rPr>
          <w:color w:val="000000" w:themeColor="text1"/>
          <w:sz w:val="18"/>
          <w:szCs w:val="18"/>
          <w:lang w:val="es"/>
        </w:rPr>
        <w:t>26, p. 14.</w:t>
      </w:r>
    </w:p>
  </w:footnote>
  <w:footnote w:id="30">
    <w:p w14:paraId="1B636A8E" w14:textId="77777777" w:rsidR="00966BDF" w:rsidRPr="00C50459" w:rsidRDefault="00966BDF" w:rsidP="00966BDF">
      <w:pPr>
        <w:pBdr>
          <w:top w:val="nil"/>
          <w:left w:val="nil"/>
          <w:bottom w:val="nil"/>
          <w:right w:val="nil"/>
          <w:between w:val="nil"/>
        </w:pBdr>
        <w:rPr>
          <w:color w:val="000000" w:themeColor="text1"/>
          <w:sz w:val="18"/>
          <w:szCs w:val="18"/>
          <w:lang w:val="fr-FR"/>
        </w:rPr>
      </w:pPr>
      <w:r w:rsidRPr="00C50459" w:rsidDel="00000001">
        <w:rPr>
          <w:color w:val="000000" w:themeColor="text1"/>
          <w:sz w:val="18"/>
          <w:szCs w:val="18"/>
          <w:vertAlign w:val="superscript"/>
          <w:lang w:val="es"/>
        </w:rPr>
        <w:footnoteRef/>
      </w:r>
      <w:r w:rsidRPr="00C50459" w:rsidDel="00000002">
        <w:rPr>
          <w:color w:val="000000" w:themeColor="text1"/>
          <w:sz w:val="18"/>
          <w:szCs w:val="18"/>
          <w:lang w:val="es"/>
        </w:rPr>
        <w:t xml:space="preserve"> IE SOGI, </w:t>
      </w:r>
      <w:r w:rsidRPr="00C50459" w:rsidDel="00000003">
        <w:rPr>
          <w:i/>
          <w:color w:val="000000" w:themeColor="text1"/>
          <w:sz w:val="18"/>
          <w:szCs w:val="18"/>
          <w:lang w:val="es"/>
        </w:rPr>
        <w:t xml:space="preserve">supra </w:t>
      </w:r>
      <w:r w:rsidRPr="00C50459">
        <w:rPr>
          <w:color w:val="000000" w:themeColor="text1"/>
          <w:sz w:val="18"/>
          <w:szCs w:val="18"/>
          <w:lang w:val="es"/>
        </w:rPr>
        <w:t>nota</w:t>
      </w:r>
      <w:r w:rsidRPr="00C50459" w:rsidDel="00000004">
        <w:rPr>
          <w:color w:val="000000" w:themeColor="text1"/>
          <w:sz w:val="18"/>
          <w:szCs w:val="18"/>
          <w:lang w:val="es"/>
        </w:rPr>
        <w:t xml:space="preserve"> 11, par. 59. </w:t>
      </w:r>
    </w:p>
  </w:footnote>
  <w:footnote w:id="31">
    <w:p w14:paraId="4FFB99E9" w14:textId="77777777" w:rsidR="00966BDF" w:rsidRPr="00C50459" w:rsidRDefault="00966BDF" w:rsidP="00966BDF">
      <w:pPr>
        <w:pStyle w:val="FootnoteText"/>
        <w:rPr>
          <w:rFonts w:ascii="Times New Roman" w:hAnsi="Times New Roman" w:cs="Times New Roman"/>
          <w:color w:val="000000" w:themeColor="text1"/>
          <w:sz w:val="18"/>
          <w:szCs w:val="18"/>
        </w:rPr>
      </w:pPr>
      <w:r w:rsidRPr="00C50459" w:rsidDel="00000001">
        <w:rPr>
          <w:rStyle w:val="FootnoteReference"/>
          <w:rFonts w:ascii="Times New Roman" w:hAnsi="Times New Roman"/>
          <w:color w:val="000000" w:themeColor="text1"/>
          <w:sz w:val="18"/>
          <w:szCs w:val="18"/>
          <w:lang w:val="es"/>
        </w:rPr>
        <w:footnoteRef/>
      </w:r>
      <w:r w:rsidRPr="00C50459" w:rsidDel="00000002">
        <w:rPr>
          <w:rFonts w:ascii="Times New Roman" w:hAnsi="Times New Roman" w:cs="Times New Roman"/>
          <w:i/>
          <w:color w:val="000000" w:themeColor="text1"/>
          <w:sz w:val="18"/>
          <w:szCs w:val="18"/>
          <w:lang w:val="es"/>
        </w:rPr>
        <w:t xml:space="preserve"> </w:t>
      </w:r>
      <w:r w:rsidRPr="00C50459">
        <w:rPr>
          <w:rFonts w:ascii="Times New Roman" w:hAnsi="Times New Roman" w:cs="Times New Roman"/>
          <w:iCs/>
          <w:color w:val="000000" w:themeColor="text1"/>
          <w:sz w:val="18"/>
          <w:szCs w:val="18"/>
          <w:lang w:val="es"/>
        </w:rPr>
        <w:t>Comité de Derechos Humanos de las Naciones Unidas</w:t>
      </w:r>
      <w:r w:rsidRPr="00C50459" w:rsidDel="00000003">
        <w:rPr>
          <w:rFonts w:ascii="Times New Roman" w:hAnsi="Times New Roman" w:cs="Times New Roman"/>
          <w:color w:val="000000" w:themeColor="text1"/>
          <w:sz w:val="18"/>
          <w:szCs w:val="18"/>
          <w:lang w:val="es"/>
        </w:rPr>
        <w:t xml:space="preserve">, </w:t>
      </w:r>
      <w:r w:rsidRPr="00C50459" w:rsidDel="00000004">
        <w:rPr>
          <w:rFonts w:ascii="Times New Roman" w:hAnsi="Times New Roman" w:cs="Times New Roman"/>
          <w:i/>
          <w:color w:val="000000" w:themeColor="text1"/>
          <w:sz w:val="18"/>
          <w:szCs w:val="18"/>
          <w:lang w:val="es"/>
        </w:rPr>
        <w:t xml:space="preserve">supra </w:t>
      </w:r>
      <w:r w:rsidRPr="00C50459">
        <w:rPr>
          <w:rFonts w:ascii="Times New Roman" w:hAnsi="Times New Roman" w:cs="Times New Roman"/>
          <w:color w:val="000000" w:themeColor="text1"/>
          <w:sz w:val="18"/>
          <w:szCs w:val="18"/>
          <w:lang w:val="es"/>
        </w:rPr>
        <w:t>nota</w:t>
      </w:r>
      <w:r w:rsidRPr="00C50459" w:rsidDel="00000005">
        <w:rPr>
          <w:rFonts w:ascii="Times New Roman" w:hAnsi="Times New Roman" w:cs="Times New Roman"/>
          <w:color w:val="000000" w:themeColor="text1"/>
          <w:sz w:val="18"/>
          <w:szCs w:val="18"/>
          <w:lang w:val="es"/>
        </w:rPr>
        <w:t xml:space="preserve"> </w:t>
      </w:r>
      <w:r w:rsidRPr="00C50459" w:rsidDel="00000006">
        <w:rPr>
          <w:rFonts w:ascii="Times New Roman" w:hAnsi="Times New Roman" w:cs="Times New Roman"/>
          <w:color w:val="000000" w:themeColor="text1"/>
          <w:sz w:val="18"/>
          <w:szCs w:val="18"/>
          <w:lang w:val="es"/>
        </w:rPr>
        <w:t xml:space="preserve">4; </w:t>
      </w:r>
      <w:r w:rsidRPr="00C50459">
        <w:rPr>
          <w:rFonts w:ascii="Times New Roman" w:hAnsi="Times New Roman" w:cs="Times New Roman"/>
          <w:color w:val="000000" w:themeColor="text1"/>
          <w:sz w:val="18"/>
          <w:szCs w:val="18"/>
          <w:lang w:val="es"/>
        </w:rPr>
        <w:t>OACNUDH</w:t>
      </w:r>
      <w:r w:rsidRPr="00C50459" w:rsidDel="00000006">
        <w:rPr>
          <w:rFonts w:ascii="Times New Roman" w:hAnsi="Times New Roman" w:cs="Times New Roman"/>
          <w:color w:val="000000" w:themeColor="text1"/>
          <w:sz w:val="18"/>
          <w:szCs w:val="18"/>
          <w:lang w:val="es"/>
        </w:rPr>
        <w:t xml:space="preserve">, </w:t>
      </w:r>
      <w:hyperlink r:id="rId32" w:history="1">
        <w:r w:rsidRPr="00C50459" w:rsidDel="00000007">
          <w:rPr>
            <w:rStyle w:val="Hyperlink"/>
            <w:rFonts w:ascii="Times New Roman" w:hAnsi="Times New Roman" w:cs="Times New Roman"/>
            <w:sz w:val="18"/>
            <w:szCs w:val="18"/>
            <w:lang w:val="es"/>
          </w:rPr>
          <w:t>“</w:t>
        </w:r>
        <w:proofErr w:type="spellStart"/>
        <w:r w:rsidRPr="00C50459" w:rsidDel="00000007">
          <w:rPr>
            <w:rStyle w:val="Hyperlink"/>
            <w:rFonts w:ascii="Times New Roman" w:hAnsi="Times New Roman" w:cs="Times New Roman"/>
            <w:sz w:val="18"/>
            <w:szCs w:val="18"/>
            <w:lang w:val="es"/>
          </w:rPr>
          <w:t>Emergency</w:t>
        </w:r>
        <w:proofErr w:type="spellEnd"/>
        <w:r w:rsidRPr="00C50459" w:rsidDel="00000007">
          <w:rPr>
            <w:rStyle w:val="Hyperlink"/>
            <w:rFonts w:ascii="Times New Roman" w:hAnsi="Times New Roman" w:cs="Times New Roman"/>
            <w:sz w:val="18"/>
            <w:szCs w:val="18"/>
            <w:lang w:val="es"/>
          </w:rPr>
          <w:t xml:space="preserve"> </w:t>
        </w:r>
        <w:proofErr w:type="spellStart"/>
        <w:r w:rsidRPr="00C50459" w:rsidDel="00000007">
          <w:rPr>
            <w:rStyle w:val="Hyperlink"/>
            <w:rFonts w:ascii="Times New Roman" w:hAnsi="Times New Roman" w:cs="Times New Roman"/>
            <w:sz w:val="18"/>
            <w:szCs w:val="18"/>
            <w:lang w:val="es"/>
          </w:rPr>
          <w:t>Measures</w:t>
        </w:r>
        <w:proofErr w:type="spellEnd"/>
        <w:r w:rsidRPr="00C50459" w:rsidDel="00000007">
          <w:rPr>
            <w:rStyle w:val="Hyperlink"/>
            <w:rFonts w:ascii="Times New Roman" w:hAnsi="Times New Roman" w:cs="Times New Roman"/>
            <w:sz w:val="18"/>
            <w:szCs w:val="18"/>
            <w:lang w:val="es"/>
          </w:rPr>
          <w:t xml:space="preserve"> and COVID-19”</w:t>
        </w:r>
      </w:hyperlink>
      <w:r w:rsidRPr="00C50459" w:rsidDel="00000008">
        <w:rPr>
          <w:rFonts w:ascii="Times New Roman" w:hAnsi="Times New Roman" w:cs="Times New Roman"/>
          <w:color w:val="000000" w:themeColor="text1"/>
          <w:sz w:val="18"/>
          <w:szCs w:val="18"/>
          <w:lang w:val="es"/>
        </w:rPr>
        <w:t xml:space="preserve">, </w:t>
      </w:r>
      <w:r w:rsidRPr="00C50459">
        <w:rPr>
          <w:rFonts w:ascii="Times New Roman" w:hAnsi="Times New Roman" w:cs="Times New Roman"/>
          <w:color w:val="000000" w:themeColor="text1"/>
          <w:sz w:val="18"/>
          <w:szCs w:val="18"/>
          <w:lang w:val="es"/>
        </w:rPr>
        <w:t>27 de abril de 2020</w:t>
      </w:r>
      <w:r w:rsidRPr="00C50459" w:rsidDel="00000008">
        <w:rPr>
          <w:rFonts w:ascii="Times New Roman" w:hAnsi="Times New Roman" w:cs="Times New Roman"/>
          <w:color w:val="000000" w:themeColor="text1"/>
          <w:sz w:val="18"/>
          <w:szCs w:val="18"/>
          <w:lang w:val="es"/>
        </w:rPr>
        <w:t xml:space="preserve">. </w:t>
      </w:r>
      <w:r w:rsidRPr="00C50459">
        <w:rPr>
          <w:rFonts w:ascii="Times New Roman" w:hAnsi="Times New Roman" w:cs="Times New Roman"/>
          <w:i/>
          <w:iCs/>
          <w:color w:val="000000" w:themeColor="text1"/>
          <w:sz w:val="18"/>
          <w:szCs w:val="18"/>
          <w:lang w:val="es"/>
        </w:rPr>
        <w:t xml:space="preserve">Ver también </w:t>
      </w:r>
      <w:r w:rsidRPr="00C50459" w:rsidDel="00000009">
        <w:rPr>
          <w:rFonts w:ascii="Times New Roman" w:hAnsi="Times New Roman" w:cs="Times New Roman"/>
          <w:i/>
          <w:iCs/>
          <w:color w:val="000000" w:themeColor="text1"/>
          <w:sz w:val="18"/>
          <w:szCs w:val="18"/>
          <w:lang w:val="es"/>
        </w:rPr>
        <w:t xml:space="preserve"> </w:t>
      </w:r>
      <w:r w:rsidRPr="00C50459">
        <w:rPr>
          <w:rFonts w:ascii="Times New Roman" w:hAnsi="Times New Roman" w:cs="Times New Roman"/>
          <w:color w:val="000000" w:themeColor="text1"/>
          <w:sz w:val="18"/>
          <w:szCs w:val="18"/>
          <w:lang w:val="es"/>
        </w:rPr>
        <w:t xml:space="preserve">Grupo de Trabajo de Sociedad Civil del </w:t>
      </w:r>
      <w:r w:rsidRPr="00C50459">
        <w:rPr>
          <w:rFonts w:ascii="Times New Roman" w:hAnsi="Times New Roman" w:cs="Times New Roman"/>
          <w:i/>
          <w:iCs/>
          <w:color w:val="000000" w:themeColor="text1"/>
          <w:sz w:val="18"/>
          <w:szCs w:val="18"/>
          <w:lang w:val="es"/>
        </w:rPr>
        <w:t xml:space="preserve">Equal Rights </w:t>
      </w:r>
      <w:proofErr w:type="spellStart"/>
      <w:r w:rsidRPr="00C50459">
        <w:rPr>
          <w:rFonts w:ascii="Times New Roman" w:hAnsi="Times New Roman" w:cs="Times New Roman"/>
          <w:i/>
          <w:iCs/>
          <w:color w:val="000000" w:themeColor="text1"/>
          <w:sz w:val="18"/>
          <w:szCs w:val="18"/>
          <w:lang w:val="es"/>
        </w:rPr>
        <w:t>Coalition</w:t>
      </w:r>
      <w:proofErr w:type="spellEnd"/>
      <w:r w:rsidRPr="00C50459">
        <w:rPr>
          <w:rFonts w:ascii="Times New Roman" w:hAnsi="Times New Roman" w:cs="Times New Roman"/>
          <w:i/>
          <w:iCs/>
          <w:color w:val="000000" w:themeColor="text1"/>
          <w:sz w:val="18"/>
          <w:szCs w:val="18"/>
          <w:lang w:val="es"/>
        </w:rPr>
        <w:t xml:space="preserve"> </w:t>
      </w:r>
      <w:r w:rsidRPr="00C50459">
        <w:rPr>
          <w:rFonts w:ascii="Times New Roman" w:hAnsi="Times New Roman" w:cs="Times New Roman"/>
          <w:color w:val="000000" w:themeColor="text1"/>
          <w:sz w:val="18"/>
          <w:szCs w:val="18"/>
          <w:lang w:val="es"/>
        </w:rPr>
        <w:t>sobre COVID-19</w:t>
      </w:r>
      <w:r w:rsidRPr="00C50459" w:rsidDel="00000010">
        <w:rPr>
          <w:rFonts w:ascii="Times New Roman" w:hAnsi="Times New Roman" w:cs="Times New Roman"/>
          <w:color w:val="000000" w:themeColor="text1"/>
          <w:sz w:val="18"/>
          <w:szCs w:val="18"/>
          <w:lang w:val="es"/>
        </w:rPr>
        <w:t>,</w:t>
      </w:r>
      <w:r w:rsidRPr="00C50459" w:rsidDel="00000011">
        <w:rPr>
          <w:rFonts w:ascii="Times New Roman" w:hAnsi="Times New Roman" w:cs="Times New Roman"/>
          <w:i/>
          <w:color w:val="000000" w:themeColor="text1"/>
          <w:sz w:val="18"/>
          <w:szCs w:val="18"/>
          <w:lang w:val="es"/>
        </w:rPr>
        <w:t xml:space="preserve"> supra </w:t>
      </w:r>
      <w:r w:rsidRPr="00C50459">
        <w:rPr>
          <w:rFonts w:ascii="Times New Roman" w:hAnsi="Times New Roman" w:cs="Times New Roman"/>
          <w:color w:val="000000" w:themeColor="text1"/>
          <w:sz w:val="18"/>
          <w:szCs w:val="18"/>
          <w:lang w:val="es"/>
        </w:rPr>
        <w:t>nota</w:t>
      </w:r>
      <w:r w:rsidRPr="00C50459" w:rsidDel="00000012">
        <w:rPr>
          <w:rFonts w:ascii="Times New Roman" w:hAnsi="Times New Roman" w:cs="Times New Roman"/>
          <w:color w:val="000000" w:themeColor="text1"/>
          <w:sz w:val="18"/>
          <w:szCs w:val="18"/>
          <w:lang w:val="es"/>
        </w:rPr>
        <w:t xml:space="preserve"> 10</w:t>
      </w:r>
      <w:r w:rsidRPr="00C50459" w:rsidDel="00000013">
        <w:rPr>
          <w:rFonts w:ascii="Times New Roman" w:hAnsi="Times New Roman" w:cs="Times New Roman"/>
          <w:color w:val="000000" w:themeColor="text1"/>
          <w:sz w:val="18"/>
          <w:szCs w:val="18"/>
          <w:lang w:val="es"/>
        </w:rPr>
        <w:t>, pp. 2-3</w:t>
      </w:r>
      <w:r w:rsidRPr="00C50459" w:rsidDel="00000014">
        <w:rPr>
          <w:rFonts w:ascii="Times New Roman" w:hAnsi="Times New Roman" w:cs="Times New Roman"/>
          <w:color w:val="000000" w:themeColor="text1"/>
          <w:sz w:val="18"/>
          <w:szCs w:val="18"/>
          <w:lang w:val="es"/>
        </w:rPr>
        <w:t xml:space="preserve">; </w:t>
      </w:r>
      <w:proofErr w:type="spellStart"/>
      <w:r w:rsidRPr="00C50459" w:rsidDel="00000014">
        <w:rPr>
          <w:rFonts w:ascii="Times New Roman" w:hAnsi="Times New Roman" w:cs="Times New Roman"/>
          <w:color w:val="000000" w:themeColor="text1"/>
          <w:sz w:val="18"/>
          <w:szCs w:val="18"/>
          <w:lang w:val="es"/>
        </w:rPr>
        <w:t>Southern</w:t>
      </w:r>
      <w:proofErr w:type="spellEnd"/>
      <w:r w:rsidRPr="00C50459" w:rsidDel="00000014">
        <w:rPr>
          <w:rFonts w:ascii="Times New Roman" w:hAnsi="Times New Roman" w:cs="Times New Roman"/>
          <w:color w:val="000000" w:themeColor="text1"/>
          <w:sz w:val="18"/>
          <w:szCs w:val="18"/>
          <w:lang w:val="es"/>
        </w:rPr>
        <w:t xml:space="preserve"> </w:t>
      </w:r>
      <w:proofErr w:type="spellStart"/>
      <w:r w:rsidRPr="00C50459" w:rsidDel="00000014">
        <w:rPr>
          <w:rFonts w:ascii="Times New Roman" w:hAnsi="Times New Roman" w:cs="Times New Roman"/>
          <w:color w:val="000000" w:themeColor="text1"/>
          <w:sz w:val="18"/>
          <w:szCs w:val="18"/>
          <w:lang w:val="es"/>
        </w:rPr>
        <w:t>Africa</w:t>
      </w:r>
      <w:proofErr w:type="spellEnd"/>
      <w:r w:rsidRPr="00C50459" w:rsidDel="00000014">
        <w:rPr>
          <w:rFonts w:ascii="Times New Roman" w:hAnsi="Times New Roman" w:cs="Times New Roman"/>
          <w:color w:val="000000" w:themeColor="text1"/>
          <w:sz w:val="18"/>
          <w:szCs w:val="18"/>
          <w:lang w:val="es"/>
        </w:rPr>
        <w:t xml:space="preserve"> </w:t>
      </w:r>
      <w:proofErr w:type="spellStart"/>
      <w:r w:rsidRPr="00C50459" w:rsidDel="00000014">
        <w:rPr>
          <w:rFonts w:ascii="Times New Roman" w:hAnsi="Times New Roman" w:cs="Times New Roman"/>
          <w:color w:val="000000" w:themeColor="text1"/>
          <w:sz w:val="18"/>
          <w:szCs w:val="18"/>
          <w:lang w:val="es"/>
        </w:rPr>
        <w:t>Litigation</w:t>
      </w:r>
      <w:proofErr w:type="spellEnd"/>
      <w:r w:rsidRPr="00C50459" w:rsidDel="00000014">
        <w:rPr>
          <w:rFonts w:ascii="Times New Roman" w:hAnsi="Times New Roman" w:cs="Times New Roman"/>
          <w:color w:val="000000" w:themeColor="text1"/>
          <w:sz w:val="18"/>
          <w:szCs w:val="18"/>
          <w:lang w:val="es"/>
        </w:rPr>
        <w:t xml:space="preserve"> Centre (SALC), </w:t>
      </w:r>
      <w:hyperlink r:id="rId33" w:history="1">
        <w:r w:rsidRPr="00C50459" w:rsidDel="00000015">
          <w:rPr>
            <w:rStyle w:val="Hyperlink"/>
            <w:rFonts w:ascii="Times New Roman" w:hAnsi="Times New Roman" w:cs="Times New Roman"/>
            <w:sz w:val="18"/>
            <w:szCs w:val="18"/>
            <w:lang w:val="es"/>
          </w:rPr>
          <w:t xml:space="preserve">“A Legal </w:t>
        </w:r>
        <w:proofErr w:type="spellStart"/>
        <w:r w:rsidRPr="00C50459" w:rsidDel="00000015">
          <w:rPr>
            <w:rStyle w:val="Hyperlink"/>
            <w:rFonts w:ascii="Times New Roman" w:hAnsi="Times New Roman" w:cs="Times New Roman"/>
            <w:sz w:val="18"/>
            <w:szCs w:val="18"/>
            <w:lang w:val="es"/>
          </w:rPr>
          <w:t>Overview</w:t>
        </w:r>
        <w:proofErr w:type="spellEnd"/>
        <w:r w:rsidRPr="00C50459" w:rsidDel="00000015">
          <w:rPr>
            <w:rStyle w:val="Hyperlink"/>
            <w:rFonts w:ascii="Times New Roman" w:hAnsi="Times New Roman" w:cs="Times New Roman"/>
            <w:sz w:val="18"/>
            <w:szCs w:val="18"/>
            <w:lang w:val="es"/>
          </w:rPr>
          <w:t xml:space="preserve"> of </w:t>
        </w:r>
        <w:proofErr w:type="spellStart"/>
        <w:r w:rsidRPr="00C50459" w:rsidDel="00000015">
          <w:rPr>
            <w:rStyle w:val="Hyperlink"/>
            <w:rFonts w:ascii="Times New Roman" w:hAnsi="Times New Roman" w:cs="Times New Roman"/>
            <w:sz w:val="18"/>
            <w:szCs w:val="18"/>
            <w:lang w:val="es"/>
          </w:rPr>
          <w:t>the</w:t>
        </w:r>
        <w:proofErr w:type="spellEnd"/>
        <w:r w:rsidRPr="00C50459" w:rsidDel="00000015">
          <w:rPr>
            <w:rStyle w:val="Hyperlink"/>
            <w:rFonts w:ascii="Times New Roman" w:hAnsi="Times New Roman" w:cs="Times New Roman"/>
            <w:sz w:val="18"/>
            <w:szCs w:val="18"/>
            <w:lang w:val="es"/>
          </w:rPr>
          <w:t xml:space="preserve"> </w:t>
        </w:r>
        <w:proofErr w:type="spellStart"/>
        <w:r w:rsidRPr="00C50459" w:rsidDel="00000015">
          <w:rPr>
            <w:rStyle w:val="Hyperlink"/>
            <w:rFonts w:ascii="Times New Roman" w:hAnsi="Times New Roman" w:cs="Times New Roman"/>
            <w:sz w:val="18"/>
            <w:szCs w:val="18"/>
            <w:lang w:val="es"/>
          </w:rPr>
          <w:t>Impact</w:t>
        </w:r>
        <w:proofErr w:type="spellEnd"/>
        <w:r w:rsidRPr="00C50459" w:rsidDel="00000015">
          <w:rPr>
            <w:rStyle w:val="Hyperlink"/>
            <w:rFonts w:ascii="Times New Roman" w:hAnsi="Times New Roman" w:cs="Times New Roman"/>
            <w:sz w:val="18"/>
            <w:szCs w:val="18"/>
            <w:lang w:val="es"/>
          </w:rPr>
          <w:t xml:space="preserve"> of COVID-19 on </w:t>
        </w:r>
        <w:proofErr w:type="spellStart"/>
        <w:r w:rsidRPr="00C50459" w:rsidDel="00000015">
          <w:rPr>
            <w:rStyle w:val="Hyperlink"/>
            <w:rFonts w:ascii="Times New Roman" w:hAnsi="Times New Roman" w:cs="Times New Roman"/>
            <w:sz w:val="18"/>
            <w:szCs w:val="18"/>
            <w:lang w:val="es"/>
          </w:rPr>
          <w:t>Justice</w:t>
        </w:r>
        <w:proofErr w:type="spellEnd"/>
        <w:r w:rsidRPr="00C50459" w:rsidDel="00000015">
          <w:rPr>
            <w:rStyle w:val="Hyperlink"/>
            <w:rFonts w:ascii="Times New Roman" w:hAnsi="Times New Roman" w:cs="Times New Roman"/>
            <w:sz w:val="18"/>
            <w:szCs w:val="18"/>
            <w:lang w:val="es"/>
          </w:rPr>
          <w:t xml:space="preserve"> and Rights in </w:t>
        </w:r>
        <w:proofErr w:type="spellStart"/>
        <w:r w:rsidRPr="00C50459" w:rsidDel="00000015">
          <w:rPr>
            <w:rStyle w:val="Hyperlink"/>
            <w:rFonts w:ascii="Times New Roman" w:hAnsi="Times New Roman" w:cs="Times New Roman"/>
            <w:sz w:val="18"/>
            <w:szCs w:val="18"/>
            <w:lang w:val="es"/>
          </w:rPr>
          <w:t>Southern</w:t>
        </w:r>
        <w:proofErr w:type="spellEnd"/>
        <w:r w:rsidRPr="00C50459" w:rsidDel="00000015">
          <w:rPr>
            <w:rStyle w:val="Hyperlink"/>
            <w:rFonts w:ascii="Times New Roman" w:hAnsi="Times New Roman" w:cs="Times New Roman"/>
            <w:sz w:val="18"/>
            <w:szCs w:val="18"/>
            <w:lang w:val="es"/>
          </w:rPr>
          <w:t xml:space="preserve"> </w:t>
        </w:r>
        <w:proofErr w:type="spellStart"/>
        <w:r w:rsidRPr="00C50459" w:rsidDel="00000015">
          <w:rPr>
            <w:rStyle w:val="Hyperlink"/>
            <w:rFonts w:ascii="Times New Roman" w:hAnsi="Times New Roman" w:cs="Times New Roman"/>
            <w:sz w:val="18"/>
            <w:szCs w:val="18"/>
            <w:lang w:val="es"/>
          </w:rPr>
          <w:t>Africa</w:t>
        </w:r>
        <w:proofErr w:type="spellEnd"/>
        <w:r w:rsidRPr="00C50459" w:rsidDel="00000015">
          <w:rPr>
            <w:rStyle w:val="Hyperlink"/>
            <w:rFonts w:ascii="Times New Roman" w:hAnsi="Times New Roman" w:cs="Times New Roman"/>
            <w:sz w:val="18"/>
            <w:szCs w:val="18"/>
            <w:lang w:val="es"/>
          </w:rPr>
          <w:t>”</w:t>
        </w:r>
      </w:hyperlink>
      <w:r w:rsidRPr="00C50459" w:rsidDel="00000016">
        <w:rPr>
          <w:rFonts w:ascii="Times New Roman" w:hAnsi="Times New Roman" w:cs="Times New Roman"/>
          <w:color w:val="000000" w:themeColor="text1"/>
          <w:sz w:val="18"/>
          <w:szCs w:val="18"/>
          <w:lang w:val="es"/>
        </w:rPr>
        <w:t xml:space="preserve">, SALC </w:t>
      </w:r>
      <w:proofErr w:type="spellStart"/>
      <w:r w:rsidRPr="00C50459" w:rsidDel="00000016">
        <w:rPr>
          <w:rFonts w:ascii="Times New Roman" w:hAnsi="Times New Roman" w:cs="Times New Roman"/>
          <w:color w:val="000000" w:themeColor="text1"/>
          <w:sz w:val="18"/>
          <w:szCs w:val="18"/>
          <w:lang w:val="es"/>
        </w:rPr>
        <w:t>Policy</w:t>
      </w:r>
      <w:proofErr w:type="spellEnd"/>
      <w:r w:rsidRPr="00C50459" w:rsidDel="00000016">
        <w:rPr>
          <w:rFonts w:ascii="Times New Roman" w:hAnsi="Times New Roman" w:cs="Times New Roman"/>
          <w:color w:val="000000" w:themeColor="text1"/>
          <w:sz w:val="18"/>
          <w:szCs w:val="18"/>
          <w:lang w:val="es"/>
        </w:rPr>
        <w:t xml:space="preserve"> </w:t>
      </w:r>
      <w:proofErr w:type="spellStart"/>
      <w:r w:rsidRPr="00C50459" w:rsidDel="00000016">
        <w:rPr>
          <w:rFonts w:ascii="Times New Roman" w:hAnsi="Times New Roman" w:cs="Times New Roman"/>
          <w:color w:val="000000" w:themeColor="text1"/>
          <w:sz w:val="18"/>
          <w:szCs w:val="18"/>
          <w:lang w:val="es"/>
        </w:rPr>
        <w:t>Brief</w:t>
      </w:r>
      <w:proofErr w:type="spellEnd"/>
      <w:r w:rsidRPr="00C50459" w:rsidDel="00000016">
        <w:rPr>
          <w:rFonts w:ascii="Times New Roman" w:hAnsi="Times New Roman" w:cs="Times New Roman"/>
          <w:color w:val="000000" w:themeColor="text1"/>
          <w:sz w:val="18"/>
          <w:szCs w:val="18"/>
          <w:lang w:val="es"/>
        </w:rPr>
        <w:t xml:space="preserve"> No. 1 of 2020, </w:t>
      </w:r>
      <w:r w:rsidRPr="00C50459">
        <w:rPr>
          <w:rFonts w:ascii="Times New Roman" w:hAnsi="Times New Roman" w:cs="Times New Roman"/>
          <w:color w:val="000000" w:themeColor="text1"/>
          <w:sz w:val="18"/>
          <w:szCs w:val="18"/>
          <w:lang w:val="es"/>
        </w:rPr>
        <w:t>mayo de 2020</w:t>
      </w:r>
      <w:r w:rsidRPr="00C50459" w:rsidDel="00000016">
        <w:rPr>
          <w:rFonts w:ascii="Times New Roman" w:hAnsi="Times New Roman" w:cs="Times New Roman"/>
          <w:color w:val="000000" w:themeColor="text1"/>
          <w:sz w:val="18"/>
          <w:szCs w:val="18"/>
          <w:lang w:val="es"/>
        </w:rPr>
        <w:t>.</w:t>
      </w:r>
    </w:p>
  </w:footnote>
  <w:footnote w:id="32">
    <w:p w14:paraId="024C4EB3" w14:textId="77777777" w:rsidR="00966BDF" w:rsidRPr="00C50459" w:rsidRDefault="00966BDF" w:rsidP="00966BDF">
      <w:pPr>
        <w:rPr>
          <w:color w:val="000000" w:themeColor="text1"/>
          <w:sz w:val="18"/>
          <w:szCs w:val="18"/>
        </w:rPr>
      </w:pPr>
      <w:r w:rsidRPr="00C50459" w:rsidDel="00000001">
        <w:rPr>
          <w:color w:val="000000" w:themeColor="text1"/>
          <w:sz w:val="18"/>
          <w:szCs w:val="18"/>
          <w:vertAlign w:val="superscript"/>
          <w:lang w:val="es"/>
        </w:rPr>
        <w:footnoteRef/>
      </w:r>
      <w:r w:rsidRPr="00C50459" w:rsidDel="00000002">
        <w:rPr>
          <w:color w:val="000000" w:themeColor="text1"/>
          <w:sz w:val="18"/>
          <w:szCs w:val="18"/>
          <w:lang w:val="es"/>
        </w:rPr>
        <w:t xml:space="preserve"> </w:t>
      </w:r>
      <w:r w:rsidRPr="00C50459">
        <w:rPr>
          <w:color w:val="000000" w:themeColor="text1"/>
          <w:sz w:val="18"/>
          <w:szCs w:val="18"/>
          <w:lang w:val="es"/>
        </w:rPr>
        <w:t xml:space="preserve">Grupo de Trabajo de Sociedad Civil del </w:t>
      </w:r>
      <w:r w:rsidRPr="00C50459">
        <w:rPr>
          <w:i/>
          <w:iCs/>
          <w:color w:val="000000" w:themeColor="text1"/>
          <w:sz w:val="18"/>
          <w:szCs w:val="18"/>
          <w:lang w:val="es"/>
        </w:rPr>
        <w:t xml:space="preserve">Equal Rights </w:t>
      </w:r>
      <w:proofErr w:type="spellStart"/>
      <w:r w:rsidRPr="00C50459">
        <w:rPr>
          <w:i/>
          <w:iCs/>
          <w:color w:val="000000" w:themeColor="text1"/>
          <w:sz w:val="18"/>
          <w:szCs w:val="18"/>
          <w:lang w:val="es"/>
        </w:rPr>
        <w:t>Coalition</w:t>
      </w:r>
      <w:proofErr w:type="spellEnd"/>
      <w:r w:rsidRPr="00C50459">
        <w:rPr>
          <w:i/>
          <w:iCs/>
          <w:color w:val="000000" w:themeColor="text1"/>
          <w:sz w:val="18"/>
          <w:szCs w:val="18"/>
          <w:lang w:val="es"/>
        </w:rPr>
        <w:t xml:space="preserve"> </w:t>
      </w:r>
      <w:r w:rsidRPr="00C50459">
        <w:rPr>
          <w:color w:val="000000" w:themeColor="text1"/>
          <w:sz w:val="18"/>
          <w:szCs w:val="18"/>
          <w:lang w:val="es"/>
        </w:rPr>
        <w:t>sobre COVID-19</w:t>
      </w:r>
      <w:r w:rsidRPr="00C50459" w:rsidDel="00000002">
        <w:rPr>
          <w:color w:val="000000" w:themeColor="text1"/>
          <w:sz w:val="18"/>
          <w:szCs w:val="18"/>
          <w:lang w:val="es"/>
        </w:rPr>
        <w:t xml:space="preserve">, </w:t>
      </w:r>
      <w:r w:rsidRPr="00C50459" w:rsidDel="00000003">
        <w:rPr>
          <w:i/>
          <w:color w:val="000000" w:themeColor="text1"/>
          <w:sz w:val="18"/>
          <w:szCs w:val="18"/>
          <w:lang w:val="es"/>
        </w:rPr>
        <w:t xml:space="preserve">supra </w:t>
      </w:r>
      <w:r w:rsidRPr="00C50459">
        <w:rPr>
          <w:color w:val="000000" w:themeColor="text1"/>
          <w:sz w:val="18"/>
          <w:szCs w:val="18"/>
          <w:lang w:val="es"/>
        </w:rPr>
        <w:t>nota</w:t>
      </w:r>
      <w:r w:rsidRPr="00C50459" w:rsidDel="00000004">
        <w:rPr>
          <w:color w:val="000000" w:themeColor="text1"/>
          <w:sz w:val="18"/>
          <w:szCs w:val="18"/>
          <w:lang w:val="es"/>
        </w:rPr>
        <w:t xml:space="preserve"> 10, p. 8. </w:t>
      </w:r>
      <w:r w:rsidRPr="00C50459" w:rsidDel="00000005">
        <w:rPr>
          <w:color w:val="000000" w:themeColor="text1"/>
          <w:sz w:val="18"/>
          <w:szCs w:val="18"/>
          <w:lang w:val="es"/>
        </w:rPr>
        <w:t>Cristian González Cabrera,</w:t>
      </w:r>
      <w:r w:rsidRPr="00C50459" w:rsidDel="00000006">
        <w:rPr>
          <w:color w:val="000000" w:themeColor="text1"/>
          <w:sz w:val="18"/>
          <w:szCs w:val="18"/>
          <w:lang w:val="es"/>
        </w:rPr>
        <w:t xml:space="preserve"> Human Rights </w:t>
      </w:r>
      <w:proofErr w:type="spellStart"/>
      <w:r w:rsidRPr="00C50459" w:rsidDel="00000006">
        <w:rPr>
          <w:color w:val="000000" w:themeColor="text1"/>
          <w:sz w:val="18"/>
          <w:szCs w:val="18"/>
          <w:lang w:val="es"/>
        </w:rPr>
        <w:t>Watch</w:t>
      </w:r>
      <w:proofErr w:type="spellEnd"/>
      <w:r w:rsidRPr="00C50459" w:rsidDel="00000006">
        <w:rPr>
          <w:color w:val="000000" w:themeColor="text1"/>
          <w:sz w:val="18"/>
          <w:szCs w:val="18"/>
          <w:lang w:val="es"/>
        </w:rPr>
        <w:t>,</w:t>
      </w:r>
      <w:hyperlink r:id="rId34" w:history="1">
        <w:r w:rsidRPr="00C50459" w:rsidDel="00000007">
          <w:rPr>
            <w:rStyle w:val="Hyperlink"/>
            <w:sz w:val="18"/>
            <w:szCs w:val="18"/>
            <w:lang w:val="es"/>
          </w:rPr>
          <w:t xml:space="preserve"> “</w:t>
        </w:r>
        <w:proofErr w:type="spellStart"/>
        <w:r w:rsidRPr="00C50459" w:rsidDel="00000007">
          <w:rPr>
            <w:rStyle w:val="Hyperlink"/>
            <w:sz w:val="18"/>
            <w:szCs w:val="18"/>
            <w:lang w:val="es"/>
          </w:rPr>
          <w:t>Panama’s</w:t>
        </w:r>
        <w:proofErr w:type="spellEnd"/>
        <w:r w:rsidRPr="00C50459" w:rsidDel="00000007">
          <w:rPr>
            <w:rStyle w:val="Hyperlink"/>
            <w:sz w:val="18"/>
            <w:szCs w:val="18"/>
            <w:lang w:val="es"/>
          </w:rPr>
          <w:t xml:space="preserve"> Gender-</w:t>
        </w:r>
        <w:proofErr w:type="spellStart"/>
        <w:r w:rsidRPr="00C50459" w:rsidDel="00000007">
          <w:rPr>
            <w:rStyle w:val="Hyperlink"/>
            <w:sz w:val="18"/>
            <w:szCs w:val="18"/>
            <w:lang w:val="es"/>
          </w:rPr>
          <w:t>Based</w:t>
        </w:r>
        <w:proofErr w:type="spellEnd"/>
        <w:r w:rsidRPr="00C50459" w:rsidDel="00000007">
          <w:rPr>
            <w:rStyle w:val="Hyperlink"/>
            <w:sz w:val="18"/>
            <w:szCs w:val="18"/>
            <w:lang w:val="es"/>
          </w:rPr>
          <w:t xml:space="preserve"> </w:t>
        </w:r>
        <w:proofErr w:type="spellStart"/>
        <w:r w:rsidRPr="00C50459" w:rsidDel="00000007">
          <w:rPr>
            <w:rStyle w:val="Hyperlink"/>
            <w:sz w:val="18"/>
            <w:szCs w:val="18"/>
            <w:lang w:val="es"/>
          </w:rPr>
          <w:t>Quarantine</w:t>
        </w:r>
        <w:proofErr w:type="spellEnd"/>
        <w:r w:rsidRPr="00C50459" w:rsidDel="00000007">
          <w:rPr>
            <w:rStyle w:val="Hyperlink"/>
            <w:sz w:val="18"/>
            <w:szCs w:val="18"/>
            <w:lang w:val="es"/>
          </w:rPr>
          <w:t xml:space="preserve"> </w:t>
        </w:r>
        <w:proofErr w:type="spellStart"/>
        <w:r w:rsidRPr="00C50459" w:rsidDel="00000007">
          <w:rPr>
            <w:rStyle w:val="Hyperlink"/>
            <w:sz w:val="18"/>
            <w:szCs w:val="18"/>
            <w:lang w:val="es"/>
          </w:rPr>
          <w:t>Ensnares</w:t>
        </w:r>
        <w:proofErr w:type="spellEnd"/>
        <w:r w:rsidRPr="00C50459" w:rsidDel="00000007">
          <w:rPr>
            <w:rStyle w:val="Hyperlink"/>
            <w:sz w:val="18"/>
            <w:szCs w:val="18"/>
            <w:lang w:val="es"/>
          </w:rPr>
          <w:t xml:space="preserve"> Trans </w:t>
        </w:r>
        <w:proofErr w:type="spellStart"/>
        <w:r w:rsidRPr="00C50459" w:rsidDel="00000007">
          <w:rPr>
            <w:rStyle w:val="Hyperlink"/>
            <w:sz w:val="18"/>
            <w:szCs w:val="18"/>
            <w:lang w:val="es"/>
          </w:rPr>
          <w:t>Woman</w:t>
        </w:r>
        <w:proofErr w:type="spellEnd"/>
        <w:r w:rsidRPr="00C50459" w:rsidDel="00000007">
          <w:rPr>
            <w:rStyle w:val="Hyperlink"/>
            <w:sz w:val="18"/>
            <w:szCs w:val="18"/>
            <w:lang w:val="es"/>
          </w:rPr>
          <w:t xml:space="preserve">: Trans-Sensitive </w:t>
        </w:r>
        <w:proofErr w:type="spellStart"/>
        <w:r w:rsidRPr="00C50459" w:rsidDel="00000007">
          <w:rPr>
            <w:rStyle w:val="Hyperlink"/>
            <w:sz w:val="18"/>
            <w:szCs w:val="18"/>
            <w:lang w:val="es"/>
          </w:rPr>
          <w:t>Police</w:t>
        </w:r>
        <w:proofErr w:type="spellEnd"/>
        <w:r w:rsidRPr="00C50459" w:rsidDel="00000007">
          <w:rPr>
            <w:rStyle w:val="Hyperlink"/>
            <w:sz w:val="18"/>
            <w:szCs w:val="18"/>
            <w:lang w:val="es"/>
          </w:rPr>
          <w:t xml:space="preserve"> </w:t>
        </w:r>
        <w:proofErr w:type="spellStart"/>
        <w:r w:rsidRPr="00C50459" w:rsidDel="00000007">
          <w:rPr>
            <w:rStyle w:val="Hyperlink"/>
            <w:sz w:val="18"/>
            <w:szCs w:val="18"/>
            <w:lang w:val="es"/>
          </w:rPr>
          <w:t>Protocol</w:t>
        </w:r>
        <w:proofErr w:type="spellEnd"/>
        <w:r w:rsidRPr="00C50459" w:rsidDel="00000007">
          <w:rPr>
            <w:rStyle w:val="Hyperlink"/>
            <w:sz w:val="18"/>
            <w:szCs w:val="18"/>
            <w:lang w:val="es"/>
          </w:rPr>
          <w:t xml:space="preserve"> </w:t>
        </w:r>
        <w:proofErr w:type="spellStart"/>
        <w:r w:rsidRPr="00C50459" w:rsidDel="00000007">
          <w:rPr>
            <w:rStyle w:val="Hyperlink"/>
            <w:sz w:val="18"/>
            <w:szCs w:val="18"/>
            <w:lang w:val="es"/>
          </w:rPr>
          <w:t>Needed</w:t>
        </w:r>
        <w:proofErr w:type="spellEnd"/>
        <w:r w:rsidRPr="00C50459" w:rsidDel="00000007">
          <w:rPr>
            <w:rStyle w:val="Hyperlink"/>
            <w:sz w:val="18"/>
            <w:szCs w:val="18"/>
            <w:lang w:val="es"/>
          </w:rPr>
          <w:t xml:space="preserve"> to </w:t>
        </w:r>
        <w:proofErr w:type="spellStart"/>
        <w:r w:rsidRPr="00C50459" w:rsidDel="00000007">
          <w:rPr>
            <w:rStyle w:val="Hyperlink"/>
            <w:sz w:val="18"/>
            <w:szCs w:val="18"/>
            <w:lang w:val="es"/>
          </w:rPr>
          <w:t>Prevent</w:t>
        </w:r>
        <w:proofErr w:type="spellEnd"/>
        <w:r w:rsidRPr="00C50459" w:rsidDel="00000007">
          <w:rPr>
            <w:rStyle w:val="Hyperlink"/>
            <w:sz w:val="18"/>
            <w:szCs w:val="18"/>
            <w:lang w:val="es"/>
          </w:rPr>
          <w:t xml:space="preserve"> </w:t>
        </w:r>
        <w:proofErr w:type="spellStart"/>
        <w:r w:rsidRPr="00C50459" w:rsidDel="00000007">
          <w:rPr>
            <w:rStyle w:val="Hyperlink"/>
            <w:sz w:val="18"/>
            <w:szCs w:val="18"/>
            <w:lang w:val="es"/>
          </w:rPr>
          <w:t>Harassment</w:t>
        </w:r>
        <w:proofErr w:type="spellEnd"/>
        <w:r w:rsidRPr="00C50459" w:rsidDel="00000007">
          <w:rPr>
            <w:rStyle w:val="Hyperlink"/>
            <w:sz w:val="18"/>
            <w:szCs w:val="18"/>
            <w:lang w:val="es"/>
          </w:rPr>
          <w:t>”</w:t>
        </w:r>
      </w:hyperlink>
      <w:r w:rsidRPr="00C50459" w:rsidDel="00000008">
        <w:rPr>
          <w:color w:val="000000" w:themeColor="text1"/>
          <w:sz w:val="18"/>
          <w:szCs w:val="18"/>
          <w:lang w:val="es"/>
        </w:rPr>
        <w:t xml:space="preserve">, </w:t>
      </w:r>
      <w:r w:rsidRPr="00C50459">
        <w:rPr>
          <w:color w:val="000000" w:themeColor="text1"/>
          <w:sz w:val="18"/>
          <w:szCs w:val="18"/>
          <w:lang w:val="es"/>
        </w:rPr>
        <w:t>2 de abril de</w:t>
      </w:r>
      <w:r w:rsidRPr="00C50459" w:rsidDel="00000008">
        <w:rPr>
          <w:color w:val="000000" w:themeColor="text1"/>
          <w:sz w:val="18"/>
          <w:szCs w:val="18"/>
          <w:lang w:val="es"/>
        </w:rPr>
        <w:t xml:space="preserve"> 2020; BBC News, </w:t>
      </w:r>
      <w:hyperlink r:id="rId35" w:history="1">
        <w:r w:rsidRPr="00C50459" w:rsidDel="00000009">
          <w:rPr>
            <w:rStyle w:val="Hyperlink"/>
            <w:sz w:val="18"/>
            <w:szCs w:val="18"/>
            <w:lang w:val="es"/>
          </w:rPr>
          <w:t xml:space="preserve">“Coronavirus: </w:t>
        </w:r>
        <w:proofErr w:type="spellStart"/>
        <w:r w:rsidRPr="00C50459" w:rsidDel="00000009">
          <w:rPr>
            <w:rStyle w:val="Hyperlink"/>
            <w:sz w:val="18"/>
            <w:szCs w:val="18"/>
            <w:lang w:val="es"/>
          </w:rPr>
          <w:t>Peru</w:t>
        </w:r>
        <w:proofErr w:type="spellEnd"/>
        <w:r w:rsidRPr="00C50459" w:rsidDel="00000009">
          <w:rPr>
            <w:rStyle w:val="Hyperlink"/>
            <w:sz w:val="18"/>
            <w:szCs w:val="18"/>
            <w:lang w:val="es"/>
          </w:rPr>
          <w:t xml:space="preserve"> </w:t>
        </w:r>
        <w:proofErr w:type="spellStart"/>
        <w:r w:rsidRPr="00C50459" w:rsidDel="00000009">
          <w:rPr>
            <w:rStyle w:val="Hyperlink"/>
            <w:sz w:val="18"/>
            <w:szCs w:val="18"/>
            <w:lang w:val="es"/>
          </w:rPr>
          <w:t>limits</w:t>
        </w:r>
        <w:proofErr w:type="spellEnd"/>
        <w:r w:rsidRPr="00C50459" w:rsidDel="00000009">
          <w:rPr>
            <w:rStyle w:val="Hyperlink"/>
            <w:sz w:val="18"/>
            <w:szCs w:val="18"/>
            <w:lang w:val="es"/>
          </w:rPr>
          <w:t xml:space="preserve"> </w:t>
        </w:r>
        <w:proofErr w:type="spellStart"/>
        <w:r w:rsidRPr="00C50459" w:rsidDel="00000009">
          <w:rPr>
            <w:rStyle w:val="Hyperlink"/>
            <w:sz w:val="18"/>
            <w:szCs w:val="18"/>
            <w:lang w:val="es"/>
          </w:rPr>
          <w:t>movement</w:t>
        </w:r>
        <w:proofErr w:type="spellEnd"/>
        <w:r w:rsidRPr="00C50459" w:rsidDel="00000009">
          <w:rPr>
            <w:rStyle w:val="Hyperlink"/>
            <w:sz w:val="18"/>
            <w:szCs w:val="18"/>
            <w:lang w:val="es"/>
          </w:rPr>
          <w:t xml:space="preserve"> </w:t>
        </w:r>
        <w:proofErr w:type="spellStart"/>
        <w:r w:rsidRPr="00C50459" w:rsidDel="00000009">
          <w:rPr>
            <w:rStyle w:val="Hyperlink"/>
            <w:sz w:val="18"/>
            <w:szCs w:val="18"/>
            <w:lang w:val="es"/>
          </w:rPr>
          <w:t>by</w:t>
        </w:r>
        <w:proofErr w:type="spellEnd"/>
        <w:r w:rsidRPr="00C50459" w:rsidDel="00000009">
          <w:rPr>
            <w:rStyle w:val="Hyperlink"/>
            <w:sz w:val="18"/>
            <w:szCs w:val="18"/>
            <w:lang w:val="es"/>
          </w:rPr>
          <w:t xml:space="preserve"> </w:t>
        </w:r>
        <w:proofErr w:type="spellStart"/>
        <w:r w:rsidRPr="00C50459" w:rsidDel="00000009">
          <w:rPr>
            <w:rStyle w:val="Hyperlink"/>
            <w:sz w:val="18"/>
            <w:szCs w:val="18"/>
            <w:lang w:val="es"/>
          </w:rPr>
          <w:t>gender</w:t>
        </w:r>
        <w:proofErr w:type="spellEnd"/>
        <w:r w:rsidRPr="00C50459" w:rsidDel="00000009">
          <w:rPr>
            <w:rStyle w:val="Hyperlink"/>
            <w:sz w:val="18"/>
            <w:szCs w:val="18"/>
            <w:lang w:val="es"/>
          </w:rPr>
          <w:t xml:space="preserve"> to </w:t>
        </w:r>
        <w:proofErr w:type="spellStart"/>
        <w:r w:rsidRPr="00C50459" w:rsidDel="00000009">
          <w:rPr>
            <w:rStyle w:val="Hyperlink"/>
            <w:sz w:val="18"/>
            <w:szCs w:val="18"/>
            <w:lang w:val="es"/>
          </w:rPr>
          <w:t>stem</w:t>
        </w:r>
        <w:proofErr w:type="spellEnd"/>
        <w:r w:rsidRPr="00C50459" w:rsidDel="00000009">
          <w:rPr>
            <w:rStyle w:val="Hyperlink"/>
            <w:sz w:val="18"/>
            <w:szCs w:val="18"/>
            <w:lang w:val="es"/>
          </w:rPr>
          <w:t xml:space="preserve"> spread”</w:t>
        </w:r>
      </w:hyperlink>
      <w:r w:rsidRPr="00C50459" w:rsidDel="00000010">
        <w:rPr>
          <w:color w:val="000000" w:themeColor="text1"/>
          <w:sz w:val="18"/>
          <w:szCs w:val="18"/>
          <w:lang w:val="es"/>
        </w:rPr>
        <w:t xml:space="preserve">, </w:t>
      </w:r>
      <w:r w:rsidRPr="00C50459">
        <w:rPr>
          <w:color w:val="000000" w:themeColor="text1"/>
          <w:sz w:val="18"/>
          <w:szCs w:val="18"/>
          <w:lang w:val="es"/>
        </w:rPr>
        <w:t>3 de abril de 2020</w:t>
      </w:r>
      <w:r w:rsidRPr="00C50459" w:rsidDel="00000011">
        <w:rPr>
          <w:color w:val="000000" w:themeColor="text1"/>
          <w:sz w:val="18"/>
          <w:szCs w:val="18"/>
          <w:lang w:val="es"/>
        </w:rPr>
        <w:t xml:space="preserve">; </w:t>
      </w:r>
      <w:r w:rsidRPr="00C50459" w:rsidDel="00000012">
        <w:rPr>
          <w:color w:val="000000" w:themeColor="text1"/>
          <w:sz w:val="18"/>
          <w:szCs w:val="18"/>
          <w:lang w:val="es"/>
        </w:rPr>
        <w:t xml:space="preserve">Open </w:t>
      </w:r>
      <w:proofErr w:type="spellStart"/>
      <w:r w:rsidRPr="00C50459" w:rsidDel="00000012">
        <w:rPr>
          <w:color w:val="000000" w:themeColor="text1"/>
          <w:sz w:val="18"/>
          <w:szCs w:val="18"/>
          <w:lang w:val="es"/>
        </w:rPr>
        <w:t>Democracy</w:t>
      </w:r>
      <w:proofErr w:type="spellEnd"/>
      <w:r w:rsidRPr="00C50459" w:rsidDel="00000012">
        <w:rPr>
          <w:color w:val="000000" w:themeColor="text1"/>
          <w:sz w:val="18"/>
          <w:szCs w:val="18"/>
          <w:lang w:val="es"/>
        </w:rPr>
        <w:t xml:space="preserve">, </w:t>
      </w:r>
      <w:hyperlink r:id="rId36" w:history="1">
        <w:r w:rsidRPr="00C50459" w:rsidDel="00000013">
          <w:rPr>
            <w:rStyle w:val="Hyperlink"/>
            <w:sz w:val="18"/>
            <w:szCs w:val="18"/>
            <w:lang w:val="es"/>
          </w:rPr>
          <w:t>“</w:t>
        </w:r>
        <w:proofErr w:type="spellStart"/>
        <w:r w:rsidRPr="00C50459" w:rsidDel="00000013">
          <w:rPr>
            <w:rStyle w:val="Hyperlink"/>
            <w:sz w:val="18"/>
            <w:szCs w:val="18"/>
            <w:lang w:val="es"/>
          </w:rPr>
          <w:t>The</w:t>
        </w:r>
        <w:proofErr w:type="spellEnd"/>
        <w:r w:rsidRPr="00C50459" w:rsidDel="00000013">
          <w:rPr>
            <w:rStyle w:val="Hyperlink"/>
            <w:sz w:val="18"/>
            <w:szCs w:val="18"/>
            <w:lang w:val="es"/>
          </w:rPr>
          <w:t xml:space="preserve"> </w:t>
        </w:r>
        <w:proofErr w:type="spellStart"/>
        <w:r w:rsidRPr="00C50459" w:rsidDel="00000013">
          <w:rPr>
            <w:rStyle w:val="Hyperlink"/>
            <w:sz w:val="18"/>
            <w:szCs w:val="18"/>
            <w:lang w:val="es"/>
          </w:rPr>
          <w:t>Danger</w:t>
        </w:r>
        <w:proofErr w:type="spellEnd"/>
        <w:r w:rsidRPr="00C50459" w:rsidDel="00000013">
          <w:rPr>
            <w:rStyle w:val="Hyperlink"/>
            <w:sz w:val="18"/>
            <w:szCs w:val="18"/>
            <w:lang w:val="es"/>
          </w:rPr>
          <w:t xml:space="preserve"> of </w:t>
        </w:r>
        <w:proofErr w:type="spellStart"/>
        <w:r w:rsidRPr="00C50459" w:rsidDel="00000013">
          <w:rPr>
            <w:rStyle w:val="Hyperlink"/>
            <w:sz w:val="18"/>
            <w:szCs w:val="18"/>
            <w:lang w:val="es"/>
          </w:rPr>
          <w:t>Being</w:t>
        </w:r>
        <w:proofErr w:type="spellEnd"/>
        <w:r w:rsidRPr="00C50459" w:rsidDel="00000013">
          <w:rPr>
            <w:rStyle w:val="Hyperlink"/>
            <w:sz w:val="18"/>
            <w:szCs w:val="18"/>
            <w:lang w:val="es"/>
          </w:rPr>
          <w:t xml:space="preserve"> </w:t>
        </w:r>
        <w:proofErr w:type="spellStart"/>
        <w:r w:rsidRPr="00C50459" w:rsidDel="00000013">
          <w:rPr>
            <w:rStyle w:val="Hyperlink"/>
            <w:sz w:val="18"/>
            <w:szCs w:val="18"/>
            <w:lang w:val="es"/>
          </w:rPr>
          <w:t>Transgender</w:t>
        </w:r>
        <w:proofErr w:type="spellEnd"/>
        <w:r w:rsidRPr="00C50459" w:rsidDel="00000013">
          <w:rPr>
            <w:rStyle w:val="Hyperlink"/>
            <w:sz w:val="18"/>
            <w:szCs w:val="18"/>
            <w:lang w:val="es"/>
          </w:rPr>
          <w:t xml:space="preserve"> in </w:t>
        </w:r>
        <w:proofErr w:type="spellStart"/>
        <w:r w:rsidRPr="00C50459" w:rsidDel="00000013">
          <w:rPr>
            <w:rStyle w:val="Hyperlink"/>
            <w:sz w:val="18"/>
            <w:szCs w:val="18"/>
            <w:lang w:val="es"/>
          </w:rPr>
          <w:t>Latin</w:t>
        </w:r>
        <w:proofErr w:type="spellEnd"/>
        <w:r w:rsidRPr="00C50459" w:rsidDel="00000013">
          <w:rPr>
            <w:rStyle w:val="Hyperlink"/>
            <w:sz w:val="18"/>
            <w:szCs w:val="18"/>
            <w:lang w:val="es"/>
          </w:rPr>
          <w:t xml:space="preserve"> </w:t>
        </w:r>
        <w:proofErr w:type="spellStart"/>
        <w:r w:rsidRPr="00C50459" w:rsidDel="00000013">
          <w:rPr>
            <w:rStyle w:val="Hyperlink"/>
            <w:sz w:val="18"/>
            <w:szCs w:val="18"/>
            <w:lang w:val="es"/>
          </w:rPr>
          <w:t>America</w:t>
        </w:r>
        <w:proofErr w:type="spellEnd"/>
        <w:r w:rsidRPr="00C50459" w:rsidDel="00000013">
          <w:rPr>
            <w:rStyle w:val="Hyperlink"/>
            <w:sz w:val="18"/>
            <w:szCs w:val="18"/>
            <w:lang w:val="es"/>
          </w:rPr>
          <w:t xml:space="preserve"> in Time of </w:t>
        </w:r>
        <w:proofErr w:type="spellStart"/>
        <w:r w:rsidRPr="00C50459" w:rsidDel="00000013">
          <w:rPr>
            <w:rStyle w:val="Hyperlink"/>
            <w:sz w:val="18"/>
            <w:szCs w:val="18"/>
            <w:lang w:val="es"/>
          </w:rPr>
          <w:t>Quarantine</w:t>
        </w:r>
        <w:proofErr w:type="spellEnd"/>
        <w:r w:rsidRPr="00C50459" w:rsidDel="00000013">
          <w:rPr>
            <w:rStyle w:val="Hyperlink"/>
            <w:sz w:val="18"/>
            <w:szCs w:val="18"/>
            <w:lang w:val="es"/>
          </w:rPr>
          <w:t>”</w:t>
        </w:r>
      </w:hyperlink>
      <w:r w:rsidRPr="00C50459" w:rsidDel="00000014">
        <w:rPr>
          <w:color w:val="000000" w:themeColor="text1"/>
          <w:sz w:val="18"/>
          <w:szCs w:val="18"/>
          <w:lang w:val="es"/>
        </w:rPr>
        <w:t xml:space="preserve">, </w:t>
      </w:r>
      <w:r w:rsidRPr="00C50459">
        <w:rPr>
          <w:color w:val="000000" w:themeColor="text1"/>
          <w:sz w:val="18"/>
          <w:szCs w:val="18"/>
          <w:lang w:val="es"/>
        </w:rPr>
        <w:t>21 de abril de 2020</w:t>
      </w:r>
      <w:r w:rsidRPr="00C50459" w:rsidDel="00000014">
        <w:rPr>
          <w:color w:val="000000" w:themeColor="text1"/>
          <w:sz w:val="18"/>
          <w:szCs w:val="18"/>
          <w:lang w:val="es"/>
        </w:rPr>
        <w:t xml:space="preserve">; </w:t>
      </w:r>
      <w:hyperlink r:id="rId37" w:tooltip="Posts by Ximena Izquierdo Ugaz" w:history="1">
        <w:r w:rsidRPr="00C50459" w:rsidDel="00000015">
          <w:rPr>
            <w:rStyle w:val="Hyperlink"/>
            <w:color w:val="000000" w:themeColor="text1"/>
            <w:sz w:val="18"/>
            <w:szCs w:val="18"/>
            <w:lang w:val="es"/>
          </w:rPr>
          <w:t xml:space="preserve">Ximena Izquierdo </w:t>
        </w:r>
        <w:proofErr w:type="spellStart"/>
        <w:r w:rsidRPr="00C50459" w:rsidDel="00000015">
          <w:rPr>
            <w:rStyle w:val="Hyperlink"/>
            <w:color w:val="000000" w:themeColor="text1"/>
            <w:sz w:val="18"/>
            <w:szCs w:val="18"/>
            <w:lang w:val="es"/>
          </w:rPr>
          <w:t>Ugaz</w:t>
        </w:r>
        <w:proofErr w:type="spellEnd"/>
      </w:hyperlink>
      <w:r w:rsidRPr="00C50459" w:rsidDel="00000016">
        <w:rPr>
          <w:color w:val="000000" w:themeColor="text1"/>
          <w:sz w:val="18"/>
          <w:szCs w:val="18"/>
          <w:lang w:val="es"/>
        </w:rPr>
        <w:t xml:space="preserve">, </w:t>
      </w:r>
      <w:r w:rsidRPr="00C50459" w:rsidDel="00000017">
        <w:rPr>
          <w:rStyle w:val="Hyperlink"/>
          <w:sz w:val="18"/>
          <w:szCs w:val="18"/>
          <w:lang w:val="es"/>
        </w:rPr>
        <w:t>“</w:t>
      </w:r>
      <w:proofErr w:type="spellStart"/>
      <w:r w:rsidRPr="00C50459">
        <w:rPr>
          <w:lang w:val="en"/>
        </w:rPr>
        <w:fldChar w:fldCharType="begin"/>
      </w:r>
      <w:r w:rsidRPr="00C50459">
        <w:rPr>
          <w:sz w:val="18"/>
          <w:szCs w:val="18"/>
        </w:rPr>
        <w:instrText xml:space="preserve"> HYPERLINK "https://remezcla.com/features/culture/coronavirus-gender-curfew-issues-panama-peru-colombia/" </w:instrText>
      </w:r>
      <w:r w:rsidRPr="00C50459">
        <w:rPr>
          <w:lang w:val="en"/>
        </w:rPr>
        <w:fldChar w:fldCharType="separate"/>
      </w:r>
      <w:r w:rsidRPr="00C50459" w:rsidDel="00000018">
        <w:rPr>
          <w:rStyle w:val="Hyperlink"/>
          <w:sz w:val="18"/>
          <w:szCs w:val="18"/>
          <w:lang w:val="es"/>
        </w:rPr>
        <w:t>The</w:t>
      </w:r>
      <w:proofErr w:type="spellEnd"/>
      <w:r w:rsidRPr="00C50459" w:rsidDel="00000018">
        <w:rPr>
          <w:rStyle w:val="Hyperlink"/>
          <w:sz w:val="18"/>
          <w:szCs w:val="18"/>
          <w:lang w:val="es"/>
        </w:rPr>
        <w:t xml:space="preserve"> </w:t>
      </w:r>
      <w:proofErr w:type="spellStart"/>
      <w:r w:rsidRPr="00C50459" w:rsidDel="00000018">
        <w:rPr>
          <w:rStyle w:val="Hyperlink"/>
          <w:sz w:val="18"/>
          <w:szCs w:val="18"/>
          <w:lang w:val="es"/>
        </w:rPr>
        <w:t>Issue</w:t>
      </w:r>
      <w:proofErr w:type="spellEnd"/>
      <w:r w:rsidRPr="00C50459" w:rsidDel="00000018">
        <w:rPr>
          <w:rStyle w:val="Hyperlink"/>
          <w:sz w:val="18"/>
          <w:szCs w:val="18"/>
          <w:lang w:val="es"/>
        </w:rPr>
        <w:t xml:space="preserve"> </w:t>
      </w:r>
      <w:proofErr w:type="spellStart"/>
      <w:r w:rsidRPr="00C50459" w:rsidDel="00000018">
        <w:rPr>
          <w:rStyle w:val="Hyperlink"/>
          <w:sz w:val="18"/>
          <w:szCs w:val="18"/>
          <w:lang w:val="es"/>
        </w:rPr>
        <w:t>With</w:t>
      </w:r>
      <w:proofErr w:type="spellEnd"/>
      <w:r w:rsidRPr="00C50459" w:rsidDel="00000018">
        <w:rPr>
          <w:rStyle w:val="Hyperlink"/>
          <w:sz w:val="18"/>
          <w:szCs w:val="18"/>
          <w:lang w:val="es"/>
        </w:rPr>
        <w:t xml:space="preserve"> </w:t>
      </w:r>
      <w:proofErr w:type="spellStart"/>
      <w:r w:rsidRPr="00C50459" w:rsidDel="00000018">
        <w:rPr>
          <w:rStyle w:val="Hyperlink"/>
          <w:sz w:val="18"/>
          <w:szCs w:val="18"/>
          <w:lang w:val="es"/>
        </w:rPr>
        <w:t>the</w:t>
      </w:r>
      <w:proofErr w:type="spellEnd"/>
      <w:r w:rsidRPr="00C50459" w:rsidDel="00000018">
        <w:rPr>
          <w:rStyle w:val="Hyperlink"/>
          <w:sz w:val="18"/>
          <w:szCs w:val="18"/>
          <w:lang w:val="es"/>
        </w:rPr>
        <w:t xml:space="preserve"> Gender-</w:t>
      </w:r>
      <w:proofErr w:type="spellStart"/>
      <w:r w:rsidRPr="00C50459" w:rsidDel="00000018">
        <w:rPr>
          <w:rStyle w:val="Hyperlink"/>
          <w:sz w:val="18"/>
          <w:szCs w:val="18"/>
          <w:lang w:val="es"/>
        </w:rPr>
        <w:t>Based</w:t>
      </w:r>
      <w:proofErr w:type="spellEnd"/>
      <w:r w:rsidRPr="00C50459" w:rsidDel="00000018">
        <w:rPr>
          <w:rStyle w:val="Hyperlink"/>
          <w:sz w:val="18"/>
          <w:szCs w:val="18"/>
          <w:lang w:val="es"/>
        </w:rPr>
        <w:t xml:space="preserve"> </w:t>
      </w:r>
      <w:proofErr w:type="spellStart"/>
      <w:r w:rsidRPr="00C50459" w:rsidDel="00000018">
        <w:rPr>
          <w:rStyle w:val="Hyperlink"/>
          <w:sz w:val="18"/>
          <w:szCs w:val="18"/>
          <w:lang w:val="es"/>
        </w:rPr>
        <w:t>Curfew</w:t>
      </w:r>
      <w:proofErr w:type="spellEnd"/>
      <w:r w:rsidRPr="00C50459" w:rsidDel="00000018">
        <w:rPr>
          <w:rStyle w:val="Hyperlink"/>
          <w:sz w:val="18"/>
          <w:szCs w:val="18"/>
          <w:lang w:val="es"/>
        </w:rPr>
        <w:t xml:space="preserve"> in </w:t>
      </w:r>
      <w:proofErr w:type="spellStart"/>
      <w:r w:rsidRPr="00C50459" w:rsidDel="00000018">
        <w:rPr>
          <w:rStyle w:val="Hyperlink"/>
          <w:sz w:val="18"/>
          <w:szCs w:val="18"/>
          <w:lang w:val="es"/>
        </w:rPr>
        <w:t>Countries</w:t>
      </w:r>
      <w:proofErr w:type="spellEnd"/>
      <w:r w:rsidRPr="00C50459" w:rsidDel="00000018">
        <w:rPr>
          <w:rStyle w:val="Hyperlink"/>
          <w:sz w:val="18"/>
          <w:szCs w:val="18"/>
          <w:lang w:val="es"/>
        </w:rPr>
        <w:t xml:space="preserve"> </w:t>
      </w:r>
      <w:proofErr w:type="spellStart"/>
      <w:r w:rsidRPr="00C50459" w:rsidDel="00000018">
        <w:rPr>
          <w:rStyle w:val="Hyperlink"/>
          <w:sz w:val="18"/>
          <w:szCs w:val="18"/>
          <w:lang w:val="es"/>
        </w:rPr>
        <w:t>Like</w:t>
      </w:r>
      <w:proofErr w:type="spellEnd"/>
      <w:r w:rsidRPr="00C50459" w:rsidDel="00000018">
        <w:rPr>
          <w:rStyle w:val="Hyperlink"/>
          <w:sz w:val="18"/>
          <w:szCs w:val="18"/>
          <w:lang w:val="es"/>
        </w:rPr>
        <w:t xml:space="preserve"> </w:t>
      </w:r>
      <w:proofErr w:type="spellStart"/>
      <w:r w:rsidRPr="00C50459" w:rsidDel="00000018">
        <w:rPr>
          <w:rStyle w:val="Hyperlink"/>
          <w:sz w:val="18"/>
          <w:szCs w:val="18"/>
          <w:lang w:val="es"/>
        </w:rPr>
        <w:t>Peru</w:t>
      </w:r>
      <w:proofErr w:type="spellEnd"/>
      <w:r w:rsidRPr="00C50459" w:rsidDel="00000018">
        <w:rPr>
          <w:rStyle w:val="Hyperlink"/>
          <w:sz w:val="18"/>
          <w:szCs w:val="18"/>
          <w:lang w:val="es"/>
        </w:rPr>
        <w:t xml:space="preserve">, </w:t>
      </w:r>
      <w:proofErr w:type="spellStart"/>
      <w:r w:rsidRPr="00C50459" w:rsidDel="00000018">
        <w:rPr>
          <w:rStyle w:val="Hyperlink"/>
          <w:sz w:val="18"/>
          <w:szCs w:val="18"/>
          <w:lang w:val="es"/>
        </w:rPr>
        <w:t>Panama</w:t>
      </w:r>
      <w:proofErr w:type="spellEnd"/>
      <w:r w:rsidRPr="00C50459" w:rsidDel="00000018">
        <w:rPr>
          <w:rStyle w:val="Hyperlink"/>
          <w:sz w:val="18"/>
          <w:szCs w:val="18"/>
          <w:lang w:val="es"/>
        </w:rPr>
        <w:t xml:space="preserve"> &amp; Colombia</w:t>
      </w:r>
      <w:r w:rsidRPr="00C50459">
        <w:rPr>
          <w:rStyle w:val="Hyperlink"/>
          <w:sz w:val="18"/>
          <w:szCs w:val="18"/>
          <w:lang w:val="es"/>
        </w:rPr>
        <w:fldChar w:fldCharType="end"/>
      </w:r>
      <w:r w:rsidRPr="00C50459" w:rsidDel="00000019">
        <w:rPr>
          <w:rStyle w:val="Hyperlink"/>
          <w:sz w:val="18"/>
          <w:szCs w:val="18"/>
          <w:lang w:val="es"/>
        </w:rPr>
        <w:t>”</w:t>
      </w:r>
      <w:r w:rsidRPr="00C50459" w:rsidDel="00000020">
        <w:rPr>
          <w:color w:val="000000" w:themeColor="text1"/>
          <w:sz w:val="18"/>
          <w:szCs w:val="18"/>
          <w:lang w:val="es"/>
        </w:rPr>
        <w:t xml:space="preserve">, Remezcla, </w:t>
      </w:r>
      <w:r w:rsidRPr="00C50459">
        <w:rPr>
          <w:color w:val="000000" w:themeColor="text1"/>
          <w:sz w:val="18"/>
          <w:szCs w:val="18"/>
          <w:lang w:val="es"/>
        </w:rPr>
        <w:t>24 de abril de 2020</w:t>
      </w:r>
      <w:r w:rsidRPr="00C50459" w:rsidDel="00000020">
        <w:rPr>
          <w:color w:val="000000" w:themeColor="text1"/>
          <w:sz w:val="18"/>
          <w:szCs w:val="18"/>
          <w:lang w:val="es"/>
        </w:rPr>
        <w:t>.</w:t>
      </w:r>
    </w:p>
  </w:footnote>
  <w:footnote w:id="33">
    <w:p w14:paraId="4473CE57" w14:textId="77777777" w:rsidR="00966BDF" w:rsidRPr="00C50459" w:rsidRDefault="00966BDF" w:rsidP="00966BDF">
      <w:pPr>
        <w:pStyle w:val="FootnoteText"/>
        <w:rPr>
          <w:rFonts w:ascii="Times New Roman" w:hAnsi="Times New Roman" w:cs="Times New Roman"/>
          <w:color w:val="000000" w:themeColor="text1"/>
          <w:sz w:val="18"/>
          <w:szCs w:val="18"/>
        </w:rPr>
      </w:pPr>
      <w:r w:rsidRPr="00C50459" w:rsidDel="00000001">
        <w:rPr>
          <w:rStyle w:val="FootnoteReference"/>
          <w:rFonts w:ascii="Times New Roman" w:hAnsi="Times New Roman"/>
          <w:color w:val="000000" w:themeColor="text1"/>
          <w:sz w:val="18"/>
          <w:szCs w:val="18"/>
          <w:lang w:val="es"/>
        </w:rPr>
        <w:footnoteRef/>
      </w:r>
      <w:r w:rsidRPr="00C50459" w:rsidDel="00000002">
        <w:rPr>
          <w:rFonts w:ascii="Times New Roman" w:hAnsi="Times New Roman" w:cs="Times New Roman"/>
          <w:color w:val="000000" w:themeColor="text1"/>
          <w:sz w:val="18"/>
          <w:szCs w:val="18"/>
          <w:lang w:val="es"/>
        </w:rPr>
        <w:t xml:space="preserve"> Lucy </w:t>
      </w:r>
      <w:proofErr w:type="spellStart"/>
      <w:r w:rsidRPr="00C50459" w:rsidDel="00000002">
        <w:rPr>
          <w:rFonts w:ascii="Times New Roman" w:hAnsi="Times New Roman" w:cs="Times New Roman"/>
          <w:color w:val="000000" w:themeColor="text1"/>
          <w:sz w:val="18"/>
          <w:szCs w:val="18"/>
          <w:lang w:val="es"/>
        </w:rPr>
        <w:t>Platt</w:t>
      </w:r>
      <w:proofErr w:type="spellEnd"/>
      <w:r w:rsidRPr="00C50459" w:rsidDel="00000002">
        <w:rPr>
          <w:rFonts w:ascii="Times New Roman" w:hAnsi="Times New Roman" w:cs="Times New Roman"/>
          <w:color w:val="000000" w:themeColor="text1"/>
          <w:sz w:val="18"/>
          <w:szCs w:val="18"/>
          <w:lang w:val="es"/>
        </w:rPr>
        <w:t xml:space="preserve">, </w:t>
      </w:r>
      <w:r w:rsidRPr="00C50459" w:rsidDel="00000003">
        <w:rPr>
          <w:rFonts w:ascii="Times New Roman" w:hAnsi="Times New Roman" w:cs="Times New Roman"/>
          <w:i/>
          <w:color w:val="000000" w:themeColor="text1"/>
          <w:sz w:val="18"/>
          <w:szCs w:val="18"/>
          <w:lang w:val="es"/>
        </w:rPr>
        <w:t>et al.</w:t>
      </w:r>
      <w:r w:rsidRPr="00C50459" w:rsidDel="00000004">
        <w:rPr>
          <w:rFonts w:ascii="Times New Roman" w:hAnsi="Times New Roman" w:cs="Times New Roman"/>
          <w:color w:val="000000" w:themeColor="text1"/>
          <w:sz w:val="18"/>
          <w:szCs w:val="18"/>
          <w:lang w:val="es"/>
        </w:rPr>
        <w:t xml:space="preserve">, </w:t>
      </w:r>
      <w:hyperlink r:id="rId38" w:history="1">
        <w:r w:rsidRPr="00C50459" w:rsidDel="00000005">
          <w:rPr>
            <w:rStyle w:val="Hyperlink"/>
            <w:rFonts w:ascii="Times New Roman" w:hAnsi="Times New Roman" w:cs="Times New Roman"/>
            <w:sz w:val="18"/>
            <w:szCs w:val="18"/>
            <w:lang w:val="es"/>
          </w:rPr>
          <w:t xml:space="preserve">“Sex </w:t>
        </w:r>
        <w:proofErr w:type="spellStart"/>
        <w:r w:rsidRPr="00C50459" w:rsidDel="00000005">
          <w:rPr>
            <w:rStyle w:val="Hyperlink"/>
            <w:rFonts w:ascii="Times New Roman" w:hAnsi="Times New Roman" w:cs="Times New Roman"/>
            <w:sz w:val="18"/>
            <w:szCs w:val="18"/>
            <w:lang w:val="es"/>
          </w:rPr>
          <w:t>workers</w:t>
        </w:r>
        <w:proofErr w:type="spellEnd"/>
        <w:r w:rsidRPr="00C50459" w:rsidDel="00000005">
          <w:rPr>
            <w:rStyle w:val="Hyperlink"/>
            <w:rFonts w:ascii="Times New Roman" w:hAnsi="Times New Roman" w:cs="Times New Roman"/>
            <w:sz w:val="18"/>
            <w:szCs w:val="18"/>
            <w:lang w:val="es"/>
          </w:rPr>
          <w:t xml:space="preserve"> </w:t>
        </w:r>
        <w:proofErr w:type="spellStart"/>
        <w:r w:rsidRPr="00C50459" w:rsidDel="00000005">
          <w:rPr>
            <w:rStyle w:val="Hyperlink"/>
            <w:rFonts w:ascii="Times New Roman" w:hAnsi="Times New Roman" w:cs="Times New Roman"/>
            <w:sz w:val="18"/>
            <w:szCs w:val="18"/>
            <w:lang w:val="es"/>
          </w:rPr>
          <w:t>must</w:t>
        </w:r>
        <w:proofErr w:type="spellEnd"/>
        <w:r w:rsidRPr="00C50459" w:rsidDel="00000005">
          <w:rPr>
            <w:rStyle w:val="Hyperlink"/>
            <w:rFonts w:ascii="Times New Roman" w:hAnsi="Times New Roman" w:cs="Times New Roman"/>
            <w:sz w:val="18"/>
            <w:szCs w:val="18"/>
            <w:lang w:val="es"/>
          </w:rPr>
          <w:t xml:space="preserve"> </w:t>
        </w:r>
        <w:proofErr w:type="spellStart"/>
        <w:r w:rsidRPr="00C50459" w:rsidDel="00000005">
          <w:rPr>
            <w:rStyle w:val="Hyperlink"/>
            <w:rFonts w:ascii="Times New Roman" w:hAnsi="Times New Roman" w:cs="Times New Roman"/>
            <w:sz w:val="18"/>
            <w:szCs w:val="18"/>
            <w:lang w:val="es"/>
          </w:rPr>
          <w:t>not</w:t>
        </w:r>
        <w:proofErr w:type="spellEnd"/>
        <w:r w:rsidRPr="00C50459" w:rsidDel="00000005">
          <w:rPr>
            <w:rStyle w:val="Hyperlink"/>
            <w:rFonts w:ascii="Times New Roman" w:hAnsi="Times New Roman" w:cs="Times New Roman"/>
            <w:sz w:val="18"/>
            <w:szCs w:val="18"/>
            <w:lang w:val="es"/>
          </w:rPr>
          <w:t xml:space="preserve"> be </w:t>
        </w:r>
        <w:proofErr w:type="spellStart"/>
        <w:r w:rsidRPr="00C50459" w:rsidDel="00000005">
          <w:rPr>
            <w:rStyle w:val="Hyperlink"/>
            <w:rFonts w:ascii="Times New Roman" w:hAnsi="Times New Roman" w:cs="Times New Roman"/>
            <w:sz w:val="18"/>
            <w:szCs w:val="18"/>
            <w:lang w:val="es"/>
          </w:rPr>
          <w:t>forgotten</w:t>
        </w:r>
        <w:proofErr w:type="spellEnd"/>
        <w:r w:rsidRPr="00C50459" w:rsidDel="00000005">
          <w:rPr>
            <w:rStyle w:val="Hyperlink"/>
            <w:rFonts w:ascii="Times New Roman" w:hAnsi="Times New Roman" w:cs="Times New Roman"/>
            <w:sz w:val="18"/>
            <w:szCs w:val="18"/>
            <w:lang w:val="es"/>
          </w:rPr>
          <w:t xml:space="preserve"> in </w:t>
        </w:r>
        <w:proofErr w:type="spellStart"/>
        <w:r w:rsidRPr="00C50459" w:rsidDel="00000005">
          <w:rPr>
            <w:rStyle w:val="Hyperlink"/>
            <w:rFonts w:ascii="Times New Roman" w:hAnsi="Times New Roman" w:cs="Times New Roman"/>
            <w:sz w:val="18"/>
            <w:szCs w:val="18"/>
            <w:lang w:val="es"/>
          </w:rPr>
          <w:t>the</w:t>
        </w:r>
        <w:proofErr w:type="spellEnd"/>
        <w:r w:rsidRPr="00C50459" w:rsidDel="00000005">
          <w:rPr>
            <w:rStyle w:val="Hyperlink"/>
            <w:rFonts w:ascii="Times New Roman" w:hAnsi="Times New Roman" w:cs="Times New Roman"/>
            <w:sz w:val="18"/>
            <w:szCs w:val="18"/>
            <w:lang w:val="es"/>
          </w:rPr>
          <w:t xml:space="preserve"> COVID-19 response”</w:t>
        </w:r>
      </w:hyperlink>
      <w:r w:rsidRPr="00C50459" w:rsidDel="00000006">
        <w:rPr>
          <w:rFonts w:ascii="Times New Roman" w:hAnsi="Times New Roman" w:cs="Times New Roman"/>
          <w:color w:val="000000" w:themeColor="text1"/>
          <w:sz w:val="18"/>
          <w:szCs w:val="18"/>
          <w:lang w:val="es"/>
        </w:rPr>
        <w:t xml:space="preserve">, </w:t>
      </w:r>
      <w:proofErr w:type="spellStart"/>
      <w:r w:rsidRPr="00C50459" w:rsidDel="00000006">
        <w:rPr>
          <w:rFonts w:ascii="Times New Roman" w:hAnsi="Times New Roman" w:cs="Times New Roman"/>
          <w:color w:val="000000" w:themeColor="text1"/>
          <w:sz w:val="18"/>
          <w:szCs w:val="18"/>
          <w:lang w:val="es"/>
        </w:rPr>
        <w:t>The</w:t>
      </w:r>
      <w:proofErr w:type="spellEnd"/>
      <w:r w:rsidRPr="00C50459" w:rsidDel="00000006">
        <w:rPr>
          <w:rFonts w:ascii="Times New Roman" w:hAnsi="Times New Roman" w:cs="Times New Roman"/>
          <w:color w:val="000000" w:themeColor="text1"/>
          <w:sz w:val="18"/>
          <w:szCs w:val="18"/>
          <w:lang w:val="es"/>
        </w:rPr>
        <w:t xml:space="preserve"> </w:t>
      </w:r>
      <w:proofErr w:type="spellStart"/>
      <w:r w:rsidRPr="00C50459" w:rsidDel="00000006">
        <w:rPr>
          <w:rFonts w:ascii="Times New Roman" w:hAnsi="Times New Roman" w:cs="Times New Roman"/>
          <w:color w:val="000000" w:themeColor="text1"/>
          <w:sz w:val="18"/>
          <w:szCs w:val="18"/>
          <w:lang w:val="es"/>
        </w:rPr>
        <w:t>Lancet</w:t>
      </w:r>
      <w:proofErr w:type="spellEnd"/>
      <w:r w:rsidRPr="00C50459" w:rsidDel="00000006">
        <w:rPr>
          <w:rFonts w:ascii="Times New Roman" w:hAnsi="Times New Roman" w:cs="Times New Roman"/>
          <w:color w:val="000000" w:themeColor="text1"/>
          <w:sz w:val="18"/>
          <w:szCs w:val="18"/>
          <w:lang w:val="es"/>
        </w:rPr>
        <w:t xml:space="preserve">, </w:t>
      </w:r>
      <w:r w:rsidRPr="00C50459">
        <w:rPr>
          <w:rFonts w:ascii="Times New Roman" w:hAnsi="Times New Roman" w:cs="Times New Roman"/>
          <w:color w:val="000000" w:themeColor="text1"/>
          <w:sz w:val="18"/>
          <w:szCs w:val="18"/>
          <w:lang w:val="es"/>
        </w:rPr>
        <w:t>15 de mayo de 2020</w:t>
      </w:r>
      <w:r w:rsidRPr="00C50459" w:rsidDel="00000006">
        <w:rPr>
          <w:rFonts w:ascii="Times New Roman" w:hAnsi="Times New Roman" w:cs="Times New Roman"/>
          <w:color w:val="000000" w:themeColor="text1"/>
          <w:sz w:val="18"/>
          <w:szCs w:val="18"/>
          <w:lang w:val="es"/>
        </w:rPr>
        <w:t xml:space="preserve">. </w:t>
      </w:r>
    </w:p>
  </w:footnote>
  <w:footnote w:id="34">
    <w:p w14:paraId="29BFCAFB" w14:textId="77777777" w:rsidR="00966BDF" w:rsidRPr="00C50459" w:rsidRDefault="00966BDF" w:rsidP="00966BDF">
      <w:pPr>
        <w:pStyle w:val="FootnoteText"/>
        <w:rPr>
          <w:rFonts w:ascii="Times New Roman" w:eastAsia="Times New Roman" w:hAnsi="Times New Roman" w:cs="Times New Roman"/>
          <w:color w:val="000000" w:themeColor="text1"/>
          <w:sz w:val="18"/>
          <w:szCs w:val="18"/>
        </w:rPr>
      </w:pPr>
      <w:r w:rsidRPr="00C50459" w:rsidDel="00000001">
        <w:rPr>
          <w:rStyle w:val="FootnoteReference"/>
          <w:rFonts w:ascii="Times New Roman" w:hAnsi="Times New Roman"/>
          <w:color w:val="000000" w:themeColor="text1"/>
          <w:sz w:val="18"/>
          <w:szCs w:val="18"/>
          <w:lang w:val="es"/>
        </w:rPr>
        <w:footnoteRef/>
      </w:r>
      <w:r w:rsidRPr="00C50459" w:rsidDel="00000002">
        <w:rPr>
          <w:rFonts w:ascii="Times New Roman" w:hAnsi="Times New Roman" w:cs="Times New Roman"/>
          <w:color w:val="000000" w:themeColor="text1"/>
          <w:sz w:val="18"/>
          <w:szCs w:val="18"/>
          <w:lang w:val="es"/>
        </w:rPr>
        <w:t xml:space="preserve"> IE SOGI, </w:t>
      </w:r>
      <w:r w:rsidRPr="00C50459" w:rsidDel="00000003">
        <w:rPr>
          <w:rFonts w:ascii="Times New Roman" w:hAnsi="Times New Roman" w:cs="Times New Roman"/>
          <w:i/>
          <w:color w:val="000000" w:themeColor="text1"/>
          <w:sz w:val="18"/>
          <w:szCs w:val="18"/>
          <w:lang w:val="es"/>
        </w:rPr>
        <w:t xml:space="preserve">supra </w:t>
      </w:r>
      <w:r w:rsidRPr="00C50459">
        <w:rPr>
          <w:rFonts w:ascii="Times New Roman" w:hAnsi="Times New Roman" w:cs="Times New Roman"/>
          <w:color w:val="000000" w:themeColor="text1"/>
          <w:sz w:val="18"/>
          <w:szCs w:val="18"/>
          <w:lang w:val="es"/>
        </w:rPr>
        <w:t>nota</w:t>
      </w:r>
      <w:r w:rsidRPr="00C50459" w:rsidDel="00000004">
        <w:rPr>
          <w:rFonts w:ascii="Times New Roman" w:hAnsi="Times New Roman" w:cs="Times New Roman"/>
          <w:color w:val="000000" w:themeColor="text1"/>
          <w:sz w:val="18"/>
          <w:szCs w:val="18"/>
          <w:lang w:val="es"/>
        </w:rPr>
        <w:t xml:space="preserve"> 11</w:t>
      </w:r>
      <w:r w:rsidRPr="00C50459" w:rsidDel="00000005">
        <w:rPr>
          <w:rFonts w:ascii="Times New Roman" w:hAnsi="Times New Roman" w:cs="Times New Roman"/>
          <w:color w:val="000000" w:themeColor="text1"/>
          <w:sz w:val="18"/>
          <w:szCs w:val="18"/>
          <w:lang w:val="es"/>
        </w:rPr>
        <w:t xml:space="preserve">, </w:t>
      </w:r>
      <w:r w:rsidRPr="00C50459" w:rsidDel="00000006">
        <w:rPr>
          <w:rFonts w:ascii="Times New Roman" w:hAnsi="Times New Roman" w:cs="Times New Roman"/>
          <w:color w:val="000000" w:themeColor="text1"/>
          <w:sz w:val="18"/>
          <w:szCs w:val="18"/>
          <w:lang w:val="es"/>
        </w:rPr>
        <w:t xml:space="preserve">para. </w:t>
      </w:r>
      <w:r w:rsidRPr="00C50459" w:rsidDel="00000007">
        <w:rPr>
          <w:rFonts w:ascii="Times New Roman" w:hAnsi="Times New Roman" w:cs="Times New Roman"/>
          <w:color w:val="000000" w:themeColor="text1"/>
          <w:sz w:val="18"/>
          <w:szCs w:val="18"/>
          <w:lang w:val="es"/>
        </w:rPr>
        <w:t xml:space="preserve">14-18. </w:t>
      </w:r>
    </w:p>
  </w:footnote>
  <w:footnote w:id="35">
    <w:p w14:paraId="3DDAD4D4" w14:textId="77777777" w:rsidR="00966BDF" w:rsidRPr="00C50459" w:rsidRDefault="00966BDF" w:rsidP="00966BDF">
      <w:pPr>
        <w:pStyle w:val="FootnoteText"/>
        <w:rPr>
          <w:rFonts w:ascii="Times New Roman" w:eastAsia="Times New Roman" w:hAnsi="Times New Roman" w:cs="Times New Roman"/>
          <w:color w:val="000000" w:themeColor="text1"/>
          <w:sz w:val="18"/>
          <w:szCs w:val="18"/>
        </w:rPr>
      </w:pPr>
      <w:r w:rsidRPr="00C50459" w:rsidDel="00000001">
        <w:rPr>
          <w:rStyle w:val="FootnoteReference"/>
          <w:rFonts w:ascii="Times New Roman" w:hAnsi="Times New Roman"/>
          <w:color w:val="000000" w:themeColor="text1"/>
          <w:sz w:val="18"/>
          <w:szCs w:val="18"/>
          <w:lang w:val="es"/>
        </w:rPr>
        <w:footnoteRef/>
      </w:r>
      <w:r w:rsidRPr="00C50459" w:rsidDel="00000002">
        <w:rPr>
          <w:rFonts w:ascii="Times New Roman" w:hAnsi="Times New Roman" w:cs="Times New Roman"/>
          <w:color w:val="000000" w:themeColor="text1"/>
          <w:sz w:val="18"/>
          <w:szCs w:val="18"/>
          <w:lang w:val="es"/>
        </w:rPr>
        <w:t xml:space="preserve"> </w:t>
      </w:r>
      <w:proofErr w:type="spellStart"/>
      <w:r w:rsidRPr="00C50459" w:rsidDel="00000002">
        <w:rPr>
          <w:rFonts w:ascii="Times New Roman" w:hAnsi="Times New Roman" w:cs="Times New Roman"/>
          <w:color w:val="000000" w:themeColor="text1"/>
          <w:sz w:val="18"/>
          <w:szCs w:val="18"/>
          <w:lang w:val="es"/>
        </w:rPr>
        <w:t>Certi</w:t>
      </w:r>
      <w:proofErr w:type="spellEnd"/>
      <w:r w:rsidRPr="00C50459" w:rsidDel="00000002">
        <w:rPr>
          <w:rFonts w:ascii="Times New Roman" w:hAnsi="Times New Roman" w:cs="Times New Roman"/>
          <w:color w:val="000000" w:themeColor="text1"/>
          <w:sz w:val="18"/>
          <w:szCs w:val="18"/>
          <w:lang w:val="es"/>
        </w:rPr>
        <w:t xml:space="preserve"> </w:t>
      </w:r>
      <w:proofErr w:type="spellStart"/>
      <w:r w:rsidRPr="00C50459" w:rsidDel="00000002">
        <w:rPr>
          <w:rFonts w:ascii="Times New Roman" w:hAnsi="Times New Roman" w:cs="Times New Roman"/>
          <w:color w:val="000000" w:themeColor="text1"/>
          <w:sz w:val="18"/>
          <w:szCs w:val="18"/>
          <w:lang w:val="es"/>
        </w:rPr>
        <w:t>Diritti</w:t>
      </w:r>
      <w:proofErr w:type="spellEnd"/>
      <w:r w:rsidRPr="00C50459" w:rsidDel="00000002">
        <w:rPr>
          <w:rFonts w:ascii="Times New Roman" w:hAnsi="Times New Roman" w:cs="Times New Roman"/>
          <w:color w:val="000000" w:themeColor="text1"/>
          <w:sz w:val="18"/>
          <w:szCs w:val="18"/>
          <w:lang w:val="es"/>
        </w:rPr>
        <w:t xml:space="preserve">, </w:t>
      </w:r>
      <w:hyperlink r:id="rId39" w:history="1">
        <w:r w:rsidRPr="00C50459" w:rsidDel="00000003">
          <w:rPr>
            <w:rStyle w:val="Hyperlink"/>
            <w:rFonts w:ascii="Times New Roman" w:hAnsi="Times New Roman" w:cs="Times New Roman"/>
            <w:sz w:val="18"/>
            <w:szCs w:val="18"/>
            <w:lang w:val="es"/>
          </w:rPr>
          <w:t xml:space="preserve">“Coronavirus: </w:t>
        </w:r>
        <w:proofErr w:type="spellStart"/>
        <w:r w:rsidRPr="00C50459" w:rsidDel="00000003">
          <w:rPr>
            <w:rStyle w:val="Hyperlink"/>
            <w:rFonts w:ascii="Times New Roman" w:hAnsi="Times New Roman" w:cs="Times New Roman"/>
            <w:sz w:val="18"/>
            <w:szCs w:val="18"/>
            <w:lang w:val="es"/>
          </w:rPr>
          <w:t>nessuno</w:t>
        </w:r>
        <w:proofErr w:type="spellEnd"/>
        <w:r w:rsidRPr="00C50459" w:rsidDel="00000003">
          <w:rPr>
            <w:rStyle w:val="Hyperlink"/>
            <w:rFonts w:ascii="Times New Roman" w:hAnsi="Times New Roman" w:cs="Times New Roman"/>
            <w:sz w:val="18"/>
            <w:szCs w:val="18"/>
            <w:lang w:val="es"/>
          </w:rPr>
          <w:t xml:space="preserve"> </w:t>
        </w:r>
        <w:proofErr w:type="spellStart"/>
        <w:r w:rsidRPr="00C50459" w:rsidDel="00000003">
          <w:rPr>
            <w:rStyle w:val="Hyperlink"/>
            <w:rFonts w:ascii="Times New Roman" w:hAnsi="Times New Roman" w:cs="Times New Roman"/>
            <w:sz w:val="18"/>
            <w:szCs w:val="18"/>
            <w:lang w:val="es"/>
          </w:rPr>
          <w:t>resti</w:t>
        </w:r>
        <w:proofErr w:type="spellEnd"/>
        <w:r w:rsidRPr="00C50459" w:rsidDel="00000003">
          <w:rPr>
            <w:rStyle w:val="Hyperlink"/>
            <w:rFonts w:ascii="Times New Roman" w:hAnsi="Times New Roman" w:cs="Times New Roman"/>
            <w:sz w:val="18"/>
            <w:szCs w:val="18"/>
            <w:lang w:val="es"/>
          </w:rPr>
          <w:t xml:space="preserve"> </w:t>
        </w:r>
        <w:proofErr w:type="spellStart"/>
        <w:r w:rsidRPr="00C50459" w:rsidDel="00000003">
          <w:rPr>
            <w:rStyle w:val="Hyperlink"/>
            <w:rFonts w:ascii="Times New Roman" w:hAnsi="Times New Roman" w:cs="Times New Roman"/>
            <w:sz w:val="18"/>
            <w:szCs w:val="18"/>
            <w:lang w:val="es"/>
          </w:rPr>
          <w:t>indietro</w:t>
        </w:r>
        <w:proofErr w:type="spellEnd"/>
        <w:r w:rsidRPr="00C50459" w:rsidDel="00000003">
          <w:rPr>
            <w:rStyle w:val="Hyperlink"/>
            <w:rFonts w:ascii="Times New Roman" w:hAnsi="Times New Roman" w:cs="Times New Roman"/>
            <w:sz w:val="18"/>
            <w:szCs w:val="18"/>
            <w:lang w:val="es"/>
          </w:rPr>
          <w:t xml:space="preserve">, </w:t>
        </w:r>
        <w:proofErr w:type="spellStart"/>
        <w:r w:rsidRPr="00C50459" w:rsidDel="00000003">
          <w:rPr>
            <w:rStyle w:val="Hyperlink"/>
            <w:rFonts w:ascii="Times New Roman" w:hAnsi="Times New Roman" w:cs="Times New Roman"/>
            <w:sz w:val="18"/>
            <w:szCs w:val="18"/>
            <w:lang w:val="es"/>
          </w:rPr>
          <w:t>compresi</w:t>
        </w:r>
        <w:proofErr w:type="spellEnd"/>
        <w:r w:rsidRPr="00C50459" w:rsidDel="00000003">
          <w:rPr>
            <w:rStyle w:val="Hyperlink"/>
            <w:rFonts w:ascii="Times New Roman" w:hAnsi="Times New Roman" w:cs="Times New Roman"/>
            <w:sz w:val="18"/>
            <w:szCs w:val="18"/>
            <w:lang w:val="es"/>
          </w:rPr>
          <w:t xml:space="preserve"> i sex </w:t>
        </w:r>
        <w:proofErr w:type="spellStart"/>
        <w:r w:rsidRPr="00C50459" w:rsidDel="00000003">
          <w:rPr>
            <w:rStyle w:val="Hyperlink"/>
            <w:rFonts w:ascii="Times New Roman" w:hAnsi="Times New Roman" w:cs="Times New Roman"/>
            <w:sz w:val="18"/>
            <w:szCs w:val="18"/>
            <w:lang w:val="es"/>
          </w:rPr>
          <w:t>worker</w:t>
        </w:r>
        <w:proofErr w:type="spellEnd"/>
        <w:r w:rsidRPr="00C50459" w:rsidDel="00000003">
          <w:rPr>
            <w:rStyle w:val="Hyperlink"/>
            <w:rFonts w:ascii="Times New Roman" w:hAnsi="Times New Roman" w:cs="Times New Roman"/>
            <w:sz w:val="18"/>
            <w:szCs w:val="18"/>
            <w:lang w:val="es"/>
          </w:rPr>
          <w:t xml:space="preserve">. </w:t>
        </w:r>
        <w:proofErr w:type="spellStart"/>
        <w:r w:rsidRPr="00C50459" w:rsidDel="00000003">
          <w:rPr>
            <w:rStyle w:val="Hyperlink"/>
            <w:rFonts w:ascii="Times New Roman" w:hAnsi="Times New Roman" w:cs="Times New Roman"/>
            <w:sz w:val="18"/>
            <w:szCs w:val="18"/>
            <w:lang w:val="es"/>
          </w:rPr>
          <w:t>Appello</w:t>
        </w:r>
        <w:proofErr w:type="spellEnd"/>
        <w:r w:rsidRPr="00C50459" w:rsidDel="00000003">
          <w:rPr>
            <w:rStyle w:val="Hyperlink"/>
            <w:rFonts w:ascii="Times New Roman" w:hAnsi="Times New Roman" w:cs="Times New Roman"/>
            <w:sz w:val="18"/>
            <w:szCs w:val="18"/>
            <w:lang w:val="es"/>
          </w:rPr>
          <w:t xml:space="preserve"> a Parlamento e </w:t>
        </w:r>
        <w:proofErr w:type="spellStart"/>
        <w:r w:rsidRPr="00C50459" w:rsidDel="00000003">
          <w:rPr>
            <w:rStyle w:val="Hyperlink"/>
            <w:rFonts w:ascii="Times New Roman" w:hAnsi="Times New Roman" w:cs="Times New Roman"/>
            <w:sz w:val="18"/>
            <w:szCs w:val="18"/>
            <w:lang w:val="es"/>
          </w:rPr>
          <w:t>Governo</w:t>
        </w:r>
        <w:proofErr w:type="spellEnd"/>
        <w:r w:rsidRPr="00C50459" w:rsidDel="00000003">
          <w:rPr>
            <w:rStyle w:val="Hyperlink"/>
            <w:rFonts w:ascii="Times New Roman" w:hAnsi="Times New Roman" w:cs="Times New Roman"/>
            <w:sz w:val="18"/>
            <w:szCs w:val="18"/>
            <w:lang w:val="es"/>
          </w:rPr>
          <w:t>”</w:t>
        </w:r>
      </w:hyperlink>
      <w:r w:rsidRPr="00C50459" w:rsidDel="00000004">
        <w:rPr>
          <w:rFonts w:ascii="Times New Roman" w:hAnsi="Times New Roman" w:cs="Times New Roman"/>
          <w:color w:val="000000" w:themeColor="text1"/>
          <w:sz w:val="18"/>
          <w:szCs w:val="18"/>
          <w:lang w:val="es"/>
        </w:rPr>
        <w:t xml:space="preserve">.  </w:t>
      </w:r>
    </w:p>
  </w:footnote>
  <w:footnote w:id="36">
    <w:p w14:paraId="0F239419" w14:textId="77777777" w:rsidR="00966BDF" w:rsidRPr="00C50459" w:rsidRDefault="00966BDF" w:rsidP="00966BDF">
      <w:pPr>
        <w:pStyle w:val="FootnoteText"/>
        <w:rPr>
          <w:rFonts w:ascii="Times New Roman" w:hAnsi="Times New Roman" w:cs="Times New Roman"/>
          <w:color w:val="000000" w:themeColor="text1"/>
          <w:sz w:val="18"/>
          <w:szCs w:val="18"/>
        </w:rPr>
      </w:pPr>
      <w:r w:rsidRPr="00C50459" w:rsidDel="00000001">
        <w:rPr>
          <w:rStyle w:val="FootnoteReference"/>
          <w:rFonts w:ascii="Times New Roman" w:hAnsi="Times New Roman"/>
          <w:color w:val="000000" w:themeColor="text1"/>
          <w:sz w:val="18"/>
          <w:szCs w:val="18"/>
          <w:lang w:val="es"/>
        </w:rPr>
        <w:footnoteRef/>
      </w:r>
      <w:r w:rsidRPr="00C50459" w:rsidDel="00000002">
        <w:rPr>
          <w:rFonts w:ascii="Times New Roman" w:hAnsi="Times New Roman" w:cs="Times New Roman"/>
          <w:color w:val="000000" w:themeColor="text1"/>
          <w:sz w:val="18"/>
          <w:szCs w:val="18"/>
          <w:lang w:val="es"/>
        </w:rPr>
        <w:t xml:space="preserve"> </w:t>
      </w:r>
      <w:r w:rsidRPr="00C50459">
        <w:rPr>
          <w:rFonts w:ascii="Times New Roman" w:hAnsi="Times New Roman" w:cs="Times New Roman"/>
          <w:color w:val="000000" w:themeColor="text1"/>
          <w:sz w:val="18"/>
          <w:szCs w:val="18"/>
          <w:lang w:val="es"/>
        </w:rPr>
        <w:t>OACNUDH</w:t>
      </w:r>
      <w:r w:rsidRPr="00C50459" w:rsidDel="00000002">
        <w:rPr>
          <w:rFonts w:ascii="Times New Roman" w:hAnsi="Times New Roman" w:cs="Times New Roman"/>
          <w:color w:val="000000" w:themeColor="text1"/>
          <w:sz w:val="18"/>
          <w:szCs w:val="18"/>
          <w:lang w:val="es"/>
        </w:rPr>
        <w:t>,</w:t>
      </w:r>
      <w:r w:rsidRPr="00C50459" w:rsidDel="00000003">
        <w:rPr>
          <w:rFonts w:ascii="Times New Roman" w:hAnsi="Times New Roman" w:cs="Times New Roman"/>
          <w:i/>
          <w:color w:val="000000" w:themeColor="text1"/>
          <w:sz w:val="18"/>
          <w:szCs w:val="18"/>
          <w:lang w:val="es"/>
        </w:rPr>
        <w:t xml:space="preserve"> supra </w:t>
      </w:r>
      <w:r w:rsidRPr="00C50459">
        <w:rPr>
          <w:rFonts w:ascii="Times New Roman" w:hAnsi="Times New Roman" w:cs="Times New Roman"/>
          <w:color w:val="000000" w:themeColor="text1"/>
          <w:sz w:val="18"/>
          <w:szCs w:val="18"/>
          <w:lang w:val="es"/>
        </w:rPr>
        <w:t>nota</w:t>
      </w:r>
      <w:r w:rsidRPr="00C50459" w:rsidDel="00000004">
        <w:rPr>
          <w:rFonts w:ascii="Times New Roman" w:hAnsi="Times New Roman" w:cs="Times New Roman"/>
          <w:color w:val="000000" w:themeColor="text1"/>
          <w:sz w:val="18"/>
          <w:szCs w:val="18"/>
          <w:lang w:val="es"/>
        </w:rPr>
        <w:t xml:space="preserve"> </w:t>
      </w:r>
      <w:r w:rsidRPr="00C50459" w:rsidDel="00000005">
        <w:rPr>
          <w:rFonts w:ascii="Times New Roman" w:hAnsi="Times New Roman" w:cs="Times New Roman"/>
          <w:color w:val="000000" w:themeColor="text1"/>
          <w:sz w:val="18"/>
          <w:szCs w:val="18"/>
          <w:lang w:val="es"/>
        </w:rPr>
        <w:t xml:space="preserve">18; </w:t>
      </w:r>
      <w:r w:rsidRPr="00C50459">
        <w:rPr>
          <w:rFonts w:ascii="Times New Roman" w:hAnsi="Times New Roman" w:cs="Times New Roman"/>
          <w:color w:val="000000" w:themeColor="text1"/>
          <w:sz w:val="18"/>
          <w:szCs w:val="18"/>
          <w:lang w:val="es"/>
        </w:rPr>
        <w:t>Naciones Unidas</w:t>
      </w:r>
      <w:r w:rsidRPr="00C50459" w:rsidDel="00000005">
        <w:rPr>
          <w:rFonts w:ascii="Times New Roman" w:hAnsi="Times New Roman" w:cs="Times New Roman"/>
          <w:color w:val="000000" w:themeColor="text1"/>
          <w:sz w:val="18"/>
          <w:szCs w:val="18"/>
          <w:lang w:val="es"/>
        </w:rPr>
        <w:t xml:space="preserve">, </w:t>
      </w:r>
      <w:hyperlink r:id="rId40" w:history="1">
        <w:r w:rsidRPr="00C50459" w:rsidDel="00000006">
          <w:rPr>
            <w:rStyle w:val="Hyperlink"/>
            <w:rFonts w:ascii="Times New Roman" w:hAnsi="Times New Roman" w:cs="Times New Roman"/>
            <w:sz w:val="18"/>
            <w:szCs w:val="18"/>
            <w:lang w:val="es"/>
          </w:rPr>
          <w:t>“</w:t>
        </w:r>
        <w:proofErr w:type="spellStart"/>
        <w:r w:rsidRPr="00C50459" w:rsidDel="00000006">
          <w:rPr>
            <w:rStyle w:val="Hyperlink"/>
            <w:rFonts w:ascii="Times New Roman" w:hAnsi="Times New Roman" w:cs="Times New Roman"/>
            <w:sz w:val="18"/>
            <w:szCs w:val="18"/>
            <w:lang w:val="es"/>
          </w:rPr>
          <w:t>The</w:t>
        </w:r>
        <w:proofErr w:type="spellEnd"/>
        <w:r w:rsidRPr="00C50459" w:rsidDel="00000006">
          <w:rPr>
            <w:rStyle w:val="Hyperlink"/>
            <w:rFonts w:ascii="Times New Roman" w:hAnsi="Times New Roman" w:cs="Times New Roman"/>
            <w:sz w:val="18"/>
            <w:szCs w:val="18"/>
            <w:lang w:val="es"/>
          </w:rPr>
          <w:t xml:space="preserve"> </w:t>
        </w:r>
        <w:proofErr w:type="spellStart"/>
        <w:r w:rsidRPr="00C50459" w:rsidDel="00000006">
          <w:rPr>
            <w:rStyle w:val="Hyperlink"/>
            <w:rFonts w:ascii="Times New Roman" w:hAnsi="Times New Roman" w:cs="Times New Roman"/>
            <w:sz w:val="18"/>
            <w:szCs w:val="18"/>
            <w:lang w:val="es"/>
          </w:rPr>
          <w:t>United</w:t>
        </w:r>
        <w:proofErr w:type="spellEnd"/>
        <w:r w:rsidRPr="00C50459" w:rsidDel="00000006">
          <w:rPr>
            <w:rStyle w:val="Hyperlink"/>
            <w:rFonts w:ascii="Times New Roman" w:hAnsi="Times New Roman" w:cs="Times New Roman"/>
            <w:sz w:val="18"/>
            <w:szCs w:val="18"/>
            <w:lang w:val="es"/>
          </w:rPr>
          <w:t xml:space="preserve"> </w:t>
        </w:r>
        <w:proofErr w:type="spellStart"/>
        <w:r w:rsidRPr="00C50459" w:rsidDel="00000006">
          <w:rPr>
            <w:rStyle w:val="Hyperlink"/>
            <w:rFonts w:ascii="Times New Roman" w:hAnsi="Times New Roman" w:cs="Times New Roman"/>
            <w:sz w:val="18"/>
            <w:szCs w:val="18"/>
            <w:lang w:val="es"/>
          </w:rPr>
          <w:t>Nations</w:t>
        </w:r>
        <w:proofErr w:type="spellEnd"/>
        <w:r w:rsidRPr="00C50459" w:rsidDel="00000006">
          <w:rPr>
            <w:rStyle w:val="Hyperlink"/>
            <w:rFonts w:ascii="Times New Roman" w:hAnsi="Times New Roman" w:cs="Times New Roman"/>
            <w:sz w:val="18"/>
            <w:szCs w:val="18"/>
            <w:lang w:val="es"/>
          </w:rPr>
          <w:t xml:space="preserve"> </w:t>
        </w:r>
        <w:proofErr w:type="spellStart"/>
        <w:r w:rsidRPr="00C50459" w:rsidDel="00000006">
          <w:rPr>
            <w:rStyle w:val="Hyperlink"/>
            <w:rFonts w:ascii="Times New Roman" w:hAnsi="Times New Roman" w:cs="Times New Roman"/>
            <w:sz w:val="18"/>
            <w:szCs w:val="18"/>
            <w:lang w:val="es"/>
          </w:rPr>
          <w:t>Guidance</w:t>
        </w:r>
        <w:proofErr w:type="spellEnd"/>
        <w:r w:rsidRPr="00C50459" w:rsidDel="00000006">
          <w:rPr>
            <w:rStyle w:val="Hyperlink"/>
            <w:rFonts w:ascii="Times New Roman" w:hAnsi="Times New Roman" w:cs="Times New Roman"/>
            <w:sz w:val="18"/>
            <w:szCs w:val="18"/>
            <w:lang w:val="es"/>
          </w:rPr>
          <w:t xml:space="preserve"> </w:t>
        </w:r>
        <w:r w:rsidRPr="00C50459">
          <w:rPr>
            <w:rStyle w:val="Hyperlink"/>
            <w:rFonts w:ascii="Times New Roman" w:hAnsi="Times New Roman" w:cs="Times New Roman"/>
            <w:sz w:val="18"/>
            <w:szCs w:val="18"/>
            <w:lang w:val="es"/>
          </w:rPr>
          <w:t>Nota</w:t>
        </w:r>
        <w:r w:rsidRPr="00C50459" w:rsidDel="00000006">
          <w:rPr>
            <w:rStyle w:val="Hyperlink"/>
            <w:rFonts w:ascii="Times New Roman" w:hAnsi="Times New Roman" w:cs="Times New Roman"/>
            <w:sz w:val="18"/>
            <w:szCs w:val="18"/>
            <w:lang w:val="es"/>
          </w:rPr>
          <w:t xml:space="preserve"> on </w:t>
        </w:r>
        <w:proofErr w:type="spellStart"/>
        <w:r w:rsidRPr="00C50459" w:rsidDel="00000006">
          <w:rPr>
            <w:rStyle w:val="Hyperlink"/>
            <w:rFonts w:ascii="Times New Roman" w:hAnsi="Times New Roman" w:cs="Times New Roman"/>
            <w:sz w:val="18"/>
            <w:szCs w:val="18"/>
            <w:lang w:val="es"/>
          </w:rPr>
          <w:t>Addressing</w:t>
        </w:r>
        <w:proofErr w:type="spellEnd"/>
        <w:r w:rsidRPr="00C50459" w:rsidDel="00000006">
          <w:rPr>
            <w:rStyle w:val="Hyperlink"/>
            <w:rFonts w:ascii="Times New Roman" w:hAnsi="Times New Roman" w:cs="Times New Roman"/>
            <w:sz w:val="18"/>
            <w:szCs w:val="18"/>
            <w:lang w:val="es"/>
          </w:rPr>
          <w:t xml:space="preserve"> and </w:t>
        </w:r>
        <w:proofErr w:type="spellStart"/>
        <w:r w:rsidRPr="00C50459" w:rsidDel="00000006">
          <w:rPr>
            <w:rStyle w:val="Hyperlink"/>
            <w:rFonts w:ascii="Times New Roman" w:hAnsi="Times New Roman" w:cs="Times New Roman"/>
            <w:sz w:val="18"/>
            <w:szCs w:val="18"/>
            <w:lang w:val="es"/>
          </w:rPr>
          <w:t>Countering</w:t>
        </w:r>
        <w:proofErr w:type="spellEnd"/>
        <w:r w:rsidRPr="00C50459" w:rsidDel="00000006">
          <w:rPr>
            <w:rStyle w:val="Hyperlink"/>
            <w:rFonts w:ascii="Times New Roman" w:hAnsi="Times New Roman" w:cs="Times New Roman"/>
            <w:sz w:val="18"/>
            <w:szCs w:val="18"/>
            <w:lang w:val="es"/>
          </w:rPr>
          <w:t xml:space="preserve"> COVID-19 </w:t>
        </w:r>
        <w:proofErr w:type="spellStart"/>
        <w:r w:rsidRPr="00C50459" w:rsidDel="00000006">
          <w:rPr>
            <w:rStyle w:val="Hyperlink"/>
            <w:rFonts w:ascii="Times New Roman" w:hAnsi="Times New Roman" w:cs="Times New Roman"/>
            <w:sz w:val="18"/>
            <w:szCs w:val="18"/>
            <w:lang w:val="es"/>
          </w:rPr>
          <w:t>related</w:t>
        </w:r>
        <w:proofErr w:type="spellEnd"/>
        <w:r w:rsidRPr="00C50459" w:rsidDel="00000006">
          <w:rPr>
            <w:rStyle w:val="Hyperlink"/>
            <w:rFonts w:ascii="Times New Roman" w:hAnsi="Times New Roman" w:cs="Times New Roman"/>
            <w:sz w:val="18"/>
            <w:szCs w:val="18"/>
            <w:lang w:val="es"/>
          </w:rPr>
          <w:t xml:space="preserve"> </w:t>
        </w:r>
        <w:proofErr w:type="spellStart"/>
        <w:r w:rsidRPr="00C50459" w:rsidDel="00000006">
          <w:rPr>
            <w:rStyle w:val="Hyperlink"/>
            <w:rFonts w:ascii="Times New Roman" w:hAnsi="Times New Roman" w:cs="Times New Roman"/>
            <w:sz w:val="18"/>
            <w:szCs w:val="18"/>
            <w:lang w:val="es"/>
          </w:rPr>
          <w:t>Hate</w:t>
        </w:r>
        <w:proofErr w:type="spellEnd"/>
        <w:r w:rsidRPr="00C50459" w:rsidDel="00000006">
          <w:rPr>
            <w:rStyle w:val="Hyperlink"/>
            <w:rFonts w:ascii="Times New Roman" w:hAnsi="Times New Roman" w:cs="Times New Roman"/>
            <w:sz w:val="18"/>
            <w:szCs w:val="18"/>
            <w:lang w:val="es"/>
          </w:rPr>
          <w:t xml:space="preserve"> </w:t>
        </w:r>
        <w:proofErr w:type="spellStart"/>
        <w:r w:rsidRPr="00C50459" w:rsidDel="00000006">
          <w:rPr>
            <w:rStyle w:val="Hyperlink"/>
            <w:rFonts w:ascii="Times New Roman" w:hAnsi="Times New Roman" w:cs="Times New Roman"/>
            <w:sz w:val="18"/>
            <w:szCs w:val="18"/>
            <w:lang w:val="es"/>
          </w:rPr>
          <w:t>Speech</w:t>
        </w:r>
        <w:proofErr w:type="spellEnd"/>
        <w:r w:rsidRPr="00C50459" w:rsidDel="00000006">
          <w:rPr>
            <w:rStyle w:val="Hyperlink"/>
            <w:rFonts w:ascii="Times New Roman" w:hAnsi="Times New Roman" w:cs="Times New Roman"/>
            <w:sz w:val="18"/>
            <w:szCs w:val="18"/>
            <w:lang w:val="es"/>
          </w:rPr>
          <w:t>”</w:t>
        </w:r>
      </w:hyperlink>
      <w:r w:rsidRPr="00C50459" w:rsidDel="00000007">
        <w:rPr>
          <w:rFonts w:ascii="Times New Roman" w:hAnsi="Times New Roman" w:cs="Times New Roman"/>
          <w:color w:val="000000" w:themeColor="text1"/>
          <w:sz w:val="18"/>
          <w:szCs w:val="18"/>
          <w:lang w:val="es"/>
        </w:rPr>
        <w:t xml:space="preserve">, </w:t>
      </w:r>
      <w:r w:rsidRPr="00C50459">
        <w:rPr>
          <w:rFonts w:ascii="Times New Roman" w:hAnsi="Times New Roman" w:cs="Times New Roman"/>
          <w:color w:val="000000" w:themeColor="text1"/>
          <w:sz w:val="18"/>
          <w:szCs w:val="18"/>
          <w:lang w:val="es"/>
        </w:rPr>
        <w:t>11 de mayo de 2020</w:t>
      </w:r>
      <w:r w:rsidRPr="00C50459" w:rsidDel="00000008">
        <w:rPr>
          <w:rFonts w:ascii="Times New Roman" w:hAnsi="Times New Roman" w:cs="Times New Roman"/>
          <w:color w:val="000000" w:themeColor="text1"/>
          <w:sz w:val="18"/>
          <w:szCs w:val="18"/>
          <w:lang w:val="es"/>
        </w:rPr>
        <w:t>.</w:t>
      </w:r>
    </w:p>
  </w:footnote>
  <w:footnote w:id="37">
    <w:p w14:paraId="62F536B5" w14:textId="77777777" w:rsidR="00966BDF" w:rsidRPr="00C50459" w:rsidRDefault="00966BDF" w:rsidP="00966BDF">
      <w:pPr>
        <w:rPr>
          <w:color w:val="000000" w:themeColor="text1"/>
          <w:sz w:val="18"/>
          <w:szCs w:val="18"/>
          <w:lang w:val="fr-FR"/>
        </w:rPr>
      </w:pPr>
      <w:r w:rsidRPr="00C50459" w:rsidDel="00000001">
        <w:rPr>
          <w:rStyle w:val="FootnoteReference"/>
          <w:color w:val="000000" w:themeColor="text1"/>
          <w:sz w:val="18"/>
          <w:szCs w:val="18"/>
          <w:lang w:val="es"/>
        </w:rPr>
        <w:footnoteRef/>
      </w:r>
      <w:r w:rsidRPr="00C50459" w:rsidDel="00000002">
        <w:rPr>
          <w:color w:val="000000" w:themeColor="text1"/>
          <w:sz w:val="18"/>
          <w:szCs w:val="18"/>
          <w:lang w:val="es"/>
        </w:rPr>
        <w:t xml:space="preserve"> </w:t>
      </w:r>
      <w:r w:rsidRPr="00C50459">
        <w:rPr>
          <w:color w:val="000000" w:themeColor="text1"/>
          <w:sz w:val="18"/>
          <w:szCs w:val="18"/>
          <w:lang w:val="es"/>
        </w:rPr>
        <w:t>Comité de Derechos Económicos, Sociales y Culturales</w:t>
      </w:r>
      <w:r w:rsidRPr="00C50459" w:rsidDel="00000002">
        <w:rPr>
          <w:color w:val="000000" w:themeColor="text1"/>
          <w:sz w:val="18"/>
          <w:szCs w:val="18"/>
          <w:lang w:val="es"/>
        </w:rPr>
        <w:t xml:space="preserve">, </w:t>
      </w:r>
      <w:r w:rsidRPr="00C50459" w:rsidDel="00000003">
        <w:rPr>
          <w:i/>
          <w:color w:val="000000" w:themeColor="text1"/>
          <w:sz w:val="18"/>
          <w:szCs w:val="18"/>
          <w:lang w:val="es"/>
        </w:rPr>
        <w:t xml:space="preserve">supra </w:t>
      </w:r>
      <w:r w:rsidRPr="00C50459" w:rsidDel="00000004">
        <w:rPr>
          <w:color w:val="000000" w:themeColor="text1"/>
          <w:sz w:val="18"/>
          <w:szCs w:val="18"/>
          <w:lang w:val="es"/>
        </w:rPr>
        <w:t>not</w:t>
      </w:r>
      <w:r w:rsidRPr="00C50459">
        <w:rPr>
          <w:color w:val="000000" w:themeColor="text1"/>
          <w:sz w:val="18"/>
          <w:szCs w:val="18"/>
          <w:lang w:val="es"/>
        </w:rPr>
        <w:t>a</w:t>
      </w:r>
      <w:r w:rsidRPr="00C50459" w:rsidDel="00000004">
        <w:rPr>
          <w:color w:val="000000" w:themeColor="text1"/>
          <w:sz w:val="18"/>
          <w:szCs w:val="18"/>
          <w:lang w:val="es"/>
        </w:rPr>
        <w:t xml:space="preserve"> 4, par. 12.</w:t>
      </w:r>
    </w:p>
  </w:footnote>
  <w:footnote w:id="38">
    <w:p w14:paraId="74409D5C" w14:textId="77777777" w:rsidR="00966BDF" w:rsidRPr="00C50459" w:rsidRDefault="00966BDF" w:rsidP="00966BDF">
      <w:pPr>
        <w:pStyle w:val="FootnoteText"/>
        <w:rPr>
          <w:rFonts w:ascii="Times New Roman" w:hAnsi="Times New Roman" w:cs="Times New Roman"/>
          <w:color w:val="000000" w:themeColor="text1"/>
          <w:sz w:val="18"/>
          <w:szCs w:val="18"/>
        </w:rPr>
      </w:pPr>
      <w:r w:rsidRPr="00C50459" w:rsidDel="00000001">
        <w:rPr>
          <w:rStyle w:val="FootnoteReference"/>
          <w:rFonts w:ascii="Times New Roman" w:hAnsi="Times New Roman"/>
          <w:color w:val="000000" w:themeColor="text1"/>
          <w:sz w:val="18"/>
          <w:szCs w:val="18"/>
          <w:lang w:val="es"/>
        </w:rPr>
        <w:footnoteRef/>
      </w:r>
      <w:r w:rsidRPr="00C50459" w:rsidDel="00000002">
        <w:rPr>
          <w:rFonts w:ascii="Times New Roman" w:hAnsi="Times New Roman" w:cs="Times New Roman"/>
          <w:color w:val="000000" w:themeColor="text1"/>
          <w:sz w:val="18"/>
          <w:szCs w:val="18"/>
          <w:lang w:val="es"/>
        </w:rPr>
        <w:t xml:space="preserve"> </w:t>
      </w:r>
      <w:r w:rsidRPr="00C50459">
        <w:rPr>
          <w:rFonts w:ascii="Times New Roman" w:hAnsi="Times New Roman" w:cs="Times New Roman"/>
          <w:color w:val="000000" w:themeColor="text1"/>
          <w:sz w:val="18"/>
          <w:szCs w:val="18"/>
          <w:lang w:val="es"/>
        </w:rPr>
        <w:t>OACNUDH</w:t>
      </w:r>
      <w:r w:rsidRPr="00C50459" w:rsidDel="00000002">
        <w:rPr>
          <w:rFonts w:ascii="Times New Roman" w:hAnsi="Times New Roman" w:cs="Times New Roman"/>
          <w:color w:val="000000" w:themeColor="text1"/>
          <w:sz w:val="18"/>
          <w:szCs w:val="18"/>
          <w:lang w:val="es"/>
        </w:rPr>
        <w:t>,</w:t>
      </w:r>
      <w:r w:rsidRPr="00C50459" w:rsidDel="00000003">
        <w:rPr>
          <w:rFonts w:ascii="Times New Roman" w:hAnsi="Times New Roman" w:cs="Times New Roman"/>
          <w:i/>
          <w:color w:val="000000" w:themeColor="text1"/>
          <w:sz w:val="18"/>
          <w:szCs w:val="18"/>
          <w:lang w:val="es"/>
        </w:rPr>
        <w:t xml:space="preserve"> supra </w:t>
      </w:r>
      <w:r w:rsidRPr="00C50459">
        <w:rPr>
          <w:rFonts w:ascii="Times New Roman" w:hAnsi="Times New Roman" w:cs="Times New Roman"/>
          <w:color w:val="000000" w:themeColor="text1"/>
          <w:sz w:val="18"/>
          <w:szCs w:val="18"/>
          <w:lang w:val="es"/>
        </w:rPr>
        <w:t>nota</w:t>
      </w:r>
      <w:r w:rsidRPr="00C50459" w:rsidDel="00000004">
        <w:rPr>
          <w:rFonts w:ascii="Times New Roman" w:hAnsi="Times New Roman" w:cs="Times New Roman"/>
          <w:color w:val="000000" w:themeColor="text1"/>
          <w:sz w:val="18"/>
          <w:szCs w:val="18"/>
          <w:lang w:val="es"/>
        </w:rPr>
        <w:t xml:space="preserve"> </w:t>
      </w:r>
      <w:r w:rsidRPr="00C50459" w:rsidDel="00000005">
        <w:rPr>
          <w:rFonts w:ascii="Times New Roman" w:hAnsi="Times New Roman" w:cs="Times New Roman"/>
          <w:color w:val="000000" w:themeColor="text1"/>
          <w:sz w:val="18"/>
          <w:szCs w:val="18"/>
          <w:lang w:val="es"/>
        </w:rPr>
        <w:t xml:space="preserve">18, </w:t>
      </w:r>
      <w:r w:rsidRPr="00C50459">
        <w:rPr>
          <w:rFonts w:ascii="Times New Roman" w:hAnsi="Times New Roman" w:cs="Times New Roman"/>
          <w:color w:val="000000" w:themeColor="text1"/>
          <w:sz w:val="18"/>
          <w:szCs w:val="18"/>
          <w:lang w:val="es"/>
        </w:rPr>
        <w:t>Naciones Unidas</w:t>
      </w:r>
      <w:r w:rsidRPr="00C50459" w:rsidDel="00000005">
        <w:rPr>
          <w:rFonts w:ascii="Times New Roman" w:hAnsi="Times New Roman" w:cs="Times New Roman"/>
          <w:color w:val="000000" w:themeColor="text1"/>
          <w:sz w:val="18"/>
          <w:szCs w:val="18"/>
          <w:lang w:val="es"/>
        </w:rPr>
        <w:t>,</w:t>
      </w:r>
      <w:r w:rsidRPr="00C50459" w:rsidDel="00000006">
        <w:rPr>
          <w:rFonts w:ascii="Times New Roman" w:hAnsi="Times New Roman" w:cs="Times New Roman"/>
          <w:i/>
          <w:color w:val="000000" w:themeColor="text1"/>
          <w:sz w:val="18"/>
          <w:szCs w:val="18"/>
          <w:lang w:val="es"/>
        </w:rPr>
        <w:t xml:space="preserve"> supra </w:t>
      </w:r>
      <w:r w:rsidRPr="00C50459">
        <w:rPr>
          <w:rFonts w:ascii="Times New Roman" w:hAnsi="Times New Roman" w:cs="Times New Roman"/>
          <w:color w:val="000000" w:themeColor="text1"/>
          <w:sz w:val="18"/>
          <w:szCs w:val="18"/>
          <w:lang w:val="es"/>
        </w:rPr>
        <w:t>nota</w:t>
      </w:r>
      <w:r w:rsidRPr="00C50459" w:rsidDel="00000007">
        <w:rPr>
          <w:rFonts w:ascii="Times New Roman" w:hAnsi="Times New Roman" w:cs="Times New Roman"/>
          <w:color w:val="000000" w:themeColor="text1"/>
          <w:sz w:val="18"/>
          <w:szCs w:val="18"/>
          <w:lang w:val="es"/>
        </w:rPr>
        <w:t xml:space="preserve"> </w:t>
      </w:r>
      <w:r w:rsidRPr="00C50459" w:rsidDel="00000008">
        <w:rPr>
          <w:rFonts w:ascii="Times New Roman" w:hAnsi="Times New Roman" w:cs="Times New Roman"/>
          <w:color w:val="000000" w:themeColor="text1"/>
          <w:sz w:val="18"/>
          <w:szCs w:val="18"/>
          <w:lang w:val="es"/>
        </w:rPr>
        <w:t>36</w:t>
      </w:r>
      <w:r w:rsidRPr="00C50459" w:rsidDel="00000009">
        <w:rPr>
          <w:rFonts w:ascii="Times New Roman" w:hAnsi="Times New Roman" w:cs="Times New Roman"/>
          <w:color w:val="000000" w:themeColor="text1"/>
          <w:sz w:val="18"/>
          <w:szCs w:val="18"/>
          <w:lang w:val="es"/>
        </w:rPr>
        <w:t>.</w:t>
      </w:r>
    </w:p>
  </w:footnote>
  <w:footnote w:id="39">
    <w:p w14:paraId="6DE1C9EE" w14:textId="77777777" w:rsidR="00966BDF" w:rsidRPr="00C50459" w:rsidRDefault="00966BDF" w:rsidP="00966BDF">
      <w:pPr>
        <w:pBdr>
          <w:top w:val="nil"/>
          <w:left w:val="nil"/>
          <w:bottom w:val="nil"/>
          <w:right w:val="nil"/>
          <w:between w:val="nil"/>
        </w:pBdr>
        <w:rPr>
          <w:color w:val="000000" w:themeColor="text1"/>
          <w:sz w:val="18"/>
          <w:szCs w:val="18"/>
        </w:rPr>
      </w:pPr>
      <w:r w:rsidRPr="00C50459" w:rsidDel="00000001">
        <w:rPr>
          <w:color w:val="000000" w:themeColor="text1"/>
          <w:sz w:val="18"/>
          <w:szCs w:val="18"/>
          <w:vertAlign w:val="superscript"/>
          <w:lang w:val="es"/>
        </w:rPr>
        <w:footnoteRef/>
      </w:r>
      <w:r w:rsidRPr="00C50459" w:rsidDel="00000002">
        <w:rPr>
          <w:color w:val="000000" w:themeColor="text1"/>
          <w:sz w:val="18"/>
          <w:szCs w:val="18"/>
          <w:lang w:val="es"/>
        </w:rPr>
        <w:t xml:space="preserve"> </w:t>
      </w:r>
      <w:r w:rsidRPr="00C50459">
        <w:rPr>
          <w:color w:val="000000" w:themeColor="text1"/>
          <w:sz w:val="18"/>
          <w:szCs w:val="18"/>
          <w:lang w:val="es"/>
        </w:rPr>
        <w:t>Procedimientos Especiales de las Naciones Unidas</w:t>
      </w:r>
      <w:r w:rsidRPr="00C50459" w:rsidDel="00000003">
        <w:rPr>
          <w:color w:val="000000" w:themeColor="text1"/>
          <w:sz w:val="18"/>
          <w:szCs w:val="18"/>
          <w:lang w:val="es"/>
        </w:rPr>
        <w:t xml:space="preserve">, </w:t>
      </w:r>
      <w:hyperlink r:id="rId41" w:history="1">
        <w:r w:rsidRPr="00C50459" w:rsidDel="00000004">
          <w:rPr>
            <w:rStyle w:val="Hyperlink"/>
            <w:sz w:val="18"/>
            <w:szCs w:val="18"/>
            <w:lang w:val="es"/>
          </w:rPr>
          <w:t xml:space="preserve">“No </w:t>
        </w:r>
        <w:proofErr w:type="spellStart"/>
        <w:r w:rsidRPr="00C50459" w:rsidDel="00000004">
          <w:rPr>
            <w:rStyle w:val="Hyperlink"/>
            <w:sz w:val="18"/>
            <w:szCs w:val="18"/>
            <w:lang w:val="es"/>
          </w:rPr>
          <w:t>exceptions</w:t>
        </w:r>
        <w:proofErr w:type="spellEnd"/>
        <w:r w:rsidRPr="00C50459" w:rsidDel="00000004">
          <w:rPr>
            <w:rStyle w:val="Hyperlink"/>
            <w:sz w:val="18"/>
            <w:szCs w:val="18"/>
            <w:lang w:val="es"/>
          </w:rPr>
          <w:t xml:space="preserve"> </w:t>
        </w:r>
        <w:proofErr w:type="spellStart"/>
        <w:r w:rsidRPr="00C50459" w:rsidDel="00000004">
          <w:rPr>
            <w:rStyle w:val="Hyperlink"/>
            <w:sz w:val="18"/>
            <w:szCs w:val="18"/>
            <w:lang w:val="es"/>
          </w:rPr>
          <w:t>with</w:t>
        </w:r>
        <w:proofErr w:type="spellEnd"/>
        <w:r w:rsidRPr="00C50459" w:rsidDel="00000004">
          <w:rPr>
            <w:rStyle w:val="Hyperlink"/>
            <w:sz w:val="18"/>
            <w:szCs w:val="18"/>
            <w:lang w:val="es"/>
          </w:rPr>
          <w:t xml:space="preserve"> COVID-19: ‘</w:t>
        </w:r>
        <w:proofErr w:type="spellStart"/>
        <w:r w:rsidRPr="00C50459" w:rsidDel="00000004">
          <w:rPr>
            <w:rStyle w:val="Hyperlink"/>
            <w:sz w:val="18"/>
            <w:szCs w:val="18"/>
            <w:lang w:val="es"/>
          </w:rPr>
          <w:t>Everyone</w:t>
        </w:r>
        <w:proofErr w:type="spellEnd"/>
        <w:r w:rsidRPr="00C50459" w:rsidDel="00000004">
          <w:rPr>
            <w:rStyle w:val="Hyperlink"/>
            <w:sz w:val="18"/>
            <w:szCs w:val="18"/>
            <w:lang w:val="es"/>
          </w:rPr>
          <w:t xml:space="preserve"> has </w:t>
        </w:r>
        <w:proofErr w:type="spellStart"/>
        <w:r w:rsidRPr="00C50459" w:rsidDel="00000004">
          <w:rPr>
            <w:rStyle w:val="Hyperlink"/>
            <w:sz w:val="18"/>
            <w:szCs w:val="18"/>
            <w:lang w:val="es"/>
          </w:rPr>
          <w:t>the</w:t>
        </w:r>
        <w:proofErr w:type="spellEnd"/>
        <w:r w:rsidRPr="00C50459" w:rsidDel="00000004">
          <w:rPr>
            <w:rStyle w:val="Hyperlink"/>
            <w:sz w:val="18"/>
            <w:szCs w:val="18"/>
            <w:lang w:val="es"/>
          </w:rPr>
          <w:t xml:space="preserve"> </w:t>
        </w:r>
        <w:proofErr w:type="spellStart"/>
        <w:r w:rsidRPr="00C50459" w:rsidDel="00000004">
          <w:rPr>
            <w:rStyle w:val="Hyperlink"/>
            <w:sz w:val="18"/>
            <w:szCs w:val="18"/>
            <w:lang w:val="es"/>
          </w:rPr>
          <w:t>right</w:t>
        </w:r>
        <w:proofErr w:type="spellEnd"/>
        <w:r w:rsidRPr="00C50459" w:rsidDel="00000004">
          <w:rPr>
            <w:rStyle w:val="Hyperlink"/>
            <w:sz w:val="18"/>
            <w:szCs w:val="18"/>
            <w:lang w:val="es"/>
          </w:rPr>
          <w:t xml:space="preserve"> to </w:t>
        </w:r>
        <w:proofErr w:type="spellStart"/>
        <w:r w:rsidRPr="00C50459" w:rsidDel="00000004">
          <w:rPr>
            <w:rStyle w:val="Hyperlink"/>
            <w:sz w:val="18"/>
            <w:szCs w:val="18"/>
            <w:lang w:val="es"/>
          </w:rPr>
          <w:t>life-saving</w:t>
        </w:r>
        <w:proofErr w:type="spellEnd"/>
        <w:r w:rsidRPr="00C50459" w:rsidDel="00000004">
          <w:rPr>
            <w:rStyle w:val="Hyperlink"/>
            <w:sz w:val="18"/>
            <w:szCs w:val="18"/>
            <w:lang w:val="es"/>
          </w:rPr>
          <w:t xml:space="preserve"> </w:t>
        </w:r>
        <w:proofErr w:type="spellStart"/>
        <w:r w:rsidRPr="00C50459" w:rsidDel="00000004">
          <w:rPr>
            <w:rStyle w:val="Hyperlink"/>
            <w:sz w:val="18"/>
            <w:szCs w:val="18"/>
            <w:lang w:val="es"/>
          </w:rPr>
          <w:t>interventions</w:t>
        </w:r>
        <w:proofErr w:type="spellEnd"/>
        <w:r w:rsidRPr="00C50459" w:rsidDel="00000004">
          <w:rPr>
            <w:rStyle w:val="Hyperlink"/>
            <w:sz w:val="18"/>
            <w:szCs w:val="18"/>
            <w:lang w:val="es"/>
          </w:rPr>
          <w:t>’”</w:t>
        </w:r>
      </w:hyperlink>
      <w:r w:rsidRPr="00C50459" w:rsidDel="00000005">
        <w:rPr>
          <w:color w:val="000000" w:themeColor="text1"/>
          <w:sz w:val="18"/>
          <w:szCs w:val="18"/>
          <w:lang w:val="es"/>
        </w:rPr>
        <w:t xml:space="preserve">, </w:t>
      </w:r>
      <w:r w:rsidRPr="00C50459">
        <w:rPr>
          <w:color w:val="000000" w:themeColor="text1"/>
          <w:sz w:val="18"/>
          <w:szCs w:val="18"/>
          <w:lang w:val="es"/>
        </w:rPr>
        <w:t>26 de marzo de</w:t>
      </w:r>
      <w:r w:rsidRPr="00C50459" w:rsidDel="00000005">
        <w:rPr>
          <w:color w:val="000000" w:themeColor="text1"/>
          <w:sz w:val="18"/>
          <w:szCs w:val="18"/>
          <w:lang w:val="es"/>
        </w:rPr>
        <w:t xml:space="preserve"> 2020. </w:t>
      </w:r>
    </w:p>
  </w:footnote>
  <w:footnote w:id="40">
    <w:p w14:paraId="0A0CA4E1" w14:textId="77777777" w:rsidR="00966BDF" w:rsidRPr="00C50459" w:rsidRDefault="00966BDF" w:rsidP="00966BDF">
      <w:pPr>
        <w:rPr>
          <w:color w:val="000000" w:themeColor="text1"/>
          <w:sz w:val="18"/>
          <w:szCs w:val="18"/>
        </w:rPr>
      </w:pPr>
      <w:r w:rsidRPr="00C50459" w:rsidDel="00000001">
        <w:rPr>
          <w:color w:val="000000" w:themeColor="text1"/>
          <w:sz w:val="18"/>
          <w:szCs w:val="18"/>
          <w:vertAlign w:val="superscript"/>
          <w:lang w:val="es"/>
        </w:rPr>
        <w:footnoteRef/>
      </w:r>
      <w:r w:rsidRPr="00C50459" w:rsidDel="00000002">
        <w:rPr>
          <w:color w:val="000000" w:themeColor="text1"/>
          <w:sz w:val="18"/>
          <w:szCs w:val="18"/>
          <w:lang w:val="es"/>
        </w:rPr>
        <w:t xml:space="preserve"> Equal Rights </w:t>
      </w:r>
      <w:proofErr w:type="spellStart"/>
      <w:r w:rsidRPr="00C50459" w:rsidDel="00000002">
        <w:rPr>
          <w:color w:val="000000" w:themeColor="text1"/>
          <w:sz w:val="18"/>
          <w:szCs w:val="18"/>
          <w:lang w:val="es"/>
        </w:rPr>
        <w:t>Coalition</w:t>
      </w:r>
      <w:proofErr w:type="spellEnd"/>
      <w:r w:rsidRPr="00C50459" w:rsidDel="00000002">
        <w:rPr>
          <w:color w:val="000000" w:themeColor="text1"/>
          <w:sz w:val="18"/>
          <w:szCs w:val="18"/>
          <w:lang w:val="es"/>
        </w:rPr>
        <w:t xml:space="preserve"> Civil Society </w:t>
      </w:r>
      <w:proofErr w:type="spellStart"/>
      <w:r w:rsidRPr="00C50459" w:rsidDel="00000002">
        <w:rPr>
          <w:color w:val="000000" w:themeColor="text1"/>
          <w:sz w:val="18"/>
          <w:szCs w:val="18"/>
          <w:lang w:val="es"/>
        </w:rPr>
        <w:t>Organisations</w:t>
      </w:r>
      <w:proofErr w:type="spellEnd"/>
      <w:r w:rsidRPr="00C50459" w:rsidDel="00000002">
        <w:rPr>
          <w:color w:val="000000" w:themeColor="text1"/>
          <w:sz w:val="18"/>
          <w:szCs w:val="18"/>
          <w:lang w:val="es"/>
        </w:rPr>
        <w:t xml:space="preserve"> Working Group on COVID-19, </w:t>
      </w:r>
      <w:r w:rsidRPr="00C50459" w:rsidDel="00000003">
        <w:rPr>
          <w:i/>
          <w:color w:val="000000" w:themeColor="text1"/>
          <w:sz w:val="18"/>
          <w:szCs w:val="18"/>
          <w:lang w:val="es"/>
        </w:rPr>
        <w:t xml:space="preserve">supra </w:t>
      </w:r>
      <w:r w:rsidRPr="00C50459">
        <w:rPr>
          <w:color w:val="000000" w:themeColor="text1"/>
          <w:sz w:val="18"/>
          <w:szCs w:val="18"/>
          <w:lang w:val="es"/>
        </w:rPr>
        <w:t>nota</w:t>
      </w:r>
      <w:r w:rsidRPr="00C50459" w:rsidDel="00000004">
        <w:rPr>
          <w:color w:val="000000" w:themeColor="text1"/>
          <w:sz w:val="18"/>
          <w:szCs w:val="18"/>
          <w:lang w:val="es"/>
        </w:rPr>
        <w:t xml:space="preserve"> 10, p. 9</w:t>
      </w:r>
      <w:r w:rsidRPr="00C50459" w:rsidDel="00000005">
        <w:rPr>
          <w:color w:val="000000" w:themeColor="text1"/>
          <w:sz w:val="18"/>
          <w:szCs w:val="18"/>
          <w:lang w:val="es"/>
        </w:rPr>
        <w:t>.</w:t>
      </w:r>
    </w:p>
  </w:footnote>
  <w:footnote w:id="41">
    <w:p w14:paraId="221DF121" w14:textId="77777777" w:rsidR="00966BDF" w:rsidRPr="00C50459" w:rsidRDefault="00966BDF" w:rsidP="00966BDF">
      <w:pPr>
        <w:rPr>
          <w:color w:val="000000" w:themeColor="text1"/>
          <w:sz w:val="18"/>
          <w:szCs w:val="18"/>
        </w:rPr>
      </w:pPr>
      <w:r w:rsidRPr="00C50459" w:rsidDel="00000001">
        <w:rPr>
          <w:color w:val="000000" w:themeColor="text1"/>
          <w:sz w:val="18"/>
          <w:szCs w:val="18"/>
          <w:vertAlign w:val="superscript"/>
          <w:lang w:val="es"/>
        </w:rPr>
        <w:footnoteRef/>
      </w:r>
      <w:r w:rsidRPr="00C50459" w:rsidDel="00000002">
        <w:rPr>
          <w:color w:val="000000" w:themeColor="text1"/>
          <w:sz w:val="18"/>
          <w:szCs w:val="18"/>
          <w:lang w:val="es"/>
        </w:rPr>
        <w:t xml:space="preserve"> Human Rights Campaign, </w:t>
      </w:r>
      <w:hyperlink r:id="rId42" w:history="1">
        <w:r w:rsidRPr="00C50459" w:rsidDel="00000003">
          <w:rPr>
            <w:rStyle w:val="Hyperlink"/>
            <w:sz w:val="18"/>
            <w:szCs w:val="18"/>
            <w:lang w:val="es"/>
          </w:rPr>
          <w:t>“</w:t>
        </w:r>
        <w:proofErr w:type="spellStart"/>
        <w:r w:rsidRPr="00C50459" w:rsidDel="00000003">
          <w:rPr>
            <w:rStyle w:val="Hyperlink"/>
            <w:sz w:val="18"/>
            <w:szCs w:val="18"/>
            <w:lang w:val="es"/>
          </w:rPr>
          <w:t>The</w:t>
        </w:r>
        <w:proofErr w:type="spellEnd"/>
        <w:r w:rsidRPr="00C50459" w:rsidDel="00000003">
          <w:rPr>
            <w:rStyle w:val="Hyperlink"/>
            <w:sz w:val="18"/>
            <w:szCs w:val="18"/>
            <w:lang w:val="es"/>
          </w:rPr>
          <w:t xml:space="preserve"> </w:t>
        </w:r>
        <w:proofErr w:type="spellStart"/>
        <w:r w:rsidRPr="00C50459" w:rsidDel="00000003">
          <w:rPr>
            <w:rStyle w:val="Hyperlink"/>
            <w:sz w:val="18"/>
            <w:szCs w:val="18"/>
            <w:lang w:val="es"/>
          </w:rPr>
          <w:t>Lives</w:t>
        </w:r>
        <w:proofErr w:type="spellEnd"/>
        <w:r w:rsidRPr="00C50459" w:rsidDel="00000003">
          <w:rPr>
            <w:rStyle w:val="Hyperlink"/>
            <w:sz w:val="18"/>
            <w:szCs w:val="18"/>
            <w:lang w:val="es"/>
          </w:rPr>
          <w:t xml:space="preserve"> &amp; </w:t>
        </w:r>
        <w:proofErr w:type="spellStart"/>
        <w:r w:rsidRPr="00C50459" w:rsidDel="00000003">
          <w:rPr>
            <w:rStyle w:val="Hyperlink"/>
            <w:sz w:val="18"/>
            <w:szCs w:val="18"/>
            <w:lang w:val="es"/>
          </w:rPr>
          <w:t>Livelihoods</w:t>
        </w:r>
        <w:proofErr w:type="spellEnd"/>
        <w:r w:rsidRPr="00C50459" w:rsidDel="00000003">
          <w:rPr>
            <w:rStyle w:val="Hyperlink"/>
            <w:sz w:val="18"/>
            <w:szCs w:val="18"/>
            <w:lang w:val="es"/>
          </w:rPr>
          <w:t xml:space="preserve"> of </w:t>
        </w:r>
        <w:proofErr w:type="spellStart"/>
        <w:r w:rsidRPr="00C50459" w:rsidDel="00000003">
          <w:rPr>
            <w:rStyle w:val="Hyperlink"/>
            <w:sz w:val="18"/>
            <w:szCs w:val="18"/>
            <w:lang w:val="es"/>
          </w:rPr>
          <w:t>Many</w:t>
        </w:r>
        <w:proofErr w:type="spellEnd"/>
        <w:r w:rsidRPr="00C50459" w:rsidDel="00000003">
          <w:rPr>
            <w:rStyle w:val="Hyperlink"/>
            <w:sz w:val="18"/>
            <w:szCs w:val="18"/>
            <w:lang w:val="es"/>
          </w:rPr>
          <w:t xml:space="preserve"> on </w:t>
        </w:r>
        <w:proofErr w:type="spellStart"/>
        <w:r w:rsidRPr="00C50459" w:rsidDel="00000003">
          <w:rPr>
            <w:rStyle w:val="Hyperlink"/>
            <w:sz w:val="18"/>
            <w:szCs w:val="18"/>
            <w:lang w:val="es"/>
          </w:rPr>
          <w:t>the</w:t>
        </w:r>
        <w:proofErr w:type="spellEnd"/>
        <w:r w:rsidRPr="00C50459" w:rsidDel="00000003">
          <w:rPr>
            <w:rStyle w:val="Hyperlink"/>
            <w:sz w:val="18"/>
            <w:szCs w:val="18"/>
            <w:lang w:val="es"/>
          </w:rPr>
          <w:t xml:space="preserve"> LGBTQ </w:t>
        </w:r>
        <w:proofErr w:type="spellStart"/>
        <w:r w:rsidRPr="00C50459" w:rsidDel="00000003">
          <w:rPr>
            <w:rStyle w:val="Hyperlink"/>
            <w:sz w:val="18"/>
            <w:szCs w:val="18"/>
            <w:lang w:val="es"/>
          </w:rPr>
          <w:t>Community</w:t>
        </w:r>
        <w:proofErr w:type="spellEnd"/>
        <w:r w:rsidRPr="00C50459" w:rsidDel="00000003">
          <w:rPr>
            <w:rStyle w:val="Hyperlink"/>
            <w:sz w:val="18"/>
            <w:szCs w:val="18"/>
            <w:lang w:val="es"/>
          </w:rPr>
          <w:t xml:space="preserve"> are at </w:t>
        </w:r>
        <w:proofErr w:type="spellStart"/>
        <w:r w:rsidRPr="00C50459" w:rsidDel="00000003">
          <w:rPr>
            <w:rStyle w:val="Hyperlink"/>
            <w:sz w:val="18"/>
            <w:szCs w:val="18"/>
            <w:lang w:val="es"/>
          </w:rPr>
          <w:t>Risk</w:t>
        </w:r>
        <w:proofErr w:type="spellEnd"/>
        <w:r w:rsidRPr="00C50459" w:rsidDel="00000003">
          <w:rPr>
            <w:rStyle w:val="Hyperlink"/>
            <w:sz w:val="18"/>
            <w:szCs w:val="18"/>
            <w:lang w:val="es"/>
          </w:rPr>
          <w:t xml:space="preserve"> </w:t>
        </w:r>
        <w:proofErr w:type="spellStart"/>
        <w:r w:rsidRPr="00C50459" w:rsidDel="00000003">
          <w:rPr>
            <w:rStyle w:val="Hyperlink"/>
            <w:sz w:val="18"/>
            <w:szCs w:val="18"/>
            <w:lang w:val="es"/>
          </w:rPr>
          <w:t>Amidst</w:t>
        </w:r>
        <w:proofErr w:type="spellEnd"/>
        <w:r w:rsidRPr="00C50459" w:rsidDel="00000003">
          <w:rPr>
            <w:rStyle w:val="Hyperlink"/>
            <w:sz w:val="18"/>
            <w:szCs w:val="18"/>
            <w:lang w:val="es"/>
          </w:rPr>
          <w:t xml:space="preserve"> COVID-19 Crisis”</w:t>
        </w:r>
      </w:hyperlink>
      <w:r w:rsidRPr="00C50459" w:rsidDel="00000004">
        <w:rPr>
          <w:color w:val="000000" w:themeColor="text1"/>
          <w:sz w:val="18"/>
          <w:szCs w:val="18"/>
          <w:lang w:val="es"/>
        </w:rPr>
        <w:t xml:space="preserve">, Human Rights Campaign Foundation, </w:t>
      </w:r>
      <w:r w:rsidRPr="00C50459">
        <w:rPr>
          <w:color w:val="000000" w:themeColor="text1"/>
          <w:sz w:val="18"/>
          <w:szCs w:val="18"/>
          <w:lang w:val="es"/>
        </w:rPr>
        <w:t>3 de marzo de</w:t>
      </w:r>
      <w:r w:rsidRPr="00C50459" w:rsidDel="00000004">
        <w:rPr>
          <w:color w:val="000000" w:themeColor="text1"/>
          <w:sz w:val="18"/>
          <w:szCs w:val="18"/>
          <w:lang w:val="es"/>
        </w:rPr>
        <w:t xml:space="preserve"> 2020.</w:t>
      </w:r>
    </w:p>
  </w:footnote>
  <w:footnote w:id="42">
    <w:p w14:paraId="71B84AF6" w14:textId="77777777" w:rsidR="00966BDF" w:rsidRPr="00C50459" w:rsidRDefault="00966BDF" w:rsidP="00966BDF">
      <w:pPr>
        <w:pStyle w:val="FootnoteText"/>
        <w:rPr>
          <w:rFonts w:ascii="Times New Roman" w:hAnsi="Times New Roman" w:cs="Times New Roman"/>
          <w:color w:val="000000" w:themeColor="text1"/>
          <w:sz w:val="18"/>
          <w:szCs w:val="18"/>
        </w:rPr>
      </w:pPr>
      <w:r w:rsidRPr="00C50459" w:rsidDel="00000001">
        <w:rPr>
          <w:rStyle w:val="FootnoteReference"/>
          <w:rFonts w:ascii="Times New Roman" w:hAnsi="Times New Roman"/>
          <w:color w:val="000000" w:themeColor="text1"/>
          <w:sz w:val="18"/>
          <w:szCs w:val="18"/>
          <w:lang w:val="es"/>
        </w:rPr>
        <w:footnoteRef/>
      </w:r>
      <w:r w:rsidRPr="00C50459" w:rsidDel="00000002">
        <w:rPr>
          <w:rFonts w:ascii="Times New Roman" w:hAnsi="Times New Roman" w:cs="Times New Roman"/>
          <w:color w:val="000000" w:themeColor="text1"/>
          <w:sz w:val="18"/>
          <w:szCs w:val="18"/>
          <w:lang w:val="es"/>
        </w:rPr>
        <w:t xml:space="preserve"> </w:t>
      </w:r>
      <w:r w:rsidRPr="00C50459">
        <w:rPr>
          <w:rFonts w:ascii="Times New Roman" w:hAnsi="Times New Roman" w:cs="Times New Roman"/>
          <w:color w:val="000000" w:themeColor="text1"/>
          <w:sz w:val="18"/>
          <w:szCs w:val="18"/>
          <w:lang w:val="es"/>
        </w:rPr>
        <w:t>OACNUDH</w:t>
      </w:r>
      <w:r w:rsidRPr="00C50459" w:rsidDel="00000002">
        <w:rPr>
          <w:rFonts w:ascii="Times New Roman" w:hAnsi="Times New Roman" w:cs="Times New Roman"/>
          <w:color w:val="000000" w:themeColor="text1"/>
          <w:sz w:val="18"/>
          <w:szCs w:val="18"/>
          <w:lang w:val="es"/>
        </w:rPr>
        <w:t>,</w:t>
      </w:r>
      <w:r w:rsidRPr="00C50459" w:rsidDel="00000003">
        <w:rPr>
          <w:rFonts w:ascii="Times New Roman" w:hAnsi="Times New Roman" w:cs="Times New Roman"/>
          <w:i/>
          <w:color w:val="000000" w:themeColor="text1"/>
          <w:sz w:val="18"/>
          <w:szCs w:val="18"/>
          <w:lang w:val="es"/>
        </w:rPr>
        <w:t xml:space="preserve"> supra </w:t>
      </w:r>
      <w:r w:rsidRPr="00C50459">
        <w:rPr>
          <w:rFonts w:ascii="Times New Roman" w:hAnsi="Times New Roman" w:cs="Times New Roman"/>
          <w:color w:val="000000" w:themeColor="text1"/>
          <w:sz w:val="18"/>
          <w:szCs w:val="18"/>
          <w:lang w:val="es"/>
        </w:rPr>
        <w:t>nota</w:t>
      </w:r>
      <w:r w:rsidRPr="00C50459" w:rsidDel="00000004">
        <w:rPr>
          <w:rFonts w:ascii="Times New Roman" w:hAnsi="Times New Roman" w:cs="Times New Roman"/>
          <w:color w:val="000000" w:themeColor="text1"/>
          <w:sz w:val="18"/>
          <w:szCs w:val="18"/>
          <w:lang w:val="es"/>
        </w:rPr>
        <w:t xml:space="preserve"> </w:t>
      </w:r>
      <w:r w:rsidRPr="00C50459" w:rsidDel="00000005">
        <w:rPr>
          <w:rFonts w:ascii="Times New Roman" w:hAnsi="Times New Roman" w:cs="Times New Roman"/>
          <w:color w:val="000000" w:themeColor="text1"/>
          <w:sz w:val="18"/>
          <w:szCs w:val="18"/>
          <w:lang w:val="es"/>
        </w:rPr>
        <w:t>18</w:t>
      </w:r>
      <w:r w:rsidRPr="00C50459" w:rsidDel="00000006">
        <w:rPr>
          <w:rFonts w:ascii="Times New Roman" w:hAnsi="Times New Roman" w:cs="Times New Roman"/>
          <w:color w:val="000000" w:themeColor="text1"/>
          <w:sz w:val="18"/>
          <w:szCs w:val="18"/>
          <w:lang w:val="es"/>
        </w:rPr>
        <w:t xml:space="preserve">. </w:t>
      </w:r>
    </w:p>
  </w:footnote>
  <w:footnote w:id="43">
    <w:p w14:paraId="4620C69D" w14:textId="77777777" w:rsidR="00966BDF" w:rsidRPr="00C50459" w:rsidRDefault="00966BDF" w:rsidP="00966BDF">
      <w:pPr>
        <w:rPr>
          <w:color w:val="000000" w:themeColor="text1"/>
          <w:sz w:val="18"/>
          <w:szCs w:val="18"/>
        </w:rPr>
      </w:pPr>
      <w:r w:rsidRPr="00C50459" w:rsidDel="00000001">
        <w:rPr>
          <w:color w:val="000000" w:themeColor="text1"/>
          <w:sz w:val="18"/>
          <w:szCs w:val="18"/>
          <w:vertAlign w:val="superscript"/>
          <w:lang w:val="es"/>
        </w:rPr>
        <w:footnoteRef/>
      </w:r>
      <w:r w:rsidRPr="00C50459" w:rsidDel="00000002">
        <w:rPr>
          <w:color w:val="000000" w:themeColor="text1"/>
          <w:sz w:val="18"/>
          <w:szCs w:val="18"/>
          <w:lang w:val="es"/>
        </w:rPr>
        <w:t xml:space="preserve"> ILGA </w:t>
      </w:r>
      <w:proofErr w:type="spellStart"/>
      <w:r w:rsidRPr="00C50459" w:rsidDel="00000002">
        <w:rPr>
          <w:color w:val="000000" w:themeColor="text1"/>
          <w:sz w:val="18"/>
          <w:szCs w:val="18"/>
          <w:lang w:val="es"/>
        </w:rPr>
        <w:t>World</w:t>
      </w:r>
      <w:proofErr w:type="spellEnd"/>
      <w:r w:rsidRPr="00C50459" w:rsidDel="00000002">
        <w:rPr>
          <w:color w:val="000000" w:themeColor="text1"/>
          <w:sz w:val="18"/>
          <w:szCs w:val="18"/>
          <w:lang w:val="es"/>
        </w:rPr>
        <w:t xml:space="preserve">, </w:t>
      </w:r>
      <w:hyperlink r:id="rId43" w:history="1">
        <w:r w:rsidRPr="00C50459" w:rsidDel="00000003">
          <w:rPr>
            <w:rStyle w:val="Hyperlink"/>
            <w:sz w:val="18"/>
            <w:szCs w:val="18"/>
            <w:lang w:val="es"/>
          </w:rPr>
          <w:t>“</w:t>
        </w:r>
        <w:proofErr w:type="spellStart"/>
        <w:r w:rsidRPr="00C50459" w:rsidDel="00000003">
          <w:rPr>
            <w:rStyle w:val="Hyperlink"/>
            <w:sz w:val="18"/>
            <w:szCs w:val="18"/>
            <w:lang w:val="es"/>
          </w:rPr>
          <w:t>Call</w:t>
        </w:r>
        <w:proofErr w:type="spellEnd"/>
        <w:r w:rsidRPr="00C50459" w:rsidDel="00000003">
          <w:rPr>
            <w:rStyle w:val="Hyperlink"/>
            <w:sz w:val="18"/>
            <w:szCs w:val="18"/>
            <w:lang w:val="es"/>
          </w:rPr>
          <w:t xml:space="preserve"> to </w:t>
        </w:r>
        <w:proofErr w:type="spellStart"/>
        <w:r w:rsidRPr="00C50459" w:rsidDel="00000003">
          <w:rPr>
            <w:rStyle w:val="Hyperlink"/>
            <w:sz w:val="18"/>
            <w:szCs w:val="18"/>
            <w:lang w:val="es"/>
          </w:rPr>
          <w:t>Action</w:t>
        </w:r>
        <w:proofErr w:type="spellEnd"/>
        <w:r w:rsidRPr="00C50459" w:rsidDel="00000003">
          <w:rPr>
            <w:rStyle w:val="Hyperlink"/>
            <w:sz w:val="18"/>
            <w:szCs w:val="18"/>
            <w:lang w:val="es"/>
          </w:rPr>
          <w:t xml:space="preserve">: </w:t>
        </w:r>
        <w:proofErr w:type="spellStart"/>
        <w:r w:rsidRPr="00C50459" w:rsidDel="00000003">
          <w:rPr>
            <w:rStyle w:val="Hyperlink"/>
            <w:sz w:val="18"/>
            <w:szCs w:val="18"/>
            <w:lang w:val="es"/>
          </w:rPr>
          <w:t>Addressing</w:t>
        </w:r>
        <w:proofErr w:type="spellEnd"/>
        <w:r w:rsidRPr="00C50459" w:rsidDel="00000003">
          <w:rPr>
            <w:rStyle w:val="Hyperlink"/>
            <w:sz w:val="18"/>
            <w:szCs w:val="18"/>
            <w:lang w:val="es"/>
          </w:rPr>
          <w:t xml:space="preserve"> Discrimination and </w:t>
        </w:r>
        <w:proofErr w:type="spellStart"/>
        <w:r w:rsidRPr="00C50459" w:rsidDel="00000003">
          <w:rPr>
            <w:rStyle w:val="Hyperlink"/>
            <w:sz w:val="18"/>
            <w:szCs w:val="18"/>
            <w:lang w:val="es"/>
          </w:rPr>
          <w:t>Inequality</w:t>
        </w:r>
        <w:proofErr w:type="spellEnd"/>
        <w:r w:rsidRPr="00C50459" w:rsidDel="00000003">
          <w:rPr>
            <w:rStyle w:val="Hyperlink"/>
            <w:sz w:val="18"/>
            <w:szCs w:val="18"/>
            <w:lang w:val="es"/>
          </w:rPr>
          <w:t xml:space="preserve"> in </w:t>
        </w:r>
        <w:proofErr w:type="spellStart"/>
        <w:r w:rsidRPr="00C50459" w:rsidDel="00000003">
          <w:rPr>
            <w:rStyle w:val="Hyperlink"/>
            <w:sz w:val="18"/>
            <w:szCs w:val="18"/>
            <w:lang w:val="es"/>
          </w:rPr>
          <w:t>the</w:t>
        </w:r>
        <w:proofErr w:type="spellEnd"/>
        <w:r w:rsidRPr="00C50459" w:rsidDel="00000003">
          <w:rPr>
            <w:rStyle w:val="Hyperlink"/>
            <w:sz w:val="18"/>
            <w:szCs w:val="18"/>
            <w:lang w:val="es"/>
          </w:rPr>
          <w:t xml:space="preserve"> Global Response to COVID-19”</w:t>
        </w:r>
      </w:hyperlink>
      <w:r w:rsidRPr="00C50459" w:rsidDel="00000004">
        <w:rPr>
          <w:color w:val="000000" w:themeColor="text1"/>
          <w:sz w:val="18"/>
          <w:szCs w:val="18"/>
          <w:lang w:val="es"/>
        </w:rPr>
        <w:t xml:space="preserve">, 7 </w:t>
      </w:r>
      <w:r w:rsidRPr="00C50459">
        <w:rPr>
          <w:color w:val="000000" w:themeColor="text1"/>
          <w:sz w:val="18"/>
          <w:szCs w:val="18"/>
          <w:lang w:val="es"/>
        </w:rPr>
        <w:t>de mayo de</w:t>
      </w:r>
      <w:r w:rsidRPr="00C50459" w:rsidDel="00000004">
        <w:rPr>
          <w:color w:val="000000" w:themeColor="text1"/>
          <w:sz w:val="18"/>
          <w:szCs w:val="18"/>
          <w:lang w:val="es"/>
        </w:rPr>
        <w:t xml:space="preserve"> 2020.</w:t>
      </w:r>
    </w:p>
  </w:footnote>
  <w:footnote w:id="44">
    <w:p w14:paraId="727049A0" w14:textId="77777777" w:rsidR="00966BDF" w:rsidRPr="00C50459" w:rsidRDefault="00966BDF" w:rsidP="00966BDF">
      <w:pPr>
        <w:pStyle w:val="FootnoteText"/>
        <w:rPr>
          <w:rFonts w:ascii="Times New Roman" w:hAnsi="Times New Roman" w:cs="Times New Roman"/>
          <w:color w:val="000000" w:themeColor="text1"/>
          <w:sz w:val="18"/>
          <w:szCs w:val="18"/>
        </w:rPr>
      </w:pPr>
      <w:r w:rsidRPr="00C50459" w:rsidDel="00000001">
        <w:rPr>
          <w:rStyle w:val="FootnoteReference"/>
          <w:rFonts w:ascii="Times New Roman" w:hAnsi="Times New Roman"/>
          <w:color w:val="000000" w:themeColor="text1"/>
          <w:sz w:val="18"/>
          <w:szCs w:val="18"/>
          <w:lang w:val="es"/>
        </w:rPr>
        <w:footnoteRef/>
      </w:r>
      <w:r w:rsidRPr="00C50459" w:rsidDel="00000002">
        <w:rPr>
          <w:rFonts w:ascii="Times New Roman" w:hAnsi="Times New Roman" w:cs="Times New Roman"/>
          <w:color w:val="000000" w:themeColor="text1"/>
          <w:sz w:val="18"/>
          <w:szCs w:val="18"/>
          <w:lang w:val="es"/>
        </w:rPr>
        <w:t xml:space="preserve"> </w:t>
      </w:r>
      <w:proofErr w:type="spellStart"/>
      <w:r w:rsidRPr="00C50459" w:rsidDel="00000002">
        <w:rPr>
          <w:rFonts w:ascii="Times New Roman" w:hAnsi="Times New Roman" w:cs="Times New Roman"/>
          <w:color w:val="000000" w:themeColor="text1"/>
          <w:sz w:val="18"/>
          <w:szCs w:val="18"/>
          <w:lang w:val="es"/>
        </w:rPr>
        <w:t>MPact</w:t>
      </w:r>
      <w:proofErr w:type="spellEnd"/>
      <w:r w:rsidRPr="00C50459" w:rsidDel="00000002">
        <w:rPr>
          <w:rFonts w:ascii="Times New Roman" w:hAnsi="Times New Roman" w:cs="Times New Roman"/>
          <w:color w:val="000000" w:themeColor="text1"/>
          <w:sz w:val="18"/>
          <w:szCs w:val="18"/>
          <w:lang w:val="es"/>
        </w:rPr>
        <w:t xml:space="preserve"> Global </w:t>
      </w:r>
      <w:proofErr w:type="spellStart"/>
      <w:r w:rsidRPr="00C50459" w:rsidDel="00000002">
        <w:rPr>
          <w:rFonts w:ascii="Times New Roman" w:hAnsi="Times New Roman" w:cs="Times New Roman"/>
          <w:color w:val="000000" w:themeColor="text1"/>
          <w:sz w:val="18"/>
          <w:szCs w:val="18"/>
          <w:lang w:val="es"/>
        </w:rPr>
        <w:t>Action</w:t>
      </w:r>
      <w:proofErr w:type="spellEnd"/>
      <w:r w:rsidRPr="00C50459" w:rsidDel="00000002">
        <w:rPr>
          <w:rFonts w:ascii="Times New Roman" w:hAnsi="Times New Roman" w:cs="Times New Roman"/>
          <w:color w:val="000000" w:themeColor="text1"/>
          <w:sz w:val="18"/>
          <w:szCs w:val="18"/>
          <w:lang w:val="es"/>
        </w:rPr>
        <w:t xml:space="preserve"> </w:t>
      </w:r>
      <w:proofErr w:type="spellStart"/>
      <w:r w:rsidRPr="00C50459" w:rsidDel="00000002">
        <w:rPr>
          <w:rFonts w:ascii="Times New Roman" w:hAnsi="Times New Roman" w:cs="Times New Roman"/>
          <w:color w:val="000000" w:themeColor="text1"/>
          <w:sz w:val="18"/>
          <w:szCs w:val="18"/>
          <w:lang w:val="es"/>
        </w:rPr>
        <w:t>for</w:t>
      </w:r>
      <w:proofErr w:type="spellEnd"/>
      <w:r w:rsidRPr="00C50459" w:rsidDel="00000002">
        <w:rPr>
          <w:rFonts w:ascii="Times New Roman" w:hAnsi="Times New Roman" w:cs="Times New Roman"/>
          <w:color w:val="000000" w:themeColor="text1"/>
          <w:sz w:val="18"/>
          <w:szCs w:val="18"/>
          <w:lang w:val="es"/>
        </w:rPr>
        <w:t xml:space="preserve"> Gay </w:t>
      </w:r>
      <w:proofErr w:type="spellStart"/>
      <w:r w:rsidRPr="00C50459" w:rsidDel="00000002">
        <w:rPr>
          <w:rFonts w:ascii="Times New Roman" w:hAnsi="Times New Roman" w:cs="Times New Roman"/>
          <w:color w:val="000000" w:themeColor="text1"/>
          <w:sz w:val="18"/>
          <w:szCs w:val="18"/>
          <w:lang w:val="es"/>
        </w:rPr>
        <w:t>Men’s</w:t>
      </w:r>
      <w:proofErr w:type="spellEnd"/>
      <w:r w:rsidRPr="00C50459" w:rsidDel="00000002">
        <w:rPr>
          <w:rFonts w:ascii="Times New Roman" w:hAnsi="Times New Roman" w:cs="Times New Roman"/>
          <w:color w:val="000000" w:themeColor="text1"/>
          <w:sz w:val="18"/>
          <w:szCs w:val="18"/>
          <w:lang w:val="es"/>
        </w:rPr>
        <w:t xml:space="preserve"> Health and Rights, </w:t>
      </w:r>
      <w:hyperlink r:id="rId44" w:history="1">
        <w:r w:rsidRPr="00C50459" w:rsidDel="00000003">
          <w:rPr>
            <w:rStyle w:val="Hyperlink"/>
            <w:rFonts w:ascii="Times New Roman" w:hAnsi="Times New Roman" w:cs="Times New Roman"/>
            <w:sz w:val="18"/>
            <w:szCs w:val="18"/>
            <w:lang w:val="es"/>
          </w:rPr>
          <w:t xml:space="preserve">“Global </w:t>
        </w:r>
        <w:proofErr w:type="spellStart"/>
        <w:r w:rsidRPr="00C50459" w:rsidDel="00000003">
          <w:rPr>
            <w:rStyle w:val="Hyperlink"/>
            <w:rFonts w:ascii="Times New Roman" w:hAnsi="Times New Roman" w:cs="Times New Roman"/>
            <w:sz w:val="18"/>
            <w:szCs w:val="18"/>
            <w:lang w:val="es"/>
          </w:rPr>
          <w:t>Fund</w:t>
        </w:r>
        <w:proofErr w:type="spellEnd"/>
        <w:r w:rsidRPr="00C50459" w:rsidDel="00000003">
          <w:rPr>
            <w:rStyle w:val="Hyperlink"/>
            <w:rFonts w:ascii="Times New Roman" w:hAnsi="Times New Roman" w:cs="Times New Roman"/>
            <w:sz w:val="18"/>
            <w:szCs w:val="18"/>
            <w:lang w:val="es"/>
          </w:rPr>
          <w:t xml:space="preserve"> and COVID-19: </w:t>
        </w:r>
        <w:proofErr w:type="spellStart"/>
        <w:r w:rsidRPr="00C50459" w:rsidDel="00000003">
          <w:rPr>
            <w:rStyle w:val="Hyperlink"/>
            <w:rFonts w:ascii="Times New Roman" w:hAnsi="Times New Roman" w:cs="Times New Roman"/>
            <w:sz w:val="18"/>
            <w:szCs w:val="18"/>
            <w:lang w:val="es"/>
          </w:rPr>
          <w:t>Implications</w:t>
        </w:r>
        <w:proofErr w:type="spellEnd"/>
        <w:r w:rsidRPr="00C50459" w:rsidDel="00000003">
          <w:rPr>
            <w:rStyle w:val="Hyperlink"/>
            <w:rFonts w:ascii="Times New Roman" w:hAnsi="Times New Roman" w:cs="Times New Roman"/>
            <w:sz w:val="18"/>
            <w:szCs w:val="18"/>
            <w:lang w:val="es"/>
          </w:rPr>
          <w:t xml:space="preserve"> </w:t>
        </w:r>
        <w:proofErr w:type="spellStart"/>
        <w:r w:rsidRPr="00C50459" w:rsidDel="00000003">
          <w:rPr>
            <w:rStyle w:val="Hyperlink"/>
            <w:rFonts w:ascii="Times New Roman" w:hAnsi="Times New Roman" w:cs="Times New Roman"/>
            <w:sz w:val="18"/>
            <w:szCs w:val="18"/>
            <w:lang w:val="es"/>
          </w:rPr>
          <w:t>for</w:t>
        </w:r>
        <w:proofErr w:type="spellEnd"/>
        <w:r w:rsidRPr="00C50459" w:rsidDel="00000003">
          <w:rPr>
            <w:rStyle w:val="Hyperlink"/>
            <w:rFonts w:ascii="Times New Roman" w:hAnsi="Times New Roman" w:cs="Times New Roman"/>
            <w:sz w:val="18"/>
            <w:szCs w:val="18"/>
            <w:lang w:val="es"/>
          </w:rPr>
          <w:t xml:space="preserve"> Key </w:t>
        </w:r>
        <w:proofErr w:type="spellStart"/>
        <w:r w:rsidRPr="00C50459" w:rsidDel="00000003">
          <w:rPr>
            <w:rStyle w:val="Hyperlink"/>
            <w:rFonts w:ascii="Times New Roman" w:hAnsi="Times New Roman" w:cs="Times New Roman"/>
            <w:sz w:val="18"/>
            <w:szCs w:val="18"/>
            <w:lang w:val="es"/>
          </w:rPr>
          <w:t>Populations</w:t>
        </w:r>
        <w:proofErr w:type="spellEnd"/>
        <w:r w:rsidRPr="00C50459" w:rsidDel="00000003">
          <w:rPr>
            <w:rStyle w:val="Hyperlink"/>
            <w:rFonts w:ascii="Times New Roman" w:hAnsi="Times New Roman" w:cs="Times New Roman"/>
            <w:sz w:val="18"/>
            <w:szCs w:val="18"/>
            <w:lang w:val="es"/>
          </w:rPr>
          <w:t>”</w:t>
        </w:r>
      </w:hyperlink>
      <w:r w:rsidRPr="00C50459" w:rsidDel="00000004">
        <w:rPr>
          <w:rFonts w:ascii="Times New Roman" w:hAnsi="Times New Roman" w:cs="Times New Roman"/>
          <w:color w:val="000000" w:themeColor="text1"/>
          <w:sz w:val="18"/>
          <w:szCs w:val="18"/>
          <w:lang w:val="es"/>
        </w:rPr>
        <w:t xml:space="preserve">. </w:t>
      </w:r>
    </w:p>
  </w:footnote>
  <w:footnote w:id="45">
    <w:p w14:paraId="58C58219" w14:textId="77777777" w:rsidR="00966BDF" w:rsidRPr="00C50459" w:rsidRDefault="00966BDF" w:rsidP="00966BDF">
      <w:pPr>
        <w:pBdr>
          <w:top w:val="nil"/>
          <w:left w:val="nil"/>
          <w:bottom w:val="nil"/>
          <w:right w:val="nil"/>
          <w:between w:val="nil"/>
        </w:pBdr>
        <w:rPr>
          <w:color w:val="000000" w:themeColor="text1"/>
          <w:sz w:val="18"/>
          <w:szCs w:val="18"/>
          <w:lang w:val="fr-FR"/>
        </w:rPr>
      </w:pPr>
      <w:r w:rsidRPr="00C50459" w:rsidDel="00000001">
        <w:rPr>
          <w:color w:val="000000" w:themeColor="text1"/>
          <w:sz w:val="18"/>
          <w:szCs w:val="18"/>
          <w:vertAlign w:val="superscript"/>
          <w:lang w:val="es"/>
        </w:rPr>
        <w:footnoteRef/>
      </w:r>
      <w:r w:rsidRPr="00C50459" w:rsidDel="00000002">
        <w:rPr>
          <w:color w:val="000000" w:themeColor="text1"/>
          <w:sz w:val="18"/>
          <w:szCs w:val="18"/>
          <w:lang w:val="es"/>
        </w:rPr>
        <w:t xml:space="preserve"> IE SOGI, </w:t>
      </w:r>
      <w:hyperlink r:id="rId45" w:history="1">
        <w:r w:rsidRPr="00C50459" w:rsidDel="00000003">
          <w:rPr>
            <w:rStyle w:val="Hyperlink"/>
            <w:sz w:val="18"/>
            <w:szCs w:val="18"/>
            <w:lang w:val="es"/>
          </w:rPr>
          <w:t>A/HRC/41/45</w:t>
        </w:r>
      </w:hyperlink>
      <w:r w:rsidRPr="00C50459" w:rsidDel="00000004">
        <w:rPr>
          <w:color w:val="000000" w:themeColor="text1"/>
          <w:sz w:val="18"/>
          <w:szCs w:val="18"/>
          <w:lang w:val="es"/>
        </w:rPr>
        <w:t xml:space="preserve">, par. </w:t>
      </w:r>
      <w:r w:rsidRPr="00C50459" w:rsidDel="00000005">
        <w:rPr>
          <w:color w:val="000000" w:themeColor="text1"/>
          <w:sz w:val="18"/>
          <w:szCs w:val="18"/>
          <w:lang w:val="es"/>
        </w:rPr>
        <w:t xml:space="preserve">12.  </w:t>
      </w:r>
    </w:p>
  </w:footnote>
  <w:footnote w:id="46">
    <w:p w14:paraId="2C1CE667" w14:textId="77777777" w:rsidR="00966BDF" w:rsidRPr="00C50459" w:rsidRDefault="00966BDF" w:rsidP="00966BDF">
      <w:pPr>
        <w:rPr>
          <w:color w:val="000000" w:themeColor="text1"/>
          <w:sz w:val="18"/>
          <w:szCs w:val="18"/>
          <w:lang w:val="fr-CH"/>
        </w:rPr>
      </w:pPr>
      <w:r w:rsidRPr="00C50459" w:rsidDel="00000001">
        <w:rPr>
          <w:rStyle w:val="FootnoteReference"/>
          <w:color w:val="000000" w:themeColor="text1"/>
          <w:sz w:val="18"/>
          <w:szCs w:val="18"/>
          <w:lang w:val="es"/>
        </w:rPr>
        <w:footnoteRef/>
      </w:r>
      <w:r w:rsidRPr="00C50459" w:rsidDel="00000002">
        <w:rPr>
          <w:color w:val="000000" w:themeColor="text1"/>
          <w:sz w:val="18"/>
          <w:szCs w:val="18"/>
          <w:lang w:val="es"/>
        </w:rPr>
        <w:t xml:space="preserve"> IE SOGI, </w:t>
      </w:r>
      <w:hyperlink r:id="rId46" w:history="1">
        <w:r w:rsidRPr="00C50459" w:rsidDel="00000003">
          <w:rPr>
            <w:rStyle w:val="Hyperlink"/>
            <w:sz w:val="18"/>
            <w:szCs w:val="18"/>
            <w:lang w:val="es"/>
          </w:rPr>
          <w:t>A/HRC/38/43</w:t>
        </w:r>
      </w:hyperlink>
      <w:r w:rsidRPr="00C50459" w:rsidDel="00000004">
        <w:rPr>
          <w:color w:val="000000" w:themeColor="text1"/>
          <w:sz w:val="18"/>
          <w:szCs w:val="18"/>
          <w:lang w:val="es"/>
        </w:rPr>
        <w:t>, par. 62.</w:t>
      </w:r>
    </w:p>
  </w:footnote>
  <w:footnote w:id="47">
    <w:p w14:paraId="6BBFD7C7" w14:textId="77777777" w:rsidR="00966BDF" w:rsidRPr="00A93C52" w:rsidRDefault="00966BDF" w:rsidP="00966BDF">
      <w:pPr>
        <w:rPr>
          <w:color w:val="000000" w:themeColor="text1"/>
          <w:sz w:val="18"/>
          <w:szCs w:val="18"/>
          <w:lang w:val="fr-CH"/>
        </w:rPr>
      </w:pPr>
      <w:r w:rsidRPr="00C50459" w:rsidDel="00000001">
        <w:rPr>
          <w:rStyle w:val="FootnoteReference"/>
          <w:color w:val="000000" w:themeColor="text1"/>
          <w:sz w:val="18"/>
          <w:szCs w:val="18"/>
          <w:lang w:val="es"/>
        </w:rPr>
        <w:footnoteRef/>
      </w:r>
      <w:r w:rsidRPr="00C50459" w:rsidDel="00000002">
        <w:rPr>
          <w:color w:val="000000" w:themeColor="text1"/>
          <w:sz w:val="18"/>
          <w:szCs w:val="18"/>
          <w:lang w:val="es"/>
        </w:rPr>
        <w:t xml:space="preserve"> IE SOGI, </w:t>
      </w:r>
      <w:r w:rsidRPr="00C50459" w:rsidDel="00000003">
        <w:rPr>
          <w:i/>
          <w:color w:val="000000" w:themeColor="text1"/>
          <w:sz w:val="18"/>
          <w:szCs w:val="18"/>
          <w:lang w:val="es"/>
        </w:rPr>
        <w:t xml:space="preserve">supra </w:t>
      </w:r>
      <w:r w:rsidRPr="00C50459">
        <w:rPr>
          <w:color w:val="000000" w:themeColor="text1"/>
          <w:sz w:val="18"/>
          <w:szCs w:val="18"/>
          <w:lang w:val="es"/>
        </w:rPr>
        <w:t>nota</w:t>
      </w:r>
      <w:r w:rsidRPr="00C50459" w:rsidDel="00000004">
        <w:rPr>
          <w:color w:val="000000" w:themeColor="text1"/>
          <w:sz w:val="18"/>
          <w:szCs w:val="18"/>
          <w:lang w:val="es"/>
        </w:rPr>
        <w:t xml:space="preserve"> 45, </w:t>
      </w:r>
      <w:r w:rsidRPr="00C50459" w:rsidDel="00000005">
        <w:rPr>
          <w:color w:val="000000" w:themeColor="text1"/>
          <w:sz w:val="18"/>
          <w:szCs w:val="18"/>
          <w:lang w:val="es"/>
        </w:rPr>
        <w:t>par. 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73E4B" w14:textId="7863F7EC" w:rsidR="000D44ED" w:rsidRPr="00AD4CA9" w:rsidRDefault="00244860" w:rsidP="00F80A14">
    <w:pPr>
      <w:pStyle w:val="Header"/>
      <w:tabs>
        <w:tab w:val="clear" w:pos="4153"/>
        <w:tab w:val="clear" w:pos="8306"/>
        <w:tab w:val="right" w:pos="9214"/>
      </w:tabs>
      <w:spacing w:before="360" w:after="840"/>
      <w:rPr>
        <w:sz w:val="14"/>
        <w:szCs w:val="14"/>
        <w:lang w:val="en-GB"/>
      </w:rPr>
    </w:pPr>
    <w:r>
      <w:rPr>
        <w:sz w:val="14"/>
        <w:szCs w:val="14"/>
        <w:lang w:val="en-GB"/>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ACCC" w14:textId="245DBB71" w:rsidR="0035125B" w:rsidRDefault="009C101C" w:rsidP="0003674D">
    <w:pPr>
      <w:pStyle w:val="Header"/>
      <w:tabs>
        <w:tab w:val="clear" w:pos="4153"/>
        <w:tab w:val="right" w:pos="3686"/>
        <w:tab w:val="left" w:pos="5812"/>
      </w:tabs>
      <w:jc w:val="center"/>
      <w:rPr>
        <w:sz w:val="14"/>
        <w:szCs w:val="14"/>
        <w:lang w:val="fr-CH"/>
      </w:rPr>
    </w:pPr>
    <w:r>
      <w:rPr>
        <w:noProof/>
        <w:sz w:val="14"/>
        <w:szCs w:val="14"/>
        <w:lang w:val="en-GB" w:eastAsia="en-GB"/>
      </w:rPr>
      <w:drawing>
        <wp:inline distT="0" distB="0" distL="0" distR="0" wp14:anchorId="39938D75" wp14:editId="01B553D5">
          <wp:extent cx="2842260" cy="1226820"/>
          <wp:effectExtent l="0" t="0" r="0" b="0"/>
          <wp:docPr id="5" name="Picture 1"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26820"/>
                  </a:xfrm>
                  <a:prstGeom prst="rect">
                    <a:avLst/>
                  </a:prstGeom>
                  <a:noFill/>
                  <a:ln>
                    <a:noFill/>
                  </a:ln>
                </pic:spPr>
              </pic:pic>
            </a:graphicData>
          </a:graphic>
        </wp:inline>
      </w:drawing>
    </w:r>
  </w:p>
  <w:p w14:paraId="72DF1555" w14:textId="1B767117" w:rsidR="000E35CE" w:rsidRPr="007D018D" w:rsidRDefault="000E35CE" w:rsidP="0003674D">
    <w:pPr>
      <w:pStyle w:val="Header"/>
      <w:tabs>
        <w:tab w:val="clear" w:pos="4153"/>
        <w:tab w:val="clear" w:pos="8306"/>
        <w:tab w:val="right" w:pos="3686"/>
        <w:tab w:val="left" w:pos="5812"/>
      </w:tabs>
      <w:spacing w:before="80" w:after="360"/>
      <w:jc w:val="center"/>
      <w:rPr>
        <w:b/>
        <w:sz w:val="18"/>
        <w:szCs w:val="18"/>
        <w:lang w:val="es-ES"/>
      </w:rPr>
    </w:pPr>
    <w:r w:rsidRPr="007D018D">
      <w:rPr>
        <w:b/>
        <w:sz w:val="18"/>
        <w:szCs w:val="18"/>
        <w:lang w:val="es-ES"/>
      </w:rPr>
      <w:t xml:space="preserve">Mandato del Experto Independiente </w:t>
    </w:r>
    <w:r w:rsidRPr="000E35CE">
      <w:rPr>
        <w:rFonts w:eastAsia="Arial"/>
        <w:b/>
        <w:color w:val="000000"/>
        <w:sz w:val="18"/>
        <w:szCs w:val="18"/>
        <w:lang w:val="es-ES" w:eastAsia="zh-CN"/>
      </w:rPr>
      <w:t>sobre la protección contra la violencia y la discriminación por orientación sexual e identidad de género</w:t>
    </w:r>
  </w:p>
  <w:p w14:paraId="4EB73E50" w14:textId="77777777" w:rsidR="000D44ED" w:rsidRPr="007D018D" w:rsidRDefault="00FC7E15" w:rsidP="0003674D">
    <w:pPr>
      <w:pStyle w:val="Header"/>
      <w:rPr>
        <w:sz w:val="24"/>
        <w:szCs w:val="24"/>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0D2B5458"/>
    <w:multiLevelType w:val="hybridMultilevel"/>
    <w:tmpl w:val="F118AAE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9F925B0"/>
    <w:multiLevelType w:val="hybridMultilevel"/>
    <w:tmpl w:val="00E21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3"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AB7094"/>
    <w:multiLevelType w:val="hybridMultilevel"/>
    <w:tmpl w:val="1D7C7638"/>
    <w:lvl w:ilvl="0" w:tplc="A90EFCE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6"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7"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9"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6C9C5F62"/>
    <w:multiLevelType w:val="hybridMultilevel"/>
    <w:tmpl w:val="E392E12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6"/>
  </w:num>
  <w:num w:numId="3">
    <w:abstractNumId w:val="19"/>
  </w:num>
  <w:num w:numId="4">
    <w:abstractNumId w:val="9"/>
  </w:num>
  <w:num w:numId="5">
    <w:abstractNumId w:val="20"/>
  </w:num>
  <w:num w:numId="6">
    <w:abstractNumId w:val="11"/>
  </w:num>
  <w:num w:numId="7">
    <w:abstractNumId w:val="2"/>
  </w:num>
  <w:num w:numId="8">
    <w:abstractNumId w:val="12"/>
  </w:num>
  <w:num w:numId="9">
    <w:abstractNumId w:val="3"/>
  </w:num>
  <w:num w:numId="10">
    <w:abstractNumId w:val="1"/>
  </w:num>
  <w:num w:numId="11">
    <w:abstractNumId w:val="10"/>
  </w:num>
  <w:num w:numId="12">
    <w:abstractNumId w:val="23"/>
  </w:num>
  <w:num w:numId="13">
    <w:abstractNumId w:val="25"/>
  </w:num>
  <w:num w:numId="14">
    <w:abstractNumId w:val="16"/>
  </w:num>
  <w:num w:numId="15">
    <w:abstractNumId w:val="6"/>
  </w:num>
  <w:num w:numId="16">
    <w:abstractNumId w:val="0"/>
  </w:num>
  <w:num w:numId="17">
    <w:abstractNumId w:val="22"/>
  </w:num>
  <w:num w:numId="18">
    <w:abstractNumId w:val="8"/>
  </w:num>
  <w:num w:numId="19">
    <w:abstractNumId w:val="15"/>
  </w:num>
  <w:num w:numId="20">
    <w:abstractNumId w:val="5"/>
  </w:num>
  <w:num w:numId="21">
    <w:abstractNumId w:val="21"/>
  </w:num>
  <w:num w:numId="22">
    <w:abstractNumId w:val="18"/>
  </w:num>
  <w:num w:numId="23">
    <w:abstractNumId w:val="13"/>
  </w:num>
  <w:num w:numId="24">
    <w:abstractNumId w:val="24"/>
  </w:num>
  <w:num w:numId="25">
    <w:abstractNumId w:val="7"/>
  </w:num>
  <w:num w:numId="26">
    <w:abstractNumId w:val="1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26D1F"/>
    <w:rsid w:val="00026D52"/>
    <w:rsid w:val="0003674D"/>
    <w:rsid w:val="000441FA"/>
    <w:rsid w:val="0005390B"/>
    <w:rsid w:val="0005437A"/>
    <w:rsid w:val="00062C5F"/>
    <w:rsid w:val="00063BFD"/>
    <w:rsid w:val="00066669"/>
    <w:rsid w:val="00077294"/>
    <w:rsid w:val="000875C6"/>
    <w:rsid w:val="00091BF0"/>
    <w:rsid w:val="000A2B89"/>
    <w:rsid w:val="000A3446"/>
    <w:rsid w:val="000A6F03"/>
    <w:rsid w:val="000B0BE9"/>
    <w:rsid w:val="000B38AF"/>
    <w:rsid w:val="000B7176"/>
    <w:rsid w:val="000C3C43"/>
    <w:rsid w:val="000D210E"/>
    <w:rsid w:val="000D34F2"/>
    <w:rsid w:val="000D5C3C"/>
    <w:rsid w:val="000E35CE"/>
    <w:rsid w:val="000E42EE"/>
    <w:rsid w:val="000F183C"/>
    <w:rsid w:val="00106F64"/>
    <w:rsid w:val="00115798"/>
    <w:rsid w:val="001205D6"/>
    <w:rsid w:val="001247ED"/>
    <w:rsid w:val="001456CB"/>
    <w:rsid w:val="001537CC"/>
    <w:rsid w:val="0015615C"/>
    <w:rsid w:val="00160251"/>
    <w:rsid w:val="001676BA"/>
    <w:rsid w:val="00187399"/>
    <w:rsid w:val="00192B7D"/>
    <w:rsid w:val="00194332"/>
    <w:rsid w:val="00196DBF"/>
    <w:rsid w:val="001B7B09"/>
    <w:rsid w:val="001C4360"/>
    <w:rsid w:val="001D3313"/>
    <w:rsid w:val="001E3384"/>
    <w:rsid w:val="001E5478"/>
    <w:rsid w:val="001E7EB1"/>
    <w:rsid w:val="001F2417"/>
    <w:rsid w:val="002028A9"/>
    <w:rsid w:val="0021296A"/>
    <w:rsid w:val="002129D5"/>
    <w:rsid w:val="00215851"/>
    <w:rsid w:val="00221893"/>
    <w:rsid w:val="00224386"/>
    <w:rsid w:val="00227E2F"/>
    <w:rsid w:val="00230775"/>
    <w:rsid w:val="00235A1A"/>
    <w:rsid w:val="002431DB"/>
    <w:rsid w:val="00244860"/>
    <w:rsid w:val="0024583B"/>
    <w:rsid w:val="0025174E"/>
    <w:rsid w:val="002571C7"/>
    <w:rsid w:val="00266D70"/>
    <w:rsid w:val="0028119B"/>
    <w:rsid w:val="00282E14"/>
    <w:rsid w:val="0028624E"/>
    <w:rsid w:val="002863A2"/>
    <w:rsid w:val="00293243"/>
    <w:rsid w:val="002969BF"/>
    <w:rsid w:val="002A4FEE"/>
    <w:rsid w:val="002D2675"/>
    <w:rsid w:val="002D540D"/>
    <w:rsid w:val="002E65F4"/>
    <w:rsid w:val="002F5FC1"/>
    <w:rsid w:val="00305B08"/>
    <w:rsid w:val="00335FB9"/>
    <w:rsid w:val="00337FEC"/>
    <w:rsid w:val="0035125B"/>
    <w:rsid w:val="00356299"/>
    <w:rsid w:val="003577DB"/>
    <w:rsid w:val="003664B7"/>
    <w:rsid w:val="00380489"/>
    <w:rsid w:val="00396E4C"/>
    <w:rsid w:val="003A3957"/>
    <w:rsid w:val="003C37C3"/>
    <w:rsid w:val="003D0C10"/>
    <w:rsid w:val="003D27A6"/>
    <w:rsid w:val="003D3D66"/>
    <w:rsid w:val="003E552B"/>
    <w:rsid w:val="00401CEA"/>
    <w:rsid w:val="00401FD2"/>
    <w:rsid w:val="00410560"/>
    <w:rsid w:val="004153DE"/>
    <w:rsid w:val="00415EFC"/>
    <w:rsid w:val="00433548"/>
    <w:rsid w:val="00440385"/>
    <w:rsid w:val="00440E30"/>
    <w:rsid w:val="00440ED0"/>
    <w:rsid w:val="00443DF5"/>
    <w:rsid w:val="00447412"/>
    <w:rsid w:val="00452DDF"/>
    <w:rsid w:val="00455C6D"/>
    <w:rsid w:val="00456419"/>
    <w:rsid w:val="00460258"/>
    <w:rsid w:val="004A085B"/>
    <w:rsid w:val="004B4CAC"/>
    <w:rsid w:val="004C044F"/>
    <w:rsid w:val="004D21C9"/>
    <w:rsid w:val="004D5D19"/>
    <w:rsid w:val="004E0AB6"/>
    <w:rsid w:val="004E49EC"/>
    <w:rsid w:val="004E4D86"/>
    <w:rsid w:val="004F0520"/>
    <w:rsid w:val="004F33B3"/>
    <w:rsid w:val="004F4DB0"/>
    <w:rsid w:val="004F55C0"/>
    <w:rsid w:val="00520DCB"/>
    <w:rsid w:val="00530EF5"/>
    <w:rsid w:val="005417E4"/>
    <w:rsid w:val="005455F8"/>
    <w:rsid w:val="0055573E"/>
    <w:rsid w:val="00562D63"/>
    <w:rsid w:val="00570A1B"/>
    <w:rsid w:val="00570E41"/>
    <w:rsid w:val="00576638"/>
    <w:rsid w:val="00583C65"/>
    <w:rsid w:val="005849E6"/>
    <w:rsid w:val="00585F8E"/>
    <w:rsid w:val="005871D9"/>
    <w:rsid w:val="005957ED"/>
    <w:rsid w:val="005E7C37"/>
    <w:rsid w:val="005F283E"/>
    <w:rsid w:val="0060068B"/>
    <w:rsid w:val="0060785C"/>
    <w:rsid w:val="00614FFD"/>
    <w:rsid w:val="00627A52"/>
    <w:rsid w:val="0063240F"/>
    <w:rsid w:val="00635102"/>
    <w:rsid w:val="00636BD7"/>
    <w:rsid w:val="006375A5"/>
    <w:rsid w:val="006412EA"/>
    <w:rsid w:val="00645695"/>
    <w:rsid w:val="00650CD4"/>
    <w:rsid w:val="00650D4D"/>
    <w:rsid w:val="006605E5"/>
    <w:rsid w:val="00660EDA"/>
    <w:rsid w:val="006617A4"/>
    <w:rsid w:val="00664080"/>
    <w:rsid w:val="00667227"/>
    <w:rsid w:val="00671485"/>
    <w:rsid w:val="006749F6"/>
    <w:rsid w:val="00680CC0"/>
    <w:rsid w:val="00682D26"/>
    <w:rsid w:val="00682DDB"/>
    <w:rsid w:val="006834E4"/>
    <w:rsid w:val="00687E4F"/>
    <w:rsid w:val="006915CC"/>
    <w:rsid w:val="00692441"/>
    <w:rsid w:val="00695D3E"/>
    <w:rsid w:val="006A7352"/>
    <w:rsid w:val="006B5A71"/>
    <w:rsid w:val="006B5EDA"/>
    <w:rsid w:val="006C46F2"/>
    <w:rsid w:val="006E6CC3"/>
    <w:rsid w:val="006F790C"/>
    <w:rsid w:val="00712363"/>
    <w:rsid w:val="00712EFD"/>
    <w:rsid w:val="00716D30"/>
    <w:rsid w:val="007210F6"/>
    <w:rsid w:val="00723438"/>
    <w:rsid w:val="00725DF4"/>
    <w:rsid w:val="00733660"/>
    <w:rsid w:val="00741EBC"/>
    <w:rsid w:val="007432E5"/>
    <w:rsid w:val="007450E8"/>
    <w:rsid w:val="007625BA"/>
    <w:rsid w:val="00776BDB"/>
    <w:rsid w:val="007830DE"/>
    <w:rsid w:val="00784DB2"/>
    <w:rsid w:val="00790C76"/>
    <w:rsid w:val="00790CBE"/>
    <w:rsid w:val="00792050"/>
    <w:rsid w:val="007922D3"/>
    <w:rsid w:val="0079503A"/>
    <w:rsid w:val="00795469"/>
    <w:rsid w:val="00796729"/>
    <w:rsid w:val="00797214"/>
    <w:rsid w:val="007A375D"/>
    <w:rsid w:val="007B01A6"/>
    <w:rsid w:val="007B50BA"/>
    <w:rsid w:val="007B5929"/>
    <w:rsid w:val="007C4483"/>
    <w:rsid w:val="007C4A8E"/>
    <w:rsid w:val="007C5369"/>
    <w:rsid w:val="007D018D"/>
    <w:rsid w:val="007D1657"/>
    <w:rsid w:val="007D47FE"/>
    <w:rsid w:val="007E39E1"/>
    <w:rsid w:val="007F4648"/>
    <w:rsid w:val="007F606F"/>
    <w:rsid w:val="007F7DA3"/>
    <w:rsid w:val="0081788D"/>
    <w:rsid w:val="00827A9A"/>
    <w:rsid w:val="00842120"/>
    <w:rsid w:val="00842220"/>
    <w:rsid w:val="008427AA"/>
    <w:rsid w:val="00846B4A"/>
    <w:rsid w:val="008553DE"/>
    <w:rsid w:val="008568EA"/>
    <w:rsid w:val="008656FA"/>
    <w:rsid w:val="00874280"/>
    <w:rsid w:val="008774E3"/>
    <w:rsid w:val="008A2957"/>
    <w:rsid w:val="008A5301"/>
    <w:rsid w:val="008B33E8"/>
    <w:rsid w:val="008B4B78"/>
    <w:rsid w:val="008B4DD7"/>
    <w:rsid w:val="008B4F3E"/>
    <w:rsid w:val="008C2924"/>
    <w:rsid w:val="008C5897"/>
    <w:rsid w:val="008C60C0"/>
    <w:rsid w:val="008C7123"/>
    <w:rsid w:val="008D1A3C"/>
    <w:rsid w:val="008D373E"/>
    <w:rsid w:val="008D3B8A"/>
    <w:rsid w:val="008E46C1"/>
    <w:rsid w:val="00917759"/>
    <w:rsid w:val="009240B2"/>
    <w:rsid w:val="00925A9D"/>
    <w:rsid w:val="009337F5"/>
    <w:rsid w:val="009358CD"/>
    <w:rsid w:val="00941465"/>
    <w:rsid w:val="00944040"/>
    <w:rsid w:val="00944E25"/>
    <w:rsid w:val="00945265"/>
    <w:rsid w:val="009469B5"/>
    <w:rsid w:val="00951601"/>
    <w:rsid w:val="00954D40"/>
    <w:rsid w:val="00966BDF"/>
    <w:rsid w:val="009751AC"/>
    <w:rsid w:val="00977883"/>
    <w:rsid w:val="00977C96"/>
    <w:rsid w:val="00982FCF"/>
    <w:rsid w:val="0098565E"/>
    <w:rsid w:val="00986237"/>
    <w:rsid w:val="00995824"/>
    <w:rsid w:val="00997618"/>
    <w:rsid w:val="009A2849"/>
    <w:rsid w:val="009B459A"/>
    <w:rsid w:val="009C101C"/>
    <w:rsid w:val="009D76A9"/>
    <w:rsid w:val="009F18EC"/>
    <w:rsid w:val="009F2043"/>
    <w:rsid w:val="00A01741"/>
    <w:rsid w:val="00A153DB"/>
    <w:rsid w:val="00A21EF1"/>
    <w:rsid w:val="00A23512"/>
    <w:rsid w:val="00A23630"/>
    <w:rsid w:val="00A34DA7"/>
    <w:rsid w:val="00A364CF"/>
    <w:rsid w:val="00A3761B"/>
    <w:rsid w:val="00A40490"/>
    <w:rsid w:val="00A408BE"/>
    <w:rsid w:val="00A439B9"/>
    <w:rsid w:val="00A51809"/>
    <w:rsid w:val="00A54482"/>
    <w:rsid w:val="00A564C7"/>
    <w:rsid w:val="00A619C0"/>
    <w:rsid w:val="00A61E26"/>
    <w:rsid w:val="00A63977"/>
    <w:rsid w:val="00A6667E"/>
    <w:rsid w:val="00A858FF"/>
    <w:rsid w:val="00A86B19"/>
    <w:rsid w:val="00A86E08"/>
    <w:rsid w:val="00A9048E"/>
    <w:rsid w:val="00AA3895"/>
    <w:rsid w:val="00AC50E4"/>
    <w:rsid w:val="00AD1796"/>
    <w:rsid w:val="00AD4CA9"/>
    <w:rsid w:val="00AD6CDB"/>
    <w:rsid w:val="00AE2231"/>
    <w:rsid w:val="00AE69A2"/>
    <w:rsid w:val="00AE796C"/>
    <w:rsid w:val="00AF291B"/>
    <w:rsid w:val="00B04529"/>
    <w:rsid w:val="00B13589"/>
    <w:rsid w:val="00B14752"/>
    <w:rsid w:val="00B23E33"/>
    <w:rsid w:val="00B246B4"/>
    <w:rsid w:val="00B31236"/>
    <w:rsid w:val="00B326D5"/>
    <w:rsid w:val="00B42B30"/>
    <w:rsid w:val="00B43D96"/>
    <w:rsid w:val="00B458F6"/>
    <w:rsid w:val="00B54DD5"/>
    <w:rsid w:val="00B60261"/>
    <w:rsid w:val="00B61545"/>
    <w:rsid w:val="00B7425B"/>
    <w:rsid w:val="00B84F46"/>
    <w:rsid w:val="00B92DA9"/>
    <w:rsid w:val="00B947FE"/>
    <w:rsid w:val="00BD2C78"/>
    <w:rsid w:val="00BD6119"/>
    <w:rsid w:val="00BF35E8"/>
    <w:rsid w:val="00BF574E"/>
    <w:rsid w:val="00BF69D2"/>
    <w:rsid w:val="00C07B5F"/>
    <w:rsid w:val="00C10B95"/>
    <w:rsid w:val="00C12BED"/>
    <w:rsid w:val="00C234D8"/>
    <w:rsid w:val="00C23DDD"/>
    <w:rsid w:val="00C31BCC"/>
    <w:rsid w:val="00C35851"/>
    <w:rsid w:val="00C4220F"/>
    <w:rsid w:val="00C50459"/>
    <w:rsid w:val="00C6141D"/>
    <w:rsid w:val="00C64254"/>
    <w:rsid w:val="00C657AF"/>
    <w:rsid w:val="00C73CD7"/>
    <w:rsid w:val="00C74811"/>
    <w:rsid w:val="00C772EF"/>
    <w:rsid w:val="00C82CCE"/>
    <w:rsid w:val="00C840A9"/>
    <w:rsid w:val="00CA65D2"/>
    <w:rsid w:val="00CB1C6E"/>
    <w:rsid w:val="00CC5BEF"/>
    <w:rsid w:val="00CC7842"/>
    <w:rsid w:val="00CE6A0E"/>
    <w:rsid w:val="00D00DDC"/>
    <w:rsid w:val="00D018B5"/>
    <w:rsid w:val="00D02F61"/>
    <w:rsid w:val="00D1125E"/>
    <w:rsid w:val="00D115F7"/>
    <w:rsid w:val="00D230B7"/>
    <w:rsid w:val="00D32E5B"/>
    <w:rsid w:val="00D35B0E"/>
    <w:rsid w:val="00D3608E"/>
    <w:rsid w:val="00D36635"/>
    <w:rsid w:val="00D462FB"/>
    <w:rsid w:val="00D5082F"/>
    <w:rsid w:val="00D64A69"/>
    <w:rsid w:val="00D67524"/>
    <w:rsid w:val="00D70178"/>
    <w:rsid w:val="00D774EE"/>
    <w:rsid w:val="00D84C7E"/>
    <w:rsid w:val="00D85D82"/>
    <w:rsid w:val="00D94E49"/>
    <w:rsid w:val="00D968C8"/>
    <w:rsid w:val="00DA5FC2"/>
    <w:rsid w:val="00DB5055"/>
    <w:rsid w:val="00DB5616"/>
    <w:rsid w:val="00DC0CA6"/>
    <w:rsid w:val="00DC6253"/>
    <w:rsid w:val="00DD310F"/>
    <w:rsid w:val="00DD4909"/>
    <w:rsid w:val="00E15347"/>
    <w:rsid w:val="00E22392"/>
    <w:rsid w:val="00E30296"/>
    <w:rsid w:val="00E4367D"/>
    <w:rsid w:val="00E60057"/>
    <w:rsid w:val="00E679E8"/>
    <w:rsid w:val="00E84288"/>
    <w:rsid w:val="00E90F24"/>
    <w:rsid w:val="00EA2C25"/>
    <w:rsid w:val="00EA6B3E"/>
    <w:rsid w:val="00EC123F"/>
    <w:rsid w:val="00EC3E83"/>
    <w:rsid w:val="00EC4C31"/>
    <w:rsid w:val="00ED322B"/>
    <w:rsid w:val="00EE0A7C"/>
    <w:rsid w:val="00EE5BA8"/>
    <w:rsid w:val="00EE6765"/>
    <w:rsid w:val="00EE6B9C"/>
    <w:rsid w:val="00EE6E8B"/>
    <w:rsid w:val="00EF0B0D"/>
    <w:rsid w:val="00F006B5"/>
    <w:rsid w:val="00F44CBB"/>
    <w:rsid w:val="00F47B64"/>
    <w:rsid w:val="00F611C6"/>
    <w:rsid w:val="00F62027"/>
    <w:rsid w:val="00F70279"/>
    <w:rsid w:val="00F80A14"/>
    <w:rsid w:val="00F80D28"/>
    <w:rsid w:val="00FA61F7"/>
    <w:rsid w:val="00FA6AD5"/>
    <w:rsid w:val="00FB1650"/>
    <w:rsid w:val="00FB365F"/>
    <w:rsid w:val="00FB41B6"/>
    <w:rsid w:val="00FC0B84"/>
    <w:rsid w:val="00FC15B0"/>
    <w:rsid w:val="00FC1DDB"/>
    <w:rsid w:val="00FC7E15"/>
    <w:rsid w:val="00FD41D3"/>
    <w:rsid w:val="00FD659F"/>
    <w:rsid w:val="00FD65F1"/>
    <w:rsid w:val="00FE1FBB"/>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EB7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basedOn w:val="Normal"/>
    <w:link w:val="FootnoteTextChar"/>
    <w:uiPriority w:val="99"/>
    <w:semiHidden/>
    <w:unhideWhenUsed/>
    <w:rsid w:val="00B60261"/>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B60261"/>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assets2.hrc.org/files/assets/resources/COVID19-IssueBrief-032020-FINAL.pdf?_ga=2.146215092.1010938956.1588480243-2006366478.1458260123" TargetMode="External"/><Relationship Id="rId13" Type="http://schemas.openxmlformats.org/officeDocument/2006/relationships/hyperlink" Target="https://undocs.org/en/A/HRC/43/43" TargetMode="External"/><Relationship Id="rId18" Type="http://schemas.openxmlformats.org/officeDocument/2006/relationships/hyperlink" Target="https://undocs.org/en/A/HRC/31/54" TargetMode="External"/><Relationship Id="rId26" Type="http://schemas.openxmlformats.org/officeDocument/2006/relationships/hyperlink" Target="https://globalresourcesreport.org/" TargetMode="External"/><Relationship Id="rId39" Type="http://schemas.openxmlformats.org/officeDocument/2006/relationships/hyperlink" Target="https://www.certidiritti.org/2020/03/29/coronavirus-nessuno-resti-indietro-compresi-i-sex-worker-appello-a-parlamento-e-governo/" TargetMode="External"/><Relationship Id="rId3" Type="http://schemas.openxmlformats.org/officeDocument/2006/relationships/hyperlink" Target="https://undocs.org/es/E/C.12/2020/1" TargetMode="External"/><Relationship Id="rId21" Type="http://schemas.openxmlformats.org/officeDocument/2006/relationships/hyperlink" Target="https://www.bbc.com/news/uk-52039832" TargetMode="External"/><Relationship Id="rId34" Type="http://schemas.openxmlformats.org/officeDocument/2006/relationships/hyperlink" Target="https://www.hrw.org/news/2020/04/02/panamas-gender-based-quarantine-ensnares-trans-woman" TargetMode="External"/><Relationship Id="rId42" Type="http://schemas.openxmlformats.org/officeDocument/2006/relationships/hyperlink" Target="https://assets2.hrc.org/files/assets/resources/COVID19-IssueBrief-032020-FINAL.pdf?_ga=2.146215092.1010938956.1588480243-2006366478.1458260123" TargetMode="External"/><Relationship Id="rId7" Type="http://schemas.openxmlformats.org/officeDocument/2006/relationships/hyperlink" Target="https://static1.squarespace.com/static/55098723e4b011797c300d41/t/5ead9303d9408f5afda84184/1588433667690/Final+Report+1+-+Global+Impact+of+COVID-19+on+LGBTI+Communities+%281%29.pdf" TargetMode="External"/><Relationship Id="rId12" Type="http://schemas.openxmlformats.org/officeDocument/2006/relationships/hyperlink" Target="http://www.ilga-lac.org/2020/03/20/pronunciamiento-de-ilgalac-ante-la-pandemia-de-coronavirus-y-sus-efectos-en-nuestra-region/" TargetMode="External"/><Relationship Id="rId17" Type="http://schemas.openxmlformats.org/officeDocument/2006/relationships/hyperlink" Target="https://www.sageusa.org/wp-content/uploads/2020/04/covid19-elder-issuebrief-032720b-1-1.pdf" TargetMode="External"/><Relationship Id="rId25" Type="http://schemas.openxmlformats.org/officeDocument/2006/relationships/hyperlink" Target="https://www.reuters.com/article/us-health-coronavirus-lgbt-aids/no-medicine-no-food-coronavirus-restrictions-amplify-health-risks-to-lgbt-people-with-hiv-idUSKBN22W28G" TargetMode="External"/><Relationship Id="rId33" Type="http://schemas.openxmlformats.org/officeDocument/2006/relationships/hyperlink" Target="https://www.southernafricalitigationcentre.org/2020/05/26/policy-brief-a-legal-overview-of-the-impact-of-covid-19-on-justice-and-rights-in-southern-africa/" TargetMode="External"/><Relationship Id="rId38" Type="http://schemas.openxmlformats.org/officeDocument/2006/relationships/hyperlink" Target="https://www.thelancet.com/journals/lancet/article/PIIS0140-6736(20)31033-3/fulltext" TargetMode="External"/><Relationship Id="rId46" Type="http://schemas.openxmlformats.org/officeDocument/2006/relationships/hyperlink" Target="https://undocs.org/A/HRC/38/43" TargetMode="External"/><Relationship Id="rId2" Type="http://schemas.openxmlformats.org/officeDocument/2006/relationships/hyperlink" Target="https://undocs.org/es/E/C.12/2020/1" TargetMode="External"/><Relationship Id="rId16" Type="http://schemas.openxmlformats.org/officeDocument/2006/relationships/hyperlink" Target="https://www.aarp.org/research/topics/life/info-2018/maintaining-dignity-lgbt.html" TargetMode="External"/><Relationship Id="rId20" Type="http://schemas.openxmlformats.org/officeDocument/2006/relationships/hyperlink" Target="https://www.fhi360.org/sites/default/files/media/documents/epic-kp-strategic-considerations-covid-19.pdf" TargetMode="External"/><Relationship Id="rId29" Type="http://schemas.openxmlformats.org/officeDocument/2006/relationships/hyperlink" Target="https://outrightinternational.org/content/join-outright&#8217;s-covid-19-global-emergency-fund" TargetMode="External"/><Relationship Id="rId41" Type="http://schemas.openxmlformats.org/officeDocument/2006/relationships/hyperlink" Target="https://www.ohchr.org/EN/NewsEvents/Pages/DisplayNews.aspx?NewsID=25746&amp;LangID=E" TargetMode="External"/><Relationship Id="rId1" Type="http://schemas.openxmlformats.org/officeDocument/2006/relationships/hyperlink" Target="https://www.un.org/sites/un2.un.org/files/human_rights_and_covid19_spanish.pdf" TargetMode="External"/><Relationship Id="rId6" Type="http://schemas.openxmlformats.org/officeDocument/2006/relationships/hyperlink" Target="https://undocs.org/A/72/502" TargetMode="External"/><Relationship Id="rId11" Type="http://schemas.openxmlformats.org/officeDocument/2006/relationships/hyperlink" Target="https://news.trust.org/item/20200414140711-vuity" TargetMode="External"/><Relationship Id="rId24" Type="http://schemas.openxmlformats.org/officeDocument/2006/relationships/hyperlink" Target="https://www.apcom.org/the-covid-19-effect-series-part-1/" TargetMode="External"/><Relationship Id="rId32" Type="http://schemas.openxmlformats.org/officeDocument/2006/relationships/hyperlink" Target="https://www.ohchr.org/Documents/Events/EmergencyMeasures_COVID19.pdf" TargetMode="External"/><Relationship Id="rId37" Type="http://schemas.openxmlformats.org/officeDocument/2006/relationships/hyperlink" Target="https://remezcla.com/author/ximenaizquierdo/" TargetMode="External"/><Relationship Id="rId40" Type="http://schemas.openxmlformats.org/officeDocument/2006/relationships/hyperlink" Target="https://www.ohchr.org/Documents/Issues/HateSpeech/UNGuidanceHate.pdf" TargetMode="External"/><Relationship Id="rId45" Type="http://schemas.openxmlformats.org/officeDocument/2006/relationships/hyperlink" Target="https://undocs.org/en/A/HRC/41/45" TargetMode="External"/><Relationship Id="rId5" Type="http://schemas.openxmlformats.org/officeDocument/2006/relationships/hyperlink" Target="https://www.ohchr.org/EN/NewsEvents/Pages/DisplayNews.aspx?NewsID=25884&amp;LangID=E" TargetMode="External"/><Relationship Id="rId15" Type="http://schemas.openxmlformats.org/officeDocument/2006/relationships/hyperlink" Target="https://www.hrw.org/news/2020/05/08/bangladesh-should-support-hijra-trans-under-covid-19" TargetMode="External"/><Relationship Id="rId23" Type="http://schemas.openxmlformats.org/officeDocument/2006/relationships/hyperlink" Target="https://assets.website-files.com/5996edc0ab717100012bd6a9/5ed90f74afac27b1e4fb9e1c_Link%201.pdf" TargetMode="External"/><Relationship Id="rId28" Type="http://schemas.openxmlformats.org/officeDocument/2006/relationships/hyperlink" Target="https://www.commonwealth-covid19.com" TargetMode="External"/><Relationship Id="rId36" Type="http://schemas.openxmlformats.org/officeDocument/2006/relationships/hyperlink" Target="https://www.opendemocracy.net/en/democraciaabierta/danger-being-transgender-latin-america-quarantine/" TargetMode="External"/><Relationship Id="rId10" Type="http://schemas.openxmlformats.org/officeDocument/2006/relationships/hyperlink" Target="https://undocs.org/A/74/181" TargetMode="External"/><Relationship Id="rId19" Type="http://schemas.openxmlformats.org/officeDocument/2006/relationships/hyperlink" Target="https://www.ohchr.org/Documents/Issues/LGBT/LGBTIpeople.pdf" TargetMode="External"/><Relationship Id="rId31" Type="http://schemas.openxmlformats.org/officeDocument/2006/relationships/hyperlink" Target="https://frontlineaids.org/our-work-includes/rapid-response-fund/" TargetMode="External"/><Relationship Id="rId44" Type="http://schemas.openxmlformats.org/officeDocument/2006/relationships/hyperlink" Target="https://mpactglobal.org/global-fund-and-covid-19-implications-for-key-populations/" TargetMode="External"/><Relationship Id="rId4" Type="http://schemas.openxmlformats.org/officeDocument/2006/relationships/hyperlink" Target="https://www.ohchr.org/EN/HRBodies/SP/Pages/COVID-19-and-Special-Procedures.aspx" TargetMode="External"/><Relationship Id="rId9" Type="http://schemas.openxmlformats.org/officeDocument/2006/relationships/hyperlink" Target="https://www.edgeeffect.org/wp-content/uploads/2020/04/LGBTIQ-COVID19_EdgeEffect_30Apr.pdf?fbclid=IwAR19mnG4HPcs_cMK9r8NR0EqaqEayM_t5NQfwsHZRH6H6NQpeol_OcGtNnw" TargetMode="External"/><Relationship Id="rId14" Type="http://schemas.openxmlformats.org/officeDocument/2006/relationships/hyperlink" Target="https://www.firstpost.com/india/coronavirus-outbreak-trans-communitys-lives-come-to-standstill-but-hope-presents-itself-through-welfare-initiatives-8234171.html" TargetMode="External"/><Relationship Id="rId22" Type="http://schemas.openxmlformats.org/officeDocument/2006/relationships/hyperlink" Target="https://76crimes.com/2020/04/30/kenyan-police-break-up-lgbt-refugees-protest/" TargetMode="External"/><Relationship Id="rId27" Type="http://schemas.openxmlformats.org/officeDocument/2006/relationships/hyperlink" Target="https://outrightinternational.org/sites/default/files/COVIDsReportDesign_FINAL_LR_0.pdf" TargetMode="External"/><Relationship Id="rId30" Type="http://schemas.openxmlformats.org/officeDocument/2006/relationships/hyperlink" Target="https://aseansogiecaucus.org/news/asc-news/143-call-to-donors-and-funders-operating-in-southeast-asia-mobilize-rainbow-resilience" TargetMode="External"/><Relationship Id="rId35" Type="http://schemas.openxmlformats.org/officeDocument/2006/relationships/hyperlink" Target="https://www.bbc.com/news/world-latin-america-52149742" TargetMode="External"/><Relationship Id="rId43" Type="http://schemas.openxmlformats.org/officeDocument/2006/relationships/hyperlink" Target="https://ilga.org/call-to-action-Covid-19-response-discrimination-inequalit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DAA32-A894-4ADE-B8A7-88B1C1F51C94}"/>
</file>

<file path=customXml/itemProps2.xml><?xml version="1.0" encoding="utf-8"?>
<ds:datastoreItem xmlns:ds="http://schemas.openxmlformats.org/officeDocument/2006/customXml" ds:itemID="{65D1F592-FC67-429A-9EC0-8FE8E844DFFB}">
  <ds:schemaRefs>
    <ds:schemaRef ds:uri="http://schemas.microsoft.com/sharepoint/v3/contenttype/forms"/>
  </ds:schemaRefs>
</ds:datastoreItem>
</file>

<file path=customXml/itemProps3.xml><?xml version="1.0" encoding="utf-8"?>
<ds:datastoreItem xmlns:ds="http://schemas.openxmlformats.org/officeDocument/2006/customXml" ds:itemID="{5DBC6326-2CBB-44B4-A293-FCB884177F3A}">
  <ds:schemaRefs>
    <ds:schemaRef ds:uri="http://purl.org/dc/elements/1.1/"/>
    <ds:schemaRef ds:uri="http://schemas.microsoft.com/office/2006/metadata/properties"/>
    <ds:schemaRef ds:uri="f62cadcd-e163-4118-ac05-a32b5a627a7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4B1F47F-6B9E-44ED-96F4-669C661B2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5415</Words>
  <Characters>29143</Characters>
  <Application>Microsoft Office Word</Application>
  <DocSecurity>0</DocSecurity>
  <Lines>242</Lines>
  <Paragraphs>68</Paragraphs>
  <ScaleCrop>false</ScaleCrop>
  <HeadingPairs>
    <vt:vector size="4" baseType="variant">
      <vt:variant>
        <vt:lpstr>Title</vt:lpstr>
      </vt:variant>
      <vt:variant>
        <vt:i4>1</vt:i4>
      </vt:variant>
      <vt:variant>
        <vt:lpstr>Misión Permanente del Reino Unido de Gran Bretaña e Irlanda del Norte ante la Oficina de las Naciones Unidas y otras organizaciones internacionales en Ginebra</vt:lpstr>
      </vt:variant>
      <vt:variant>
        <vt:i4>1</vt:i4>
      </vt:variant>
    </vt:vector>
  </HeadingPairs>
  <TitlesOfParts>
    <vt:vector size="2" baseType="lpstr">
      <vt:lpstr/>
      <vt:lpstr/>
    </vt:vector>
  </TitlesOfParts>
  <LinksUpToDate>false</LinksUpToDate>
  <CharactersWithSpaces>34490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2020-06-18T10:07:00Z</dcterms:created>
  <dcterms:modified xsi:type="dcterms:W3CDTF">2020-06-18T10:11:00Z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