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947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60"/>
        <w:gridCol w:w="6911"/>
      </w:tblGrid>
      <w:tr w:rsidR="000348D5" w14:paraId="62E47835" w14:textId="77777777" w:rsidTr="00B658BC">
        <w:trPr>
          <w:trHeight w:val="8153"/>
        </w:trPr>
        <w:tc>
          <w:tcPr>
            <w:tcW w:w="2560" w:type="dxa"/>
            <w:vAlign w:val="bottom"/>
          </w:tcPr>
          <w:p w14:paraId="6DAEC7C2" w14:textId="77777777" w:rsidR="000348D5" w:rsidRDefault="000348D5" w:rsidP="00CA34DF"/>
        </w:tc>
        <w:tc>
          <w:tcPr>
            <w:tcW w:w="6911" w:type="dxa"/>
          </w:tcPr>
          <w:p w14:paraId="65323C55" w14:textId="77777777" w:rsidR="000348D5" w:rsidRDefault="000348D5" w:rsidP="00CA34DF"/>
          <w:p w14:paraId="53418795" w14:textId="77777777" w:rsidR="00B658BC" w:rsidRPr="00B658BC" w:rsidRDefault="00B658BC" w:rsidP="00B658BC"/>
          <w:p w14:paraId="13FB3EE4" w14:textId="77777777" w:rsidR="00B658BC" w:rsidRPr="00B658BC" w:rsidRDefault="00B658BC" w:rsidP="00B658BC"/>
          <w:p w14:paraId="28A8698D" w14:textId="77777777" w:rsidR="00B658BC" w:rsidRPr="00B658BC" w:rsidRDefault="00B658BC" w:rsidP="00B658BC"/>
          <w:p w14:paraId="5FE60CF4" w14:textId="77777777" w:rsidR="00B658BC" w:rsidRPr="00B658BC" w:rsidRDefault="00B658BC" w:rsidP="00B658BC"/>
          <w:p w14:paraId="178BD877" w14:textId="77777777" w:rsidR="00B658BC" w:rsidRDefault="00B658BC" w:rsidP="00B658BC"/>
          <w:p w14:paraId="6AFC0F51" w14:textId="77777777" w:rsidR="00B658BC" w:rsidRPr="00B658BC" w:rsidRDefault="00B658BC" w:rsidP="00B658BC">
            <w:pPr>
              <w:tabs>
                <w:tab w:val="left" w:pos="2813"/>
              </w:tabs>
            </w:pPr>
            <w:r>
              <w:tab/>
            </w:r>
          </w:p>
        </w:tc>
      </w:tr>
      <w:tr w:rsidR="000348D5" w14:paraId="40442C50" w14:textId="77777777" w:rsidTr="00B658BC">
        <w:trPr>
          <w:trHeight w:val="5055"/>
        </w:trPr>
        <w:tc>
          <w:tcPr>
            <w:tcW w:w="2560" w:type="dxa"/>
            <w:vAlign w:val="bottom"/>
          </w:tcPr>
          <w:p w14:paraId="71E464BD" w14:textId="77777777" w:rsidR="000348D5" w:rsidRDefault="000348D5" w:rsidP="000348D5">
            <w:pPr>
              <w:pStyle w:val="Title"/>
            </w:pPr>
          </w:p>
        </w:tc>
        <w:tc>
          <w:tcPr>
            <w:tcW w:w="6911" w:type="dxa"/>
            <w:vAlign w:val="bottom"/>
          </w:tcPr>
          <w:p w14:paraId="61F99E8B" w14:textId="77777777" w:rsidR="000348D5" w:rsidRDefault="00B658BC" w:rsidP="00CF4449">
            <w:pPr>
              <w:pStyle w:val="Title"/>
            </w:pPr>
            <w:r>
              <w:t>B</w:t>
            </w:r>
            <w:r w:rsidR="006B4C7F">
              <w:t>eyond a ban</w:t>
            </w:r>
            <w:r>
              <w:t>, towards justice</w:t>
            </w:r>
            <w:r w:rsidR="006B4C7F">
              <w:t>:</w:t>
            </w:r>
          </w:p>
        </w:tc>
      </w:tr>
      <w:tr w:rsidR="000348D5" w14:paraId="31AB122B" w14:textId="77777777" w:rsidTr="00B658BC">
        <w:trPr>
          <w:trHeight w:val="1159"/>
        </w:trPr>
        <w:tc>
          <w:tcPr>
            <w:tcW w:w="2560" w:type="dxa"/>
          </w:tcPr>
          <w:p w14:paraId="1264CF88" w14:textId="77777777" w:rsidR="000348D5" w:rsidRDefault="000348D5" w:rsidP="000348D5">
            <w:pPr>
              <w:pStyle w:val="Subtitle"/>
            </w:pPr>
          </w:p>
        </w:tc>
        <w:tc>
          <w:tcPr>
            <w:tcW w:w="6911" w:type="dxa"/>
          </w:tcPr>
          <w:p w14:paraId="407A5F69" w14:textId="77777777" w:rsidR="000348D5" w:rsidRDefault="006B4C7F" w:rsidP="000348D5">
            <w:pPr>
              <w:pStyle w:val="Subtitle"/>
            </w:pPr>
            <w:r>
              <w:t>submission to the Victorian consultation into legislative options to implement a ban on conversion practices</w:t>
            </w:r>
          </w:p>
        </w:tc>
      </w:tr>
    </w:tbl>
    <w:p w14:paraId="0AE4B8FE" w14:textId="77777777" w:rsidR="005375D5" w:rsidRPr="00951964" w:rsidRDefault="005375D5" w:rsidP="00951964"/>
    <w:p w14:paraId="039992B0" w14:textId="77777777" w:rsidR="008D531D" w:rsidRDefault="008D531D" w:rsidP="00CA34DF">
      <w:pPr>
        <w:sectPr w:rsidR="008D531D" w:rsidSect="000348D5">
          <w:headerReference w:type="default" r:id="rId11"/>
          <w:footerReference w:type="default" r:id="rId12"/>
          <w:pgSz w:w="11907" w:h="16840" w:code="9"/>
          <w:pgMar w:top="1644" w:right="1021" w:bottom="360" w:left="1985" w:header="709" w:footer="0" w:gutter="0"/>
          <w:cols w:space="708"/>
          <w:docGrid w:linePitch="360"/>
        </w:sectPr>
      </w:pPr>
    </w:p>
    <w:p w14:paraId="359D1612" w14:textId="77777777" w:rsidR="00BB79D2" w:rsidRDefault="00BB79D2" w:rsidP="00BB79D2">
      <w:pPr>
        <w:pStyle w:val="TOCHeading"/>
      </w:pPr>
      <w:r>
        <w:lastRenderedPageBreak/>
        <w:t>Contents</w:t>
      </w:r>
    </w:p>
    <w:p w14:paraId="37167F5D" w14:textId="167818E4" w:rsidR="00300CDA" w:rsidRDefault="00BB79D2">
      <w:pPr>
        <w:pStyle w:val="TOC1"/>
        <w:tabs>
          <w:tab w:val="right" w:leader="dot" w:pos="8891"/>
        </w:tabs>
        <w:rPr>
          <w:rFonts w:eastAsiaTheme="minorEastAsia"/>
          <w:noProof/>
          <w:spacing w:val="0"/>
          <w:sz w:val="22"/>
          <w:lang w:eastAsia="en-AU"/>
        </w:rPr>
      </w:pPr>
      <w:r>
        <w:fldChar w:fldCharType="begin"/>
      </w:r>
      <w:r>
        <w:instrText xml:space="preserve"> TOC \o "1-2" \h \z \u </w:instrText>
      </w:r>
      <w:r>
        <w:fldChar w:fldCharType="separate"/>
      </w:r>
      <w:hyperlink w:anchor="_Toc27749607" w:history="1">
        <w:r w:rsidR="00300CDA" w:rsidRPr="000E427D">
          <w:rPr>
            <w:rStyle w:val="Hyperlink"/>
            <w:noProof/>
          </w:rPr>
          <w:t>Summary of our position</w:t>
        </w:r>
        <w:r w:rsidR="00300CDA">
          <w:rPr>
            <w:noProof/>
            <w:webHidden/>
          </w:rPr>
          <w:tab/>
        </w:r>
        <w:r w:rsidR="00300CDA">
          <w:rPr>
            <w:noProof/>
            <w:webHidden/>
          </w:rPr>
          <w:fldChar w:fldCharType="begin"/>
        </w:r>
        <w:r w:rsidR="00300CDA">
          <w:rPr>
            <w:noProof/>
            <w:webHidden/>
          </w:rPr>
          <w:instrText xml:space="preserve"> PAGEREF _Toc27749607 \h </w:instrText>
        </w:r>
        <w:r w:rsidR="00300CDA">
          <w:rPr>
            <w:noProof/>
            <w:webHidden/>
          </w:rPr>
        </w:r>
        <w:r w:rsidR="00300CDA">
          <w:rPr>
            <w:noProof/>
            <w:webHidden/>
          </w:rPr>
          <w:fldChar w:fldCharType="separate"/>
        </w:r>
        <w:r w:rsidR="00A725C8">
          <w:rPr>
            <w:noProof/>
            <w:webHidden/>
          </w:rPr>
          <w:t>2</w:t>
        </w:r>
        <w:r w:rsidR="00300CDA">
          <w:rPr>
            <w:noProof/>
            <w:webHidden/>
          </w:rPr>
          <w:fldChar w:fldCharType="end"/>
        </w:r>
      </w:hyperlink>
    </w:p>
    <w:p w14:paraId="7520F53D" w14:textId="6B85C29A" w:rsidR="00300CDA" w:rsidRDefault="00300CDA">
      <w:pPr>
        <w:pStyle w:val="TOC1"/>
        <w:tabs>
          <w:tab w:val="left" w:pos="440"/>
          <w:tab w:val="right" w:leader="dot" w:pos="8891"/>
        </w:tabs>
        <w:rPr>
          <w:rFonts w:eastAsiaTheme="minorEastAsia"/>
          <w:noProof/>
          <w:spacing w:val="0"/>
          <w:sz w:val="22"/>
          <w:lang w:eastAsia="en-AU"/>
        </w:rPr>
      </w:pPr>
      <w:hyperlink w:anchor="_Toc27749608" w:history="1">
        <w:r w:rsidRPr="000E427D">
          <w:rPr>
            <w:rStyle w:val="Hyperlink"/>
            <w:noProof/>
          </w:rPr>
          <w:t>1.</w:t>
        </w:r>
        <w:r>
          <w:rPr>
            <w:rFonts w:eastAsiaTheme="minorEastAsia"/>
            <w:noProof/>
            <w:spacing w:val="0"/>
            <w:sz w:val="22"/>
            <w:lang w:eastAsia="en-AU"/>
          </w:rPr>
          <w:tab/>
        </w:r>
        <w:r w:rsidRPr="000E427D">
          <w:rPr>
            <w:rStyle w:val="Hyperlink"/>
            <w:noProof/>
          </w:rPr>
          <w:t>What is banned?</w:t>
        </w:r>
        <w:r>
          <w:rPr>
            <w:noProof/>
            <w:webHidden/>
          </w:rPr>
          <w:tab/>
        </w:r>
        <w:r>
          <w:rPr>
            <w:noProof/>
            <w:webHidden/>
          </w:rPr>
          <w:fldChar w:fldCharType="begin"/>
        </w:r>
        <w:r>
          <w:rPr>
            <w:noProof/>
            <w:webHidden/>
          </w:rPr>
          <w:instrText xml:space="preserve"> PAGEREF _Toc27749608 \h </w:instrText>
        </w:r>
        <w:r>
          <w:rPr>
            <w:noProof/>
            <w:webHidden/>
          </w:rPr>
        </w:r>
        <w:r>
          <w:rPr>
            <w:noProof/>
            <w:webHidden/>
          </w:rPr>
          <w:fldChar w:fldCharType="separate"/>
        </w:r>
        <w:r w:rsidR="00A725C8">
          <w:rPr>
            <w:noProof/>
            <w:webHidden/>
          </w:rPr>
          <w:t>5</w:t>
        </w:r>
        <w:r>
          <w:rPr>
            <w:noProof/>
            <w:webHidden/>
          </w:rPr>
          <w:fldChar w:fldCharType="end"/>
        </w:r>
      </w:hyperlink>
    </w:p>
    <w:p w14:paraId="0C6D18EE" w14:textId="3B066954" w:rsidR="00300CDA" w:rsidRDefault="00300CDA">
      <w:pPr>
        <w:pStyle w:val="TOC2"/>
        <w:rPr>
          <w:rFonts w:eastAsiaTheme="minorEastAsia"/>
          <w:noProof/>
          <w:spacing w:val="0"/>
          <w:sz w:val="22"/>
          <w:lang w:eastAsia="en-AU"/>
        </w:rPr>
      </w:pPr>
      <w:hyperlink w:anchor="_Toc27749609" w:history="1">
        <w:r w:rsidRPr="000E427D">
          <w:rPr>
            <w:rStyle w:val="Hyperlink"/>
            <w:noProof/>
          </w:rPr>
          <w:t>(a)</w:t>
        </w:r>
        <w:r>
          <w:rPr>
            <w:rFonts w:eastAsiaTheme="minorEastAsia"/>
            <w:noProof/>
            <w:spacing w:val="0"/>
            <w:sz w:val="22"/>
            <w:lang w:eastAsia="en-AU"/>
          </w:rPr>
          <w:tab/>
        </w:r>
        <w:r w:rsidRPr="000E427D">
          <w:rPr>
            <w:rStyle w:val="Hyperlink"/>
            <w:noProof/>
          </w:rPr>
          <w:t>Health, education and welfare service settings</w:t>
        </w:r>
        <w:r>
          <w:rPr>
            <w:noProof/>
            <w:webHidden/>
          </w:rPr>
          <w:tab/>
        </w:r>
        <w:r>
          <w:rPr>
            <w:noProof/>
            <w:webHidden/>
          </w:rPr>
          <w:fldChar w:fldCharType="begin"/>
        </w:r>
        <w:r>
          <w:rPr>
            <w:noProof/>
            <w:webHidden/>
          </w:rPr>
          <w:instrText xml:space="preserve"> PAGEREF _Toc27749609 \h </w:instrText>
        </w:r>
        <w:r>
          <w:rPr>
            <w:noProof/>
            <w:webHidden/>
          </w:rPr>
        </w:r>
        <w:r>
          <w:rPr>
            <w:noProof/>
            <w:webHidden/>
          </w:rPr>
          <w:fldChar w:fldCharType="separate"/>
        </w:r>
        <w:r w:rsidR="00A725C8">
          <w:rPr>
            <w:noProof/>
            <w:webHidden/>
          </w:rPr>
          <w:t>5</w:t>
        </w:r>
        <w:r>
          <w:rPr>
            <w:noProof/>
            <w:webHidden/>
          </w:rPr>
          <w:fldChar w:fldCharType="end"/>
        </w:r>
      </w:hyperlink>
    </w:p>
    <w:p w14:paraId="50620800" w14:textId="261AE37F" w:rsidR="00300CDA" w:rsidRDefault="00300CDA">
      <w:pPr>
        <w:pStyle w:val="TOC2"/>
        <w:rPr>
          <w:rFonts w:eastAsiaTheme="minorEastAsia"/>
          <w:noProof/>
          <w:spacing w:val="0"/>
          <w:sz w:val="22"/>
          <w:lang w:eastAsia="en-AU"/>
        </w:rPr>
      </w:pPr>
      <w:hyperlink w:anchor="_Toc27749610" w:history="1">
        <w:r w:rsidRPr="000E427D">
          <w:rPr>
            <w:rStyle w:val="Hyperlink"/>
            <w:noProof/>
          </w:rPr>
          <w:t>(b)</w:t>
        </w:r>
        <w:r>
          <w:rPr>
            <w:rFonts w:eastAsiaTheme="minorEastAsia"/>
            <w:noProof/>
            <w:spacing w:val="0"/>
            <w:sz w:val="22"/>
            <w:lang w:eastAsia="en-AU"/>
          </w:rPr>
          <w:tab/>
        </w:r>
        <w:r w:rsidRPr="000E427D">
          <w:rPr>
            <w:rStyle w:val="Hyperlink"/>
            <w:noProof/>
          </w:rPr>
          <w:t>Other settings</w:t>
        </w:r>
        <w:r>
          <w:rPr>
            <w:noProof/>
            <w:webHidden/>
          </w:rPr>
          <w:tab/>
        </w:r>
        <w:r>
          <w:rPr>
            <w:noProof/>
            <w:webHidden/>
          </w:rPr>
          <w:fldChar w:fldCharType="begin"/>
        </w:r>
        <w:r>
          <w:rPr>
            <w:noProof/>
            <w:webHidden/>
          </w:rPr>
          <w:instrText xml:space="preserve"> PAGEREF _Toc27749610 \h </w:instrText>
        </w:r>
        <w:r>
          <w:rPr>
            <w:noProof/>
            <w:webHidden/>
          </w:rPr>
        </w:r>
        <w:r>
          <w:rPr>
            <w:noProof/>
            <w:webHidden/>
          </w:rPr>
          <w:fldChar w:fldCharType="separate"/>
        </w:r>
        <w:r w:rsidR="00A725C8">
          <w:rPr>
            <w:noProof/>
            <w:webHidden/>
          </w:rPr>
          <w:t>8</w:t>
        </w:r>
        <w:r>
          <w:rPr>
            <w:noProof/>
            <w:webHidden/>
          </w:rPr>
          <w:fldChar w:fldCharType="end"/>
        </w:r>
      </w:hyperlink>
    </w:p>
    <w:p w14:paraId="5BD9C1EA" w14:textId="51F778CB" w:rsidR="00300CDA" w:rsidRDefault="00300CDA">
      <w:pPr>
        <w:pStyle w:val="TOC2"/>
        <w:rPr>
          <w:rFonts w:eastAsiaTheme="minorEastAsia"/>
          <w:noProof/>
          <w:spacing w:val="0"/>
          <w:sz w:val="22"/>
          <w:lang w:eastAsia="en-AU"/>
        </w:rPr>
      </w:pPr>
      <w:hyperlink w:anchor="_Toc27749611" w:history="1">
        <w:r w:rsidRPr="000E427D">
          <w:rPr>
            <w:rStyle w:val="Hyperlink"/>
            <w:noProof/>
          </w:rPr>
          <w:t>(c)</w:t>
        </w:r>
        <w:r>
          <w:rPr>
            <w:rFonts w:eastAsiaTheme="minorEastAsia"/>
            <w:noProof/>
            <w:spacing w:val="0"/>
            <w:sz w:val="22"/>
            <w:lang w:eastAsia="en-AU"/>
          </w:rPr>
          <w:tab/>
        </w:r>
        <w:r w:rsidRPr="000E427D">
          <w:rPr>
            <w:rStyle w:val="Hyperlink"/>
            <w:noProof/>
          </w:rPr>
          <w:t>SOGI conversion practices outside of jurisdiction</w:t>
        </w:r>
        <w:r>
          <w:rPr>
            <w:noProof/>
            <w:webHidden/>
          </w:rPr>
          <w:tab/>
        </w:r>
        <w:r>
          <w:rPr>
            <w:noProof/>
            <w:webHidden/>
          </w:rPr>
          <w:fldChar w:fldCharType="begin"/>
        </w:r>
        <w:r>
          <w:rPr>
            <w:noProof/>
            <w:webHidden/>
          </w:rPr>
          <w:instrText xml:space="preserve"> PAGEREF _Toc27749611 \h </w:instrText>
        </w:r>
        <w:r>
          <w:rPr>
            <w:noProof/>
            <w:webHidden/>
          </w:rPr>
        </w:r>
        <w:r>
          <w:rPr>
            <w:noProof/>
            <w:webHidden/>
          </w:rPr>
          <w:fldChar w:fldCharType="separate"/>
        </w:r>
        <w:r w:rsidR="00A725C8">
          <w:rPr>
            <w:noProof/>
            <w:webHidden/>
          </w:rPr>
          <w:t>9</w:t>
        </w:r>
        <w:r>
          <w:rPr>
            <w:noProof/>
            <w:webHidden/>
          </w:rPr>
          <w:fldChar w:fldCharType="end"/>
        </w:r>
      </w:hyperlink>
    </w:p>
    <w:p w14:paraId="4BF106A6" w14:textId="7B49A8D1" w:rsidR="00300CDA" w:rsidRDefault="00300CDA">
      <w:pPr>
        <w:pStyle w:val="TOC1"/>
        <w:tabs>
          <w:tab w:val="left" w:pos="440"/>
          <w:tab w:val="right" w:leader="dot" w:pos="8891"/>
        </w:tabs>
        <w:rPr>
          <w:rFonts w:eastAsiaTheme="minorEastAsia"/>
          <w:noProof/>
          <w:spacing w:val="0"/>
          <w:sz w:val="22"/>
          <w:lang w:eastAsia="en-AU"/>
        </w:rPr>
      </w:pPr>
      <w:hyperlink w:anchor="_Toc27749612" w:history="1">
        <w:r w:rsidRPr="000E427D">
          <w:rPr>
            <w:rStyle w:val="Hyperlink"/>
            <w:noProof/>
          </w:rPr>
          <w:t>2.</w:t>
        </w:r>
        <w:r>
          <w:rPr>
            <w:rFonts w:eastAsiaTheme="minorEastAsia"/>
            <w:noProof/>
            <w:spacing w:val="0"/>
            <w:sz w:val="22"/>
            <w:lang w:eastAsia="en-AU"/>
          </w:rPr>
          <w:tab/>
        </w:r>
        <w:r w:rsidRPr="000E427D">
          <w:rPr>
            <w:rStyle w:val="Hyperlink"/>
            <w:noProof/>
          </w:rPr>
          <w:t>Who is protected?</w:t>
        </w:r>
        <w:r>
          <w:rPr>
            <w:noProof/>
            <w:webHidden/>
          </w:rPr>
          <w:tab/>
        </w:r>
        <w:r>
          <w:rPr>
            <w:noProof/>
            <w:webHidden/>
          </w:rPr>
          <w:fldChar w:fldCharType="begin"/>
        </w:r>
        <w:r>
          <w:rPr>
            <w:noProof/>
            <w:webHidden/>
          </w:rPr>
          <w:instrText xml:space="preserve"> PAGEREF _Toc27749612 \h </w:instrText>
        </w:r>
        <w:r>
          <w:rPr>
            <w:noProof/>
            <w:webHidden/>
          </w:rPr>
        </w:r>
        <w:r>
          <w:rPr>
            <w:noProof/>
            <w:webHidden/>
          </w:rPr>
          <w:fldChar w:fldCharType="separate"/>
        </w:r>
        <w:r w:rsidR="00A725C8">
          <w:rPr>
            <w:noProof/>
            <w:webHidden/>
          </w:rPr>
          <w:t>9</w:t>
        </w:r>
        <w:r>
          <w:rPr>
            <w:noProof/>
            <w:webHidden/>
          </w:rPr>
          <w:fldChar w:fldCharType="end"/>
        </w:r>
      </w:hyperlink>
    </w:p>
    <w:p w14:paraId="7898E392" w14:textId="160620CA" w:rsidR="00300CDA" w:rsidRDefault="00300CDA">
      <w:pPr>
        <w:pStyle w:val="TOC1"/>
        <w:tabs>
          <w:tab w:val="left" w:pos="440"/>
          <w:tab w:val="right" w:leader="dot" w:pos="8891"/>
        </w:tabs>
        <w:rPr>
          <w:rFonts w:eastAsiaTheme="minorEastAsia"/>
          <w:noProof/>
          <w:spacing w:val="0"/>
          <w:sz w:val="22"/>
          <w:lang w:eastAsia="en-AU"/>
        </w:rPr>
      </w:pPr>
      <w:hyperlink w:anchor="_Toc27749613" w:history="1">
        <w:r w:rsidRPr="000E427D">
          <w:rPr>
            <w:rStyle w:val="Hyperlink"/>
            <w:noProof/>
          </w:rPr>
          <w:t>3.</w:t>
        </w:r>
        <w:r>
          <w:rPr>
            <w:rFonts w:eastAsiaTheme="minorEastAsia"/>
            <w:noProof/>
            <w:spacing w:val="0"/>
            <w:sz w:val="22"/>
            <w:lang w:eastAsia="en-AU"/>
          </w:rPr>
          <w:tab/>
        </w:r>
        <w:r w:rsidRPr="000E427D">
          <w:rPr>
            <w:rStyle w:val="Hyperlink"/>
            <w:noProof/>
          </w:rPr>
          <w:t>Who is regulated?</w:t>
        </w:r>
        <w:r>
          <w:rPr>
            <w:noProof/>
            <w:webHidden/>
          </w:rPr>
          <w:tab/>
        </w:r>
        <w:r>
          <w:rPr>
            <w:noProof/>
            <w:webHidden/>
          </w:rPr>
          <w:fldChar w:fldCharType="begin"/>
        </w:r>
        <w:r>
          <w:rPr>
            <w:noProof/>
            <w:webHidden/>
          </w:rPr>
          <w:instrText xml:space="preserve"> PAGEREF _Toc27749613 \h </w:instrText>
        </w:r>
        <w:r>
          <w:rPr>
            <w:noProof/>
            <w:webHidden/>
          </w:rPr>
        </w:r>
        <w:r>
          <w:rPr>
            <w:noProof/>
            <w:webHidden/>
          </w:rPr>
          <w:fldChar w:fldCharType="separate"/>
        </w:r>
        <w:r w:rsidR="00A725C8">
          <w:rPr>
            <w:noProof/>
            <w:webHidden/>
          </w:rPr>
          <w:t>10</w:t>
        </w:r>
        <w:r>
          <w:rPr>
            <w:noProof/>
            <w:webHidden/>
          </w:rPr>
          <w:fldChar w:fldCharType="end"/>
        </w:r>
      </w:hyperlink>
    </w:p>
    <w:p w14:paraId="1C5F4D01" w14:textId="09B2F0FD" w:rsidR="00300CDA" w:rsidRDefault="00300CDA">
      <w:pPr>
        <w:pStyle w:val="TOC1"/>
        <w:tabs>
          <w:tab w:val="left" w:pos="440"/>
          <w:tab w:val="right" w:leader="dot" w:pos="8891"/>
        </w:tabs>
        <w:rPr>
          <w:rFonts w:eastAsiaTheme="minorEastAsia"/>
          <w:noProof/>
          <w:spacing w:val="0"/>
          <w:sz w:val="22"/>
          <w:lang w:eastAsia="en-AU"/>
        </w:rPr>
      </w:pPr>
      <w:hyperlink w:anchor="_Toc27749614" w:history="1">
        <w:r w:rsidRPr="000E427D">
          <w:rPr>
            <w:rStyle w:val="Hyperlink"/>
            <w:noProof/>
          </w:rPr>
          <w:t>4.</w:t>
        </w:r>
        <w:r>
          <w:rPr>
            <w:rFonts w:eastAsiaTheme="minorEastAsia"/>
            <w:noProof/>
            <w:spacing w:val="0"/>
            <w:sz w:val="22"/>
            <w:lang w:eastAsia="en-AU"/>
          </w:rPr>
          <w:tab/>
        </w:r>
        <w:r w:rsidRPr="000E427D">
          <w:rPr>
            <w:rStyle w:val="Hyperlink"/>
            <w:noProof/>
          </w:rPr>
          <w:t>If only professionals are regulated, must the conversion practices be within the scope of their professional practice?</w:t>
        </w:r>
        <w:r>
          <w:rPr>
            <w:noProof/>
            <w:webHidden/>
          </w:rPr>
          <w:tab/>
        </w:r>
        <w:r>
          <w:rPr>
            <w:noProof/>
            <w:webHidden/>
          </w:rPr>
          <w:fldChar w:fldCharType="begin"/>
        </w:r>
        <w:r>
          <w:rPr>
            <w:noProof/>
            <w:webHidden/>
          </w:rPr>
          <w:instrText xml:space="preserve"> PAGEREF _Toc27749614 \h </w:instrText>
        </w:r>
        <w:r>
          <w:rPr>
            <w:noProof/>
            <w:webHidden/>
          </w:rPr>
        </w:r>
        <w:r>
          <w:rPr>
            <w:noProof/>
            <w:webHidden/>
          </w:rPr>
          <w:fldChar w:fldCharType="separate"/>
        </w:r>
        <w:r w:rsidR="00A725C8">
          <w:rPr>
            <w:noProof/>
            <w:webHidden/>
          </w:rPr>
          <w:t>11</w:t>
        </w:r>
        <w:r>
          <w:rPr>
            <w:noProof/>
            <w:webHidden/>
          </w:rPr>
          <w:fldChar w:fldCharType="end"/>
        </w:r>
      </w:hyperlink>
    </w:p>
    <w:p w14:paraId="0F19E7AC" w14:textId="472ACFC5" w:rsidR="00300CDA" w:rsidRDefault="00300CDA">
      <w:pPr>
        <w:pStyle w:val="TOC1"/>
        <w:tabs>
          <w:tab w:val="left" w:pos="440"/>
          <w:tab w:val="right" w:leader="dot" w:pos="8891"/>
        </w:tabs>
        <w:rPr>
          <w:rFonts w:eastAsiaTheme="minorEastAsia"/>
          <w:noProof/>
          <w:spacing w:val="0"/>
          <w:sz w:val="22"/>
          <w:lang w:eastAsia="en-AU"/>
        </w:rPr>
      </w:pPr>
      <w:hyperlink w:anchor="_Toc27749615" w:history="1">
        <w:r w:rsidRPr="000E427D">
          <w:rPr>
            <w:rStyle w:val="Hyperlink"/>
            <w:noProof/>
          </w:rPr>
          <w:t>5.</w:t>
        </w:r>
        <w:r>
          <w:rPr>
            <w:rFonts w:eastAsiaTheme="minorEastAsia"/>
            <w:noProof/>
            <w:spacing w:val="0"/>
            <w:sz w:val="22"/>
            <w:lang w:eastAsia="en-AU"/>
          </w:rPr>
          <w:tab/>
        </w:r>
        <w:r w:rsidRPr="000E427D">
          <w:rPr>
            <w:rStyle w:val="Hyperlink"/>
            <w:noProof/>
          </w:rPr>
          <w:t>Should conversion practices be regulated by the criminal law or the civil law or both?</w:t>
        </w:r>
        <w:r>
          <w:rPr>
            <w:noProof/>
            <w:webHidden/>
          </w:rPr>
          <w:tab/>
        </w:r>
        <w:r>
          <w:rPr>
            <w:noProof/>
            <w:webHidden/>
          </w:rPr>
          <w:fldChar w:fldCharType="begin"/>
        </w:r>
        <w:r>
          <w:rPr>
            <w:noProof/>
            <w:webHidden/>
          </w:rPr>
          <w:instrText xml:space="preserve"> PAGEREF _Toc27749615 \h </w:instrText>
        </w:r>
        <w:r>
          <w:rPr>
            <w:noProof/>
            <w:webHidden/>
          </w:rPr>
        </w:r>
        <w:r>
          <w:rPr>
            <w:noProof/>
            <w:webHidden/>
          </w:rPr>
          <w:fldChar w:fldCharType="separate"/>
        </w:r>
        <w:r w:rsidR="00A725C8">
          <w:rPr>
            <w:noProof/>
            <w:webHidden/>
          </w:rPr>
          <w:t>11</w:t>
        </w:r>
        <w:r>
          <w:rPr>
            <w:noProof/>
            <w:webHidden/>
          </w:rPr>
          <w:fldChar w:fldCharType="end"/>
        </w:r>
      </w:hyperlink>
    </w:p>
    <w:p w14:paraId="6FD96FD2" w14:textId="2D7DEED0" w:rsidR="00300CDA" w:rsidRDefault="00300CDA">
      <w:pPr>
        <w:pStyle w:val="TOC2"/>
        <w:rPr>
          <w:rFonts w:eastAsiaTheme="minorEastAsia"/>
          <w:noProof/>
          <w:spacing w:val="0"/>
          <w:sz w:val="22"/>
          <w:lang w:eastAsia="en-AU"/>
        </w:rPr>
      </w:pPr>
      <w:hyperlink w:anchor="_Toc27749616" w:history="1">
        <w:r w:rsidRPr="000E427D">
          <w:rPr>
            <w:rStyle w:val="Hyperlink"/>
            <w:noProof/>
          </w:rPr>
          <w:t>(a)</w:t>
        </w:r>
        <w:r>
          <w:rPr>
            <w:rFonts w:eastAsiaTheme="minorEastAsia"/>
            <w:noProof/>
            <w:spacing w:val="0"/>
            <w:sz w:val="22"/>
            <w:lang w:eastAsia="en-AU"/>
          </w:rPr>
          <w:tab/>
        </w:r>
        <w:r w:rsidRPr="000E427D">
          <w:rPr>
            <w:rStyle w:val="Hyperlink"/>
            <w:noProof/>
          </w:rPr>
          <w:t>Redress scheme for survivors</w:t>
        </w:r>
        <w:r>
          <w:rPr>
            <w:noProof/>
            <w:webHidden/>
          </w:rPr>
          <w:tab/>
        </w:r>
        <w:r>
          <w:rPr>
            <w:noProof/>
            <w:webHidden/>
          </w:rPr>
          <w:fldChar w:fldCharType="begin"/>
        </w:r>
        <w:r>
          <w:rPr>
            <w:noProof/>
            <w:webHidden/>
          </w:rPr>
          <w:instrText xml:space="preserve"> PAGEREF _Toc27749616 \h </w:instrText>
        </w:r>
        <w:r>
          <w:rPr>
            <w:noProof/>
            <w:webHidden/>
          </w:rPr>
        </w:r>
        <w:r>
          <w:rPr>
            <w:noProof/>
            <w:webHidden/>
          </w:rPr>
          <w:fldChar w:fldCharType="separate"/>
        </w:r>
        <w:r w:rsidR="00A725C8">
          <w:rPr>
            <w:noProof/>
            <w:webHidden/>
          </w:rPr>
          <w:t>12</w:t>
        </w:r>
        <w:r>
          <w:rPr>
            <w:noProof/>
            <w:webHidden/>
          </w:rPr>
          <w:fldChar w:fldCharType="end"/>
        </w:r>
      </w:hyperlink>
    </w:p>
    <w:p w14:paraId="03A3D04A" w14:textId="41D3399B" w:rsidR="00300CDA" w:rsidRDefault="00300CDA">
      <w:pPr>
        <w:pStyle w:val="TOC2"/>
        <w:rPr>
          <w:rFonts w:eastAsiaTheme="minorEastAsia"/>
          <w:noProof/>
          <w:spacing w:val="0"/>
          <w:sz w:val="22"/>
          <w:lang w:eastAsia="en-AU"/>
        </w:rPr>
      </w:pPr>
      <w:hyperlink w:anchor="_Toc27749617" w:history="1">
        <w:r w:rsidRPr="000E427D">
          <w:rPr>
            <w:rStyle w:val="Hyperlink"/>
            <w:noProof/>
          </w:rPr>
          <w:t>(b)</w:t>
        </w:r>
        <w:r>
          <w:rPr>
            <w:rFonts w:eastAsiaTheme="minorEastAsia"/>
            <w:noProof/>
            <w:spacing w:val="0"/>
            <w:sz w:val="22"/>
            <w:lang w:eastAsia="en-AU"/>
          </w:rPr>
          <w:tab/>
        </w:r>
        <w:r w:rsidRPr="000E427D">
          <w:rPr>
            <w:rStyle w:val="Hyperlink"/>
            <w:noProof/>
          </w:rPr>
          <w:t>Consequences for relevant persons in health, education and welfare services settings</w:t>
        </w:r>
        <w:r>
          <w:rPr>
            <w:noProof/>
            <w:webHidden/>
          </w:rPr>
          <w:tab/>
        </w:r>
        <w:r>
          <w:rPr>
            <w:noProof/>
            <w:webHidden/>
          </w:rPr>
          <w:fldChar w:fldCharType="begin"/>
        </w:r>
        <w:r>
          <w:rPr>
            <w:noProof/>
            <w:webHidden/>
          </w:rPr>
          <w:instrText xml:space="preserve"> PAGEREF _Toc27749617 \h </w:instrText>
        </w:r>
        <w:r>
          <w:rPr>
            <w:noProof/>
            <w:webHidden/>
          </w:rPr>
        </w:r>
        <w:r>
          <w:rPr>
            <w:noProof/>
            <w:webHidden/>
          </w:rPr>
          <w:fldChar w:fldCharType="separate"/>
        </w:r>
        <w:r w:rsidR="00A725C8">
          <w:rPr>
            <w:noProof/>
            <w:webHidden/>
          </w:rPr>
          <w:t>13</w:t>
        </w:r>
        <w:r>
          <w:rPr>
            <w:noProof/>
            <w:webHidden/>
          </w:rPr>
          <w:fldChar w:fldCharType="end"/>
        </w:r>
      </w:hyperlink>
    </w:p>
    <w:p w14:paraId="3E7A6A3E" w14:textId="76078B85" w:rsidR="00300CDA" w:rsidRDefault="00300CDA">
      <w:pPr>
        <w:pStyle w:val="TOC2"/>
        <w:rPr>
          <w:rFonts w:eastAsiaTheme="minorEastAsia"/>
          <w:noProof/>
          <w:spacing w:val="0"/>
          <w:sz w:val="22"/>
          <w:lang w:eastAsia="en-AU"/>
        </w:rPr>
      </w:pPr>
      <w:hyperlink w:anchor="_Toc27749618" w:history="1">
        <w:r w:rsidRPr="000E427D">
          <w:rPr>
            <w:rStyle w:val="Hyperlink"/>
            <w:noProof/>
          </w:rPr>
          <w:t>(c)</w:t>
        </w:r>
        <w:r>
          <w:rPr>
            <w:rFonts w:eastAsiaTheme="minorEastAsia"/>
            <w:noProof/>
            <w:spacing w:val="0"/>
            <w:sz w:val="22"/>
            <w:lang w:eastAsia="en-AU"/>
          </w:rPr>
          <w:tab/>
        </w:r>
        <w:r w:rsidRPr="000E427D">
          <w:rPr>
            <w:rStyle w:val="Hyperlink"/>
            <w:noProof/>
          </w:rPr>
          <w:t>Protective orders and information sharing</w:t>
        </w:r>
        <w:r>
          <w:rPr>
            <w:noProof/>
            <w:webHidden/>
          </w:rPr>
          <w:tab/>
        </w:r>
        <w:r>
          <w:rPr>
            <w:noProof/>
            <w:webHidden/>
          </w:rPr>
          <w:fldChar w:fldCharType="begin"/>
        </w:r>
        <w:r>
          <w:rPr>
            <w:noProof/>
            <w:webHidden/>
          </w:rPr>
          <w:instrText xml:space="preserve"> PAGEREF _Toc27749618 \h </w:instrText>
        </w:r>
        <w:r>
          <w:rPr>
            <w:noProof/>
            <w:webHidden/>
          </w:rPr>
        </w:r>
        <w:r>
          <w:rPr>
            <w:noProof/>
            <w:webHidden/>
          </w:rPr>
          <w:fldChar w:fldCharType="separate"/>
        </w:r>
        <w:r w:rsidR="00A725C8">
          <w:rPr>
            <w:noProof/>
            <w:webHidden/>
          </w:rPr>
          <w:t>13</w:t>
        </w:r>
        <w:r>
          <w:rPr>
            <w:noProof/>
            <w:webHidden/>
          </w:rPr>
          <w:fldChar w:fldCharType="end"/>
        </w:r>
      </w:hyperlink>
    </w:p>
    <w:p w14:paraId="794AB1AC" w14:textId="4C88F28B" w:rsidR="00300CDA" w:rsidRDefault="00300CDA">
      <w:pPr>
        <w:pStyle w:val="TOC2"/>
        <w:rPr>
          <w:rFonts w:eastAsiaTheme="minorEastAsia"/>
          <w:noProof/>
          <w:spacing w:val="0"/>
          <w:sz w:val="22"/>
          <w:lang w:eastAsia="en-AU"/>
        </w:rPr>
      </w:pPr>
      <w:hyperlink w:anchor="_Toc27749619" w:history="1">
        <w:r w:rsidRPr="000E427D">
          <w:rPr>
            <w:rStyle w:val="Hyperlink"/>
            <w:noProof/>
          </w:rPr>
          <w:t>(d)</w:t>
        </w:r>
        <w:r>
          <w:rPr>
            <w:rFonts w:eastAsiaTheme="minorEastAsia"/>
            <w:noProof/>
            <w:spacing w:val="0"/>
            <w:sz w:val="22"/>
            <w:lang w:eastAsia="en-AU"/>
          </w:rPr>
          <w:tab/>
        </w:r>
        <w:r w:rsidRPr="000E427D">
          <w:rPr>
            <w:rStyle w:val="Hyperlink"/>
            <w:noProof/>
          </w:rPr>
          <w:t>Penalties for commercialisation of SOGI conversion practices</w:t>
        </w:r>
        <w:r>
          <w:rPr>
            <w:noProof/>
            <w:webHidden/>
          </w:rPr>
          <w:tab/>
        </w:r>
        <w:r>
          <w:rPr>
            <w:noProof/>
            <w:webHidden/>
          </w:rPr>
          <w:fldChar w:fldCharType="begin"/>
        </w:r>
        <w:r>
          <w:rPr>
            <w:noProof/>
            <w:webHidden/>
          </w:rPr>
          <w:instrText xml:space="preserve"> PAGEREF _Toc27749619 \h </w:instrText>
        </w:r>
        <w:r>
          <w:rPr>
            <w:noProof/>
            <w:webHidden/>
          </w:rPr>
        </w:r>
        <w:r>
          <w:rPr>
            <w:noProof/>
            <w:webHidden/>
          </w:rPr>
          <w:fldChar w:fldCharType="separate"/>
        </w:r>
        <w:r w:rsidR="00A725C8">
          <w:rPr>
            <w:noProof/>
            <w:webHidden/>
          </w:rPr>
          <w:t>14</w:t>
        </w:r>
        <w:r>
          <w:rPr>
            <w:noProof/>
            <w:webHidden/>
          </w:rPr>
          <w:fldChar w:fldCharType="end"/>
        </w:r>
      </w:hyperlink>
    </w:p>
    <w:p w14:paraId="418F1BEE" w14:textId="359F1552" w:rsidR="00300CDA" w:rsidRDefault="00300CDA">
      <w:pPr>
        <w:pStyle w:val="TOC2"/>
        <w:rPr>
          <w:rFonts w:eastAsiaTheme="minorEastAsia"/>
          <w:noProof/>
          <w:spacing w:val="0"/>
          <w:sz w:val="22"/>
          <w:lang w:eastAsia="en-AU"/>
        </w:rPr>
      </w:pPr>
      <w:hyperlink w:anchor="_Toc27749620" w:history="1">
        <w:r w:rsidRPr="000E427D">
          <w:rPr>
            <w:rStyle w:val="Hyperlink"/>
            <w:noProof/>
          </w:rPr>
          <w:t>(e)</w:t>
        </w:r>
        <w:r>
          <w:rPr>
            <w:rFonts w:eastAsiaTheme="minorEastAsia"/>
            <w:noProof/>
            <w:spacing w:val="0"/>
            <w:sz w:val="22"/>
            <w:lang w:eastAsia="en-AU"/>
          </w:rPr>
          <w:tab/>
        </w:r>
        <w:r w:rsidRPr="000E427D">
          <w:rPr>
            <w:rStyle w:val="Hyperlink"/>
            <w:noProof/>
          </w:rPr>
          <w:t>Voluntary engagement from religious leaders and organisations</w:t>
        </w:r>
        <w:r>
          <w:rPr>
            <w:noProof/>
            <w:webHidden/>
          </w:rPr>
          <w:tab/>
        </w:r>
        <w:r>
          <w:rPr>
            <w:noProof/>
            <w:webHidden/>
          </w:rPr>
          <w:fldChar w:fldCharType="begin"/>
        </w:r>
        <w:r>
          <w:rPr>
            <w:noProof/>
            <w:webHidden/>
          </w:rPr>
          <w:instrText xml:space="preserve"> PAGEREF _Toc27749620 \h </w:instrText>
        </w:r>
        <w:r>
          <w:rPr>
            <w:noProof/>
            <w:webHidden/>
          </w:rPr>
        </w:r>
        <w:r>
          <w:rPr>
            <w:noProof/>
            <w:webHidden/>
          </w:rPr>
          <w:fldChar w:fldCharType="separate"/>
        </w:r>
        <w:r w:rsidR="00A725C8">
          <w:rPr>
            <w:noProof/>
            <w:webHidden/>
          </w:rPr>
          <w:t>14</w:t>
        </w:r>
        <w:r>
          <w:rPr>
            <w:noProof/>
            <w:webHidden/>
          </w:rPr>
          <w:fldChar w:fldCharType="end"/>
        </w:r>
      </w:hyperlink>
    </w:p>
    <w:p w14:paraId="2A2F4A76" w14:textId="65B60819" w:rsidR="00300CDA" w:rsidRDefault="00300CDA">
      <w:pPr>
        <w:pStyle w:val="TOC2"/>
        <w:rPr>
          <w:rFonts w:eastAsiaTheme="minorEastAsia"/>
          <w:noProof/>
          <w:spacing w:val="0"/>
          <w:sz w:val="22"/>
          <w:lang w:eastAsia="en-AU"/>
        </w:rPr>
      </w:pPr>
      <w:hyperlink w:anchor="_Toc27749621" w:history="1">
        <w:r w:rsidRPr="000E427D">
          <w:rPr>
            <w:rStyle w:val="Hyperlink"/>
            <w:noProof/>
          </w:rPr>
          <w:t>(f)</w:t>
        </w:r>
        <w:r>
          <w:rPr>
            <w:rFonts w:eastAsiaTheme="minorEastAsia"/>
            <w:noProof/>
            <w:spacing w:val="0"/>
            <w:sz w:val="22"/>
            <w:lang w:eastAsia="en-AU"/>
          </w:rPr>
          <w:tab/>
        </w:r>
        <w:r w:rsidRPr="000E427D">
          <w:rPr>
            <w:rStyle w:val="Hyperlink"/>
            <w:noProof/>
          </w:rPr>
          <w:t>Training</w:t>
        </w:r>
        <w:r>
          <w:rPr>
            <w:noProof/>
            <w:webHidden/>
          </w:rPr>
          <w:tab/>
        </w:r>
        <w:r>
          <w:rPr>
            <w:noProof/>
            <w:webHidden/>
          </w:rPr>
          <w:fldChar w:fldCharType="begin"/>
        </w:r>
        <w:r>
          <w:rPr>
            <w:noProof/>
            <w:webHidden/>
          </w:rPr>
          <w:instrText xml:space="preserve"> PAGEREF _Toc27749621 \h </w:instrText>
        </w:r>
        <w:r>
          <w:rPr>
            <w:noProof/>
            <w:webHidden/>
          </w:rPr>
        </w:r>
        <w:r>
          <w:rPr>
            <w:noProof/>
            <w:webHidden/>
          </w:rPr>
          <w:fldChar w:fldCharType="separate"/>
        </w:r>
        <w:r w:rsidR="00A725C8">
          <w:rPr>
            <w:noProof/>
            <w:webHidden/>
          </w:rPr>
          <w:t>15</w:t>
        </w:r>
        <w:r>
          <w:rPr>
            <w:noProof/>
            <w:webHidden/>
          </w:rPr>
          <w:fldChar w:fldCharType="end"/>
        </w:r>
      </w:hyperlink>
    </w:p>
    <w:p w14:paraId="734851E7" w14:textId="220E27B5" w:rsidR="00300CDA" w:rsidRDefault="00300CDA">
      <w:pPr>
        <w:pStyle w:val="TOC1"/>
        <w:tabs>
          <w:tab w:val="left" w:pos="440"/>
          <w:tab w:val="right" w:leader="dot" w:pos="8891"/>
        </w:tabs>
        <w:rPr>
          <w:rFonts w:eastAsiaTheme="minorEastAsia"/>
          <w:noProof/>
          <w:spacing w:val="0"/>
          <w:sz w:val="22"/>
          <w:lang w:eastAsia="en-AU"/>
        </w:rPr>
      </w:pPr>
      <w:hyperlink w:anchor="_Toc27749622" w:history="1">
        <w:r w:rsidRPr="000E427D">
          <w:rPr>
            <w:rStyle w:val="Hyperlink"/>
            <w:noProof/>
          </w:rPr>
          <w:t>6.</w:t>
        </w:r>
        <w:r>
          <w:rPr>
            <w:rFonts w:eastAsiaTheme="minorEastAsia"/>
            <w:noProof/>
            <w:spacing w:val="0"/>
            <w:sz w:val="22"/>
            <w:lang w:eastAsia="en-AU"/>
          </w:rPr>
          <w:tab/>
        </w:r>
        <w:r w:rsidRPr="000E427D">
          <w:rPr>
            <w:rStyle w:val="Hyperlink"/>
            <w:noProof/>
          </w:rPr>
          <w:t>How do we address concern about freedom of religion?</w:t>
        </w:r>
        <w:r>
          <w:rPr>
            <w:noProof/>
            <w:webHidden/>
          </w:rPr>
          <w:tab/>
        </w:r>
        <w:r>
          <w:rPr>
            <w:noProof/>
            <w:webHidden/>
          </w:rPr>
          <w:fldChar w:fldCharType="begin"/>
        </w:r>
        <w:r>
          <w:rPr>
            <w:noProof/>
            <w:webHidden/>
          </w:rPr>
          <w:instrText xml:space="preserve"> PAGEREF _Toc27749622 \h </w:instrText>
        </w:r>
        <w:r>
          <w:rPr>
            <w:noProof/>
            <w:webHidden/>
          </w:rPr>
        </w:r>
        <w:r>
          <w:rPr>
            <w:noProof/>
            <w:webHidden/>
          </w:rPr>
          <w:fldChar w:fldCharType="separate"/>
        </w:r>
        <w:r w:rsidR="00A725C8">
          <w:rPr>
            <w:noProof/>
            <w:webHidden/>
          </w:rPr>
          <w:t>15</w:t>
        </w:r>
        <w:r>
          <w:rPr>
            <w:noProof/>
            <w:webHidden/>
          </w:rPr>
          <w:fldChar w:fldCharType="end"/>
        </w:r>
      </w:hyperlink>
    </w:p>
    <w:p w14:paraId="12506B4F" w14:textId="5A98E859" w:rsidR="00BB79D2" w:rsidRPr="00BB79D2" w:rsidRDefault="00BB79D2" w:rsidP="00BB79D2">
      <w:r>
        <w:fldChar w:fldCharType="end"/>
      </w:r>
    </w:p>
    <w:p w14:paraId="58140AAC" w14:textId="40808E5C" w:rsidR="00B51B46" w:rsidRDefault="00283AEB" w:rsidP="00A4055C">
      <w:pPr>
        <w:pStyle w:val="Heading3"/>
      </w:pPr>
      <w:r>
        <w:t xml:space="preserve">About equality </w:t>
      </w:r>
      <w:r w:rsidRPr="00A4055C">
        <w:t>australia</w:t>
      </w:r>
    </w:p>
    <w:p w14:paraId="1EE23285" w14:textId="763349CC" w:rsidR="00A4055C" w:rsidRDefault="00076F93" w:rsidP="00A4055C">
      <w:r>
        <w:t>Equality Australia is a national LGBTIQ+ legal</w:t>
      </w:r>
      <w:bookmarkStart w:id="0" w:name="_GoBack"/>
      <w:bookmarkEnd w:id="0"/>
      <w:r>
        <w:t xml:space="preserve"> advocacy and campaigning organisation dedicated to achieving equality for LGBTIQ+ people.  </w:t>
      </w:r>
      <w:r w:rsidR="00F60068">
        <w:t>We work to amplify the voices of our community and achieve positive legal, policy</w:t>
      </w:r>
      <w:r w:rsidR="00824C6D">
        <w:t xml:space="preserve"> and social change for LGBTIQ+ people and their families in Australia.  Equality Australia has been built form the Equality Campaign, which ran the successful campaign for marriage equality, and was established with support from the Human Rights Law Centre.</w:t>
      </w:r>
    </w:p>
    <w:p w14:paraId="652D7DF8" w14:textId="61B64E60" w:rsidR="0029100B" w:rsidRPr="005F1DD7" w:rsidRDefault="0029100B" w:rsidP="00A4055C">
      <w:r>
        <w:t>We acknowledge that our offices are on the land of the Kulin Nation and the lane of the Eora Nation and we pay our respects to their traditional owners.</w:t>
      </w:r>
    </w:p>
    <w:p w14:paraId="762C1473" w14:textId="77777777" w:rsidR="00411D77" w:rsidRPr="00A4055C" w:rsidRDefault="00411D77" w:rsidP="00A4055C"/>
    <w:p w14:paraId="1BE8685F" w14:textId="77777777" w:rsidR="00A4055C" w:rsidRDefault="00A4055C" w:rsidP="00A4055C"/>
    <w:p w14:paraId="32317876" w14:textId="13EA3B0F" w:rsidR="00A4055C" w:rsidRPr="00A4055C" w:rsidRDefault="00A4055C" w:rsidP="00A4055C">
      <w:pPr>
        <w:sectPr w:rsidR="00A4055C" w:rsidRPr="00A4055C" w:rsidSect="0011785E">
          <w:headerReference w:type="even" r:id="rId13"/>
          <w:headerReference w:type="default" r:id="rId14"/>
          <w:footerReference w:type="default" r:id="rId15"/>
          <w:headerReference w:type="first" r:id="rId16"/>
          <w:pgSz w:w="11907" w:h="16840" w:code="9"/>
          <w:pgMar w:top="1644" w:right="1021" w:bottom="1644" w:left="1985" w:header="709" w:footer="232" w:gutter="0"/>
          <w:pgNumType w:start="1"/>
          <w:cols w:space="708"/>
          <w:docGrid w:linePitch="360"/>
        </w:sectPr>
      </w:pPr>
    </w:p>
    <w:p w14:paraId="2EE71AA3" w14:textId="071B5E73" w:rsidR="00CA34DF" w:rsidRDefault="0045519A" w:rsidP="00CA34DF">
      <w:pPr>
        <w:pStyle w:val="Section"/>
      </w:pPr>
      <w:bookmarkStart w:id="1" w:name="_Toc27749607"/>
      <w:r>
        <w:lastRenderedPageBreak/>
        <w:t xml:space="preserve">Summary of </w:t>
      </w:r>
      <w:r w:rsidR="00CA417A">
        <w:t>our</w:t>
      </w:r>
      <w:r w:rsidR="00967802">
        <w:t xml:space="preserve"> position</w:t>
      </w:r>
      <w:bookmarkEnd w:id="1"/>
    </w:p>
    <w:p w14:paraId="46E20AF9" w14:textId="475485BB" w:rsidR="00A42B9C" w:rsidRDefault="00A42B9C" w:rsidP="00A42B9C">
      <w:pPr>
        <w:rPr>
          <w:i/>
        </w:rPr>
      </w:pPr>
      <w:r>
        <w:t xml:space="preserve">Equality Australia welcomes the opportunity to </w:t>
      </w:r>
      <w:r w:rsidR="00E07FB1">
        <w:t xml:space="preserve">provide a submission </w:t>
      </w:r>
      <w:r w:rsidR="00330DF5">
        <w:t xml:space="preserve">in response to the Victorian Government’s discussion paper regarding </w:t>
      </w:r>
      <w:r w:rsidR="00330DF5">
        <w:rPr>
          <w:i/>
        </w:rPr>
        <w:t>Legislative options to implement a ban of conversion practices.</w:t>
      </w:r>
    </w:p>
    <w:p w14:paraId="52AED6CA" w14:textId="47D242C6" w:rsidR="00D87056" w:rsidRDefault="00D87056" w:rsidP="00D87056">
      <w:r>
        <w:t xml:space="preserve">We acknowledge that the Victorian Government has already taken significant steps to address </w:t>
      </w:r>
      <w:r w:rsidR="003069D4">
        <w:t>sexual orientation and gender identity (</w:t>
      </w:r>
      <w:r w:rsidR="003069D4" w:rsidRPr="00FD7350">
        <w:rPr>
          <w:b/>
        </w:rPr>
        <w:t>SOGI</w:t>
      </w:r>
      <w:r w:rsidR="003069D4">
        <w:t xml:space="preserve">) </w:t>
      </w:r>
      <w:r>
        <w:t>conversion practices, including:</w:t>
      </w:r>
    </w:p>
    <w:p w14:paraId="1872DBE0" w14:textId="087FD4B5" w:rsidR="00D87056" w:rsidRDefault="00127C3A" w:rsidP="00D87056">
      <w:pPr>
        <w:pStyle w:val="ListParagraph"/>
        <w:numPr>
          <w:ilvl w:val="0"/>
          <w:numId w:val="19"/>
        </w:numPr>
      </w:pPr>
      <w:r>
        <w:t>e</w:t>
      </w:r>
      <w:r w:rsidR="00CE1EF7">
        <w:t xml:space="preserve">stablishing </w:t>
      </w:r>
      <w:r w:rsidR="00365A20">
        <w:t>the Health Complaints Commission</w:t>
      </w:r>
      <w:r w:rsidR="00CE1EF7">
        <w:t>er with a mandate in respect of ‘health services’</w:t>
      </w:r>
      <w:r w:rsidR="002E474A">
        <w:t>,</w:t>
      </w:r>
      <w:r w:rsidR="004138E2">
        <w:rPr>
          <w:rStyle w:val="FootnoteReference"/>
        </w:rPr>
        <w:footnoteReference w:id="2"/>
      </w:r>
      <w:r w:rsidR="002E474A">
        <w:t xml:space="preserve"> broadly defined to allow complaints to be made and investigations to be conducted </w:t>
      </w:r>
      <w:r>
        <w:t>in respect of therapeutic counselling and psychotherapeutic services</w:t>
      </w:r>
      <w:r w:rsidR="004138E2">
        <w:t xml:space="preserve"> involving SOGI conversion practices</w:t>
      </w:r>
      <w:r>
        <w:t>;</w:t>
      </w:r>
      <w:r w:rsidR="00FA795C">
        <w:rPr>
          <w:rStyle w:val="FootnoteReference"/>
        </w:rPr>
        <w:footnoteReference w:id="3"/>
      </w:r>
      <w:r w:rsidR="00D87056">
        <w:t xml:space="preserve"> </w:t>
      </w:r>
    </w:p>
    <w:p w14:paraId="0969E7B6" w14:textId="79130295" w:rsidR="00D87056" w:rsidRDefault="00793E97" w:rsidP="00D87056">
      <w:pPr>
        <w:pStyle w:val="ListParagraph"/>
        <w:numPr>
          <w:ilvl w:val="0"/>
          <w:numId w:val="19"/>
        </w:numPr>
      </w:pPr>
      <w:r>
        <w:t>referring</w:t>
      </w:r>
      <w:r w:rsidR="00D87056">
        <w:t xml:space="preserve"> </w:t>
      </w:r>
      <w:r w:rsidR="0092011C">
        <w:t xml:space="preserve">to </w:t>
      </w:r>
      <w:r w:rsidR="00D87056">
        <w:t xml:space="preserve">the Health Complaints Commissioner an inquiry into </w:t>
      </w:r>
      <w:r w:rsidR="00842028">
        <w:t>conversion therapy;</w:t>
      </w:r>
      <w:r w:rsidR="00842028">
        <w:rPr>
          <w:rStyle w:val="FootnoteReference"/>
        </w:rPr>
        <w:footnoteReference w:id="4"/>
      </w:r>
    </w:p>
    <w:p w14:paraId="23CC2DD0" w14:textId="4FD44F7C" w:rsidR="00D87056" w:rsidRDefault="00842028" w:rsidP="00D87056">
      <w:pPr>
        <w:pStyle w:val="ListParagraph"/>
        <w:numPr>
          <w:ilvl w:val="0"/>
          <w:numId w:val="19"/>
        </w:numPr>
      </w:pPr>
      <w:r>
        <w:t>p</w:t>
      </w:r>
      <w:r w:rsidR="00D87056">
        <w:t xml:space="preserve">articipating as a member of the reference group to the </w:t>
      </w:r>
      <w:r w:rsidR="00D87056" w:rsidRPr="00842028">
        <w:rPr>
          <w:i/>
        </w:rPr>
        <w:t>Preventing Harm, Promoting Justice</w:t>
      </w:r>
      <w:r w:rsidR="00D87056">
        <w:t xml:space="preserve"> </w:t>
      </w:r>
      <w:r w:rsidR="00962E68">
        <w:t>r</w:t>
      </w:r>
      <w:r w:rsidR="00D87056">
        <w:t>eport</w:t>
      </w:r>
      <w:r>
        <w:t>;</w:t>
      </w:r>
      <w:r w:rsidR="00962E68">
        <w:rPr>
          <w:rStyle w:val="FootnoteReference"/>
        </w:rPr>
        <w:footnoteReference w:id="5"/>
      </w:r>
      <w:r w:rsidR="00366EDB">
        <w:t xml:space="preserve"> and</w:t>
      </w:r>
    </w:p>
    <w:p w14:paraId="15F07009" w14:textId="33AD3968" w:rsidR="00D87056" w:rsidRDefault="00685324" w:rsidP="00366EDB">
      <w:pPr>
        <w:pStyle w:val="ListParagraph"/>
        <w:numPr>
          <w:ilvl w:val="0"/>
          <w:numId w:val="19"/>
        </w:numPr>
      </w:pPr>
      <w:r>
        <w:t>f</w:t>
      </w:r>
      <w:r w:rsidR="00D87056">
        <w:t xml:space="preserve">unding further research and education initiatives and providing support to survivors. </w:t>
      </w:r>
    </w:p>
    <w:p w14:paraId="53DD7210" w14:textId="18B5EA76" w:rsidR="00D87056" w:rsidRDefault="00D87056" w:rsidP="00D87056">
      <w:r>
        <w:t xml:space="preserve">We welcome the opportunity to contribute to the consideration of further action by the Department of Justice and Community Services. </w:t>
      </w:r>
    </w:p>
    <w:p w14:paraId="3B21A64B" w14:textId="0141E58A" w:rsidR="00330DF5" w:rsidRDefault="00FD7350" w:rsidP="00A42B9C">
      <w:r>
        <w:t>SOGI c</w:t>
      </w:r>
      <w:r w:rsidR="00E06864">
        <w:t xml:space="preserve">onversion practices, generally understood, are those practices </w:t>
      </w:r>
      <w:r w:rsidR="008F6764">
        <w:t>which seek to change</w:t>
      </w:r>
      <w:r w:rsidR="00E0712A">
        <w:t xml:space="preserve"> or</w:t>
      </w:r>
      <w:r w:rsidR="00AA0778">
        <w:t xml:space="preserve"> suppress</w:t>
      </w:r>
      <w:r w:rsidR="00BD6D5E">
        <w:t xml:space="preserve"> the </w:t>
      </w:r>
      <w:r w:rsidR="0090068F">
        <w:t>affirmation</w:t>
      </w:r>
      <w:r w:rsidR="00BD6D5E">
        <w:t xml:space="preserve"> of</w:t>
      </w:r>
      <w:r w:rsidR="008F6764">
        <w:t xml:space="preserve"> an individual’s </w:t>
      </w:r>
      <w:r w:rsidR="004F5099">
        <w:t>sexual orientation or gender identity</w:t>
      </w:r>
      <w:r w:rsidR="008F6764">
        <w:t xml:space="preserve">.  </w:t>
      </w:r>
      <w:r w:rsidR="00DA2158">
        <w:t xml:space="preserve">SOGI conversion practices </w:t>
      </w:r>
      <w:r w:rsidR="00466869">
        <w:t>are varied</w:t>
      </w:r>
      <w:r w:rsidR="00DA2158">
        <w:t>,</w:t>
      </w:r>
      <w:r w:rsidR="00D764C2">
        <w:rPr>
          <w:rStyle w:val="FootnoteReference"/>
        </w:rPr>
        <w:footnoteReference w:id="6"/>
      </w:r>
      <w:r w:rsidR="00DA2158">
        <w:t xml:space="preserve"> have historically evolved,</w:t>
      </w:r>
      <w:r w:rsidR="00466869">
        <w:rPr>
          <w:rStyle w:val="FootnoteReference"/>
        </w:rPr>
        <w:footnoteReference w:id="7"/>
      </w:r>
      <w:r w:rsidR="00DA2158">
        <w:t xml:space="preserve"> and</w:t>
      </w:r>
      <w:r w:rsidR="00246895">
        <w:t xml:space="preserve"> can</w:t>
      </w:r>
      <w:r w:rsidR="00DA2158">
        <w:t xml:space="preserve"> include </w:t>
      </w:r>
      <w:r w:rsidR="007A5ADE">
        <w:t>counselling,</w:t>
      </w:r>
      <w:r w:rsidR="0014165B">
        <w:t xml:space="preserve"> pastoral care,</w:t>
      </w:r>
      <w:r w:rsidR="007A5ADE">
        <w:t xml:space="preserve"> targeted programs, </w:t>
      </w:r>
      <w:r w:rsidR="00246895">
        <w:t>informal groups and publications</w:t>
      </w:r>
      <w:r w:rsidR="00E94E31">
        <w:t xml:space="preserve"> directed to the purpose of changing or suppressing the affirmation of an individual’s sexual orientation or gender identity</w:t>
      </w:r>
      <w:r w:rsidR="00246895">
        <w:t>.</w:t>
      </w:r>
      <w:r w:rsidR="00D764C2">
        <w:rPr>
          <w:rStyle w:val="FootnoteReference"/>
        </w:rPr>
        <w:footnoteReference w:id="8"/>
      </w:r>
      <w:r w:rsidR="00246895">
        <w:t xml:space="preserve">  </w:t>
      </w:r>
      <w:r w:rsidR="00BA7027">
        <w:t xml:space="preserve">These </w:t>
      </w:r>
      <w:r w:rsidR="00427F47">
        <w:t xml:space="preserve">practices are founded in </w:t>
      </w:r>
      <w:r w:rsidR="00C51CFE">
        <w:t>belief s</w:t>
      </w:r>
      <w:r w:rsidR="00CF65C0">
        <w:t xml:space="preserve">ystems that </w:t>
      </w:r>
      <w:r w:rsidR="000131FA">
        <w:t>‘</w:t>
      </w:r>
      <w:r w:rsidR="00CF65C0">
        <w:t xml:space="preserve">people who are not heterosexual and </w:t>
      </w:r>
      <w:proofErr w:type="spellStart"/>
      <w:r w:rsidR="00CF65C0">
        <w:t>cisgendered</w:t>
      </w:r>
      <w:proofErr w:type="spellEnd"/>
      <w:r w:rsidR="00CF65C0">
        <w:t xml:space="preserve"> are in some way</w:t>
      </w:r>
      <w:r w:rsidR="00616E69">
        <w:t>s</w:t>
      </w:r>
      <w:r w:rsidR="00CF65C0">
        <w:t xml:space="preserve"> especially broken, disordered and sinful – more so than other human</w:t>
      </w:r>
      <w:r w:rsidR="00E37555">
        <w:t>s</w:t>
      </w:r>
      <w:r w:rsidR="000131FA">
        <w:t>’</w:t>
      </w:r>
      <w:r w:rsidR="00E37555">
        <w:t xml:space="preserve">, and that </w:t>
      </w:r>
      <w:r w:rsidR="00550C5E">
        <w:t xml:space="preserve">lesbian, gay, bisexual and trans people </w:t>
      </w:r>
      <w:r w:rsidR="000131FA">
        <w:t>‘</w:t>
      </w:r>
      <w:r w:rsidR="00550C5E">
        <w:t xml:space="preserve">should seek healing for their sexual brokenness and, until such time as they are </w:t>
      </w:r>
      <w:r w:rsidR="000131FA">
        <w:t>‘</w:t>
      </w:r>
      <w:r w:rsidR="00550C5E">
        <w:t>healed</w:t>
      </w:r>
      <w:r w:rsidR="000131FA">
        <w:t>’</w:t>
      </w:r>
      <w:r w:rsidR="00550C5E">
        <w:t>, live chaste and cel</w:t>
      </w:r>
      <w:r w:rsidR="000131FA">
        <w:t>ibate</w:t>
      </w:r>
      <w:r w:rsidR="00550C5E">
        <w:t xml:space="preserve"> lives</w:t>
      </w:r>
      <w:r w:rsidR="000131FA">
        <w:t>’</w:t>
      </w:r>
      <w:r w:rsidR="00BA7027">
        <w:t>.</w:t>
      </w:r>
      <w:r w:rsidR="000131FA">
        <w:rPr>
          <w:rStyle w:val="FootnoteReference"/>
        </w:rPr>
        <w:footnoteReference w:id="9"/>
      </w:r>
      <w:r w:rsidR="00BA7027">
        <w:t xml:space="preserve">  </w:t>
      </w:r>
      <w:r w:rsidR="00BD270B">
        <w:t>P</w:t>
      </w:r>
      <w:r w:rsidR="008F6764">
        <w:t xml:space="preserve">ractices </w:t>
      </w:r>
      <w:r w:rsidR="00BD270B">
        <w:t xml:space="preserve">attempting to change sexual orientation or gender identity </w:t>
      </w:r>
      <w:r w:rsidR="008F6764">
        <w:t xml:space="preserve">are harmful, </w:t>
      </w:r>
      <w:r w:rsidR="008B54AC">
        <w:t>cause untold and enduring damage and pain to individuals,</w:t>
      </w:r>
      <w:r w:rsidR="00DF0921">
        <w:rPr>
          <w:rStyle w:val="FootnoteReference"/>
        </w:rPr>
        <w:footnoteReference w:id="10"/>
      </w:r>
      <w:r w:rsidR="008B54AC">
        <w:t xml:space="preserve"> and </w:t>
      </w:r>
      <w:r w:rsidR="0004640A">
        <w:t>find</w:t>
      </w:r>
      <w:r w:rsidR="008B54AC">
        <w:t xml:space="preserve"> no </w:t>
      </w:r>
      <w:r w:rsidR="007768EF">
        <w:t>support</w:t>
      </w:r>
      <w:r w:rsidR="00397737">
        <w:t xml:space="preserve"> in the medical or psychological professional community</w:t>
      </w:r>
      <w:r w:rsidR="008B54AC">
        <w:t>.</w:t>
      </w:r>
      <w:r w:rsidR="00A503A8">
        <w:rPr>
          <w:rStyle w:val="FootnoteReference"/>
        </w:rPr>
        <w:footnoteReference w:id="11"/>
      </w:r>
    </w:p>
    <w:p w14:paraId="255ECCBE" w14:textId="2F27D70E" w:rsidR="00A32FFE" w:rsidRDefault="008B54AC" w:rsidP="00A42B9C">
      <w:r>
        <w:t xml:space="preserve">Equality Australia stands with survivors of </w:t>
      </w:r>
      <w:r w:rsidR="00AA0778">
        <w:t xml:space="preserve">SOGI </w:t>
      </w:r>
      <w:r>
        <w:t>conversion practices</w:t>
      </w:r>
      <w:r w:rsidR="008634A1">
        <w:t xml:space="preserve">, affirming their right to tell their stories on their own terms.  </w:t>
      </w:r>
      <w:r w:rsidR="007A17B7">
        <w:t xml:space="preserve">We seek to understand their experiences, acknowledge their </w:t>
      </w:r>
      <w:r w:rsidR="00D97D0E">
        <w:t>tribulations</w:t>
      </w:r>
      <w:r w:rsidR="007A17B7">
        <w:t xml:space="preserve">, </w:t>
      </w:r>
      <w:r w:rsidR="0075714B">
        <w:t>and work with them to move towards</w:t>
      </w:r>
      <w:r w:rsidR="006558D8">
        <w:t xml:space="preserve"> a </w:t>
      </w:r>
      <w:r w:rsidR="00331076">
        <w:t>best practice and world leading response which achieves</w:t>
      </w:r>
      <w:r w:rsidR="0075714B">
        <w:t xml:space="preserve"> redress and justice.</w:t>
      </w:r>
      <w:r w:rsidR="00331076">
        <w:t xml:space="preserve">  </w:t>
      </w:r>
      <w:r w:rsidR="00D158E0">
        <w:t>We have consulted with survivors in settling this submission, but do not purport to speak for them</w:t>
      </w:r>
      <w:r w:rsidR="0008517A">
        <w:t>,</w:t>
      </w:r>
      <w:r w:rsidR="00CC2CC2">
        <w:t xml:space="preserve"> and </w:t>
      </w:r>
      <w:r w:rsidR="0008517A">
        <w:t>this submission</w:t>
      </w:r>
      <w:r w:rsidR="00CC2CC2">
        <w:t xml:space="preserve"> should </w:t>
      </w:r>
      <w:r w:rsidR="00EF3A38">
        <w:lastRenderedPageBreak/>
        <w:t xml:space="preserve">obviously </w:t>
      </w:r>
      <w:r w:rsidR="00CC2CC2">
        <w:t>not</w:t>
      </w:r>
      <w:r w:rsidR="0008517A">
        <w:t xml:space="preserve"> be taken as speaking on their behalf</w:t>
      </w:r>
      <w:r w:rsidR="002139C5">
        <w:t>.</w:t>
      </w:r>
      <w:r w:rsidR="00E44E7D">
        <w:t xml:space="preserve">  We</w:t>
      </w:r>
      <w:r w:rsidR="00734A7E">
        <w:t xml:space="preserve"> merely</w:t>
      </w:r>
      <w:r w:rsidR="00E44E7D">
        <w:t xml:space="preserve"> lend our legal and policy expertise to </w:t>
      </w:r>
      <w:r w:rsidR="00ED46F4">
        <w:t xml:space="preserve">support </w:t>
      </w:r>
      <w:r w:rsidR="00704B9E">
        <w:t>the development of a whole-of-government, whole-of-community response</w:t>
      </w:r>
      <w:r w:rsidR="00DD7A75">
        <w:t xml:space="preserve">, </w:t>
      </w:r>
      <w:r w:rsidR="00D97D0E">
        <w:t xml:space="preserve">informed by the </w:t>
      </w:r>
      <w:r w:rsidR="00DD7A75">
        <w:t>calls</w:t>
      </w:r>
      <w:r w:rsidR="00D97D0E">
        <w:t xml:space="preserve"> for reform</w:t>
      </w:r>
      <w:r w:rsidR="00DD7A75">
        <w:t xml:space="preserve"> made in </w:t>
      </w:r>
      <w:r w:rsidR="009C5F59">
        <w:t xml:space="preserve">the </w:t>
      </w:r>
      <w:hyperlink r:id="rId17" w:history="1">
        <w:r w:rsidR="00C82447" w:rsidRPr="006E1AD1">
          <w:rPr>
            <w:rStyle w:val="Hyperlink"/>
            <w:i/>
            <w:iCs/>
          </w:rPr>
          <w:t xml:space="preserve">Sexual Orientation and </w:t>
        </w:r>
        <w:r w:rsidR="009C5F59" w:rsidRPr="006E1AD1">
          <w:rPr>
            <w:rStyle w:val="Hyperlink"/>
            <w:i/>
            <w:iCs/>
          </w:rPr>
          <w:t>Gender</w:t>
        </w:r>
        <w:r w:rsidR="00C82447" w:rsidRPr="006E1AD1">
          <w:rPr>
            <w:rStyle w:val="Hyperlink"/>
            <w:i/>
            <w:iCs/>
          </w:rPr>
          <w:t xml:space="preserve"> Identity Change Efforts (SOGICE) Survivor Statement</w:t>
        </w:r>
      </w:hyperlink>
      <w:r w:rsidR="00C20F10">
        <w:t xml:space="preserve">, </w:t>
      </w:r>
      <w:hyperlink r:id="rId18" w:history="1">
        <w:r w:rsidR="00C20F10" w:rsidRPr="00694BB8">
          <w:rPr>
            <w:rStyle w:val="Hyperlink"/>
            <w:i/>
          </w:rPr>
          <w:t>Conversion Therapy in Australia</w:t>
        </w:r>
      </w:hyperlink>
      <w:r w:rsidR="00C20F10">
        <w:rPr>
          <w:i/>
        </w:rPr>
        <w:t xml:space="preserve"> </w:t>
      </w:r>
      <w:r w:rsidR="006D1CE7">
        <w:t xml:space="preserve">report by Anthony Venn-Brown, </w:t>
      </w:r>
      <w:r w:rsidR="00C20F10">
        <w:t xml:space="preserve">the </w:t>
      </w:r>
      <w:hyperlink r:id="rId19" w:history="1">
        <w:r w:rsidR="006D1CE7" w:rsidRPr="0053714D">
          <w:rPr>
            <w:rStyle w:val="Hyperlink"/>
            <w:i/>
          </w:rPr>
          <w:t>Preventing Harm, Promoting Justice</w:t>
        </w:r>
      </w:hyperlink>
      <w:r w:rsidR="006D1CE7">
        <w:rPr>
          <w:i/>
        </w:rPr>
        <w:t xml:space="preserve"> </w:t>
      </w:r>
      <w:r w:rsidR="006D1CE7">
        <w:t>report</w:t>
      </w:r>
      <w:r w:rsidR="00E71A68">
        <w:t xml:space="preserve"> and the </w:t>
      </w:r>
      <w:r w:rsidR="00860501">
        <w:t xml:space="preserve">Victorian </w:t>
      </w:r>
      <w:r w:rsidR="00E71A68">
        <w:t>Health Complain</w:t>
      </w:r>
      <w:r w:rsidR="00860501">
        <w:t>t</w:t>
      </w:r>
      <w:r w:rsidR="00E71A68">
        <w:t xml:space="preserve">s Commissioner’s </w:t>
      </w:r>
      <w:hyperlink r:id="rId20" w:history="1">
        <w:r w:rsidR="00E71A68" w:rsidRPr="00264C88">
          <w:rPr>
            <w:rStyle w:val="Hyperlink"/>
            <w:i/>
          </w:rPr>
          <w:t>Report on the Inquiry into Conversion Therapy</w:t>
        </w:r>
      </w:hyperlink>
      <w:r w:rsidR="006D1CE7">
        <w:t>.</w:t>
      </w:r>
    </w:p>
    <w:p w14:paraId="1E87D7D5" w14:textId="3ABB450C" w:rsidR="00967802" w:rsidRDefault="00042940" w:rsidP="00A42B9C">
      <w:r>
        <w:t xml:space="preserve">Carefully crafted </w:t>
      </w:r>
      <w:r w:rsidR="002C698C">
        <w:t xml:space="preserve">legislative </w:t>
      </w:r>
      <w:r w:rsidR="00D55F47">
        <w:t>‘</w:t>
      </w:r>
      <w:r>
        <w:t>b</w:t>
      </w:r>
      <w:r w:rsidR="00331076">
        <w:t>ans</w:t>
      </w:r>
      <w:r w:rsidR="00D55F47">
        <w:t>’</w:t>
      </w:r>
      <w:r w:rsidR="00331076">
        <w:t xml:space="preserve"> on particularly harmful practices should be part of </w:t>
      </w:r>
      <w:r w:rsidR="00912FAF">
        <w:t>the</w:t>
      </w:r>
      <w:r w:rsidR="00331076">
        <w:t xml:space="preserve"> </w:t>
      </w:r>
      <w:r w:rsidR="00357FF8">
        <w:t>response but</w:t>
      </w:r>
      <w:r w:rsidR="00331076">
        <w:t xml:space="preserve"> will not</w:t>
      </w:r>
      <w:r w:rsidR="00D55F47">
        <w:t>,</w:t>
      </w:r>
      <w:r w:rsidR="00331076">
        <w:t xml:space="preserve"> </w:t>
      </w:r>
      <w:r w:rsidR="00A32FFE">
        <w:t xml:space="preserve">in and </w:t>
      </w:r>
      <w:r w:rsidR="006C0458">
        <w:t xml:space="preserve">of </w:t>
      </w:r>
      <w:r w:rsidR="00B2627B">
        <w:t>themselves</w:t>
      </w:r>
      <w:r w:rsidR="00D55F47">
        <w:t>,</w:t>
      </w:r>
      <w:r w:rsidR="006C0458">
        <w:t xml:space="preserve"> </w:t>
      </w:r>
      <w:r>
        <w:t xml:space="preserve">address the lasting and profound damage that has </w:t>
      </w:r>
      <w:r w:rsidR="006C0458">
        <w:t xml:space="preserve">already </w:t>
      </w:r>
      <w:r>
        <w:t>been inflicted on survivors</w:t>
      </w:r>
      <w:r w:rsidR="009410C4">
        <w:t>,</w:t>
      </w:r>
      <w:r>
        <w:t xml:space="preserve"> or </w:t>
      </w:r>
      <w:r w:rsidR="009C06E6">
        <w:t xml:space="preserve">actively </w:t>
      </w:r>
      <w:r w:rsidR="007C7675">
        <w:t>engage</w:t>
      </w:r>
      <w:r w:rsidR="00511946">
        <w:t xml:space="preserve"> </w:t>
      </w:r>
      <w:r w:rsidR="00B2627B">
        <w:t xml:space="preserve">with </w:t>
      </w:r>
      <w:r w:rsidR="007C7675">
        <w:t>the religious and cultural communities</w:t>
      </w:r>
      <w:r w:rsidR="009C06E6">
        <w:t xml:space="preserve"> who are</w:t>
      </w:r>
      <w:r w:rsidR="007C7675">
        <w:t xml:space="preserve"> </w:t>
      </w:r>
      <w:r w:rsidR="0045570A">
        <w:t>necessary</w:t>
      </w:r>
      <w:r w:rsidR="002F6C52">
        <w:t xml:space="preserve"> participants</w:t>
      </w:r>
      <w:r w:rsidR="0045570A">
        <w:t xml:space="preserve"> </w:t>
      </w:r>
      <w:r w:rsidR="002F6C52">
        <w:t xml:space="preserve">in </w:t>
      </w:r>
      <w:r w:rsidR="003D050B">
        <w:t>a</w:t>
      </w:r>
      <w:r w:rsidR="002F6C52">
        <w:t xml:space="preserve"> journey </w:t>
      </w:r>
      <w:r w:rsidR="0045570A">
        <w:t>to ensur</w:t>
      </w:r>
      <w:r w:rsidR="009C06E6">
        <w:t>ing</w:t>
      </w:r>
      <w:r w:rsidR="0045570A">
        <w:t xml:space="preserve"> </w:t>
      </w:r>
      <w:r w:rsidR="006C0458">
        <w:t>these</w:t>
      </w:r>
      <w:r w:rsidR="0045570A">
        <w:t xml:space="preserve"> practices are not </w:t>
      </w:r>
      <w:r w:rsidR="00357FF8">
        <w:t xml:space="preserve">encouraged </w:t>
      </w:r>
      <w:r w:rsidR="003D050B">
        <w:t>or promoted</w:t>
      </w:r>
      <w:r w:rsidR="00357FF8">
        <w:t>.</w:t>
      </w:r>
      <w:r w:rsidR="000C1107">
        <w:t xml:space="preserve">  </w:t>
      </w:r>
      <w:r w:rsidR="00C17AE9">
        <w:t>T</w:t>
      </w:r>
      <w:r w:rsidR="000C1107">
        <w:t xml:space="preserve">hat is a major failing of international </w:t>
      </w:r>
      <w:r w:rsidR="002C698C">
        <w:t>responses</w:t>
      </w:r>
      <w:r w:rsidR="00257FD4">
        <w:t xml:space="preserve"> </w:t>
      </w:r>
      <w:r w:rsidR="002C698C">
        <w:t xml:space="preserve">to </w:t>
      </w:r>
      <w:r w:rsidR="005D1015">
        <w:t>SOGI</w:t>
      </w:r>
      <w:r w:rsidR="00257FD4">
        <w:t xml:space="preserve"> conversion practices</w:t>
      </w:r>
      <w:r w:rsidR="002C698C">
        <w:t xml:space="preserve"> to date</w:t>
      </w:r>
      <w:r w:rsidR="00D674E3">
        <w:t>.  While we can draw on international precedents, we think that Victoria can do much better.</w:t>
      </w:r>
      <w:r w:rsidR="009C06E6">
        <w:t xml:space="preserve"> </w:t>
      </w:r>
    </w:p>
    <w:p w14:paraId="5C96997F" w14:textId="16919E0A" w:rsidR="00BA52CB" w:rsidRDefault="00F800BC" w:rsidP="00F80387">
      <w:r>
        <w:t xml:space="preserve">Given </w:t>
      </w:r>
      <w:r w:rsidR="005D1015">
        <w:t xml:space="preserve">SOGI </w:t>
      </w:r>
      <w:r>
        <w:t>c</w:t>
      </w:r>
      <w:r w:rsidR="00310B50">
        <w:t xml:space="preserve">onversion </w:t>
      </w:r>
      <w:r w:rsidR="009C5E4F">
        <w:t>practice</w:t>
      </w:r>
      <w:r w:rsidR="002F6C52">
        <w:t>s</w:t>
      </w:r>
      <w:r w:rsidR="009C5E4F">
        <w:t xml:space="preserve"> </w:t>
      </w:r>
      <w:r>
        <w:t xml:space="preserve">manifest in a range of </w:t>
      </w:r>
      <w:r w:rsidR="009C5E4F">
        <w:t>ways</w:t>
      </w:r>
      <w:r w:rsidR="00BA14F6">
        <w:t xml:space="preserve"> and </w:t>
      </w:r>
      <w:r w:rsidR="009C5E4F">
        <w:t xml:space="preserve">are </w:t>
      </w:r>
      <w:r w:rsidR="0085653B">
        <w:t xml:space="preserve">based in a range of </w:t>
      </w:r>
      <w:r>
        <w:t xml:space="preserve">religious </w:t>
      </w:r>
      <w:r w:rsidR="0040525A">
        <w:t xml:space="preserve">and culturally-based </w:t>
      </w:r>
      <w:r w:rsidR="0085653B">
        <w:t>ideologies</w:t>
      </w:r>
      <w:r w:rsidR="00BA14F6">
        <w:t>,</w:t>
      </w:r>
      <w:r>
        <w:t xml:space="preserve"> </w:t>
      </w:r>
      <w:r w:rsidR="0040224E">
        <w:t xml:space="preserve">a multifaceted </w:t>
      </w:r>
      <w:r w:rsidR="00FB241E">
        <w:t>response to a complex issue</w:t>
      </w:r>
      <w:r w:rsidR="0040224E">
        <w:t xml:space="preserve"> is necessary.  </w:t>
      </w:r>
      <w:r w:rsidR="00FB241E">
        <w:t xml:space="preserve">It is not possible or appropriate to </w:t>
      </w:r>
      <w:r w:rsidR="00396BD4">
        <w:t xml:space="preserve">criminalise or </w:t>
      </w:r>
      <w:r w:rsidR="0040525A">
        <w:t xml:space="preserve">penalise </w:t>
      </w:r>
      <w:r w:rsidR="0040224E">
        <w:t>thoughts or beliefs,</w:t>
      </w:r>
      <w:r w:rsidR="009F5A0B">
        <w:rPr>
          <w:rStyle w:val="FootnoteReference"/>
        </w:rPr>
        <w:footnoteReference w:id="12"/>
      </w:r>
      <w:r w:rsidR="0040224E">
        <w:t xml:space="preserve"> nor </w:t>
      </w:r>
      <w:r w:rsidR="00332993">
        <w:t>would</w:t>
      </w:r>
      <w:r w:rsidR="00FB241E">
        <w:t xml:space="preserve"> </w:t>
      </w:r>
      <w:r w:rsidR="002A5522">
        <w:t>a</w:t>
      </w:r>
      <w:r w:rsidR="00332993">
        <w:t xml:space="preserve"> blanket </w:t>
      </w:r>
      <w:r w:rsidR="00F80387">
        <w:t xml:space="preserve">penalisation </w:t>
      </w:r>
      <w:r w:rsidR="00FB241E">
        <w:t xml:space="preserve">of conversion practices </w:t>
      </w:r>
      <w:r w:rsidR="00BA52CB" w:rsidRPr="00697E6C">
        <w:t>always</w:t>
      </w:r>
      <w:r w:rsidR="00BA52CB">
        <w:t xml:space="preserve"> </w:t>
      </w:r>
      <w:r w:rsidR="00332993">
        <w:t xml:space="preserve">be in the best interest of survivors.  </w:t>
      </w:r>
      <w:r w:rsidR="00ED4C0F">
        <w:t xml:space="preserve">Owing to </w:t>
      </w:r>
      <w:r w:rsidR="004A4543">
        <w:t>a</w:t>
      </w:r>
      <w:r w:rsidR="00ED4C0F">
        <w:t xml:space="preserve"> profound </w:t>
      </w:r>
      <w:r w:rsidR="00AB306A">
        <w:t xml:space="preserve">and deeply held </w:t>
      </w:r>
      <w:r w:rsidR="00ED4C0F">
        <w:t xml:space="preserve">desire to reconcile their </w:t>
      </w:r>
      <w:r w:rsidR="008D1171">
        <w:t xml:space="preserve">own </w:t>
      </w:r>
      <w:r w:rsidR="00ED4C0F">
        <w:t>sexual or gender identity with</w:t>
      </w:r>
      <w:r w:rsidR="008D1171">
        <w:t xml:space="preserve"> their faith, a survivor today may have </w:t>
      </w:r>
      <w:r w:rsidR="002A5522">
        <w:t>yesterday</w:t>
      </w:r>
      <w:r w:rsidR="00C2716D">
        <w:t xml:space="preserve"> promoted, or</w:t>
      </w:r>
      <w:r w:rsidR="002A5522">
        <w:t xml:space="preserve"> encouraged others</w:t>
      </w:r>
      <w:r w:rsidR="008D1171">
        <w:t xml:space="preserve"> to engage in</w:t>
      </w:r>
      <w:r w:rsidR="00C2716D">
        <w:t xml:space="preserve">, </w:t>
      </w:r>
      <w:r w:rsidR="00AB306A">
        <w:t xml:space="preserve">SOGI </w:t>
      </w:r>
      <w:r w:rsidR="008D1171">
        <w:t>conversion practices.</w:t>
      </w:r>
      <w:r w:rsidR="003535F3">
        <w:rPr>
          <w:rStyle w:val="FootnoteReference"/>
        </w:rPr>
        <w:footnoteReference w:id="13"/>
      </w:r>
      <w:r w:rsidR="00F61F13">
        <w:t xml:space="preserve">  </w:t>
      </w:r>
      <w:r w:rsidR="00396BD4">
        <w:t xml:space="preserve">Like responses to other </w:t>
      </w:r>
      <w:r w:rsidR="00EA0947">
        <w:t xml:space="preserve">complex </w:t>
      </w:r>
      <w:r w:rsidR="00396BD4">
        <w:t xml:space="preserve">social and cultural issues, </w:t>
      </w:r>
      <w:r w:rsidR="00EA0947">
        <w:t xml:space="preserve">a </w:t>
      </w:r>
      <w:r w:rsidR="00AB306A">
        <w:t xml:space="preserve">blunt </w:t>
      </w:r>
      <w:r w:rsidR="00EA0947">
        <w:t>punitive approach</w:t>
      </w:r>
      <w:r w:rsidR="00F61F13">
        <w:t xml:space="preserve"> would </w:t>
      </w:r>
      <w:r w:rsidR="00747539">
        <w:t xml:space="preserve">not necessarily discourage </w:t>
      </w:r>
      <w:r w:rsidR="00BA52CB">
        <w:t xml:space="preserve">such </w:t>
      </w:r>
      <w:r w:rsidR="00747539">
        <w:t>practices, but instead drive them underground, and discourage people from engaging in the conversation</w:t>
      </w:r>
      <w:r w:rsidR="00F26DBB">
        <w:t>s</w:t>
      </w:r>
      <w:r w:rsidR="00747539">
        <w:t xml:space="preserve"> necessary to emerge</w:t>
      </w:r>
      <w:r w:rsidR="001D66C4">
        <w:t>, without fear of penalty,</w:t>
      </w:r>
      <w:r w:rsidR="00747539">
        <w:t xml:space="preserve"> from </w:t>
      </w:r>
      <w:r w:rsidR="004A4543">
        <w:t xml:space="preserve">these </w:t>
      </w:r>
      <w:r w:rsidR="00747539">
        <w:t>places of darkness</w:t>
      </w:r>
      <w:r w:rsidR="00F26DBB">
        <w:t>.</w:t>
      </w:r>
      <w:r w:rsidR="00AE7AD1">
        <w:t xml:space="preserve">  </w:t>
      </w:r>
      <w:r w:rsidR="0004354A">
        <w:t xml:space="preserve">We know this because </w:t>
      </w:r>
      <w:r w:rsidR="00F21A75">
        <w:t>m</w:t>
      </w:r>
      <w:r w:rsidR="00CF5D80">
        <w:t>erely imposing h</w:t>
      </w:r>
      <w:r w:rsidR="00BE32EA">
        <w:t xml:space="preserve">ard-edged bans on </w:t>
      </w:r>
      <w:r w:rsidR="00CF5D80">
        <w:t xml:space="preserve">culturally or </w:t>
      </w:r>
      <w:r w:rsidR="006E6A4D">
        <w:t>religious</w:t>
      </w:r>
      <w:r w:rsidR="00401905">
        <w:t>ly</w:t>
      </w:r>
      <w:r w:rsidR="006E6A4D">
        <w:t>-based practices, such as female genital mutilation and forced marriages</w:t>
      </w:r>
      <w:r w:rsidR="001D39C3">
        <w:t xml:space="preserve">, </w:t>
      </w:r>
      <w:r w:rsidR="00557D0C">
        <w:t>have not been</w:t>
      </w:r>
      <w:r w:rsidR="001D39C3">
        <w:t xml:space="preserve"> </w:t>
      </w:r>
      <w:r w:rsidR="002226F8">
        <w:t>in and of themselves enough</w:t>
      </w:r>
      <w:r w:rsidR="001D39C3">
        <w:t xml:space="preserve"> to </w:t>
      </w:r>
      <w:r w:rsidR="00BB6C86">
        <w:t>stop</w:t>
      </w:r>
      <w:r w:rsidR="001D39C3">
        <w:t xml:space="preserve"> </w:t>
      </w:r>
      <w:r w:rsidR="00BB6C86">
        <w:t>the</w:t>
      </w:r>
      <w:r w:rsidR="00CF5D80">
        <w:t>se</w:t>
      </w:r>
      <w:r w:rsidR="00BB6C86">
        <w:t xml:space="preserve"> practice</w:t>
      </w:r>
      <w:r w:rsidR="00CF5D80">
        <w:t>s</w:t>
      </w:r>
      <w:r w:rsidR="007B15F2">
        <w:t>,</w:t>
      </w:r>
      <w:r w:rsidR="00401905">
        <w:rPr>
          <w:rStyle w:val="FootnoteReference"/>
        </w:rPr>
        <w:footnoteReference w:id="14"/>
      </w:r>
      <w:r w:rsidR="00CF5D80">
        <w:t xml:space="preserve"> </w:t>
      </w:r>
      <w:r w:rsidR="007B15F2">
        <w:t xml:space="preserve">notwithstanding the </w:t>
      </w:r>
      <w:r w:rsidR="007C2BFF">
        <w:t xml:space="preserve">important </w:t>
      </w:r>
      <w:r w:rsidR="007B15F2">
        <w:t>normative role that law can play in setting clear standards</w:t>
      </w:r>
      <w:r w:rsidR="00283AEB">
        <w:t>.</w:t>
      </w:r>
    </w:p>
    <w:p w14:paraId="59ACA70A" w14:textId="53F29C66" w:rsidR="00663386" w:rsidRDefault="001D66C4" w:rsidP="00F80387">
      <w:r>
        <w:t xml:space="preserve">That is why Equality Australia </w:t>
      </w:r>
      <w:r w:rsidR="00663386">
        <w:t>calls for a roundtable with survivors and key agencies already working in the child protection, family violence</w:t>
      </w:r>
      <w:r w:rsidR="002A4AA1">
        <w:t xml:space="preserve">, human rights, </w:t>
      </w:r>
      <w:r w:rsidR="007B4C49">
        <w:t>healthcare regulat</w:t>
      </w:r>
      <w:r w:rsidR="00722BA5">
        <w:t>ion</w:t>
      </w:r>
      <w:r w:rsidR="007B4C49">
        <w:t xml:space="preserve">, </w:t>
      </w:r>
      <w:r w:rsidR="002A4AA1">
        <w:t>consumer affairs</w:t>
      </w:r>
      <w:r w:rsidR="00663386">
        <w:t xml:space="preserve"> and </w:t>
      </w:r>
      <w:r w:rsidR="00845799">
        <w:t xml:space="preserve">law enforcement space.  The purpose of the roundtable should be to explore existing powers and functions available to </w:t>
      </w:r>
      <w:r w:rsidR="00DC0540">
        <w:t>address SOGI conversion practices</w:t>
      </w:r>
      <w:r w:rsidR="00E25FE9">
        <w:t xml:space="preserve">, agree on principles for </w:t>
      </w:r>
      <w:r w:rsidR="007B6FAA">
        <w:t xml:space="preserve">taking the issue forward with additional legislative measures </w:t>
      </w:r>
      <w:r w:rsidR="00C111A3">
        <w:t>if and where</w:t>
      </w:r>
      <w:r w:rsidR="007B6FAA">
        <w:t xml:space="preserve"> necessary</w:t>
      </w:r>
      <w:r w:rsidR="00FD2BDB">
        <w:t>, and identi</w:t>
      </w:r>
      <w:r w:rsidR="00BD270B">
        <w:t>fy where this program of work should sit</w:t>
      </w:r>
      <w:r w:rsidR="00193F59">
        <w:t xml:space="preserve"> so there is </w:t>
      </w:r>
      <w:r w:rsidR="00813925">
        <w:t xml:space="preserve">clear </w:t>
      </w:r>
      <w:r w:rsidR="00193F59">
        <w:t>ownership</w:t>
      </w:r>
      <w:r w:rsidR="00722BA5">
        <w:t xml:space="preserve"> of,</w:t>
      </w:r>
      <w:r w:rsidR="00193F59">
        <w:t xml:space="preserve"> </w:t>
      </w:r>
      <w:r w:rsidR="00813925">
        <w:t xml:space="preserve">and an </w:t>
      </w:r>
      <w:r w:rsidR="00EF0AB6">
        <w:t>enduring effort to address</w:t>
      </w:r>
      <w:r w:rsidR="00722BA5">
        <w:t>,</w:t>
      </w:r>
      <w:r w:rsidR="00EF0AB6">
        <w:t xml:space="preserve"> the issue</w:t>
      </w:r>
      <w:r w:rsidR="00813925">
        <w:t>.</w:t>
      </w:r>
      <w:r w:rsidR="00193F59">
        <w:t xml:space="preserve"> </w:t>
      </w:r>
      <w:r w:rsidR="00C5092A">
        <w:t xml:space="preserve"> </w:t>
      </w:r>
      <w:r w:rsidR="0085413E">
        <w:t xml:space="preserve">Importantly, </w:t>
      </w:r>
      <w:r w:rsidR="0085413E" w:rsidRPr="0085413E">
        <w:t xml:space="preserve">our current understanding of the nature of </w:t>
      </w:r>
      <w:r w:rsidR="003D1149">
        <w:t xml:space="preserve">SOGI </w:t>
      </w:r>
      <w:r w:rsidR="0085413E" w:rsidRPr="0085413E">
        <w:t xml:space="preserve">conversion practices and the harms they cause is </w:t>
      </w:r>
      <w:r w:rsidR="00E5528D">
        <w:t>still</w:t>
      </w:r>
      <w:r w:rsidR="003D1149">
        <w:t xml:space="preserve"> </w:t>
      </w:r>
      <w:r w:rsidR="0085413E" w:rsidRPr="0085413E">
        <w:t xml:space="preserve">evolving. </w:t>
      </w:r>
      <w:r w:rsidR="003D1149">
        <w:t xml:space="preserve"> </w:t>
      </w:r>
      <w:r w:rsidR="0085413E" w:rsidRPr="0085413E">
        <w:t xml:space="preserve">The analysis and conclusions below reflect our current </w:t>
      </w:r>
      <w:r w:rsidR="00E5528D" w:rsidRPr="0085413E">
        <w:t>thinking,</w:t>
      </w:r>
      <w:r w:rsidR="0085413E" w:rsidRPr="0085413E">
        <w:t xml:space="preserve"> and this may change after further consideration,</w:t>
      </w:r>
      <w:r w:rsidR="00E5528D">
        <w:t xml:space="preserve"> particularly following the further </w:t>
      </w:r>
      <w:r w:rsidR="0085413E" w:rsidRPr="0085413E">
        <w:t>research and consultation we recommend.</w:t>
      </w:r>
    </w:p>
    <w:p w14:paraId="76064D10" w14:textId="196F4405" w:rsidR="001D66C4" w:rsidRDefault="004B18E0" w:rsidP="00F80387">
      <w:r>
        <w:t xml:space="preserve">Equality Australia </w:t>
      </w:r>
      <w:r w:rsidR="001D66C4">
        <w:t>supports</w:t>
      </w:r>
      <w:r w:rsidR="0069190F">
        <w:t xml:space="preserve"> </w:t>
      </w:r>
      <w:r w:rsidR="004855D0">
        <w:t>the development</w:t>
      </w:r>
      <w:r w:rsidR="0069190F">
        <w:t xml:space="preserve">, in consultation with survivors, </w:t>
      </w:r>
      <w:r w:rsidR="004855D0">
        <w:t xml:space="preserve">of a </w:t>
      </w:r>
      <w:r w:rsidR="00283AEB">
        <w:t xml:space="preserve">comprehensive </w:t>
      </w:r>
      <w:r w:rsidR="004855D0">
        <w:t>response to address</w:t>
      </w:r>
      <w:r w:rsidR="00813925">
        <w:t>ing</w:t>
      </w:r>
      <w:r w:rsidR="0069190F">
        <w:t xml:space="preserve"> the issue</w:t>
      </w:r>
      <w:r w:rsidR="00283AEB">
        <w:t xml:space="preserve"> of </w:t>
      </w:r>
      <w:r w:rsidR="00813925">
        <w:t xml:space="preserve">SOGI </w:t>
      </w:r>
      <w:r w:rsidR="00283AEB">
        <w:t>conversion practices</w:t>
      </w:r>
      <w:r w:rsidR="00813925">
        <w:t xml:space="preserve"> that includes</w:t>
      </w:r>
      <w:r w:rsidR="00A539BF">
        <w:t>:</w:t>
      </w:r>
    </w:p>
    <w:p w14:paraId="457B334C" w14:textId="2224BFD9" w:rsidR="00A539BF" w:rsidRDefault="00931391" w:rsidP="0045519A">
      <w:pPr>
        <w:pStyle w:val="ListParagraph"/>
        <w:numPr>
          <w:ilvl w:val="0"/>
          <w:numId w:val="13"/>
        </w:numPr>
        <w:ind w:hanging="357"/>
        <w:contextualSpacing w:val="0"/>
      </w:pPr>
      <w:r>
        <w:rPr>
          <w:b/>
        </w:rPr>
        <w:t xml:space="preserve">Redress.  </w:t>
      </w:r>
      <w:r w:rsidR="00A539BF">
        <w:t xml:space="preserve">A redress scheme </w:t>
      </w:r>
      <w:r w:rsidR="00A30FB2">
        <w:t xml:space="preserve">which </w:t>
      </w:r>
      <w:r w:rsidR="00437DE6">
        <w:t xml:space="preserve">provides </w:t>
      </w:r>
      <w:r w:rsidR="00D43327">
        <w:t xml:space="preserve">survivors with </w:t>
      </w:r>
      <w:r w:rsidR="00AA582F">
        <w:t xml:space="preserve">funding </w:t>
      </w:r>
      <w:r w:rsidR="00D20A75">
        <w:t>for</w:t>
      </w:r>
      <w:r w:rsidR="00D43327">
        <w:t xml:space="preserve"> appropriate counselling </w:t>
      </w:r>
      <w:r w:rsidR="00AA582F">
        <w:t xml:space="preserve">addressing </w:t>
      </w:r>
      <w:r w:rsidR="00D43327">
        <w:t xml:space="preserve">past trauma from </w:t>
      </w:r>
      <w:r w:rsidR="00914902">
        <w:t xml:space="preserve">SOGI </w:t>
      </w:r>
      <w:r w:rsidR="00D43327">
        <w:t>conversion practices.</w:t>
      </w:r>
      <w:r w:rsidR="00D20A75">
        <w:rPr>
          <w:rStyle w:val="FootnoteReference"/>
        </w:rPr>
        <w:footnoteReference w:id="15"/>
      </w:r>
      <w:r w:rsidR="00D43327">
        <w:t xml:space="preserve">  Such a scheme would require a modest financial </w:t>
      </w:r>
      <w:r w:rsidR="00D43327">
        <w:lastRenderedPageBreak/>
        <w:t>investment</w:t>
      </w:r>
      <w:r w:rsidR="003E3485">
        <w:t xml:space="preserve"> from the Victorian Government.</w:t>
      </w:r>
      <w:r w:rsidR="00777CB8">
        <w:t xml:space="preserve">  The redress scheme could also </w:t>
      </w:r>
      <w:r w:rsidR="00643F84">
        <w:t xml:space="preserve">fund </w:t>
      </w:r>
      <w:r w:rsidR="00C60F2C">
        <w:t>education campaigns on the harm caused by SOGI conversion practices and further research into its effects.</w:t>
      </w:r>
      <w:r w:rsidR="00A51910">
        <w:t xml:space="preserve">  The scheme should </w:t>
      </w:r>
      <w:r w:rsidR="002A0674">
        <w:t xml:space="preserve">be </w:t>
      </w:r>
      <w:r w:rsidR="0019204A">
        <w:t xml:space="preserve">developed in consultation with survivors and </w:t>
      </w:r>
      <w:r w:rsidR="002A0674">
        <w:t>informed in its work by an expert panel that includes survivors.</w:t>
      </w:r>
      <w:r w:rsidR="00EA1F04">
        <w:t xml:space="preserve">  The aim of the redress scheme should be healing and prevention, not punishment</w:t>
      </w:r>
      <w:r w:rsidR="004F09B4">
        <w:t xml:space="preserve">.  It could also </w:t>
      </w:r>
      <w:r w:rsidR="000D3E6E">
        <w:t>consider the application of principles of restorative justice</w:t>
      </w:r>
      <w:r w:rsidR="00952B87">
        <w:t xml:space="preserve">, </w:t>
      </w:r>
      <w:r w:rsidR="006857E6">
        <w:t xml:space="preserve">such as </w:t>
      </w:r>
      <w:r w:rsidR="004F09B4">
        <w:t xml:space="preserve">by </w:t>
      </w:r>
      <w:r w:rsidR="00D46418">
        <w:t>establishing a process for a</w:t>
      </w:r>
      <w:r w:rsidR="00952B87">
        <w:t xml:space="preserve"> </w:t>
      </w:r>
      <w:r w:rsidR="004F09B4">
        <w:t>mediated dialogue between survivors and persons who have engaged in SOGI conversion practices</w:t>
      </w:r>
      <w:r w:rsidR="00952B87">
        <w:t xml:space="preserve"> to promote healing and understanding</w:t>
      </w:r>
      <w:r w:rsidR="004F09B4">
        <w:t xml:space="preserve">. </w:t>
      </w:r>
    </w:p>
    <w:p w14:paraId="372751CD" w14:textId="7EE74A7C" w:rsidR="005E626D" w:rsidRDefault="00931391" w:rsidP="0045519A">
      <w:pPr>
        <w:pStyle w:val="ListParagraph"/>
        <w:numPr>
          <w:ilvl w:val="0"/>
          <w:numId w:val="13"/>
        </w:numPr>
        <w:ind w:hanging="357"/>
        <w:contextualSpacing w:val="0"/>
      </w:pPr>
      <w:r>
        <w:rPr>
          <w:b/>
        </w:rPr>
        <w:t xml:space="preserve">Prohibition.  </w:t>
      </w:r>
      <w:r w:rsidR="00952B87" w:rsidRPr="00952B87">
        <w:rPr>
          <w:bCs/>
        </w:rPr>
        <w:t xml:space="preserve">We support </w:t>
      </w:r>
      <w:r w:rsidR="00952B87">
        <w:t>c</w:t>
      </w:r>
      <w:r w:rsidR="003E3485">
        <w:t xml:space="preserve">arefully crafted </w:t>
      </w:r>
      <w:r w:rsidR="000D3E6E">
        <w:t>legislative prohibition</w:t>
      </w:r>
      <w:r w:rsidR="00D46418">
        <w:t>s</w:t>
      </w:r>
      <w:r w:rsidR="003E3485">
        <w:t xml:space="preserve"> on </w:t>
      </w:r>
      <w:r w:rsidR="004B18E0">
        <w:t xml:space="preserve">SOGI </w:t>
      </w:r>
      <w:r w:rsidR="003E3485">
        <w:t xml:space="preserve">conversion practices in health, education and </w:t>
      </w:r>
      <w:r w:rsidR="00D46418">
        <w:t>welfare</w:t>
      </w:r>
      <w:r w:rsidR="006219C9">
        <w:rPr>
          <w:rStyle w:val="FootnoteReference"/>
        </w:rPr>
        <w:footnoteReference w:id="16"/>
      </w:r>
      <w:r w:rsidR="000D3E6E">
        <w:t xml:space="preserve"> </w:t>
      </w:r>
      <w:r w:rsidR="003E3485">
        <w:t>service settings</w:t>
      </w:r>
      <w:r w:rsidR="0019396A">
        <w:t xml:space="preserve"> (including </w:t>
      </w:r>
      <w:r w:rsidR="006033A8">
        <w:t>for</w:t>
      </w:r>
      <w:r w:rsidR="00913F27">
        <w:t xml:space="preserve"> teachers, counsellors, social workers, youth workers, paid carers, pastoral care workers, health professionals and providers of any service funded by the Commonwealth or the State of Victoria in these settings)</w:t>
      </w:r>
      <w:r w:rsidR="00394983">
        <w:t xml:space="preserve">.  These should </w:t>
      </w:r>
      <w:r w:rsidR="00731B80">
        <w:t>ensure no taxpayer dollars are used to fund</w:t>
      </w:r>
      <w:r w:rsidR="00CA0692">
        <w:t>,</w:t>
      </w:r>
      <w:r w:rsidR="00731B80">
        <w:t xml:space="preserve"> support </w:t>
      </w:r>
      <w:r w:rsidR="00CA0692">
        <w:t xml:space="preserve">or encourage </w:t>
      </w:r>
      <w:r w:rsidR="00731B80">
        <w:t>SOGI conversion practices</w:t>
      </w:r>
      <w:r w:rsidR="00CA0692">
        <w:t xml:space="preserve"> and persons</w:t>
      </w:r>
      <w:r w:rsidR="004B18E0">
        <w:t xml:space="preserve"> working in these settings</w:t>
      </w:r>
      <w:r w:rsidR="006A02A8">
        <w:t xml:space="preserve"> who hold positions of trust</w:t>
      </w:r>
      <w:r w:rsidR="004B18E0">
        <w:t xml:space="preserve"> are not engaging in</w:t>
      </w:r>
      <w:r w:rsidR="009251CA">
        <w:t xml:space="preserve"> or promoting</w:t>
      </w:r>
      <w:r w:rsidR="004B18E0">
        <w:t xml:space="preserve"> SOGI conversion practices</w:t>
      </w:r>
      <w:r w:rsidR="000F2E6D">
        <w:t xml:space="preserve">.  </w:t>
      </w:r>
      <w:r w:rsidR="00ED0E6B">
        <w:t>C</w:t>
      </w:r>
      <w:r w:rsidR="00077763">
        <w:t xml:space="preserve">riminal offences </w:t>
      </w:r>
      <w:r w:rsidR="00ED0E6B">
        <w:t xml:space="preserve">should prohibit </w:t>
      </w:r>
      <w:r w:rsidR="00DA13BC">
        <w:t xml:space="preserve">attempts to remove a person from Victoria for the purposes of </w:t>
      </w:r>
      <w:r w:rsidR="006F4434">
        <w:t xml:space="preserve">engaging in </w:t>
      </w:r>
      <w:r w:rsidR="00DA13BC">
        <w:t xml:space="preserve">SOGI conversion practices </w:t>
      </w:r>
      <w:r w:rsidR="00B175E0">
        <w:t>which are otherwise prohibited in Victoria.</w:t>
      </w:r>
    </w:p>
    <w:p w14:paraId="457ABC38" w14:textId="02AC2356" w:rsidR="00DE54D0" w:rsidRDefault="00931391" w:rsidP="0045519A">
      <w:pPr>
        <w:pStyle w:val="ListParagraph"/>
        <w:numPr>
          <w:ilvl w:val="0"/>
          <w:numId w:val="13"/>
        </w:numPr>
        <w:ind w:hanging="357"/>
        <w:contextualSpacing w:val="0"/>
      </w:pPr>
      <w:r>
        <w:rPr>
          <w:b/>
        </w:rPr>
        <w:t xml:space="preserve">Protection.  </w:t>
      </w:r>
      <w:r w:rsidR="000F2E6D">
        <w:t xml:space="preserve">Outside of </w:t>
      </w:r>
      <w:r w:rsidR="00B8517B">
        <w:t>health, education and welfare service</w:t>
      </w:r>
      <w:r w:rsidR="000F2E6D">
        <w:t xml:space="preserve"> settings, we support</w:t>
      </w:r>
      <w:r w:rsidR="00DE54D0">
        <w:t>:</w:t>
      </w:r>
      <w:r w:rsidR="000F2E6D">
        <w:t xml:space="preserve"> </w:t>
      </w:r>
    </w:p>
    <w:p w14:paraId="779EC3A7" w14:textId="7B31DBBC" w:rsidR="00DE54D0" w:rsidRDefault="00DE54D0" w:rsidP="0045519A">
      <w:pPr>
        <w:pStyle w:val="ListParagraph"/>
        <w:numPr>
          <w:ilvl w:val="1"/>
          <w:numId w:val="13"/>
        </w:numPr>
        <w:ind w:hanging="357"/>
        <w:contextualSpacing w:val="0"/>
      </w:pPr>
      <w:r>
        <w:t xml:space="preserve">prohibitions on </w:t>
      </w:r>
      <w:r w:rsidR="00D76F77">
        <w:t xml:space="preserve">a commercial market in, or </w:t>
      </w:r>
      <w:r w:rsidR="000F2E6D">
        <w:t>profiteering from</w:t>
      </w:r>
      <w:r w:rsidR="00D76F77">
        <w:t>,</w:t>
      </w:r>
      <w:r w:rsidR="000F2E6D">
        <w:t xml:space="preserve"> SOGI conversion practices</w:t>
      </w:r>
      <w:r>
        <w:t>;</w:t>
      </w:r>
      <w:r w:rsidR="005E626D">
        <w:t xml:space="preserve"> </w:t>
      </w:r>
    </w:p>
    <w:p w14:paraId="4C9BEAB8" w14:textId="31A89DC4" w:rsidR="00F22028" w:rsidRDefault="005E626D" w:rsidP="0045519A">
      <w:pPr>
        <w:pStyle w:val="ListParagraph"/>
        <w:numPr>
          <w:ilvl w:val="1"/>
          <w:numId w:val="13"/>
        </w:numPr>
        <w:ind w:hanging="357"/>
        <w:contextualSpacing w:val="0"/>
      </w:pPr>
      <w:r>
        <w:t xml:space="preserve">protections from SOGI conversion practices for </w:t>
      </w:r>
      <w:r w:rsidR="00681216">
        <w:t>children</w:t>
      </w:r>
      <w:r w:rsidR="00720399">
        <w:t>,</w:t>
      </w:r>
      <w:r w:rsidR="00681216">
        <w:t xml:space="preserve"> vulnerable people </w:t>
      </w:r>
      <w:r>
        <w:t>who are unable</w:t>
      </w:r>
      <w:r w:rsidR="00720399">
        <w:t xml:space="preserve"> to consent and for all persons who do not</w:t>
      </w:r>
      <w:r>
        <w:t xml:space="preserve"> consent</w:t>
      </w:r>
      <w:r w:rsidR="00F22028">
        <w:t>;</w:t>
      </w:r>
      <w:r w:rsidR="00CD3E72">
        <w:t xml:space="preserve"> and </w:t>
      </w:r>
    </w:p>
    <w:p w14:paraId="1F43A0FD" w14:textId="3C772B37" w:rsidR="00D43327" w:rsidRDefault="003F579B" w:rsidP="0045519A">
      <w:pPr>
        <w:pStyle w:val="ListParagraph"/>
        <w:numPr>
          <w:ilvl w:val="1"/>
          <w:numId w:val="13"/>
        </w:numPr>
        <w:ind w:hanging="357"/>
        <w:contextualSpacing w:val="0"/>
      </w:pPr>
      <w:proofErr w:type="gramStart"/>
      <w:r>
        <w:t xml:space="preserve">giving </w:t>
      </w:r>
      <w:r w:rsidR="00720399">
        <w:t xml:space="preserve">consideration </w:t>
      </w:r>
      <w:r>
        <w:t>to</w:t>
      </w:r>
      <w:proofErr w:type="gramEnd"/>
      <w:r>
        <w:t xml:space="preserve"> whether there is a need for further </w:t>
      </w:r>
      <w:r w:rsidR="00F22028">
        <w:t xml:space="preserve">protections for adults </w:t>
      </w:r>
      <w:r w:rsidR="00CD3E72">
        <w:t>in cases where</w:t>
      </w:r>
      <w:r w:rsidR="00720399">
        <w:t xml:space="preserve"> serious</w:t>
      </w:r>
      <w:r w:rsidR="00CD3E72">
        <w:t xml:space="preserve"> harm has occurred or is likely to occur</w:t>
      </w:r>
      <w:r w:rsidR="004A6EEB">
        <w:t xml:space="preserve"> from SOGI conversion practices</w:t>
      </w:r>
      <w:r w:rsidR="00077763">
        <w:t>.</w:t>
      </w:r>
    </w:p>
    <w:p w14:paraId="32CE8D51" w14:textId="660CB156" w:rsidR="001823C5" w:rsidRDefault="00C60F2C" w:rsidP="001823C5">
      <w:pPr>
        <w:pStyle w:val="ListParagraph"/>
        <w:numPr>
          <w:ilvl w:val="0"/>
          <w:numId w:val="13"/>
        </w:numPr>
        <w:ind w:hanging="357"/>
        <w:contextualSpacing w:val="0"/>
      </w:pPr>
      <w:r>
        <w:rPr>
          <w:b/>
        </w:rPr>
        <w:t>C</w:t>
      </w:r>
      <w:r w:rsidR="00931391" w:rsidRPr="00931391">
        <w:rPr>
          <w:b/>
        </w:rPr>
        <w:t>hange.</w:t>
      </w:r>
      <w:r w:rsidR="00931391">
        <w:t xml:space="preserve">  </w:t>
      </w:r>
      <w:r w:rsidR="004A6EEB">
        <w:t>We support e</w:t>
      </w:r>
      <w:r w:rsidR="00BA1DF8">
        <w:t xml:space="preserve">ncouraging religious institutions </w:t>
      </w:r>
      <w:r w:rsidR="00717775">
        <w:t xml:space="preserve">to </w:t>
      </w:r>
      <w:r w:rsidR="00BA1DF8">
        <w:t xml:space="preserve">voluntarily </w:t>
      </w:r>
      <w:r w:rsidR="002C1ABD">
        <w:t xml:space="preserve">make statements denouncing SOGI conversion practices and </w:t>
      </w:r>
      <w:r w:rsidR="004C7398">
        <w:t xml:space="preserve">demonstrating their commitment by voluntarily </w:t>
      </w:r>
      <w:r w:rsidR="002C1ABD">
        <w:t xml:space="preserve">contributing to </w:t>
      </w:r>
      <w:r>
        <w:t>the</w:t>
      </w:r>
      <w:r w:rsidR="002C1ABD">
        <w:t xml:space="preserve"> redress scheme.</w:t>
      </w:r>
      <w:r w:rsidR="009E69A2">
        <w:t xml:space="preserve">  We also support training for health, education and welfare professionals, including school chaplains, to educate </w:t>
      </w:r>
      <w:r w:rsidR="0058222C">
        <w:t xml:space="preserve">them on </w:t>
      </w:r>
      <w:r w:rsidR="009E69A2">
        <w:t>the harms caused by SOGI conversion practices</w:t>
      </w:r>
      <w:r w:rsidR="00FE3F0E">
        <w:t xml:space="preserve"> in the context of</w:t>
      </w:r>
      <w:r w:rsidR="001823C5">
        <w:t xml:space="preserve"> their professional obligations</w:t>
      </w:r>
      <w:r w:rsidR="009E69A2">
        <w:t>.</w:t>
      </w:r>
      <w:r w:rsidR="001823C5">
        <w:t xml:space="preserve"> </w:t>
      </w:r>
    </w:p>
    <w:p w14:paraId="20481DA8" w14:textId="4625CA4C" w:rsidR="0045519A" w:rsidRDefault="00620039" w:rsidP="001823C5">
      <w:r>
        <w:t xml:space="preserve">We have responded to each of the topics in the </w:t>
      </w:r>
      <w:r w:rsidR="00C52648">
        <w:t>discussion paper</w:t>
      </w:r>
      <w:r>
        <w:t xml:space="preserve"> using the</w:t>
      </w:r>
      <w:r w:rsidR="00653C19">
        <w:t xml:space="preserve"> same</w:t>
      </w:r>
      <w:r>
        <w:t xml:space="preserve"> headings</w:t>
      </w:r>
      <w:r w:rsidR="00D52540">
        <w:t xml:space="preserve"> as in the paper</w:t>
      </w:r>
      <w:r w:rsidR="00653C19">
        <w:t>.</w:t>
      </w:r>
    </w:p>
    <w:p w14:paraId="662B5095" w14:textId="77777777" w:rsidR="0045519A" w:rsidRDefault="0045519A">
      <w:pPr>
        <w:spacing w:before="0" w:after="160" w:line="259" w:lineRule="auto"/>
      </w:pPr>
      <w:r>
        <w:br w:type="page"/>
      </w:r>
    </w:p>
    <w:p w14:paraId="72F5BBE6" w14:textId="27CD3CF3" w:rsidR="00193325" w:rsidRDefault="00620039" w:rsidP="00620039">
      <w:pPr>
        <w:pStyle w:val="Heading1"/>
      </w:pPr>
      <w:bookmarkStart w:id="2" w:name="_Toc27749608"/>
      <w:r>
        <w:lastRenderedPageBreak/>
        <w:t>What is banned?</w:t>
      </w:r>
      <w:bookmarkEnd w:id="2"/>
    </w:p>
    <w:tbl>
      <w:tblPr>
        <w:tblStyle w:val="TableGridLight"/>
        <w:tblW w:w="0" w:type="auto"/>
        <w:tblBorders>
          <w:top w:val="single" w:sz="12" w:space="0" w:color="00BE87" w:themeColor="accent2"/>
          <w:left w:val="single" w:sz="12" w:space="0" w:color="00BE87" w:themeColor="accent2"/>
          <w:bottom w:val="single" w:sz="12" w:space="0" w:color="00BE87" w:themeColor="accent2"/>
          <w:right w:val="single" w:sz="12" w:space="0" w:color="00BE87" w:themeColor="accent2"/>
          <w:insideH w:val="single" w:sz="12" w:space="0" w:color="00BE87" w:themeColor="accent2"/>
          <w:insideV w:val="single" w:sz="12" w:space="0" w:color="00BE87" w:themeColor="accent2"/>
        </w:tblBorders>
        <w:tblCellMar>
          <w:left w:w="340" w:type="dxa"/>
          <w:right w:w="340" w:type="dxa"/>
        </w:tblCellMar>
        <w:tblLook w:val="0600" w:firstRow="0" w:lastRow="0" w:firstColumn="0" w:lastColumn="0" w:noHBand="1" w:noVBand="1"/>
      </w:tblPr>
      <w:tblGrid>
        <w:gridCol w:w="8871"/>
      </w:tblGrid>
      <w:tr w:rsidR="004F2258" w14:paraId="0488F6A0" w14:textId="77777777" w:rsidTr="00D87056">
        <w:tc>
          <w:tcPr>
            <w:tcW w:w="8871" w:type="dxa"/>
            <w:tcMar>
              <w:bottom w:w="142" w:type="dxa"/>
            </w:tcMar>
          </w:tcPr>
          <w:p w14:paraId="0543924E" w14:textId="7D108D38" w:rsidR="004F2258" w:rsidRDefault="00BE3DC9" w:rsidP="00D87056">
            <w:pPr>
              <w:pStyle w:val="Heading3"/>
              <w:outlineLvl w:val="2"/>
            </w:pPr>
            <w:r>
              <w:t>Discussion questions:</w:t>
            </w:r>
          </w:p>
          <w:p w14:paraId="70272073" w14:textId="77777777" w:rsidR="004F2258" w:rsidRPr="004F2258" w:rsidRDefault="004F2258" w:rsidP="004F2258">
            <w:pPr>
              <w:pStyle w:val="Intro"/>
              <w:rPr>
                <w:i/>
                <w:spacing w:val="0"/>
                <w:sz w:val="22"/>
              </w:rPr>
            </w:pPr>
            <w:r w:rsidRPr="004F2258">
              <w:rPr>
                <w:i/>
              </w:rPr>
              <w:t xml:space="preserve">Do you agree with the HCC’s definition? </w:t>
            </w:r>
          </w:p>
          <w:p w14:paraId="2814C641" w14:textId="77777777" w:rsidR="004F2258" w:rsidRPr="004F2258" w:rsidRDefault="004F2258" w:rsidP="004F2258">
            <w:pPr>
              <w:pStyle w:val="Intro"/>
              <w:rPr>
                <w:i/>
              </w:rPr>
            </w:pPr>
            <w:r w:rsidRPr="004F2258">
              <w:rPr>
                <w:i/>
              </w:rPr>
              <w:t xml:space="preserve">Would you suggest any changes? </w:t>
            </w:r>
          </w:p>
          <w:p w14:paraId="4006636F" w14:textId="77777777" w:rsidR="004F2258" w:rsidRPr="004F2258" w:rsidRDefault="004F2258" w:rsidP="004F2258">
            <w:pPr>
              <w:pStyle w:val="Intro"/>
              <w:rPr>
                <w:i/>
              </w:rPr>
            </w:pPr>
            <w:r w:rsidRPr="004F2258">
              <w:rPr>
                <w:i/>
              </w:rPr>
              <w:t xml:space="preserve">Should the definition of conversion practices be broad enough to capture the practices that do not involve health services or counselling? </w:t>
            </w:r>
          </w:p>
          <w:p w14:paraId="0C506D97" w14:textId="0C9AFCE1" w:rsidR="004F2258" w:rsidRDefault="004F2258" w:rsidP="004F2258">
            <w:pPr>
              <w:pStyle w:val="Intro"/>
              <w:rPr>
                <w:rStyle w:val="PageNumber"/>
              </w:rPr>
            </w:pPr>
            <w:r w:rsidRPr="004F2258">
              <w:rPr>
                <w:i/>
              </w:rPr>
              <w:t>What treatments and practices should be expressly excluded from the definition?</w:t>
            </w:r>
          </w:p>
        </w:tc>
      </w:tr>
    </w:tbl>
    <w:p w14:paraId="7F911135" w14:textId="68CD44D5" w:rsidR="002D4ABF" w:rsidRDefault="00341524" w:rsidP="004F2258">
      <w:r>
        <w:t xml:space="preserve">When considering </w:t>
      </w:r>
      <w:r w:rsidR="000E728F">
        <w:t xml:space="preserve">prohibitions or regulations regarding </w:t>
      </w:r>
      <w:r>
        <w:t>SOGI conversion practices, i</w:t>
      </w:r>
      <w:r w:rsidR="000A2F2F">
        <w:t xml:space="preserve">t is not </w:t>
      </w:r>
      <w:r w:rsidR="00A27A6F">
        <w:t xml:space="preserve">our preference to </w:t>
      </w:r>
      <w:r w:rsidR="000A2F2F">
        <w:t>consider a definition of</w:t>
      </w:r>
      <w:r w:rsidR="009E1B20">
        <w:t xml:space="preserve"> SOGI</w:t>
      </w:r>
      <w:r w:rsidR="000A2F2F">
        <w:t xml:space="preserve"> conversion practices in isolation of its context.</w:t>
      </w:r>
      <w:r w:rsidR="008B3B02">
        <w:t xml:space="preserve">  This is because </w:t>
      </w:r>
      <w:r w:rsidR="008A0AC5">
        <w:t xml:space="preserve">prohibiting SOGI conversion practices in an indiscriminate way may </w:t>
      </w:r>
      <w:r w:rsidR="000B42FD">
        <w:t>ha</w:t>
      </w:r>
      <w:r w:rsidR="00F733F2">
        <w:t>v</w:t>
      </w:r>
      <w:r w:rsidR="000B42FD">
        <w:t>e unintended</w:t>
      </w:r>
      <w:r w:rsidR="00863118">
        <w:t xml:space="preserve"> and</w:t>
      </w:r>
      <w:r w:rsidR="009D5DCD">
        <w:t>/or</w:t>
      </w:r>
      <w:r w:rsidR="00863118">
        <w:t xml:space="preserve"> damaging</w:t>
      </w:r>
      <w:r w:rsidR="000B42FD">
        <w:t xml:space="preserve"> consequences, </w:t>
      </w:r>
      <w:r w:rsidR="00863118">
        <w:t>including</w:t>
      </w:r>
      <w:r w:rsidR="002D4ABF">
        <w:t>:</w:t>
      </w:r>
      <w:r w:rsidR="000B42FD">
        <w:t xml:space="preserve"> </w:t>
      </w:r>
    </w:p>
    <w:p w14:paraId="1E4B92B3" w14:textId="78D3DAAF" w:rsidR="002D4ABF" w:rsidRDefault="00032F63" w:rsidP="002D4ABF">
      <w:pPr>
        <w:pStyle w:val="Bullet"/>
      </w:pPr>
      <w:r>
        <w:t>driving SOGI conversion practices underground</w:t>
      </w:r>
      <w:r w:rsidR="00863118">
        <w:t xml:space="preserve"> </w:t>
      </w:r>
      <w:r w:rsidR="00703FAA">
        <w:t xml:space="preserve">and thereby </w:t>
      </w:r>
      <w:r w:rsidR="00863118">
        <w:t xml:space="preserve">making it harder </w:t>
      </w:r>
      <w:r w:rsidR="005A0796">
        <w:t xml:space="preserve">to drive change through education and to </w:t>
      </w:r>
      <w:r w:rsidR="00F43660">
        <w:t>reach</w:t>
      </w:r>
      <w:r w:rsidR="005A0796">
        <w:t xml:space="preserve"> </w:t>
      </w:r>
      <w:r w:rsidR="002B219C">
        <w:t>survivors</w:t>
      </w:r>
      <w:r w:rsidR="00C5334F">
        <w:t xml:space="preserve"> </w:t>
      </w:r>
      <w:r w:rsidR="00D5343D">
        <w:t>who wish to</w:t>
      </w:r>
      <w:r w:rsidR="00C9359D">
        <w:t xml:space="preserve"> access help</w:t>
      </w:r>
      <w:r w:rsidR="00214C49">
        <w:t>;</w:t>
      </w:r>
    </w:p>
    <w:p w14:paraId="5D565ECB" w14:textId="2F62E3F3" w:rsidR="002D4ABF" w:rsidRDefault="008B3B02" w:rsidP="002D4ABF">
      <w:pPr>
        <w:pStyle w:val="Bullet"/>
      </w:pPr>
      <w:r>
        <w:t xml:space="preserve">potentially penalising </w:t>
      </w:r>
      <w:r w:rsidR="00467ACD">
        <w:t xml:space="preserve">survivors who </w:t>
      </w:r>
      <w:r w:rsidR="008A0AC5">
        <w:t>were</w:t>
      </w:r>
      <w:r w:rsidR="00467ACD">
        <w:t xml:space="preserve"> </w:t>
      </w:r>
      <w:r w:rsidR="008A0AC5">
        <w:t xml:space="preserve">themselves </w:t>
      </w:r>
      <w:r w:rsidR="00467ACD">
        <w:t xml:space="preserve">involved </w:t>
      </w:r>
      <w:r w:rsidR="002D4ABF">
        <w:t xml:space="preserve">in </w:t>
      </w:r>
      <w:r w:rsidR="008A0AC5">
        <w:t>referring people</w:t>
      </w:r>
      <w:r w:rsidR="002D4ABF">
        <w:t xml:space="preserve"> into SOGI conversion practices</w:t>
      </w:r>
      <w:r w:rsidR="00A25346">
        <w:t xml:space="preserve"> in the past</w:t>
      </w:r>
      <w:r w:rsidR="002D4ABF">
        <w:t>;</w:t>
      </w:r>
    </w:p>
    <w:p w14:paraId="7883193A" w14:textId="6E4DEC58" w:rsidR="00111422" w:rsidRDefault="006D0A70" w:rsidP="002D4ABF">
      <w:pPr>
        <w:pStyle w:val="Bullet"/>
      </w:pPr>
      <w:r>
        <w:t xml:space="preserve">limiting the freedom of thought, </w:t>
      </w:r>
      <w:r w:rsidR="008905BF">
        <w:t>conscience and religion</w:t>
      </w:r>
      <w:r w:rsidR="00DD3E60">
        <w:t xml:space="preserve"> in an impermissible way, recognising that the </w:t>
      </w:r>
      <w:r w:rsidR="00214C49">
        <w:t xml:space="preserve">freedom to manifest religion is not absolute and </w:t>
      </w:r>
      <w:r w:rsidR="00E26E38">
        <w:t xml:space="preserve">may be subject to </w:t>
      </w:r>
      <w:r w:rsidR="00E26E38" w:rsidRPr="00E26E38">
        <w:t>such limitations as are prescribed by law and are necessary to protect public safety, health or the fundamental rights and freedoms of others.</w:t>
      </w:r>
      <w:r w:rsidR="00126C10">
        <w:rPr>
          <w:rStyle w:val="FootnoteReference"/>
        </w:rPr>
        <w:footnoteReference w:id="17"/>
      </w:r>
      <w:r w:rsidR="00126C10">
        <w:t xml:space="preserve">  </w:t>
      </w:r>
    </w:p>
    <w:p w14:paraId="156A1784" w14:textId="4669EC2C" w:rsidR="004F2258" w:rsidRDefault="00973046" w:rsidP="002D4ABF">
      <w:r>
        <w:t xml:space="preserve">Accordingly, these comments </w:t>
      </w:r>
      <w:r w:rsidR="000B42FD">
        <w:t xml:space="preserve">provide some observations </w:t>
      </w:r>
      <w:r w:rsidR="002A3769">
        <w:t>about</w:t>
      </w:r>
      <w:r>
        <w:t xml:space="preserve"> how a definition of SOGI conversion practices </w:t>
      </w:r>
      <w:r w:rsidR="000A5E7C">
        <w:t>could</w:t>
      </w:r>
      <w:r w:rsidR="003E55EC">
        <w:t xml:space="preserve"> be approached</w:t>
      </w:r>
      <w:r w:rsidR="00D46B55">
        <w:t xml:space="preserve"> </w:t>
      </w:r>
      <w:proofErr w:type="gramStart"/>
      <w:r w:rsidR="00D46B55">
        <w:t xml:space="preserve">in particular </w:t>
      </w:r>
      <w:r w:rsidR="00941CA1">
        <w:t>regulatory</w:t>
      </w:r>
      <w:proofErr w:type="gramEnd"/>
      <w:r w:rsidR="00941CA1">
        <w:t xml:space="preserve"> </w:t>
      </w:r>
      <w:r w:rsidR="00D46B55">
        <w:t>contexts</w:t>
      </w:r>
      <w:r w:rsidR="00491EEB">
        <w:t>, but the definition will ultimately need to be considered in the context of any</w:t>
      </w:r>
      <w:r w:rsidR="00D515F4">
        <w:t xml:space="preserve"> proposed</w:t>
      </w:r>
      <w:r w:rsidR="00491EEB">
        <w:t xml:space="preserve"> legislation.</w:t>
      </w:r>
    </w:p>
    <w:p w14:paraId="7BCE9D5B" w14:textId="0C93AFA3" w:rsidR="00F53B88" w:rsidRDefault="00F53B88" w:rsidP="00F53B88">
      <w:pPr>
        <w:pStyle w:val="Heading2"/>
      </w:pPr>
      <w:bookmarkStart w:id="3" w:name="_Toc27749609"/>
      <w:r>
        <w:t xml:space="preserve">Health, education and </w:t>
      </w:r>
      <w:r w:rsidR="003232F1">
        <w:t>welfare</w:t>
      </w:r>
      <w:r w:rsidR="000D3E6E">
        <w:t xml:space="preserve"> </w:t>
      </w:r>
      <w:r>
        <w:t>service settings</w:t>
      </w:r>
      <w:bookmarkEnd w:id="3"/>
    </w:p>
    <w:p w14:paraId="52EC69B6" w14:textId="244D01FA" w:rsidR="00AB12CA" w:rsidRDefault="000A2F2F" w:rsidP="004F2258">
      <w:r>
        <w:t>There is a</w:t>
      </w:r>
      <w:r w:rsidR="006B5611">
        <w:t xml:space="preserve"> strong</w:t>
      </w:r>
      <w:r>
        <w:t xml:space="preserve"> case for</w:t>
      </w:r>
      <w:r w:rsidR="00A32DB3">
        <w:t xml:space="preserve"> prohibiting </w:t>
      </w:r>
      <w:r w:rsidR="00D65D08">
        <w:t xml:space="preserve">SOGI </w:t>
      </w:r>
      <w:r w:rsidR="00207CAC">
        <w:t>conversion</w:t>
      </w:r>
      <w:r>
        <w:t xml:space="preserve"> practices in </w:t>
      </w:r>
      <w:r w:rsidR="00B71D2B">
        <w:t xml:space="preserve">health, education and </w:t>
      </w:r>
      <w:r w:rsidR="007173D3">
        <w:t>welfare</w:t>
      </w:r>
      <w:r w:rsidR="00B71D2B">
        <w:t xml:space="preserve"> settings</w:t>
      </w:r>
      <w:r w:rsidR="008560D2">
        <w:t xml:space="preserve"> </w:t>
      </w:r>
      <w:r w:rsidR="00B71D2B">
        <w:t xml:space="preserve">because of the position of trust that these </w:t>
      </w:r>
      <w:r w:rsidR="00E951DD">
        <w:t>professionals hold and</w:t>
      </w:r>
      <w:r w:rsidR="000C4CA5">
        <w:t>/or</w:t>
      </w:r>
      <w:r w:rsidR="00E951DD">
        <w:t xml:space="preserve"> because </w:t>
      </w:r>
      <w:r w:rsidR="008560D2">
        <w:t xml:space="preserve">public funds </w:t>
      </w:r>
      <w:r w:rsidR="00E951DD">
        <w:t xml:space="preserve">should </w:t>
      </w:r>
      <w:r w:rsidR="003E55EC">
        <w:t>not</w:t>
      </w:r>
      <w:r w:rsidR="00E951DD">
        <w:t xml:space="preserve"> be used to fund discredited and harmful SOGI conversion practices.</w:t>
      </w:r>
    </w:p>
    <w:p w14:paraId="2E9A8632" w14:textId="77943538" w:rsidR="00F53B88" w:rsidRDefault="002056A4" w:rsidP="004F2258">
      <w:r>
        <w:t>The definition</w:t>
      </w:r>
      <w:r w:rsidR="00273E37">
        <w:t xml:space="preserve"> of SOGI conversion </w:t>
      </w:r>
      <w:r w:rsidR="00760F2C">
        <w:t>practices</w:t>
      </w:r>
      <w:r>
        <w:t xml:space="preserve"> should include </w:t>
      </w:r>
      <w:r w:rsidR="00760F2C">
        <w:t>all</w:t>
      </w:r>
      <w:r>
        <w:t xml:space="preserve"> </w:t>
      </w:r>
      <w:r w:rsidR="0034655A">
        <w:t>professionals</w:t>
      </w:r>
      <w:r w:rsidR="00B168A4">
        <w:t xml:space="preserve"> working</w:t>
      </w:r>
      <w:r>
        <w:t xml:space="preserve"> in </w:t>
      </w:r>
      <w:r w:rsidR="00283FD9">
        <w:t xml:space="preserve">health, education and </w:t>
      </w:r>
      <w:r w:rsidR="000C4CA5">
        <w:t>welfare</w:t>
      </w:r>
      <w:r>
        <w:t xml:space="preserve"> setting</w:t>
      </w:r>
      <w:r w:rsidR="00B6364B">
        <w:t>s</w:t>
      </w:r>
      <w:r w:rsidR="000A78E3">
        <w:t xml:space="preserve"> who hold positions of trust</w:t>
      </w:r>
      <w:r w:rsidR="00C80D9A">
        <w:t xml:space="preserve"> (including by holding themselves out to be</w:t>
      </w:r>
      <w:r w:rsidR="00B2616A">
        <w:t xml:space="preserve"> in such positions)</w:t>
      </w:r>
      <w:r w:rsidR="00590C96">
        <w:t>,</w:t>
      </w:r>
      <w:r w:rsidR="00B2616A">
        <w:t xml:space="preserve"> </w:t>
      </w:r>
      <w:r w:rsidR="00590C96">
        <w:t>or</w:t>
      </w:r>
      <w:r w:rsidR="000B66C9">
        <w:t xml:space="preserve"> who provide</w:t>
      </w:r>
      <w:r w:rsidR="00590C96">
        <w:t xml:space="preserve"> health,</w:t>
      </w:r>
      <w:r w:rsidR="00712871">
        <w:t xml:space="preserve"> education and welfare</w:t>
      </w:r>
      <w:r w:rsidR="000B66C9">
        <w:t xml:space="preserve"> </w:t>
      </w:r>
      <w:r w:rsidR="00E9645F">
        <w:t xml:space="preserve">services which are publicly funded or regulated.  </w:t>
      </w:r>
      <w:r w:rsidR="00241950">
        <w:t xml:space="preserve">A list of such professionals is set out in </w:t>
      </w:r>
      <w:r w:rsidR="007536DD" w:rsidRPr="007536DD">
        <w:rPr>
          <w:i/>
          <w:iCs/>
        </w:rPr>
        <w:fldChar w:fldCharType="begin"/>
      </w:r>
      <w:r w:rsidR="007536DD" w:rsidRPr="007536DD">
        <w:rPr>
          <w:i/>
          <w:iCs/>
        </w:rPr>
        <w:instrText xml:space="preserve"> REF _Ref27419757 \n \h </w:instrText>
      </w:r>
      <w:r w:rsidR="007536DD">
        <w:rPr>
          <w:i/>
          <w:iCs/>
        </w:rPr>
        <w:instrText xml:space="preserve"> \* MERGEFORMAT </w:instrText>
      </w:r>
      <w:r w:rsidR="007536DD" w:rsidRPr="007536DD">
        <w:rPr>
          <w:i/>
          <w:iCs/>
        </w:rPr>
      </w:r>
      <w:r w:rsidR="007536DD" w:rsidRPr="007536DD">
        <w:rPr>
          <w:i/>
          <w:iCs/>
        </w:rPr>
        <w:fldChar w:fldCharType="separate"/>
      </w:r>
      <w:r w:rsidR="00A725C8">
        <w:rPr>
          <w:i/>
          <w:iCs/>
        </w:rPr>
        <w:t>3</w:t>
      </w:r>
      <w:r w:rsidR="007536DD" w:rsidRPr="007536DD">
        <w:rPr>
          <w:i/>
          <w:iCs/>
        </w:rPr>
        <w:fldChar w:fldCharType="end"/>
      </w:r>
      <w:r w:rsidR="007536DD" w:rsidRPr="007536DD">
        <w:rPr>
          <w:i/>
          <w:iCs/>
        </w:rPr>
        <w:t xml:space="preserve">. </w:t>
      </w:r>
      <w:r w:rsidR="00023B30" w:rsidRPr="007536DD">
        <w:rPr>
          <w:i/>
          <w:iCs/>
        </w:rPr>
        <w:fldChar w:fldCharType="begin"/>
      </w:r>
      <w:r w:rsidR="00023B30" w:rsidRPr="007536DD">
        <w:rPr>
          <w:i/>
          <w:iCs/>
        </w:rPr>
        <w:instrText xml:space="preserve"> REF _Ref27419721 \h </w:instrText>
      </w:r>
      <w:r w:rsidR="007536DD">
        <w:rPr>
          <w:i/>
          <w:iCs/>
        </w:rPr>
        <w:instrText xml:space="preserve"> \* MERGEFORMAT </w:instrText>
      </w:r>
      <w:r w:rsidR="00023B30" w:rsidRPr="007536DD">
        <w:rPr>
          <w:i/>
          <w:iCs/>
        </w:rPr>
      </w:r>
      <w:r w:rsidR="00023B30" w:rsidRPr="007536DD">
        <w:rPr>
          <w:i/>
          <w:iCs/>
        </w:rPr>
        <w:fldChar w:fldCharType="separate"/>
      </w:r>
      <w:r w:rsidR="00A725C8" w:rsidRPr="00A725C8">
        <w:rPr>
          <w:i/>
          <w:iCs/>
        </w:rPr>
        <w:t>Who is regulated?</w:t>
      </w:r>
      <w:r w:rsidR="00023B30" w:rsidRPr="007536DD">
        <w:rPr>
          <w:i/>
          <w:iCs/>
        </w:rPr>
        <w:fldChar w:fldCharType="end"/>
      </w:r>
      <w:r w:rsidR="00023B30">
        <w:t xml:space="preserve"> below</w:t>
      </w:r>
      <w:r w:rsidR="00C94E4B">
        <w:t xml:space="preserve"> and </w:t>
      </w:r>
      <w:r w:rsidR="00023B30">
        <w:t>includes teachers</w:t>
      </w:r>
      <w:r w:rsidR="007536DD">
        <w:t>, counsellors, social workers, paid carers, pastoral care workers</w:t>
      </w:r>
      <w:r w:rsidR="009A03F0">
        <w:t xml:space="preserve"> </w:t>
      </w:r>
      <w:r w:rsidR="001E64F0">
        <w:t xml:space="preserve">in schools, </w:t>
      </w:r>
      <w:r w:rsidR="009A03F0">
        <w:t>and other health professionals.</w:t>
      </w:r>
      <w:r w:rsidR="00023B30">
        <w:t xml:space="preserve"> </w:t>
      </w:r>
      <w:r w:rsidR="00426EC3">
        <w:t xml:space="preserve"> </w:t>
      </w:r>
      <w:r w:rsidR="00FA79D4">
        <w:t xml:space="preserve">The prohibition should include </w:t>
      </w:r>
      <w:r w:rsidR="005D75FB">
        <w:t>engaging</w:t>
      </w:r>
      <w:r w:rsidR="00546A04">
        <w:t xml:space="preserve"> in</w:t>
      </w:r>
      <w:r w:rsidR="00B8589F">
        <w:t xml:space="preserve"> or promoting </w:t>
      </w:r>
      <w:r w:rsidR="00B73EDC">
        <w:t>SOGI conversion practices in these settings</w:t>
      </w:r>
      <w:r w:rsidR="00590C96">
        <w:t>.</w:t>
      </w:r>
    </w:p>
    <w:p w14:paraId="5F4DDD5F" w14:textId="08EA18B3" w:rsidR="00155143" w:rsidRDefault="00155143" w:rsidP="00155143">
      <w:pPr>
        <w:pStyle w:val="Heading3"/>
      </w:pPr>
      <w:r>
        <w:t>A definition of SOGI conversion practices</w:t>
      </w:r>
    </w:p>
    <w:p w14:paraId="057D9445" w14:textId="06E944B1" w:rsidR="000D3E6E" w:rsidRDefault="001737A6" w:rsidP="004F2258">
      <w:r>
        <w:t>There is a need for</w:t>
      </w:r>
      <w:r w:rsidR="000D3E6E">
        <w:t xml:space="preserve"> a different approach to defining conversion practices when considering</w:t>
      </w:r>
      <w:r w:rsidR="002F12A1">
        <w:t xml:space="preserve">, on the one hand, </w:t>
      </w:r>
      <w:r w:rsidR="000D3E6E">
        <w:t>public policy responses to the phenomenon</w:t>
      </w:r>
      <w:r w:rsidR="00C10C3B">
        <w:t>,</w:t>
      </w:r>
      <w:r w:rsidR="000D3E6E">
        <w:t xml:space="preserve"> </w:t>
      </w:r>
      <w:r w:rsidR="00732D02">
        <w:t>and on the other hand,</w:t>
      </w:r>
      <w:r w:rsidR="000D3E6E">
        <w:t xml:space="preserve"> a suitable definition for the purpose of</w:t>
      </w:r>
      <w:r w:rsidR="00C10C3B">
        <w:t xml:space="preserve"> a</w:t>
      </w:r>
      <w:r w:rsidR="000D3E6E">
        <w:t xml:space="preserve"> legislative response</w:t>
      </w:r>
      <w:r w:rsidR="00C10C3B">
        <w:t xml:space="preserve">.  This is because a legislative definition </w:t>
      </w:r>
      <w:r w:rsidR="000D3E6E">
        <w:t xml:space="preserve">requires specificity in order to identify and capture the relevant </w:t>
      </w:r>
      <w:r w:rsidR="000D3E6E">
        <w:lastRenderedPageBreak/>
        <w:t xml:space="preserve">conduct and any mental element. </w:t>
      </w:r>
      <w:r w:rsidR="00F9048E">
        <w:t xml:space="preserve"> Further, the definitions of each practice to be captured by legislation must be considered and drafted appropriately to the overall context rather than in isolation. </w:t>
      </w:r>
      <w:r w:rsidR="000D3E6E">
        <w:t xml:space="preserve"> </w:t>
      </w:r>
      <w:r w:rsidR="00C10C3B">
        <w:t xml:space="preserve">Beyond a legislative definition for specific </w:t>
      </w:r>
      <w:r w:rsidR="00E016E0">
        <w:t>practices, w</w:t>
      </w:r>
      <w:r w:rsidR="00E719B4">
        <w:t xml:space="preserve">e would encourage the Victorian Government to </w:t>
      </w:r>
      <w:proofErr w:type="gramStart"/>
      <w:r w:rsidR="00E719B4">
        <w:t>found</w:t>
      </w:r>
      <w:proofErr w:type="gramEnd"/>
      <w:r w:rsidR="00E719B4">
        <w:t xml:space="preserve"> its further research and education work in this area </w:t>
      </w:r>
      <w:r w:rsidR="00C42589">
        <w:t xml:space="preserve">to tackle the broader social </w:t>
      </w:r>
      <w:r w:rsidR="00E34823">
        <w:t>phenomenon</w:t>
      </w:r>
      <w:r w:rsidR="00E016E0">
        <w:t>,</w:t>
      </w:r>
      <w:r w:rsidR="00E34823">
        <w:t xml:space="preserve"> including the ideology</w:t>
      </w:r>
      <w:r w:rsidR="00E016E0">
        <w:t>,</w:t>
      </w:r>
      <w:r w:rsidR="00E34823">
        <w:t xml:space="preserve"> that lies at the heart of conversion practices</w:t>
      </w:r>
      <w:r w:rsidR="0015325B">
        <w:t>.</w:t>
      </w:r>
      <w:r w:rsidR="00C10C3B">
        <w:t xml:space="preserve">  </w:t>
      </w:r>
    </w:p>
    <w:p w14:paraId="74B0BB1A" w14:textId="094B3EED" w:rsidR="00DB2AB8" w:rsidRDefault="004E291C" w:rsidP="004F2258">
      <w:r>
        <w:t>In respect of a legislative definition of SOGI conversion practices, t</w:t>
      </w:r>
      <w:r w:rsidR="00D65D08">
        <w:t xml:space="preserve">he </w:t>
      </w:r>
      <w:r w:rsidR="00557D66">
        <w:t>Health Complaints Commissioner</w:t>
      </w:r>
      <w:r w:rsidR="00D65D08">
        <w:t xml:space="preserve"> definition</w:t>
      </w:r>
      <w:r w:rsidR="00D60E12">
        <w:t xml:space="preserve"> </w:t>
      </w:r>
      <w:r w:rsidR="00652FEF">
        <w:t>serves</w:t>
      </w:r>
      <w:r>
        <w:t xml:space="preserve"> as</w:t>
      </w:r>
      <w:r w:rsidR="00F53B88">
        <w:t xml:space="preserve"> </w:t>
      </w:r>
      <w:r w:rsidR="00DB2AB8">
        <w:t xml:space="preserve">a useful </w:t>
      </w:r>
      <w:r w:rsidR="005A57AA">
        <w:t xml:space="preserve">starting point but is </w:t>
      </w:r>
      <w:r w:rsidR="00F53B88">
        <w:t>too</w:t>
      </w:r>
      <w:r w:rsidR="00D60E12">
        <w:t xml:space="preserve"> broad</w:t>
      </w:r>
      <w:r w:rsidR="00F53B88">
        <w:t xml:space="preserve"> in some respects and too narrow in others.  </w:t>
      </w:r>
    </w:p>
    <w:p w14:paraId="5FAD6303" w14:textId="5511E4A3" w:rsidR="007C348E" w:rsidRDefault="00720996" w:rsidP="004F2258">
      <w:r>
        <w:t xml:space="preserve">The definition </w:t>
      </w:r>
      <w:r w:rsidR="0015797F">
        <w:t xml:space="preserve">is too broad </w:t>
      </w:r>
      <w:r w:rsidR="00DB2AB8">
        <w:t xml:space="preserve">by its </w:t>
      </w:r>
      <w:r w:rsidR="003870DA">
        <w:t>reference</w:t>
      </w:r>
      <w:r w:rsidR="0015797F">
        <w:t xml:space="preserve"> to </w:t>
      </w:r>
      <w:r w:rsidR="00100ACF">
        <w:t>‘sexual orientation’ and ‘gender identity’</w:t>
      </w:r>
      <w:r w:rsidR="00491EEB">
        <w:t xml:space="preserve"> generally</w:t>
      </w:r>
      <w:r w:rsidR="00FE6806">
        <w:t xml:space="preserve">.  A better definition would squarely </w:t>
      </w:r>
      <w:r w:rsidR="00491EEB">
        <w:t xml:space="preserve">connect </w:t>
      </w:r>
      <w:r w:rsidR="00A149AE">
        <w:t xml:space="preserve">SOGI </w:t>
      </w:r>
      <w:r w:rsidR="0013495C">
        <w:t xml:space="preserve">conversion practices with </w:t>
      </w:r>
      <w:r w:rsidR="005F3F1C">
        <w:t>the problematisation of non-heterosexual sexual identities, sexual attractions to people of the same gender or more than one gender, and the affirmation of a gender identity different to that assumed at birth.</w:t>
      </w:r>
      <w:r w:rsidR="00D0524C">
        <w:t xml:space="preserve">  </w:t>
      </w:r>
      <w:r w:rsidR="000A3A1D">
        <w:t>Otherwise, t</w:t>
      </w:r>
      <w:r w:rsidR="0013495C">
        <w:t xml:space="preserve">he general reference to ‘sexual orientation’ and ‘gender identity’ </w:t>
      </w:r>
      <w:r w:rsidR="00141617">
        <w:t xml:space="preserve">results in the need for </w:t>
      </w:r>
      <w:r w:rsidR="008B2243">
        <w:t xml:space="preserve">specific </w:t>
      </w:r>
      <w:r w:rsidR="00141617" w:rsidRPr="00C57A10">
        <w:t>exclusions</w:t>
      </w:r>
      <w:r w:rsidR="00141617">
        <w:t xml:space="preserve"> </w:t>
      </w:r>
      <w:r w:rsidR="0046703D">
        <w:t>for sexual orientation</w:t>
      </w:r>
      <w:r w:rsidR="005503F1">
        <w:t>-</w:t>
      </w:r>
      <w:r w:rsidR="0046703D">
        <w:t>neutral or gender affirming practices</w:t>
      </w:r>
      <w:r w:rsidR="00843DA9">
        <w:t>.</w:t>
      </w:r>
      <w:r w:rsidR="00AF5AAB">
        <w:t xml:space="preserve">  </w:t>
      </w:r>
    </w:p>
    <w:p w14:paraId="70C1C9C2" w14:textId="3C095845" w:rsidR="000A2F2F" w:rsidRDefault="007C348E" w:rsidP="004F2258">
      <w:r>
        <w:t xml:space="preserve">In terms of gender identity and expression, </w:t>
      </w:r>
      <w:r w:rsidR="00AF5AAB">
        <w:t xml:space="preserve">it would be preferable if </w:t>
      </w:r>
      <w:r w:rsidR="007C7F40">
        <w:t xml:space="preserve">SOGI conversion practices </w:t>
      </w:r>
      <w:r w:rsidR="00AF5AAB">
        <w:t>were not defined</w:t>
      </w:r>
      <w:r w:rsidR="007C7F40">
        <w:t xml:space="preserve"> in a way which treat</w:t>
      </w:r>
      <w:r w:rsidR="00AF5AAB">
        <w:t>ed</w:t>
      </w:r>
      <w:r w:rsidR="007C7F40">
        <w:t xml:space="preserve"> the </w:t>
      </w:r>
      <w:r w:rsidR="007C7F40" w:rsidRPr="00C57A10">
        <w:rPr>
          <w:i/>
        </w:rPr>
        <w:t>affirmation</w:t>
      </w:r>
      <w:r w:rsidR="007C7F40">
        <w:t xml:space="preserve"> of </w:t>
      </w:r>
      <w:r w:rsidR="003B3889">
        <w:t xml:space="preserve">a self-defined </w:t>
      </w:r>
      <w:r w:rsidR="007C7F40">
        <w:t xml:space="preserve">gender identity </w:t>
      </w:r>
      <w:r w:rsidR="003B3889">
        <w:t>as</w:t>
      </w:r>
      <w:r w:rsidR="001F71E9">
        <w:t>,</w:t>
      </w:r>
      <w:r w:rsidR="003B3889">
        <w:t xml:space="preserve"> </w:t>
      </w:r>
      <w:r w:rsidR="003B3889" w:rsidRPr="00C57A10">
        <w:rPr>
          <w:i/>
        </w:rPr>
        <w:t>prima facie</w:t>
      </w:r>
      <w:r w:rsidR="001F71E9">
        <w:rPr>
          <w:i/>
        </w:rPr>
        <w:t xml:space="preserve">, </w:t>
      </w:r>
      <w:r w:rsidR="001F71E9" w:rsidRPr="001F71E9">
        <w:t>a</w:t>
      </w:r>
      <w:r w:rsidR="003B3889">
        <w:t xml:space="preserve"> conversion practice </w:t>
      </w:r>
      <w:r w:rsidR="008B2243">
        <w:t>needing</w:t>
      </w:r>
      <w:r w:rsidR="003B3889">
        <w:t xml:space="preserve"> an exception.</w:t>
      </w:r>
      <w:r w:rsidR="00C71A7C">
        <w:t xml:space="preserve">  Nor should the definition simply refer to </w:t>
      </w:r>
      <w:r w:rsidR="001423C2">
        <w:t xml:space="preserve">efforts to </w:t>
      </w:r>
      <w:r w:rsidR="001216E4">
        <w:t>‘</w:t>
      </w:r>
      <w:r w:rsidR="001423C2">
        <w:t xml:space="preserve">change </w:t>
      </w:r>
      <w:r w:rsidR="009D455D">
        <w:t xml:space="preserve">gender </w:t>
      </w:r>
      <w:proofErr w:type="gramStart"/>
      <w:r w:rsidR="001216E4">
        <w:t>expressions’</w:t>
      </w:r>
      <w:proofErr w:type="gramEnd"/>
      <w:r w:rsidR="001423C2">
        <w:t xml:space="preserve">.  </w:t>
      </w:r>
      <w:r w:rsidR="008878B1">
        <w:t xml:space="preserve">Many innocent practices </w:t>
      </w:r>
      <w:r w:rsidR="000A3A1D">
        <w:t>could</w:t>
      </w:r>
      <w:r w:rsidR="007B1243">
        <w:t xml:space="preserve"> be </w:t>
      </w:r>
      <w:r w:rsidR="001216E4">
        <w:t xml:space="preserve">caught up in that definition </w:t>
      </w:r>
      <w:r w:rsidR="007B1243">
        <w:t xml:space="preserve">(for example, </w:t>
      </w:r>
      <w:r w:rsidR="001216E4">
        <w:t>a teacher</w:t>
      </w:r>
      <w:r w:rsidR="003F706E">
        <w:t xml:space="preserve"> or counsellor</w:t>
      </w:r>
      <w:r w:rsidR="00353D5C">
        <w:t xml:space="preserve"> encouraging </w:t>
      </w:r>
      <w:r w:rsidR="00765B8B">
        <w:t xml:space="preserve">a man or boy </w:t>
      </w:r>
      <w:r w:rsidR="00431958">
        <w:t xml:space="preserve">to </w:t>
      </w:r>
      <w:r w:rsidR="00765B8B">
        <w:t>talk about their feelings</w:t>
      </w:r>
      <w:r w:rsidR="007B1243">
        <w:t>)</w:t>
      </w:r>
      <w:r w:rsidR="00C41DD5">
        <w:t>.</w:t>
      </w:r>
      <w:r w:rsidR="00E55D92">
        <w:t xml:space="preserve">  These are each aspects of the Health Complaints Commissioner’s current definition of conversion practices which could be refined in any future legislation.  </w:t>
      </w:r>
    </w:p>
    <w:p w14:paraId="531F9355" w14:textId="3F0B1FE1" w:rsidR="00C57A10" w:rsidRDefault="003F706E" w:rsidP="004F2258">
      <w:r>
        <w:t>In terms of sexual orientation, t</w:t>
      </w:r>
      <w:r w:rsidR="00C41DD5">
        <w:t xml:space="preserve">here is distinction between </w:t>
      </w:r>
      <w:r w:rsidR="000E208F">
        <w:t xml:space="preserve">sexual identity (the way a person </w:t>
      </w:r>
      <w:r w:rsidR="004C6FC7">
        <w:t>identifies</w:t>
      </w:r>
      <w:r w:rsidR="000E208F">
        <w:t xml:space="preserve"> their sexuality), </w:t>
      </w:r>
      <w:r w:rsidR="004C6FC7">
        <w:t xml:space="preserve">sexual </w:t>
      </w:r>
      <w:r w:rsidR="000E208F">
        <w:t>behaviour (</w:t>
      </w:r>
      <w:r w:rsidR="004C6FC7">
        <w:t>how and when</w:t>
      </w:r>
      <w:r w:rsidR="00126D92">
        <w:t xml:space="preserve"> a person engages in sexual activity), and sexual attraction (</w:t>
      </w:r>
      <w:r w:rsidR="004C6FC7">
        <w:t>to whom</w:t>
      </w:r>
      <w:r w:rsidR="005B534C">
        <w:t xml:space="preserve">, </w:t>
      </w:r>
      <w:r w:rsidR="00E8063D">
        <w:t xml:space="preserve">and </w:t>
      </w:r>
      <w:r w:rsidR="005B534C">
        <w:t>especially to which gender(s), a person feels romantically and/or sexually draw</w:t>
      </w:r>
      <w:r w:rsidR="00E8063D">
        <w:t>n</w:t>
      </w:r>
      <w:r w:rsidR="005B534C">
        <w:t xml:space="preserve"> towards</w:t>
      </w:r>
      <w:r w:rsidR="00C9310C">
        <w:t xml:space="preserve">).  These are related and often overlapping concepts, but not always.  </w:t>
      </w:r>
      <w:r w:rsidR="005B534C">
        <w:t>For example, a heterosexually-identified person can engage in sexual behaviour with a person of the same gender</w:t>
      </w:r>
      <w:r w:rsidR="0008630B">
        <w:t xml:space="preserve">.  </w:t>
      </w:r>
      <w:r w:rsidR="00B5473D">
        <w:t xml:space="preserve">SOGI conversion practices </w:t>
      </w:r>
      <w:r w:rsidR="00670B86">
        <w:t>should</w:t>
      </w:r>
      <w:r w:rsidR="0066397D">
        <w:t xml:space="preserve"> be defined to address practices </w:t>
      </w:r>
      <w:r w:rsidR="00472D7F">
        <w:t xml:space="preserve">ultimately </w:t>
      </w:r>
      <w:r w:rsidR="0066397D">
        <w:t>aimed at changing</w:t>
      </w:r>
      <w:r w:rsidR="00472D7F">
        <w:t xml:space="preserve">, suppressing or eliminating </w:t>
      </w:r>
      <w:r w:rsidR="008F535B">
        <w:t xml:space="preserve">non-heterosexual </w:t>
      </w:r>
      <w:r w:rsidR="0066397D" w:rsidRPr="00B179E9">
        <w:rPr>
          <w:i/>
        </w:rPr>
        <w:t>identit</w:t>
      </w:r>
      <w:r w:rsidR="00D3713A" w:rsidRPr="00B179E9">
        <w:rPr>
          <w:i/>
        </w:rPr>
        <w:t>ies</w:t>
      </w:r>
      <w:r w:rsidR="0066397D">
        <w:t xml:space="preserve"> and </w:t>
      </w:r>
      <w:r w:rsidR="0066397D" w:rsidRPr="00B179E9">
        <w:rPr>
          <w:i/>
        </w:rPr>
        <w:t>attraction</w:t>
      </w:r>
      <w:r w:rsidR="00D3713A" w:rsidRPr="00B179E9">
        <w:rPr>
          <w:i/>
        </w:rPr>
        <w:t>s</w:t>
      </w:r>
      <w:r w:rsidR="0066397D">
        <w:t xml:space="preserve">, but not necessarily </w:t>
      </w:r>
      <w:r w:rsidR="00032797">
        <w:t xml:space="preserve">sexual </w:t>
      </w:r>
      <w:r w:rsidR="00B5473D">
        <w:t>behaviour.   Otherwise,</w:t>
      </w:r>
      <w:r w:rsidR="00D3713A">
        <w:t xml:space="preserve"> merely</w:t>
      </w:r>
      <w:r w:rsidR="00B5473D">
        <w:t xml:space="preserve"> encouraging abstinence or celibacy </w:t>
      </w:r>
      <w:r w:rsidR="00620AD9">
        <w:t>could become</w:t>
      </w:r>
      <w:r w:rsidR="00B5473D">
        <w:t xml:space="preserve"> </w:t>
      </w:r>
      <w:r w:rsidR="00FE4A78">
        <w:t>a form of</w:t>
      </w:r>
      <w:r w:rsidR="00E936B0">
        <w:t xml:space="preserve"> </w:t>
      </w:r>
      <w:r w:rsidR="00FE4A78">
        <w:t>SOGI conversion practice.</w:t>
      </w:r>
      <w:r w:rsidR="00B179E9">
        <w:rPr>
          <w:rStyle w:val="FootnoteReference"/>
        </w:rPr>
        <w:footnoteReference w:id="18"/>
      </w:r>
      <w:r w:rsidR="00620AD9">
        <w:t xml:space="preserve">  </w:t>
      </w:r>
      <w:r w:rsidR="00D3713A">
        <w:t>Again, t</w:t>
      </w:r>
      <w:r w:rsidR="00620AD9">
        <w:t xml:space="preserve">here are many innocent practices which could include </w:t>
      </w:r>
      <w:r w:rsidR="008D0A19">
        <w:t xml:space="preserve">suggesting to someone to refrain from engaging in sexual behaviour, such as during a window period before </w:t>
      </w:r>
      <w:proofErr w:type="spellStart"/>
      <w:r w:rsidR="008D0A19">
        <w:t>PReP</w:t>
      </w:r>
      <w:proofErr w:type="spellEnd"/>
      <w:r w:rsidR="008D0A19">
        <w:t xml:space="preserve"> treatment becomes effective.  </w:t>
      </w:r>
      <w:r w:rsidR="00C016B8">
        <w:t xml:space="preserve">The definition also must not exclude the possibility of therapies connected to suppressing or eliminating unlawful or harmful sexual behaviour, such as </w:t>
      </w:r>
      <w:r w:rsidR="00624C8A">
        <w:t>non-consensual</w:t>
      </w:r>
      <w:r w:rsidR="00C016B8">
        <w:t xml:space="preserve"> sex.  </w:t>
      </w:r>
    </w:p>
    <w:p w14:paraId="31DBB482" w14:textId="2D2E6A90" w:rsidR="00847145" w:rsidRDefault="00BC717A" w:rsidP="00847145">
      <w:r>
        <w:t>W</w:t>
      </w:r>
      <w:r w:rsidR="007C14A0">
        <w:t xml:space="preserve">e have </w:t>
      </w:r>
      <w:r>
        <w:t>considered</w:t>
      </w:r>
      <w:r w:rsidR="007C14A0">
        <w:t xml:space="preserve"> </w:t>
      </w:r>
      <w:r>
        <w:t xml:space="preserve">four key planks which might form the basis of a potential future legal definition of SOGI conversion practices in health, education and welfare settings.  These planks </w:t>
      </w:r>
      <w:r w:rsidR="00A36751">
        <w:t xml:space="preserve">may need further refinement and consultation, including from expert drafters and professionals, to ensure they do not capture practices which are unobjectionable and </w:t>
      </w:r>
      <w:r w:rsidR="00B1332F">
        <w:t xml:space="preserve">form </w:t>
      </w:r>
      <w:r w:rsidR="00A36751">
        <w:t>part of legitimate medical or psychological practice.</w:t>
      </w:r>
    </w:p>
    <w:p w14:paraId="6549CFF2" w14:textId="32A1FBBF" w:rsidR="00847145" w:rsidRDefault="00847145" w:rsidP="00847145">
      <w:r>
        <w:t>The four planks are:</w:t>
      </w:r>
    </w:p>
    <w:p w14:paraId="7B18AFEE" w14:textId="718C4C8F" w:rsidR="00615F94" w:rsidRDefault="00F83FFA" w:rsidP="008B0D5B">
      <w:pPr>
        <w:pStyle w:val="Bullet"/>
      </w:pPr>
      <w:r>
        <w:rPr>
          <w:b/>
          <w:iCs/>
        </w:rPr>
        <w:t xml:space="preserve">Defining SOGI practices generally.  </w:t>
      </w:r>
      <w:r w:rsidRPr="00F83FFA">
        <w:rPr>
          <w:bCs/>
          <w:iCs/>
        </w:rPr>
        <w:t xml:space="preserve">For example, </w:t>
      </w:r>
      <w:r w:rsidR="00615F94" w:rsidRPr="00847145">
        <w:rPr>
          <w:b/>
          <w:i/>
        </w:rPr>
        <w:t>SOGI conversion practice</w:t>
      </w:r>
      <w:r w:rsidR="00615F94" w:rsidRPr="00847145">
        <w:rPr>
          <w:i/>
        </w:rPr>
        <w:t xml:space="preserve"> </w:t>
      </w:r>
      <w:r w:rsidR="00615F94">
        <w:t>mean</w:t>
      </w:r>
      <w:r w:rsidR="0018646A">
        <w:t>s</w:t>
      </w:r>
      <w:r w:rsidR="00615F94">
        <w:t xml:space="preserve"> any practice undertaken</w:t>
      </w:r>
      <w:r w:rsidR="009E5037">
        <w:t xml:space="preserve">, subject to </w:t>
      </w:r>
      <w:r w:rsidR="00B37872">
        <w:t xml:space="preserve">a </w:t>
      </w:r>
      <w:r w:rsidR="009E5037">
        <w:t xml:space="preserve">reasonable defence </w:t>
      </w:r>
      <w:r w:rsidR="008B0D5B">
        <w:t>(see below)</w:t>
      </w:r>
      <w:r w:rsidR="000A378C">
        <w:t>,</w:t>
      </w:r>
      <w:r w:rsidR="00615F94">
        <w:t xml:space="preserve"> </w:t>
      </w:r>
      <w:r w:rsidR="00FD1105">
        <w:t xml:space="preserve">by a </w:t>
      </w:r>
      <w:r w:rsidR="00FD1105" w:rsidRPr="00FD1105">
        <w:t>relevant person</w:t>
      </w:r>
      <w:r w:rsidR="002F1260">
        <w:rPr>
          <w:rStyle w:val="FootnoteReference"/>
        </w:rPr>
        <w:footnoteReference w:id="19"/>
      </w:r>
      <w:r w:rsidR="002F1260">
        <w:t xml:space="preserve"> in </w:t>
      </w:r>
      <w:r w:rsidR="00451070">
        <w:t xml:space="preserve">the course of </w:t>
      </w:r>
      <w:r w:rsidR="00451070">
        <w:lastRenderedPageBreak/>
        <w:t>providing a</w:t>
      </w:r>
      <w:r w:rsidR="002F1260">
        <w:t xml:space="preserve"> health, education or </w:t>
      </w:r>
      <w:r w:rsidR="00142978">
        <w:t>welfare</w:t>
      </w:r>
      <w:r w:rsidR="002F1260">
        <w:t xml:space="preserve"> service</w:t>
      </w:r>
      <w:r w:rsidR="002F1260">
        <w:rPr>
          <w:rStyle w:val="FootnoteReference"/>
        </w:rPr>
        <w:footnoteReference w:id="20"/>
      </w:r>
      <w:r w:rsidR="00FD1105" w:rsidRPr="00847145">
        <w:rPr>
          <w:i/>
        </w:rPr>
        <w:t xml:space="preserve"> </w:t>
      </w:r>
      <w:r w:rsidR="00E20783" w:rsidRPr="00847145">
        <w:rPr>
          <w:iCs/>
        </w:rPr>
        <w:t xml:space="preserve">with the purpose of </w:t>
      </w:r>
      <w:r w:rsidR="00E20783">
        <w:t>changing, suppressing or eliminating</w:t>
      </w:r>
      <w:r w:rsidR="00615F94">
        <w:t>:</w:t>
      </w:r>
    </w:p>
    <w:p w14:paraId="4FEFAB70" w14:textId="77777777" w:rsidR="008B0D5B" w:rsidRDefault="008B0D5B" w:rsidP="008B0D5B"/>
    <w:p w14:paraId="62E79F9D" w14:textId="77777777" w:rsidR="008B0D5B" w:rsidRDefault="004B7CF9" w:rsidP="008B0D5B">
      <w:pPr>
        <w:pStyle w:val="Bullet"/>
        <w:numPr>
          <w:ilvl w:val="2"/>
          <w:numId w:val="12"/>
        </w:numPr>
      </w:pPr>
      <w:r>
        <w:t>a person’s sexual attraction towards persons of the same gender or more than one gender (</w:t>
      </w:r>
      <w:r w:rsidRPr="004B7177">
        <w:rPr>
          <w:b/>
          <w:bCs/>
          <w:i/>
          <w:iCs/>
        </w:rPr>
        <w:t>sexual attraction</w:t>
      </w:r>
      <w:r>
        <w:t>);</w:t>
      </w:r>
    </w:p>
    <w:p w14:paraId="60105242" w14:textId="6D30941A" w:rsidR="008B0D5B" w:rsidRDefault="009E5530" w:rsidP="008B0D5B">
      <w:pPr>
        <w:pStyle w:val="Bullet"/>
        <w:numPr>
          <w:ilvl w:val="2"/>
          <w:numId w:val="12"/>
        </w:numPr>
      </w:pPr>
      <w:r>
        <w:t>the</w:t>
      </w:r>
      <w:r w:rsidR="006500E8">
        <w:t xml:space="preserve"> </w:t>
      </w:r>
      <w:r>
        <w:t xml:space="preserve">affirmation of a </w:t>
      </w:r>
      <w:r w:rsidR="004B7CF9">
        <w:t>sexual identit</w:t>
      </w:r>
      <w:r>
        <w:t xml:space="preserve">y which is not </w:t>
      </w:r>
      <w:r w:rsidR="004B7CF9">
        <w:t>heterosexual (</w:t>
      </w:r>
      <w:r w:rsidR="004B7CF9" w:rsidRPr="008B0D5B">
        <w:rPr>
          <w:b/>
          <w:bCs/>
          <w:i/>
          <w:iCs/>
        </w:rPr>
        <w:t>sexual identity</w:t>
      </w:r>
      <w:r w:rsidR="004B7CF9">
        <w:t>);</w:t>
      </w:r>
    </w:p>
    <w:p w14:paraId="347E5490" w14:textId="77777777" w:rsidR="008B0D5B" w:rsidRDefault="0019434C" w:rsidP="008B0D5B">
      <w:pPr>
        <w:pStyle w:val="Bullet"/>
        <w:numPr>
          <w:ilvl w:val="2"/>
          <w:numId w:val="12"/>
        </w:numPr>
      </w:pPr>
      <w:r>
        <w:t xml:space="preserve">a person’s sense </w:t>
      </w:r>
      <w:r w:rsidR="00A66945">
        <w:t xml:space="preserve">of </w:t>
      </w:r>
      <w:r>
        <w:t>being a different gender to the one assumed at birth (</w:t>
      </w:r>
      <w:r w:rsidRPr="008B0D5B">
        <w:rPr>
          <w:b/>
          <w:bCs/>
          <w:i/>
          <w:iCs/>
        </w:rPr>
        <w:t>gender identity</w:t>
      </w:r>
      <w:r>
        <w:t>)</w:t>
      </w:r>
      <w:r w:rsidR="00977F7E">
        <w:t>;</w:t>
      </w:r>
    </w:p>
    <w:p w14:paraId="6EC758E5" w14:textId="3782EB01" w:rsidR="004B7CF9" w:rsidRDefault="004B7CF9" w:rsidP="008B0D5B">
      <w:pPr>
        <w:pStyle w:val="Bullet"/>
        <w:numPr>
          <w:ilvl w:val="2"/>
          <w:numId w:val="12"/>
        </w:numPr>
      </w:pPr>
      <w:r>
        <w:t>the</w:t>
      </w:r>
      <w:r w:rsidR="006500E8">
        <w:t xml:space="preserve"> </w:t>
      </w:r>
      <w:r>
        <w:t>affirmation of a gender identity different to the one assumed at birth (</w:t>
      </w:r>
      <w:r w:rsidRPr="008B0D5B">
        <w:rPr>
          <w:b/>
          <w:bCs/>
          <w:i/>
          <w:iCs/>
        </w:rPr>
        <w:t>gender affirmation</w:t>
      </w:r>
      <w:r>
        <w:t>)</w:t>
      </w:r>
      <w:r w:rsidR="009C5BF8">
        <w:t>.</w:t>
      </w:r>
    </w:p>
    <w:p w14:paraId="1C5F8125" w14:textId="63DE254B" w:rsidR="008B0D5B" w:rsidRDefault="00F83FFA" w:rsidP="008B0D5B">
      <w:pPr>
        <w:pStyle w:val="Bullet"/>
      </w:pPr>
      <w:r w:rsidRPr="00F83FFA">
        <w:rPr>
          <w:b/>
          <w:bCs/>
        </w:rPr>
        <w:t>Defining practices to include engaging in and promoting SOGI conversion practices.</w:t>
      </w:r>
      <w:r>
        <w:rPr>
          <w:b/>
          <w:bCs/>
          <w:i/>
          <w:iCs/>
        </w:rPr>
        <w:t xml:space="preserve">   </w:t>
      </w:r>
      <w:r w:rsidRPr="00F83FFA">
        <w:t xml:space="preserve">For example, defining a </w:t>
      </w:r>
      <w:r>
        <w:rPr>
          <w:b/>
          <w:bCs/>
          <w:i/>
          <w:iCs/>
        </w:rPr>
        <w:t>p</w:t>
      </w:r>
      <w:r w:rsidR="00A863D1" w:rsidRPr="0089337F">
        <w:rPr>
          <w:b/>
          <w:bCs/>
          <w:i/>
          <w:iCs/>
        </w:rPr>
        <w:t>ractice</w:t>
      </w:r>
      <w:r w:rsidR="00A863D1">
        <w:t xml:space="preserve"> </w:t>
      </w:r>
      <w:r>
        <w:t>as</w:t>
      </w:r>
      <w:r w:rsidR="003F59F2">
        <w:t>:</w:t>
      </w:r>
      <w:r w:rsidR="00A863D1">
        <w:t xml:space="preserve"> </w:t>
      </w:r>
    </w:p>
    <w:p w14:paraId="3C8465D0" w14:textId="77777777" w:rsidR="008B0D5B" w:rsidRDefault="008B0D5B" w:rsidP="008B0D5B">
      <w:pPr>
        <w:pStyle w:val="Bullet"/>
        <w:numPr>
          <w:ilvl w:val="2"/>
          <w:numId w:val="12"/>
        </w:numPr>
      </w:pPr>
      <w:r>
        <w:t>c</w:t>
      </w:r>
      <w:r w:rsidR="00A863D1">
        <w:t>ounselling, the prescription or administration of medication</w:t>
      </w:r>
      <w:r w:rsidR="00D40264">
        <w:t>,</w:t>
      </w:r>
      <w:r w:rsidR="00A863D1">
        <w:t xml:space="preserve"> or the application of </w:t>
      </w:r>
      <w:r w:rsidR="00591A8B">
        <w:t xml:space="preserve">any </w:t>
      </w:r>
      <w:r w:rsidR="00A863D1">
        <w:t xml:space="preserve">physical force </w:t>
      </w:r>
      <w:r w:rsidR="00591A8B">
        <w:t>to</w:t>
      </w:r>
      <w:r w:rsidR="00A863D1">
        <w:t xml:space="preserve"> the body</w:t>
      </w:r>
      <w:r w:rsidR="003F59F2">
        <w:t>;</w:t>
      </w:r>
    </w:p>
    <w:p w14:paraId="246E7580" w14:textId="5C499D10" w:rsidR="008B0D5B" w:rsidRDefault="004519C0" w:rsidP="008B0D5B">
      <w:pPr>
        <w:pStyle w:val="Bullet"/>
        <w:numPr>
          <w:ilvl w:val="2"/>
          <w:numId w:val="12"/>
        </w:numPr>
      </w:pPr>
      <w:r>
        <w:t xml:space="preserve">publishing, </w:t>
      </w:r>
      <w:r w:rsidR="004D63FB">
        <w:t>disseminating</w:t>
      </w:r>
      <w:r w:rsidR="00AF612A">
        <w:t xml:space="preserve"> or causing to </w:t>
      </w:r>
      <w:r>
        <w:t xml:space="preserve">publish or </w:t>
      </w:r>
      <w:r w:rsidR="00AF612A">
        <w:t>disseminate</w:t>
      </w:r>
      <w:r w:rsidR="004D63FB">
        <w:t xml:space="preserve"> </w:t>
      </w:r>
      <w:r>
        <w:t xml:space="preserve">any statement, </w:t>
      </w:r>
      <w:r w:rsidR="0044799E">
        <w:t>advertisement</w:t>
      </w:r>
      <w:r>
        <w:t xml:space="preserve"> or notice</w:t>
      </w:r>
      <w:r w:rsidR="00F83FFA">
        <w:rPr>
          <w:rStyle w:val="FootnoteReference"/>
        </w:rPr>
        <w:footnoteReference w:id="21"/>
      </w:r>
      <w:r>
        <w:t xml:space="preserve"> </w:t>
      </w:r>
      <w:r w:rsidR="004D63FB">
        <w:t>which promotes</w:t>
      </w:r>
      <w:r w:rsidR="00AF612A">
        <w:t xml:space="preserve"> or offers to provide</w:t>
      </w:r>
      <w:r w:rsidR="007F4838">
        <w:t xml:space="preserve"> (whether for fee or reward</w:t>
      </w:r>
      <w:r w:rsidR="00F259E7">
        <w:t xml:space="preserve"> or not</w:t>
      </w:r>
      <w:r w:rsidR="007F4838">
        <w:t>)</w:t>
      </w:r>
      <w:r w:rsidR="004D63FB">
        <w:t xml:space="preserve"> any of the practices </w:t>
      </w:r>
      <w:r w:rsidR="00D37B85">
        <w:t>in the subparagraph above</w:t>
      </w:r>
      <w:r w:rsidR="004D63FB">
        <w:t>;</w:t>
      </w:r>
      <w:r w:rsidR="00F604F5">
        <w:t xml:space="preserve"> and</w:t>
      </w:r>
    </w:p>
    <w:p w14:paraId="09A4E6AF" w14:textId="2D0B683C" w:rsidR="0044799E" w:rsidRDefault="0044799E" w:rsidP="008B0D5B">
      <w:pPr>
        <w:pStyle w:val="Bullet"/>
        <w:numPr>
          <w:ilvl w:val="2"/>
          <w:numId w:val="12"/>
        </w:numPr>
      </w:pPr>
      <w:r>
        <w:t xml:space="preserve">knowingly assisting in </w:t>
      </w:r>
      <w:r w:rsidR="00D37B85">
        <w:t xml:space="preserve">any of the practices </w:t>
      </w:r>
      <w:r w:rsidR="00F604F5">
        <w:t xml:space="preserve">in two subparagraphs </w:t>
      </w:r>
      <w:r w:rsidR="00D37B85">
        <w:t>above.</w:t>
      </w:r>
    </w:p>
    <w:p w14:paraId="14365C8A" w14:textId="42F7EEF4" w:rsidR="00471DFC" w:rsidRDefault="00BC06C6" w:rsidP="00F604F5">
      <w:pPr>
        <w:pStyle w:val="Bullet"/>
      </w:pPr>
      <w:r>
        <w:rPr>
          <w:b/>
          <w:bCs/>
        </w:rPr>
        <w:t xml:space="preserve">Ensuring the definition extends to attempts.  </w:t>
      </w:r>
      <w:r w:rsidRPr="00BC06C6">
        <w:t>For example, specifying that</w:t>
      </w:r>
      <w:r>
        <w:rPr>
          <w:b/>
          <w:bCs/>
        </w:rPr>
        <w:t xml:space="preserve"> </w:t>
      </w:r>
      <w:r>
        <w:t>p</w:t>
      </w:r>
      <w:r w:rsidR="00FD7D7F">
        <w:t xml:space="preserve">ractices do not have to be effective in changing, suppressing or eliminating sexual attraction, sexual identity, gender identity or gender affirmation to constitute </w:t>
      </w:r>
      <w:r w:rsidR="00B6366A">
        <w:t xml:space="preserve">a </w:t>
      </w:r>
      <w:r w:rsidR="00FD7D7F">
        <w:t>SOGI conversion practice.</w:t>
      </w:r>
      <w:r w:rsidR="00CB23B5">
        <w:t xml:space="preserve">  This follows from the </w:t>
      </w:r>
      <w:r w:rsidR="00351A6D">
        <w:t xml:space="preserve">observation that the harm inflicted on survivors comes from </w:t>
      </w:r>
      <w:r w:rsidR="00532BE9" w:rsidRPr="00532BE9">
        <w:rPr>
          <w:i/>
        </w:rPr>
        <w:t>attempts</w:t>
      </w:r>
      <w:r w:rsidR="00532BE9">
        <w:t xml:space="preserve"> to change, suppress and eliminate</w:t>
      </w:r>
      <w:r w:rsidR="00351A6D">
        <w:t xml:space="preserve"> </w:t>
      </w:r>
      <w:r w:rsidR="00532BE9">
        <w:t>sexual attraction, sexual identity, gender identity or gender affirmation.</w:t>
      </w:r>
    </w:p>
    <w:p w14:paraId="21060977" w14:textId="778E5440" w:rsidR="00AA3D5B" w:rsidRDefault="009544DC" w:rsidP="00F604F5">
      <w:pPr>
        <w:pStyle w:val="Bullet"/>
      </w:pPr>
      <w:r>
        <w:rPr>
          <w:b/>
          <w:bCs/>
        </w:rPr>
        <w:t xml:space="preserve">Providing a defence for legitimate </w:t>
      </w:r>
      <w:r w:rsidR="009E5037">
        <w:rPr>
          <w:b/>
          <w:bCs/>
        </w:rPr>
        <w:t xml:space="preserve">practices.  </w:t>
      </w:r>
      <w:r w:rsidR="005F141A" w:rsidRPr="005F141A">
        <w:t xml:space="preserve">For example, in crafting any defence </w:t>
      </w:r>
      <w:r w:rsidR="00AA3D5B" w:rsidRPr="005F141A">
        <w:t xml:space="preserve">considering whether </w:t>
      </w:r>
      <w:r w:rsidR="00570341" w:rsidRPr="005F141A">
        <w:t>a relevant person has a reasonable excuse</w:t>
      </w:r>
      <w:r w:rsidR="00CC3FCE" w:rsidRPr="005F141A">
        <w:t xml:space="preserve"> for engaging in any practice</w:t>
      </w:r>
      <w:r w:rsidR="00570341" w:rsidRPr="005F141A">
        <w:t>,</w:t>
      </w:r>
      <w:r w:rsidR="005F141A">
        <w:t xml:space="preserve"> ensuring</w:t>
      </w:r>
      <w:r w:rsidR="00570341" w:rsidRPr="005F141A">
        <w:t xml:space="preserve"> </w:t>
      </w:r>
      <w:r w:rsidR="001E2C9E" w:rsidRPr="005F141A">
        <w:t>a court</w:t>
      </w:r>
      <w:r w:rsidR="005F141A">
        <w:t xml:space="preserve"> can</w:t>
      </w:r>
      <w:r w:rsidR="001E2C9E" w:rsidRPr="005F141A">
        <w:t xml:space="preserve"> have regard to all the relevant circumstances of the case </w:t>
      </w:r>
      <w:r w:rsidR="005F141A">
        <w:t>such as</w:t>
      </w:r>
      <w:r w:rsidR="001E2C9E" w:rsidRPr="005F141A">
        <w:t>:</w:t>
      </w:r>
    </w:p>
    <w:p w14:paraId="4EA30BA7" w14:textId="37B5DF28" w:rsidR="005F141A" w:rsidRDefault="005F141A" w:rsidP="005F141A">
      <w:pPr>
        <w:pStyle w:val="Bullet"/>
        <w:numPr>
          <w:ilvl w:val="2"/>
          <w:numId w:val="12"/>
        </w:numPr>
      </w:pPr>
      <w:r>
        <w:t>the</w:t>
      </w:r>
      <w:r w:rsidR="001E2C9E">
        <w:t xml:space="preserve"> purpose for which the practice </w:t>
      </w:r>
      <w:r w:rsidR="00900CCD">
        <w:t>is being engaged in</w:t>
      </w:r>
      <w:r w:rsidR="006848DD">
        <w:t xml:space="preserve"> and whether it is a purpose</w:t>
      </w:r>
      <w:r w:rsidR="005F6C07">
        <w:t xml:space="preserve"> which is consistent with the objects of </w:t>
      </w:r>
      <w:r w:rsidR="0082107F">
        <w:t>the legislation</w:t>
      </w:r>
      <w:r w:rsidR="006848DD">
        <w:t>;</w:t>
      </w:r>
    </w:p>
    <w:p w14:paraId="2FAF4754" w14:textId="77777777" w:rsidR="005F141A" w:rsidRDefault="00202A51" w:rsidP="005F141A">
      <w:pPr>
        <w:pStyle w:val="Bullet"/>
        <w:numPr>
          <w:ilvl w:val="2"/>
          <w:numId w:val="12"/>
        </w:numPr>
      </w:pPr>
      <w:r>
        <w:t xml:space="preserve">whether the person subject to the practice </w:t>
      </w:r>
      <w:proofErr w:type="gramStart"/>
      <w:r>
        <w:t xml:space="preserve">is </w:t>
      </w:r>
      <w:r w:rsidR="00AD474F">
        <w:t xml:space="preserve">capable of </w:t>
      </w:r>
      <w:r>
        <w:t>consenting</w:t>
      </w:r>
      <w:proofErr w:type="gramEnd"/>
      <w:r w:rsidR="005645BA">
        <w:t xml:space="preserve"> to</w:t>
      </w:r>
      <w:r w:rsidR="00AD474F">
        <w:t xml:space="preserve"> and consent</w:t>
      </w:r>
      <w:r w:rsidR="005645BA">
        <w:t>s</w:t>
      </w:r>
      <w:r w:rsidR="00AD474F">
        <w:t xml:space="preserve"> </w:t>
      </w:r>
      <w:r>
        <w:t>to the practice</w:t>
      </w:r>
      <w:r w:rsidR="00271099">
        <w:t>;</w:t>
      </w:r>
    </w:p>
    <w:p w14:paraId="0DBBDFC5" w14:textId="77777777" w:rsidR="005F141A" w:rsidRDefault="00271099" w:rsidP="005F141A">
      <w:pPr>
        <w:pStyle w:val="Bullet"/>
        <w:numPr>
          <w:ilvl w:val="2"/>
          <w:numId w:val="12"/>
        </w:numPr>
      </w:pPr>
      <w:r>
        <w:t xml:space="preserve">whether the practice </w:t>
      </w:r>
      <w:r w:rsidR="00A34170">
        <w:t>has the purpose or effect of discriminating</w:t>
      </w:r>
      <w:r>
        <w:t xml:space="preserve"> against persons on the </w:t>
      </w:r>
      <w:r w:rsidR="0021038A">
        <w:t xml:space="preserve">grounds </w:t>
      </w:r>
      <w:r>
        <w:t xml:space="preserve">of </w:t>
      </w:r>
      <w:r w:rsidR="00522BE5">
        <w:t xml:space="preserve">their sexual </w:t>
      </w:r>
      <w:r w:rsidR="005F141A">
        <w:t xml:space="preserve">attraction, sexual </w:t>
      </w:r>
      <w:r w:rsidR="00522BE5">
        <w:t>identity</w:t>
      </w:r>
      <w:r w:rsidR="005F141A">
        <w:t>, gender identity</w:t>
      </w:r>
      <w:r w:rsidR="00522BE5">
        <w:t xml:space="preserve"> </w:t>
      </w:r>
      <w:r w:rsidR="00F73F5B">
        <w:t>or gender affirmation</w:t>
      </w:r>
      <w:r w:rsidR="003E0811">
        <w:t>;</w:t>
      </w:r>
    </w:p>
    <w:p w14:paraId="4BFA12FF" w14:textId="7B84439B" w:rsidR="003E0811" w:rsidRDefault="003E0811" w:rsidP="005F141A">
      <w:pPr>
        <w:pStyle w:val="Bullet"/>
        <w:numPr>
          <w:ilvl w:val="2"/>
          <w:numId w:val="12"/>
        </w:numPr>
      </w:pPr>
      <w:r>
        <w:t>whether the person engaging</w:t>
      </w:r>
      <w:r w:rsidR="002639CC">
        <w:t xml:space="preserve"> </w:t>
      </w:r>
      <w:r w:rsidR="00F745F9">
        <w:t xml:space="preserve">in or promoting </w:t>
      </w:r>
      <w:r>
        <w:t xml:space="preserve">the practice knew or ought to have known of the </w:t>
      </w:r>
      <w:r w:rsidR="00F745F9">
        <w:t>likely impact of the practice.</w:t>
      </w:r>
    </w:p>
    <w:p w14:paraId="2514868E" w14:textId="50C8E8D2" w:rsidR="006120C0" w:rsidRDefault="006120C0" w:rsidP="006120C0">
      <w:pPr>
        <w:pStyle w:val="Heading2"/>
      </w:pPr>
      <w:bookmarkStart w:id="4" w:name="_Toc27749610"/>
      <w:r>
        <w:lastRenderedPageBreak/>
        <w:t>Other settings</w:t>
      </w:r>
      <w:bookmarkEnd w:id="4"/>
    </w:p>
    <w:p w14:paraId="40D5354C" w14:textId="77777777" w:rsidR="00E91BE1" w:rsidRDefault="002A5A92" w:rsidP="004F2258">
      <w:r>
        <w:t xml:space="preserve">Outside of </w:t>
      </w:r>
      <w:r w:rsidR="005F141A">
        <w:t>health, education and welfare</w:t>
      </w:r>
      <w:r>
        <w:t xml:space="preserve"> </w:t>
      </w:r>
      <w:r w:rsidR="00E82AF2">
        <w:t xml:space="preserve">service </w:t>
      </w:r>
      <w:r>
        <w:t xml:space="preserve">settings, prohibitions on SOGI conversion practices should specifically </w:t>
      </w:r>
      <w:r w:rsidR="00E34823">
        <w:t xml:space="preserve">define the conduct </w:t>
      </w:r>
      <w:r>
        <w:t>which cause</w:t>
      </w:r>
      <w:r w:rsidR="00E34823">
        <w:t>s</w:t>
      </w:r>
      <w:r>
        <w:t xml:space="preserve"> harm</w:t>
      </w:r>
      <w:r w:rsidR="00AA1EA4">
        <w:t xml:space="preserve"> a</w:t>
      </w:r>
      <w:r w:rsidR="00F437FF">
        <w:t xml:space="preserve">nd </w:t>
      </w:r>
      <w:r w:rsidR="00E75334">
        <w:t>deal with</w:t>
      </w:r>
      <w:r w:rsidR="00F437FF">
        <w:t xml:space="preserve"> those</w:t>
      </w:r>
      <w:r w:rsidR="00AA1EA4">
        <w:t xml:space="preserve"> practices</w:t>
      </w:r>
      <w:r w:rsidR="00500489">
        <w:t>.</w:t>
      </w:r>
      <w:r w:rsidR="00AA1EA4">
        <w:t xml:space="preserve">  An overly broad definition in these contexts has the risk of resulting in </w:t>
      </w:r>
      <w:r w:rsidR="00D3005C">
        <w:t xml:space="preserve">the </w:t>
      </w:r>
      <w:r w:rsidR="00AA1EA4">
        <w:t xml:space="preserve">unintended and harmful consequences we have described above, </w:t>
      </w:r>
      <w:r w:rsidR="007F43D9">
        <w:t>such as</w:t>
      </w:r>
      <w:r w:rsidR="00AA1EA4">
        <w:t xml:space="preserve"> penalising survivors and impermissibly </w:t>
      </w:r>
      <w:r w:rsidR="00D931AA">
        <w:t>limiting</w:t>
      </w:r>
      <w:r w:rsidR="00AA1EA4">
        <w:t xml:space="preserve"> the freedom of thought, conscience and religion.</w:t>
      </w:r>
      <w:r w:rsidR="00E26533">
        <w:t xml:space="preserve">  </w:t>
      </w:r>
    </w:p>
    <w:p w14:paraId="212ABB94" w14:textId="05F1857D" w:rsidR="002A5A92" w:rsidRPr="00415376" w:rsidRDefault="00864BAE" w:rsidP="004F2258">
      <w:r>
        <w:t>However, i</w:t>
      </w:r>
      <w:r w:rsidR="00083947">
        <w:t>t is here</w:t>
      </w:r>
      <w:r w:rsidR="00E91BE1">
        <w:t>,</w:t>
      </w:r>
      <w:r w:rsidR="00083947">
        <w:t xml:space="preserve"> in these </w:t>
      </w:r>
      <w:r>
        <w:t>broader community (including religious)</w:t>
      </w:r>
      <w:r w:rsidR="00083947">
        <w:t xml:space="preserve"> settings</w:t>
      </w:r>
      <w:r w:rsidR="00E91BE1">
        <w:t>,</w:t>
      </w:r>
      <w:r w:rsidR="00083947">
        <w:t xml:space="preserve"> that it</w:t>
      </w:r>
      <w:r w:rsidR="00E26533">
        <w:t xml:space="preserve"> is important to separate </w:t>
      </w:r>
      <w:r w:rsidR="001B442F">
        <w:t xml:space="preserve">the right to hold a religious belief </w:t>
      </w:r>
      <w:r w:rsidR="00030524">
        <w:t xml:space="preserve">from the manifestation of that belief in a way which causes harm </w:t>
      </w:r>
      <w:r w:rsidR="00083947">
        <w:t xml:space="preserve">to others.  </w:t>
      </w:r>
      <w:r w:rsidR="003A14B0">
        <w:t xml:space="preserve">The </w:t>
      </w:r>
      <w:r w:rsidR="00DF3419">
        <w:t xml:space="preserve">unfounded </w:t>
      </w:r>
      <w:r w:rsidR="001A5507">
        <w:t>notion</w:t>
      </w:r>
      <w:r w:rsidR="003A14B0">
        <w:t xml:space="preserve"> that some people are ‘broken’ because they are or exhibit non-heterosexual attractions or identities, </w:t>
      </w:r>
      <w:r w:rsidR="00B61F22">
        <w:t xml:space="preserve">or are </w:t>
      </w:r>
      <w:r w:rsidR="009B29B1">
        <w:t>trans</w:t>
      </w:r>
      <w:r w:rsidR="00B61F22">
        <w:t xml:space="preserve">, </w:t>
      </w:r>
      <w:r w:rsidR="001A5507">
        <w:t>should not</w:t>
      </w:r>
      <w:r w:rsidR="00B61F22">
        <w:t xml:space="preserve"> be allowed to</w:t>
      </w:r>
      <w:r w:rsidR="001A5507">
        <w:t xml:space="preserve"> manifest in a way which</w:t>
      </w:r>
      <w:r w:rsidR="00B61F22">
        <w:t xml:space="preserve"> cause</w:t>
      </w:r>
      <w:r w:rsidR="001A5507">
        <w:t>s</w:t>
      </w:r>
      <w:r w:rsidR="00B61F22">
        <w:t xml:space="preserve"> harm to others</w:t>
      </w:r>
      <w:r w:rsidR="001A5507">
        <w:t>, regardless of whether it is a belief based in religion or not</w:t>
      </w:r>
      <w:r w:rsidR="00B61F22">
        <w:t>.</w:t>
      </w:r>
      <w:r w:rsidR="001A5507">
        <w:t xml:space="preserve">  </w:t>
      </w:r>
      <w:r w:rsidR="00E43793">
        <w:t>Whether it should be the law, the community, or a mixture of the two</w:t>
      </w:r>
      <w:r w:rsidR="00296449">
        <w:t>,</w:t>
      </w:r>
      <w:r w:rsidR="00E43793">
        <w:t xml:space="preserve"> which responds to </w:t>
      </w:r>
      <w:r w:rsidR="00415376">
        <w:t xml:space="preserve">this unfounded and harmful idea is the issue.  Another issue is </w:t>
      </w:r>
      <w:r w:rsidR="00415376">
        <w:rPr>
          <w:i/>
        </w:rPr>
        <w:t xml:space="preserve">how </w:t>
      </w:r>
      <w:r w:rsidR="00415376">
        <w:t>the law, the community, or the mixture of the two should respond.</w:t>
      </w:r>
    </w:p>
    <w:p w14:paraId="7003421D" w14:textId="0487D62F" w:rsidR="00AA1EA4" w:rsidRDefault="00AA1EA4" w:rsidP="004F2258">
      <w:r>
        <w:t xml:space="preserve">Conversion bans overseas, and proposed reforms domestically, have struggled to engage critically with these issues, either banning conversion practices indiscriminately or failing to address practices outside health service settings.  Proposals that proceed on that basis </w:t>
      </w:r>
      <w:r w:rsidR="00427F47">
        <w:t xml:space="preserve">do not adequately address </w:t>
      </w:r>
      <w:r>
        <w:t>the site of current SOGI conversion practices.</w:t>
      </w:r>
    </w:p>
    <w:p w14:paraId="430AB339" w14:textId="5F3F4BD3" w:rsidR="00AA1EA4" w:rsidRDefault="00AA1EA4" w:rsidP="004F2258">
      <w:r>
        <w:t>In these settings, Equality Australia would support:</w:t>
      </w:r>
    </w:p>
    <w:p w14:paraId="7AC0235E" w14:textId="77777777" w:rsidR="00B0752F" w:rsidRDefault="00B0752F" w:rsidP="00B0752F">
      <w:pPr>
        <w:pStyle w:val="Bullet"/>
      </w:pPr>
      <w:r>
        <w:t xml:space="preserve">Prohibitions on publishing, disseminating or causing to publish or disseminate statements, advertisements, notices or documents for fee or reward (for example, books, paid advertisements, etc.): </w:t>
      </w:r>
    </w:p>
    <w:p w14:paraId="3819C928" w14:textId="77777777" w:rsidR="00B0752F" w:rsidRDefault="00B0752F" w:rsidP="00B0752F">
      <w:pPr>
        <w:pStyle w:val="Bullet"/>
        <w:numPr>
          <w:ilvl w:val="2"/>
          <w:numId w:val="12"/>
        </w:numPr>
      </w:pPr>
      <w:r>
        <w:t>to the effect that it is possible to change or eliminate a person’s sexual attraction or gender identity (as defined above); or</w:t>
      </w:r>
    </w:p>
    <w:p w14:paraId="5046CEAF" w14:textId="77777777" w:rsidR="00B0752F" w:rsidRDefault="00B0752F" w:rsidP="00B0752F">
      <w:pPr>
        <w:pStyle w:val="Bullet"/>
        <w:numPr>
          <w:ilvl w:val="2"/>
          <w:numId w:val="12"/>
        </w:numPr>
      </w:pPr>
      <w:r>
        <w:t>which are misleading or deceptive, or are likely to mislead or deceive,</w:t>
      </w:r>
      <w:r>
        <w:rPr>
          <w:rStyle w:val="FootnoteReference"/>
        </w:rPr>
        <w:footnoteReference w:id="22"/>
      </w:r>
      <w:r>
        <w:t xml:space="preserve"> as to the origins or causes of a person’s sexual attraction or gender identity (as defined above).</w:t>
      </w:r>
    </w:p>
    <w:p w14:paraId="65855402" w14:textId="27706CC7" w:rsidR="001808A0" w:rsidRDefault="00E1104D" w:rsidP="0098327C">
      <w:pPr>
        <w:pStyle w:val="Bullet"/>
      </w:pPr>
      <w:r>
        <w:t>P</w:t>
      </w:r>
      <w:r w:rsidR="00E231F7">
        <w:t>rohibitions on engaging</w:t>
      </w:r>
      <w:r w:rsidR="00BD39DD">
        <w:t xml:space="preserve"> in or </w:t>
      </w:r>
      <w:r w:rsidR="002952C1">
        <w:t xml:space="preserve">promoting </w:t>
      </w:r>
      <w:r w:rsidR="00E231F7">
        <w:t xml:space="preserve">SOGI conversion practices </w:t>
      </w:r>
      <w:r w:rsidR="00427F47">
        <w:t xml:space="preserve">in any setting (including private settings such as domestic or family </w:t>
      </w:r>
      <w:r w:rsidR="006F1D2C">
        <w:t>environments</w:t>
      </w:r>
      <w:r w:rsidR="00427F47">
        <w:t xml:space="preserve">) </w:t>
      </w:r>
      <w:r w:rsidR="00E231F7">
        <w:t>that</w:t>
      </w:r>
      <w:r w:rsidR="00B510E1">
        <w:t xml:space="preserve"> </w:t>
      </w:r>
      <w:r w:rsidR="00E231F7">
        <w:t>are performed on a child or on a person who is unable to</w:t>
      </w:r>
      <w:r w:rsidR="0098327C">
        <w:t xml:space="preserve"> or does not</w:t>
      </w:r>
      <w:r w:rsidR="00E231F7">
        <w:t xml:space="preserve"> consent</w:t>
      </w:r>
      <w:r w:rsidR="0098327C">
        <w:t xml:space="preserve">.  </w:t>
      </w:r>
      <w:r w:rsidR="001808A0">
        <w:t>Such prohibitions should be dealt with by way of a protection regime</w:t>
      </w:r>
      <w:r w:rsidR="00DD1220">
        <w:t>, rather than a penalisation regime</w:t>
      </w:r>
      <w:r w:rsidR="002952C1">
        <w:t xml:space="preserve"> unless and until a protection order </w:t>
      </w:r>
      <w:r w:rsidR="008847B6">
        <w:t>is</w:t>
      </w:r>
      <w:r w:rsidR="0003027A">
        <w:t xml:space="preserve"> breached.</w:t>
      </w:r>
      <w:r w:rsidR="009173B3">
        <w:t xml:space="preserve">  We have also </w:t>
      </w:r>
      <w:proofErr w:type="gramStart"/>
      <w:r w:rsidR="009173B3">
        <w:t>given consideration to</w:t>
      </w:r>
      <w:proofErr w:type="gramEnd"/>
      <w:r w:rsidR="009173B3">
        <w:t xml:space="preserve"> whether this regime should apply to adults, given </w:t>
      </w:r>
      <w:r w:rsidR="00BF04D8">
        <w:t xml:space="preserve">consent to SOGI conversion practices could be procured through deceptive or false claims </w:t>
      </w:r>
      <w:r w:rsidR="009C1C6F">
        <w:t xml:space="preserve">about the possibility of change, </w:t>
      </w:r>
      <w:r w:rsidR="00B0752F">
        <w:t>or the origins or causes</w:t>
      </w:r>
      <w:r w:rsidR="00BA2B5A">
        <w:t>,</w:t>
      </w:r>
      <w:r w:rsidR="00B0752F">
        <w:t xml:space="preserve"> of a person’s sexual orientation or gender identity.  We address this issue further in section </w:t>
      </w:r>
      <w:r w:rsidR="00F234A6" w:rsidRPr="00F234A6">
        <w:rPr>
          <w:i/>
        </w:rPr>
        <w:fldChar w:fldCharType="begin"/>
      </w:r>
      <w:r w:rsidR="00F234A6" w:rsidRPr="00F234A6">
        <w:rPr>
          <w:i/>
        </w:rPr>
        <w:instrText xml:space="preserve"> REF _Ref27660906 \r \h </w:instrText>
      </w:r>
      <w:r w:rsidR="00F234A6">
        <w:rPr>
          <w:i/>
        </w:rPr>
        <w:instrText xml:space="preserve"> \* MERGEFORMAT </w:instrText>
      </w:r>
      <w:r w:rsidR="00F234A6" w:rsidRPr="00F234A6">
        <w:rPr>
          <w:i/>
        </w:rPr>
      </w:r>
      <w:r w:rsidR="00F234A6" w:rsidRPr="00F234A6">
        <w:rPr>
          <w:i/>
        </w:rPr>
        <w:fldChar w:fldCharType="separate"/>
      </w:r>
      <w:r w:rsidR="00A725C8">
        <w:rPr>
          <w:i/>
        </w:rPr>
        <w:t>2</w:t>
      </w:r>
      <w:r w:rsidR="00F234A6" w:rsidRPr="00F234A6">
        <w:rPr>
          <w:i/>
        </w:rPr>
        <w:fldChar w:fldCharType="end"/>
      </w:r>
      <w:r w:rsidR="00F234A6" w:rsidRPr="00F234A6">
        <w:rPr>
          <w:i/>
        </w:rPr>
        <w:t xml:space="preserve"> </w:t>
      </w:r>
      <w:r w:rsidR="00F234A6" w:rsidRPr="00F234A6">
        <w:rPr>
          <w:i/>
        </w:rPr>
        <w:fldChar w:fldCharType="begin"/>
      </w:r>
      <w:r w:rsidR="00F234A6" w:rsidRPr="00F234A6">
        <w:rPr>
          <w:i/>
        </w:rPr>
        <w:instrText xml:space="preserve"> REF _Ref27660901 \h </w:instrText>
      </w:r>
      <w:r w:rsidR="00F234A6">
        <w:rPr>
          <w:i/>
        </w:rPr>
        <w:instrText xml:space="preserve"> \* MERGEFORMAT </w:instrText>
      </w:r>
      <w:r w:rsidR="00F234A6" w:rsidRPr="00F234A6">
        <w:rPr>
          <w:i/>
        </w:rPr>
      </w:r>
      <w:r w:rsidR="00F234A6" w:rsidRPr="00F234A6">
        <w:rPr>
          <w:i/>
        </w:rPr>
        <w:fldChar w:fldCharType="separate"/>
      </w:r>
      <w:r w:rsidR="00A725C8" w:rsidRPr="00A725C8">
        <w:rPr>
          <w:i/>
        </w:rPr>
        <w:t>Who is protected?</w:t>
      </w:r>
      <w:r w:rsidR="00F234A6" w:rsidRPr="00F234A6">
        <w:rPr>
          <w:i/>
        </w:rPr>
        <w:fldChar w:fldCharType="end"/>
      </w:r>
      <w:r w:rsidR="00F234A6">
        <w:t xml:space="preserve"> </w:t>
      </w:r>
      <w:r w:rsidR="00B0752F">
        <w:t>below.</w:t>
      </w:r>
    </w:p>
    <w:p w14:paraId="77E52870" w14:textId="45E85CF8" w:rsidR="00427F47" w:rsidRDefault="00B0752F" w:rsidP="000F6770">
      <w:r>
        <w:t>In our view, the</w:t>
      </w:r>
      <w:r w:rsidR="00C53FCB">
        <w:t xml:space="preserve"> </w:t>
      </w:r>
      <w:r>
        <w:t xml:space="preserve">two </w:t>
      </w:r>
      <w:r w:rsidR="00C53FCB">
        <w:t>additional</w:t>
      </w:r>
      <w:r w:rsidR="000F6770">
        <w:t xml:space="preserve"> prohibitions </w:t>
      </w:r>
      <w:r>
        <w:t xml:space="preserve">above </w:t>
      </w:r>
      <w:r w:rsidR="000F6770">
        <w:t xml:space="preserve">should continue to operate alongside existing </w:t>
      </w:r>
      <w:r w:rsidR="00B77567">
        <w:t xml:space="preserve">laws that regulate </w:t>
      </w:r>
      <w:r w:rsidR="000B4739">
        <w:t>professional conduct</w:t>
      </w:r>
      <w:r w:rsidR="00FC41C1">
        <w:t xml:space="preserve"> and</w:t>
      </w:r>
      <w:r w:rsidR="00A87018">
        <w:t xml:space="preserve"> persons ma</w:t>
      </w:r>
      <w:r w:rsidR="00FC41C1">
        <w:t>king health claims</w:t>
      </w:r>
      <w:r w:rsidR="00052E08">
        <w:t xml:space="preserve">, </w:t>
      </w:r>
      <w:r w:rsidR="00DC173E">
        <w:t xml:space="preserve">such as the </w:t>
      </w:r>
      <w:r w:rsidR="00DC173E">
        <w:rPr>
          <w:i/>
          <w:iCs/>
        </w:rPr>
        <w:t xml:space="preserve">Health Complaints Act </w:t>
      </w:r>
      <w:r w:rsidR="00AA486F">
        <w:rPr>
          <w:i/>
          <w:iCs/>
        </w:rPr>
        <w:t>2016 (</w:t>
      </w:r>
      <w:proofErr w:type="spellStart"/>
      <w:r w:rsidR="00AA486F">
        <w:rPr>
          <w:i/>
          <w:iCs/>
        </w:rPr>
        <w:t>Cth</w:t>
      </w:r>
      <w:proofErr w:type="spellEnd"/>
      <w:r w:rsidR="00AA486F">
        <w:rPr>
          <w:i/>
          <w:iCs/>
        </w:rPr>
        <w:t>)</w:t>
      </w:r>
      <w:r w:rsidR="00473180">
        <w:rPr>
          <w:i/>
          <w:iCs/>
        </w:rPr>
        <w:t>,</w:t>
      </w:r>
      <w:r w:rsidR="00AA486F">
        <w:rPr>
          <w:i/>
          <w:iCs/>
        </w:rPr>
        <w:t xml:space="preserve"> </w:t>
      </w:r>
      <w:r w:rsidR="000B4739">
        <w:t>and</w:t>
      </w:r>
      <w:r w:rsidR="002D5BA2">
        <w:t xml:space="preserve"> which</w:t>
      </w:r>
      <w:r w:rsidR="000B4739">
        <w:t xml:space="preserve"> </w:t>
      </w:r>
      <w:r w:rsidR="0025517D">
        <w:t xml:space="preserve">outlaw </w:t>
      </w:r>
      <w:r w:rsidR="009454CA">
        <w:t>criminal conduct</w:t>
      </w:r>
      <w:r w:rsidR="00AD4ABE">
        <w:t>, such as assault laws</w:t>
      </w:r>
      <w:r w:rsidR="009454CA">
        <w:t>.</w:t>
      </w:r>
      <w:r w:rsidR="002D5BA2">
        <w:rPr>
          <w:rStyle w:val="FootnoteReference"/>
        </w:rPr>
        <w:footnoteReference w:id="23"/>
      </w:r>
      <w:r w:rsidR="00427F47">
        <w:t xml:space="preserve"> </w:t>
      </w:r>
    </w:p>
    <w:p w14:paraId="417594CC" w14:textId="71CDFCAD" w:rsidR="000F6770" w:rsidRPr="007D2EAD" w:rsidRDefault="00AD4ABE" w:rsidP="000F6770">
      <w:r>
        <w:t>In this regard, c</w:t>
      </w:r>
      <w:r w:rsidR="00996193">
        <w:t>ertain extreme forms of SOGI conversion practices (such as aversion therapy) would remain criminalised under existing laws.</w:t>
      </w:r>
      <w:r w:rsidR="00F7232A">
        <w:t xml:space="preserve"> </w:t>
      </w:r>
      <w:r w:rsidR="00A87018">
        <w:t xml:space="preserve"> </w:t>
      </w:r>
      <w:r w:rsidR="00052E08">
        <w:t>A specific offence</w:t>
      </w:r>
      <w:r w:rsidR="00A87018">
        <w:t xml:space="preserve"> (or amendments to existing offences)</w:t>
      </w:r>
      <w:r w:rsidR="00052E08">
        <w:t xml:space="preserve"> that clarified the application of existing criminal</w:t>
      </w:r>
      <w:r w:rsidR="00007C56">
        <w:t xml:space="preserve"> assault</w:t>
      </w:r>
      <w:r w:rsidR="00052E08">
        <w:t xml:space="preserve"> laws to the </w:t>
      </w:r>
      <w:r w:rsidR="00A87018">
        <w:t xml:space="preserve">SOGI </w:t>
      </w:r>
      <w:r w:rsidR="00052E08">
        <w:t xml:space="preserve">conversion context could be considered. </w:t>
      </w:r>
    </w:p>
    <w:p w14:paraId="2475111E" w14:textId="3CF00AF1" w:rsidR="0003027A" w:rsidRDefault="008D5B62" w:rsidP="0003027A">
      <w:pPr>
        <w:pStyle w:val="Heading2"/>
      </w:pPr>
      <w:bookmarkStart w:id="5" w:name="_Toc27749611"/>
      <w:r>
        <w:lastRenderedPageBreak/>
        <w:t>SOGI conversion practices outside of jurisdiction</w:t>
      </w:r>
      <w:bookmarkEnd w:id="5"/>
    </w:p>
    <w:p w14:paraId="058AC063" w14:textId="636F99AE" w:rsidR="008D1C4F" w:rsidRDefault="00F37A72" w:rsidP="00D97C95">
      <w:r>
        <w:t xml:space="preserve">Equality Australia also supports </w:t>
      </w:r>
      <w:r w:rsidR="00052E08">
        <w:t xml:space="preserve">the creation of a new </w:t>
      </w:r>
      <w:r>
        <w:t>criminal offence o</w:t>
      </w:r>
      <w:r w:rsidR="00052E08">
        <w:t>f</w:t>
      </w:r>
      <w:r w:rsidR="00441C0C">
        <w:t>:</w:t>
      </w:r>
    </w:p>
    <w:p w14:paraId="1420F5EB" w14:textId="3AAD2BA1" w:rsidR="008D1C4F" w:rsidRDefault="00F37A72" w:rsidP="008D1C4F">
      <w:pPr>
        <w:pStyle w:val="Bullet"/>
      </w:pPr>
      <w:r>
        <w:t xml:space="preserve">taking a </w:t>
      </w:r>
      <w:r w:rsidR="00E82A09">
        <w:t xml:space="preserve">person outside </w:t>
      </w:r>
      <w:r w:rsidR="006E5715">
        <w:t>its</w:t>
      </w:r>
      <w:r w:rsidR="001729E5">
        <w:t xml:space="preserve"> jurisdiction</w:t>
      </w:r>
      <w:r w:rsidR="00441C0C">
        <w:t>;</w:t>
      </w:r>
    </w:p>
    <w:p w14:paraId="09CFEA71" w14:textId="3CB7402D" w:rsidR="008D1C4F" w:rsidRDefault="00850D17" w:rsidP="008D1C4F">
      <w:pPr>
        <w:pStyle w:val="Bullet"/>
      </w:pPr>
      <w:r>
        <w:t>to engage</w:t>
      </w:r>
      <w:r w:rsidR="008606E9">
        <w:t xml:space="preserve"> </w:t>
      </w:r>
      <w:r w:rsidR="0073743B">
        <w:t>in conduct</w:t>
      </w:r>
      <w:r w:rsidR="00F777BF">
        <w:t xml:space="preserve"> which would otherwise be prohibited </w:t>
      </w:r>
      <w:r w:rsidR="00B60951">
        <w:t>within Victoria</w:t>
      </w:r>
      <w:r w:rsidR="006A54DE">
        <w:t xml:space="preserve"> (e.g. SOGI conversion practices, but also </w:t>
      </w:r>
      <w:r w:rsidR="004E4D84">
        <w:t>conduct that would breach criminal laws such as assault, forced marriage etc. offences)</w:t>
      </w:r>
      <w:r w:rsidR="00C57D63">
        <w:t>; and</w:t>
      </w:r>
    </w:p>
    <w:p w14:paraId="5FE09FFB" w14:textId="0C90FCC6" w:rsidR="008D5B62" w:rsidRDefault="0073743B" w:rsidP="008D1C4F">
      <w:pPr>
        <w:pStyle w:val="Bullet"/>
      </w:pPr>
      <w:r>
        <w:t xml:space="preserve">for the purpose </w:t>
      </w:r>
      <w:r w:rsidR="00D97C95">
        <w:t>of changing, suppressing or eliminating</w:t>
      </w:r>
      <w:r w:rsidR="004C0C99">
        <w:t xml:space="preserve"> </w:t>
      </w:r>
      <w:r w:rsidR="00D97C95">
        <w:t>sexual attraction</w:t>
      </w:r>
      <w:r w:rsidR="004C0C99">
        <w:t>, sexual identity, gender identity or gender affirmation (as defined above).</w:t>
      </w:r>
    </w:p>
    <w:p w14:paraId="313DE590" w14:textId="521D8386" w:rsidR="006A54DE" w:rsidRPr="008D5B62" w:rsidRDefault="006A54DE" w:rsidP="006A54DE">
      <w:r>
        <w:t xml:space="preserve">This offence would also ensure the protective regime we have recommended could not be evaded by </w:t>
      </w:r>
      <w:r w:rsidR="00ED776E">
        <w:t xml:space="preserve">simply </w:t>
      </w:r>
      <w:r>
        <w:t xml:space="preserve">taking someone outside the jurisdiction to engage in </w:t>
      </w:r>
      <w:r w:rsidR="00B50519">
        <w:t xml:space="preserve">harmful </w:t>
      </w:r>
      <w:r>
        <w:t xml:space="preserve">conduct which </w:t>
      </w:r>
      <w:r w:rsidR="00B50519">
        <w:t>could</w:t>
      </w:r>
      <w:r>
        <w:t xml:space="preserve"> otherwise </w:t>
      </w:r>
      <w:r w:rsidR="00821A28">
        <w:t>have been</w:t>
      </w:r>
      <w:r>
        <w:t xml:space="preserve"> </w:t>
      </w:r>
      <w:r w:rsidR="00B50519">
        <w:t>prevented</w:t>
      </w:r>
      <w:r>
        <w:t xml:space="preserve"> i</w:t>
      </w:r>
      <w:r w:rsidR="00B50519">
        <w:t xml:space="preserve">f it had </w:t>
      </w:r>
      <w:r w:rsidR="00821A28">
        <w:t>occurred in</w:t>
      </w:r>
      <w:r>
        <w:t xml:space="preserve"> Victoria. </w:t>
      </w:r>
    </w:p>
    <w:p w14:paraId="4899B914" w14:textId="6362ACD2" w:rsidR="0025517D" w:rsidRDefault="00BA57C3" w:rsidP="0025517D">
      <w:pPr>
        <w:pStyle w:val="Heading1"/>
      </w:pPr>
      <w:bookmarkStart w:id="6" w:name="_Ref27660901"/>
      <w:bookmarkStart w:id="7" w:name="_Ref27660906"/>
      <w:bookmarkStart w:id="8" w:name="_Toc27749612"/>
      <w:r w:rsidRPr="00BA57C3">
        <w:t>Who is protected?</w:t>
      </w:r>
      <w:bookmarkEnd w:id="6"/>
      <w:bookmarkEnd w:id="7"/>
      <w:bookmarkEnd w:id="8"/>
      <w:r w:rsidR="0025517D" w:rsidRPr="0025517D">
        <w:t xml:space="preserve"> </w:t>
      </w:r>
    </w:p>
    <w:tbl>
      <w:tblPr>
        <w:tblStyle w:val="TableGridLight"/>
        <w:tblW w:w="0" w:type="auto"/>
        <w:tblBorders>
          <w:top w:val="single" w:sz="12" w:space="0" w:color="00BE87" w:themeColor="accent2"/>
          <w:left w:val="single" w:sz="12" w:space="0" w:color="00BE87" w:themeColor="accent2"/>
          <w:bottom w:val="single" w:sz="12" w:space="0" w:color="00BE87" w:themeColor="accent2"/>
          <w:right w:val="single" w:sz="12" w:space="0" w:color="00BE87" w:themeColor="accent2"/>
          <w:insideH w:val="single" w:sz="12" w:space="0" w:color="00BE87" w:themeColor="accent2"/>
          <w:insideV w:val="single" w:sz="12" w:space="0" w:color="00BE87" w:themeColor="accent2"/>
        </w:tblBorders>
        <w:tblCellMar>
          <w:left w:w="340" w:type="dxa"/>
          <w:right w:w="340" w:type="dxa"/>
        </w:tblCellMar>
        <w:tblLook w:val="0600" w:firstRow="0" w:lastRow="0" w:firstColumn="0" w:lastColumn="0" w:noHBand="1" w:noVBand="1"/>
      </w:tblPr>
      <w:tblGrid>
        <w:gridCol w:w="8871"/>
      </w:tblGrid>
      <w:tr w:rsidR="0025517D" w14:paraId="5296E3DC" w14:textId="77777777" w:rsidTr="00D87056">
        <w:tc>
          <w:tcPr>
            <w:tcW w:w="8871" w:type="dxa"/>
            <w:tcMar>
              <w:bottom w:w="142" w:type="dxa"/>
            </w:tcMar>
          </w:tcPr>
          <w:p w14:paraId="4C5E07CF" w14:textId="77777777" w:rsidR="0025517D" w:rsidRDefault="0025517D" w:rsidP="00D87056">
            <w:pPr>
              <w:pStyle w:val="Heading3"/>
              <w:outlineLvl w:val="2"/>
            </w:pPr>
            <w:r>
              <w:t>Discussion questions:</w:t>
            </w:r>
          </w:p>
          <w:p w14:paraId="1F5CCE2B" w14:textId="77777777" w:rsidR="0025517D" w:rsidRPr="0025517D" w:rsidRDefault="0025517D" w:rsidP="0025517D">
            <w:pPr>
              <w:pStyle w:val="Intro"/>
              <w:rPr>
                <w:i/>
              </w:rPr>
            </w:pPr>
            <w:r w:rsidRPr="0025517D">
              <w:rPr>
                <w:i/>
              </w:rPr>
              <w:t xml:space="preserve">Who do you think should be protected?  </w:t>
            </w:r>
          </w:p>
          <w:p w14:paraId="465E00B7" w14:textId="77777777" w:rsidR="0025517D" w:rsidRPr="0025517D" w:rsidRDefault="0025517D" w:rsidP="0025517D">
            <w:pPr>
              <w:pStyle w:val="Intro"/>
              <w:rPr>
                <w:i/>
              </w:rPr>
            </w:pPr>
            <w:r w:rsidRPr="0025517D">
              <w:rPr>
                <w:i/>
              </w:rPr>
              <w:t>Should protection be limited to children and people experiencing vulnerability?  If so, what vulnerable groups should be included?</w:t>
            </w:r>
          </w:p>
          <w:p w14:paraId="1F4E560F" w14:textId="77777777" w:rsidR="0025517D" w:rsidRPr="0025517D" w:rsidRDefault="0025517D" w:rsidP="0025517D">
            <w:pPr>
              <w:pStyle w:val="Intro"/>
              <w:rPr>
                <w:i/>
              </w:rPr>
            </w:pPr>
            <w:r w:rsidRPr="0025517D">
              <w:rPr>
                <w:i/>
              </w:rPr>
              <w:t xml:space="preserve">Should protection be available to all members of the community? </w:t>
            </w:r>
          </w:p>
          <w:p w14:paraId="7CE404BE" w14:textId="6F65A0F3" w:rsidR="0025517D" w:rsidRPr="0025517D" w:rsidRDefault="0025517D" w:rsidP="00D87056">
            <w:pPr>
              <w:pStyle w:val="Intro"/>
              <w:rPr>
                <w:rStyle w:val="PageNumber"/>
                <w:i/>
              </w:rPr>
            </w:pPr>
            <w:r w:rsidRPr="0025517D">
              <w:rPr>
                <w:i/>
              </w:rPr>
              <w:t>In what ways do you think the issue of consent is relevant to determining who should be protected?</w:t>
            </w:r>
          </w:p>
        </w:tc>
      </w:tr>
    </w:tbl>
    <w:p w14:paraId="64850E73" w14:textId="14033940" w:rsidR="00052E08" w:rsidRDefault="000754E9" w:rsidP="000754E9">
      <w:r>
        <w:t xml:space="preserve">In health, education and </w:t>
      </w:r>
      <w:r w:rsidR="00BE7D2C">
        <w:t>welfare</w:t>
      </w:r>
      <w:r>
        <w:t xml:space="preserve"> </w:t>
      </w:r>
      <w:r w:rsidR="00D01CBB">
        <w:t xml:space="preserve">service </w:t>
      </w:r>
      <w:r>
        <w:t xml:space="preserve">settings, </w:t>
      </w:r>
      <w:r w:rsidR="00C8338B">
        <w:t>all persons should be protected from SOGI conversion practices.</w:t>
      </w:r>
      <w:r w:rsidR="006C714F">
        <w:t xml:space="preserve">  Persons in positions of </w:t>
      </w:r>
      <w:r w:rsidR="0009290B">
        <w:t>trust</w:t>
      </w:r>
      <w:r w:rsidR="006C714F">
        <w:t xml:space="preserve">, or </w:t>
      </w:r>
      <w:r w:rsidR="000D7984">
        <w:t>who</w:t>
      </w:r>
      <w:r w:rsidR="006C714F">
        <w:t xml:space="preserve"> provide </w:t>
      </w:r>
      <w:r w:rsidR="000D7984">
        <w:t xml:space="preserve">publicly funded </w:t>
      </w:r>
      <w:r w:rsidR="00B303C2">
        <w:t xml:space="preserve">or regulated health, education and welfare </w:t>
      </w:r>
      <w:r w:rsidR="006C714F">
        <w:t>services</w:t>
      </w:r>
      <w:r w:rsidR="00D904E4">
        <w:t xml:space="preserve"> (including those who put themselves out as willing to provide such services)</w:t>
      </w:r>
      <w:r w:rsidR="00B303C2">
        <w:t>,</w:t>
      </w:r>
      <w:r w:rsidR="006C714F">
        <w:t xml:space="preserve"> should not </w:t>
      </w:r>
      <w:r w:rsidR="0019093B">
        <w:t xml:space="preserve">use </w:t>
      </w:r>
      <w:r w:rsidR="00402263">
        <w:t>these</w:t>
      </w:r>
      <w:r w:rsidR="0019093B">
        <w:t xml:space="preserve"> positions to </w:t>
      </w:r>
      <w:r w:rsidR="006C714F">
        <w:t>engage in or promote SOGI conversion practices.</w:t>
      </w:r>
      <w:r w:rsidR="008D301D">
        <w:t xml:space="preserve">  </w:t>
      </w:r>
    </w:p>
    <w:p w14:paraId="188E6647" w14:textId="4EA66C43" w:rsidR="00C8338B" w:rsidRDefault="00C8338B" w:rsidP="000754E9">
      <w:r>
        <w:t xml:space="preserve">In other settings, we have </w:t>
      </w:r>
      <w:r w:rsidR="00D5634D">
        <w:t>suggested</w:t>
      </w:r>
      <w:r>
        <w:t xml:space="preserve"> </w:t>
      </w:r>
      <w:r w:rsidR="003D628E">
        <w:t>prohibitions on the commercialisation of SOGI conversion practices</w:t>
      </w:r>
      <w:r w:rsidR="00D5634D">
        <w:t xml:space="preserve"> to protect </w:t>
      </w:r>
      <w:r w:rsidR="00BE4110">
        <w:t xml:space="preserve">everyone against misleading and deceptive </w:t>
      </w:r>
      <w:r w:rsidR="00D5634D">
        <w:t xml:space="preserve">commercial materials.  We have also suggested </w:t>
      </w:r>
      <w:r w:rsidR="00B94535">
        <w:t xml:space="preserve">prohibitions on SOGI conversion practices being undertaken </w:t>
      </w:r>
      <w:r w:rsidR="00C148AB">
        <w:t>in respect of</w:t>
      </w:r>
      <w:r w:rsidR="00B94535">
        <w:t xml:space="preserve"> children and persons who are unable to </w:t>
      </w:r>
      <w:r w:rsidR="007A5466">
        <w:t xml:space="preserve">or do not </w:t>
      </w:r>
      <w:r w:rsidR="00B94535">
        <w:t>consent</w:t>
      </w:r>
      <w:r w:rsidR="007A5466">
        <w:t>.</w:t>
      </w:r>
      <w:r w:rsidR="00CC0627">
        <w:t xml:space="preserve">  </w:t>
      </w:r>
      <w:r w:rsidR="00EF7D03">
        <w:t>These</w:t>
      </w:r>
      <w:r w:rsidR="00CC0627">
        <w:t xml:space="preserve"> prohibitions should be </w:t>
      </w:r>
      <w:r w:rsidR="00EF7D03">
        <w:t>enacted</w:t>
      </w:r>
      <w:r w:rsidR="00CC0627">
        <w:t xml:space="preserve"> by way of a </w:t>
      </w:r>
      <w:r w:rsidR="00C148AB">
        <w:t xml:space="preserve">predominantly </w:t>
      </w:r>
      <w:r w:rsidR="007A5466">
        <w:t xml:space="preserve">protective </w:t>
      </w:r>
      <w:r w:rsidR="00D4099D">
        <w:t>system</w:t>
      </w:r>
      <w:r w:rsidR="0010690D">
        <w:t xml:space="preserve">, as described below.  </w:t>
      </w:r>
      <w:r w:rsidR="00DD6B8C">
        <w:t xml:space="preserve">A </w:t>
      </w:r>
      <w:r w:rsidR="00F26CB4">
        <w:t xml:space="preserve">flexible </w:t>
      </w:r>
      <w:r w:rsidR="008A53EA">
        <w:t>protective regime</w:t>
      </w:r>
      <w:r w:rsidR="00DD6B8C">
        <w:t xml:space="preserve"> </w:t>
      </w:r>
      <w:r w:rsidR="008A53EA">
        <w:t xml:space="preserve">ensures that the law can accommodate the </w:t>
      </w:r>
      <w:proofErr w:type="gramStart"/>
      <w:r w:rsidR="008A53EA">
        <w:t>particular circumstances</w:t>
      </w:r>
      <w:proofErr w:type="gramEnd"/>
      <w:r w:rsidR="008A53EA">
        <w:t xml:space="preserve"> and complexities of each case.</w:t>
      </w:r>
    </w:p>
    <w:p w14:paraId="417F43B2" w14:textId="13BD76A5" w:rsidR="00972B91" w:rsidRDefault="00E00BBD" w:rsidP="00135F79">
      <w:r>
        <w:t xml:space="preserve">Further consideration could </w:t>
      </w:r>
      <w:r w:rsidR="00D51722">
        <w:t xml:space="preserve">also </w:t>
      </w:r>
      <w:r>
        <w:t xml:space="preserve">be given to the extension of the </w:t>
      </w:r>
      <w:r w:rsidR="00F26CB4">
        <w:t>protective</w:t>
      </w:r>
      <w:r>
        <w:t xml:space="preserve"> regime to </w:t>
      </w:r>
      <w:r w:rsidR="00365A55">
        <w:t xml:space="preserve">adults who </w:t>
      </w:r>
      <w:r w:rsidR="00646F2B">
        <w:t>‘</w:t>
      </w:r>
      <w:r w:rsidR="00365A55">
        <w:t>consent</w:t>
      </w:r>
      <w:r w:rsidR="00646F2B">
        <w:t>’</w:t>
      </w:r>
      <w:r w:rsidR="00365A55">
        <w:t xml:space="preserve"> </w:t>
      </w:r>
      <w:r w:rsidR="007B6FA1">
        <w:t xml:space="preserve">to </w:t>
      </w:r>
      <w:r w:rsidR="00F26CB4">
        <w:t xml:space="preserve">their own </w:t>
      </w:r>
      <w:r w:rsidR="007B6FA1">
        <w:t>SOGI conversion practices</w:t>
      </w:r>
      <w:r w:rsidR="00F26CB4">
        <w:t xml:space="preserve"> where there are</w:t>
      </w:r>
      <w:r w:rsidR="009C1169">
        <w:t xml:space="preserve"> compelling</w:t>
      </w:r>
      <w:r w:rsidR="00A96ACB">
        <w:t xml:space="preserve"> public health</w:t>
      </w:r>
      <w:r w:rsidR="009C1169">
        <w:t xml:space="preserve"> </w:t>
      </w:r>
      <w:r w:rsidR="00700AF0">
        <w:t xml:space="preserve">or other </w:t>
      </w:r>
      <w:r w:rsidR="00804C8B">
        <w:t>justifications</w:t>
      </w:r>
      <w:r w:rsidR="00594972">
        <w:t xml:space="preserve"> (</w:t>
      </w:r>
      <w:r w:rsidR="002762F6">
        <w:t>e.g.</w:t>
      </w:r>
      <w:r w:rsidR="00594972">
        <w:t xml:space="preserve"> because the practice would result in serious harm to the person, for example death or permanent physical injury)</w:t>
      </w:r>
      <w:r w:rsidR="00804C8B">
        <w:t>.</w:t>
      </w:r>
      <w:r w:rsidR="00413A24">
        <w:t xml:space="preserve">  </w:t>
      </w:r>
      <w:r w:rsidR="00F26CB4">
        <w:t>However, w</w:t>
      </w:r>
      <w:r w:rsidR="0046607F">
        <w:t xml:space="preserve">here adults </w:t>
      </w:r>
      <w:r w:rsidR="00646F2B">
        <w:t>‘</w:t>
      </w:r>
      <w:r w:rsidR="0046607F">
        <w:t>consent</w:t>
      </w:r>
      <w:r w:rsidR="00646F2B">
        <w:t>’</w:t>
      </w:r>
      <w:r w:rsidR="0046607F">
        <w:t xml:space="preserve"> to participating in their own SOGI conversion practices, w</w:t>
      </w:r>
      <w:r w:rsidR="00391FB8">
        <w:t xml:space="preserve">e have found it difficult </w:t>
      </w:r>
      <w:r w:rsidR="00856FA4">
        <w:t xml:space="preserve">at this stage </w:t>
      </w:r>
      <w:r w:rsidR="00391FB8">
        <w:t xml:space="preserve">to </w:t>
      </w:r>
      <w:r w:rsidR="0046607F">
        <w:t xml:space="preserve">articulate an appropriate legal </w:t>
      </w:r>
      <w:r w:rsidR="00972B91">
        <w:t xml:space="preserve">threshold </w:t>
      </w:r>
      <w:r w:rsidR="00D34C03">
        <w:t>beyond</w:t>
      </w:r>
      <w:r w:rsidR="0046607F">
        <w:t xml:space="preserve"> which a protective regime </w:t>
      </w:r>
      <w:r w:rsidR="00D34C03">
        <w:t>could be activated</w:t>
      </w:r>
      <w:r w:rsidR="00856FA4">
        <w:t>.  This is because</w:t>
      </w:r>
      <w:r w:rsidR="000E14E7">
        <w:t>:</w:t>
      </w:r>
    </w:p>
    <w:p w14:paraId="30BFA79E" w14:textId="7A0FC49E" w:rsidR="00E00BBD" w:rsidRDefault="00F404D0" w:rsidP="00972B91">
      <w:pPr>
        <w:pStyle w:val="Bullet"/>
      </w:pPr>
      <w:r>
        <w:t xml:space="preserve">consistent with the freedom of thought, conscience and religion, </w:t>
      </w:r>
      <w:r w:rsidR="0046607F">
        <w:t xml:space="preserve">adults </w:t>
      </w:r>
      <w:r w:rsidR="00CB1DDA">
        <w:t>should</w:t>
      </w:r>
      <w:r w:rsidR="0046607F">
        <w:t xml:space="preserve"> </w:t>
      </w:r>
      <w:r w:rsidR="001C475A">
        <w:t xml:space="preserve">arguably </w:t>
      </w:r>
      <w:r w:rsidR="0046607F">
        <w:t>be given</w:t>
      </w:r>
      <w:r w:rsidR="00856FA4">
        <w:t xml:space="preserve"> some</w:t>
      </w:r>
      <w:r w:rsidR="00734A12">
        <w:t xml:space="preserve"> latitude to</w:t>
      </w:r>
      <w:r w:rsidR="009458D5">
        <w:t xml:space="preserve"> engage in </w:t>
      </w:r>
      <w:r w:rsidR="00302575">
        <w:t>SOGI conversion</w:t>
      </w:r>
      <w:r w:rsidR="00F8224D">
        <w:t xml:space="preserve"> </w:t>
      </w:r>
      <w:r w:rsidR="009458D5">
        <w:t>practices</w:t>
      </w:r>
      <w:r w:rsidR="00AA4925">
        <w:t xml:space="preserve"> if they freely choose to do so</w:t>
      </w:r>
      <w:r w:rsidR="00F8224D">
        <w:t xml:space="preserve"> </w:t>
      </w:r>
      <w:r w:rsidR="00AA4925">
        <w:t>(</w:t>
      </w:r>
      <w:r w:rsidR="00F8224D">
        <w:t xml:space="preserve">provided they cause </w:t>
      </w:r>
      <w:r w:rsidR="009458D5">
        <w:t>no harm to others</w:t>
      </w:r>
      <w:r w:rsidR="00AA4925">
        <w:t>)</w:t>
      </w:r>
      <w:r w:rsidR="002C5727">
        <w:t>;</w:t>
      </w:r>
      <w:r>
        <w:t xml:space="preserve"> and</w:t>
      </w:r>
    </w:p>
    <w:p w14:paraId="13F4711C" w14:textId="63F26F02" w:rsidR="000E14E7" w:rsidRDefault="00A324CA" w:rsidP="00972B91">
      <w:pPr>
        <w:pStyle w:val="Bullet"/>
      </w:pPr>
      <w:r>
        <w:lastRenderedPageBreak/>
        <w:t>recognising that SOGI conversion practices are</w:t>
      </w:r>
      <w:r w:rsidR="0047185F">
        <w:t xml:space="preserve"> in and of themselves</w:t>
      </w:r>
      <w:r>
        <w:t xml:space="preserve"> harmful, </w:t>
      </w:r>
      <w:r w:rsidR="000E14E7">
        <w:t>it is</w:t>
      </w:r>
      <w:r w:rsidR="00586E36">
        <w:t xml:space="preserve"> </w:t>
      </w:r>
      <w:r w:rsidR="000E14E7">
        <w:t>difficult to draw a line</w:t>
      </w:r>
      <w:r w:rsidR="00F8224D">
        <w:t xml:space="preserve"> as to what risk or degree of ‘harm’ will be </w:t>
      </w:r>
      <w:r w:rsidR="00F404D0">
        <w:t xml:space="preserve">deemed </w:t>
      </w:r>
      <w:r w:rsidR="00F8224D">
        <w:t>acceptable</w:t>
      </w:r>
      <w:r w:rsidR="00F404D0">
        <w:t xml:space="preserve"> before the law should intervene</w:t>
      </w:r>
      <w:r w:rsidR="00F8224D">
        <w:t xml:space="preserve">.  </w:t>
      </w:r>
      <w:r w:rsidR="000E14E7">
        <w:t xml:space="preserve"> </w:t>
      </w:r>
      <w:r w:rsidR="007C7324">
        <w:t xml:space="preserve">Specifically, should the protective regime only </w:t>
      </w:r>
      <w:r w:rsidR="00915F23">
        <w:t xml:space="preserve">activate where there is a risk of serious harm, </w:t>
      </w:r>
      <w:r w:rsidR="007B0E17">
        <w:t xml:space="preserve">and </w:t>
      </w:r>
      <w:r w:rsidR="00094C79">
        <w:t>if so, should the definition of serious harm include</w:t>
      </w:r>
      <w:r w:rsidR="007B0E17">
        <w:t xml:space="preserve"> </w:t>
      </w:r>
      <w:r w:rsidR="006C18FD">
        <w:t>significant mental harm</w:t>
      </w:r>
      <w:r w:rsidR="00094C79">
        <w:t>?</w:t>
      </w:r>
    </w:p>
    <w:p w14:paraId="70AC3A62" w14:textId="60F77873" w:rsidR="00135F79" w:rsidRDefault="009520DC" w:rsidP="00135F79">
      <w:r>
        <w:t xml:space="preserve">Because of these difficulties, we have stopped short of recommending </w:t>
      </w:r>
      <w:r w:rsidR="00214926">
        <w:t>an extension of the</w:t>
      </w:r>
      <w:r>
        <w:t xml:space="preserve"> </w:t>
      </w:r>
      <w:r w:rsidR="00214926">
        <w:t>protective</w:t>
      </w:r>
      <w:r>
        <w:t xml:space="preserve"> regime to </w:t>
      </w:r>
      <w:r w:rsidR="00E05B5F">
        <w:t>‘</w:t>
      </w:r>
      <w:r w:rsidR="00583958">
        <w:t>consenting</w:t>
      </w:r>
      <w:r w:rsidR="00E05B5F">
        <w:t>’</w:t>
      </w:r>
      <w:r w:rsidR="00583958">
        <w:t xml:space="preserve"> </w:t>
      </w:r>
      <w:r>
        <w:t xml:space="preserve">adults </w:t>
      </w:r>
      <w:r w:rsidR="00583958">
        <w:t xml:space="preserve">at this stage.  </w:t>
      </w:r>
      <w:r w:rsidR="003A3CB1">
        <w:t xml:space="preserve">We acknowledge </w:t>
      </w:r>
      <w:r w:rsidR="009E39A7">
        <w:t xml:space="preserve">the notion of consent is problematic in circumstances where deceptive or false claims have encouraged </w:t>
      </w:r>
      <w:r w:rsidR="00CD0D12">
        <w:t>a</w:t>
      </w:r>
      <w:r w:rsidR="00646F2B">
        <w:t xml:space="preserve"> person</w:t>
      </w:r>
      <w:r w:rsidR="009E39A7">
        <w:t xml:space="preserve"> to engage in SOGI conversion practices. </w:t>
      </w:r>
      <w:r w:rsidR="003A3CB1">
        <w:t xml:space="preserve"> </w:t>
      </w:r>
      <w:r w:rsidR="00E05B5F">
        <w:t xml:space="preserve">We would suggest that this </w:t>
      </w:r>
      <w:r w:rsidR="0045736D">
        <w:t>issue is subject to further consultation</w:t>
      </w:r>
      <w:r w:rsidR="00295A2B">
        <w:t xml:space="preserve"> by the Victorian Government</w:t>
      </w:r>
      <w:r w:rsidR="0045736D">
        <w:t>, including</w:t>
      </w:r>
      <w:r w:rsidR="00295A2B">
        <w:t xml:space="preserve"> </w:t>
      </w:r>
      <w:r w:rsidR="0045736D">
        <w:t xml:space="preserve">with survivors.  One potential way forward is to define ‘consent’ under any protective regime as being limited to </w:t>
      </w:r>
      <w:r w:rsidR="00CD6506">
        <w:t xml:space="preserve">situations where there has been full, free and informed consent, in that </w:t>
      </w:r>
      <w:r w:rsidR="00295A2B">
        <w:t>consent has not be</w:t>
      </w:r>
      <w:r w:rsidR="0052017E">
        <w:t>en</w:t>
      </w:r>
      <w:r w:rsidR="006F3933">
        <w:t xml:space="preserve"> </w:t>
      </w:r>
      <w:r w:rsidR="00295A2B">
        <w:t>procured through deceptive or false claims about the possibility of change, or the origins or causes, of a person’s sexual orientation or gender identity.  Further</w:t>
      </w:r>
      <w:r w:rsidR="00214926">
        <w:t xml:space="preserve">, if </w:t>
      </w:r>
      <w:r w:rsidR="00583958">
        <w:t>a statutory</w:t>
      </w:r>
      <w:r w:rsidR="003A4936">
        <w:t xml:space="preserve"> period of </w:t>
      </w:r>
      <w:r w:rsidR="00583958">
        <w:t xml:space="preserve">review could be included in any legislative reform, </w:t>
      </w:r>
      <w:r w:rsidR="00214926">
        <w:t xml:space="preserve">the </w:t>
      </w:r>
      <w:r w:rsidR="00583958">
        <w:t xml:space="preserve">issue could be revisited once the </w:t>
      </w:r>
      <w:r w:rsidR="00427416">
        <w:t xml:space="preserve">proposed </w:t>
      </w:r>
      <w:r w:rsidR="00583958">
        <w:t>protective regime has been tested.</w:t>
      </w:r>
    </w:p>
    <w:p w14:paraId="5B8CD82B" w14:textId="5C5E9704" w:rsidR="0025517D" w:rsidRDefault="007F6FF8" w:rsidP="0025517D">
      <w:pPr>
        <w:pStyle w:val="Heading1"/>
      </w:pPr>
      <w:bookmarkStart w:id="9" w:name="_Ref27419707"/>
      <w:bookmarkStart w:id="10" w:name="_Ref27419721"/>
      <w:bookmarkStart w:id="11" w:name="_Ref27419757"/>
      <w:bookmarkStart w:id="12" w:name="_Ref27420252"/>
      <w:bookmarkStart w:id="13" w:name="_Ref27420256"/>
      <w:bookmarkStart w:id="14" w:name="_Toc27749613"/>
      <w:r>
        <w:t>Who is regulated?</w:t>
      </w:r>
      <w:bookmarkEnd w:id="9"/>
      <w:bookmarkEnd w:id="10"/>
      <w:bookmarkEnd w:id="11"/>
      <w:bookmarkEnd w:id="12"/>
      <w:bookmarkEnd w:id="13"/>
      <w:bookmarkEnd w:id="14"/>
      <w:r w:rsidR="0025517D" w:rsidRPr="0025517D">
        <w:t xml:space="preserve"> </w:t>
      </w:r>
    </w:p>
    <w:tbl>
      <w:tblPr>
        <w:tblStyle w:val="TableGridLight"/>
        <w:tblW w:w="0" w:type="auto"/>
        <w:tblBorders>
          <w:top w:val="single" w:sz="12" w:space="0" w:color="00BE87" w:themeColor="accent2"/>
          <w:left w:val="single" w:sz="12" w:space="0" w:color="00BE87" w:themeColor="accent2"/>
          <w:bottom w:val="single" w:sz="12" w:space="0" w:color="00BE87" w:themeColor="accent2"/>
          <w:right w:val="single" w:sz="12" w:space="0" w:color="00BE87" w:themeColor="accent2"/>
          <w:insideH w:val="single" w:sz="12" w:space="0" w:color="00BE87" w:themeColor="accent2"/>
          <w:insideV w:val="single" w:sz="12" w:space="0" w:color="00BE87" w:themeColor="accent2"/>
        </w:tblBorders>
        <w:tblCellMar>
          <w:left w:w="340" w:type="dxa"/>
          <w:right w:w="340" w:type="dxa"/>
        </w:tblCellMar>
        <w:tblLook w:val="0600" w:firstRow="0" w:lastRow="0" w:firstColumn="0" w:lastColumn="0" w:noHBand="1" w:noVBand="1"/>
      </w:tblPr>
      <w:tblGrid>
        <w:gridCol w:w="8871"/>
      </w:tblGrid>
      <w:tr w:rsidR="0025517D" w14:paraId="26B1CA72" w14:textId="77777777" w:rsidTr="00D87056">
        <w:tc>
          <w:tcPr>
            <w:tcW w:w="8871" w:type="dxa"/>
            <w:tcMar>
              <w:bottom w:w="142" w:type="dxa"/>
            </w:tcMar>
          </w:tcPr>
          <w:p w14:paraId="454DDF55" w14:textId="77777777" w:rsidR="0025517D" w:rsidRDefault="0025517D" w:rsidP="00D87056">
            <w:pPr>
              <w:pStyle w:val="Heading3"/>
              <w:outlineLvl w:val="2"/>
            </w:pPr>
            <w:r>
              <w:t>Discussion questions:</w:t>
            </w:r>
          </w:p>
          <w:p w14:paraId="30739ACC" w14:textId="77777777" w:rsidR="005D22B2" w:rsidRPr="005D22B2" w:rsidRDefault="005D22B2" w:rsidP="005D22B2">
            <w:pPr>
              <w:pStyle w:val="Intro"/>
              <w:rPr>
                <w:rStyle w:val="PageNumber"/>
                <w:i/>
                <w:iCs/>
              </w:rPr>
            </w:pPr>
            <w:r w:rsidRPr="005D22B2">
              <w:rPr>
                <w:rStyle w:val="PageNumber"/>
                <w:i/>
                <w:iCs/>
              </w:rPr>
              <w:t xml:space="preserve">Who do you think should be banned from providing conversion practices? </w:t>
            </w:r>
          </w:p>
          <w:p w14:paraId="59EE514D" w14:textId="5E06599A" w:rsidR="0025517D" w:rsidRDefault="005D22B2" w:rsidP="005D22B2">
            <w:pPr>
              <w:pStyle w:val="Intro"/>
              <w:rPr>
                <w:rStyle w:val="PageNumber"/>
              </w:rPr>
            </w:pPr>
            <w:r w:rsidRPr="005D22B2">
              <w:rPr>
                <w:rStyle w:val="PageNumber"/>
                <w:i/>
                <w:iCs/>
              </w:rPr>
              <w:t>Specific professionals or persons? Or everyone who offers conversion practices?</w:t>
            </w:r>
          </w:p>
        </w:tc>
      </w:tr>
    </w:tbl>
    <w:p w14:paraId="58D3AA94" w14:textId="66E998BF" w:rsidR="00963168" w:rsidRDefault="00963168" w:rsidP="00963168">
      <w:r>
        <w:t xml:space="preserve">In health, education and </w:t>
      </w:r>
      <w:r w:rsidR="00427416">
        <w:t>welfare</w:t>
      </w:r>
      <w:r>
        <w:t xml:space="preserve"> </w:t>
      </w:r>
      <w:r w:rsidR="000C4635">
        <w:t xml:space="preserve">service </w:t>
      </w:r>
      <w:r>
        <w:t xml:space="preserve">settings, we have suggested that all professionals </w:t>
      </w:r>
      <w:r w:rsidR="0001481E">
        <w:t>in</w:t>
      </w:r>
      <w:r>
        <w:t xml:space="preserve"> positions of </w:t>
      </w:r>
      <w:proofErr w:type="gramStart"/>
      <w:r w:rsidR="0009290B">
        <w:t>trust</w:t>
      </w:r>
      <w:r w:rsidR="006C2855">
        <w:t>, or</w:t>
      </w:r>
      <w:proofErr w:type="gramEnd"/>
      <w:r w:rsidR="006C2855">
        <w:t xml:space="preserve"> performing duties or providing services which are publicly funded</w:t>
      </w:r>
      <w:r w:rsidR="00427416">
        <w:t xml:space="preserve"> or regulated</w:t>
      </w:r>
      <w:r w:rsidR="006C2855">
        <w:t>,</w:t>
      </w:r>
      <w:r>
        <w:t xml:space="preserve"> </w:t>
      </w:r>
      <w:r w:rsidR="00E413AC">
        <w:t>be prohibited from engaging in</w:t>
      </w:r>
      <w:r w:rsidR="0009290B">
        <w:t xml:space="preserve"> or promoting SOGI conversion practices.</w:t>
      </w:r>
      <w:r w:rsidR="00B43CD9">
        <w:t xml:space="preserve">  </w:t>
      </w:r>
      <w:r w:rsidR="00AC2803">
        <w:t>This should include:</w:t>
      </w:r>
    </w:p>
    <w:p w14:paraId="4FD82A48" w14:textId="4AA42016" w:rsidR="00AC2803" w:rsidRDefault="00AC2803" w:rsidP="00AC2803">
      <w:pPr>
        <w:pStyle w:val="ListParagraph"/>
        <w:numPr>
          <w:ilvl w:val="0"/>
          <w:numId w:val="15"/>
        </w:numPr>
      </w:pPr>
      <w:r>
        <w:t>teachers</w:t>
      </w:r>
    </w:p>
    <w:p w14:paraId="6F695D0E" w14:textId="0FBA0DCA" w:rsidR="00AC2803" w:rsidRDefault="00C477D5" w:rsidP="00AC2803">
      <w:pPr>
        <w:pStyle w:val="ListParagraph"/>
        <w:numPr>
          <w:ilvl w:val="0"/>
          <w:numId w:val="15"/>
        </w:numPr>
      </w:pPr>
      <w:r>
        <w:t>counsellors</w:t>
      </w:r>
    </w:p>
    <w:p w14:paraId="6FAFBE4B" w14:textId="12E6B4FE" w:rsidR="00CE135A" w:rsidRDefault="00CE135A" w:rsidP="00AC2803">
      <w:pPr>
        <w:pStyle w:val="ListParagraph"/>
        <w:numPr>
          <w:ilvl w:val="0"/>
          <w:numId w:val="15"/>
        </w:numPr>
      </w:pPr>
      <w:r>
        <w:t>social workers</w:t>
      </w:r>
    </w:p>
    <w:p w14:paraId="37BA3EC1" w14:textId="7FF420D5" w:rsidR="00CE135A" w:rsidRDefault="00CE135A" w:rsidP="00AC2803">
      <w:pPr>
        <w:pStyle w:val="ListParagraph"/>
        <w:numPr>
          <w:ilvl w:val="0"/>
          <w:numId w:val="15"/>
        </w:numPr>
      </w:pPr>
      <w:r>
        <w:t>youth workers</w:t>
      </w:r>
    </w:p>
    <w:p w14:paraId="539C7687" w14:textId="7BC6E0EC" w:rsidR="00CE135A" w:rsidRDefault="00CE135A" w:rsidP="00AC2803">
      <w:pPr>
        <w:pStyle w:val="ListParagraph"/>
        <w:numPr>
          <w:ilvl w:val="0"/>
          <w:numId w:val="15"/>
        </w:numPr>
      </w:pPr>
      <w:r>
        <w:t>paid carers</w:t>
      </w:r>
    </w:p>
    <w:p w14:paraId="17AFC3DC" w14:textId="3C768C37" w:rsidR="0018466C" w:rsidRDefault="0018466C" w:rsidP="00AC2803">
      <w:pPr>
        <w:pStyle w:val="ListParagraph"/>
        <w:numPr>
          <w:ilvl w:val="0"/>
          <w:numId w:val="15"/>
        </w:numPr>
      </w:pPr>
      <w:r>
        <w:t>pastoral care workers</w:t>
      </w:r>
    </w:p>
    <w:p w14:paraId="413D653D" w14:textId="76E60688" w:rsidR="00AD3F66" w:rsidRDefault="00AD3F66" w:rsidP="00AC2803">
      <w:pPr>
        <w:pStyle w:val="ListParagraph"/>
        <w:numPr>
          <w:ilvl w:val="0"/>
          <w:numId w:val="15"/>
        </w:numPr>
      </w:pPr>
      <w:r>
        <w:t>public service employees</w:t>
      </w:r>
    </w:p>
    <w:p w14:paraId="719578D4" w14:textId="4F7D5DBA" w:rsidR="003F74C2" w:rsidRDefault="003F74C2" w:rsidP="00AC2803">
      <w:pPr>
        <w:pStyle w:val="ListParagraph"/>
        <w:numPr>
          <w:ilvl w:val="0"/>
          <w:numId w:val="15"/>
        </w:numPr>
      </w:pPr>
      <w:r>
        <w:t>registered health professionals</w:t>
      </w:r>
    </w:p>
    <w:p w14:paraId="27376CB5" w14:textId="456DE31C" w:rsidR="00C477D5" w:rsidRDefault="00C477D5" w:rsidP="00AC2803">
      <w:pPr>
        <w:pStyle w:val="ListParagraph"/>
        <w:numPr>
          <w:ilvl w:val="0"/>
          <w:numId w:val="15"/>
        </w:numPr>
      </w:pPr>
      <w:r>
        <w:t xml:space="preserve">providers of </w:t>
      </w:r>
      <w:r w:rsidR="00927F98">
        <w:t>‘</w:t>
      </w:r>
      <w:r>
        <w:t>health services</w:t>
      </w:r>
      <w:r w:rsidR="00927F98">
        <w:t>’</w:t>
      </w:r>
      <w:r>
        <w:t xml:space="preserve"> within the meaning of </w:t>
      </w:r>
      <w:r w:rsidR="00F24841">
        <w:rPr>
          <w:i/>
          <w:iCs/>
        </w:rPr>
        <w:t>Health Complaints Act 2016</w:t>
      </w:r>
      <w:r w:rsidR="006D620B">
        <w:rPr>
          <w:i/>
          <w:iCs/>
        </w:rPr>
        <w:t xml:space="preserve"> </w:t>
      </w:r>
      <w:r w:rsidR="006D620B">
        <w:t>(Vic)</w:t>
      </w:r>
      <w:r w:rsidR="00E674C0">
        <w:t>, and</w:t>
      </w:r>
    </w:p>
    <w:p w14:paraId="245534C1" w14:textId="66C0C681" w:rsidR="00A630CF" w:rsidRDefault="00802787" w:rsidP="00D87056">
      <w:pPr>
        <w:pStyle w:val="ListParagraph"/>
        <w:numPr>
          <w:ilvl w:val="0"/>
          <w:numId w:val="15"/>
        </w:numPr>
      </w:pPr>
      <w:r>
        <w:t xml:space="preserve">providers of any service funded by </w:t>
      </w:r>
      <w:r w:rsidR="00A630CF">
        <w:t>the Commonwealth or State of Victoria.</w:t>
      </w:r>
    </w:p>
    <w:p w14:paraId="1F1B71B3" w14:textId="3058B642" w:rsidR="00BD3D8D" w:rsidRDefault="0097599A" w:rsidP="00BD3D8D">
      <w:r>
        <w:t>This reflects the twin objectives of ensuring persons who are in</w:t>
      </w:r>
      <w:r w:rsidR="006A56E8">
        <w:t xml:space="preserve"> a</w:t>
      </w:r>
      <w:r>
        <w:t xml:space="preserve"> position of trust</w:t>
      </w:r>
      <w:r w:rsidR="00766396">
        <w:t xml:space="preserve"> or who enjoy public funding to perform their duties or provide their services do not</w:t>
      </w:r>
      <w:r w:rsidR="00A161C9">
        <w:t xml:space="preserve"> engag</w:t>
      </w:r>
      <w:r w:rsidR="00766396">
        <w:t>e</w:t>
      </w:r>
      <w:r w:rsidR="00A161C9">
        <w:t xml:space="preserve"> in or promot</w:t>
      </w:r>
      <w:r w:rsidR="00766396">
        <w:t>e</w:t>
      </w:r>
      <w:r w:rsidR="00A161C9">
        <w:t xml:space="preserve"> </w:t>
      </w:r>
      <w:r w:rsidR="00A26DA4">
        <w:t xml:space="preserve">harmful and scientifically </w:t>
      </w:r>
      <w:r w:rsidR="008D2D54">
        <w:t>debunked SOGI conversion practices.</w:t>
      </w:r>
    </w:p>
    <w:p w14:paraId="18AD5475" w14:textId="12D68DD2" w:rsidR="00C90032" w:rsidRDefault="00C90032" w:rsidP="00BD3D8D">
      <w:r>
        <w:t xml:space="preserve">Outside these settings, </w:t>
      </w:r>
      <w:r w:rsidR="002B729B">
        <w:t>it</w:t>
      </w:r>
      <w:r w:rsidR="00134E3A">
        <w:t xml:space="preserve"> becomes more difficult to </w:t>
      </w:r>
      <w:r w:rsidR="00B442EA">
        <w:t>impose a</w:t>
      </w:r>
      <w:r w:rsidR="006A56E8">
        <w:t xml:space="preserve"> </w:t>
      </w:r>
      <w:r w:rsidR="00F76AD3">
        <w:t xml:space="preserve">‘one-size-fits-all’ </w:t>
      </w:r>
      <w:r w:rsidR="00B442EA">
        <w:t>approach</w:t>
      </w:r>
      <w:r w:rsidR="00F76AD3">
        <w:t xml:space="preserve">, given the variety of circumstances </w:t>
      </w:r>
      <w:r w:rsidR="00B442EA">
        <w:t xml:space="preserve">in which SOGI conversion practices may occur </w:t>
      </w:r>
      <w:r w:rsidR="00F76AD3">
        <w:t>and the unintended and harmful consequences</w:t>
      </w:r>
      <w:r w:rsidR="00C66FC7">
        <w:t xml:space="preserve"> from heavy-handed regulation</w:t>
      </w:r>
      <w:r w:rsidR="00F76AD3">
        <w:t xml:space="preserve"> (described above) which we are concerned to avoid.  </w:t>
      </w:r>
      <w:r w:rsidR="00B442EA">
        <w:t xml:space="preserve">This is not to say that </w:t>
      </w:r>
      <w:r w:rsidR="00F76AD3">
        <w:t>SOGI conversion practices</w:t>
      </w:r>
      <w:r w:rsidR="00B442EA">
        <w:t xml:space="preserve"> occurring outside health, education and </w:t>
      </w:r>
      <w:r w:rsidR="009F67C1">
        <w:t>welfare</w:t>
      </w:r>
      <w:r w:rsidR="00B442EA">
        <w:t xml:space="preserve"> </w:t>
      </w:r>
      <w:r w:rsidR="00130BF0">
        <w:t xml:space="preserve">service </w:t>
      </w:r>
      <w:r w:rsidR="00B442EA">
        <w:t>settings are not harmful or should</w:t>
      </w:r>
      <w:r w:rsidR="00D87056">
        <w:t xml:space="preserve"> not be regulated</w:t>
      </w:r>
      <w:r w:rsidR="00B442EA">
        <w:t>.</w:t>
      </w:r>
      <w:r w:rsidR="00635222">
        <w:t xml:space="preserve">  </w:t>
      </w:r>
      <w:r w:rsidR="003F1C98">
        <w:t>Rather, the</w:t>
      </w:r>
      <w:r w:rsidR="00635222">
        <w:t xml:space="preserve"> complexity </w:t>
      </w:r>
      <w:r w:rsidR="003F1C98">
        <w:t xml:space="preserve">and diversity </w:t>
      </w:r>
      <w:r w:rsidR="00635222">
        <w:t>of these</w:t>
      </w:r>
      <w:r w:rsidR="003F1C98">
        <w:t xml:space="preserve"> settings requires any intervention to be </w:t>
      </w:r>
      <w:r w:rsidR="00634C8E">
        <w:t xml:space="preserve">carefully </w:t>
      </w:r>
      <w:r w:rsidR="002A7D25">
        <w:t>directed to preventing harm</w:t>
      </w:r>
      <w:r w:rsidR="00634C8E">
        <w:t xml:space="preserve"> and promoting healing</w:t>
      </w:r>
      <w:r w:rsidR="000951A3">
        <w:t xml:space="preserve"> and justice</w:t>
      </w:r>
      <w:r w:rsidR="002A7D25">
        <w:t>.</w:t>
      </w:r>
      <w:r w:rsidR="00635222">
        <w:t xml:space="preserve"> </w:t>
      </w:r>
    </w:p>
    <w:p w14:paraId="45E22E6D" w14:textId="179F6433" w:rsidR="0025517D" w:rsidRDefault="00DA0FBD" w:rsidP="0025517D">
      <w:pPr>
        <w:pStyle w:val="Heading1"/>
      </w:pPr>
      <w:bookmarkStart w:id="15" w:name="_Toc27749614"/>
      <w:r w:rsidRPr="00DA0FBD">
        <w:lastRenderedPageBreak/>
        <w:t>If only professionals are regulated, must the conversion practices be within the scope of their professional practice?</w:t>
      </w:r>
      <w:bookmarkEnd w:id="15"/>
      <w:r w:rsidR="0025517D" w:rsidRPr="0025517D">
        <w:t xml:space="preserve"> </w:t>
      </w:r>
    </w:p>
    <w:tbl>
      <w:tblPr>
        <w:tblStyle w:val="TableGridLight"/>
        <w:tblW w:w="0" w:type="auto"/>
        <w:tblBorders>
          <w:top w:val="single" w:sz="12" w:space="0" w:color="00BE87" w:themeColor="accent2"/>
          <w:left w:val="single" w:sz="12" w:space="0" w:color="00BE87" w:themeColor="accent2"/>
          <w:bottom w:val="single" w:sz="12" w:space="0" w:color="00BE87" w:themeColor="accent2"/>
          <w:right w:val="single" w:sz="12" w:space="0" w:color="00BE87" w:themeColor="accent2"/>
          <w:insideH w:val="single" w:sz="12" w:space="0" w:color="00BE87" w:themeColor="accent2"/>
          <w:insideV w:val="single" w:sz="12" w:space="0" w:color="00BE87" w:themeColor="accent2"/>
        </w:tblBorders>
        <w:tblCellMar>
          <w:left w:w="340" w:type="dxa"/>
          <w:right w:w="340" w:type="dxa"/>
        </w:tblCellMar>
        <w:tblLook w:val="0600" w:firstRow="0" w:lastRow="0" w:firstColumn="0" w:lastColumn="0" w:noHBand="1" w:noVBand="1"/>
      </w:tblPr>
      <w:tblGrid>
        <w:gridCol w:w="8871"/>
      </w:tblGrid>
      <w:tr w:rsidR="0025517D" w14:paraId="23E1E5D5" w14:textId="77777777" w:rsidTr="00D87056">
        <w:tc>
          <w:tcPr>
            <w:tcW w:w="8871" w:type="dxa"/>
            <w:tcMar>
              <w:bottom w:w="142" w:type="dxa"/>
            </w:tcMar>
          </w:tcPr>
          <w:p w14:paraId="111BF626" w14:textId="77777777" w:rsidR="0025517D" w:rsidRDefault="0025517D" w:rsidP="00D87056">
            <w:pPr>
              <w:pStyle w:val="Heading3"/>
              <w:outlineLvl w:val="2"/>
            </w:pPr>
            <w:r>
              <w:t>Discussion questions:</w:t>
            </w:r>
          </w:p>
          <w:p w14:paraId="7D864A6B" w14:textId="103606FF" w:rsidR="00A35E7D" w:rsidRPr="00B2111C" w:rsidRDefault="00D03D46" w:rsidP="00D87056">
            <w:pPr>
              <w:pStyle w:val="Intro"/>
              <w:rPr>
                <w:rStyle w:val="PageNumber"/>
                <w:i/>
              </w:rPr>
            </w:pPr>
            <w:r w:rsidRPr="00D03D46">
              <w:rPr>
                <w:rStyle w:val="PageNumber"/>
                <w:i/>
              </w:rPr>
              <w:t>Do you think conversion practices should be regulated wherever they occur or only in certain contexts or places?</w:t>
            </w:r>
          </w:p>
        </w:tc>
      </w:tr>
    </w:tbl>
    <w:p w14:paraId="25D2EAE4" w14:textId="70FB95F5" w:rsidR="00C96755" w:rsidRDefault="001310BB" w:rsidP="00A13AA4">
      <w:r>
        <w:t>The regime prohibiting</w:t>
      </w:r>
      <w:r w:rsidR="00A13AA4">
        <w:t xml:space="preserve"> SOGI conversion practices </w:t>
      </w:r>
      <w:r>
        <w:t xml:space="preserve">in health, education and </w:t>
      </w:r>
      <w:r w:rsidR="00D02450">
        <w:t>welfare</w:t>
      </w:r>
      <w:r w:rsidR="00BB4393">
        <w:t xml:space="preserve"> service</w:t>
      </w:r>
      <w:r>
        <w:t xml:space="preserve"> settings should apply to those professionals in the course of the</w:t>
      </w:r>
      <w:r w:rsidR="005A6821">
        <w:t>ir</w:t>
      </w:r>
      <w:r>
        <w:t xml:space="preserve"> professional practice or service provision</w:t>
      </w:r>
      <w:r w:rsidR="00D02450">
        <w:t xml:space="preserve">, or </w:t>
      </w:r>
      <w:r w:rsidR="00274D35">
        <w:t xml:space="preserve">if acting in a </w:t>
      </w:r>
      <w:r w:rsidR="004B176C">
        <w:t xml:space="preserve">personal </w:t>
      </w:r>
      <w:r w:rsidR="005A6821">
        <w:t>capacity</w:t>
      </w:r>
      <w:r w:rsidR="001A0347">
        <w:t xml:space="preserve">, when they hold themselves out </w:t>
      </w:r>
      <w:r w:rsidR="008A04FB">
        <w:t>as a person of trust because of their professional qualification or experience</w:t>
      </w:r>
      <w:r w:rsidR="00274D35">
        <w:t xml:space="preserve"> (for example,</w:t>
      </w:r>
      <w:r w:rsidR="00A7580E">
        <w:t xml:space="preserve"> </w:t>
      </w:r>
      <w:r w:rsidR="008C69D0">
        <w:t>such as</w:t>
      </w:r>
      <w:r w:rsidR="005A6821">
        <w:t xml:space="preserve"> in the case of </w:t>
      </w:r>
      <w:r w:rsidR="00A7580E">
        <w:t>Dr Craddock</w:t>
      </w:r>
      <w:r w:rsidR="008C69D0">
        <w:t xml:space="preserve">, to whom a young man from his church was referred </w:t>
      </w:r>
      <w:r w:rsidR="007576FE">
        <w:t xml:space="preserve">for a </w:t>
      </w:r>
      <w:r w:rsidR="00420D00">
        <w:t>‘</w:t>
      </w:r>
      <w:r w:rsidR="007576FE">
        <w:t>cure</w:t>
      </w:r>
      <w:r w:rsidR="00420D00">
        <w:t>’</w:t>
      </w:r>
      <w:r w:rsidR="007576FE">
        <w:t xml:space="preserve"> for homosexuality</w:t>
      </w:r>
      <w:r w:rsidR="002A410F">
        <w:t>,</w:t>
      </w:r>
      <w:r w:rsidR="004B2AC4">
        <w:t xml:space="preserve"> in part because of </w:t>
      </w:r>
      <w:r w:rsidR="00C96755">
        <w:t>Dr Craddock’s</w:t>
      </w:r>
      <w:r w:rsidR="004B2AC4">
        <w:t xml:space="preserve"> qualifications as a doctor)</w:t>
      </w:r>
      <w:r>
        <w:t>.</w:t>
      </w:r>
      <w:r w:rsidR="00AA5F25">
        <w:rPr>
          <w:rStyle w:val="FootnoteReference"/>
        </w:rPr>
        <w:footnoteReference w:id="24"/>
      </w:r>
    </w:p>
    <w:p w14:paraId="75AE0C35" w14:textId="3532588E" w:rsidR="00A13AA4" w:rsidRDefault="001310BB" w:rsidP="00A13AA4">
      <w:r>
        <w:t>Outside of these contexts, the general protective regime</w:t>
      </w:r>
      <w:r w:rsidR="004C0358">
        <w:t xml:space="preserve"> we discuss below</w:t>
      </w:r>
      <w:r>
        <w:t xml:space="preserve"> should apply.</w:t>
      </w:r>
      <w:r w:rsidR="004C0358">
        <w:t xml:space="preserve">  The professional background of the person may be relevant </w:t>
      </w:r>
      <w:r w:rsidR="00503AB8">
        <w:t>to the response required under that regime, but the</w:t>
      </w:r>
      <w:r w:rsidR="007B34C2">
        <w:t xml:space="preserve"> protective</w:t>
      </w:r>
      <w:r w:rsidR="00503AB8">
        <w:t xml:space="preserve"> regime should apply to all persons</w:t>
      </w:r>
      <w:r w:rsidR="00AA5F25">
        <w:t xml:space="preserve">, not only professionals in health, education and welfare </w:t>
      </w:r>
      <w:r w:rsidR="007B34C2">
        <w:t xml:space="preserve">service </w:t>
      </w:r>
      <w:r w:rsidR="00AA5F25">
        <w:t>settings</w:t>
      </w:r>
      <w:r w:rsidR="00503AB8">
        <w:t>.</w:t>
      </w:r>
      <w:r>
        <w:t xml:space="preserve">  </w:t>
      </w:r>
    </w:p>
    <w:p w14:paraId="354F26AB" w14:textId="637409EF" w:rsidR="0025517D" w:rsidRDefault="00C35F54" w:rsidP="0025517D">
      <w:pPr>
        <w:pStyle w:val="Heading1"/>
      </w:pPr>
      <w:bookmarkStart w:id="16" w:name="_Toc27749615"/>
      <w:r w:rsidRPr="00C35F54">
        <w:t>Should conversion practices be regulated by the criminal law or the civil law or both?</w:t>
      </w:r>
      <w:bookmarkEnd w:id="16"/>
      <w:r w:rsidR="0025517D" w:rsidRPr="0025517D">
        <w:t xml:space="preserve"> </w:t>
      </w:r>
    </w:p>
    <w:tbl>
      <w:tblPr>
        <w:tblStyle w:val="TableGridLight"/>
        <w:tblW w:w="0" w:type="auto"/>
        <w:tblBorders>
          <w:top w:val="single" w:sz="12" w:space="0" w:color="00BE87" w:themeColor="accent2"/>
          <w:left w:val="single" w:sz="12" w:space="0" w:color="00BE87" w:themeColor="accent2"/>
          <w:bottom w:val="single" w:sz="12" w:space="0" w:color="00BE87" w:themeColor="accent2"/>
          <w:right w:val="single" w:sz="12" w:space="0" w:color="00BE87" w:themeColor="accent2"/>
          <w:insideH w:val="single" w:sz="12" w:space="0" w:color="00BE87" w:themeColor="accent2"/>
          <w:insideV w:val="single" w:sz="12" w:space="0" w:color="00BE87" w:themeColor="accent2"/>
        </w:tblBorders>
        <w:tblCellMar>
          <w:left w:w="340" w:type="dxa"/>
          <w:right w:w="340" w:type="dxa"/>
        </w:tblCellMar>
        <w:tblLook w:val="0600" w:firstRow="0" w:lastRow="0" w:firstColumn="0" w:lastColumn="0" w:noHBand="1" w:noVBand="1"/>
      </w:tblPr>
      <w:tblGrid>
        <w:gridCol w:w="8871"/>
      </w:tblGrid>
      <w:tr w:rsidR="0025517D" w14:paraId="44556179" w14:textId="77777777" w:rsidTr="00D87056">
        <w:tc>
          <w:tcPr>
            <w:tcW w:w="8871" w:type="dxa"/>
            <w:tcMar>
              <w:bottom w:w="142" w:type="dxa"/>
            </w:tcMar>
          </w:tcPr>
          <w:p w14:paraId="388B4A95" w14:textId="77777777" w:rsidR="0025517D" w:rsidRDefault="0025517D" w:rsidP="00D87056">
            <w:pPr>
              <w:pStyle w:val="Heading3"/>
              <w:outlineLvl w:val="2"/>
            </w:pPr>
            <w:r>
              <w:t>Discussion questions:</w:t>
            </w:r>
          </w:p>
          <w:p w14:paraId="5161A56B" w14:textId="77777777" w:rsidR="00F8659E" w:rsidRPr="00F8659E" w:rsidRDefault="00F8659E" w:rsidP="00F8659E">
            <w:pPr>
              <w:pStyle w:val="Intro"/>
              <w:rPr>
                <w:rStyle w:val="PageNumber"/>
                <w:i/>
                <w:iCs/>
              </w:rPr>
            </w:pPr>
            <w:r w:rsidRPr="00F8659E">
              <w:rPr>
                <w:rStyle w:val="PageNumber"/>
                <w:i/>
                <w:iCs/>
              </w:rPr>
              <w:t xml:space="preserve">Do you think conversion practices should be regulated through criminal law, civil regulatory schemes or civil laws, or a combination of these?   </w:t>
            </w:r>
          </w:p>
          <w:p w14:paraId="2A13EA0A" w14:textId="77777777" w:rsidR="00F8659E" w:rsidRPr="00F8659E" w:rsidRDefault="00F8659E" w:rsidP="00F8659E">
            <w:pPr>
              <w:pStyle w:val="Intro"/>
              <w:rPr>
                <w:rStyle w:val="PageNumber"/>
                <w:i/>
                <w:iCs/>
              </w:rPr>
            </w:pPr>
            <w:r w:rsidRPr="00F8659E">
              <w:rPr>
                <w:rStyle w:val="PageNumber"/>
                <w:i/>
                <w:iCs/>
              </w:rPr>
              <w:t>What aspects of each approach would be effective in regulating conversion practices?</w:t>
            </w:r>
          </w:p>
          <w:p w14:paraId="45BB7A73" w14:textId="59065840" w:rsidR="0025517D" w:rsidRDefault="00F8659E" w:rsidP="00F8659E">
            <w:pPr>
              <w:pStyle w:val="Intro"/>
              <w:rPr>
                <w:rStyle w:val="PageNumber"/>
              </w:rPr>
            </w:pPr>
            <w:r w:rsidRPr="00F8659E">
              <w:rPr>
                <w:rStyle w:val="PageNumber"/>
                <w:i/>
                <w:iCs/>
              </w:rPr>
              <w:t>What aspects of each approach would be less effective in regulating conversion practices?</w:t>
            </w:r>
          </w:p>
        </w:tc>
      </w:tr>
    </w:tbl>
    <w:p w14:paraId="5ED0D376" w14:textId="31308B03" w:rsidR="0088164F" w:rsidRDefault="0083317A" w:rsidP="00CF0E16">
      <w:r>
        <w:t xml:space="preserve">It is not useful to talk in general terms about </w:t>
      </w:r>
      <w:r w:rsidR="00A462EF">
        <w:t xml:space="preserve">civil versus criminal </w:t>
      </w:r>
      <w:r w:rsidR="008F5BB1">
        <w:t xml:space="preserve">regulatory systems.  </w:t>
      </w:r>
      <w:r w:rsidR="00296A1E">
        <w:t>Part of the problem with</w:t>
      </w:r>
      <w:r w:rsidR="00195B44">
        <w:t xml:space="preserve"> looking at the issue from </w:t>
      </w:r>
      <w:r w:rsidR="00062CE4">
        <w:t xml:space="preserve">this perspective is to focus too heavily on </w:t>
      </w:r>
      <w:r w:rsidR="001623A5">
        <w:t>penalties</w:t>
      </w:r>
      <w:r w:rsidR="00062CE4">
        <w:t xml:space="preserve"> rather than preventing harm and </w:t>
      </w:r>
      <w:r w:rsidR="001623A5">
        <w:t>promoting</w:t>
      </w:r>
      <w:r w:rsidR="00062CE4">
        <w:t xml:space="preserve"> </w:t>
      </w:r>
      <w:r w:rsidR="00A4091D">
        <w:t>justice</w:t>
      </w:r>
      <w:r w:rsidR="00062CE4">
        <w:t xml:space="preserve">.  </w:t>
      </w:r>
      <w:r w:rsidR="0088164F">
        <w:t>A creative</w:t>
      </w:r>
      <w:r w:rsidR="00296A1E">
        <w:t>, flexible and carefully targeted</w:t>
      </w:r>
      <w:r w:rsidR="0088164F">
        <w:t xml:space="preserve"> </w:t>
      </w:r>
      <w:r w:rsidR="001623A5">
        <w:t xml:space="preserve">regulatory </w:t>
      </w:r>
      <w:r w:rsidR="00062CE4">
        <w:t xml:space="preserve">response </w:t>
      </w:r>
      <w:r w:rsidR="00296A1E">
        <w:t>will deliver the protection required</w:t>
      </w:r>
      <w:r w:rsidR="006F6DDB">
        <w:t xml:space="preserve"> </w:t>
      </w:r>
      <w:r w:rsidR="00296A1E">
        <w:t xml:space="preserve">while creating an environment which enables </w:t>
      </w:r>
      <w:r w:rsidR="00A4091D">
        <w:t xml:space="preserve">positive engagement </w:t>
      </w:r>
      <w:r w:rsidR="00296A1E">
        <w:t>to occur</w:t>
      </w:r>
      <w:r w:rsidR="00B3495F">
        <w:t>, while supporting the needs of survivors</w:t>
      </w:r>
      <w:r w:rsidR="00296A1E">
        <w:t>.</w:t>
      </w:r>
      <w:r w:rsidR="0088164F">
        <w:t xml:space="preserve"> </w:t>
      </w:r>
    </w:p>
    <w:p w14:paraId="71AC0CB3" w14:textId="77777777" w:rsidR="006B1BBA" w:rsidRDefault="00B060F2" w:rsidP="007C44F6">
      <w:r>
        <w:t xml:space="preserve">It is also impossible to properly </w:t>
      </w:r>
      <w:r w:rsidR="003E174E">
        <w:t xml:space="preserve">formulate a regulatory response without identifying the regulator which ought to be responsible for </w:t>
      </w:r>
      <w:r w:rsidR="00515D38">
        <w:t xml:space="preserve">the response, including </w:t>
      </w:r>
      <w:r w:rsidR="001623A5">
        <w:t xml:space="preserve">who will be responsible for </w:t>
      </w:r>
      <w:r w:rsidR="00515D38">
        <w:t xml:space="preserve">taking any enforcement action.  </w:t>
      </w:r>
      <w:r w:rsidR="00EE11E8">
        <w:t xml:space="preserve">That is why </w:t>
      </w:r>
      <w:r w:rsidR="000E37DB">
        <w:t xml:space="preserve">we </w:t>
      </w:r>
      <w:r w:rsidR="001623A5">
        <w:t>see the need for a</w:t>
      </w:r>
      <w:r w:rsidR="00EE11E8">
        <w:t xml:space="preserve"> roundtable with survivors and key agencies already working in the child protection, family violence, human rights, healthcare regulation, consumer affairs and law enforcement space.  </w:t>
      </w:r>
    </w:p>
    <w:p w14:paraId="2B641FEF" w14:textId="54EF0BFF" w:rsidR="007C44F6" w:rsidRDefault="00EE11E8" w:rsidP="001B1A2B">
      <w:pPr>
        <w:keepNext/>
      </w:pPr>
      <w:r>
        <w:lastRenderedPageBreak/>
        <w:t xml:space="preserve">The </w:t>
      </w:r>
      <w:r w:rsidR="00876D70">
        <w:t>roundtable should</w:t>
      </w:r>
      <w:r w:rsidR="007C44F6">
        <w:t>:</w:t>
      </w:r>
      <w:r w:rsidR="00E31AD2">
        <w:t xml:space="preserve"> </w:t>
      </w:r>
    </w:p>
    <w:p w14:paraId="027FC0D2" w14:textId="397F5795" w:rsidR="007C44F6" w:rsidRDefault="007C44F6" w:rsidP="007C44F6">
      <w:pPr>
        <w:pStyle w:val="Bullet"/>
      </w:pPr>
      <w:r>
        <w:t xml:space="preserve">consider </w:t>
      </w:r>
      <w:r w:rsidR="00EE11E8">
        <w:t>existing powers and functions</w:t>
      </w:r>
      <w:r w:rsidR="00FE5B1F">
        <w:t xml:space="preserve"> </w:t>
      </w:r>
      <w:r w:rsidR="00E31AD2">
        <w:t>and</w:t>
      </w:r>
      <w:r w:rsidR="00C64001">
        <w:t xml:space="preserve"> clearly map how existing regulatory schemes (such as consumer protection</w:t>
      </w:r>
      <w:r w:rsidR="00F32FF4">
        <w:t xml:space="preserve"> schemes</w:t>
      </w:r>
      <w:r w:rsidR="00C64001">
        <w:t xml:space="preserve">, health complaints, child protection and reporting regimes, </w:t>
      </w:r>
      <w:proofErr w:type="spellStart"/>
      <w:r w:rsidR="00C64001">
        <w:t>whistleblower</w:t>
      </w:r>
      <w:proofErr w:type="spellEnd"/>
      <w:r w:rsidR="00C64001">
        <w:t xml:space="preserve"> regimes, and public employment requirements) can work together to address the issue</w:t>
      </w:r>
      <w:r w:rsidR="0079587B">
        <w:t xml:space="preserve"> </w:t>
      </w:r>
      <w:r w:rsidR="005B69A0">
        <w:t xml:space="preserve">of SOGI conversion practices </w:t>
      </w:r>
      <w:r w:rsidR="0079587B">
        <w:t>and provide support to survivors</w:t>
      </w:r>
      <w:r>
        <w:t>;</w:t>
      </w:r>
      <w:r w:rsidR="00F32FF4">
        <w:t xml:space="preserve">  </w:t>
      </w:r>
    </w:p>
    <w:p w14:paraId="577FF6E8" w14:textId="58A6C78E" w:rsidR="00990A70" w:rsidRDefault="00990A70" w:rsidP="007C44F6">
      <w:pPr>
        <w:pStyle w:val="Bullet"/>
      </w:pPr>
      <w:r>
        <w:t>consider</w:t>
      </w:r>
      <w:r w:rsidR="003A2D7B">
        <w:t xml:space="preserve"> what</w:t>
      </w:r>
      <w:r>
        <w:t xml:space="preserve"> step</w:t>
      </w:r>
      <w:r w:rsidR="003A2D7B">
        <w:t xml:space="preserve">s </w:t>
      </w:r>
      <w:r w:rsidR="00217C60">
        <w:t>could</w:t>
      </w:r>
      <w:r>
        <w:t xml:space="preserve"> trigger </w:t>
      </w:r>
      <w:r w:rsidR="00217C60">
        <w:t>the</w:t>
      </w:r>
      <w:r>
        <w:t xml:space="preserve"> exercise of</w:t>
      </w:r>
      <w:r w:rsidR="00217C60">
        <w:t xml:space="preserve"> a</w:t>
      </w:r>
      <w:r>
        <w:t xml:space="preserve"> power or function (e.g. a complaint, evidence of the practice occurring through third party </w:t>
      </w:r>
      <w:r w:rsidR="00217C60">
        <w:t xml:space="preserve">or mandatory </w:t>
      </w:r>
      <w:r>
        <w:t>reports</w:t>
      </w:r>
      <w:r w:rsidR="00217C60">
        <w:t>,</w:t>
      </w:r>
      <w:r w:rsidR="00905A27">
        <w:t xml:space="preserve"> or an</w:t>
      </w:r>
      <w:r w:rsidR="00217C60">
        <w:t xml:space="preserve"> own motion investigation</w:t>
      </w:r>
      <w:r>
        <w:t>)</w:t>
      </w:r>
      <w:r w:rsidR="00BD01F0">
        <w:t>;</w:t>
      </w:r>
    </w:p>
    <w:p w14:paraId="617A5A00" w14:textId="5D9B85BB" w:rsidR="007C44F6" w:rsidRDefault="00EE11E8" w:rsidP="007C44F6">
      <w:pPr>
        <w:pStyle w:val="Bullet"/>
      </w:pPr>
      <w:r>
        <w:t>agree on principles for taking the issue forward with additional legislative measures if and where necessary</w:t>
      </w:r>
      <w:r w:rsidR="007C44F6">
        <w:t>;</w:t>
      </w:r>
      <w:r w:rsidR="0032092F">
        <w:t xml:space="preserve"> and</w:t>
      </w:r>
      <w:r w:rsidR="00577E3D">
        <w:t xml:space="preserve"> </w:t>
      </w:r>
    </w:p>
    <w:p w14:paraId="5643EEC2" w14:textId="62754940" w:rsidR="00B060F2" w:rsidRDefault="007C44F6" w:rsidP="007C44F6">
      <w:pPr>
        <w:pStyle w:val="Bullet"/>
      </w:pPr>
      <w:r>
        <w:t>i</w:t>
      </w:r>
      <w:r w:rsidR="00EE11E8">
        <w:t>dentify where this program of work should sit so there is clear ownership of, and an enduring effort to address, the issue</w:t>
      </w:r>
      <w:r w:rsidR="006F5E01">
        <w:t xml:space="preserve"> of SOGI conversion practices</w:t>
      </w:r>
      <w:r w:rsidR="00EE11E8">
        <w:t>.</w:t>
      </w:r>
    </w:p>
    <w:p w14:paraId="4A5F965F" w14:textId="431828AD" w:rsidR="00CF0E16" w:rsidRDefault="008F5BB1" w:rsidP="00CF0E16">
      <w:r>
        <w:t xml:space="preserve">Given SOGI conversion practices </w:t>
      </w:r>
      <w:r w:rsidR="006F2026">
        <w:t xml:space="preserve">are </w:t>
      </w:r>
      <w:r w:rsidR="00894570">
        <w:t>based in a range of religious and culturally-based ideologies</w:t>
      </w:r>
      <w:r w:rsidR="003D5C99">
        <w:t xml:space="preserve">, </w:t>
      </w:r>
      <w:r w:rsidR="00A15E90">
        <w:t xml:space="preserve">we </w:t>
      </w:r>
      <w:r w:rsidR="0088164F">
        <w:t>should</w:t>
      </w:r>
      <w:r w:rsidR="00C275D6">
        <w:t xml:space="preserve"> draw guidance from </w:t>
      </w:r>
      <w:r w:rsidR="00E94F2C">
        <w:t xml:space="preserve">what has worked well </w:t>
      </w:r>
      <w:r w:rsidR="006F6DDB">
        <w:t xml:space="preserve">(and </w:t>
      </w:r>
      <w:r w:rsidR="0057413F">
        <w:t>has not been effective</w:t>
      </w:r>
      <w:r w:rsidR="006F6DDB">
        <w:t xml:space="preserve">) </w:t>
      </w:r>
      <w:r w:rsidR="00E94F2C">
        <w:t xml:space="preserve">in </w:t>
      </w:r>
      <w:r w:rsidR="00C275D6">
        <w:t xml:space="preserve">regimes </w:t>
      </w:r>
      <w:r w:rsidR="00E94F2C">
        <w:t>that</w:t>
      </w:r>
      <w:r w:rsidR="00C275D6">
        <w:t xml:space="preserve"> have </w:t>
      </w:r>
      <w:r w:rsidR="009434EF">
        <w:t xml:space="preserve">addressed other complex </w:t>
      </w:r>
      <w:r w:rsidR="00F45CD5">
        <w:t>cultural practices</w:t>
      </w:r>
      <w:r w:rsidR="009434EF">
        <w:t xml:space="preserve">, such as </w:t>
      </w:r>
      <w:r w:rsidR="00E94F2C">
        <w:t>female genital mutilation</w:t>
      </w:r>
      <w:r w:rsidR="00140DC0">
        <w:t xml:space="preserve"> </w:t>
      </w:r>
      <w:r w:rsidR="0088164F">
        <w:t>and forced marriage.</w:t>
      </w:r>
      <w:r w:rsidR="00140DC0">
        <w:t xml:space="preserve">  </w:t>
      </w:r>
      <w:r w:rsidR="00F161BE">
        <w:t>The response to family violence and institutional child sex abuse, can also provide us with some guidance.</w:t>
      </w:r>
    </w:p>
    <w:p w14:paraId="339229CD" w14:textId="2CAFF12C" w:rsidR="00555177" w:rsidRDefault="00583518" w:rsidP="00CF0E16">
      <w:r>
        <w:t xml:space="preserve">In answering question 5, </w:t>
      </w:r>
      <w:r w:rsidR="00555177">
        <w:t>Equality Australia would support</w:t>
      </w:r>
      <w:r w:rsidR="00677EC7">
        <w:t xml:space="preserve"> the following</w:t>
      </w:r>
      <w:r>
        <w:t xml:space="preserve"> regulatory</w:t>
      </w:r>
      <w:r w:rsidR="00677EC7">
        <w:t xml:space="preserve"> responses.</w:t>
      </w:r>
    </w:p>
    <w:p w14:paraId="1320CB7D" w14:textId="408B9D31" w:rsidR="003930B3" w:rsidRDefault="003930B3" w:rsidP="00677EC7">
      <w:pPr>
        <w:pStyle w:val="Heading2"/>
      </w:pPr>
      <w:bookmarkStart w:id="17" w:name="_Toc27749616"/>
      <w:r>
        <w:t>Redress scheme for survivors</w:t>
      </w:r>
      <w:bookmarkEnd w:id="17"/>
    </w:p>
    <w:p w14:paraId="0EB60D58" w14:textId="1B2CE1E7" w:rsidR="00AE369C" w:rsidRDefault="00DA1E95" w:rsidP="003930B3">
      <w:r>
        <w:t xml:space="preserve">A </w:t>
      </w:r>
      <w:r w:rsidR="00423DAA">
        <w:t>central</w:t>
      </w:r>
      <w:r>
        <w:t xml:space="preserve"> part of any regulatory response </w:t>
      </w:r>
      <w:r w:rsidR="00090B4C">
        <w:t>should be</w:t>
      </w:r>
      <w:r>
        <w:t xml:space="preserve"> to ensure services </w:t>
      </w:r>
      <w:r w:rsidR="00090B4C">
        <w:t xml:space="preserve">are there to support survivors of SOGI conversion practices.  </w:t>
      </w:r>
      <w:r w:rsidR="003F36FF">
        <w:t>We would support establishing a redress scheme which would</w:t>
      </w:r>
      <w:r w:rsidR="00AE369C">
        <w:t>:</w:t>
      </w:r>
      <w:r w:rsidR="003F36FF">
        <w:t xml:space="preserve"> </w:t>
      </w:r>
    </w:p>
    <w:p w14:paraId="0435EB33" w14:textId="77777777" w:rsidR="001E3A49" w:rsidRDefault="00E7011F" w:rsidP="00AE369C">
      <w:pPr>
        <w:pStyle w:val="Bullet"/>
      </w:pPr>
      <w:r>
        <w:t>contribute to the</w:t>
      </w:r>
      <w:r w:rsidR="003F36FF">
        <w:t xml:space="preserve"> cost of appropriate counselling and psychological services to support survivors who are working towards healing</w:t>
      </w:r>
      <w:r w:rsidR="001E3A49">
        <w:t>;</w:t>
      </w:r>
    </w:p>
    <w:p w14:paraId="3BD661FA" w14:textId="4F006E3D" w:rsidR="00AE369C" w:rsidRDefault="00AD3B9E" w:rsidP="00AE369C">
      <w:pPr>
        <w:pStyle w:val="Bullet"/>
      </w:pPr>
      <w:r>
        <w:t xml:space="preserve">help put survivors in touch with </w:t>
      </w:r>
      <w:r w:rsidR="001E3A49">
        <w:t>services that support their healing or help them access justice or support.  As an example, a service that assist</w:t>
      </w:r>
      <w:r w:rsidR="00F00307">
        <w:t>s</w:t>
      </w:r>
      <w:r w:rsidR="001E3A49">
        <w:t xml:space="preserve"> survivors to access existing financial support where the impacts of SOGI conversion practices have been so </w:t>
      </w:r>
      <w:r w:rsidR="00412149">
        <w:t>debilitating</w:t>
      </w:r>
      <w:r w:rsidR="001E3A49">
        <w:t xml:space="preserve"> </w:t>
      </w:r>
      <w:r w:rsidR="00412149">
        <w:t xml:space="preserve">on their </w:t>
      </w:r>
      <w:r w:rsidR="001E3A49">
        <w:t>mental health and wellbeing</w:t>
      </w:r>
      <w:r w:rsidR="00AE369C">
        <w:t>;</w:t>
      </w:r>
    </w:p>
    <w:p w14:paraId="0325DA2C" w14:textId="465816BA" w:rsidR="00EE2A20" w:rsidRDefault="00A53D6D" w:rsidP="00AE369C">
      <w:pPr>
        <w:pStyle w:val="Bullet"/>
      </w:pPr>
      <w:r>
        <w:t xml:space="preserve">commission research and educative materials </w:t>
      </w:r>
      <w:r w:rsidR="00EE2A20">
        <w:t>on the impacts of SOGI conversion practices to further</w:t>
      </w:r>
      <w:r w:rsidR="00052E2C">
        <w:t xml:space="preserve"> inform</w:t>
      </w:r>
      <w:r w:rsidR="00EE2A20">
        <w:t xml:space="preserve"> </w:t>
      </w:r>
      <w:r w:rsidR="00052E2C">
        <w:t>initiatives</w:t>
      </w:r>
      <w:r w:rsidR="00EE2A20">
        <w:t xml:space="preserve"> in this area.</w:t>
      </w:r>
    </w:p>
    <w:p w14:paraId="471A249C" w14:textId="58998142" w:rsidR="003930B3" w:rsidRDefault="00EE2A20" w:rsidP="00EE2A20">
      <w:r>
        <w:t>A scheme should be established, and administrated, in consultation with survivors</w:t>
      </w:r>
      <w:r w:rsidR="00341C59">
        <w:t xml:space="preserve"> and</w:t>
      </w:r>
      <w:r w:rsidR="00052E2C">
        <w:t xml:space="preserve"> other</w:t>
      </w:r>
      <w:r w:rsidR="00341C59">
        <w:t xml:space="preserve"> experts </w:t>
      </w:r>
      <w:r>
        <w:t>through an established advisory framework</w:t>
      </w:r>
      <w:r w:rsidR="004C41A8">
        <w:t>, such as an expert</w:t>
      </w:r>
      <w:r w:rsidR="00052E2C">
        <w:t xml:space="preserve"> panel</w:t>
      </w:r>
      <w:r>
        <w:t xml:space="preserve">. </w:t>
      </w:r>
      <w:r w:rsidR="00423DAA">
        <w:t xml:space="preserve"> </w:t>
      </w:r>
    </w:p>
    <w:p w14:paraId="372009FA" w14:textId="6E495DEC" w:rsidR="00460B17" w:rsidRDefault="00E7011F" w:rsidP="003930B3">
      <w:r>
        <w:t>Such a scheme would require a modest financial investment from the Victorian Government</w:t>
      </w:r>
      <w:r w:rsidR="00F46085">
        <w:t xml:space="preserve"> </w:t>
      </w:r>
      <w:r w:rsidR="005828AF">
        <w:t xml:space="preserve">and could </w:t>
      </w:r>
      <w:r w:rsidR="00175778">
        <w:t>encourage</w:t>
      </w:r>
      <w:r w:rsidR="005828AF">
        <w:t xml:space="preserve"> voluntary contributions from religious </w:t>
      </w:r>
      <w:r w:rsidR="00284CDB">
        <w:t>leaders</w:t>
      </w:r>
      <w:r w:rsidR="005828AF">
        <w:t xml:space="preserve"> and organisations who wish to </w:t>
      </w:r>
      <w:r w:rsidR="00235E03">
        <w:t xml:space="preserve">commit to </w:t>
      </w:r>
      <w:r w:rsidR="00F46085">
        <w:t>eradicating SOGI conversion practices</w:t>
      </w:r>
      <w:r w:rsidR="00175778">
        <w:t xml:space="preserve"> as part of a broader community </w:t>
      </w:r>
      <w:r w:rsidR="0013157E">
        <w:t>push towards healing</w:t>
      </w:r>
      <w:r w:rsidR="00515D2F">
        <w:t xml:space="preserve"> and prevention</w:t>
      </w:r>
      <w:r w:rsidR="00F46085">
        <w:t>.</w:t>
      </w:r>
      <w:r w:rsidR="00515D2F">
        <w:t xml:space="preserve">  </w:t>
      </w:r>
      <w:r w:rsidR="00460B17">
        <w:t xml:space="preserve">Ideally, the redress scheme </w:t>
      </w:r>
      <w:r w:rsidR="004E73AB">
        <w:t>should</w:t>
      </w:r>
      <w:r w:rsidR="00460B17">
        <w:t xml:space="preserve"> also allow reimbursement for past psychological services which have been procured for the purposes of recovery by survivors.  While these amounts </w:t>
      </w:r>
      <w:r w:rsidR="004E73AB">
        <w:t>may be</w:t>
      </w:r>
      <w:r w:rsidR="00460B17">
        <w:t xml:space="preserve"> relatively small</w:t>
      </w:r>
      <w:r w:rsidR="002839B6">
        <w:t xml:space="preserve"> for the Victorian Government</w:t>
      </w:r>
      <w:r w:rsidR="00460B17">
        <w:t xml:space="preserve">, they </w:t>
      </w:r>
      <w:r w:rsidR="00222F9B">
        <w:t>impose a significant financial burden on individual survivors.</w:t>
      </w:r>
    </w:p>
    <w:p w14:paraId="22A66BEE" w14:textId="2A631B6E" w:rsidR="00515D2F" w:rsidRDefault="00583586" w:rsidP="003930B3">
      <w:r>
        <w:t xml:space="preserve">The redress scheme could also consider principles of restorative justice, such as the possibility of </w:t>
      </w:r>
      <w:r w:rsidR="00226A8D">
        <w:t>a process establishing mediated dialogue be</w:t>
      </w:r>
      <w:r w:rsidR="005B2380">
        <w:t>tween survivors and those who have engaged in SOGI conversion practices</w:t>
      </w:r>
      <w:r w:rsidR="009A02DB">
        <w:t>.</w:t>
      </w:r>
    </w:p>
    <w:p w14:paraId="648BD1EC" w14:textId="198BC8E3" w:rsidR="00423DAA" w:rsidRDefault="00423DAA" w:rsidP="003930B3">
      <w:r>
        <w:t>The aim of the redress scheme should be healing and prevention, not punishment.</w:t>
      </w:r>
    </w:p>
    <w:p w14:paraId="7AF1F180" w14:textId="2CF6C762" w:rsidR="00677EC7" w:rsidRDefault="003930B3" w:rsidP="00677EC7">
      <w:pPr>
        <w:pStyle w:val="Heading2"/>
      </w:pPr>
      <w:bookmarkStart w:id="18" w:name="_Toc27749617"/>
      <w:r>
        <w:lastRenderedPageBreak/>
        <w:t>Consequences for relevant persons</w:t>
      </w:r>
      <w:r w:rsidR="00D56C03">
        <w:t xml:space="preserve"> in h</w:t>
      </w:r>
      <w:r w:rsidR="00677EC7">
        <w:t xml:space="preserve">ealth, education and </w:t>
      </w:r>
      <w:r w:rsidR="009A02DB">
        <w:t xml:space="preserve">welfare </w:t>
      </w:r>
      <w:r w:rsidR="00E6525B">
        <w:t xml:space="preserve">services </w:t>
      </w:r>
      <w:r w:rsidR="00677EC7">
        <w:t>settings</w:t>
      </w:r>
      <w:bookmarkEnd w:id="18"/>
    </w:p>
    <w:p w14:paraId="1A999468" w14:textId="68E7253C" w:rsidR="001F0D33" w:rsidRDefault="00677EC7" w:rsidP="00677EC7">
      <w:r>
        <w:t>For t</w:t>
      </w:r>
      <w:r w:rsidR="000F34FE">
        <w:t>hose</w:t>
      </w:r>
      <w:r w:rsidR="00457466">
        <w:t xml:space="preserve"> professionals</w:t>
      </w:r>
      <w:r w:rsidR="000F34FE">
        <w:t xml:space="preserve"> who breach prohibitions on SOGI conversion practices </w:t>
      </w:r>
      <w:r w:rsidR="00B7073A">
        <w:t xml:space="preserve">in </w:t>
      </w:r>
      <w:r w:rsidR="008130C8">
        <w:t>health, education and welfare</w:t>
      </w:r>
      <w:r w:rsidR="00B7073A">
        <w:t xml:space="preserve"> </w:t>
      </w:r>
      <w:r w:rsidR="00604B33">
        <w:t xml:space="preserve">service </w:t>
      </w:r>
      <w:r w:rsidR="00B7073A">
        <w:t>settings</w:t>
      </w:r>
      <w:r>
        <w:t>, Equality Australia would support a range of rehabilitative and disciplinary consequences</w:t>
      </w:r>
      <w:r w:rsidR="000A799B">
        <w:t>,</w:t>
      </w:r>
      <w:r>
        <w:t xml:space="preserve"> as appropriate</w:t>
      </w:r>
      <w:r w:rsidR="000A799B">
        <w:t xml:space="preserve"> </w:t>
      </w:r>
      <w:r w:rsidR="00515D2F">
        <w:t>for each</w:t>
      </w:r>
      <w:r w:rsidR="000A799B">
        <w:t xml:space="preserve"> case</w:t>
      </w:r>
      <w:r w:rsidR="001F0D33">
        <w:t>.  The regulatory response should be flexible to accommodate the different circumstances of each case and the person who has engaged in the conduct.</w:t>
      </w:r>
      <w:r w:rsidR="00EF3E92">
        <w:t xml:space="preserve">  </w:t>
      </w:r>
      <w:r w:rsidR="00A46376">
        <w:t xml:space="preserve">The </w:t>
      </w:r>
      <w:r w:rsidR="00644796">
        <w:t xml:space="preserve">proposed </w:t>
      </w:r>
      <w:r w:rsidR="001379A3">
        <w:t>r</w:t>
      </w:r>
      <w:r w:rsidR="00A46376">
        <w:t xml:space="preserve">oundtable should </w:t>
      </w:r>
      <w:r w:rsidR="00B70E5B">
        <w:t>investigate the range of regimes which currently exist</w:t>
      </w:r>
      <w:r w:rsidR="00F36690">
        <w:t xml:space="preserve"> </w:t>
      </w:r>
      <w:r w:rsidR="00644796">
        <w:t>(</w:t>
      </w:r>
      <w:r w:rsidR="00F36690">
        <w:t>such as the Health Complaints Commissioner</w:t>
      </w:r>
      <w:r w:rsidR="00644796">
        <w:t>)</w:t>
      </w:r>
      <w:r w:rsidR="00F36690">
        <w:t xml:space="preserve"> </w:t>
      </w:r>
      <w:r w:rsidR="00861896">
        <w:t xml:space="preserve">and whether </w:t>
      </w:r>
      <w:r w:rsidR="00644796">
        <w:t xml:space="preserve">existing responses </w:t>
      </w:r>
      <w:r w:rsidR="00861896">
        <w:t xml:space="preserve">need to be supplemented or extended to enable the full range of </w:t>
      </w:r>
      <w:r w:rsidR="00644796">
        <w:t>rehabilitative and disciplinary consequences</w:t>
      </w:r>
      <w:r w:rsidR="00861896">
        <w:t>.</w:t>
      </w:r>
    </w:p>
    <w:p w14:paraId="5295F722" w14:textId="2871765D" w:rsidR="00555177" w:rsidRDefault="001F0D33" w:rsidP="00677EC7">
      <w:r>
        <w:t>The outcomes of these processes might include</w:t>
      </w:r>
      <w:r w:rsidR="001F7378">
        <w:t>, as and where appropriate</w:t>
      </w:r>
      <w:r w:rsidR="00C349D0">
        <w:t xml:space="preserve"> in the </w:t>
      </w:r>
      <w:proofErr w:type="gramStart"/>
      <w:r w:rsidR="00C349D0">
        <w:t>particular circumstances</w:t>
      </w:r>
      <w:proofErr w:type="gramEnd"/>
      <w:r w:rsidR="00B7073A">
        <w:t>:</w:t>
      </w:r>
    </w:p>
    <w:p w14:paraId="4721287B" w14:textId="18DDDF74" w:rsidR="00B7073A" w:rsidRDefault="0030291A" w:rsidP="001F0D33">
      <w:pPr>
        <w:pStyle w:val="Bullet"/>
      </w:pPr>
      <w:r>
        <w:t xml:space="preserve">requiring </w:t>
      </w:r>
      <w:r w:rsidR="00E80AE6">
        <w:t xml:space="preserve">the attendance of </w:t>
      </w:r>
      <w:r w:rsidR="00B7073A">
        <w:t xml:space="preserve">training on the harm </w:t>
      </w:r>
      <w:r w:rsidR="007960E2" w:rsidRPr="001F0D33">
        <w:t>caused</w:t>
      </w:r>
      <w:r w:rsidR="007960E2">
        <w:t xml:space="preserve"> by SOGI conversion practices</w:t>
      </w:r>
    </w:p>
    <w:p w14:paraId="5ED64F1F" w14:textId="12D216D2" w:rsidR="008B22B6" w:rsidRDefault="008B22B6" w:rsidP="001F0D33">
      <w:pPr>
        <w:pStyle w:val="Bullet"/>
      </w:pPr>
      <w:r>
        <w:t>warnings on repeating conduct</w:t>
      </w:r>
    </w:p>
    <w:p w14:paraId="563C5371" w14:textId="20C23A2D" w:rsidR="00AA2C07" w:rsidRDefault="00E80AE6" w:rsidP="001F0D33">
      <w:pPr>
        <w:pStyle w:val="Bullet"/>
      </w:pPr>
      <w:r>
        <w:t xml:space="preserve">payment of </w:t>
      </w:r>
      <w:r w:rsidR="00AA2C07" w:rsidRPr="001F0D33">
        <w:t>compensation</w:t>
      </w:r>
      <w:r w:rsidR="00AA2C07">
        <w:t xml:space="preserve"> to victims</w:t>
      </w:r>
    </w:p>
    <w:p w14:paraId="29771225" w14:textId="563E998D" w:rsidR="000B445C" w:rsidRDefault="006F1DFA" w:rsidP="001F0D33">
      <w:pPr>
        <w:pStyle w:val="Bullet"/>
      </w:pPr>
      <w:r>
        <w:t>payment of a fine</w:t>
      </w:r>
      <w:r w:rsidR="00E95004">
        <w:t xml:space="preserve"> </w:t>
      </w:r>
      <w:r w:rsidR="000B445C">
        <w:t>as a general or specific deterrent</w:t>
      </w:r>
    </w:p>
    <w:p w14:paraId="6CEDDE2C" w14:textId="5EB30E24" w:rsidR="000A799B" w:rsidRDefault="0057413F" w:rsidP="001F0D33">
      <w:pPr>
        <w:pStyle w:val="Bullet"/>
      </w:pPr>
      <w:r>
        <w:t xml:space="preserve">conditions or limitations on </w:t>
      </w:r>
      <w:r w:rsidRPr="001F0D33">
        <w:t>licences</w:t>
      </w:r>
      <w:r>
        <w:t xml:space="preserve"> to practice, or if </w:t>
      </w:r>
      <w:r w:rsidR="00A72318">
        <w:t xml:space="preserve">conditions on practice cannot be imposed directly, </w:t>
      </w:r>
      <w:r w:rsidR="009004A2">
        <w:t xml:space="preserve">referrals </w:t>
      </w:r>
      <w:r w:rsidR="00264E7A">
        <w:t xml:space="preserve">to </w:t>
      </w:r>
      <w:r>
        <w:t xml:space="preserve">relevant </w:t>
      </w:r>
      <w:r w:rsidR="00264E7A">
        <w:t xml:space="preserve">professional bodies </w:t>
      </w:r>
      <w:r>
        <w:t>with recommendations</w:t>
      </w:r>
      <w:r w:rsidR="006609EA">
        <w:t>,</w:t>
      </w:r>
      <w:r w:rsidR="001379A3">
        <w:t xml:space="preserve"> and</w:t>
      </w:r>
      <w:r w:rsidR="00005243">
        <w:t>/or</w:t>
      </w:r>
    </w:p>
    <w:p w14:paraId="74C4B3F9" w14:textId="6EE89C3A" w:rsidR="00A72318" w:rsidRDefault="000A799B" w:rsidP="001F0D33">
      <w:pPr>
        <w:pStyle w:val="Bullet"/>
      </w:pPr>
      <w:r>
        <w:t>where SOGI conversion practices have been undertaken by a</w:t>
      </w:r>
      <w:r w:rsidR="00F77866">
        <w:t xml:space="preserve">n individual or </w:t>
      </w:r>
      <w:r>
        <w:t xml:space="preserve">entity in receipt of public funds, loss of contract and/or requirement to </w:t>
      </w:r>
      <w:r w:rsidR="009E5897">
        <w:t xml:space="preserve">repay taxpayer funds towards </w:t>
      </w:r>
      <w:r w:rsidR="008B22B6">
        <w:t>the</w:t>
      </w:r>
      <w:r w:rsidR="009E5897">
        <w:t xml:space="preserve"> survivor redress scheme.</w:t>
      </w:r>
    </w:p>
    <w:p w14:paraId="1E5E4F6B" w14:textId="7CF0E6CF" w:rsidR="00515D2F" w:rsidRDefault="00515D2F" w:rsidP="00515D2F">
      <w:r>
        <w:t xml:space="preserve">Who would be best </w:t>
      </w:r>
      <w:r w:rsidR="00D5581B">
        <w:t>involved in administering this regime</w:t>
      </w:r>
      <w:r w:rsidR="00B71DB4">
        <w:t xml:space="preserve">, and the interface it has with courts and tribunals, should be the subject of discussion at the </w:t>
      </w:r>
      <w:proofErr w:type="gramStart"/>
      <w:r w:rsidR="00B71DB4">
        <w:t>roundtable.</w:t>
      </w:r>
      <w:proofErr w:type="gramEnd"/>
    </w:p>
    <w:p w14:paraId="40D392F4" w14:textId="3EFBF2D1" w:rsidR="00B71DB4" w:rsidRDefault="008B22B6" w:rsidP="008B22B6">
      <w:pPr>
        <w:pStyle w:val="Heading2"/>
      </w:pPr>
      <w:bookmarkStart w:id="19" w:name="_Ref27660764"/>
      <w:bookmarkStart w:id="20" w:name="_Ref27660777"/>
      <w:bookmarkStart w:id="21" w:name="_Toc27749618"/>
      <w:r>
        <w:t>Protective orders</w:t>
      </w:r>
      <w:r w:rsidR="00F019F3">
        <w:t xml:space="preserve"> and information sharing</w:t>
      </w:r>
      <w:bookmarkEnd w:id="19"/>
      <w:bookmarkEnd w:id="20"/>
      <w:bookmarkEnd w:id="21"/>
    </w:p>
    <w:p w14:paraId="408F481B" w14:textId="3F699603" w:rsidR="00BE3B4A" w:rsidRDefault="008B22B6" w:rsidP="00BE3B4A">
      <w:pPr>
        <w:pStyle w:val="Bullet"/>
        <w:numPr>
          <w:ilvl w:val="0"/>
          <w:numId w:val="0"/>
        </w:numPr>
      </w:pPr>
      <w:r>
        <w:t xml:space="preserve">Where there is evidence that a person is engaging in or is likely to engage in SOGI conversion practices </w:t>
      </w:r>
      <w:r w:rsidR="003D56BA">
        <w:t>against children or people who are unable to</w:t>
      </w:r>
      <w:r w:rsidR="000E0868">
        <w:t xml:space="preserve"> or do not</w:t>
      </w:r>
      <w:r w:rsidR="003D56BA">
        <w:t xml:space="preserve"> consent, </w:t>
      </w:r>
      <w:r w:rsidR="005C457E">
        <w:t>we suggest the possibility of a protective order</w:t>
      </w:r>
      <w:r w:rsidR="0028727B">
        <w:t xml:space="preserve"> regime allowing a protective order to be </w:t>
      </w:r>
      <w:r w:rsidR="005C457E">
        <w:t>sought by a regulator from a court</w:t>
      </w:r>
      <w:r w:rsidR="00A6100A">
        <w:t xml:space="preserve"> in respect of a </w:t>
      </w:r>
      <w:proofErr w:type="gramStart"/>
      <w:r w:rsidR="00A6100A">
        <w:t>particular person</w:t>
      </w:r>
      <w:proofErr w:type="gramEnd"/>
      <w:r w:rsidR="005C457E">
        <w:t>.</w:t>
      </w:r>
      <w:r w:rsidR="00BE16BD">
        <w:t xml:space="preserve">  </w:t>
      </w:r>
      <w:r w:rsidR="009268E8">
        <w:t>A protective order could be sought against any person</w:t>
      </w:r>
      <w:r w:rsidR="00BE61F4">
        <w:t xml:space="preserve"> not only those in </w:t>
      </w:r>
      <w:r w:rsidR="00B4602B">
        <w:t xml:space="preserve">health, education and </w:t>
      </w:r>
      <w:r w:rsidR="00D12799">
        <w:t>welfare</w:t>
      </w:r>
      <w:r w:rsidR="00B4602B">
        <w:t xml:space="preserve"> </w:t>
      </w:r>
      <w:r w:rsidR="007A0B21">
        <w:t xml:space="preserve">service </w:t>
      </w:r>
      <w:r w:rsidR="00B4602B">
        <w:t>settings.</w:t>
      </w:r>
      <w:r w:rsidR="00327695">
        <w:t xml:space="preserve">  That is, it would apply to anyone, including a </w:t>
      </w:r>
      <w:r w:rsidR="00CE3A80">
        <w:t xml:space="preserve">person (such as a pastoral care worker) </w:t>
      </w:r>
      <w:r w:rsidR="001179D6">
        <w:t xml:space="preserve">acting </w:t>
      </w:r>
      <w:r w:rsidR="00CE3A80">
        <w:t>in a private</w:t>
      </w:r>
      <w:r w:rsidR="00463B93">
        <w:t>, familial or spiritual</w:t>
      </w:r>
      <w:r w:rsidR="00CE3A80">
        <w:t xml:space="preserve"> capacity</w:t>
      </w:r>
      <w:r w:rsidR="001179D6">
        <w:t>.</w:t>
      </w:r>
      <w:r w:rsidR="00CE3A80">
        <w:t xml:space="preserve"> </w:t>
      </w:r>
    </w:p>
    <w:p w14:paraId="4F1FFD3C" w14:textId="6307024A" w:rsidR="0028252C" w:rsidRDefault="0028727B" w:rsidP="008B22B6">
      <w:r>
        <w:t>The</w:t>
      </w:r>
      <w:r w:rsidR="00BE16BD">
        <w:t xml:space="preserve"> protective order regime could be supported by establishing information </w:t>
      </w:r>
      <w:r w:rsidR="00CA59E5">
        <w:t>sharing frameworks</w:t>
      </w:r>
      <w:r w:rsidR="00973DB4">
        <w:t xml:space="preserve"> which</w:t>
      </w:r>
      <w:r w:rsidR="0028252C">
        <w:t>:</w:t>
      </w:r>
      <w:r w:rsidR="00973DB4">
        <w:t xml:space="preserve"> </w:t>
      </w:r>
    </w:p>
    <w:p w14:paraId="6F522EBE" w14:textId="1B377B3F" w:rsidR="006B18C0" w:rsidRDefault="006B18C0" w:rsidP="006B18C0">
      <w:pPr>
        <w:pStyle w:val="Bullet"/>
      </w:pPr>
      <w:r>
        <w:t xml:space="preserve">clarify </w:t>
      </w:r>
      <w:r w:rsidR="00973DB4">
        <w:t xml:space="preserve">the </w:t>
      </w:r>
      <w:r w:rsidR="0028252C">
        <w:t xml:space="preserve">obligation to report </w:t>
      </w:r>
      <w:r w:rsidR="000B5890">
        <w:t>(</w:t>
      </w:r>
      <w:r w:rsidR="0028252C">
        <w:t xml:space="preserve">or </w:t>
      </w:r>
      <w:r>
        <w:t xml:space="preserve">at least the </w:t>
      </w:r>
      <w:r w:rsidR="0028252C">
        <w:t>availability</w:t>
      </w:r>
      <w:r w:rsidR="00973DB4">
        <w:t xml:space="preserve"> of </w:t>
      </w:r>
      <w:r w:rsidR="0028252C">
        <w:t xml:space="preserve">reporting </w:t>
      </w:r>
      <w:r w:rsidR="00973DB4">
        <w:t>avenues</w:t>
      </w:r>
      <w:r w:rsidR="000B5890">
        <w:t>)</w:t>
      </w:r>
      <w:r w:rsidR="00973DB4">
        <w:t xml:space="preserve"> </w:t>
      </w:r>
      <w:r>
        <w:t xml:space="preserve">when SOGI conversion practices are identified, so that information is passed on through existing reporting frameworks in child protection, consumer protection, public </w:t>
      </w:r>
      <w:proofErr w:type="spellStart"/>
      <w:r>
        <w:t>whistleblower</w:t>
      </w:r>
      <w:proofErr w:type="spellEnd"/>
      <w:r>
        <w:t xml:space="preserve"> regimes and health complaints regimes; </w:t>
      </w:r>
    </w:p>
    <w:p w14:paraId="54715F97" w14:textId="4B8E6A1B" w:rsidR="005C457E" w:rsidRDefault="006B18C0" w:rsidP="006B18C0">
      <w:pPr>
        <w:pStyle w:val="Bullet"/>
      </w:pPr>
      <w:r>
        <w:t xml:space="preserve">allow </w:t>
      </w:r>
      <w:r w:rsidR="000B5890">
        <w:t xml:space="preserve">that </w:t>
      </w:r>
      <w:r w:rsidR="00973DB4">
        <w:t xml:space="preserve">information </w:t>
      </w:r>
      <w:r w:rsidR="000B5890">
        <w:t>to be provided to the relevant regulator responsible for the SOGI conversion practices protection regime</w:t>
      </w:r>
      <w:r w:rsidR="008C703D">
        <w:t>; and</w:t>
      </w:r>
    </w:p>
    <w:p w14:paraId="318958F6" w14:textId="6A6F3075" w:rsidR="008C703D" w:rsidRDefault="008C703D" w:rsidP="006B18C0">
      <w:pPr>
        <w:pStyle w:val="Bullet"/>
      </w:pPr>
      <w:r>
        <w:t xml:space="preserve">allow information about protection </w:t>
      </w:r>
      <w:r w:rsidR="00B00633">
        <w:t>actions</w:t>
      </w:r>
      <w:r w:rsidR="00332E0E">
        <w:t xml:space="preserve"> to</w:t>
      </w:r>
      <w:r w:rsidR="00B00633">
        <w:t xml:space="preserve"> be </w:t>
      </w:r>
      <w:r w:rsidR="00931459">
        <w:t xml:space="preserve">then provided </w:t>
      </w:r>
      <w:r w:rsidR="00BD5DB7">
        <w:t xml:space="preserve">back to child protection, </w:t>
      </w:r>
      <w:r w:rsidR="00EC72C6">
        <w:t xml:space="preserve">consumer </w:t>
      </w:r>
      <w:r w:rsidR="00C656B5">
        <w:t>and other relevant government agencies</w:t>
      </w:r>
      <w:r w:rsidR="004E18C1">
        <w:t>, to complete the feedback loop</w:t>
      </w:r>
      <w:r w:rsidR="00C656B5">
        <w:t>.</w:t>
      </w:r>
    </w:p>
    <w:p w14:paraId="1E20BFAC" w14:textId="36E586C7" w:rsidR="00876D81" w:rsidRDefault="000B5890" w:rsidP="00CB3B66">
      <w:pPr>
        <w:pStyle w:val="NoSpacing"/>
        <w:keepNext/>
      </w:pPr>
      <w:r>
        <w:t>P</w:t>
      </w:r>
      <w:r w:rsidR="00876D81">
        <w:t>rotection order</w:t>
      </w:r>
      <w:r w:rsidR="00942183">
        <w:t>s</w:t>
      </w:r>
      <w:r w:rsidR="00876D81">
        <w:t xml:space="preserve"> </w:t>
      </w:r>
      <w:r>
        <w:t xml:space="preserve">sought through a court </w:t>
      </w:r>
      <w:r w:rsidR="00876D81">
        <w:t>could include</w:t>
      </w:r>
      <w:r w:rsidR="000B49A5">
        <w:t xml:space="preserve"> requirements</w:t>
      </w:r>
      <w:r w:rsidR="00FD248F">
        <w:t>, as and where appropriate</w:t>
      </w:r>
      <w:r w:rsidR="00C349D0">
        <w:t xml:space="preserve"> in a </w:t>
      </w:r>
      <w:proofErr w:type="gramStart"/>
      <w:r w:rsidR="00C349D0">
        <w:t>particular case</w:t>
      </w:r>
      <w:proofErr w:type="gramEnd"/>
      <w:r w:rsidR="00FD248F">
        <w:t>,</w:t>
      </w:r>
      <w:r w:rsidR="000B49A5">
        <w:t xml:space="preserve"> that the person</w:t>
      </w:r>
      <w:r w:rsidR="00876D81">
        <w:t>:</w:t>
      </w:r>
    </w:p>
    <w:p w14:paraId="22C2D980" w14:textId="272FAACB" w:rsidR="00876D81" w:rsidRDefault="000B49A5" w:rsidP="00DB4107">
      <w:pPr>
        <w:pStyle w:val="Bullet"/>
      </w:pPr>
      <w:r>
        <w:t>attend</w:t>
      </w:r>
      <w:r w:rsidR="00876D81">
        <w:t xml:space="preserve"> training on the harm caused by SOGI conversion practices;</w:t>
      </w:r>
    </w:p>
    <w:p w14:paraId="5B66D5A9" w14:textId="071416AD" w:rsidR="00BB07C2" w:rsidRDefault="000B49A5" w:rsidP="00DB4107">
      <w:pPr>
        <w:pStyle w:val="Bullet"/>
      </w:pPr>
      <w:r>
        <w:lastRenderedPageBreak/>
        <w:t xml:space="preserve">cease </w:t>
      </w:r>
      <w:r w:rsidR="009B7877">
        <w:t>engaging (</w:t>
      </w:r>
      <w:r>
        <w:t xml:space="preserve">or not </w:t>
      </w:r>
      <w:r w:rsidRPr="00DB4107">
        <w:t>engage</w:t>
      </w:r>
      <w:r w:rsidR="009B7877">
        <w:t>)</w:t>
      </w:r>
      <w:r>
        <w:t xml:space="preserve"> in the specific SOGI conversion practices set out in the order in respect of a </w:t>
      </w:r>
      <w:proofErr w:type="gramStart"/>
      <w:r>
        <w:t>particular person</w:t>
      </w:r>
      <w:proofErr w:type="gramEnd"/>
      <w:r>
        <w:t xml:space="preserve"> or </w:t>
      </w:r>
      <w:r w:rsidR="00BB07C2">
        <w:t>all persons.</w:t>
      </w:r>
    </w:p>
    <w:p w14:paraId="32DA50D2" w14:textId="26AAE9A4" w:rsidR="00BE3B4A" w:rsidRDefault="00BE3B4A" w:rsidP="00BE3B4A">
      <w:r>
        <w:t>In this way, protective orders avoid the effect of prohibiting SOGI conversion practices in a blunt or untargeted way which penalises survivors and squarely focuses on preventing harm.</w:t>
      </w:r>
      <w:r w:rsidR="005E05CE">
        <w:t xml:space="preserve">  It avoids impermissible </w:t>
      </w:r>
      <w:r w:rsidR="00232C3A">
        <w:t xml:space="preserve">limitations on the freedom of thought, conscience and religion because it </w:t>
      </w:r>
      <w:r w:rsidR="00712E26">
        <w:t>directly</w:t>
      </w:r>
      <w:r w:rsidR="00232C3A">
        <w:t xml:space="preserve"> connects </w:t>
      </w:r>
      <w:r w:rsidR="002D3512">
        <w:t xml:space="preserve">the response with preventing harm.  </w:t>
      </w:r>
      <w:r w:rsidR="003A5B89">
        <w:t xml:space="preserve">The freedom of </w:t>
      </w:r>
      <w:r w:rsidR="007B7735">
        <w:t xml:space="preserve">thought, conscience and </w:t>
      </w:r>
      <w:r w:rsidR="003A5B89">
        <w:t xml:space="preserve">religion does not permit </w:t>
      </w:r>
      <w:r w:rsidR="00A421CB">
        <w:t xml:space="preserve">causing harm to others.  </w:t>
      </w:r>
    </w:p>
    <w:p w14:paraId="2AEB2601" w14:textId="1CDD57EE" w:rsidR="00DB4107" w:rsidRDefault="00CA7618" w:rsidP="00DB4107">
      <w:pPr>
        <w:pStyle w:val="Bullet"/>
        <w:numPr>
          <w:ilvl w:val="0"/>
          <w:numId w:val="0"/>
        </w:numPr>
      </w:pPr>
      <w:r>
        <w:t xml:space="preserve">Breach of an order </w:t>
      </w:r>
      <w:r w:rsidR="00E15391">
        <w:t>could then give rise to a criminal offence</w:t>
      </w:r>
      <w:r w:rsidR="00143FC3">
        <w:t xml:space="preserve">, resulting in the possibility of </w:t>
      </w:r>
      <w:r>
        <w:t>penalties</w:t>
      </w:r>
      <w:r w:rsidR="00760F39">
        <w:t xml:space="preserve"> and other consequences, including:</w:t>
      </w:r>
    </w:p>
    <w:p w14:paraId="085BEADB" w14:textId="0CE202EF" w:rsidR="00760F39" w:rsidRDefault="00760F39" w:rsidP="00760F39">
      <w:pPr>
        <w:pStyle w:val="Bullet"/>
      </w:pPr>
      <w:r>
        <w:t>warnings on repeating conduct</w:t>
      </w:r>
    </w:p>
    <w:p w14:paraId="494D829D" w14:textId="45B1AA20" w:rsidR="00760F39" w:rsidRDefault="00760F39" w:rsidP="00760F39">
      <w:pPr>
        <w:pStyle w:val="Bullet"/>
      </w:pPr>
      <w:r>
        <w:t xml:space="preserve">payment of </w:t>
      </w:r>
      <w:r w:rsidRPr="001F0D33">
        <w:t>compensation</w:t>
      </w:r>
      <w:r>
        <w:t xml:space="preserve"> to victims</w:t>
      </w:r>
      <w:r w:rsidR="00005243">
        <w:t>, and/or</w:t>
      </w:r>
    </w:p>
    <w:p w14:paraId="4C046AD0" w14:textId="32DF4A3D" w:rsidR="00760F39" w:rsidRDefault="00760F39" w:rsidP="00760F39">
      <w:pPr>
        <w:pStyle w:val="Bullet"/>
      </w:pPr>
      <w:r>
        <w:t>payment of a fine as a general or specific deterrent.</w:t>
      </w:r>
    </w:p>
    <w:p w14:paraId="06546F46" w14:textId="7D2B72D1" w:rsidR="00760F39" w:rsidRDefault="00005243" w:rsidP="00760F39">
      <w:pPr>
        <w:pStyle w:val="Bullet"/>
        <w:numPr>
          <w:ilvl w:val="0"/>
          <w:numId w:val="0"/>
        </w:numPr>
      </w:pPr>
      <w:r>
        <w:t>This protective regime should be established in</w:t>
      </w:r>
      <w:r w:rsidR="00C3603C">
        <w:t xml:space="preserve"> addition to existing criminal and civil mechanisms</w:t>
      </w:r>
      <w:r w:rsidR="000A4C2A">
        <w:t>.</w:t>
      </w:r>
      <w:r w:rsidR="00CE5FEE">
        <w:t xml:space="preserve"> </w:t>
      </w:r>
    </w:p>
    <w:p w14:paraId="0674A8BC" w14:textId="50EEC359" w:rsidR="000C7D39" w:rsidRDefault="000C7D39" w:rsidP="00284CDB">
      <w:pPr>
        <w:pStyle w:val="Heading2"/>
      </w:pPr>
      <w:bookmarkStart w:id="22" w:name="_Toc27749619"/>
      <w:r>
        <w:t xml:space="preserve">Penalties </w:t>
      </w:r>
      <w:r w:rsidR="00E17818">
        <w:t>for commercialisation of SOGI conversion practices</w:t>
      </w:r>
      <w:bookmarkEnd w:id="22"/>
    </w:p>
    <w:p w14:paraId="5E5B0B0D" w14:textId="47D0D29F" w:rsidR="00990A70" w:rsidRDefault="00990A70" w:rsidP="00990A70">
      <w:r>
        <w:t>While we recognise that many existing</w:t>
      </w:r>
      <w:r w:rsidR="00F647CE">
        <w:t xml:space="preserve"> SOGI conversion practices </w:t>
      </w:r>
      <w:r>
        <w:t>are undertaken without fee or payment, in our view</w:t>
      </w:r>
      <w:r w:rsidR="001A262B">
        <w:t>,</w:t>
      </w:r>
      <w:r>
        <w:t xml:space="preserve"> specific prohibitions </w:t>
      </w:r>
      <w:r w:rsidR="002B2A12">
        <w:t xml:space="preserve">on the </w:t>
      </w:r>
      <w:r>
        <w:t>commercialisation</w:t>
      </w:r>
      <w:r w:rsidR="002B2A12">
        <w:t xml:space="preserve"> of SOGI conversion practices</w:t>
      </w:r>
      <w:r>
        <w:t xml:space="preserve"> </w:t>
      </w:r>
      <w:r w:rsidR="002B2A12">
        <w:t>are</w:t>
      </w:r>
      <w:r w:rsidDel="002B2A12">
        <w:t xml:space="preserve"> </w:t>
      </w:r>
      <w:r w:rsidR="002B2A12">
        <w:t xml:space="preserve">necessary </w:t>
      </w:r>
      <w:r>
        <w:t xml:space="preserve">to deter the </w:t>
      </w:r>
      <w:r w:rsidR="001A262B">
        <w:t xml:space="preserve">type </w:t>
      </w:r>
      <w:r>
        <w:t xml:space="preserve">of fee-paying programs and services prevalent in some other countries.  </w:t>
      </w:r>
    </w:p>
    <w:p w14:paraId="40A6E153" w14:textId="74F5DAEA" w:rsidR="00461AD2" w:rsidRDefault="00461AD2" w:rsidP="00461AD2">
      <w:r>
        <w:t xml:space="preserve">As set out above, </w:t>
      </w:r>
      <w:r>
        <w:t>we support prohibition</w:t>
      </w:r>
      <w:r w:rsidR="00BA3C91">
        <w:t xml:space="preserve">s on publishing, disseminating or causing to publish </w:t>
      </w:r>
      <w:r w:rsidR="00C45D9B">
        <w:t>or discriminate statements, advertisements, notices or documents for fee or reward (for example, books, paid advertisements, etc.):</w:t>
      </w:r>
      <w:r>
        <w:tab/>
      </w:r>
    </w:p>
    <w:p w14:paraId="34CA2FE3" w14:textId="359F7060" w:rsidR="00461AD2" w:rsidRDefault="00461AD2" w:rsidP="00C45D9B">
      <w:pPr>
        <w:pStyle w:val="Bullet"/>
      </w:pPr>
      <w:r>
        <w:t>to the effect that it is possible to change or eliminate a person’s sexual attraction or gender identity (as defined above); or</w:t>
      </w:r>
    </w:p>
    <w:p w14:paraId="312CF953" w14:textId="191C4AE0" w:rsidR="00461AD2" w:rsidRPr="00274547" w:rsidRDefault="00461AD2" w:rsidP="00C45D9B">
      <w:pPr>
        <w:pStyle w:val="Bullet"/>
      </w:pPr>
      <w:r>
        <w:t>which are misleading or deceptive, or are likely to mislead or deceive, as to the origins or causes of a person’s sexual attraction or gender identity (as defined above).</w:t>
      </w:r>
    </w:p>
    <w:p w14:paraId="786B0CF6" w14:textId="4876549B" w:rsidR="00990A70" w:rsidRPr="00274547" w:rsidRDefault="00274547" w:rsidP="00274547">
      <w:r>
        <w:t xml:space="preserve">Consistent with </w:t>
      </w:r>
      <w:r w:rsidR="00DB1D2F">
        <w:t>consumer protection regimes and other advertising restrictions,</w:t>
      </w:r>
      <w:r w:rsidR="00761D2E">
        <w:rPr>
          <w:rStyle w:val="FootnoteReference"/>
        </w:rPr>
        <w:footnoteReference w:id="25"/>
      </w:r>
      <w:r w:rsidR="00DB1D2F">
        <w:t xml:space="preserve"> it is appropriate </w:t>
      </w:r>
      <w:r w:rsidR="00BA5EA3">
        <w:t xml:space="preserve">to treat prohibitions on making </w:t>
      </w:r>
      <w:r w:rsidR="00817A52">
        <w:t>th</w:t>
      </w:r>
      <w:r w:rsidR="00C45D9B">
        <w:t xml:space="preserve">ese statements </w:t>
      </w:r>
      <w:r w:rsidR="00817A52">
        <w:t xml:space="preserve">as either criminal and/or civil penalty provisions.  </w:t>
      </w:r>
      <w:r w:rsidR="00BA5EA3">
        <w:t xml:space="preserve"> </w:t>
      </w:r>
      <w:r w:rsidR="001212EC">
        <w:t xml:space="preserve">This would </w:t>
      </w:r>
      <w:r w:rsidR="00140528">
        <w:t>penalise</w:t>
      </w:r>
      <w:r w:rsidR="001212EC">
        <w:t xml:space="preserve"> and/or criminalise</w:t>
      </w:r>
      <w:r w:rsidR="0077306B">
        <w:t xml:space="preserve"> the</w:t>
      </w:r>
      <w:r w:rsidR="001212EC">
        <w:t xml:space="preserve"> commercialisation of SOGI conversion practices</w:t>
      </w:r>
      <w:r w:rsidR="00140528">
        <w:t xml:space="preserve"> in the same</w:t>
      </w:r>
      <w:r w:rsidR="00981FF7">
        <w:t xml:space="preserve"> way</w:t>
      </w:r>
      <w:r w:rsidR="00140528">
        <w:t xml:space="preserve"> that misleading and deceptive conduct</w:t>
      </w:r>
      <w:r w:rsidR="00981FF7">
        <w:t xml:space="preserve"> in trade or commerce</w:t>
      </w:r>
      <w:r w:rsidR="00140528">
        <w:t>,</w:t>
      </w:r>
      <w:r w:rsidR="00981FF7">
        <w:rPr>
          <w:rStyle w:val="FootnoteReference"/>
        </w:rPr>
        <w:footnoteReference w:id="26"/>
      </w:r>
      <w:r w:rsidR="00140528">
        <w:t xml:space="preserve"> or</w:t>
      </w:r>
      <w:r w:rsidR="00981FF7">
        <w:t xml:space="preserve"> </w:t>
      </w:r>
      <w:proofErr w:type="gramStart"/>
      <w:r w:rsidR="00981FF7">
        <w:t>particular types</w:t>
      </w:r>
      <w:proofErr w:type="gramEnd"/>
      <w:r w:rsidR="00981FF7">
        <w:t xml:space="preserve"> of</w:t>
      </w:r>
      <w:r w:rsidR="00140528">
        <w:t xml:space="preserve"> </w:t>
      </w:r>
      <w:r w:rsidR="0088590F">
        <w:t>advertisements,</w:t>
      </w:r>
      <w:r w:rsidR="00981FF7">
        <w:rPr>
          <w:rStyle w:val="FootnoteReference"/>
        </w:rPr>
        <w:footnoteReference w:id="27"/>
      </w:r>
      <w:r w:rsidR="0088590F">
        <w:t xml:space="preserve"> are prohibited.</w:t>
      </w:r>
    </w:p>
    <w:p w14:paraId="4E86049B" w14:textId="45A48480" w:rsidR="00284CDB" w:rsidRDefault="00284CDB" w:rsidP="00284CDB">
      <w:pPr>
        <w:pStyle w:val="Heading2"/>
      </w:pPr>
      <w:bookmarkStart w:id="23" w:name="_Toc27749620"/>
      <w:r>
        <w:t>Voluntary engagement from religious leaders and organisations</w:t>
      </w:r>
      <w:bookmarkEnd w:id="23"/>
    </w:p>
    <w:p w14:paraId="11A63762" w14:textId="59BACDC4" w:rsidR="00274547" w:rsidRDefault="00FA1FAB" w:rsidP="00274547">
      <w:r>
        <w:t xml:space="preserve">To support the work of the redress scheme, </w:t>
      </w:r>
      <w:r w:rsidR="00274547">
        <w:t xml:space="preserve">religious </w:t>
      </w:r>
      <w:r w:rsidR="00141EEB">
        <w:t xml:space="preserve">leaders and </w:t>
      </w:r>
      <w:r w:rsidR="00274547">
        <w:t>institutions</w:t>
      </w:r>
      <w:r w:rsidR="00141EEB">
        <w:t xml:space="preserve"> could be encouraged</w:t>
      </w:r>
      <w:r w:rsidR="00274547">
        <w:t xml:space="preserve"> </w:t>
      </w:r>
      <w:r w:rsidR="00FC3EBE">
        <w:t xml:space="preserve">to </w:t>
      </w:r>
      <w:r w:rsidR="00274547">
        <w:t>make statements denouncing SOGI conversion practices</w:t>
      </w:r>
      <w:r w:rsidR="00FC3EBE">
        <w:t xml:space="preserve"> voluntarily</w:t>
      </w:r>
      <w:r w:rsidR="00274547">
        <w:t xml:space="preserve"> and demonstrating their commitment by voluntarily contributing to the redress scheme.</w:t>
      </w:r>
    </w:p>
    <w:p w14:paraId="36E5F65F" w14:textId="34443C88" w:rsidR="007619F9" w:rsidRDefault="007619F9" w:rsidP="007619F9">
      <w:pPr>
        <w:pStyle w:val="Heading2"/>
      </w:pPr>
      <w:bookmarkStart w:id="24" w:name="_Toc27749621"/>
      <w:r>
        <w:lastRenderedPageBreak/>
        <w:t>Training</w:t>
      </w:r>
      <w:bookmarkEnd w:id="24"/>
    </w:p>
    <w:p w14:paraId="2F295AF4" w14:textId="1F4D5345" w:rsidR="007619F9" w:rsidRDefault="007619F9" w:rsidP="007619F9">
      <w:r>
        <w:t>To support th</w:t>
      </w:r>
      <w:r w:rsidR="00847041">
        <w:t xml:space="preserve">e proposed response, and </w:t>
      </w:r>
      <w:r w:rsidR="0094768E">
        <w:t xml:space="preserve">encourage broader cultural change, </w:t>
      </w:r>
      <w:r w:rsidR="00500E3B">
        <w:t xml:space="preserve">we support </w:t>
      </w:r>
      <w:r w:rsidR="0094768E">
        <w:t xml:space="preserve">training for professionals in health, education and welfare </w:t>
      </w:r>
      <w:r w:rsidR="001B65EB">
        <w:t xml:space="preserve">services </w:t>
      </w:r>
      <w:r w:rsidR="0094768E">
        <w:t>settings</w:t>
      </w:r>
      <w:r w:rsidR="00500E3B">
        <w:t xml:space="preserve"> (including pastoral care workers </w:t>
      </w:r>
      <w:r w:rsidR="001B65EB">
        <w:t xml:space="preserve">in schools </w:t>
      </w:r>
      <w:r w:rsidR="00500E3B">
        <w:t xml:space="preserve">and school chaplains) </w:t>
      </w:r>
      <w:r w:rsidR="00896E34">
        <w:t>on the harms caused by SOGI conversion practices</w:t>
      </w:r>
      <w:r w:rsidR="00500E3B">
        <w:t xml:space="preserve"> and </w:t>
      </w:r>
      <w:r w:rsidR="00907E4C">
        <w:t>relevant</w:t>
      </w:r>
      <w:r w:rsidR="00500E3B">
        <w:t xml:space="preserve"> professional </w:t>
      </w:r>
      <w:r w:rsidR="00907E4C">
        <w:t>obligations in this regard</w:t>
      </w:r>
      <w:r w:rsidR="00896E34">
        <w:t>.</w:t>
      </w:r>
    </w:p>
    <w:p w14:paraId="25940110" w14:textId="04E7C43A" w:rsidR="0025517D" w:rsidRDefault="0085691B" w:rsidP="0025517D">
      <w:pPr>
        <w:pStyle w:val="Heading1"/>
      </w:pPr>
      <w:bookmarkStart w:id="25" w:name="_Toc27749622"/>
      <w:r w:rsidRPr="0085691B">
        <w:t>How do we address concern about freedom of religion?</w:t>
      </w:r>
      <w:bookmarkEnd w:id="25"/>
      <w:r w:rsidR="0025517D" w:rsidRPr="0025517D">
        <w:t xml:space="preserve"> </w:t>
      </w:r>
    </w:p>
    <w:tbl>
      <w:tblPr>
        <w:tblStyle w:val="TableGridLight"/>
        <w:tblW w:w="0" w:type="auto"/>
        <w:tblBorders>
          <w:top w:val="single" w:sz="12" w:space="0" w:color="00BE87" w:themeColor="accent2"/>
          <w:left w:val="single" w:sz="12" w:space="0" w:color="00BE87" w:themeColor="accent2"/>
          <w:bottom w:val="single" w:sz="12" w:space="0" w:color="00BE87" w:themeColor="accent2"/>
          <w:right w:val="single" w:sz="12" w:space="0" w:color="00BE87" w:themeColor="accent2"/>
          <w:insideH w:val="single" w:sz="12" w:space="0" w:color="00BE87" w:themeColor="accent2"/>
          <w:insideV w:val="single" w:sz="12" w:space="0" w:color="00BE87" w:themeColor="accent2"/>
        </w:tblBorders>
        <w:tblCellMar>
          <w:left w:w="340" w:type="dxa"/>
          <w:right w:w="340" w:type="dxa"/>
        </w:tblCellMar>
        <w:tblLook w:val="0600" w:firstRow="0" w:lastRow="0" w:firstColumn="0" w:lastColumn="0" w:noHBand="1" w:noVBand="1"/>
      </w:tblPr>
      <w:tblGrid>
        <w:gridCol w:w="8871"/>
      </w:tblGrid>
      <w:tr w:rsidR="0025517D" w14:paraId="1D3A3DD8" w14:textId="77777777" w:rsidTr="00D87056">
        <w:tc>
          <w:tcPr>
            <w:tcW w:w="8871" w:type="dxa"/>
            <w:tcMar>
              <w:bottom w:w="142" w:type="dxa"/>
            </w:tcMar>
          </w:tcPr>
          <w:p w14:paraId="39F97C6F" w14:textId="77777777" w:rsidR="0025517D" w:rsidRDefault="0025517D" w:rsidP="00D87056">
            <w:pPr>
              <w:pStyle w:val="Heading3"/>
              <w:outlineLvl w:val="2"/>
            </w:pPr>
            <w:r>
              <w:t>Discussion questions:</w:t>
            </w:r>
          </w:p>
          <w:p w14:paraId="360D6ED2" w14:textId="77777777" w:rsidR="000754E9" w:rsidRPr="000754E9" w:rsidRDefault="000754E9" w:rsidP="000754E9">
            <w:pPr>
              <w:pStyle w:val="Intro"/>
              <w:rPr>
                <w:i/>
              </w:rPr>
            </w:pPr>
            <w:r w:rsidRPr="000754E9">
              <w:rPr>
                <w:i/>
              </w:rPr>
              <w:t xml:space="preserve">What rights do you think are relevant to consider when determining how best to implement a ban of conversion practices? </w:t>
            </w:r>
          </w:p>
          <w:p w14:paraId="515AA35E" w14:textId="584EA6B7" w:rsidR="0025517D" w:rsidRPr="000754E9" w:rsidRDefault="000754E9" w:rsidP="000754E9">
            <w:pPr>
              <w:pStyle w:val="Intro"/>
              <w:tabs>
                <w:tab w:val="left" w:pos="216"/>
              </w:tabs>
              <w:rPr>
                <w:rStyle w:val="PageNumber"/>
                <w:i/>
              </w:rPr>
            </w:pPr>
            <w:r w:rsidRPr="000754E9">
              <w:rPr>
                <w:i/>
              </w:rPr>
              <w:t xml:space="preserve">Can the impact on these rights be justified </w:t>
            </w:r>
            <w:proofErr w:type="gramStart"/>
            <w:r w:rsidRPr="000754E9">
              <w:rPr>
                <w:i/>
              </w:rPr>
              <w:t>in light of</w:t>
            </w:r>
            <w:proofErr w:type="gramEnd"/>
            <w:r w:rsidRPr="000754E9">
              <w:rPr>
                <w:i/>
              </w:rPr>
              <w:t xml:space="preserve"> the harm conversion practices cause?</w:t>
            </w:r>
          </w:p>
        </w:tc>
      </w:tr>
    </w:tbl>
    <w:p w14:paraId="55270176" w14:textId="6760946F" w:rsidR="00F801F4" w:rsidRDefault="00776528" w:rsidP="007B7735">
      <w:pPr>
        <w:rPr>
          <w:rStyle w:val="PageNumber"/>
        </w:rPr>
      </w:pPr>
      <w:r>
        <w:t xml:space="preserve">The freedom to manifest religion is not absolute and may be subject to </w:t>
      </w:r>
      <w:r w:rsidRPr="00E26E38">
        <w:t>such limitations as are prescribed by law and are necessary to protect public safety, health or the fundamental rights and freedoms of others</w:t>
      </w:r>
      <w:r>
        <w:t>.</w:t>
      </w:r>
      <w:r w:rsidR="002B2A12">
        <w:rPr>
          <w:rStyle w:val="FootnoteReference"/>
        </w:rPr>
        <w:footnoteReference w:id="28"/>
      </w:r>
    </w:p>
    <w:p w14:paraId="3C795C6F" w14:textId="77777777" w:rsidR="00D43311" w:rsidRDefault="007B7735" w:rsidP="007B7735">
      <w:pPr>
        <w:rPr>
          <w:rStyle w:val="PageNumber"/>
        </w:rPr>
      </w:pPr>
      <w:r>
        <w:rPr>
          <w:rStyle w:val="PageNumber"/>
        </w:rPr>
        <w:t>The proposal we have outlined in this submission</w:t>
      </w:r>
      <w:r w:rsidR="00266CB0">
        <w:rPr>
          <w:rStyle w:val="PageNumber"/>
        </w:rPr>
        <w:t xml:space="preserve"> preserves the freedom of thought, conscience and </w:t>
      </w:r>
      <w:r w:rsidR="00535BF3">
        <w:rPr>
          <w:rStyle w:val="PageNumber"/>
        </w:rPr>
        <w:t>religion</w:t>
      </w:r>
      <w:r w:rsidR="00D43311">
        <w:rPr>
          <w:rStyle w:val="PageNumber"/>
        </w:rPr>
        <w:t xml:space="preserve"> because it is focussed on redressing and preventing harm. </w:t>
      </w:r>
    </w:p>
    <w:p w14:paraId="0E255511" w14:textId="46BE1C44" w:rsidR="006D5FBB" w:rsidRDefault="007A636B" w:rsidP="007B7735">
      <w:pPr>
        <w:rPr>
          <w:rStyle w:val="PageNumber"/>
        </w:rPr>
      </w:pPr>
      <w:r>
        <w:rPr>
          <w:rStyle w:val="PageNumber"/>
        </w:rPr>
        <w:t>Our proposal is entirely consistent with the freedom of thought, conscience and religion in the following ways:</w:t>
      </w:r>
    </w:p>
    <w:p w14:paraId="1218D82C" w14:textId="219B0D4C" w:rsidR="00535BF3" w:rsidRDefault="007954CC" w:rsidP="000925C7">
      <w:pPr>
        <w:pStyle w:val="Bullet"/>
        <w:rPr>
          <w:rStyle w:val="PageNumber"/>
        </w:rPr>
      </w:pPr>
      <w:r>
        <w:rPr>
          <w:rStyle w:val="PageNumber"/>
        </w:rPr>
        <w:t>I</w:t>
      </w:r>
      <w:r w:rsidR="000925C7">
        <w:rPr>
          <w:rStyle w:val="PageNumber"/>
        </w:rPr>
        <w:t xml:space="preserve">t prohibits SOGI conversion practices which, because they are undertaken by persons in positions of trust in health, education and </w:t>
      </w:r>
      <w:r w:rsidR="00907E4C">
        <w:rPr>
          <w:rStyle w:val="PageNumber"/>
        </w:rPr>
        <w:t>welfare</w:t>
      </w:r>
      <w:r w:rsidR="00ED130D">
        <w:rPr>
          <w:rStyle w:val="PageNumber"/>
        </w:rPr>
        <w:t xml:space="preserve"> service </w:t>
      </w:r>
      <w:r w:rsidR="000925C7">
        <w:rPr>
          <w:rStyle w:val="PageNumber"/>
        </w:rPr>
        <w:t>settings, it is appropriate to ensure those persons do not breach</w:t>
      </w:r>
      <w:r w:rsidR="00F07609">
        <w:rPr>
          <w:rStyle w:val="PageNumber"/>
        </w:rPr>
        <w:t xml:space="preserve"> the</w:t>
      </w:r>
      <w:r w:rsidR="000925C7">
        <w:rPr>
          <w:rStyle w:val="PageNumber"/>
        </w:rPr>
        <w:t xml:space="preserve"> </w:t>
      </w:r>
      <w:r w:rsidR="008F68C6">
        <w:rPr>
          <w:rStyle w:val="PageNumber"/>
        </w:rPr>
        <w:t xml:space="preserve">trust placed in them.  These are not inherently religious </w:t>
      </w:r>
      <w:r w:rsidR="00456162">
        <w:rPr>
          <w:rStyle w:val="PageNumber"/>
        </w:rPr>
        <w:t>settings</w:t>
      </w:r>
      <w:r w:rsidR="00F07609">
        <w:rPr>
          <w:rStyle w:val="PageNumber"/>
        </w:rPr>
        <w:t>, and to extent that they limit the freedom of thought, conscience and religion at all, they do so</w:t>
      </w:r>
      <w:r w:rsidR="00B43230">
        <w:rPr>
          <w:rStyle w:val="PageNumber"/>
        </w:rPr>
        <w:t xml:space="preserve"> to </w:t>
      </w:r>
      <w:r w:rsidR="00FF3B51">
        <w:rPr>
          <w:rStyle w:val="PageNumber"/>
        </w:rPr>
        <w:t>protect public safety, health and the fundamental rights and freedoms of others</w:t>
      </w:r>
      <w:r w:rsidR="00F07609">
        <w:rPr>
          <w:rStyle w:val="PageNumber"/>
        </w:rPr>
        <w:t xml:space="preserve">.  </w:t>
      </w:r>
      <w:r w:rsidR="00FF3B51">
        <w:rPr>
          <w:rStyle w:val="PageNumber"/>
        </w:rPr>
        <w:t>Further, n</w:t>
      </w:r>
      <w:r w:rsidR="00760C16">
        <w:rPr>
          <w:rStyle w:val="PageNumber"/>
        </w:rPr>
        <w:t xml:space="preserve">o person has a right to expect the state </w:t>
      </w:r>
      <w:r w:rsidR="00684BCF">
        <w:rPr>
          <w:rStyle w:val="PageNumber"/>
        </w:rPr>
        <w:t>will</w:t>
      </w:r>
      <w:r w:rsidR="00760C16">
        <w:rPr>
          <w:rStyle w:val="PageNumber"/>
        </w:rPr>
        <w:t xml:space="preserve"> fund</w:t>
      </w:r>
      <w:r w:rsidR="00FF3B51">
        <w:rPr>
          <w:rStyle w:val="PageNumber"/>
        </w:rPr>
        <w:t xml:space="preserve"> harmful and discredited</w:t>
      </w:r>
      <w:r w:rsidR="00760C16">
        <w:rPr>
          <w:rStyle w:val="PageNumber"/>
        </w:rPr>
        <w:t xml:space="preserve"> SOGI conversion practices</w:t>
      </w:r>
      <w:r>
        <w:rPr>
          <w:rStyle w:val="PageNumber"/>
        </w:rPr>
        <w:t>.</w:t>
      </w:r>
    </w:p>
    <w:p w14:paraId="5956E4E0" w14:textId="37821DF0" w:rsidR="00966FC8" w:rsidRDefault="00456162" w:rsidP="000925C7">
      <w:pPr>
        <w:pStyle w:val="Bullet"/>
        <w:rPr>
          <w:rStyle w:val="PageNumber"/>
        </w:rPr>
      </w:pPr>
      <w:r>
        <w:rPr>
          <w:rStyle w:val="PageNumber"/>
        </w:rPr>
        <w:t>It prohibits the commercialisation of SOGI conversion practices</w:t>
      </w:r>
      <w:r w:rsidR="009972E2">
        <w:rPr>
          <w:rStyle w:val="PageNumber"/>
        </w:rPr>
        <w:t>.</w:t>
      </w:r>
      <w:r w:rsidR="00C21E9F">
        <w:rPr>
          <w:rStyle w:val="PageNumber"/>
        </w:rPr>
        <w:t xml:space="preserve">  The freedom to manifest one’s religion does not include the </w:t>
      </w:r>
      <w:r w:rsidR="002E3D9A">
        <w:rPr>
          <w:rStyle w:val="PageNumber"/>
        </w:rPr>
        <w:t>right</w:t>
      </w:r>
      <w:r w:rsidR="00C21E9F">
        <w:rPr>
          <w:rStyle w:val="PageNumber"/>
        </w:rPr>
        <w:t xml:space="preserve"> to profit from it</w:t>
      </w:r>
      <w:r w:rsidR="00966FC8">
        <w:rPr>
          <w:rStyle w:val="PageNumber"/>
        </w:rPr>
        <w:t xml:space="preserve">, and to the extent that the commercialisation of SOGI practices touches on religious </w:t>
      </w:r>
      <w:r w:rsidR="002E3D9A">
        <w:rPr>
          <w:rStyle w:val="PageNumber"/>
        </w:rPr>
        <w:t>practice</w:t>
      </w:r>
      <w:r w:rsidR="00966FC8">
        <w:rPr>
          <w:rStyle w:val="PageNumber"/>
        </w:rPr>
        <w:t xml:space="preserve">, </w:t>
      </w:r>
      <w:r w:rsidR="002E3D9A">
        <w:rPr>
          <w:rStyle w:val="PageNumber"/>
        </w:rPr>
        <w:t>these limits are necessary to protect public safety, health and the fundamental rights and freedoms of others.</w:t>
      </w:r>
    </w:p>
    <w:p w14:paraId="30FF1A8D" w14:textId="0780F5AB" w:rsidR="00006749" w:rsidRDefault="002E3D9A" w:rsidP="00006749">
      <w:pPr>
        <w:pStyle w:val="Bullet"/>
        <w:rPr>
          <w:rStyle w:val="PageNumber"/>
        </w:rPr>
      </w:pPr>
      <w:r>
        <w:rPr>
          <w:rStyle w:val="PageNumber"/>
        </w:rPr>
        <w:t>It protects children</w:t>
      </w:r>
      <w:r w:rsidR="009877EB">
        <w:rPr>
          <w:rStyle w:val="PageNumber"/>
        </w:rPr>
        <w:t xml:space="preserve"> and</w:t>
      </w:r>
      <w:r>
        <w:rPr>
          <w:rStyle w:val="PageNumber"/>
        </w:rPr>
        <w:t xml:space="preserve"> persons unable to </w:t>
      </w:r>
      <w:r w:rsidR="00770DB6">
        <w:rPr>
          <w:rStyle w:val="PageNumber"/>
        </w:rPr>
        <w:t xml:space="preserve">or who do not </w:t>
      </w:r>
      <w:r>
        <w:rPr>
          <w:rStyle w:val="PageNumber"/>
        </w:rPr>
        <w:t>consent</w:t>
      </w:r>
      <w:r w:rsidR="009877EB">
        <w:rPr>
          <w:rStyle w:val="PageNumber"/>
        </w:rPr>
        <w:t xml:space="preserve"> to </w:t>
      </w:r>
      <w:r>
        <w:rPr>
          <w:rStyle w:val="PageNumber"/>
        </w:rPr>
        <w:t xml:space="preserve">SOGI conversion practices.  </w:t>
      </w:r>
      <w:r w:rsidR="009972E2">
        <w:rPr>
          <w:rStyle w:val="PageNumber"/>
        </w:rPr>
        <w:t xml:space="preserve"> </w:t>
      </w:r>
      <w:r>
        <w:rPr>
          <w:rStyle w:val="PageNumber"/>
        </w:rPr>
        <w:t xml:space="preserve">This may </w:t>
      </w:r>
      <w:r w:rsidR="00F21C75">
        <w:rPr>
          <w:rStyle w:val="PageNumber"/>
        </w:rPr>
        <w:t>circumscribe certain practices, which are religiously based, but which are harmful</w:t>
      </w:r>
      <w:r w:rsidR="00911F97">
        <w:rPr>
          <w:rStyle w:val="PageNumber"/>
        </w:rPr>
        <w:t xml:space="preserve"> to public safety, health and the fundamental rights and freedoms of </w:t>
      </w:r>
      <w:r w:rsidR="00AC252C">
        <w:rPr>
          <w:rStyle w:val="PageNumber"/>
        </w:rPr>
        <w:t xml:space="preserve">others.  Our protective regime ensures </w:t>
      </w:r>
      <w:r w:rsidR="00B46FDB">
        <w:rPr>
          <w:rStyle w:val="PageNumber"/>
        </w:rPr>
        <w:t xml:space="preserve">limitations on </w:t>
      </w:r>
      <w:r w:rsidR="000F0F03">
        <w:rPr>
          <w:rStyle w:val="PageNumber"/>
        </w:rPr>
        <w:t>a</w:t>
      </w:r>
      <w:r w:rsidR="00B46FDB">
        <w:rPr>
          <w:rStyle w:val="PageNumber"/>
        </w:rPr>
        <w:t xml:space="preserve"> person’s freedoms</w:t>
      </w:r>
      <w:r w:rsidR="00AC252C">
        <w:rPr>
          <w:rStyle w:val="PageNumber"/>
        </w:rPr>
        <w:t xml:space="preserve"> are only as necessary </w:t>
      </w:r>
      <w:r w:rsidR="00B46FDB">
        <w:rPr>
          <w:rStyle w:val="PageNumber"/>
        </w:rPr>
        <w:t xml:space="preserve">as required to protect the </w:t>
      </w:r>
      <w:r w:rsidR="00B62DBA">
        <w:rPr>
          <w:rStyle w:val="PageNumber"/>
        </w:rPr>
        <w:t>safety, health and fundamental rights and freedoms of others.</w:t>
      </w:r>
    </w:p>
    <w:p w14:paraId="493D1A6F" w14:textId="3CAD8CEC" w:rsidR="006D5FBB" w:rsidRPr="007A636B" w:rsidRDefault="00006749" w:rsidP="00006749">
      <w:pPr>
        <w:pStyle w:val="Bullet"/>
        <w:rPr>
          <w:rStyle w:val="PageNumber"/>
        </w:rPr>
      </w:pPr>
      <w:r>
        <w:rPr>
          <w:rStyle w:val="PageNumber"/>
        </w:rPr>
        <w:t xml:space="preserve">It protects the </w:t>
      </w:r>
      <w:r w:rsidR="002B2A12">
        <w:rPr>
          <w:rStyle w:val="PageNumber"/>
        </w:rPr>
        <w:t xml:space="preserve">freedoms </w:t>
      </w:r>
      <w:r>
        <w:rPr>
          <w:rStyle w:val="PageNumber"/>
        </w:rPr>
        <w:t xml:space="preserve">of religious leaders and organisations who wish to denounce SOGI conversion </w:t>
      </w:r>
      <w:r w:rsidR="007B3D79">
        <w:rPr>
          <w:rStyle w:val="PageNumber"/>
        </w:rPr>
        <w:t>practices.</w:t>
      </w:r>
      <w:r w:rsidR="002B2A12">
        <w:rPr>
          <w:rStyle w:val="PageNumber"/>
        </w:rPr>
        <w:t xml:space="preserve">  However, no one is compelled to do so.</w:t>
      </w:r>
    </w:p>
    <w:sectPr w:rsidR="006D5FBB" w:rsidRPr="007A636B" w:rsidSect="00BB79D2">
      <w:pgSz w:w="11907" w:h="16840" w:code="9"/>
      <w:pgMar w:top="1644" w:right="1021" w:bottom="1644" w:left="1985" w:header="709" w:footer="3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B307E7" w14:textId="77777777" w:rsidR="008D1E4E" w:rsidRDefault="008D1E4E" w:rsidP="00CA34DF">
      <w:r>
        <w:separator/>
      </w:r>
    </w:p>
  </w:endnote>
  <w:endnote w:type="continuationSeparator" w:id="0">
    <w:p w14:paraId="254FD1E1" w14:textId="77777777" w:rsidR="008D1E4E" w:rsidRDefault="008D1E4E" w:rsidP="00CA34DF">
      <w:r>
        <w:continuationSeparator/>
      </w:r>
    </w:p>
  </w:endnote>
  <w:endnote w:type="continuationNotice" w:id="1">
    <w:p w14:paraId="0C4C8849" w14:textId="77777777" w:rsidR="008D1E4E" w:rsidRDefault="008D1E4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verpass Light">
    <w:panose1 w:val="00000400000000000000"/>
    <w:charset w:val="00"/>
    <w:family w:val="modern"/>
    <w:notTrueType/>
    <w:pitch w:val="variable"/>
    <w:sig w:usb0="00000007" w:usb1="00000020" w:usb2="00000000" w:usb3="00000000" w:csb0="00000093" w:csb1="00000000"/>
  </w:font>
  <w:font w:name="Overpass">
    <w:panose1 w:val="00000500000000000000"/>
    <w:charset w:val="00"/>
    <w:family w:val="modern"/>
    <w:notTrueType/>
    <w:pitch w:val="variable"/>
    <w:sig w:usb0="00000007" w:usb1="00000020" w:usb2="00000000" w:usb3="00000000" w:csb0="00000093" w:csb1="00000000"/>
  </w:font>
  <w:font w:name="PhosphateSolid">
    <w:panose1 w:val="02000606020000020004"/>
    <w:charset w:val="00"/>
    <w:family w:val="auto"/>
    <w:pitch w:val="variable"/>
    <w:sig w:usb0="800000A3" w:usb1="00000000" w:usb2="00000000" w:usb3="00000000" w:csb0="00000009" w:csb1="00000000"/>
    <w:embedRegular r:id="rId1" w:fontKey="{00F6C1A3-30ED-4BF0-B86B-4CFFC9D97504}"/>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3CFE9E" w14:textId="77777777" w:rsidR="00D87056" w:rsidRDefault="00D87056" w:rsidP="00CF4449">
    <w:pPr>
      <w:pStyle w:val="P1footer0"/>
    </w:pPr>
    <w:r>
      <w:rPr>
        <w:noProof/>
      </w:rPr>
      <w:drawing>
        <wp:anchor distT="0" distB="0" distL="114300" distR="114300" simplePos="0" relativeHeight="251658242" behindDoc="1" locked="0" layoutInCell="1" allowOverlap="1" wp14:anchorId="5A01C7FC" wp14:editId="1161E731">
          <wp:simplePos x="0" y="0"/>
          <wp:positionH relativeFrom="page">
            <wp:posOffset>0</wp:posOffset>
          </wp:positionH>
          <wp:positionV relativeFrom="margin">
            <wp:posOffset>6919595</wp:posOffset>
          </wp:positionV>
          <wp:extent cx="7559040" cy="2729907"/>
          <wp:effectExtent l="0" t="0" r="3810" b="0"/>
          <wp:wrapNone/>
          <wp:docPr id="7" name="Angled foo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_Page_1.png"/>
                  <pic:cNvPicPr/>
                </pic:nvPicPr>
                <pic:blipFill>
                  <a:blip r:embed="rId1">
                    <a:extLst>
                      <a:ext uri="{28A0092B-C50C-407E-A947-70E740481C1C}">
                        <a14:useLocalDpi xmlns:a14="http://schemas.microsoft.com/office/drawing/2010/main" val="0"/>
                      </a:ext>
                    </a:extLst>
                  </a:blip>
                  <a:stretch>
                    <a:fillRect/>
                  </a:stretch>
                </pic:blipFill>
                <pic:spPr>
                  <a:xfrm>
                    <a:off x="0" y="0"/>
                    <a:ext cx="7559040" cy="272990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1" behindDoc="1" locked="0" layoutInCell="1" allowOverlap="1" wp14:anchorId="73EEF1B4" wp14:editId="30BB7B5B">
              <wp:simplePos x="0" y="0"/>
              <wp:positionH relativeFrom="column">
                <wp:posOffset>-1260475</wp:posOffset>
              </wp:positionH>
              <wp:positionV relativeFrom="paragraph">
                <wp:posOffset>-2211749</wp:posOffset>
              </wp:positionV>
              <wp:extent cx="7560000" cy="2332800"/>
              <wp:effectExtent l="0" t="0" r="3175" b="0"/>
              <wp:wrapNone/>
              <wp:docPr id="5" name="Solid blue bottom"/>
              <wp:cNvGraphicFramePr/>
              <a:graphic xmlns:a="http://schemas.openxmlformats.org/drawingml/2006/main">
                <a:graphicData uri="http://schemas.microsoft.com/office/word/2010/wordprocessingShape">
                  <wps:wsp>
                    <wps:cNvSpPr/>
                    <wps:spPr>
                      <a:xfrm>
                        <a:off x="0" y="0"/>
                        <a:ext cx="7560000" cy="23328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D433E1" id="Solid blue bottom" o:spid="_x0000_s1026" style="position:absolute;margin-left:-99.25pt;margin-top:-174.15pt;width:595.3pt;height:183.7pt;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" fillcolor="#00be87 [3205]" stroked="f" strokeweight="1p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2E22EE" w14:textId="7CBE708E" w:rsidR="00EC484C" w:rsidRPr="0031655E" w:rsidRDefault="00F76E1F" w:rsidP="0031655E">
    <w:pPr>
      <w:pStyle w:val="Footer"/>
    </w:pPr>
    <w:r w:rsidRPr="003069D4">
      <w:rPr>
        <w:i/>
      </w:rPr>
      <w:t>Beyond a Ban, Towards Justice</w:t>
    </w:r>
    <w:r>
      <w:t>: Submission to the Victorian consultation</w:t>
    </w:r>
    <w:r w:rsidR="00380988">
      <w:t xml:space="preserve"> into legislative options to </w:t>
    </w:r>
    <w:r w:rsidR="003069D4">
      <w:t>implement a ban</w:t>
    </w:r>
    <w:r>
      <w:t xml:space="preserve"> on conversion practices</w:t>
    </w:r>
    <w:r w:rsidR="003069D4">
      <w:t xml:space="preserve">, </w:t>
    </w:r>
    <w:r w:rsidR="00380988">
      <w:t>December 2019</w:t>
    </w:r>
  </w:p>
  <w:tbl>
    <w:tblPr>
      <w:tblStyle w:val="TableGrid"/>
      <w:tblW w:w="9130" w:type="dxa"/>
      <w:tblInd w:w="-1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0"/>
      <w:gridCol w:w="4570"/>
    </w:tblGrid>
    <w:tr w:rsidR="00D87056" w:rsidRPr="00E20450" w14:paraId="7AF3EEFE" w14:textId="77777777" w:rsidTr="0011785E">
      <w:tc>
        <w:tcPr>
          <w:tcW w:w="4560" w:type="dxa"/>
        </w:tcPr>
        <w:p w14:paraId="36530DC7" w14:textId="77777777" w:rsidR="00D87056" w:rsidRPr="0011785E" w:rsidRDefault="00D87056" w:rsidP="0011785E">
          <w:pPr>
            <w:pStyle w:val="FooterEQAU"/>
          </w:pPr>
          <w:r w:rsidRPr="0011785E">
            <w:t>equalityaustralia.org.au</w:t>
          </w:r>
        </w:p>
      </w:tc>
      <w:tc>
        <w:tcPr>
          <w:tcW w:w="4570" w:type="dxa"/>
        </w:tcPr>
        <w:p w14:paraId="2B446C1A" w14:textId="77777777" w:rsidR="00D87056" w:rsidRPr="0011785E" w:rsidRDefault="00D87056" w:rsidP="0011785E">
          <w:pPr>
            <w:pStyle w:val="Page"/>
            <w:jc w:val="right"/>
          </w:pPr>
          <w:r>
            <w:t xml:space="preserve">Page </w:t>
          </w:r>
          <w:r>
            <w:fldChar w:fldCharType="begin"/>
          </w:r>
          <w:r>
            <w:instrText xml:space="preserve"> PAGE  \* Arabic  \* MERGEFORMAT </w:instrText>
          </w:r>
          <w:r>
            <w:fldChar w:fldCharType="separate"/>
          </w:r>
          <w:r>
            <w:t>1</w:t>
          </w:r>
          <w:r>
            <w:fldChar w:fldCharType="end"/>
          </w:r>
        </w:p>
      </w:tc>
    </w:tr>
  </w:tbl>
  <w:p w14:paraId="7B248666" w14:textId="77777777" w:rsidR="00D87056" w:rsidRPr="00401EEF" w:rsidRDefault="00D87056" w:rsidP="00401EEF">
    <w:pPr>
      <w:pStyle w:val="NoSpacing"/>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43B5D7" w14:textId="77777777" w:rsidR="008D1E4E" w:rsidRDefault="008D1E4E" w:rsidP="00CA34DF">
      <w:r>
        <w:separator/>
      </w:r>
    </w:p>
  </w:footnote>
  <w:footnote w:type="continuationSeparator" w:id="0">
    <w:p w14:paraId="036A025D" w14:textId="77777777" w:rsidR="008D1E4E" w:rsidRDefault="008D1E4E" w:rsidP="00CA34DF">
      <w:r>
        <w:continuationSeparator/>
      </w:r>
    </w:p>
  </w:footnote>
  <w:footnote w:type="continuationNotice" w:id="1">
    <w:p w14:paraId="56023827" w14:textId="77777777" w:rsidR="008D1E4E" w:rsidRDefault="008D1E4E">
      <w:pPr>
        <w:spacing w:before="0" w:after="0" w:line="240" w:lineRule="auto"/>
      </w:pPr>
    </w:p>
  </w:footnote>
  <w:footnote w:id="2">
    <w:p w14:paraId="5BFE3902" w14:textId="13C8D223" w:rsidR="004138E2" w:rsidRPr="004138E2" w:rsidRDefault="004138E2">
      <w:pPr>
        <w:pStyle w:val="FootnoteText"/>
        <w:rPr>
          <w:lang w:val="en-GB"/>
        </w:rPr>
      </w:pPr>
      <w:r>
        <w:rPr>
          <w:rStyle w:val="FootnoteReference"/>
        </w:rPr>
        <w:footnoteRef/>
      </w:r>
      <w:r>
        <w:t xml:space="preserve"> </w:t>
      </w:r>
      <w:r w:rsidRPr="00F8359D">
        <w:rPr>
          <w:i/>
          <w:lang w:val="en-GB"/>
        </w:rPr>
        <w:t>Health Complaints Act 2016</w:t>
      </w:r>
      <w:r>
        <w:rPr>
          <w:lang w:val="en-GB"/>
        </w:rPr>
        <w:t xml:space="preserve"> (Vic)</w:t>
      </w:r>
      <w:r w:rsidR="00FA795C">
        <w:rPr>
          <w:lang w:val="en-GB"/>
        </w:rPr>
        <w:t xml:space="preserve"> (</w:t>
      </w:r>
      <w:r w:rsidR="00FA795C" w:rsidRPr="00FA795C">
        <w:rPr>
          <w:b/>
          <w:lang w:val="en-GB"/>
        </w:rPr>
        <w:t>HC</w:t>
      </w:r>
      <w:r w:rsidR="00FA795C">
        <w:rPr>
          <w:b/>
          <w:lang w:val="en-GB"/>
        </w:rPr>
        <w:t>A</w:t>
      </w:r>
      <w:r w:rsidR="00FA795C">
        <w:rPr>
          <w:lang w:val="en-GB"/>
        </w:rPr>
        <w:t>)</w:t>
      </w:r>
      <w:r w:rsidR="00F8359D">
        <w:rPr>
          <w:lang w:val="en-GB"/>
        </w:rPr>
        <w:t xml:space="preserve">, </w:t>
      </w:r>
      <w:r w:rsidR="00A15723">
        <w:rPr>
          <w:lang w:val="en-GB"/>
        </w:rPr>
        <w:t>s 3(1)</w:t>
      </w:r>
      <w:r w:rsidR="00DE1DBE">
        <w:rPr>
          <w:lang w:val="en-GB"/>
        </w:rPr>
        <w:t xml:space="preserve"> (definition of </w:t>
      </w:r>
      <w:r w:rsidR="00DE1DBE" w:rsidRPr="00DE1DBE">
        <w:rPr>
          <w:b/>
          <w:i/>
          <w:lang w:val="en-GB"/>
        </w:rPr>
        <w:t>health service</w:t>
      </w:r>
      <w:r w:rsidR="00DE1DBE">
        <w:rPr>
          <w:lang w:val="en-GB"/>
        </w:rPr>
        <w:t>).</w:t>
      </w:r>
    </w:p>
  </w:footnote>
  <w:footnote w:id="3">
    <w:p w14:paraId="2B0FC5D9" w14:textId="1E3F895A" w:rsidR="00FA795C" w:rsidRPr="00FA795C" w:rsidRDefault="00FA795C">
      <w:pPr>
        <w:pStyle w:val="FootnoteText"/>
        <w:rPr>
          <w:lang w:val="en-GB"/>
        </w:rPr>
      </w:pPr>
      <w:r>
        <w:rPr>
          <w:rStyle w:val="FootnoteReference"/>
        </w:rPr>
        <w:footnoteRef/>
      </w:r>
      <w:r>
        <w:t xml:space="preserve"> </w:t>
      </w:r>
      <w:r w:rsidRPr="00F261FA">
        <w:rPr>
          <w:lang w:val="en-GB"/>
        </w:rPr>
        <w:t>HCA</w:t>
      </w:r>
      <w:r>
        <w:rPr>
          <w:i/>
          <w:lang w:val="en-GB"/>
        </w:rPr>
        <w:t xml:space="preserve">, </w:t>
      </w:r>
      <w:r>
        <w:rPr>
          <w:lang w:val="en-GB"/>
        </w:rPr>
        <w:t>ss 6-7</w:t>
      </w:r>
      <w:r w:rsidR="001C7367">
        <w:rPr>
          <w:lang w:val="en-GB"/>
        </w:rPr>
        <w:t>, 45-</w:t>
      </w:r>
      <w:r w:rsidR="008964DA">
        <w:rPr>
          <w:lang w:val="en-GB"/>
        </w:rPr>
        <w:t>47 and 103.</w:t>
      </w:r>
    </w:p>
  </w:footnote>
  <w:footnote w:id="4">
    <w:p w14:paraId="53C617ED" w14:textId="5D7C3660" w:rsidR="00842028" w:rsidRPr="00842028" w:rsidRDefault="00842028">
      <w:pPr>
        <w:pStyle w:val="FootnoteText"/>
        <w:rPr>
          <w:lang w:val="en-GB"/>
        </w:rPr>
      </w:pPr>
      <w:r>
        <w:rPr>
          <w:rStyle w:val="FootnoteReference"/>
        </w:rPr>
        <w:footnoteRef/>
      </w:r>
      <w:r>
        <w:t xml:space="preserve"> </w:t>
      </w:r>
      <w:r w:rsidR="00F261FA">
        <w:t>Health Complaints Commission (</w:t>
      </w:r>
      <w:r w:rsidR="00F261FA" w:rsidRPr="00F261FA">
        <w:rPr>
          <w:b/>
        </w:rPr>
        <w:t>HCC</w:t>
      </w:r>
      <w:r w:rsidR="00F261FA">
        <w:t xml:space="preserve">) (2018) </w:t>
      </w:r>
      <w:hyperlink r:id="rId1" w:history="1">
        <w:r w:rsidR="00F261FA" w:rsidRPr="0054479A">
          <w:rPr>
            <w:rStyle w:val="Hyperlink"/>
          </w:rPr>
          <w:t>‘Inquiry into conversion therapy’</w:t>
        </w:r>
      </w:hyperlink>
      <w:r w:rsidR="00F261FA">
        <w:t>, 17 May</w:t>
      </w:r>
      <w:r w:rsidR="00366EDB">
        <w:t>.</w:t>
      </w:r>
    </w:p>
  </w:footnote>
  <w:footnote w:id="5">
    <w:p w14:paraId="1E0BCA1A" w14:textId="558BFAA0" w:rsidR="00962E68" w:rsidRPr="00DD738E" w:rsidRDefault="00962E68">
      <w:pPr>
        <w:pStyle w:val="FootnoteText"/>
        <w:rPr>
          <w:lang w:val="en-GB"/>
        </w:rPr>
      </w:pPr>
      <w:r>
        <w:rPr>
          <w:rStyle w:val="FootnoteReference"/>
        </w:rPr>
        <w:footnoteRef/>
      </w:r>
      <w:r>
        <w:t xml:space="preserve"> </w:t>
      </w:r>
      <w:r>
        <w:rPr>
          <w:lang w:val="en-GB"/>
        </w:rPr>
        <w:t xml:space="preserve">Timothy Jones, Anna Brown, Lee Carnie, Gillian Fletcher and William Leonard </w:t>
      </w:r>
      <w:r w:rsidR="00DD738E">
        <w:rPr>
          <w:lang w:val="en-GB"/>
        </w:rPr>
        <w:t xml:space="preserve">(2018) </w:t>
      </w:r>
      <w:hyperlink r:id="rId2" w:history="1">
        <w:r w:rsidR="00DD738E" w:rsidRPr="00AF7F8E">
          <w:rPr>
            <w:rStyle w:val="Hyperlink"/>
            <w:i/>
            <w:lang w:val="en-GB"/>
          </w:rPr>
          <w:t>Preventing Harm, Promoting Justice: Responding to LGBT conversion therapy in Australia</w:t>
        </w:r>
      </w:hyperlink>
      <w:r w:rsidR="00DD738E">
        <w:rPr>
          <w:i/>
          <w:lang w:val="en-GB"/>
        </w:rPr>
        <w:t xml:space="preserve">, </w:t>
      </w:r>
      <w:r w:rsidR="00685324">
        <w:rPr>
          <w:lang w:val="en-GB"/>
        </w:rPr>
        <w:t>Melbourne: GLHV@ARCSHS and the Human Rights Law Centre</w:t>
      </w:r>
      <w:r w:rsidR="002D37D5">
        <w:rPr>
          <w:lang w:val="en-GB"/>
        </w:rPr>
        <w:t xml:space="preserve"> (</w:t>
      </w:r>
      <w:r w:rsidR="002D37D5">
        <w:rPr>
          <w:b/>
          <w:lang w:val="en-GB"/>
        </w:rPr>
        <w:t>Preventing Harm, Promoting Justice Report</w:t>
      </w:r>
      <w:r w:rsidR="002D37D5" w:rsidRPr="002D37D5">
        <w:rPr>
          <w:lang w:val="en-GB"/>
        </w:rPr>
        <w:t>)</w:t>
      </w:r>
      <w:r w:rsidR="00685324">
        <w:rPr>
          <w:lang w:val="en-GB"/>
        </w:rPr>
        <w:t>.</w:t>
      </w:r>
    </w:p>
  </w:footnote>
  <w:footnote w:id="6">
    <w:p w14:paraId="45FC81AE" w14:textId="6888D6CC" w:rsidR="00D87056" w:rsidRPr="00D764C2" w:rsidRDefault="00D87056">
      <w:pPr>
        <w:pStyle w:val="FootnoteText"/>
        <w:rPr>
          <w:lang w:val="en-GB"/>
        </w:rPr>
      </w:pPr>
      <w:r>
        <w:rPr>
          <w:rStyle w:val="FootnoteReference"/>
        </w:rPr>
        <w:footnoteRef/>
      </w:r>
      <w:r>
        <w:t xml:space="preserve"> </w:t>
      </w:r>
      <w:r w:rsidR="002D37D5" w:rsidRPr="002D37D5">
        <w:rPr>
          <w:lang w:val="en-GB"/>
        </w:rPr>
        <w:t>Preventing Harm, Promoting Justice Report</w:t>
      </w:r>
      <w:r w:rsidR="002D37D5">
        <w:rPr>
          <w:lang w:val="en-GB"/>
        </w:rPr>
        <w:t xml:space="preserve">, </w:t>
      </w:r>
      <w:r w:rsidR="005A5472">
        <w:rPr>
          <w:lang w:val="en-GB"/>
        </w:rPr>
        <w:t>pp 31-36</w:t>
      </w:r>
      <w:r w:rsidR="004A3CB0">
        <w:rPr>
          <w:lang w:val="en-GB"/>
        </w:rPr>
        <w:t>, 58-</w:t>
      </w:r>
      <w:r w:rsidR="00C97512">
        <w:rPr>
          <w:lang w:val="en-GB"/>
        </w:rPr>
        <w:t>63.</w:t>
      </w:r>
    </w:p>
  </w:footnote>
  <w:footnote w:id="7">
    <w:p w14:paraId="3E211727" w14:textId="77256C88" w:rsidR="00D87056" w:rsidRPr="00466869" w:rsidRDefault="00D87056">
      <w:pPr>
        <w:pStyle w:val="FootnoteText"/>
        <w:rPr>
          <w:lang w:val="en-GB"/>
        </w:rPr>
      </w:pPr>
      <w:r>
        <w:rPr>
          <w:rStyle w:val="FootnoteReference"/>
        </w:rPr>
        <w:footnoteRef/>
      </w:r>
      <w:r>
        <w:t xml:space="preserve"> </w:t>
      </w:r>
      <w:r w:rsidR="005A5472" w:rsidRPr="002D37D5">
        <w:rPr>
          <w:lang w:val="en-GB"/>
        </w:rPr>
        <w:t>Preventing Harm, Promoting Justice Report</w:t>
      </w:r>
      <w:r w:rsidR="005A5472">
        <w:rPr>
          <w:lang w:val="en-GB"/>
        </w:rPr>
        <w:t xml:space="preserve">, pp </w:t>
      </w:r>
      <w:r w:rsidR="00D07EFD">
        <w:rPr>
          <w:lang w:val="en-GB"/>
        </w:rPr>
        <w:t>11</w:t>
      </w:r>
      <w:r w:rsidR="005A5472">
        <w:rPr>
          <w:lang w:val="en-GB"/>
        </w:rPr>
        <w:t>-</w:t>
      </w:r>
      <w:r w:rsidR="00D07EFD">
        <w:rPr>
          <w:lang w:val="en-GB"/>
        </w:rPr>
        <w:t>19</w:t>
      </w:r>
      <w:r w:rsidR="005A5472">
        <w:rPr>
          <w:lang w:val="en-GB"/>
        </w:rPr>
        <w:t>.</w:t>
      </w:r>
    </w:p>
  </w:footnote>
  <w:footnote w:id="8">
    <w:p w14:paraId="6487C935" w14:textId="1A915022" w:rsidR="00D87056" w:rsidRPr="00D764C2" w:rsidRDefault="00D87056">
      <w:pPr>
        <w:pStyle w:val="FootnoteText"/>
        <w:rPr>
          <w:lang w:val="en-GB"/>
        </w:rPr>
      </w:pPr>
      <w:r>
        <w:rPr>
          <w:rStyle w:val="FootnoteReference"/>
        </w:rPr>
        <w:footnoteRef/>
      </w:r>
      <w:r>
        <w:t xml:space="preserve"> </w:t>
      </w:r>
      <w:r w:rsidR="008C5253" w:rsidRPr="002D37D5">
        <w:rPr>
          <w:lang w:val="en-GB"/>
        </w:rPr>
        <w:t>Preventing Harm, Promoting Justice Report</w:t>
      </w:r>
      <w:r w:rsidR="008C5253">
        <w:rPr>
          <w:lang w:val="en-GB"/>
        </w:rPr>
        <w:t>, pp 27</w:t>
      </w:r>
      <w:r w:rsidR="0077186F">
        <w:rPr>
          <w:lang w:val="en-GB"/>
        </w:rPr>
        <w:t>, 31-36</w:t>
      </w:r>
      <w:r w:rsidR="008C5253">
        <w:rPr>
          <w:lang w:val="en-GB"/>
        </w:rPr>
        <w:t>.</w:t>
      </w:r>
    </w:p>
  </w:footnote>
  <w:footnote w:id="9">
    <w:p w14:paraId="4832472E" w14:textId="7176A505" w:rsidR="000131FA" w:rsidRPr="000131FA" w:rsidRDefault="000131FA">
      <w:pPr>
        <w:pStyle w:val="FootnoteText"/>
        <w:rPr>
          <w:lang w:val="en-GB"/>
        </w:rPr>
      </w:pPr>
      <w:r>
        <w:rPr>
          <w:rStyle w:val="FootnoteReference"/>
        </w:rPr>
        <w:footnoteRef/>
      </w:r>
      <w:r>
        <w:t xml:space="preserve"> </w:t>
      </w:r>
      <w:r w:rsidRPr="002D37D5">
        <w:rPr>
          <w:lang w:val="en-GB"/>
        </w:rPr>
        <w:t>Preventing Harm, Promoting Justice Report</w:t>
      </w:r>
      <w:r>
        <w:rPr>
          <w:lang w:val="en-GB"/>
        </w:rPr>
        <w:t>, p 19.</w:t>
      </w:r>
    </w:p>
  </w:footnote>
  <w:footnote w:id="10">
    <w:p w14:paraId="3ACA2FFE" w14:textId="01FA5A84" w:rsidR="00DF0921" w:rsidRPr="00DF0921" w:rsidRDefault="00DF0921">
      <w:pPr>
        <w:pStyle w:val="FootnoteText"/>
        <w:rPr>
          <w:lang w:val="en-GB"/>
        </w:rPr>
      </w:pPr>
      <w:r>
        <w:rPr>
          <w:rStyle w:val="FootnoteReference"/>
        </w:rPr>
        <w:footnoteRef/>
      </w:r>
      <w:r>
        <w:t xml:space="preserve"> </w:t>
      </w:r>
      <w:r w:rsidR="00FF398C" w:rsidRPr="002D37D5">
        <w:rPr>
          <w:lang w:val="en-GB"/>
        </w:rPr>
        <w:t>Preventing Harm, Promoting Justice Report</w:t>
      </w:r>
      <w:r w:rsidR="00FF398C">
        <w:rPr>
          <w:lang w:val="en-GB"/>
        </w:rPr>
        <w:t>, p 21</w:t>
      </w:r>
      <w:r w:rsidR="002F3D83">
        <w:rPr>
          <w:lang w:val="en-GB"/>
        </w:rPr>
        <w:t xml:space="preserve">, </w:t>
      </w:r>
      <w:r w:rsidR="00DA3CBB">
        <w:rPr>
          <w:lang w:val="en-GB"/>
        </w:rPr>
        <w:t>38-41</w:t>
      </w:r>
      <w:r w:rsidR="00FF398C">
        <w:rPr>
          <w:lang w:val="en-GB"/>
        </w:rPr>
        <w:t>.</w:t>
      </w:r>
    </w:p>
  </w:footnote>
  <w:footnote w:id="11">
    <w:p w14:paraId="55061B50" w14:textId="189D123C" w:rsidR="00D87056" w:rsidRPr="00DB5295" w:rsidRDefault="00D87056">
      <w:pPr>
        <w:pStyle w:val="FootnoteText"/>
        <w:rPr>
          <w:lang w:val="en-GB"/>
        </w:rPr>
      </w:pPr>
      <w:r>
        <w:rPr>
          <w:rStyle w:val="FootnoteReference"/>
        </w:rPr>
        <w:footnoteRef/>
      </w:r>
      <w:r>
        <w:t xml:space="preserve"> </w:t>
      </w:r>
      <w:r w:rsidR="00527CD0">
        <w:t xml:space="preserve">Australian Medical Association (2002) </w:t>
      </w:r>
      <w:hyperlink r:id="rId3" w:history="1">
        <w:r w:rsidR="00527CD0" w:rsidRPr="0054479A">
          <w:rPr>
            <w:rStyle w:val="Hyperlink"/>
            <w:i/>
          </w:rPr>
          <w:t xml:space="preserve">AMA Position Statement: </w:t>
        </w:r>
        <w:r w:rsidR="00A413CC" w:rsidRPr="0054479A">
          <w:rPr>
            <w:rStyle w:val="Hyperlink"/>
            <w:i/>
          </w:rPr>
          <w:t>Sexual Diversity and Gender Identity</w:t>
        </w:r>
      </w:hyperlink>
      <w:r w:rsidR="00A413CC">
        <w:t>, [6.10]</w:t>
      </w:r>
      <w:r w:rsidR="00D24850">
        <w:t xml:space="preserve">; </w:t>
      </w:r>
      <w:r w:rsidR="00807E47">
        <w:t>Australian Psychological Society (</w:t>
      </w:r>
      <w:r w:rsidR="002B3B93">
        <w:t xml:space="preserve">2015) </w:t>
      </w:r>
      <w:hyperlink r:id="rId4" w:history="1">
        <w:r w:rsidR="00DA12B3" w:rsidRPr="00DA12B3">
          <w:rPr>
            <w:rStyle w:val="Hyperlink"/>
            <w:i/>
            <w:iCs/>
          </w:rPr>
          <w:t>APS Position Statement on Psychological Practices that attempt to change Sexual Orientation</w:t>
        </w:r>
      </w:hyperlink>
      <w:r w:rsidR="00DA12B3">
        <w:t>;</w:t>
      </w:r>
      <w:r w:rsidR="00A01BEB">
        <w:t xml:space="preserve"> Psychology and Counselling Federation of Australia (</w:t>
      </w:r>
      <w:r w:rsidR="00E92EFC">
        <w:t xml:space="preserve">2018) </w:t>
      </w:r>
      <w:hyperlink r:id="rId5" w:history="1">
        <w:r w:rsidR="00E92EFC" w:rsidRPr="008D3426">
          <w:rPr>
            <w:rStyle w:val="Hyperlink"/>
            <w:i/>
            <w:iCs/>
          </w:rPr>
          <w:t>Scope of Practice for Registered Counsellors</w:t>
        </w:r>
      </w:hyperlink>
      <w:r w:rsidR="00B86A61">
        <w:t xml:space="preserve">, </w:t>
      </w:r>
      <w:r w:rsidR="00ED2B17">
        <w:t>p 20</w:t>
      </w:r>
      <w:r w:rsidR="001C7194">
        <w:t xml:space="preserve">; Royal Australian &amp; New Zealand College of Psychiatrists (2019) </w:t>
      </w:r>
      <w:hyperlink r:id="rId6" w:history="1">
        <w:r w:rsidR="00DB5295" w:rsidRPr="00313B53">
          <w:rPr>
            <w:rStyle w:val="Hyperlink"/>
            <w:i/>
            <w:iCs/>
          </w:rPr>
          <w:t>Sexual orientation change efforts</w:t>
        </w:r>
        <w:r w:rsidR="00F55848" w:rsidRPr="00313B53">
          <w:rPr>
            <w:rStyle w:val="Hyperlink"/>
            <w:i/>
            <w:iCs/>
          </w:rPr>
          <w:t>: Position Statement 60</w:t>
        </w:r>
      </w:hyperlink>
      <w:r w:rsidR="00DB5295">
        <w:t>.</w:t>
      </w:r>
    </w:p>
  </w:footnote>
  <w:footnote w:id="12">
    <w:p w14:paraId="4399342E" w14:textId="30EA4ABD" w:rsidR="00D87056" w:rsidRPr="009F5A0B" w:rsidRDefault="00D87056">
      <w:pPr>
        <w:pStyle w:val="FootnoteText"/>
        <w:rPr>
          <w:lang w:val="en-GB"/>
        </w:rPr>
      </w:pPr>
      <w:r>
        <w:rPr>
          <w:rStyle w:val="FootnoteReference"/>
        </w:rPr>
        <w:footnoteRef/>
      </w:r>
      <w:r>
        <w:t xml:space="preserve"> </w:t>
      </w:r>
      <w:r w:rsidR="008414FB">
        <w:t>International Covenant on Civil and Political Rights</w:t>
      </w:r>
      <w:r w:rsidR="00F04D83">
        <w:t xml:space="preserve"> (</w:t>
      </w:r>
      <w:r w:rsidR="00F04D83" w:rsidRPr="00DD25CF">
        <w:rPr>
          <w:b/>
          <w:bCs/>
        </w:rPr>
        <w:t>ICCPR</w:t>
      </w:r>
      <w:r w:rsidR="00F04D83">
        <w:t>)</w:t>
      </w:r>
      <w:r w:rsidR="008414FB">
        <w:t xml:space="preserve">, </w:t>
      </w:r>
      <w:r w:rsidR="00470933">
        <w:t>art 18(1)</w:t>
      </w:r>
      <w:r w:rsidR="008E4402">
        <w:t xml:space="preserve">; </w:t>
      </w:r>
      <w:r w:rsidR="00DD25CF">
        <w:t xml:space="preserve">United Nations Human Rights Committee, </w:t>
      </w:r>
      <w:hyperlink r:id="rId7" w:history="1">
        <w:r w:rsidR="008E4402" w:rsidRPr="00A91154">
          <w:rPr>
            <w:rStyle w:val="Hyperlink"/>
            <w:i/>
          </w:rPr>
          <w:t>General Comment No. 22</w:t>
        </w:r>
        <w:r w:rsidR="00693A1F" w:rsidRPr="00A91154">
          <w:rPr>
            <w:rStyle w:val="Hyperlink"/>
            <w:i/>
          </w:rPr>
          <w:t>: The right to freedom of thought, conscience and religion (Art 18): 30/07/93</w:t>
        </w:r>
      </w:hyperlink>
      <w:r w:rsidR="00693A1F">
        <w:rPr>
          <w:i/>
        </w:rPr>
        <w:t xml:space="preserve">, </w:t>
      </w:r>
      <w:r w:rsidR="00693A1F" w:rsidRPr="00705F98">
        <w:t>CCPR/C/21/Rev.1/Add</w:t>
      </w:r>
      <w:r w:rsidR="00705F98" w:rsidRPr="00705F98">
        <w:t>.</w:t>
      </w:r>
      <w:r w:rsidR="00693A1F" w:rsidRPr="00705F98">
        <w:t>4</w:t>
      </w:r>
      <w:r w:rsidR="0044015E">
        <w:t xml:space="preserve"> (</w:t>
      </w:r>
      <w:r w:rsidR="0044015E" w:rsidRPr="0044015E">
        <w:rPr>
          <w:b/>
          <w:bCs/>
        </w:rPr>
        <w:t>General Comment No. 22</w:t>
      </w:r>
      <w:r w:rsidR="0044015E">
        <w:t>)</w:t>
      </w:r>
      <w:r w:rsidR="00705F98">
        <w:rPr>
          <w:i/>
        </w:rPr>
        <w:t xml:space="preserve">, </w:t>
      </w:r>
      <w:r w:rsidR="00705F98">
        <w:t>[3].</w:t>
      </w:r>
    </w:p>
  </w:footnote>
  <w:footnote w:id="13">
    <w:p w14:paraId="4916C133" w14:textId="09DB1DEC" w:rsidR="00D87056" w:rsidRPr="003535F3" w:rsidRDefault="00D87056">
      <w:pPr>
        <w:pStyle w:val="FootnoteText"/>
        <w:rPr>
          <w:lang w:val="en-GB"/>
        </w:rPr>
      </w:pPr>
      <w:r>
        <w:rPr>
          <w:rStyle w:val="FootnoteReference"/>
        </w:rPr>
        <w:footnoteRef/>
      </w:r>
      <w:r>
        <w:t xml:space="preserve"> </w:t>
      </w:r>
      <w:r w:rsidR="00F13DCE" w:rsidRPr="002D37D5">
        <w:rPr>
          <w:lang w:val="en-GB"/>
        </w:rPr>
        <w:t>Preventing Harm, Promoting Justice Report</w:t>
      </w:r>
      <w:r w:rsidR="00F13DCE">
        <w:rPr>
          <w:lang w:val="en-GB"/>
        </w:rPr>
        <w:t>, p 27.</w:t>
      </w:r>
    </w:p>
  </w:footnote>
  <w:footnote w:id="14">
    <w:p w14:paraId="05481609" w14:textId="5E83040F" w:rsidR="00D87056" w:rsidRPr="00401905" w:rsidRDefault="00D87056">
      <w:pPr>
        <w:pStyle w:val="FootnoteText"/>
        <w:rPr>
          <w:lang w:val="en-GB"/>
        </w:rPr>
      </w:pPr>
      <w:r>
        <w:rPr>
          <w:rStyle w:val="FootnoteReference"/>
        </w:rPr>
        <w:footnoteRef/>
      </w:r>
      <w:r>
        <w:t xml:space="preserve"> </w:t>
      </w:r>
      <w:r w:rsidR="00D973B4">
        <w:t xml:space="preserve">See, for example, </w:t>
      </w:r>
      <w:r w:rsidR="003F3DD7">
        <w:rPr>
          <w:i/>
        </w:rPr>
        <w:t xml:space="preserve">The Queen v A2 </w:t>
      </w:r>
      <w:r w:rsidR="00B73D81">
        <w:rPr>
          <w:i/>
        </w:rPr>
        <w:t xml:space="preserve">and </w:t>
      </w:r>
      <w:proofErr w:type="spellStart"/>
      <w:r w:rsidR="00B73D81">
        <w:rPr>
          <w:i/>
        </w:rPr>
        <w:t>ors</w:t>
      </w:r>
      <w:proofErr w:type="spellEnd"/>
      <w:r w:rsidR="00B73D81">
        <w:rPr>
          <w:i/>
        </w:rPr>
        <w:t xml:space="preserve"> </w:t>
      </w:r>
      <w:r w:rsidR="00B73D81">
        <w:t xml:space="preserve">[2019] HCA 35 (case of female </w:t>
      </w:r>
      <w:r w:rsidR="000C7CFB">
        <w:t>genital mutilation offence in NSW);</w:t>
      </w:r>
      <w:r w:rsidR="00D973B4">
        <w:t xml:space="preserve"> Marcus Costello and Elise </w:t>
      </w:r>
      <w:proofErr w:type="spellStart"/>
      <w:r w:rsidR="00D973B4">
        <w:t>Potaka</w:t>
      </w:r>
      <w:proofErr w:type="spellEnd"/>
      <w:r w:rsidR="00D973B4">
        <w:t xml:space="preserve"> (2018) </w:t>
      </w:r>
      <w:hyperlink r:id="rId8" w:history="1">
        <w:r w:rsidR="00D41854" w:rsidRPr="00D41854">
          <w:rPr>
            <w:rStyle w:val="Hyperlink"/>
          </w:rPr>
          <w:t>‘It happens here: Underage forced marriage in suburban Australia’</w:t>
        </w:r>
      </w:hyperlink>
      <w:r w:rsidR="00D41854">
        <w:t xml:space="preserve">, </w:t>
      </w:r>
      <w:r w:rsidR="00D41854" w:rsidRPr="00D41854">
        <w:rPr>
          <w:i/>
        </w:rPr>
        <w:t>The Feed</w:t>
      </w:r>
      <w:r w:rsidR="00D41854">
        <w:t>, 23 February.</w:t>
      </w:r>
    </w:p>
  </w:footnote>
  <w:footnote w:id="15">
    <w:p w14:paraId="76E09DB4" w14:textId="286FA36A" w:rsidR="00D20A75" w:rsidRPr="00D20A75" w:rsidRDefault="00D20A75">
      <w:pPr>
        <w:pStyle w:val="FootnoteText"/>
        <w:rPr>
          <w:lang w:val="en-GB"/>
        </w:rPr>
      </w:pPr>
      <w:r>
        <w:rPr>
          <w:rStyle w:val="FootnoteReference"/>
        </w:rPr>
        <w:footnoteRef/>
      </w:r>
      <w:r>
        <w:t xml:space="preserve"> </w:t>
      </w:r>
      <w:r w:rsidR="002E007C">
        <w:rPr>
          <w:lang w:val="en-GB"/>
        </w:rPr>
        <w:t xml:space="preserve">While the funding should at least be prospective, recognising that </w:t>
      </w:r>
      <w:r w:rsidR="00A61F08">
        <w:rPr>
          <w:lang w:val="en-GB"/>
        </w:rPr>
        <w:t xml:space="preserve">addressing past </w:t>
      </w:r>
      <w:r w:rsidR="002E007C">
        <w:rPr>
          <w:lang w:val="en-GB"/>
        </w:rPr>
        <w:t>harm</w:t>
      </w:r>
      <w:r w:rsidR="00A61F08">
        <w:rPr>
          <w:lang w:val="en-GB"/>
        </w:rPr>
        <w:t xml:space="preserve"> has </w:t>
      </w:r>
      <w:r w:rsidR="00B03915">
        <w:rPr>
          <w:lang w:val="en-GB"/>
        </w:rPr>
        <w:t xml:space="preserve">inflicted a financial burden on </w:t>
      </w:r>
      <w:r w:rsidR="00A61F08">
        <w:rPr>
          <w:lang w:val="en-GB"/>
        </w:rPr>
        <w:t xml:space="preserve">survivors to date, </w:t>
      </w:r>
      <w:r w:rsidR="00131706">
        <w:rPr>
          <w:lang w:val="en-GB"/>
        </w:rPr>
        <w:t>the Government should consider extending the scheme to allow some reimbursement for past psychological services which have already been procured for the purposes of recovery.</w:t>
      </w:r>
      <w:r w:rsidR="00B03915">
        <w:rPr>
          <w:lang w:val="en-GB"/>
        </w:rPr>
        <w:t xml:space="preserve"> </w:t>
      </w:r>
    </w:p>
  </w:footnote>
  <w:footnote w:id="16">
    <w:p w14:paraId="6953C036" w14:textId="066E1A38" w:rsidR="006219C9" w:rsidRPr="006219C9" w:rsidRDefault="006219C9">
      <w:pPr>
        <w:pStyle w:val="FootnoteText"/>
        <w:rPr>
          <w:lang w:val="en-GB"/>
        </w:rPr>
      </w:pPr>
      <w:r>
        <w:rPr>
          <w:rStyle w:val="FootnoteReference"/>
        </w:rPr>
        <w:footnoteRef/>
      </w:r>
      <w:r>
        <w:t xml:space="preserve"> </w:t>
      </w:r>
      <w:r>
        <w:rPr>
          <w:lang w:val="en-GB"/>
        </w:rPr>
        <w:t xml:space="preserve">When this submission using the term ‘welfare’ service settings, it means broadly government provided or funded services, such as human services, </w:t>
      </w:r>
      <w:r w:rsidR="004960F7">
        <w:rPr>
          <w:lang w:val="en-GB"/>
        </w:rPr>
        <w:t xml:space="preserve">disability </w:t>
      </w:r>
      <w:r w:rsidR="006033A8">
        <w:rPr>
          <w:lang w:val="en-GB"/>
        </w:rPr>
        <w:t xml:space="preserve">care </w:t>
      </w:r>
      <w:r w:rsidR="004960F7">
        <w:rPr>
          <w:lang w:val="en-GB"/>
        </w:rPr>
        <w:t>services, aged care services, and child welfare and protection services including adoption and fostering services.</w:t>
      </w:r>
    </w:p>
  </w:footnote>
  <w:footnote w:id="17">
    <w:p w14:paraId="40169846" w14:textId="7AF3F50E" w:rsidR="00D87056" w:rsidRDefault="00D87056">
      <w:pPr>
        <w:pStyle w:val="FootnoteText"/>
      </w:pPr>
      <w:r>
        <w:rPr>
          <w:rStyle w:val="FootnoteReference"/>
        </w:rPr>
        <w:footnoteRef/>
      </w:r>
      <w:r>
        <w:t xml:space="preserve"> </w:t>
      </w:r>
      <w:r w:rsidR="00DD25CF">
        <w:t>ICCPR, art 1</w:t>
      </w:r>
      <w:r w:rsidR="0044015E">
        <w:t>8</w:t>
      </w:r>
      <w:r w:rsidR="00DD25CF">
        <w:t xml:space="preserve">(3); </w:t>
      </w:r>
      <w:r w:rsidR="0044015E" w:rsidRPr="0044015E">
        <w:t>General Comment No. 22, [8].</w:t>
      </w:r>
    </w:p>
  </w:footnote>
  <w:footnote w:id="18">
    <w:p w14:paraId="28D2C897" w14:textId="5D2FE972" w:rsidR="00B179E9" w:rsidRPr="00B179E9" w:rsidRDefault="00B179E9">
      <w:pPr>
        <w:pStyle w:val="FootnoteText"/>
        <w:rPr>
          <w:lang w:val="en-GB"/>
        </w:rPr>
      </w:pPr>
      <w:r>
        <w:rPr>
          <w:rStyle w:val="FootnoteReference"/>
        </w:rPr>
        <w:footnoteRef/>
      </w:r>
      <w:r>
        <w:t xml:space="preserve"> </w:t>
      </w:r>
      <w:r w:rsidR="00CE46B2">
        <w:rPr>
          <w:lang w:val="en-GB"/>
        </w:rPr>
        <w:t>Some survivors have specifically commented to us that behavioural change</w:t>
      </w:r>
      <w:r w:rsidR="004D1ACB">
        <w:rPr>
          <w:lang w:val="en-GB"/>
        </w:rPr>
        <w:t xml:space="preserve">, such as abstinence or celibacy, </w:t>
      </w:r>
      <w:r w:rsidR="00786A65">
        <w:rPr>
          <w:lang w:val="en-GB"/>
        </w:rPr>
        <w:t>has</w:t>
      </w:r>
      <w:r w:rsidR="004D1ACB">
        <w:rPr>
          <w:lang w:val="en-GB"/>
        </w:rPr>
        <w:t xml:space="preserve"> been </w:t>
      </w:r>
      <w:r w:rsidR="00CE46B2">
        <w:rPr>
          <w:lang w:val="en-GB"/>
        </w:rPr>
        <w:t xml:space="preserve">held up in </w:t>
      </w:r>
      <w:r w:rsidR="004D1ACB">
        <w:rPr>
          <w:lang w:val="en-GB"/>
        </w:rPr>
        <w:t>ex-gay/ex-trans programs in the past</w:t>
      </w:r>
      <w:r w:rsidR="00CE46B2">
        <w:rPr>
          <w:lang w:val="en-GB"/>
        </w:rPr>
        <w:t xml:space="preserve"> as evidence </w:t>
      </w:r>
      <w:r w:rsidR="004D1ACB">
        <w:rPr>
          <w:lang w:val="en-GB"/>
        </w:rPr>
        <w:t xml:space="preserve">of success.  </w:t>
      </w:r>
      <w:r w:rsidR="00786A65">
        <w:rPr>
          <w:lang w:val="en-GB"/>
        </w:rPr>
        <w:t xml:space="preserve">This shows the importance of a definition </w:t>
      </w:r>
      <w:r w:rsidR="007C2E52">
        <w:rPr>
          <w:lang w:val="en-GB"/>
        </w:rPr>
        <w:t xml:space="preserve">of SOGI conversion practices </w:t>
      </w:r>
      <w:r w:rsidR="00786A65">
        <w:rPr>
          <w:lang w:val="en-GB"/>
        </w:rPr>
        <w:t xml:space="preserve">which looks </w:t>
      </w:r>
      <w:r w:rsidR="007C2E52">
        <w:rPr>
          <w:lang w:val="en-GB"/>
        </w:rPr>
        <w:t>to</w:t>
      </w:r>
      <w:r w:rsidR="00786A65">
        <w:rPr>
          <w:lang w:val="en-GB"/>
        </w:rPr>
        <w:t xml:space="preserve"> the purpose for the practice</w:t>
      </w:r>
      <w:r w:rsidR="007C2E52">
        <w:rPr>
          <w:lang w:val="en-GB"/>
        </w:rPr>
        <w:t>, namely to seek to change, suppress or eliminate the identity or attraction</w:t>
      </w:r>
      <w:r w:rsidR="00786A65">
        <w:rPr>
          <w:lang w:val="en-GB"/>
        </w:rPr>
        <w:t xml:space="preserve">.  </w:t>
      </w:r>
    </w:p>
  </w:footnote>
  <w:footnote w:id="19">
    <w:p w14:paraId="3B159952" w14:textId="065EDD7F" w:rsidR="00D87056" w:rsidRPr="002F1260" w:rsidRDefault="00D87056">
      <w:pPr>
        <w:pStyle w:val="FootnoteText"/>
        <w:rPr>
          <w:lang w:val="en-GB"/>
        </w:rPr>
      </w:pPr>
      <w:r>
        <w:rPr>
          <w:rStyle w:val="FootnoteReference"/>
        </w:rPr>
        <w:footnoteRef/>
      </w:r>
      <w:r>
        <w:t xml:space="preserve"> ‘Relevant person’ will need a separate definition broadly </w:t>
      </w:r>
      <w:r w:rsidR="009A66C0">
        <w:t xml:space="preserve">as suggested in </w:t>
      </w:r>
      <w:r w:rsidR="009A66C0" w:rsidRPr="009A66C0">
        <w:rPr>
          <w:i/>
          <w:iCs/>
        </w:rPr>
        <w:fldChar w:fldCharType="begin"/>
      </w:r>
      <w:r w:rsidR="009A66C0" w:rsidRPr="009A66C0">
        <w:rPr>
          <w:i/>
          <w:iCs/>
        </w:rPr>
        <w:instrText xml:space="preserve"> REF _Ref27420252 \n \h </w:instrText>
      </w:r>
      <w:r w:rsidR="009A66C0">
        <w:rPr>
          <w:i/>
          <w:iCs/>
        </w:rPr>
        <w:instrText xml:space="preserve"> \* MERGEFORMAT </w:instrText>
      </w:r>
      <w:r w:rsidR="009A66C0" w:rsidRPr="009A66C0">
        <w:rPr>
          <w:i/>
          <w:iCs/>
        </w:rPr>
      </w:r>
      <w:r w:rsidR="009A66C0" w:rsidRPr="009A66C0">
        <w:rPr>
          <w:i/>
          <w:iCs/>
        </w:rPr>
        <w:fldChar w:fldCharType="separate"/>
      </w:r>
      <w:r w:rsidR="00A725C8">
        <w:rPr>
          <w:i/>
          <w:iCs/>
        </w:rPr>
        <w:t>3</w:t>
      </w:r>
      <w:r w:rsidR="009A66C0" w:rsidRPr="009A66C0">
        <w:rPr>
          <w:i/>
          <w:iCs/>
        </w:rPr>
        <w:fldChar w:fldCharType="end"/>
      </w:r>
      <w:r w:rsidR="009A66C0">
        <w:rPr>
          <w:i/>
          <w:iCs/>
        </w:rPr>
        <w:t>.</w:t>
      </w:r>
      <w:r w:rsidR="009A66C0" w:rsidRPr="009A66C0">
        <w:rPr>
          <w:i/>
          <w:iCs/>
        </w:rPr>
        <w:t xml:space="preserve"> </w:t>
      </w:r>
      <w:r w:rsidR="009A66C0" w:rsidRPr="009A66C0">
        <w:rPr>
          <w:i/>
          <w:iCs/>
        </w:rPr>
        <w:fldChar w:fldCharType="begin"/>
      </w:r>
      <w:r w:rsidR="009A66C0" w:rsidRPr="009A66C0">
        <w:rPr>
          <w:i/>
          <w:iCs/>
        </w:rPr>
        <w:instrText xml:space="preserve"> REF _Ref27420256 \h </w:instrText>
      </w:r>
      <w:r w:rsidR="009A66C0">
        <w:rPr>
          <w:i/>
          <w:iCs/>
        </w:rPr>
        <w:instrText xml:space="preserve"> \* MERGEFORMAT </w:instrText>
      </w:r>
      <w:r w:rsidR="009A66C0" w:rsidRPr="009A66C0">
        <w:rPr>
          <w:i/>
          <w:iCs/>
        </w:rPr>
      </w:r>
      <w:r w:rsidR="009A66C0" w:rsidRPr="009A66C0">
        <w:rPr>
          <w:i/>
          <w:iCs/>
        </w:rPr>
        <w:fldChar w:fldCharType="separate"/>
      </w:r>
      <w:r w:rsidR="00A725C8" w:rsidRPr="00A725C8">
        <w:rPr>
          <w:i/>
          <w:iCs/>
        </w:rPr>
        <w:t>Who is regulated?</w:t>
      </w:r>
      <w:r w:rsidR="009A66C0" w:rsidRPr="009A66C0">
        <w:rPr>
          <w:i/>
          <w:iCs/>
        </w:rPr>
        <w:fldChar w:fldCharType="end"/>
      </w:r>
      <w:r w:rsidR="009A66C0">
        <w:t xml:space="preserve"> below and should </w:t>
      </w:r>
      <w:r>
        <w:t>include health professionals, counsellors, teachers and pastoral workers working in education settings.</w:t>
      </w:r>
    </w:p>
  </w:footnote>
  <w:footnote w:id="20">
    <w:p w14:paraId="41800ECA" w14:textId="78E5BA93" w:rsidR="00D87056" w:rsidRPr="000556FE" w:rsidRDefault="00D87056">
      <w:pPr>
        <w:pStyle w:val="FootnoteText"/>
      </w:pPr>
      <w:r>
        <w:rPr>
          <w:rStyle w:val="FootnoteReference"/>
        </w:rPr>
        <w:footnoteRef/>
      </w:r>
      <w:r>
        <w:t xml:space="preserve"> ‘Health, education and </w:t>
      </w:r>
      <w:r w:rsidR="00142978">
        <w:t>welfare</w:t>
      </w:r>
      <w:r>
        <w:t xml:space="preserve"> service’ should be defined to include health services</w:t>
      </w:r>
      <w:r w:rsidR="008B0D5B">
        <w:t>,</w:t>
      </w:r>
      <w:r>
        <w:t xml:space="preserve"> teaching, counselling or care provided in an education setting, or any </w:t>
      </w:r>
      <w:r w:rsidR="00FC1A41">
        <w:t xml:space="preserve">welfare </w:t>
      </w:r>
      <w:r>
        <w:t>service provided using public funding</w:t>
      </w:r>
      <w:r w:rsidR="00FC1A41">
        <w:t xml:space="preserve"> or which is publicly regulated (such as foster care or adoption services)</w:t>
      </w:r>
      <w:r>
        <w:t>.</w:t>
      </w:r>
    </w:p>
  </w:footnote>
  <w:footnote w:id="21">
    <w:p w14:paraId="0F1B6175" w14:textId="48478BE0" w:rsidR="00F83FFA" w:rsidRPr="00BC06C6" w:rsidRDefault="00F83FFA">
      <w:pPr>
        <w:pStyle w:val="FootnoteText"/>
      </w:pPr>
      <w:r>
        <w:rPr>
          <w:rStyle w:val="FootnoteReference"/>
        </w:rPr>
        <w:footnoteRef/>
      </w:r>
      <w:r>
        <w:t xml:space="preserve"> Drawing on the language in s 45 of the </w:t>
      </w:r>
      <w:r>
        <w:rPr>
          <w:i/>
          <w:iCs/>
        </w:rPr>
        <w:t xml:space="preserve">Assisted </w:t>
      </w:r>
      <w:r w:rsidR="00BC06C6">
        <w:rPr>
          <w:i/>
          <w:iCs/>
        </w:rPr>
        <w:t xml:space="preserve">Reproductive Treatment Act 2008 </w:t>
      </w:r>
      <w:r w:rsidR="00BC06C6">
        <w:t>(Vic).</w:t>
      </w:r>
    </w:p>
  </w:footnote>
  <w:footnote w:id="22">
    <w:p w14:paraId="4773F088" w14:textId="77777777" w:rsidR="00B0752F" w:rsidRDefault="00B0752F" w:rsidP="00B0752F">
      <w:pPr>
        <w:pStyle w:val="FootnoteText"/>
      </w:pPr>
      <w:r>
        <w:rPr>
          <w:rStyle w:val="FootnoteReference"/>
        </w:rPr>
        <w:footnoteRef/>
      </w:r>
      <w:r>
        <w:t xml:space="preserve"> Modelled on section 18 of the Australian Consumer Law, and similar provisions.</w:t>
      </w:r>
    </w:p>
  </w:footnote>
  <w:footnote w:id="23">
    <w:p w14:paraId="234681CB" w14:textId="4EF07D76" w:rsidR="002D5BA2" w:rsidRDefault="002D5BA2">
      <w:pPr>
        <w:pStyle w:val="FootnoteText"/>
      </w:pPr>
      <w:r>
        <w:rPr>
          <w:rStyle w:val="FootnoteReference"/>
        </w:rPr>
        <w:footnoteRef/>
      </w:r>
      <w:r>
        <w:t xml:space="preserve"> </w:t>
      </w:r>
      <w:r w:rsidR="00A87018">
        <w:t xml:space="preserve">See </w:t>
      </w:r>
      <w:r w:rsidR="00123AA9">
        <w:t xml:space="preserve">Preventing Harm, Promoting Justice Report, p </w:t>
      </w:r>
      <w:r w:rsidR="00A87018">
        <w:t>53-57.</w:t>
      </w:r>
    </w:p>
  </w:footnote>
  <w:footnote w:id="24">
    <w:p w14:paraId="012320AB" w14:textId="00AAF00A" w:rsidR="00AA5F25" w:rsidRDefault="00AA5F25">
      <w:pPr>
        <w:pStyle w:val="FootnoteText"/>
      </w:pPr>
      <w:r>
        <w:rPr>
          <w:rStyle w:val="FootnoteReference"/>
        </w:rPr>
        <w:footnoteRef/>
      </w:r>
      <w:r>
        <w:t xml:space="preserve"> </w:t>
      </w:r>
      <w:hyperlink r:id="rId9" w:history="1">
        <w:r w:rsidR="00B10154" w:rsidRPr="00651CFC">
          <w:rPr>
            <w:rStyle w:val="Hyperlink"/>
            <w:i/>
            <w:iCs/>
          </w:rPr>
          <w:t>Craddock, Dr Mark Christopher</w:t>
        </w:r>
      </w:hyperlink>
      <w:r w:rsidR="00B10154" w:rsidRPr="00B10154">
        <w:t xml:space="preserve"> [2012] NSWMPSC 8 (23 August 2012)</w:t>
      </w:r>
      <w:r w:rsidR="00B10154">
        <w:t>.</w:t>
      </w:r>
    </w:p>
  </w:footnote>
  <w:footnote w:id="25">
    <w:p w14:paraId="723A8566" w14:textId="06994BEA" w:rsidR="00D87056" w:rsidRDefault="00D87056">
      <w:pPr>
        <w:pStyle w:val="FootnoteText"/>
      </w:pPr>
      <w:r>
        <w:rPr>
          <w:rStyle w:val="FootnoteReference"/>
        </w:rPr>
        <w:footnoteRef/>
      </w:r>
      <w:r>
        <w:t xml:space="preserve"> </w:t>
      </w:r>
      <w:r w:rsidR="00035685">
        <w:t xml:space="preserve">Such as </w:t>
      </w:r>
      <w:r w:rsidR="0006525A">
        <w:t xml:space="preserve">s 45 of the </w:t>
      </w:r>
      <w:r w:rsidR="0006525A">
        <w:rPr>
          <w:i/>
          <w:iCs/>
        </w:rPr>
        <w:t xml:space="preserve">Assisted Reproductive Treatment Act 2008 </w:t>
      </w:r>
      <w:r w:rsidR="0006525A">
        <w:t xml:space="preserve">(Vic); </w:t>
      </w:r>
      <w:r w:rsidR="00254D7C">
        <w:t xml:space="preserve">Part 5-2 </w:t>
      </w:r>
      <w:r w:rsidR="00A74D3D">
        <w:t>of the Australian Consumer Law</w:t>
      </w:r>
      <w:r w:rsidR="00254D7C">
        <w:t>.</w:t>
      </w:r>
    </w:p>
  </w:footnote>
  <w:footnote w:id="26">
    <w:p w14:paraId="41495BAE" w14:textId="24283DD4" w:rsidR="00D87056" w:rsidRDefault="00D87056">
      <w:pPr>
        <w:pStyle w:val="FootnoteText"/>
      </w:pPr>
      <w:r>
        <w:rPr>
          <w:rStyle w:val="FootnoteReference"/>
        </w:rPr>
        <w:footnoteRef/>
      </w:r>
      <w:r>
        <w:t xml:space="preserve"> </w:t>
      </w:r>
      <w:r w:rsidR="00993283">
        <w:t>Australian Consumer Law, s 18.</w:t>
      </w:r>
    </w:p>
  </w:footnote>
  <w:footnote w:id="27">
    <w:p w14:paraId="41C87C06" w14:textId="736EC237" w:rsidR="00D87056" w:rsidRDefault="00D87056">
      <w:pPr>
        <w:pStyle w:val="FootnoteText"/>
      </w:pPr>
      <w:r>
        <w:rPr>
          <w:rStyle w:val="FootnoteReference"/>
        </w:rPr>
        <w:footnoteRef/>
      </w:r>
      <w:r>
        <w:t xml:space="preserve"> </w:t>
      </w:r>
      <w:r w:rsidR="00993283">
        <w:rPr>
          <w:i/>
          <w:iCs/>
        </w:rPr>
        <w:t xml:space="preserve">Assisted Reproductive Treatment Act 2008 </w:t>
      </w:r>
      <w:r w:rsidR="00993283">
        <w:t xml:space="preserve">(Vic), s 45; </w:t>
      </w:r>
    </w:p>
  </w:footnote>
  <w:footnote w:id="28">
    <w:p w14:paraId="7F2B4302" w14:textId="34E2AB9A" w:rsidR="002B2A12" w:rsidRPr="00366EDB" w:rsidRDefault="002B2A12">
      <w:pPr>
        <w:pStyle w:val="FootnoteText"/>
        <w:rPr>
          <w:lang w:val="en-GB"/>
        </w:rPr>
      </w:pPr>
      <w:r>
        <w:rPr>
          <w:rStyle w:val="FootnoteReference"/>
        </w:rPr>
        <w:footnoteRef/>
      </w:r>
      <w:r>
        <w:t xml:space="preserve"> </w:t>
      </w:r>
      <w:r>
        <w:rPr>
          <w:lang w:val="en-GB"/>
        </w:rPr>
        <w:t>ICCPR, art 18(3).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5ACB48" w14:textId="021917D1" w:rsidR="00D87056" w:rsidRDefault="00D87056">
    <w:pPr>
      <w:pStyle w:val="Header"/>
    </w:pPr>
    <w:r>
      <w:rPr>
        <w:noProof/>
      </w:rPr>
      <w:drawing>
        <wp:anchor distT="0" distB="0" distL="114300" distR="114300" simplePos="0" relativeHeight="251658240" behindDoc="1" locked="0" layoutInCell="1" allowOverlap="1" wp14:anchorId="2EC48F6F" wp14:editId="45BF613A">
          <wp:simplePos x="0" y="0"/>
          <wp:positionH relativeFrom="column">
            <wp:posOffset>-1250950</wp:posOffset>
          </wp:positionH>
          <wp:positionV relativeFrom="paragraph">
            <wp:posOffset>-1130935</wp:posOffset>
          </wp:positionV>
          <wp:extent cx="7562850" cy="11344699"/>
          <wp:effectExtent l="57150" t="0" r="57150" b="12382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ang-xi-490251-unsplash_bw_t.jpg"/>
                  <pic:cNvPicPr/>
                </pic:nvPicPr>
                <pic:blipFill>
                  <a:blip r:embed="rId1">
                    <a:duotone>
                      <a:schemeClr val="accent2">
                        <a:shade val="45000"/>
                        <a:satMod val="135000"/>
                      </a:schemeClr>
                      <a:prstClr val="white"/>
                    </a:duotone>
                    <a:extLst>
                      <a:ext uri="{BEBA8EAE-BF5A-486C-A8C5-ECC9F3942E4B}">
                        <a14:imgProps xmlns:a14="http://schemas.microsoft.com/office/drawing/2010/main">
                          <a14:imgLayer r:embed="rId2">
                            <a14:imgEffect>
                              <a14:colorTemperature colorTemp="7200"/>
                            </a14:imgEffect>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7562850" cy="11344699"/>
                  </a:xfrm>
                  <a:prstGeom prst="rect">
                    <a:avLst/>
                  </a:prstGeom>
                  <a:effectLst>
                    <a:outerShdw blurRad="50800" dist="50800" dir="5400000" algn="ctr" rotWithShape="0">
                      <a:schemeClr val="bg1"/>
                    </a:outerShdw>
                  </a:effectLst>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28E275" w14:textId="5732C4D7" w:rsidR="00C065AA" w:rsidRDefault="00C065A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02DA8C" w14:textId="3A9AA4ED" w:rsidR="00D87056" w:rsidRPr="00025081" w:rsidRDefault="00D87056" w:rsidP="0002508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591D76" w14:textId="17B35E3B" w:rsidR="00C065AA" w:rsidRDefault="00C065A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AC1AFD2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C74413F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58A0E1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0325D9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4254F19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D32F66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FDA41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96CEF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0E2E408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FAA2F4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114474"/>
    <w:multiLevelType w:val="hybridMultilevel"/>
    <w:tmpl w:val="AB9AAA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B4339D3"/>
    <w:multiLevelType w:val="hybridMultilevel"/>
    <w:tmpl w:val="1402EB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9423163"/>
    <w:multiLevelType w:val="hybridMultilevel"/>
    <w:tmpl w:val="A058EC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26B1D61"/>
    <w:multiLevelType w:val="hybridMultilevel"/>
    <w:tmpl w:val="8D92A86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2E844748"/>
    <w:multiLevelType w:val="hybridMultilevel"/>
    <w:tmpl w:val="486846B2"/>
    <w:lvl w:ilvl="0" w:tplc="EE5CBFB0">
      <w:start w:val="1"/>
      <w:numFmt w:val="bullet"/>
      <w:pStyle w:val="Bullet"/>
      <w:lvlText w:val=""/>
      <w:lvlJc w:val="left"/>
      <w:pPr>
        <w:ind w:left="1460" w:hanging="360"/>
      </w:pPr>
      <w:rPr>
        <w:rFonts w:ascii="Symbol" w:hAnsi="Symbol" w:hint="default"/>
        <w:sz w:val="16"/>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2DA12F5"/>
    <w:multiLevelType w:val="hybridMultilevel"/>
    <w:tmpl w:val="DB9A4B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B295083"/>
    <w:multiLevelType w:val="hybridMultilevel"/>
    <w:tmpl w:val="F7F885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F852403"/>
    <w:multiLevelType w:val="multilevel"/>
    <w:tmpl w:val="ECAAE00C"/>
    <w:lvl w:ilvl="0">
      <w:start w:val="1"/>
      <w:numFmt w:val="decimal"/>
      <w:pStyle w:val="Heading1"/>
      <w:lvlText w:val="%1."/>
      <w:lvlJc w:val="left"/>
      <w:pPr>
        <w:tabs>
          <w:tab w:val="num" w:pos="567"/>
        </w:tabs>
        <w:ind w:left="567" w:hanging="567"/>
      </w:pPr>
      <w:rPr>
        <w:rFonts w:hint="default"/>
      </w:rPr>
    </w:lvl>
    <w:lvl w:ilvl="1">
      <w:start w:val="1"/>
      <w:numFmt w:val="lowerLetter"/>
      <w:pStyle w:val="Heading2"/>
      <w:lvlText w:val="(%2)"/>
      <w:lvlJc w:val="left"/>
      <w:pPr>
        <w:tabs>
          <w:tab w:val="num" w:pos="1100"/>
        </w:tabs>
        <w:ind w:left="1100" w:hanging="533"/>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7F187ED7"/>
    <w:multiLevelType w:val="hybridMultilevel"/>
    <w:tmpl w:val="8FC648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7"/>
  </w:num>
  <w:num w:numId="12">
    <w:abstractNumId w:val="14"/>
  </w:num>
  <w:num w:numId="13">
    <w:abstractNumId w:val="13"/>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num>
  <w:num w:numId="16">
    <w:abstractNumId w:val="18"/>
  </w:num>
  <w:num w:numId="17">
    <w:abstractNumId w:val="16"/>
  </w:num>
  <w:num w:numId="18">
    <w:abstractNumId w:val="12"/>
  </w:num>
  <w:num w:numId="19">
    <w:abstractNumId w:val="10"/>
  </w:num>
  <w:num w:numId="20">
    <w:abstractNumId w:val="11"/>
  </w:num>
  <w:num w:numId="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0"/>
  <w:embedTrueTypeFonts/>
  <w:saveSubsetFonts/>
  <w:proofState w:spelling="clean" w:grammar="clean"/>
  <w:attachedTemplate r:id="rId1"/>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stylePaneSortMethod w:val="0000"/>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4C7F"/>
    <w:rsid w:val="00005243"/>
    <w:rsid w:val="00006749"/>
    <w:rsid w:val="00007C56"/>
    <w:rsid w:val="000131FA"/>
    <w:rsid w:val="0001481E"/>
    <w:rsid w:val="00023B30"/>
    <w:rsid w:val="00024AEE"/>
    <w:rsid w:val="00025081"/>
    <w:rsid w:val="00026D7F"/>
    <w:rsid w:val="0003027A"/>
    <w:rsid w:val="00030524"/>
    <w:rsid w:val="00031DE9"/>
    <w:rsid w:val="00032797"/>
    <w:rsid w:val="00032F63"/>
    <w:rsid w:val="00033143"/>
    <w:rsid w:val="000348BF"/>
    <w:rsid w:val="000348D5"/>
    <w:rsid w:val="00034E9B"/>
    <w:rsid w:val="00035685"/>
    <w:rsid w:val="00041D37"/>
    <w:rsid w:val="00042940"/>
    <w:rsid w:val="0004354A"/>
    <w:rsid w:val="000441B9"/>
    <w:rsid w:val="0004640A"/>
    <w:rsid w:val="00046F5E"/>
    <w:rsid w:val="000507D2"/>
    <w:rsid w:val="00052E08"/>
    <w:rsid w:val="00052E2C"/>
    <w:rsid w:val="000556FE"/>
    <w:rsid w:val="000565E2"/>
    <w:rsid w:val="00056C30"/>
    <w:rsid w:val="00062CE4"/>
    <w:rsid w:val="00062FA6"/>
    <w:rsid w:val="0006525A"/>
    <w:rsid w:val="00074AAE"/>
    <w:rsid w:val="000754E9"/>
    <w:rsid w:val="00076F93"/>
    <w:rsid w:val="00077763"/>
    <w:rsid w:val="00082352"/>
    <w:rsid w:val="00083947"/>
    <w:rsid w:val="0008517A"/>
    <w:rsid w:val="0008630B"/>
    <w:rsid w:val="00090B4C"/>
    <w:rsid w:val="000925C7"/>
    <w:rsid w:val="0009290B"/>
    <w:rsid w:val="0009297A"/>
    <w:rsid w:val="00094C79"/>
    <w:rsid w:val="000951A3"/>
    <w:rsid w:val="00096E8D"/>
    <w:rsid w:val="00097CA9"/>
    <w:rsid w:val="000A2F2F"/>
    <w:rsid w:val="000A378C"/>
    <w:rsid w:val="000A3A1D"/>
    <w:rsid w:val="000A4B9E"/>
    <w:rsid w:val="000A4C2A"/>
    <w:rsid w:val="000A5E7C"/>
    <w:rsid w:val="000A78E3"/>
    <w:rsid w:val="000A799B"/>
    <w:rsid w:val="000B42FD"/>
    <w:rsid w:val="000B445C"/>
    <w:rsid w:val="000B4739"/>
    <w:rsid w:val="000B48BB"/>
    <w:rsid w:val="000B49A5"/>
    <w:rsid w:val="000B5890"/>
    <w:rsid w:val="000B5FA0"/>
    <w:rsid w:val="000B66C9"/>
    <w:rsid w:val="000B7CE6"/>
    <w:rsid w:val="000C1107"/>
    <w:rsid w:val="000C43F7"/>
    <w:rsid w:val="000C4635"/>
    <w:rsid w:val="000C4CA5"/>
    <w:rsid w:val="000C7CFB"/>
    <w:rsid w:val="000C7D39"/>
    <w:rsid w:val="000D03CF"/>
    <w:rsid w:val="000D15EC"/>
    <w:rsid w:val="000D3E6E"/>
    <w:rsid w:val="000D7984"/>
    <w:rsid w:val="000E0868"/>
    <w:rsid w:val="000E0D7E"/>
    <w:rsid w:val="000E14E7"/>
    <w:rsid w:val="000E208F"/>
    <w:rsid w:val="000E2D92"/>
    <w:rsid w:val="000E37DB"/>
    <w:rsid w:val="000E3857"/>
    <w:rsid w:val="000E728F"/>
    <w:rsid w:val="000F09BC"/>
    <w:rsid w:val="000F0F03"/>
    <w:rsid w:val="000F1A63"/>
    <w:rsid w:val="000F2E6D"/>
    <w:rsid w:val="000F34FE"/>
    <w:rsid w:val="000F4DD7"/>
    <w:rsid w:val="000F6770"/>
    <w:rsid w:val="000F6FD6"/>
    <w:rsid w:val="00100ACF"/>
    <w:rsid w:val="0010690D"/>
    <w:rsid w:val="00110CBF"/>
    <w:rsid w:val="00111422"/>
    <w:rsid w:val="001129EA"/>
    <w:rsid w:val="0011709D"/>
    <w:rsid w:val="0011785E"/>
    <w:rsid w:val="001179D6"/>
    <w:rsid w:val="00120C55"/>
    <w:rsid w:val="001212EC"/>
    <w:rsid w:val="001216E4"/>
    <w:rsid w:val="00123670"/>
    <w:rsid w:val="00123AA9"/>
    <w:rsid w:val="00124029"/>
    <w:rsid w:val="00126C10"/>
    <w:rsid w:val="00126D92"/>
    <w:rsid w:val="00127C3A"/>
    <w:rsid w:val="00130BF0"/>
    <w:rsid w:val="001310BB"/>
    <w:rsid w:val="0013157E"/>
    <w:rsid w:val="00131706"/>
    <w:rsid w:val="0013495C"/>
    <w:rsid w:val="00134E3A"/>
    <w:rsid w:val="00135F79"/>
    <w:rsid w:val="001379A3"/>
    <w:rsid w:val="00140528"/>
    <w:rsid w:val="00140DC0"/>
    <w:rsid w:val="00141617"/>
    <w:rsid w:val="0014165B"/>
    <w:rsid w:val="00141EEB"/>
    <w:rsid w:val="001423C2"/>
    <w:rsid w:val="00142978"/>
    <w:rsid w:val="00143FC3"/>
    <w:rsid w:val="00145BDE"/>
    <w:rsid w:val="001470F4"/>
    <w:rsid w:val="0015325B"/>
    <w:rsid w:val="00155143"/>
    <w:rsid w:val="0015797F"/>
    <w:rsid w:val="00161605"/>
    <w:rsid w:val="001623A5"/>
    <w:rsid w:val="00171193"/>
    <w:rsid w:val="001729E5"/>
    <w:rsid w:val="001737A6"/>
    <w:rsid w:val="00175778"/>
    <w:rsid w:val="00180511"/>
    <w:rsid w:val="001808A0"/>
    <w:rsid w:val="001823C5"/>
    <w:rsid w:val="00182D4E"/>
    <w:rsid w:val="0018466C"/>
    <w:rsid w:val="0018646A"/>
    <w:rsid w:val="0019093B"/>
    <w:rsid w:val="0019204A"/>
    <w:rsid w:val="00192475"/>
    <w:rsid w:val="00193217"/>
    <w:rsid w:val="00193325"/>
    <w:rsid w:val="0019396A"/>
    <w:rsid w:val="00193F59"/>
    <w:rsid w:val="0019434C"/>
    <w:rsid w:val="00195B44"/>
    <w:rsid w:val="001A0347"/>
    <w:rsid w:val="001A262B"/>
    <w:rsid w:val="001A5507"/>
    <w:rsid w:val="001A6E9F"/>
    <w:rsid w:val="001B1A2B"/>
    <w:rsid w:val="001B442F"/>
    <w:rsid w:val="001B65EB"/>
    <w:rsid w:val="001C46A7"/>
    <w:rsid w:val="001C475A"/>
    <w:rsid w:val="001C5C03"/>
    <w:rsid w:val="001C7194"/>
    <w:rsid w:val="001C7367"/>
    <w:rsid w:val="001D227D"/>
    <w:rsid w:val="001D39C3"/>
    <w:rsid w:val="001D66C4"/>
    <w:rsid w:val="001D7906"/>
    <w:rsid w:val="001E2C9E"/>
    <w:rsid w:val="001E388C"/>
    <w:rsid w:val="001E3A49"/>
    <w:rsid w:val="001E5210"/>
    <w:rsid w:val="001E64F0"/>
    <w:rsid w:val="001F048A"/>
    <w:rsid w:val="001F0D33"/>
    <w:rsid w:val="001F2F73"/>
    <w:rsid w:val="001F38B7"/>
    <w:rsid w:val="001F5D2B"/>
    <w:rsid w:val="001F7019"/>
    <w:rsid w:val="001F71E9"/>
    <w:rsid w:val="001F7378"/>
    <w:rsid w:val="002003B4"/>
    <w:rsid w:val="00201A29"/>
    <w:rsid w:val="00202A51"/>
    <w:rsid w:val="00203F83"/>
    <w:rsid w:val="002056A4"/>
    <w:rsid w:val="00205DEB"/>
    <w:rsid w:val="00207CAC"/>
    <w:rsid w:val="0021030E"/>
    <w:rsid w:val="0021038A"/>
    <w:rsid w:val="002110FC"/>
    <w:rsid w:val="00212803"/>
    <w:rsid w:val="0021298F"/>
    <w:rsid w:val="002139C5"/>
    <w:rsid w:val="00214926"/>
    <w:rsid w:val="00214C49"/>
    <w:rsid w:val="00215A75"/>
    <w:rsid w:val="00215C5E"/>
    <w:rsid w:val="00215F28"/>
    <w:rsid w:val="00217C60"/>
    <w:rsid w:val="00220124"/>
    <w:rsid w:val="0022022A"/>
    <w:rsid w:val="002226F8"/>
    <w:rsid w:val="00222F9B"/>
    <w:rsid w:val="002232B0"/>
    <w:rsid w:val="00223F49"/>
    <w:rsid w:val="002261C1"/>
    <w:rsid w:val="00226A8D"/>
    <w:rsid w:val="00231CD6"/>
    <w:rsid w:val="00232C3A"/>
    <w:rsid w:val="002331B5"/>
    <w:rsid w:val="00233B9A"/>
    <w:rsid w:val="00234E66"/>
    <w:rsid w:val="00235E03"/>
    <w:rsid w:val="00241950"/>
    <w:rsid w:val="00243108"/>
    <w:rsid w:val="0024412D"/>
    <w:rsid w:val="00246895"/>
    <w:rsid w:val="00254D7C"/>
    <w:rsid w:val="0025517D"/>
    <w:rsid w:val="00257189"/>
    <w:rsid w:val="00257FD4"/>
    <w:rsid w:val="00260F4B"/>
    <w:rsid w:val="002639CC"/>
    <w:rsid w:val="00264C88"/>
    <w:rsid w:val="00264E7A"/>
    <w:rsid w:val="00266CB0"/>
    <w:rsid w:val="00271099"/>
    <w:rsid w:val="00273E37"/>
    <w:rsid w:val="00274547"/>
    <w:rsid w:val="00274D35"/>
    <w:rsid w:val="002762F6"/>
    <w:rsid w:val="00276602"/>
    <w:rsid w:val="00281043"/>
    <w:rsid w:val="0028252C"/>
    <w:rsid w:val="002838B1"/>
    <w:rsid w:val="002839B6"/>
    <w:rsid w:val="00283AEB"/>
    <w:rsid w:val="00283FD9"/>
    <w:rsid w:val="00284CDB"/>
    <w:rsid w:val="00285756"/>
    <w:rsid w:val="0028727B"/>
    <w:rsid w:val="0029100B"/>
    <w:rsid w:val="002937A5"/>
    <w:rsid w:val="002952C1"/>
    <w:rsid w:val="00295A2B"/>
    <w:rsid w:val="00296449"/>
    <w:rsid w:val="00296A1E"/>
    <w:rsid w:val="002A0674"/>
    <w:rsid w:val="002A3769"/>
    <w:rsid w:val="002A410F"/>
    <w:rsid w:val="002A4AA1"/>
    <w:rsid w:val="002A5522"/>
    <w:rsid w:val="002A5A92"/>
    <w:rsid w:val="002A7D25"/>
    <w:rsid w:val="002B1A74"/>
    <w:rsid w:val="002B219C"/>
    <w:rsid w:val="002B2A12"/>
    <w:rsid w:val="002B3B93"/>
    <w:rsid w:val="002B729B"/>
    <w:rsid w:val="002C1ABD"/>
    <w:rsid w:val="002C5727"/>
    <w:rsid w:val="002C698C"/>
    <w:rsid w:val="002C6D37"/>
    <w:rsid w:val="002D3512"/>
    <w:rsid w:val="002D37D5"/>
    <w:rsid w:val="002D4ABF"/>
    <w:rsid w:val="002D5BA2"/>
    <w:rsid w:val="002E007C"/>
    <w:rsid w:val="002E3D9A"/>
    <w:rsid w:val="002E474A"/>
    <w:rsid w:val="002F1260"/>
    <w:rsid w:val="002F12A1"/>
    <w:rsid w:val="002F3D83"/>
    <w:rsid w:val="002F6C52"/>
    <w:rsid w:val="002F71B6"/>
    <w:rsid w:val="00300BA0"/>
    <w:rsid w:val="00300CDA"/>
    <w:rsid w:val="00300F54"/>
    <w:rsid w:val="00302575"/>
    <w:rsid w:val="0030291A"/>
    <w:rsid w:val="003069D4"/>
    <w:rsid w:val="00310B50"/>
    <w:rsid w:val="00313B53"/>
    <w:rsid w:val="00315B07"/>
    <w:rsid w:val="0031655E"/>
    <w:rsid w:val="0032092F"/>
    <w:rsid w:val="003232F1"/>
    <w:rsid w:val="003252E1"/>
    <w:rsid w:val="00326C29"/>
    <w:rsid w:val="00327695"/>
    <w:rsid w:val="00330DF5"/>
    <w:rsid w:val="00331076"/>
    <w:rsid w:val="00332993"/>
    <w:rsid w:val="00332E0E"/>
    <w:rsid w:val="00341524"/>
    <w:rsid w:val="00341C59"/>
    <w:rsid w:val="0034655A"/>
    <w:rsid w:val="00350068"/>
    <w:rsid w:val="00351A6D"/>
    <w:rsid w:val="00352787"/>
    <w:rsid w:val="003535F3"/>
    <w:rsid w:val="00353D5C"/>
    <w:rsid w:val="003573D4"/>
    <w:rsid w:val="00357FF8"/>
    <w:rsid w:val="00361EC9"/>
    <w:rsid w:val="00364EFD"/>
    <w:rsid w:val="00365A20"/>
    <w:rsid w:val="00365A55"/>
    <w:rsid w:val="00366743"/>
    <w:rsid w:val="00366EDB"/>
    <w:rsid w:val="0036751A"/>
    <w:rsid w:val="00367923"/>
    <w:rsid w:val="00371594"/>
    <w:rsid w:val="003721E6"/>
    <w:rsid w:val="00375A3D"/>
    <w:rsid w:val="00376B69"/>
    <w:rsid w:val="00376F4E"/>
    <w:rsid w:val="00380988"/>
    <w:rsid w:val="0038497A"/>
    <w:rsid w:val="00386408"/>
    <w:rsid w:val="003870DA"/>
    <w:rsid w:val="00391FB8"/>
    <w:rsid w:val="003930B3"/>
    <w:rsid w:val="00394983"/>
    <w:rsid w:val="00396BD4"/>
    <w:rsid w:val="00397737"/>
    <w:rsid w:val="003A14B0"/>
    <w:rsid w:val="003A2D7B"/>
    <w:rsid w:val="003A3CB1"/>
    <w:rsid w:val="003A4049"/>
    <w:rsid w:val="003A4936"/>
    <w:rsid w:val="003A4C4A"/>
    <w:rsid w:val="003A5B89"/>
    <w:rsid w:val="003A5FD6"/>
    <w:rsid w:val="003B3889"/>
    <w:rsid w:val="003C05C6"/>
    <w:rsid w:val="003C111F"/>
    <w:rsid w:val="003C2FA4"/>
    <w:rsid w:val="003C5DBB"/>
    <w:rsid w:val="003D050B"/>
    <w:rsid w:val="003D1149"/>
    <w:rsid w:val="003D5139"/>
    <w:rsid w:val="003D56BA"/>
    <w:rsid w:val="003D5C99"/>
    <w:rsid w:val="003D628E"/>
    <w:rsid w:val="003E0811"/>
    <w:rsid w:val="003E174E"/>
    <w:rsid w:val="003E3485"/>
    <w:rsid w:val="003E55EC"/>
    <w:rsid w:val="003E5BAD"/>
    <w:rsid w:val="003F1C98"/>
    <w:rsid w:val="003F26B6"/>
    <w:rsid w:val="003F36FF"/>
    <w:rsid w:val="003F3DD7"/>
    <w:rsid w:val="003F4391"/>
    <w:rsid w:val="003F579B"/>
    <w:rsid w:val="003F59F2"/>
    <w:rsid w:val="003F706E"/>
    <w:rsid w:val="003F74C2"/>
    <w:rsid w:val="004001E1"/>
    <w:rsid w:val="00401905"/>
    <w:rsid w:val="00401EEF"/>
    <w:rsid w:val="0040224E"/>
    <w:rsid w:val="00402263"/>
    <w:rsid w:val="0040419C"/>
    <w:rsid w:val="0040525A"/>
    <w:rsid w:val="00411D77"/>
    <w:rsid w:val="00412149"/>
    <w:rsid w:val="0041368A"/>
    <w:rsid w:val="004138E2"/>
    <w:rsid w:val="00413A24"/>
    <w:rsid w:val="00415376"/>
    <w:rsid w:val="00420D00"/>
    <w:rsid w:val="00421FC3"/>
    <w:rsid w:val="004220F7"/>
    <w:rsid w:val="00423DAA"/>
    <w:rsid w:val="00426EC3"/>
    <w:rsid w:val="00427416"/>
    <w:rsid w:val="00427F47"/>
    <w:rsid w:val="00431958"/>
    <w:rsid w:val="00437DE6"/>
    <w:rsid w:val="0044015E"/>
    <w:rsid w:val="00441C0C"/>
    <w:rsid w:val="00442784"/>
    <w:rsid w:val="0044799E"/>
    <w:rsid w:val="00451070"/>
    <w:rsid w:val="004519C0"/>
    <w:rsid w:val="00453ECC"/>
    <w:rsid w:val="0045519A"/>
    <w:rsid w:val="0045570A"/>
    <w:rsid w:val="00456162"/>
    <w:rsid w:val="0045736D"/>
    <w:rsid w:val="00457466"/>
    <w:rsid w:val="00460B17"/>
    <w:rsid w:val="00461AD2"/>
    <w:rsid w:val="00463B07"/>
    <w:rsid w:val="00463B93"/>
    <w:rsid w:val="0046607F"/>
    <w:rsid w:val="00466869"/>
    <w:rsid w:val="0046703D"/>
    <w:rsid w:val="00467ACD"/>
    <w:rsid w:val="0047089C"/>
    <w:rsid w:val="00470933"/>
    <w:rsid w:val="0047185F"/>
    <w:rsid w:val="00471DFC"/>
    <w:rsid w:val="00472D7F"/>
    <w:rsid w:val="00473180"/>
    <w:rsid w:val="004855D0"/>
    <w:rsid w:val="00491EEB"/>
    <w:rsid w:val="00492686"/>
    <w:rsid w:val="004951BD"/>
    <w:rsid w:val="004960F7"/>
    <w:rsid w:val="004A3CB0"/>
    <w:rsid w:val="004A3D2D"/>
    <w:rsid w:val="004A4543"/>
    <w:rsid w:val="004A6EEB"/>
    <w:rsid w:val="004A7463"/>
    <w:rsid w:val="004B176C"/>
    <w:rsid w:val="004B18E0"/>
    <w:rsid w:val="004B2AC4"/>
    <w:rsid w:val="004B7177"/>
    <w:rsid w:val="004B7CF9"/>
    <w:rsid w:val="004C0358"/>
    <w:rsid w:val="004C0C99"/>
    <w:rsid w:val="004C1D99"/>
    <w:rsid w:val="004C41A8"/>
    <w:rsid w:val="004C6FC7"/>
    <w:rsid w:val="004C7398"/>
    <w:rsid w:val="004D1ACB"/>
    <w:rsid w:val="004D63FB"/>
    <w:rsid w:val="004E0A10"/>
    <w:rsid w:val="004E18C1"/>
    <w:rsid w:val="004E1D18"/>
    <w:rsid w:val="004E291C"/>
    <w:rsid w:val="004E4D84"/>
    <w:rsid w:val="004E6F29"/>
    <w:rsid w:val="004E73AB"/>
    <w:rsid w:val="004F09B4"/>
    <w:rsid w:val="004F2258"/>
    <w:rsid w:val="004F5099"/>
    <w:rsid w:val="004F546F"/>
    <w:rsid w:val="004F69BB"/>
    <w:rsid w:val="005000F7"/>
    <w:rsid w:val="00500489"/>
    <w:rsid w:val="00500E3B"/>
    <w:rsid w:val="00501F93"/>
    <w:rsid w:val="00503714"/>
    <w:rsid w:val="00503AB8"/>
    <w:rsid w:val="005065F1"/>
    <w:rsid w:val="00511946"/>
    <w:rsid w:val="0051457C"/>
    <w:rsid w:val="00515D2F"/>
    <w:rsid w:val="00515D38"/>
    <w:rsid w:val="0052017E"/>
    <w:rsid w:val="00522BE5"/>
    <w:rsid w:val="00527CD0"/>
    <w:rsid w:val="00531E84"/>
    <w:rsid w:val="00532BE9"/>
    <w:rsid w:val="00535BF3"/>
    <w:rsid w:val="0053714D"/>
    <w:rsid w:val="005375D5"/>
    <w:rsid w:val="0054173C"/>
    <w:rsid w:val="0054479A"/>
    <w:rsid w:val="00545450"/>
    <w:rsid w:val="00546A04"/>
    <w:rsid w:val="005503F1"/>
    <w:rsid w:val="00550C5E"/>
    <w:rsid w:val="00555177"/>
    <w:rsid w:val="00557D0C"/>
    <w:rsid w:val="00557D66"/>
    <w:rsid w:val="005637DA"/>
    <w:rsid w:val="0056394D"/>
    <w:rsid w:val="005645BA"/>
    <w:rsid w:val="00570341"/>
    <w:rsid w:val="005719ED"/>
    <w:rsid w:val="0057413F"/>
    <w:rsid w:val="0057581C"/>
    <w:rsid w:val="005759E9"/>
    <w:rsid w:val="00577E3D"/>
    <w:rsid w:val="005806AC"/>
    <w:rsid w:val="00581564"/>
    <w:rsid w:val="0058222C"/>
    <w:rsid w:val="005828AF"/>
    <w:rsid w:val="00583518"/>
    <w:rsid w:val="00583586"/>
    <w:rsid w:val="00583958"/>
    <w:rsid w:val="00586E36"/>
    <w:rsid w:val="00590C96"/>
    <w:rsid w:val="00591A8B"/>
    <w:rsid w:val="00594972"/>
    <w:rsid w:val="005A0796"/>
    <w:rsid w:val="005A5472"/>
    <w:rsid w:val="005A57AA"/>
    <w:rsid w:val="005A5E78"/>
    <w:rsid w:val="005A6821"/>
    <w:rsid w:val="005B089C"/>
    <w:rsid w:val="005B2380"/>
    <w:rsid w:val="005B534C"/>
    <w:rsid w:val="005B69A0"/>
    <w:rsid w:val="005C457E"/>
    <w:rsid w:val="005C70CF"/>
    <w:rsid w:val="005D1015"/>
    <w:rsid w:val="005D22B2"/>
    <w:rsid w:val="005D5B30"/>
    <w:rsid w:val="005D75FB"/>
    <w:rsid w:val="005E05CE"/>
    <w:rsid w:val="005E626D"/>
    <w:rsid w:val="005F141A"/>
    <w:rsid w:val="005F1AED"/>
    <w:rsid w:val="005F1DD7"/>
    <w:rsid w:val="005F3F1C"/>
    <w:rsid w:val="005F6C07"/>
    <w:rsid w:val="00601CAE"/>
    <w:rsid w:val="006033A8"/>
    <w:rsid w:val="00604990"/>
    <w:rsid w:val="00604B33"/>
    <w:rsid w:val="006120C0"/>
    <w:rsid w:val="00613C10"/>
    <w:rsid w:val="00615F94"/>
    <w:rsid w:val="00616E69"/>
    <w:rsid w:val="00620039"/>
    <w:rsid w:val="00620AD9"/>
    <w:rsid w:val="006219C9"/>
    <w:rsid w:val="00621B58"/>
    <w:rsid w:val="00624C8A"/>
    <w:rsid w:val="00627E76"/>
    <w:rsid w:val="00632785"/>
    <w:rsid w:val="00634C8E"/>
    <w:rsid w:val="00635222"/>
    <w:rsid w:val="00643F84"/>
    <w:rsid w:val="00644796"/>
    <w:rsid w:val="00646F2B"/>
    <w:rsid w:val="006500E8"/>
    <w:rsid w:val="00651CFC"/>
    <w:rsid w:val="00652FEF"/>
    <w:rsid w:val="0065312D"/>
    <w:rsid w:val="00653C19"/>
    <w:rsid w:val="006558D8"/>
    <w:rsid w:val="006609EA"/>
    <w:rsid w:val="00663386"/>
    <w:rsid w:val="0066397D"/>
    <w:rsid w:val="00665451"/>
    <w:rsid w:val="006667CD"/>
    <w:rsid w:val="00667A44"/>
    <w:rsid w:val="00670B86"/>
    <w:rsid w:val="0067222A"/>
    <w:rsid w:val="00672FFD"/>
    <w:rsid w:val="0067475D"/>
    <w:rsid w:val="00676764"/>
    <w:rsid w:val="00677EC7"/>
    <w:rsid w:val="00681216"/>
    <w:rsid w:val="006848DD"/>
    <w:rsid w:val="00684BCF"/>
    <w:rsid w:val="00685324"/>
    <w:rsid w:val="006857E6"/>
    <w:rsid w:val="0069190F"/>
    <w:rsid w:val="00691E0F"/>
    <w:rsid w:val="00693059"/>
    <w:rsid w:val="00693584"/>
    <w:rsid w:val="00693A1F"/>
    <w:rsid w:val="00693E42"/>
    <w:rsid w:val="00694BB8"/>
    <w:rsid w:val="00697E6C"/>
    <w:rsid w:val="006A02A8"/>
    <w:rsid w:val="006A54DE"/>
    <w:rsid w:val="006A56E8"/>
    <w:rsid w:val="006B1357"/>
    <w:rsid w:val="006B18C0"/>
    <w:rsid w:val="006B1BBA"/>
    <w:rsid w:val="006B4C7F"/>
    <w:rsid w:val="006B5611"/>
    <w:rsid w:val="006B7A23"/>
    <w:rsid w:val="006C0458"/>
    <w:rsid w:val="006C1677"/>
    <w:rsid w:val="006C18FD"/>
    <w:rsid w:val="006C2855"/>
    <w:rsid w:val="006C35AB"/>
    <w:rsid w:val="006C714F"/>
    <w:rsid w:val="006D0A70"/>
    <w:rsid w:val="006D1CE7"/>
    <w:rsid w:val="006D5FBB"/>
    <w:rsid w:val="006D620B"/>
    <w:rsid w:val="006E1AD1"/>
    <w:rsid w:val="006E5715"/>
    <w:rsid w:val="006E6A4D"/>
    <w:rsid w:val="006F1D2C"/>
    <w:rsid w:val="006F1DFA"/>
    <w:rsid w:val="006F2026"/>
    <w:rsid w:val="006F331E"/>
    <w:rsid w:val="006F3933"/>
    <w:rsid w:val="006F4434"/>
    <w:rsid w:val="006F5E01"/>
    <w:rsid w:val="006F67B5"/>
    <w:rsid w:val="006F6DDB"/>
    <w:rsid w:val="00700AF0"/>
    <w:rsid w:val="00703880"/>
    <w:rsid w:val="00703FAA"/>
    <w:rsid w:val="00704B9E"/>
    <w:rsid w:val="00705F98"/>
    <w:rsid w:val="00712871"/>
    <w:rsid w:val="00712E26"/>
    <w:rsid w:val="007173D3"/>
    <w:rsid w:val="00717775"/>
    <w:rsid w:val="00720399"/>
    <w:rsid w:val="00720996"/>
    <w:rsid w:val="00721215"/>
    <w:rsid w:val="00722BA5"/>
    <w:rsid w:val="00723D29"/>
    <w:rsid w:val="007277AE"/>
    <w:rsid w:val="00731B80"/>
    <w:rsid w:val="00732D02"/>
    <w:rsid w:val="00734A12"/>
    <w:rsid w:val="00734A7E"/>
    <w:rsid w:val="0073743B"/>
    <w:rsid w:val="007415CA"/>
    <w:rsid w:val="00747539"/>
    <w:rsid w:val="007511E1"/>
    <w:rsid w:val="007536DD"/>
    <w:rsid w:val="0075714B"/>
    <w:rsid w:val="007576FE"/>
    <w:rsid w:val="00760531"/>
    <w:rsid w:val="00760C16"/>
    <w:rsid w:val="00760F2C"/>
    <w:rsid w:val="00760F39"/>
    <w:rsid w:val="007619F9"/>
    <w:rsid w:val="00761D2E"/>
    <w:rsid w:val="00765B8B"/>
    <w:rsid w:val="00766396"/>
    <w:rsid w:val="00767EAD"/>
    <w:rsid w:val="00770DB6"/>
    <w:rsid w:val="0077186F"/>
    <w:rsid w:val="0077306B"/>
    <w:rsid w:val="00776528"/>
    <w:rsid w:val="007768EF"/>
    <w:rsid w:val="00777CB8"/>
    <w:rsid w:val="00786A65"/>
    <w:rsid w:val="00786C4E"/>
    <w:rsid w:val="00790751"/>
    <w:rsid w:val="00793E97"/>
    <w:rsid w:val="00794C7D"/>
    <w:rsid w:val="007954CC"/>
    <w:rsid w:val="0079587B"/>
    <w:rsid w:val="007960E2"/>
    <w:rsid w:val="007A0B21"/>
    <w:rsid w:val="007A17B7"/>
    <w:rsid w:val="007A27A9"/>
    <w:rsid w:val="007A5466"/>
    <w:rsid w:val="007A5ADE"/>
    <w:rsid w:val="007A636B"/>
    <w:rsid w:val="007B0E17"/>
    <w:rsid w:val="007B1243"/>
    <w:rsid w:val="007B15F2"/>
    <w:rsid w:val="007B34C2"/>
    <w:rsid w:val="007B3D79"/>
    <w:rsid w:val="007B4C49"/>
    <w:rsid w:val="007B6FA1"/>
    <w:rsid w:val="007B6FAA"/>
    <w:rsid w:val="007B7735"/>
    <w:rsid w:val="007C14A0"/>
    <w:rsid w:val="007C2AC2"/>
    <w:rsid w:val="007C2BFF"/>
    <w:rsid w:val="007C2E52"/>
    <w:rsid w:val="007C348E"/>
    <w:rsid w:val="007C44F6"/>
    <w:rsid w:val="007C5D6A"/>
    <w:rsid w:val="007C7324"/>
    <w:rsid w:val="007C7675"/>
    <w:rsid w:val="007C7F40"/>
    <w:rsid w:val="007D06D3"/>
    <w:rsid w:val="007D16F6"/>
    <w:rsid w:val="007D1949"/>
    <w:rsid w:val="007D2EAD"/>
    <w:rsid w:val="007D6337"/>
    <w:rsid w:val="007D691C"/>
    <w:rsid w:val="007E164A"/>
    <w:rsid w:val="007E16D8"/>
    <w:rsid w:val="007E2B81"/>
    <w:rsid w:val="007E76D7"/>
    <w:rsid w:val="007F43D9"/>
    <w:rsid w:val="007F4838"/>
    <w:rsid w:val="007F4CD0"/>
    <w:rsid w:val="007F6FF8"/>
    <w:rsid w:val="007F7CF3"/>
    <w:rsid w:val="00800712"/>
    <w:rsid w:val="00800CC2"/>
    <w:rsid w:val="00802787"/>
    <w:rsid w:val="00804401"/>
    <w:rsid w:val="00804C8B"/>
    <w:rsid w:val="0080744C"/>
    <w:rsid w:val="00807E47"/>
    <w:rsid w:val="008130C8"/>
    <w:rsid w:val="00813925"/>
    <w:rsid w:val="00817A52"/>
    <w:rsid w:val="00820DF9"/>
    <w:rsid w:val="0082107F"/>
    <w:rsid w:val="00821A28"/>
    <w:rsid w:val="00824C6D"/>
    <w:rsid w:val="0083317A"/>
    <w:rsid w:val="008414FB"/>
    <w:rsid w:val="00842028"/>
    <w:rsid w:val="008437A1"/>
    <w:rsid w:val="00843DA9"/>
    <w:rsid w:val="00845799"/>
    <w:rsid w:val="00847041"/>
    <w:rsid w:val="00847145"/>
    <w:rsid w:val="00850D17"/>
    <w:rsid w:val="008512AF"/>
    <w:rsid w:val="0085294E"/>
    <w:rsid w:val="00853B1B"/>
    <w:rsid w:val="0085413E"/>
    <w:rsid w:val="008560D2"/>
    <w:rsid w:val="0085653B"/>
    <w:rsid w:val="0085691B"/>
    <w:rsid w:val="00856FA4"/>
    <w:rsid w:val="00860501"/>
    <w:rsid w:val="008606E9"/>
    <w:rsid w:val="00860755"/>
    <w:rsid w:val="00861896"/>
    <w:rsid w:val="00862C6D"/>
    <w:rsid w:val="00863118"/>
    <w:rsid w:val="008634A1"/>
    <w:rsid w:val="00864BAE"/>
    <w:rsid w:val="00872FDE"/>
    <w:rsid w:val="00874CF4"/>
    <w:rsid w:val="00876D70"/>
    <w:rsid w:val="00876D81"/>
    <w:rsid w:val="008815F6"/>
    <w:rsid w:val="0088164F"/>
    <w:rsid w:val="008847B6"/>
    <w:rsid w:val="0088590F"/>
    <w:rsid w:val="008878B1"/>
    <w:rsid w:val="008905BF"/>
    <w:rsid w:val="0089220F"/>
    <w:rsid w:val="0089337F"/>
    <w:rsid w:val="00894570"/>
    <w:rsid w:val="00894FBC"/>
    <w:rsid w:val="008964DA"/>
    <w:rsid w:val="00896E34"/>
    <w:rsid w:val="008A04FB"/>
    <w:rsid w:val="008A0AC5"/>
    <w:rsid w:val="008A53EA"/>
    <w:rsid w:val="008B0D5B"/>
    <w:rsid w:val="008B2243"/>
    <w:rsid w:val="008B22B6"/>
    <w:rsid w:val="008B3B02"/>
    <w:rsid w:val="008B54AC"/>
    <w:rsid w:val="008B6568"/>
    <w:rsid w:val="008B6EE7"/>
    <w:rsid w:val="008B7157"/>
    <w:rsid w:val="008B7D25"/>
    <w:rsid w:val="008C3018"/>
    <w:rsid w:val="008C5253"/>
    <w:rsid w:val="008C69D0"/>
    <w:rsid w:val="008C703D"/>
    <w:rsid w:val="008C776B"/>
    <w:rsid w:val="008D0A19"/>
    <w:rsid w:val="008D1171"/>
    <w:rsid w:val="008D1C4F"/>
    <w:rsid w:val="008D1E4E"/>
    <w:rsid w:val="008D2D54"/>
    <w:rsid w:val="008D301D"/>
    <w:rsid w:val="008D3426"/>
    <w:rsid w:val="008D531D"/>
    <w:rsid w:val="008D5B62"/>
    <w:rsid w:val="008D5BBF"/>
    <w:rsid w:val="008D62D3"/>
    <w:rsid w:val="008E4402"/>
    <w:rsid w:val="008E70E1"/>
    <w:rsid w:val="008F12BF"/>
    <w:rsid w:val="008F535B"/>
    <w:rsid w:val="008F5BB1"/>
    <w:rsid w:val="008F6764"/>
    <w:rsid w:val="008F68C6"/>
    <w:rsid w:val="009004A2"/>
    <w:rsid w:val="0090068F"/>
    <w:rsid w:val="009009CE"/>
    <w:rsid w:val="00900CCD"/>
    <w:rsid w:val="00900E06"/>
    <w:rsid w:val="00905A27"/>
    <w:rsid w:val="00907E4C"/>
    <w:rsid w:val="00911F97"/>
    <w:rsid w:val="00912FAF"/>
    <w:rsid w:val="00913803"/>
    <w:rsid w:val="00913F27"/>
    <w:rsid w:val="00914902"/>
    <w:rsid w:val="00915F23"/>
    <w:rsid w:val="009173B3"/>
    <w:rsid w:val="0092011C"/>
    <w:rsid w:val="009251CA"/>
    <w:rsid w:val="009268E8"/>
    <w:rsid w:val="00927F98"/>
    <w:rsid w:val="00931391"/>
    <w:rsid w:val="00931459"/>
    <w:rsid w:val="00933239"/>
    <w:rsid w:val="009410C4"/>
    <w:rsid w:val="00941CA1"/>
    <w:rsid w:val="00942183"/>
    <w:rsid w:val="009429C3"/>
    <w:rsid w:val="009434EF"/>
    <w:rsid w:val="00944A85"/>
    <w:rsid w:val="009454CA"/>
    <w:rsid w:val="009458D5"/>
    <w:rsid w:val="0094768E"/>
    <w:rsid w:val="00951964"/>
    <w:rsid w:val="009520DC"/>
    <w:rsid w:val="00952B87"/>
    <w:rsid w:val="009544DC"/>
    <w:rsid w:val="00955445"/>
    <w:rsid w:val="00962E68"/>
    <w:rsid w:val="00963168"/>
    <w:rsid w:val="00966FC8"/>
    <w:rsid w:val="00967802"/>
    <w:rsid w:val="00972B91"/>
    <w:rsid w:val="00973046"/>
    <w:rsid w:val="00973DB4"/>
    <w:rsid w:val="0097599A"/>
    <w:rsid w:val="00977F7E"/>
    <w:rsid w:val="00981FF7"/>
    <w:rsid w:val="0098250C"/>
    <w:rsid w:val="0098327C"/>
    <w:rsid w:val="009877EB"/>
    <w:rsid w:val="00990A70"/>
    <w:rsid w:val="00993283"/>
    <w:rsid w:val="00996193"/>
    <w:rsid w:val="009965C0"/>
    <w:rsid w:val="009972E2"/>
    <w:rsid w:val="00997FDF"/>
    <w:rsid w:val="009A02DB"/>
    <w:rsid w:val="009A03F0"/>
    <w:rsid w:val="009A66C0"/>
    <w:rsid w:val="009B29B1"/>
    <w:rsid w:val="009B6035"/>
    <w:rsid w:val="009B7877"/>
    <w:rsid w:val="009C06E6"/>
    <w:rsid w:val="009C1169"/>
    <w:rsid w:val="009C1C6F"/>
    <w:rsid w:val="009C5BF8"/>
    <w:rsid w:val="009C5D6C"/>
    <w:rsid w:val="009C5E4F"/>
    <w:rsid w:val="009C5F59"/>
    <w:rsid w:val="009D455D"/>
    <w:rsid w:val="009D5DCD"/>
    <w:rsid w:val="009E1B20"/>
    <w:rsid w:val="009E32BE"/>
    <w:rsid w:val="009E39A7"/>
    <w:rsid w:val="009E5037"/>
    <w:rsid w:val="009E5530"/>
    <w:rsid w:val="009E5897"/>
    <w:rsid w:val="009E5A16"/>
    <w:rsid w:val="009E69A2"/>
    <w:rsid w:val="009F5A0B"/>
    <w:rsid w:val="009F67C1"/>
    <w:rsid w:val="00A01BEB"/>
    <w:rsid w:val="00A0639F"/>
    <w:rsid w:val="00A109B0"/>
    <w:rsid w:val="00A13AA4"/>
    <w:rsid w:val="00A149AE"/>
    <w:rsid w:val="00A15723"/>
    <w:rsid w:val="00A15E90"/>
    <w:rsid w:val="00A161C9"/>
    <w:rsid w:val="00A25346"/>
    <w:rsid w:val="00A26DA4"/>
    <w:rsid w:val="00A27A6F"/>
    <w:rsid w:val="00A30FB2"/>
    <w:rsid w:val="00A324CA"/>
    <w:rsid w:val="00A32AAF"/>
    <w:rsid w:val="00A32DB3"/>
    <w:rsid w:val="00A32FFE"/>
    <w:rsid w:val="00A34170"/>
    <w:rsid w:val="00A351E7"/>
    <w:rsid w:val="00A35E7D"/>
    <w:rsid w:val="00A36751"/>
    <w:rsid w:val="00A4016C"/>
    <w:rsid w:val="00A4055C"/>
    <w:rsid w:val="00A4091D"/>
    <w:rsid w:val="00A413CC"/>
    <w:rsid w:val="00A419C6"/>
    <w:rsid w:val="00A421CB"/>
    <w:rsid w:val="00A42B9C"/>
    <w:rsid w:val="00A462EF"/>
    <w:rsid w:val="00A46376"/>
    <w:rsid w:val="00A50143"/>
    <w:rsid w:val="00A503A8"/>
    <w:rsid w:val="00A51910"/>
    <w:rsid w:val="00A539BF"/>
    <w:rsid w:val="00A53D6D"/>
    <w:rsid w:val="00A60DC6"/>
    <w:rsid w:val="00A6100A"/>
    <w:rsid w:val="00A61F08"/>
    <w:rsid w:val="00A630CF"/>
    <w:rsid w:val="00A6446C"/>
    <w:rsid w:val="00A65CC1"/>
    <w:rsid w:val="00A66945"/>
    <w:rsid w:val="00A72318"/>
    <w:rsid w:val="00A725C8"/>
    <w:rsid w:val="00A74D3D"/>
    <w:rsid w:val="00A7580E"/>
    <w:rsid w:val="00A863D1"/>
    <w:rsid w:val="00A86E04"/>
    <w:rsid w:val="00A87018"/>
    <w:rsid w:val="00A91154"/>
    <w:rsid w:val="00A915A6"/>
    <w:rsid w:val="00A9576B"/>
    <w:rsid w:val="00A96ACB"/>
    <w:rsid w:val="00A96BBE"/>
    <w:rsid w:val="00AA0778"/>
    <w:rsid w:val="00AA1EA4"/>
    <w:rsid w:val="00AA2C07"/>
    <w:rsid w:val="00AA3D5B"/>
    <w:rsid w:val="00AA486F"/>
    <w:rsid w:val="00AA4925"/>
    <w:rsid w:val="00AA582F"/>
    <w:rsid w:val="00AA5F25"/>
    <w:rsid w:val="00AA7112"/>
    <w:rsid w:val="00AB12CA"/>
    <w:rsid w:val="00AB2D48"/>
    <w:rsid w:val="00AB306A"/>
    <w:rsid w:val="00AB3147"/>
    <w:rsid w:val="00AB7684"/>
    <w:rsid w:val="00AC252C"/>
    <w:rsid w:val="00AC2803"/>
    <w:rsid w:val="00AC4D3E"/>
    <w:rsid w:val="00AC5D77"/>
    <w:rsid w:val="00AD3B9E"/>
    <w:rsid w:val="00AD3F66"/>
    <w:rsid w:val="00AD474F"/>
    <w:rsid w:val="00AD4ABE"/>
    <w:rsid w:val="00AE369C"/>
    <w:rsid w:val="00AE7AD1"/>
    <w:rsid w:val="00AF5AAB"/>
    <w:rsid w:val="00AF612A"/>
    <w:rsid w:val="00AF7F8E"/>
    <w:rsid w:val="00B00633"/>
    <w:rsid w:val="00B03915"/>
    <w:rsid w:val="00B060F2"/>
    <w:rsid w:val="00B0752F"/>
    <w:rsid w:val="00B10154"/>
    <w:rsid w:val="00B10C8B"/>
    <w:rsid w:val="00B1332F"/>
    <w:rsid w:val="00B168A4"/>
    <w:rsid w:val="00B16EC6"/>
    <w:rsid w:val="00B175E0"/>
    <w:rsid w:val="00B179E9"/>
    <w:rsid w:val="00B2111C"/>
    <w:rsid w:val="00B23252"/>
    <w:rsid w:val="00B2616A"/>
    <w:rsid w:val="00B2627B"/>
    <w:rsid w:val="00B303C2"/>
    <w:rsid w:val="00B308A4"/>
    <w:rsid w:val="00B3495F"/>
    <w:rsid w:val="00B37872"/>
    <w:rsid w:val="00B43230"/>
    <w:rsid w:val="00B43CD9"/>
    <w:rsid w:val="00B442EA"/>
    <w:rsid w:val="00B4602B"/>
    <w:rsid w:val="00B46FDB"/>
    <w:rsid w:val="00B50519"/>
    <w:rsid w:val="00B510E1"/>
    <w:rsid w:val="00B51B46"/>
    <w:rsid w:val="00B5473D"/>
    <w:rsid w:val="00B60951"/>
    <w:rsid w:val="00B61F22"/>
    <w:rsid w:val="00B62DBA"/>
    <w:rsid w:val="00B6364B"/>
    <w:rsid w:val="00B6366A"/>
    <w:rsid w:val="00B658BC"/>
    <w:rsid w:val="00B67E08"/>
    <w:rsid w:val="00B7073A"/>
    <w:rsid w:val="00B70E5B"/>
    <w:rsid w:val="00B71198"/>
    <w:rsid w:val="00B71D2B"/>
    <w:rsid w:val="00B71DB4"/>
    <w:rsid w:val="00B73D81"/>
    <w:rsid w:val="00B73EDC"/>
    <w:rsid w:val="00B77567"/>
    <w:rsid w:val="00B8517B"/>
    <w:rsid w:val="00B85880"/>
    <w:rsid w:val="00B8589F"/>
    <w:rsid w:val="00B86A61"/>
    <w:rsid w:val="00B9159D"/>
    <w:rsid w:val="00B91F9C"/>
    <w:rsid w:val="00B94535"/>
    <w:rsid w:val="00B952BF"/>
    <w:rsid w:val="00B967E2"/>
    <w:rsid w:val="00B97084"/>
    <w:rsid w:val="00B976A7"/>
    <w:rsid w:val="00BA14F6"/>
    <w:rsid w:val="00BA1DF8"/>
    <w:rsid w:val="00BA25D9"/>
    <w:rsid w:val="00BA2B5A"/>
    <w:rsid w:val="00BA380D"/>
    <w:rsid w:val="00BA3C91"/>
    <w:rsid w:val="00BA52CB"/>
    <w:rsid w:val="00BA57C3"/>
    <w:rsid w:val="00BA5EA3"/>
    <w:rsid w:val="00BA7027"/>
    <w:rsid w:val="00BB07C2"/>
    <w:rsid w:val="00BB10F6"/>
    <w:rsid w:val="00BB4393"/>
    <w:rsid w:val="00BB6C86"/>
    <w:rsid w:val="00BB79D2"/>
    <w:rsid w:val="00BC06C6"/>
    <w:rsid w:val="00BC15C8"/>
    <w:rsid w:val="00BC717A"/>
    <w:rsid w:val="00BD01F0"/>
    <w:rsid w:val="00BD270B"/>
    <w:rsid w:val="00BD27F5"/>
    <w:rsid w:val="00BD39DD"/>
    <w:rsid w:val="00BD3D8D"/>
    <w:rsid w:val="00BD3EF9"/>
    <w:rsid w:val="00BD5DB7"/>
    <w:rsid w:val="00BD6D5E"/>
    <w:rsid w:val="00BE16BD"/>
    <w:rsid w:val="00BE32EA"/>
    <w:rsid w:val="00BE3B4A"/>
    <w:rsid w:val="00BE3DC9"/>
    <w:rsid w:val="00BE4067"/>
    <w:rsid w:val="00BE4110"/>
    <w:rsid w:val="00BE4C85"/>
    <w:rsid w:val="00BE61F4"/>
    <w:rsid w:val="00BE7D2C"/>
    <w:rsid w:val="00BF0401"/>
    <w:rsid w:val="00BF04D8"/>
    <w:rsid w:val="00BF0E02"/>
    <w:rsid w:val="00BF3DAA"/>
    <w:rsid w:val="00C016B8"/>
    <w:rsid w:val="00C065AA"/>
    <w:rsid w:val="00C10C3B"/>
    <w:rsid w:val="00C111A3"/>
    <w:rsid w:val="00C148AB"/>
    <w:rsid w:val="00C17AE9"/>
    <w:rsid w:val="00C20F10"/>
    <w:rsid w:val="00C21E9F"/>
    <w:rsid w:val="00C26926"/>
    <w:rsid w:val="00C2716D"/>
    <w:rsid w:val="00C273BA"/>
    <w:rsid w:val="00C274BC"/>
    <w:rsid w:val="00C275D6"/>
    <w:rsid w:val="00C32D08"/>
    <w:rsid w:val="00C349D0"/>
    <w:rsid w:val="00C35A19"/>
    <w:rsid w:val="00C35F54"/>
    <w:rsid w:val="00C3603C"/>
    <w:rsid w:val="00C40338"/>
    <w:rsid w:val="00C41DD5"/>
    <w:rsid w:val="00C42398"/>
    <w:rsid w:val="00C42589"/>
    <w:rsid w:val="00C4399C"/>
    <w:rsid w:val="00C45D9B"/>
    <w:rsid w:val="00C477D5"/>
    <w:rsid w:val="00C5092A"/>
    <w:rsid w:val="00C51CFE"/>
    <w:rsid w:val="00C52648"/>
    <w:rsid w:val="00C5334F"/>
    <w:rsid w:val="00C53FCB"/>
    <w:rsid w:val="00C578D4"/>
    <w:rsid w:val="00C57A10"/>
    <w:rsid w:val="00C57D63"/>
    <w:rsid w:val="00C60F2C"/>
    <w:rsid w:val="00C64001"/>
    <w:rsid w:val="00C65057"/>
    <w:rsid w:val="00C656B5"/>
    <w:rsid w:val="00C66C0A"/>
    <w:rsid w:val="00C66FC7"/>
    <w:rsid w:val="00C711A1"/>
    <w:rsid w:val="00C71A7C"/>
    <w:rsid w:val="00C76A3D"/>
    <w:rsid w:val="00C80D9A"/>
    <w:rsid w:val="00C82447"/>
    <w:rsid w:val="00C8338B"/>
    <w:rsid w:val="00C874DF"/>
    <w:rsid w:val="00C90032"/>
    <w:rsid w:val="00C90459"/>
    <w:rsid w:val="00C9310C"/>
    <w:rsid w:val="00C9359D"/>
    <w:rsid w:val="00C94E4B"/>
    <w:rsid w:val="00C96755"/>
    <w:rsid w:val="00C97512"/>
    <w:rsid w:val="00CA0692"/>
    <w:rsid w:val="00CA2912"/>
    <w:rsid w:val="00CA34DF"/>
    <w:rsid w:val="00CA417A"/>
    <w:rsid w:val="00CA59E5"/>
    <w:rsid w:val="00CA7371"/>
    <w:rsid w:val="00CA7618"/>
    <w:rsid w:val="00CB1DDA"/>
    <w:rsid w:val="00CB23B5"/>
    <w:rsid w:val="00CB3B66"/>
    <w:rsid w:val="00CC0627"/>
    <w:rsid w:val="00CC2CC2"/>
    <w:rsid w:val="00CC3758"/>
    <w:rsid w:val="00CC3FCE"/>
    <w:rsid w:val="00CD0D12"/>
    <w:rsid w:val="00CD3E72"/>
    <w:rsid w:val="00CD6506"/>
    <w:rsid w:val="00CE06D6"/>
    <w:rsid w:val="00CE135A"/>
    <w:rsid w:val="00CE148C"/>
    <w:rsid w:val="00CE1EF7"/>
    <w:rsid w:val="00CE3A80"/>
    <w:rsid w:val="00CE46B2"/>
    <w:rsid w:val="00CE49F3"/>
    <w:rsid w:val="00CE5FEE"/>
    <w:rsid w:val="00CF09F6"/>
    <w:rsid w:val="00CF0E16"/>
    <w:rsid w:val="00CF339A"/>
    <w:rsid w:val="00CF3B9D"/>
    <w:rsid w:val="00CF4449"/>
    <w:rsid w:val="00CF5D80"/>
    <w:rsid w:val="00CF65C0"/>
    <w:rsid w:val="00CF7F9C"/>
    <w:rsid w:val="00D016C6"/>
    <w:rsid w:val="00D01CBB"/>
    <w:rsid w:val="00D02450"/>
    <w:rsid w:val="00D03D46"/>
    <w:rsid w:val="00D0524C"/>
    <w:rsid w:val="00D07EFD"/>
    <w:rsid w:val="00D11417"/>
    <w:rsid w:val="00D11954"/>
    <w:rsid w:val="00D12799"/>
    <w:rsid w:val="00D14457"/>
    <w:rsid w:val="00D158E0"/>
    <w:rsid w:val="00D20A75"/>
    <w:rsid w:val="00D2431B"/>
    <w:rsid w:val="00D24850"/>
    <w:rsid w:val="00D24C8E"/>
    <w:rsid w:val="00D258E3"/>
    <w:rsid w:val="00D3005C"/>
    <w:rsid w:val="00D3059E"/>
    <w:rsid w:val="00D34C03"/>
    <w:rsid w:val="00D3713A"/>
    <w:rsid w:val="00D377FF"/>
    <w:rsid w:val="00D37B85"/>
    <w:rsid w:val="00D40264"/>
    <w:rsid w:val="00D4099D"/>
    <w:rsid w:val="00D41854"/>
    <w:rsid w:val="00D43311"/>
    <w:rsid w:val="00D43327"/>
    <w:rsid w:val="00D45E44"/>
    <w:rsid w:val="00D46418"/>
    <w:rsid w:val="00D46B55"/>
    <w:rsid w:val="00D47D8D"/>
    <w:rsid w:val="00D515F4"/>
    <w:rsid w:val="00D51722"/>
    <w:rsid w:val="00D52540"/>
    <w:rsid w:val="00D5343D"/>
    <w:rsid w:val="00D5581B"/>
    <w:rsid w:val="00D55F47"/>
    <w:rsid w:val="00D5634D"/>
    <w:rsid w:val="00D56C03"/>
    <w:rsid w:val="00D60E12"/>
    <w:rsid w:val="00D65D08"/>
    <w:rsid w:val="00D674E3"/>
    <w:rsid w:val="00D71A46"/>
    <w:rsid w:val="00D764C2"/>
    <w:rsid w:val="00D76F77"/>
    <w:rsid w:val="00D85D09"/>
    <w:rsid w:val="00D87056"/>
    <w:rsid w:val="00D904E4"/>
    <w:rsid w:val="00D931AA"/>
    <w:rsid w:val="00D954DC"/>
    <w:rsid w:val="00D969E5"/>
    <w:rsid w:val="00D973B4"/>
    <w:rsid w:val="00D97C95"/>
    <w:rsid w:val="00D97D0E"/>
    <w:rsid w:val="00DA0FBD"/>
    <w:rsid w:val="00DA12B3"/>
    <w:rsid w:val="00DA13BC"/>
    <w:rsid w:val="00DA1E95"/>
    <w:rsid w:val="00DA2158"/>
    <w:rsid w:val="00DA3CBB"/>
    <w:rsid w:val="00DA6E9B"/>
    <w:rsid w:val="00DA78BE"/>
    <w:rsid w:val="00DB1D2F"/>
    <w:rsid w:val="00DB2AB8"/>
    <w:rsid w:val="00DB4107"/>
    <w:rsid w:val="00DB4FE4"/>
    <w:rsid w:val="00DB5295"/>
    <w:rsid w:val="00DC0540"/>
    <w:rsid w:val="00DC09EB"/>
    <w:rsid w:val="00DC173E"/>
    <w:rsid w:val="00DC1EAD"/>
    <w:rsid w:val="00DD1220"/>
    <w:rsid w:val="00DD25CF"/>
    <w:rsid w:val="00DD2E51"/>
    <w:rsid w:val="00DD3544"/>
    <w:rsid w:val="00DD3E60"/>
    <w:rsid w:val="00DD6B8C"/>
    <w:rsid w:val="00DD738E"/>
    <w:rsid w:val="00DD7A75"/>
    <w:rsid w:val="00DE1A8B"/>
    <w:rsid w:val="00DE1DBE"/>
    <w:rsid w:val="00DE2D05"/>
    <w:rsid w:val="00DE54D0"/>
    <w:rsid w:val="00DF0921"/>
    <w:rsid w:val="00DF3419"/>
    <w:rsid w:val="00DF6F60"/>
    <w:rsid w:val="00E00931"/>
    <w:rsid w:val="00E00BBD"/>
    <w:rsid w:val="00E016E0"/>
    <w:rsid w:val="00E05B5F"/>
    <w:rsid w:val="00E05C3B"/>
    <w:rsid w:val="00E06864"/>
    <w:rsid w:val="00E0712A"/>
    <w:rsid w:val="00E07FB1"/>
    <w:rsid w:val="00E1104D"/>
    <w:rsid w:val="00E15391"/>
    <w:rsid w:val="00E17818"/>
    <w:rsid w:val="00E17D98"/>
    <w:rsid w:val="00E20783"/>
    <w:rsid w:val="00E231F7"/>
    <w:rsid w:val="00E25FE9"/>
    <w:rsid w:val="00E26533"/>
    <w:rsid w:val="00E26E38"/>
    <w:rsid w:val="00E30E39"/>
    <w:rsid w:val="00E31AD2"/>
    <w:rsid w:val="00E34823"/>
    <w:rsid w:val="00E37555"/>
    <w:rsid w:val="00E413AC"/>
    <w:rsid w:val="00E43793"/>
    <w:rsid w:val="00E44E7D"/>
    <w:rsid w:val="00E44F74"/>
    <w:rsid w:val="00E5528D"/>
    <w:rsid w:val="00E55D92"/>
    <w:rsid w:val="00E56564"/>
    <w:rsid w:val="00E651A0"/>
    <w:rsid w:val="00E6525B"/>
    <w:rsid w:val="00E674C0"/>
    <w:rsid w:val="00E67786"/>
    <w:rsid w:val="00E7011F"/>
    <w:rsid w:val="00E719B4"/>
    <w:rsid w:val="00E71A68"/>
    <w:rsid w:val="00E71FE6"/>
    <w:rsid w:val="00E72FB1"/>
    <w:rsid w:val="00E75334"/>
    <w:rsid w:val="00E75FB0"/>
    <w:rsid w:val="00E763EB"/>
    <w:rsid w:val="00E77224"/>
    <w:rsid w:val="00E800DD"/>
    <w:rsid w:val="00E8063D"/>
    <w:rsid w:val="00E80AE6"/>
    <w:rsid w:val="00E81778"/>
    <w:rsid w:val="00E82A09"/>
    <w:rsid w:val="00E82AF2"/>
    <w:rsid w:val="00E84812"/>
    <w:rsid w:val="00E85D86"/>
    <w:rsid w:val="00E85DB7"/>
    <w:rsid w:val="00E86FD0"/>
    <w:rsid w:val="00E91BE1"/>
    <w:rsid w:val="00E923A7"/>
    <w:rsid w:val="00E92EFC"/>
    <w:rsid w:val="00E936B0"/>
    <w:rsid w:val="00E94E31"/>
    <w:rsid w:val="00E94F2C"/>
    <w:rsid w:val="00E95004"/>
    <w:rsid w:val="00E951DD"/>
    <w:rsid w:val="00E9645F"/>
    <w:rsid w:val="00EA0947"/>
    <w:rsid w:val="00EA1F04"/>
    <w:rsid w:val="00EA4390"/>
    <w:rsid w:val="00EA6F25"/>
    <w:rsid w:val="00EA7BDB"/>
    <w:rsid w:val="00EB174D"/>
    <w:rsid w:val="00EB35B3"/>
    <w:rsid w:val="00EC3A05"/>
    <w:rsid w:val="00EC484C"/>
    <w:rsid w:val="00EC72C6"/>
    <w:rsid w:val="00ED0E6B"/>
    <w:rsid w:val="00ED130D"/>
    <w:rsid w:val="00ED2B17"/>
    <w:rsid w:val="00ED46F4"/>
    <w:rsid w:val="00ED4C0F"/>
    <w:rsid w:val="00ED5BF9"/>
    <w:rsid w:val="00ED776E"/>
    <w:rsid w:val="00EE0847"/>
    <w:rsid w:val="00EE11E8"/>
    <w:rsid w:val="00EE2A20"/>
    <w:rsid w:val="00EF0AB6"/>
    <w:rsid w:val="00EF21DC"/>
    <w:rsid w:val="00EF28A0"/>
    <w:rsid w:val="00EF3A38"/>
    <w:rsid w:val="00EF3E92"/>
    <w:rsid w:val="00EF4493"/>
    <w:rsid w:val="00EF4799"/>
    <w:rsid w:val="00EF47FA"/>
    <w:rsid w:val="00EF59C8"/>
    <w:rsid w:val="00EF7715"/>
    <w:rsid w:val="00EF7D03"/>
    <w:rsid w:val="00F00307"/>
    <w:rsid w:val="00F011E8"/>
    <w:rsid w:val="00F019F3"/>
    <w:rsid w:val="00F01C39"/>
    <w:rsid w:val="00F04D83"/>
    <w:rsid w:val="00F04F90"/>
    <w:rsid w:val="00F054A7"/>
    <w:rsid w:val="00F07609"/>
    <w:rsid w:val="00F07D40"/>
    <w:rsid w:val="00F1008B"/>
    <w:rsid w:val="00F13DCE"/>
    <w:rsid w:val="00F14B57"/>
    <w:rsid w:val="00F161BE"/>
    <w:rsid w:val="00F213E2"/>
    <w:rsid w:val="00F21A75"/>
    <w:rsid w:val="00F21C75"/>
    <w:rsid w:val="00F22028"/>
    <w:rsid w:val="00F234A6"/>
    <w:rsid w:val="00F24841"/>
    <w:rsid w:val="00F259E7"/>
    <w:rsid w:val="00F25F19"/>
    <w:rsid w:val="00F261FA"/>
    <w:rsid w:val="00F26CB4"/>
    <w:rsid w:val="00F26DBB"/>
    <w:rsid w:val="00F32BFA"/>
    <w:rsid w:val="00F32FF4"/>
    <w:rsid w:val="00F3443B"/>
    <w:rsid w:val="00F36690"/>
    <w:rsid w:val="00F37A72"/>
    <w:rsid w:val="00F404D0"/>
    <w:rsid w:val="00F40D60"/>
    <w:rsid w:val="00F43660"/>
    <w:rsid w:val="00F437FF"/>
    <w:rsid w:val="00F45CD5"/>
    <w:rsid w:val="00F46085"/>
    <w:rsid w:val="00F47ADF"/>
    <w:rsid w:val="00F51E6F"/>
    <w:rsid w:val="00F53B88"/>
    <w:rsid w:val="00F55848"/>
    <w:rsid w:val="00F60068"/>
    <w:rsid w:val="00F604F5"/>
    <w:rsid w:val="00F61F13"/>
    <w:rsid w:val="00F644AA"/>
    <w:rsid w:val="00F647CE"/>
    <w:rsid w:val="00F7232A"/>
    <w:rsid w:val="00F733F2"/>
    <w:rsid w:val="00F73F5B"/>
    <w:rsid w:val="00F73F80"/>
    <w:rsid w:val="00F745F9"/>
    <w:rsid w:val="00F76AD3"/>
    <w:rsid w:val="00F76E1F"/>
    <w:rsid w:val="00F777BF"/>
    <w:rsid w:val="00F77866"/>
    <w:rsid w:val="00F800BC"/>
    <w:rsid w:val="00F801F4"/>
    <w:rsid w:val="00F80387"/>
    <w:rsid w:val="00F8174C"/>
    <w:rsid w:val="00F8224D"/>
    <w:rsid w:val="00F8359D"/>
    <w:rsid w:val="00F83FFA"/>
    <w:rsid w:val="00F8659E"/>
    <w:rsid w:val="00F9048E"/>
    <w:rsid w:val="00F941DC"/>
    <w:rsid w:val="00F94950"/>
    <w:rsid w:val="00FA1FAB"/>
    <w:rsid w:val="00FA43E7"/>
    <w:rsid w:val="00FA795C"/>
    <w:rsid w:val="00FA79D4"/>
    <w:rsid w:val="00FB241E"/>
    <w:rsid w:val="00FB2C09"/>
    <w:rsid w:val="00FB5F7E"/>
    <w:rsid w:val="00FC1A41"/>
    <w:rsid w:val="00FC3EBE"/>
    <w:rsid w:val="00FC41C1"/>
    <w:rsid w:val="00FD1105"/>
    <w:rsid w:val="00FD248F"/>
    <w:rsid w:val="00FD2BDB"/>
    <w:rsid w:val="00FD40C7"/>
    <w:rsid w:val="00FD7350"/>
    <w:rsid w:val="00FD7D7F"/>
    <w:rsid w:val="00FD7FCC"/>
    <w:rsid w:val="00FE04DB"/>
    <w:rsid w:val="00FE3F0E"/>
    <w:rsid w:val="00FE4A78"/>
    <w:rsid w:val="00FE5B1F"/>
    <w:rsid w:val="00FE6806"/>
    <w:rsid w:val="00FF0FF4"/>
    <w:rsid w:val="00FF19BB"/>
    <w:rsid w:val="00FF398C"/>
    <w:rsid w:val="00FF3B5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D4D320"/>
  <w14:defaultImageDpi w14:val="330"/>
  <w15:chartTrackingRefBased/>
  <w15:docId w15:val="{AC2B7CED-054F-42FC-9917-1F9744FA3A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976A7"/>
    <w:pPr>
      <w:spacing w:before="120" w:after="120" w:line="264" w:lineRule="auto"/>
    </w:pPr>
    <w:rPr>
      <w:spacing w:val="-2"/>
      <w:sz w:val="18"/>
    </w:rPr>
  </w:style>
  <w:style w:type="paragraph" w:styleId="Heading1">
    <w:name w:val="heading 1"/>
    <w:basedOn w:val="Normal"/>
    <w:next w:val="Normal"/>
    <w:link w:val="Heading1Char"/>
    <w:uiPriority w:val="9"/>
    <w:qFormat/>
    <w:rsid w:val="00CA34DF"/>
    <w:pPr>
      <w:keepNext/>
      <w:keepLines/>
      <w:numPr>
        <w:numId w:val="11"/>
      </w:numPr>
      <w:spacing w:before="300" w:after="100" w:line="216" w:lineRule="auto"/>
      <w:outlineLvl w:val="0"/>
    </w:pPr>
    <w:rPr>
      <w:rFonts w:ascii="Overpass" w:eastAsiaTheme="majorEastAsia" w:hAnsi="Overpass" w:cstheme="majorBidi"/>
      <w:caps/>
      <w:color w:val="000000" w:themeColor="text1"/>
      <w:sz w:val="30"/>
      <w:szCs w:val="32"/>
    </w:rPr>
  </w:style>
  <w:style w:type="paragraph" w:styleId="Heading2">
    <w:name w:val="heading 2"/>
    <w:basedOn w:val="Normal"/>
    <w:next w:val="Normal"/>
    <w:link w:val="Heading2Char"/>
    <w:uiPriority w:val="9"/>
    <w:unhideWhenUsed/>
    <w:qFormat/>
    <w:rsid w:val="00BB79D2"/>
    <w:pPr>
      <w:keepNext/>
      <w:keepLines/>
      <w:numPr>
        <w:ilvl w:val="1"/>
        <w:numId w:val="11"/>
      </w:numPr>
      <w:spacing w:before="180" w:after="0" w:line="216" w:lineRule="auto"/>
      <w:outlineLvl w:val="1"/>
    </w:pPr>
    <w:rPr>
      <w:rFonts w:ascii="Overpass" w:eastAsiaTheme="majorEastAsia" w:hAnsi="Overpass" w:cstheme="majorBidi"/>
      <w:sz w:val="24"/>
      <w:szCs w:val="26"/>
    </w:rPr>
  </w:style>
  <w:style w:type="paragraph" w:styleId="Heading3">
    <w:name w:val="heading 3"/>
    <w:basedOn w:val="Normal"/>
    <w:next w:val="Normal"/>
    <w:link w:val="Heading3Char"/>
    <w:uiPriority w:val="9"/>
    <w:unhideWhenUsed/>
    <w:qFormat/>
    <w:rsid w:val="006D5FBB"/>
    <w:pPr>
      <w:keepNext/>
      <w:keepLines/>
      <w:spacing w:before="180"/>
      <w:outlineLvl w:val="2"/>
    </w:pPr>
    <w:rPr>
      <w:rFonts w:asciiTheme="majorHAnsi" w:eastAsiaTheme="majorEastAsia" w:hAnsiTheme="majorHAnsi" w:cstheme="majorBidi"/>
      <w:caps/>
      <w:color w:val="00BE87" w:themeColor="accent2"/>
      <w:spacing w:val="0"/>
      <w:sz w:val="24"/>
      <w:szCs w:val="24"/>
    </w:rPr>
  </w:style>
  <w:style w:type="paragraph" w:styleId="Heading4">
    <w:name w:val="heading 4"/>
    <w:basedOn w:val="Normal"/>
    <w:next w:val="Normal"/>
    <w:link w:val="Heading4Char"/>
    <w:uiPriority w:val="9"/>
    <w:semiHidden/>
    <w:unhideWhenUsed/>
    <w:rsid w:val="00B976A7"/>
    <w:pPr>
      <w:keepNext/>
      <w:keepLines/>
      <w:spacing w:before="40" w:after="0"/>
      <w:outlineLvl w:val="3"/>
    </w:pPr>
    <w:rPr>
      <w:rFonts w:asciiTheme="majorHAnsi" w:eastAsiaTheme="majorEastAsia" w:hAnsiTheme="majorHAnsi" w:cstheme="majorBidi"/>
      <w:iCs/>
      <w:caps/>
      <w:color w:val="0077AC"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375D5"/>
    <w:pPr>
      <w:tabs>
        <w:tab w:val="center" w:pos="4680"/>
        <w:tab w:val="right" w:pos="9360"/>
      </w:tabs>
      <w:spacing w:after="0" w:line="240" w:lineRule="auto"/>
    </w:pPr>
  </w:style>
  <w:style w:type="character" w:customStyle="1" w:styleId="HeaderChar">
    <w:name w:val="Header Char"/>
    <w:basedOn w:val="DefaultParagraphFont"/>
    <w:link w:val="Header"/>
    <w:uiPriority w:val="99"/>
    <w:rsid w:val="005375D5"/>
  </w:style>
  <w:style w:type="paragraph" w:styleId="Footer">
    <w:name w:val="footer"/>
    <w:basedOn w:val="Normal"/>
    <w:link w:val="FooterChar"/>
    <w:uiPriority w:val="99"/>
    <w:unhideWhenUsed/>
    <w:rsid w:val="008D531D"/>
    <w:pPr>
      <w:pBdr>
        <w:top w:val="single" w:sz="4" w:space="5" w:color="auto"/>
        <w:bottom w:val="single" w:sz="4" w:space="6" w:color="auto"/>
      </w:pBdr>
      <w:tabs>
        <w:tab w:val="center" w:pos="4680"/>
        <w:tab w:val="right" w:pos="9360"/>
      </w:tabs>
      <w:spacing w:before="0" w:after="220" w:line="204" w:lineRule="auto"/>
    </w:pPr>
    <w:rPr>
      <w:rFonts w:ascii="Overpass" w:hAnsi="Overpass"/>
      <w:color w:val="808080"/>
      <w:sz w:val="16"/>
    </w:rPr>
  </w:style>
  <w:style w:type="character" w:customStyle="1" w:styleId="FooterChar">
    <w:name w:val="Footer Char"/>
    <w:basedOn w:val="DefaultParagraphFont"/>
    <w:link w:val="Footer"/>
    <w:uiPriority w:val="99"/>
    <w:rsid w:val="008D531D"/>
    <w:rPr>
      <w:rFonts w:ascii="Overpass" w:hAnsi="Overpass"/>
      <w:color w:val="808080"/>
      <w:spacing w:val="-2"/>
      <w:sz w:val="16"/>
    </w:rPr>
  </w:style>
  <w:style w:type="paragraph" w:customStyle="1" w:styleId="Section">
    <w:name w:val="Section"/>
    <w:basedOn w:val="Normal"/>
    <w:uiPriority w:val="8"/>
    <w:qFormat/>
    <w:rsid w:val="006D5FBB"/>
    <w:pPr>
      <w:spacing w:line="204" w:lineRule="auto"/>
      <w:outlineLvl w:val="0"/>
    </w:pPr>
    <w:rPr>
      <w:rFonts w:asciiTheme="majorHAnsi" w:hAnsiTheme="majorHAnsi"/>
      <w:caps/>
      <w:color w:val="00BE87" w:themeColor="accent2"/>
      <w:spacing w:val="0"/>
      <w:sz w:val="46"/>
    </w:rPr>
  </w:style>
  <w:style w:type="character" w:customStyle="1" w:styleId="Heading1Char">
    <w:name w:val="Heading 1 Char"/>
    <w:basedOn w:val="DefaultParagraphFont"/>
    <w:link w:val="Heading1"/>
    <w:uiPriority w:val="9"/>
    <w:rsid w:val="00CA34DF"/>
    <w:rPr>
      <w:rFonts w:ascii="Overpass" w:eastAsiaTheme="majorEastAsia" w:hAnsi="Overpass" w:cstheme="majorBidi"/>
      <w:caps/>
      <w:color w:val="000000" w:themeColor="text1"/>
      <w:spacing w:val="-2"/>
      <w:sz w:val="30"/>
      <w:szCs w:val="32"/>
    </w:rPr>
  </w:style>
  <w:style w:type="character" w:customStyle="1" w:styleId="Heading2Char">
    <w:name w:val="Heading 2 Char"/>
    <w:basedOn w:val="DefaultParagraphFont"/>
    <w:link w:val="Heading2"/>
    <w:uiPriority w:val="9"/>
    <w:rsid w:val="00BB79D2"/>
    <w:rPr>
      <w:rFonts w:ascii="Overpass" w:eastAsiaTheme="majorEastAsia" w:hAnsi="Overpass" w:cstheme="majorBidi"/>
      <w:spacing w:val="-2"/>
      <w:sz w:val="24"/>
      <w:szCs w:val="26"/>
    </w:rPr>
  </w:style>
  <w:style w:type="paragraph" w:customStyle="1" w:styleId="Bullet">
    <w:name w:val="Bullet"/>
    <w:basedOn w:val="Normal"/>
    <w:uiPriority w:val="1"/>
    <w:qFormat/>
    <w:rsid w:val="007D2EAD"/>
    <w:pPr>
      <w:numPr>
        <w:numId w:val="12"/>
      </w:numPr>
      <w:spacing w:before="100" w:after="100"/>
      <w:ind w:left="1384" w:hanging="284"/>
    </w:pPr>
  </w:style>
  <w:style w:type="character" w:customStyle="1" w:styleId="Heading3Char">
    <w:name w:val="Heading 3 Char"/>
    <w:basedOn w:val="DefaultParagraphFont"/>
    <w:link w:val="Heading3"/>
    <w:uiPriority w:val="9"/>
    <w:rsid w:val="006D5FBB"/>
    <w:rPr>
      <w:rFonts w:asciiTheme="majorHAnsi" w:eastAsiaTheme="majorEastAsia" w:hAnsiTheme="majorHAnsi" w:cstheme="majorBidi"/>
      <w:caps/>
      <w:color w:val="00BE87" w:themeColor="accent2"/>
      <w:sz w:val="24"/>
      <w:szCs w:val="24"/>
    </w:rPr>
  </w:style>
  <w:style w:type="paragraph" w:customStyle="1" w:styleId="Tabletext">
    <w:name w:val="Table text"/>
    <w:basedOn w:val="Normal"/>
    <w:uiPriority w:val="1"/>
    <w:qFormat/>
    <w:rsid w:val="007D2EAD"/>
    <w:pPr>
      <w:spacing w:before="80" w:after="80" w:line="240" w:lineRule="auto"/>
    </w:pPr>
    <w:rPr>
      <w:sz w:val="14"/>
    </w:rPr>
  </w:style>
  <w:style w:type="paragraph" w:customStyle="1" w:styleId="Tableheading">
    <w:name w:val="Table heading"/>
    <w:basedOn w:val="Normal"/>
    <w:uiPriority w:val="1"/>
    <w:qFormat/>
    <w:rsid w:val="00BB79D2"/>
    <w:pPr>
      <w:spacing w:before="80" w:after="80" w:line="240" w:lineRule="auto"/>
    </w:pPr>
    <w:rPr>
      <w:rFonts w:ascii="Overpass" w:hAnsi="Overpass"/>
      <w:b/>
      <w:caps/>
      <w:sz w:val="16"/>
    </w:rPr>
  </w:style>
  <w:style w:type="paragraph" w:styleId="FootnoteText">
    <w:name w:val="footnote text"/>
    <w:basedOn w:val="Normal"/>
    <w:link w:val="FootnoteTextChar"/>
    <w:uiPriority w:val="99"/>
    <w:unhideWhenUsed/>
    <w:rsid w:val="00A86E04"/>
    <w:pPr>
      <w:spacing w:after="0" w:line="240" w:lineRule="auto"/>
    </w:pPr>
    <w:rPr>
      <w:sz w:val="14"/>
      <w:szCs w:val="20"/>
    </w:rPr>
  </w:style>
  <w:style w:type="character" w:customStyle="1" w:styleId="FootnoteTextChar">
    <w:name w:val="Footnote Text Char"/>
    <w:basedOn w:val="DefaultParagraphFont"/>
    <w:link w:val="FootnoteText"/>
    <w:uiPriority w:val="99"/>
    <w:rsid w:val="00A86E04"/>
    <w:rPr>
      <w:sz w:val="14"/>
      <w:szCs w:val="20"/>
    </w:rPr>
  </w:style>
  <w:style w:type="character" w:styleId="PageNumber">
    <w:name w:val="page number"/>
    <w:basedOn w:val="DefaultParagraphFont"/>
    <w:uiPriority w:val="99"/>
    <w:unhideWhenUsed/>
    <w:rsid w:val="005375D5"/>
  </w:style>
  <w:style w:type="paragraph" w:customStyle="1" w:styleId="Page">
    <w:name w:val="Page"/>
    <w:basedOn w:val="Normal"/>
    <w:uiPriority w:val="99"/>
    <w:rsid w:val="0011785E"/>
    <w:pPr>
      <w:spacing w:before="0" w:after="0" w:line="240" w:lineRule="auto"/>
    </w:pPr>
    <w:rPr>
      <w:caps/>
      <w:sz w:val="14"/>
    </w:rPr>
  </w:style>
  <w:style w:type="table" w:styleId="TableGrid">
    <w:name w:val="Table Grid"/>
    <w:basedOn w:val="TableNormal"/>
    <w:uiPriority w:val="39"/>
    <w:rsid w:val="002003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3-Accent1">
    <w:name w:val="List Table 3 Accent 1"/>
    <w:basedOn w:val="TableNormal"/>
    <w:uiPriority w:val="48"/>
    <w:rsid w:val="002003B4"/>
    <w:pPr>
      <w:spacing w:after="0" w:line="240" w:lineRule="auto"/>
    </w:pPr>
    <w:tblPr>
      <w:tblStyleRowBandSize w:val="1"/>
      <w:tblStyleColBandSize w:val="1"/>
      <w:tblBorders>
        <w:top w:val="single" w:sz="4" w:space="0" w:color="00A0E6" w:themeColor="accent1"/>
        <w:left w:val="single" w:sz="4" w:space="0" w:color="00A0E6" w:themeColor="accent1"/>
        <w:bottom w:val="single" w:sz="4" w:space="0" w:color="00A0E6" w:themeColor="accent1"/>
        <w:right w:val="single" w:sz="4" w:space="0" w:color="00A0E6" w:themeColor="accent1"/>
      </w:tblBorders>
    </w:tblPr>
    <w:tblStylePr w:type="firstRow">
      <w:rPr>
        <w:b/>
        <w:bCs/>
        <w:color w:val="FFFFFF" w:themeColor="background1"/>
      </w:rPr>
      <w:tblPr/>
      <w:tcPr>
        <w:shd w:val="clear" w:color="auto" w:fill="00A0E6" w:themeFill="accent1"/>
      </w:tcPr>
    </w:tblStylePr>
    <w:tblStylePr w:type="lastRow">
      <w:rPr>
        <w:b/>
        <w:bCs/>
      </w:rPr>
      <w:tblPr/>
      <w:tcPr>
        <w:tcBorders>
          <w:top w:val="double" w:sz="4" w:space="0" w:color="00A0E6"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A0E6" w:themeColor="accent1"/>
          <w:right w:val="single" w:sz="4" w:space="0" w:color="00A0E6" w:themeColor="accent1"/>
        </w:tcBorders>
      </w:tcPr>
    </w:tblStylePr>
    <w:tblStylePr w:type="band1Horz">
      <w:tblPr/>
      <w:tcPr>
        <w:tcBorders>
          <w:top w:val="single" w:sz="4" w:space="0" w:color="00A0E6" w:themeColor="accent1"/>
          <w:bottom w:val="single" w:sz="4" w:space="0" w:color="00A0E6"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A0E6" w:themeColor="accent1"/>
          <w:left w:val="nil"/>
        </w:tcBorders>
      </w:tcPr>
    </w:tblStylePr>
    <w:tblStylePr w:type="swCell">
      <w:tblPr/>
      <w:tcPr>
        <w:tcBorders>
          <w:top w:val="double" w:sz="4" w:space="0" w:color="00A0E6" w:themeColor="accent1"/>
          <w:right w:val="nil"/>
        </w:tcBorders>
      </w:tcPr>
    </w:tblStylePr>
  </w:style>
  <w:style w:type="table" w:styleId="TableGridLight">
    <w:name w:val="Grid Table Light"/>
    <w:basedOn w:val="TableNormal"/>
    <w:uiPriority w:val="40"/>
    <w:rsid w:val="002003B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3">
    <w:name w:val="List Table 3"/>
    <w:basedOn w:val="TableNormal"/>
    <w:uiPriority w:val="48"/>
    <w:rsid w:val="00853B1B"/>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EQAUTable">
    <w:name w:val="EQAU Table"/>
    <w:basedOn w:val="TableNormal"/>
    <w:uiPriority w:val="99"/>
    <w:rsid w:val="007D691C"/>
    <w:pPr>
      <w:spacing w:after="0" w:line="240" w:lineRule="auto"/>
    </w:pPr>
    <w:tblPr>
      <w:tblBorders>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single" w:sz="4" w:space="0" w:color="FFFFFF" w:themeColor="background1"/>
          <w:left w:val="nil"/>
          <w:bottom w:val="single" w:sz="4" w:space="0" w:color="FFFFFF" w:themeColor="background1"/>
          <w:right w:val="nil"/>
          <w:insideH w:val="single" w:sz="4" w:space="0" w:color="FFFFFF" w:themeColor="background1"/>
          <w:insideV w:val="single" w:sz="4" w:space="0" w:color="FFFFFF" w:themeColor="background1"/>
        </w:tcBorders>
        <w:shd w:val="clear" w:color="auto" w:fill="00BE87" w:themeFill="accent2"/>
      </w:tcPr>
    </w:tblStylePr>
  </w:style>
  <w:style w:type="character" w:styleId="FootnoteReference">
    <w:name w:val="footnote reference"/>
    <w:basedOn w:val="DefaultParagraphFont"/>
    <w:uiPriority w:val="99"/>
    <w:semiHidden/>
    <w:unhideWhenUsed/>
    <w:rsid w:val="007D2EAD"/>
    <w:rPr>
      <w:vertAlign w:val="superscript"/>
    </w:rPr>
  </w:style>
  <w:style w:type="paragraph" w:customStyle="1" w:styleId="P1Footer">
    <w:name w:val="P1 Footer"/>
    <w:basedOn w:val="Footer"/>
    <w:uiPriority w:val="99"/>
    <w:rsid w:val="00223F49"/>
    <w:pPr>
      <w:pBdr>
        <w:top w:val="none" w:sz="0" w:space="0" w:color="auto"/>
        <w:bottom w:val="single" w:sz="8" w:space="8" w:color="auto"/>
      </w:pBdr>
    </w:pPr>
    <w:rPr>
      <w:color w:val="000000" w:themeColor="text1"/>
      <w:sz w:val="24"/>
    </w:rPr>
  </w:style>
  <w:style w:type="paragraph" w:styleId="Title">
    <w:name w:val="Title"/>
    <w:basedOn w:val="Normal"/>
    <w:next w:val="Normal"/>
    <w:link w:val="TitleChar"/>
    <w:uiPriority w:val="10"/>
    <w:qFormat/>
    <w:rsid w:val="000348D5"/>
    <w:pPr>
      <w:spacing w:before="0" w:after="0" w:line="192" w:lineRule="auto"/>
      <w:contextualSpacing/>
    </w:pPr>
    <w:rPr>
      <w:rFonts w:asciiTheme="majorHAnsi" w:eastAsiaTheme="majorEastAsia" w:hAnsiTheme="majorHAnsi" w:cstheme="majorBidi"/>
      <w:caps/>
      <w:color w:val="FFFFFF" w:themeColor="background1"/>
      <w:spacing w:val="0"/>
      <w:kern w:val="28"/>
      <w:sz w:val="74"/>
      <w:szCs w:val="56"/>
    </w:rPr>
  </w:style>
  <w:style w:type="character" w:customStyle="1" w:styleId="TitleChar">
    <w:name w:val="Title Char"/>
    <w:basedOn w:val="DefaultParagraphFont"/>
    <w:link w:val="Title"/>
    <w:uiPriority w:val="10"/>
    <w:rsid w:val="000348D5"/>
    <w:rPr>
      <w:rFonts w:asciiTheme="majorHAnsi" w:eastAsiaTheme="majorEastAsia" w:hAnsiTheme="majorHAnsi" w:cstheme="majorBidi"/>
      <w:caps/>
      <w:color w:val="FFFFFF" w:themeColor="background1"/>
      <w:kern w:val="28"/>
      <w:sz w:val="74"/>
      <w:szCs w:val="56"/>
    </w:rPr>
  </w:style>
  <w:style w:type="paragraph" w:styleId="Subtitle">
    <w:name w:val="Subtitle"/>
    <w:basedOn w:val="Normal"/>
    <w:next w:val="Normal"/>
    <w:link w:val="SubtitleChar"/>
    <w:uiPriority w:val="11"/>
    <w:rsid w:val="000348D5"/>
    <w:pPr>
      <w:numPr>
        <w:ilvl w:val="1"/>
      </w:numPr>
      <w:spacing w:before="240" w:after="0" w:line="216" w:lineRule="auto"/>
    </w:pPr>
    <w:rPr>
      <w:rFonts w:ascii="Overpass" w:eastAsiaTheme="minorEastAsia" w:hAnsi="Overpass"/>
      <w:caps/>
      <w:color w:val="FFFFFF" w:themeColor="background1"/>
      <w:spacing w:val="0"/>
      <w:sz w:val="24"/>
    </w:rPr>
  </w:style>
  <w:style w:type="character" w:customStyle="1" w:styleId="SubtitleChar">
    <w:name w:val="Subtitle Char"/>
    <w:basedOn w:val="DefaultParagraphFont"/>
    <w:link w:val="Subtitle"/>
    <w:uiPriority w:val="11"/>
    <w:rsid w:val="000348D5"/>
    <w:rPr>
      <w:rFonts w:ascii="Overpass" w:eastAsiaTheme="minorEastAsia" w:hAnsi="Overpass"/>
      <w:caps/>
      <w:color w:val="FFFFFF" w:themeColor="background1"/>
      <w:sz w:val="24"/>
    </w:rPr>
  </w:style>
  <w:style w:type="paragraph" w:styleId="TOCHeading">
    <w:name w:val="TOC Heading"/>
    <w:basedOn w:val="Heading1"/>
    <w:next w:val="Normal"/>
    <w:uiPriority w:val="39"/>
    <w:unhideWhenUsed/>
    <w:rsid w:val="006D5FBB"/>
    <w:pPr>
      <w:numPr>
        <w:numId w:val="0"/>
      </w:numPr>
      <w:spacing w:before="240" w:after="0" w:line="264" w:lineRule="auto"/>
      <w:outlineLvl w:val="9"/>
    </w:pPr>
    <w:rPr>
      <w:rFonts w:asciiTheme="majorHAnsi" w:hAnsiTheme="majorHAnsi"/>
      <w:color w:val="00BE87" w:themeColor="accent2"/>
      <w:sz w:val="32"/>
    </w:rPr>
  </w:style>
  <w:style w:type="paragraph" w:styleId="TOC1">
    <w:name w:val="toc 1"/>
    <w:basedOn w:val="Normal"/>
    <w:next w:val="Normal"/>
    <w:autoRedefine/>
    <w:uiPriority w:val="39"/>
    <w:unhideWhenUsed/>
    <w:rsid w:val="00BB79D2"/>
    <w:pPr>
      <w:spacing w:after="100"/>
    </w:pPr>
  </w:style>
  <w:style w:type="paragraph" w:styleId="TOC2">
    <w:name w:val="toc 2"/>
    <w:basedOn w:val="Normal"/>
    <w:next w:val="Normal"/>
    <w:autoRedefine/>
    <w:uiPriority w:val="39"/>
    <w:unhideWhenUsed/>
    <w:rsid w:val="00AC4D3E"/>
    <w:pPr>
      <w:tabs>
        <w:tab w:val="left" w:pos="660"/>
        <w:tab w:val="right" w:leader="dot" w:pos="8891"/>
      </w:tabs>
      <w:spacing w:after="100"/>
      <w:ind w:left="180"/>
    </w:pPr>
  </w:style>
  <w:style w:type="character" w:styleId="Hyperlink">
    <w:name w:val="Hyperlink"/>
    <w:basedOn w:val="DefaultParagraphFont"/>
    <w:uiPriority w:val="99"/>
    <w:unhideWhenUsed/>
    <w:rsid w:val="00BB79D2"/>
    <w:rPr>
      <w:color w:val="1C77A4" w:themeColor="hyperlink"/>
      <w:u w:val="single"/>
    </w:rPr>
  </w:style>
  <w:style w:type="character" w:customStyle="1" w:styleId="Heading4Char">
    <w:name w:val="Heading 4 Char"/>
    <w:basedOn w:val="DefaultParagraphFont"/>
    <w:link w:val="Heading4"/>
    <w:uiPriority w:val="9"/>
    <w:semiHidden/>
    <w:rsid w:val="00B976A7"/>
    <w:rPr>
      <w:rFonts w:asciiTheme="majorHAnsi" w:eastAsiaTheme="majorEastAsia" w:hAnsiTheme="majorHAnsi" w:cstheme="majorBidi"/>
      <w:iCs/>
      <w:caps/>
      <w:color w:val="0077AC" w:themeColor="accent1" w:themeShade="BF"/>
      <w:spacing w:val="-2"/>
      <w:sz w:val="18"/>
    </w:rPr>
  </w:style>
  <w:style w:type="paragraph" w:styleId="NoSpacing">
    <w:name w:val="No Spacing"/>
    <w:uiPriority w:val="1"/>
    <w:qFormat/>
    <w:rsid w:val="00F47ADF"/>
    <w:pPr>
      <w:spacing w:after="0" w:line="240" w:lineRule="auto"/>
    </w:pPr>
    <w:rPr>
      <w:spacing w:val="-2"/>
      <w:sz w:val="18"/>
    </w:rPr>
  </w:style>
  <w:style w:type="paragraph" w:customStyle="1" w:styleId="P1footer0">
    <w:name w:val="P1 footer"/>
    <w:basedOn w:val="Footer"/>
    <w:rsid w:val="00CF4449"/>
    <w:pPr>
      <w:pBdr>
        <w:top w:val="none" w:sz="0" w:space="0" w:color="auto"/>
        <w:bottom w:val="none" w:sz="0" w:space="0" w:color="auto"/>
      </w:pBdr>
      <w:spacing w:after="0"/>
    </w:pPr>
    <w:rPr>
      <w:color w:val="auto"/>
    </w:rPr>
  </w:style>
  <w:style w:type="paragraph" w:customStyle="1" w:styleId="Intro">
    <w:name w:val="Intro"/>
    <w:basedOn w:val="Normal"/>
    <w:uiPriority w:val="1"/>
    <w:qFormat/>
    <w:rsid w:val="003C111F"/>
    <w:rPr>
      <w:rFonts w:ascii="Overpass" w:hAnsi="Overpass"/>
      <w:b/>
    </w:rPr>
  </w:style>
  <w:style w:type="paragraph" w:customStyle="1" w:styleId="FooterEQAU">
    <w:name w:val="FooterEQAU"/>
    <w:next w:val="Normal"/>
    <w:qFormat/>
    <w:rsid w:val="0011785E"/>
    <w:pPr>
      <w:spacing w:after="0" w:line="240" w:lineRule="auto"/>
    </w:pPr>
    <w:rPr>
      <w:rFonts w:ascii="PhosphateSolid" w:hAnsi="PhosphateSolid"/>
      <w:caps/>
      <w:color w:val="000000" w:themeColor="text1"/>
      <w:sz w:val="24"/>
    </w:rPr>
  </w:style>
  <w:style w:type="paragraph" w:styleId="BalloonText">
    <w:name w:val="Balloon Text"/>
    <w:basedOn w:val="Normal"/>
    <w:link w:val="BalloonTextChar"/>
    <w:uiPriority w:val="99"/>
    <w:semiHidden/>
    <w:unhideWhenUsed/>
    <w:rsid w:val="006B4C7F"/>
    <w:pPr>
      <w:spacing w:before="0"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6B4C7F"/>
    <w:rPr>
      <w:rFonts w:ascii="Segoe UI" w:hAnsi="Segoe UI" w:cs="Segoe UI"/>
      <w:spacing w:val="-2"/>
      <w:sz w:val="18"/>
      <w:szCs w:val="18"/>
    </w:rPr>
  </w:style>
  <w:style w:type="paragraph" w:customStyle="1" w:styleId="DJCSbody">
    <w:name w:val="DJCS body"/>
    <w:qFormat/>
    <w:rsid w:val="00F32BFA"/>
    <w:pPr>
      <w:spacing w:after="120" w:line="250" w:lineRule="atLeast"/>
    </w:pPr>
    <w:rPr>
      <w:rFonts w:ascii="Arial" w:eastAsia="Times" w:hAnsi="Arial" w:cs="Times New Roman"/>
      <w:szCs w:val="20"/>
    </w:rPr>
  </w:style>
  <w:style w:type="character" w:styleId="UnresolvedMention">
    <w:name w:val="Unresolved Mention"/>
    <w:basedOn w:val="DefaultParagraphFont"/>
    <w:uiPriority w:val="99"/>
    <w:semiHidden/>
    <w:unhideWhenUsed/>
    <w:rsid w:val="009410C4"/>
    <w:rPr>
      <w:color w:val="605E5C"/>
      <w:shd w:val="clear" w:color="auto" w:fill="E1DFDD"/>
    </w:rPr>
  </w:style>
  <w:style w:type="paragraph" w:styleId="ListParagraph">
    <w:name w:val="List Paragraph"/>
    <w:basedOn w:val="Normal"/>
    <w:uiPriority w:val="34"/>
    <w:rsid w:val="00A539BF"/>
    <w:pPr>
      <w:ind w:left="720"/>
      <w:contextualSpacing/>
    </w:pPr>
  </w:style>
  <w:style w:type="character" w:styleId="CommentReference">
    <w:name w:val="annotation reference"/>
    <w:basedOn w:val="DefaultParagraphFont"/>
    <w:uiPriority w:val="99"/>
    <w:semiHidden/>
    <w:unhideWhenUsed/>
    <w:rsid w:val="002C698C"/>
    <w:rPr>
      <w:sz w:val="16"/>
      <w:szCs w:val="16"/>
    </w:rPr>
  </w:style>
  <w:style w:type="paragraph" w:styleId="CommentText">
    <w:name w:val="annotation text"/>
    <w:basedOn w:val="Normal"/>
    <w:link w:val="CommentTextChar"/>
    <w:uiPriority w:val="99"/>
    <w:semiHidden/>
    <w:unhideWhenUsed/>
    <w:rsid w:val="002C698C"/>
    <w:pPr>
      <w:spacing w:line="240" w:lineRule="auto"/>
    </w:pPr>
    <w:rPr>
      <w:sz w:val="20"/>
      <w:szCs w:val="20"/>
    </w:rPr>
  </w:style>
  <w:style w:type="character" w:customStyle="1" w:styleId="CommentTextChar">
    <w:name w:val="Comment Text Char"/>
    <w:basedOn w:val="DefaultParagraphFont"/>
    <w:link w:val="CommentText"/>
    <w:uiPriority w:val="99"/>
    <w:semiHidden/>
    <w:rsid w:val="002C698C"/>
    <w:rPr>
      <w:spacing w:val="-2"/>
      <w:sz w:val="20"/>
      <w:szCs w:val="20"/>
    </w:rPr>
  </w:style>
  <w:style w:type="paragraph" w:styleId="CommentSubject">
    <w:name w:val="annotation subject"/>
    <w:basedOn w:val="CommentText"/>
    <w:next w:val="CommentText"/>
    <w:link w:val="CommentSubjectChar"/>
    <w:uiPriority w:val="99"/>
    <w:semiHidden/>
    <w:unhideWhenUsed/>
    <w:rsid w:val="002C698C"/>
    <w:rPr>
      <w:b/>
      <w:bCs/>
    </w:rPr>
  </w:style>
  <w:style w:type="character" w:customStyle="1" w:styleId="CommentSubjectChar">
    <w:name w:val="Comment Subject Char"/>
    <w:basedOn w:val="CommentTextChar"/>
    <w:link w:val="CommentSubject"/>
    <w:uiPriority w:val="99"/>
    <w:semiHidden/>
    <w:rsid w:val="002C698C"/>
    <w:rPr>
      <w:b/>
      <w:bCs/>
      <w:spacing w:val="-2"/>
      <w:sz w:val="20"/>
      <w:szCs w:val="20"/>
    </w:rPr>
  </w:style>
  <w:style w:type="paragraph" w:styleId="Revision">
    <w:name w:val="Revision"/>
    <w:hidden/>
    <w:uiPriority w:val="99"/>
    <w:semiHidden/>
    <w:rsid w:val="00EF28A0"/>
    <w:pPr>
      <w:spacing w:after="0" w:line="240" w:lineRule="auto"/>
    </w:pPr>
    <w:rPr>
      <w:spacing w:val="-2"/>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97238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hyperlink" Target="https://www.abbi.org.au/wp-content/uploads/2018/05/REPORT-Gay-Conversion-Therapy-in-Australia-Anthony-Venn-Brown-ABBI-20180527FN.pdf" TargetMode="Externa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hyperlink" Target="https://thebravenetwork.org/wp-content/uploads/2019/11/SOGICE-Survivor-Statement-v2-Nov-2019.pdf" TargetMode="External"/><Relationship Id="rId2" Type="http://schemas.openxmlformats.org/officeDocument/2006/relationships/customXml" Target="../customXml/item2.xml"/><Relationship Id="rId16" Type="http://schemas.openxmlformats.org/officeDocument/2006/relationships/header" Target="header4.xml"/><Relationship Id="rId20" Type="http://schemas.openxmlformats.org/officeDocument/2006/relationships/hyperlink" Target="https://www2.health.vic.gov.au/Api/downloadmedia/%7B22A41303-D7B0-4C08-B7BF-5A63070F5F94%7D"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hyperlink" Target="https://www.hrlc.org.au/s/LGBT-conversion-therapy-in-Australia-v2.pd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3.xm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8" Type="http://schemas.openxmlformats.org/officeDocument/2006/relationships/hyperlink" Target="https://www.sbs.com.au/news/the-feed/it-happens-here-underage-forced-marriage-in-suburban-australia" TargetMode="External"/><Relationship Id="rId3" Type="http://schemas.openxmlformats.org/officeDocument/2006/relationships/hyperlink" Target="https://www.google.com/url?sa=t&amp;rct=j&amp;q=&amp;esrc=s&amp;source=web&amp;cd=3&amp;ved=2ahUKEwjZo6eT3LjmAhWSzjgGHW_MBeYQFjACegQIARAC&amp;url=https%3A%2F%2Fama.com.au%2Fsites%2Fdefault%2Ffiles%2Fdocuments%2FSexual_Diversity_and_Gender_Identity.doc&amp;usg=AOvVaw2pEwXQU4EHAg7LpQzzyz4R" TargetMode="External"/><Relationship Id="rId7" Type="http://schemas.openxmlformats.org/officeDocument/2006/relationships/hyperlink" Target="http://hrlibrary.umn.edu/gencomm/hrcom22.htm" TargetMode="External"/><Relationship Id="rId2" Type="http://schemas.openxmlformats.org/officeDocument/2006/relationships/hyperlink" Target="https://www.hrlc.org.au/s/LGBT-conversion-therapy-in-Australia-v2.pdf" TargetMode="External"/><Relationship Id="rId1" Type="http://schemas.openxmlformats.org/officeDocument/2006/relationships/hyperlink" Target="https://hcc.vic.gov.au/news/151-inquiry-conversion-therapy" TargetMode="External"/><Relationship Id="rId6" Type="http://schemas.openxmlformats.org/officeDocument/2006/relationships/hyperlink" Target="https://www.ranzcp.org/news-policy/policy-and-advocacy/position-statements/sexual-orientation-change-efforts" TargetMode="External"/><Relationship Id="rId5" Type="http://schemas.openxmlformats.org/officeDocument/2006/relationships/hyperlink" Target="http://www.pacfa.org.au/wp-content/uploads/2018/09/Scope-of-Practice-for-Registered-Counsellors-2018.pdf" TargetMode="External"/><Relationship Id="rId4" Type="http://schemas.openxmlformats.org/officeDocument/2006/relationships/hyperlink" Target="https://www.psychology.org.au/getmedia/ebd486a2-761c-403c-bdef-406fda87dc4b/Position-Statement-Sexual-Orientation.pdf" TargetMode="External"/><Relationship Id="rId9" Type="http://schemas.openxmlformats.org/officeDocument/2006/relationships/hyperlink" Target="http://www.austlii.edu.au/cgi-bin/viewdoc/au/cases/nsw/NSWMPSC/2012/8.html?context=1;query=Dr%20Mark%20Christopher%20James%20Craddock%20;mask_path=au/cases/nsw/NSWSC+au/cases/nsw/NSWCA+au/cases/nsw/NSWCCA+au/cases/nsw/NSWCIMC+au/cases/nsw/NSWCC+au/cases/nsw/NSWDC+au/cases/nsw/NSWDRGC+au/cases/nsw/NSWIC+au/cases/nsw/NSWKnoxRp+au/cases/nsw/NSWLEC+au/cases/nsw/NSWLeggeSC+au/cases/nsw/NSWLawRp+au/cases/nsw/NSWStRp+au/cases/nsw/NSWADT+au/cases/nsw/NSWADTAP+au/cases/nsw/NSWCATAP+au/cases/nsw/NSWCATAD+au/cases/nsw/NSWCATCD+au/cases/nsw/NSWCATGD+au/cases/nsw/NSWCATOD+au/cases/nsw/NSWCHT+au/cases/nsw/csat+au/cases/nsw/NSWCTTT+au/cases/nsw/NSWDT+au/cases/nsw/NSWDDT+au/cases/nsw/NSWFTT+au/cases/nsw/NSWGT+au/cases/nsw/NSWIRComm+au/cases/nsw/NSWIndGaz+au/cases/nsw/NSWMPSC+au/cases/nsw/NSWMT+au/cases/nsw/NSWMHRT+au/cases/nsw/NSWPrivCmr+au/cases/nsw/NSWNMT+au/cases/nsw/NSWNMPSC+au/cases/nsw/NSWOPT+au/cases/nsw/NSWOST+au/cases/nsw/NSWPB+au/cases/nsw/NSWPHT+au/cases/nsw/NSWPYT+au/cases/nsw/NSWPDT+au/cases/nsw/NSWPST+au/cases/nsw/NSWPST+au/cases/nsw/NSWSSB+au/cases/nsw/NSWWCCPD+au/cases/nsw/NSWSupC+au/cases/nsw/AUESFA+au/cases/nsw/AUESFAAC+au/legis/nsw/consol_act+au/legis/nsw/num_act+au/legis/nsw/repealed_act+au/legis/nsw/consol_reg+au/legis/nsw/num_reg+au/legis/nsw/num_epi+au/legis/nsw/repealed_reg+au/legis/nsw/bill+au/legis/nsw/bill_en+au/cases/nsw/NSWSupC+au/other/NSWOmbSRP+au/other/rulings/nswosr/NSWOSRBF+au/other/rulings/nswosr/NSWOSRDUT+au/other/rulings/nswosr/NSWOSRFHOG+au/other/rulings/nswosr/NSWOSRG+au/other/rulings/nswosr/NSWOSRLT+au/other/rulings/nswosr/NSWOSRPT+au/other/rulings/nswosr/NSWOSRPTA+au/other/rulings/nswosr/NSWOSRPSL+au/other/rulings/nswosr/NSWOSRSD+au/other/rulings/nswosr/NSWOSRTAA+au/other/rulings/nswosr/NSWOSRUCM" TargetMode="External"/></Relationships>
</file>

<file path=word/_rels/head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kassisieh\AppData\Local\Packages\Microsoft.MicrosoftEdge_8wekyb3d8bbwe\TempState\Downloads\Report%20picture%20cover%20Green%20(1).dotx" TargetMode="External"/></Relationships>
</file>

<file path=word/theme/theme1.xml><?xml version="1.0" encoding="utf-8"?>
<a:theme xmlns:a="http://schemas.openxmlformats.org/drawingml/2006/main" name="Office Theme">
  <a:themeElements>
    <a:clrScheme name="EQAU">
      <a:dk1>
        <a:sysClr val="windowText" lastClr="000000"/>
      </a:dk1>
      <a:lt1>
        <a:sysClr val="window" lastClr="FFFFFF"/>
      </a:lt1>
      <a:dk2>
        <a:srgbClr val="44546A"/>
      </a:dk2>
      <a:lt2>
        <a:srgbClr val="E7E6E6"/>
      </a:lt2>
      <a:accent1>
        <a:srgbClr val="00A0E6"/>
      </a:accent1>
      <a:accent2>
        <a:srgbClr val="00BE87"/>
      </a:accent2>
      <a:accent3>
        <a:srgbClr val="FFD200"/>
      </a:accent3>
      <a:accent4>
        <a:srgbClr val="FFA50A"/>
      </a:accent4>
      <a:accent5>
        <a:srgbClr val="DC1450"/>
      </a:accent5>
      <a:accent6>
        <a:srgbClr val="B41EAA"/>
      </a:accent6>
      <a:hlink>
        <a:srgbClr val="1C77A4"/>
      </a:hlink>
      <a:folHlink>
        <a:srgbClr val="7F7F7F"/>
      </a:folHlink>
    </a:clrScheme>
    <a:fontScheme name="EQAU">
      <a:majorFont>
        <a:latin typeface="PhosphateSolid"/>
        <a:ea typeface=""/>
        <a:cs typeface=""/>
      </a:majorFont>
      <a:minorFont>
        <a:latin typeface="Overpass Ligh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48BAB1-D0AA-426A-B242-D36E2F6074A2}"/>
</file>

<file path=customXml/itemProps2.xml><?xml version="1.0" encoding="utf-8"?>
<ds:datastoreItem xmlns:ds="http://schemas.openxmlformats.org/officeDocument/2006/customXml" ds:itemID="{B74EF100-C200-4085-A93D-83D3B18CCBD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7FBFCCB-74E7-4719-972B-1D6951F515D5}">
  <ds:schemaRefs>
    <ds:schemaRef ds:uri="http://schemas.microsoft.com/sharepoint/v3/contenttype/forms"/>
  </ds:schemaRefs>
</ds:datastoreItem>
</file>

<file path=customXml/itemProps4.xml><?xml version="1.0" encoding="utf-8"?>
<ds:datastoreItem xmlns:ds="http://schemas.openxmlformats.org/officeDocument/2006/customXml" ds:itemID="{AEBC257A-932A-4986-BACF-282FC8511E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picture cover Green (1)</Template>
  <TotalTime>272</TotalTime>
  <Pages>16</Pages>
  <Words>6591</Words>
  <Characters>37573</Characters>
  <Application>Microsoft Office Word</Application>
  <DocSecurity>0</DocSecurity>
  <Lines>313</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Ghassan Kassisieh</dc:creator>
  <cp:keywords/>
  <dc:description/>
  <cp:lastModifiedBy>Ghassan Kassisieh</cp:lastModifiedBy>
  <cp:revision>166</cp:revision>
  <cp:lastPrinted>2019-12-20T04:53:00Z</cp:lastPrinted>
  <dcterms:created xsi:type="dcterms:W3CDTF">2019-12-16T12:02:00Z</dcterms:created>
  <dcterms:modified xsi:type="dcterms:W3CDTF">2019-12-20T04:54:00Z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0x0101008822B9E06671B54FA89F14538B9B0FEA</vt:lpwstr>
  </property>
</Properties>
</file>