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251FC" w14:textId="77777777" w:rsidR="00A71B2E" w:rsidRDefault="00A71B2E" w:rsidP="00A71B2E">
      <w:pPr>
        <w:pStyle w:val="Heading2"/>
        <w:jc w:val="center"/>
        <w:rPr>
          <w:rFonts w:ascii="Arial" w:hAnsi="Arial" w:cs="Arial"/>
          <w:color w:val="FF0000"/>
          <w:sz w:val="28"/>
          <w:szCs w:val="22"/>
        </w:rPr>
      </w:pPr>
    </w:p>
    <w:p w14:paraId="1D9DEC05" w14:textId="77777777" w:rsidR="003B4A97" w:rsidRPr="00A71B2E" w:rsidRDefault="00FC7DD2" w:rsidP="00A71B2E">
      <w:pPr>
        <w:pStyle w:val="Heading2"/>
        <w:jc w:val="center"/>
        <w:rPr>
          <w:rFonts w:ascii="Arial" w:hAnsi="Arial" w:cs="Arial"/>
          <w:color w:val="FF0000"/>
          <w:sz w:val="28"/>
          <w:szCs w:val="22"/>
        </w:rPr>
      </w:pPr>
      <w:r w:rsidRPr="00A71B2E">
        <w:rPr>
          <w:rFonts w:ascii="Arial" w:hAnsi="Arial" w:cs="Arial"/>
          <w:color w:val="FF0000"/>
          <w:sz w:val="28"/>
          <w:szCs w:val="22"/>
        </w:rPr>
        <w:t>The</w:t>
      </w:r>
      <w:r w:rsidR="008F3C9D" w:rsidRPr="00A71B2E">
        <w:rPr>
          <w:rFonts w:ascii="Arial" w:hAnsi="Arial" w:cs="Arial"/>
          <w:color w:val="FF0000"/>
          <w:sz w:val="28"/>
          <w:szCs w:val="22"/>
        </w:rPr>
        <w:t xml:space="preserve"> impact of arms transfers on human rights</w:t>
      </w:r>
    </w:p>
    <w:p w14:paraId="4E743057" w14:textId="77777777" w:rsidR="00FC7DD2" w:rsidRPr="00804728" w:rsidRDefault="00FC7DD2" w:rsidP="00FC7DD2">
      <w:pPr>
        <w:rPr>
          <w:rFonts w:ascii="Arial" w:hAnsi="Arial" w:cs="Arial"/>
          <w:sz w:val="22"/>
          <w:szCs w:val="22"/>
        </w:rPr>
      </w:pPr>
    </w:p>
    <w:p w14:paraId="697FF284" w14:textId="77777777" w:rsidR="00A71B2E" w:rsidRDefault="00A71B2E" w:rsidP="00FC7DD2">
      <w:pPr>
        <w:rPr>
          <w:rFonts w:ascii="Arial" w:hAnsi="Arial" w:cs="Arial"/>
          <w:sz w:val="22"/>
          <w:szCs w:val="22"/>
        </w:rPr>
      </w:pPr>
    </w:p>
    <w:p w14:paraId="5A6F601B" w14:textId="2272BC40" w:rsidR="00FC7DD2" w:rsidRPr="00804728" w:rsidRDefault="009F35BE" w:rsidP="00FC7DD2">
      <w:pPr>
        <w:rPr>
          <w:rFonts w:ascii="Arial" w:hAnsi="Arial" w:cs="Arial"/>
          <w:sz w:val="22"/>
          <w:szCs w:val="22"/>
        </w:rPr>
      </w:pPr>
      <w:r>
        <w:rPr>
          <w:rFonts w:ascii="Arial" w:hAnsi="Arial" w:cs="Arial"/>
          <w:sz w:val="22"/>
          <w:szCs w:val="22"/>
        </w:rPr>
        <w:t xml:space="preserve">Please note that we have focused our responses on questions 1, 4 and 5. </w:t>
      </w:r>
      <w:r w:rsidR="00995B6F">
        <w:rPr>
          <w:rFonts w:ascii="Arial" w:hAnsi="Arial" w:cs="Arial"/>
          <w:sz w:val="22"/>
          <w:szCs w:val="22"/>
        </w:rPr>
        <w:t xml:space="preserve">Further responses from specific Control Arms members (e.g. Amnesty International) may address in more detail. </w:t>
      </w:r>
    </w:p>
    <w:p w14:paraId="7DC6D83A" w14:textId="77777777" w:rsidR="008F3C9D" w:rsidRPr="00804728" w:rsidRDefault="008F3C9D">
      <w:pPr>
        <w:rPr>
          <w:rFonts w:ascii="Arial" w:hAnsi="Arial" w:cs="Arial"/>
          <w:sz w:val="22"/>
          <w:szCs w:val="22"/>
        </w:rPr>
      </w:pPr>
    </w:p>
    <w:p w14:paraId="506222E7" w14:textId="26DEDF14" w:rsidR="008F3C9D" w:rsidRPr="00804728" w:rsidRDefault="002D27B5" w:rsidP="0012533B">
      <w:pPr>
        <w:rPr>
          <w:rFonts w:ascii="Arial" w:hAnsi="Arial" w:cs="Arial"/>
          <w:b/>
          <w:sz w:val="22"/>
          <w:szCs w:val="22"/>
        </w:rPr>
      </w:pPr>
      <w:r>
        <w:rPr>
          <w:rFonts w:ascii="Arial" w:hAnsi="Arial" w:cs="Arial"/>
          <w:b/>
          <w:sz w:val="22"/>
          <w:szCs w:val="22"/>
        </w:rPr>
        <w:t xml:space="preserve">Question 1: </w:t>
      </w:r>
      <w:r w:rsidR="00EF7B41" w:rsidRPr="00804728">
        <w:rPr>
          <w:rFonts w:ascii="Arial" w:hAnsi="Arial" w:cs="Arial"/>
          <w:b/>
          <w:sz w:val="22"/>
          <w:szCs w:val="22"/>
        </w:rPr>
        <w:t>Please identify the ways that arms transfers impact on the enjoyment of human rights. Are there rights that are particularly affected? Are there groups of rights-holders which are particularly affected?</w:t>
      </w:r>
    </w:p>
    <w:p w14:paraId="5FE1DF3E" w14:textId="77777777" w:rsidR="001A6C3D" w:rsidRPr="00804728" w:rsidRDefault="001A6C3D" w:rsidP="001A6C3D">
      <w:pPr>
        <w:rPr>
          <w:rFonts w:ascii="Arial" w:hAnsi="Arial" w:cs="Arial"/>
          <w:sz w:val="22"/>
          <w:szCs w:val="22"/>
        </w:rPr>
      </w:pPr>
    </w:p>
    <w:p w14:paraId="54EAF95B" w14:textId="5D6E66D6" w:rsidR="002E6F34" w:rsidRPr="00804728" w:rsidRDefault="008F0E26" w:rsidP="0012533B">
      <w:pPr>
        <w:pStyle w:val="ListParagraph"/>
        <w:numPr>
          <w:ilvl w:val="0"/>
          <w:numId w:val="7"/>
        </w:numPr>
        <w:rPr>
          <w:rFonts w:ascii="Arial" w:hAnsi="Arial" w:cs="Arial"/>
          <w:sz w:val="22"/>
          <w:szCs w:val="22"/>
        </w:rPr>
      </w:pPr>
      <w:r w:rsidRPr="00804728">
        <w:rPr>
          <w:rFonts w:ascii="Arial" w:hAnsi="Arial" w:cs="Arial"/>
          <w:sz w:val="22"/>
          <w:szCs w:val="22"/>
        </w:rPr>
        <w:t>The internationa</w:t>
      </w:r>
      <w:r w:rsidR="00995B6F">
        <w:rPr>
          <w:rFonts w:ascii="Arial" w:hAnsi="Arial" w:cs="Arial"/>
          <w:sz w:val="22"/>
          <w:szCs w:val="22"/>
        </w:rPr>
        <w:t>l trade in conventional arms</w:t>
      </w:r>
      <w:r w:rsidRPr="00804728">
        <w:rPr>
          <w:rFonts w:ascii="Arial" w:hAnsi="Arial" w:cs="Arial"/>
          <w:sz w:val="22"/>
          <w:szCs w:val="22"/>
        </w:rPr>
        <w:t xml:space="preserve"> affect</w:t>
      </w:r>
      <w:r w:rsidR="00995B6F">
        <w:rPr>
          <w:rFonts w:ascii="Arial" w:hAnsi="Arial" w:cs="Arial"/>
          <w:sz w:val="22"/>
          <w:szCs w:val="22"/>
        </w:rPr>
        <w:t>s</w:t>
      </w:r>
      <w:r w:rsidRPr="00804728">
        <w:rPr>
          <w:rFonts w:ascii="Arial" w:hAnsi="Arial" w:cs="Arial"/>
          <w:sz w:val="22"/>
          <w:szCs w:val="22"/>
        </w:rPr>
        <w:t xml:space="preserve"> a wide range of human rights protected under international agreements and customary i</w:t>
      </w:r>
      <w:r w:rsidR="00B276BE" w:rsidRPr="00804728">
        <w:rPr>
          <w:rFonts w:ascii="Arial" w:hAnsi="Arial" w:cs="Arial"/>
          <w:sz w:val="22"/>
          <w:szCs w:val="22"/>
        </w:rPr>
        <w:t>nternational law. These include, but are not limited to: the rights to life;</w:t>
      </w:r>
      <w:r w:rsidRPr="00804728">
        <w:rPr>
          <w:rFonts w:ascii="Arial" w:hAnsi="Arial" w:cs="Arial"/>
          <w:sz w:val="22"/>
          <w:szCs w:val="22"/>
        </w:rPr>
        <w:t xml:space="preserve"> freedom from torture and other forms of cruel, inhuman or degrading treatment; liberty and security of person; freedom from slavery; freedom of thought, conscience and religion; freedom</w:t>
      </w:r>
      <w:r w:rsidR="00B276BE" w:rsidRPr="00804728">
        <w:rPr>
          <w:rFonts w:ascii="Arial" w:hAnsi="Arial" w:cs="Arial"/>
          <w:sz w:val="22"/>
          <w:szCs w:val="22"/>
        </w:rPr>
        <w:t xml:space="preserve"> of assembly and of </w:t>
      </w:r>
      <w:r w:rsidR="00514510" w:rsidRPr="00804728">
        <w:rPr>
          <w:rFonts w:ascii="Arial" w:hAnsi="Arial" w:cs="Arial"/>
          <w:sz w:val="22"/>
          <w:szCs w:val="22"/>
        </w:rPr>
        <w:t>expression</w:t>
      </w:r>
      <w:r w:rsidR="00B276BE" w:rsidRPr="00804728">
        <w:rPr>
          <w:rFonts w:ascii="Arial" w:hAnsi="Arial" w:cs="Arial"/>
          <w:sz w:val="22"/>
          <w:szCs w:val="22"/>
        </w:rPr>
        <w:t>, as well as the rights to health, education, food and housing.</w:t>
      </w:r>
      <w:r w:rsidR="00B276BE" w:rsidRPr="00804728">
        <w:rPr>
          <w:rStyle w:val="FootnoteReference"/>
          <w:rFonts w:ascii="Arial" w:hAnsi="Arial" w:cs="Arial"/>
          <w:sz w:val="22"/>
          <w:szCs w:val="22"/>
        </w:rPr>
        <w:footnoteReference w:id="1"/>
      </w:r>
      <w:r w:rsidR="00B276BE" w:rsidRPr="00804728">
        <w:rPr>
          <w:rFonts w:ascii="Arial" w:hAnsi="Arial" w:cs="Arial"/>
          <w:sz w:val="22"/>
          <w:szCs w:val="22"/>
        </w:rPr>
        <w:t xml:space="preserve"> </w:t>
      </w:r>
      <w:r w:rsidR="00514510" w:rsidRPr="00804728">
        <w:rPr>
          <w:rFonts w:ascii="Arial" w:hAnsi="Arial" w:cs="Arial"/>
          <w:sz w:val="22"/>
          <w:szCs w:val="22"/>
        </w:rPr>
        <w:t xml:space="preserve"> </w:t>
      </w:r>
    </w:p>
    <w:p w14:paraId="504F2D4D" w14:textId="77777777" w:rsidR="002E6F34" w:rsidRPr="00804728" w:rsidRDefault="002E6F34" w:rsidP="002E6F34">
      <w:pPr>
        <w:pStyle w:val="ListParagraph"/>
        <w:ind w:left="360"/>
        <w:rPr>
          <w:rFonts w:ascii="Arial" w:hAnsi="Arial" w:cs="Arial"/>
          <w:sz w:val="22"/>
          <w:szCs w:val="22"/>
        </w:rPr>
      </w:pPr>
    </w:p>
    <w:p w14:paraId="254EB092" w14:textId="016313D3" w:rsidR="008F0E26" w:rsidRPr="00804728" w:rsidRDefault="002E6F34" w:rsidP="00804728">
      <w:pPr>
        <w:pStyle w:val="ListParagraph"/>
        <w:numPr>
          <w:ilvl w:val="0"/>
          <w:numId w:val="7"/>
        </w:numPr>
        <w:rPr>
          <w:rFonts w:ascii="Arial" w:hAnsi="Arial" w:cs="Arial"/>
          <w:sz w:val="22"/>
          <w:szCs w:val="22"/>
        </w:rPr>
      </w:pPr>
      <w:r w:rsidRPr="00804728">
        <w:rPr>
          <w:rFonts w:ascii="Arial" w:hAnsi="Arial" w:cs="Arial"/>
          <w:sz w:val="22"/>
          <w:szCs w:val="22"/>
        </w:rPr>
        <w:t xml:space="preserve">The impact of arms transfers on human rights is explicitly linked and addressed by the Arms Trade Treaty (ATT), which entered into force in December 2014. </w:t>
      </w:r>
      <w:r w:rsidR="00804728" w:rsidRPr="00804728">
        <w:rPr>
          <w:rFonts w:ascii="Arial" w:hAnsi="Arial" w:cs="Arial"/>
          <w:sz w:val="22"/>
          <w:szCs w:val="22"/>
        </w:rPr>
        <w:t>S</w:t>
      </w:r>
      <w:r w:rsidR="00CA2E1E" w:rsidRPr="00804728">
        <w:rPr>
          <w:rFonts w:ascii="Arial" w:hAnsi="Arial" w:cs="Arial"/>
          <w:sz w:val="22"/>
          <w:szCs w:val="22"/>
        </w:rPr>
        <w:t xml:space="preserve">tates Parties to the ATT </w:t>
      </w:r>
      <w:r w:rsidR="00804728" w:rsidRPr="00804728">
        <w:rPr>
          <w:rFonts w:ascii="Arial" w:hAnsi="Arial" w:cs="Arial"/>
          <w:sz w:val="22"/>
          <w:szCs w:val="22"/>
        </w:rPr>
        <w:t xml:space="preserve">are now legally obligated </w:t>
      </w:r>
      <w:r w:rsidR="00CA2E1E" w:rsidRPr="00804728">
        <w:rPr>
          <w:rFonts w:ascii="Arial" w:hAnsi="Arial" w:cs="Arial"/>
          <w:sz w:val="22"/>
          <w:szCs w:val="22"/>
        </w:rPr>
        <w:t xml:space="preserve">to deny arms transfers that could enable human rights abuses. </w:t>
      </w:r>
      <w:r w:rsidRPr="00804728">
        <w:rPr>
          <w:rFonts w:ascii="Arial" w:hAnsi="Arial" w:cs="Arial"/>
          <w:sz w:val="22"/>
          <w:szCs w:val="22"/>
        </w:rPr>
        <w:t xml:space="preserve">Article 6 (Prohibitions) </w:t>
      </w:r>
      <w:r w:rsidR="00CA2E1E" w:rsidRPr="00804728">
        <w:rPr>
          <w:rFonts w:ascii="Arial" w:hAnsi="Arial" w:cs="Arial"/>
          <w:sz w:val="22"/>
          <w:szCs w:val="22"/>
        </w:rPr>
        <w:t xml:space="preserve">covers some of the gravest </w:t>
      </w:r>
      <w:r w:rsidR="00804728" w:rsidRPr="00804728">
        <w:rPr>
          <w:rFonts w:ascii="Arial" w:hAnsi="Arial" w:cs="Arial"/>
          <w:sz w:val="22"/>
          <w:szCs w:val="22"/>
        </w:rPr>
        <w:t xml:space="preserve">possible </w:t>
      </w:r>
      <w:r w:rsidR="00CA2E1E" w:rsidRPr="00804728">
        <w:rPr>
          <w:rFonts w:ascii="Arial" w:hAnsi="Arial" w:cs="Arial"/>
          <w:sz w:val="22"/>
          <w:szCs w:val="22"/>
        </w:rPr>
        <w:t>human rights violations</w:t>
      </w:r>
      <w:r w:rsidR="00804728" w:rsidRPr="00804728">
        <w:rPr>
          <w:rFonts w:ascii="Arial" w:hAnsi="Arial" w:cs="Arial"/>
          <w:sz w:val="22"/>
          <w:szCs w:val="22"/>
        </w:rPr>
        <w:t xml:space="preserve">, </w:t>
      </w:r>
      <w:r w:rsidR="00CA2E1E" w:rsidRPr="00804728">
        <w:rPr>
          <w:rFonts w:ascii="Arial" w:hAnsi="Arial" w:cs="Arial"/>
          <w:sz w:val="22"/>
          <w:szCs w:val="22"/>
        </w:rPr>
        <w:t xml:space="preserve">and requires exporting States </w:t>
      </w:r>
      <w:r w:rsidR="00804728" w:rsidRPr="00804728">
        <w:rPr>
          <w:rFonts w:ascii="Arial" w:hAnsi="Arial" w:cs="Arial"/>
          <w:sz w:val="22"/>
          <w:szCs w:val="22"/>
        </w:rPr>
        <w:t xml:space="preserve">not to authorize a transfer </w:t>
      </w:r>
      <w:r w:rsidR="00804728" w:rsidRPr="00A37472">
        <w:rPr>
          <w:rFonts w:ascii="Arial" w:hAnsi="Arial" w:cs="Arial"/>
          <w:i/>
          <w:sz w:val="22"/>
          <w:szCs w:val="22"/>
        </w:rPr>
        <w:t>“if it has knowledge at the</w:t>
      </w:r>
      <w:r w:rsidR="00CA2E1E" w:rsidRPr="00A37472">
        <w:rPr>
          <w:rFonts w:ascii="Arial" w:hAnsi="Arial" w:cs="Arial"/>
          <w:i/>
          <w:sz w:val="22"/>
          <w:szCs w:val="22"/>
        </w:rPr>
        <w:t xml:space="preserve"> </w:t>
      </w:r>
      <w:r w:rsidR="00804728" w:rsidRPr="00A37472">
        <w:rPr>
          <w:rFonts w:ascii="Arial" w:hAnsi="Arial" w:cs="Arial"/>
          <w:i/>
          <w:sz w:val="22"/>
          <w:szCs w:val="22"/>
        </w:rPr>
        <w:t xml:space="preserve">time of authorization that the arms or items would be used in the commission of genocide, crimes against </w:t>
      </w:r>
      <w:r w:rsidR="00804728" w:rsidRPr="00A37472">
        <w:rPr>
          <w:rFonts w:ascii="Arial" w:eastAsia="Times New Roman" w:hAnsi="Arial" w:cs="Arial"/>
          <w:i/>
          <w:color w:val="222222"/>
          <w:sz w:val="22"/>
          <w:szCs w:val="22"/>
        </w:rPr>
        <w:t>humanity, grave breaches of the Geneva Conventions of 1949, attacks directed against civilian objects or civilians protected as such, or other war crimes as defined by international agreements to which it is a party</w:t>
      </w:r>
      <w:r w:rsidR="00A37472" w:rsidRPr="00A37472">
        <w:rPr>
          <w:rFonts w:ascii="Arial" w:eastAsia="Times New Roman" w:hAnsi="Arial" w:cs="Arial"/>
          <w:i/>
          <w:color w:val="222222"/>
          <w:sz w:val="22"/>
          <w:szCs w:val="22"/>
        </w:rPr>
        <w:t>.”</w:t>
      </w:r>
      <w:r w:rsidR="00804728" w:rsidRPr="00804728">
        <w:rPr>
          <w:rStyle w:val="FootnoteReference"/>
          <w:rFonts w:ascii="Arial" w:hAnsi="Arial" w:cs="Arial"/>
          <w:sz w:val="22"/>
          <w:szCs w:val="22"/>
        </w:rPr>
        <w:footnoteReference w:id="2"/>
      </w:r>
      <w:r w:rsidR="00804728">
        <w:rPr>
          <w:rFonts w:ascii="Arial" w:eastAsia="Times New Roman" w:hAnsi="Arial" w:cs="Arial"/>
          <w:color w:val="222222"/>
          <w:sz w:val="22"/>
          <w:szCs w:val="22"/>
        </w:rPr>
        <w:t xml:space="preserve"> </w:t>
      </w:r>
      <w:r w:rsidR="00377643">
        <w:rPr>
          <w:rFonts w:ascii="Arial" w:eastAsia="Times New Roman" w:hAnsi="Arial" w:cs="Arial"/>
          <w:color w:val="222222"/>
          <w:sz w:val="22"/>
          <w:szCs w:val="22"/>
        </w:rPr>
        <w:t xml:space="preserve">If Article 6 does not apply, </w:t>
      </w:r>
      <w:r w:rsidR="00377643">
        <w:rPr>
          <w:rFonts w:ascii="Arial" w:hAnsi="Arial" w:cs="Arial"/>
          <w:sz w:val="22"/>
          <w:szCs w:val="22"/>
        </w:rPr>
        <w:t>States Parties</w:t>
      </w:r>
      <w:r w:rsidR="00377643" w:rsidRPr="00804728">
        <w:rPr>
          <w:rFonts w:ascii="Arial" w:hAnsi="Arial" w:cs="Arial"/>
          <w:sz w:val="22"/>
          <w:szCs w:val="22"/>
        </w:rPr>
        <w:t xml:space="preserve"> </w:t>
      </w:r>
      <w:r w:rsidR="00A71B2E">
        <w:rPr>
          <w:rFonts w:ascii="Arial" w:hAnsi="Arial" w:cs="Arial"/>
          <w:sz w:val="22"/>
          <w:szCs w:val="22"/>
        </w:rPr>
        <w:t xml:space="preserve">are obligated to assess if the transfer may have a negative impact on human rights as part of the legally binding </w:t>
      </w:r>
      <w:r w:rsidR="00377643">
        <w:rPr>
          <w:rFonts w:ascii="Arial" w:hAnsi="Arial" w:cs="Arial"/>
          <w:sz w:val="22"/>
          <w:szCs w:val="22"/>
        </w:rPr>
        <w:t>comprehensive risk assessment</w:t>
      </w:r>
      <w:r w:rsidR="00A71B2E">
        <w:rPr>
          <w:rFonts w:ascii="Arial" w:hAnsi="Arial" w:cs="Arial"/>
          <w:sz w:val="22"/>
          <w:szCs w:val="22"/>
        </w:rPr>
        <w:t xml:space="preserve"> that all States Parties must undertake</w:t>
      </w:r>
      <w:r w:rsidR="00377643">
        <w:rPr>
          <w:rFonts w:ascii="Arial" w:hAnsi="Arial" w:cs="Arial"/>
          <w:sz w:val="22"/>
          <w:szCs w:val="22"/>
        </w:rPr>
        <w:t xml:space="preserve">. </w:t>
      </w:r>
      <w:r w:rsidRPr="00804728">
        <w:rPr>
          <w:rFonts w:ascii="Arial" w:hAnsi="Arial" w:cs="Arial"/>
          <w:sz w:val="22"/>
          <w:szCs w:val="22"/>
        </w:rPr>
        <w:t>Article 7 (Export and Export Assessment) makes it illegal for arms to be transferred where there is an overriding risk that they will be used to commit or facilitate serious violations o</w:t>
      </w:r>
      <w:r w:rsidR="00377643">
        <w:rPr>
          <w:rFonts w:ascii="Arial" w:hAnsi="Arial" w:cs="Arial"/>
          <w:sz w:val="22"/>
          <w:szCs w:val="22"/>
        </w:rPr>
        <w:t xml:space="preserve">f human rights (Article 7.1bii). </w:t>
      </w:r>
    </w:p>
    <w:p w14:paraId="5833C65A" w14:textId="77777777" w:rsidR="00734610" w:rsidRPr="00804728" w:rsidRDefault="00734610" w:rsidP="00B276BE">
      <w:pPr>
        <w:rPr>
          <w:rFonts w:ascii="Arial" w:hAnsi="Arial" w:cs="Arial"/>
          <w:sz w:val="22"/>
          <w:szCs w:val="22"/>
        </w:rPr>
      </w:pPr>
    </w:p>
    <w:p w14:paraId="7E1553BF" w14:textId="57F98E1B" w:rsidR="001051B6" w:rsidRPr="00804728" w:rsidRDefault="00734610" w:rsidP="001051B6">
      <w:pPr>
        <w:pStyle w:val="ListParagraph"/>
        <w:numPr>
          <w:ilvl w:val="0"/>
          <w:numId w:val="7"/>
        </w:numPr>
        <w:rPr>
          <w:rFonts w:ascii="Arial" w:hAnsi="Arial" w:cs="Arial"/>
          <w:sz w:val="22"/>
          <w:szCs w:val="22"/>
        </w:rPr>
      </w:pPr>
      <w:r w:rsidRPr="00804728">
        <w:rPr>
          <w:rFonts w:ascii="Arial" w:hAnsi="Arial" w:cs="Arial"/>
          <w:sz w:val="22"/>
          <w:szCs w:val="22"/>
        </w:rPr>
        <w:t>The ongoing crisis in Yemen is an example of how arms transfers may fuel seri</w:t>
      </w:r>
      <w:r w:rsidR="00C35580" w:rsidRPr="00804728">
        <w:rPr>
          <w:rFonts w:ascii="Arial" w:hAnsi="Arial" w:cs="Arial"/>
          <w:sz w:val="22"/>
          <w:szCs w:val="22"/>
        </w:rPr>
        <w:t xml:space="preserve">ous violations of human rights. </w:t>
      </w:r>
      <w:r w:rsidR="00C2447C" w:rsidRPr="00804728">
        <w:rPr>
          <w:rFonts w:ascii="Arial" w:hAnsi="Arial" w:cs="Arial"/>
          <w:sz w:val="22"/>
          <w:szCs w:val="22"/>
        </w:rPr>
        <w:t xml:space="preserve">Since </w:t>
      </w:r>
      <w:r w:rsidR="00655BF4" w:rsidRPr="00804728">
        <w:rPr>
          <w:rFonts w:ascii="Arial" w:hAnsi="Arial" w:cs="Arial"/>
          <w:sz w:val="22"/>
          <w:szCs w:val="22"/>
        </w:rPr>
        <w:t xml:space="preserve">a coalition of countries led by Saudi Arabia launched a military intervention in Yemen </w:t>
      </w:r>
      <w:r w:rsidR="00C2447C" w:rsidRPr="00804728">
        <w:rPr>
          <w:rFonts w:ascii="Arial" w:hAnsi="Arial" w:cs="Arial"/>
          <w:sz w:val="22"/>
          <w:szCs w:val="22"/>
        </w:rPr>
        <w:t>in March 2015</w:t>
      </w:r>
      <w:r w:rsidR="00655BF4" w:rsidRPr="00804728">
        <w:rPr>
          <w:rFonts w:ascii="Arial" w:hAnsi="Arial" w:cs="Arial"/>
          <w:sz w:val="22"/>
          <w:szCs w:val="22"/>
        </w:rPr>
        <w:t xml:space="preserve"> at the request of the government</w:t>
      </w:r>
      <w:r w:rsidR="00C2447C" w:rsidRPr="00804728">
        <w:rPr>
          <w:rFonts w:ascii="Arial" w:hAnsi="Arial" w:cs="Arial"/>
          <w:sz w:val="22"/>
          <w:szCs w:val="22"/>
        </w:rPr>
        <w:t xml:space="preserve">, </w:t>
      </w:r>
      <w:r w:rsidR="00477F59" w:rsidRPr="00804728">
        <w:rPr>
          <w:rFonts w:ascii="Arial" w:hAnsi="Arial" w:cs="Arial"/>
          <w:sz w:val="22"/>
          <w:szCs w:val="22"/>
        </w:rPr>
        <w:t>thousands of</w:t>
      </w:r>
      <w:r w:rsidR="00135013" w:rsidRPr="00804728">
        <w:rPr>
          <w:rFonts w:ascii="Arial" w:hAnsi="Arial" w:cs="Arial"/>
          <w:sz w:val="22"/>
          <w:szCs w:val="22"/>
        </w:rPr>
        <w:t xml:space="preserve"> civilians </w:t>
      </w:r>
      <w:r w:rsidR="00416E74" w:rsidRPr="00804728">
        <w:rPr>
          <w:rFonts w:ascii="Arial" w:hAnsi="Arial" w:cs="Arial"/>
          <w:sz w:val="22"/>
          <w:szCs w:val="22"/>
        </w:rPr>
        <w:t xml:space="preserve">have been </w:t>
      </w:r>
      <w:r w:rsidR="00477F59" w:rsidRPr="00804728">
        <w:rPr>
          <w:rFonts w:ascii="Arial" w:hAnsi="Arial" w:cs="Arial"/>
          <w:sz w:val="22"/>
          <w:szCs w:val="22"/>
        </w:rPr>
        <w:t>deprived of the</w:t>
      </w:r>
      <w:r w:rsidR="00967824">
        <w:rPr>
          <w:rFonts w:ascii="Arial" w:hAnsi="Arial" w:cs="Arial"/>
          <w:sz w:val="22"/>
          <w:szCs w:val="22"/>
        </w:rPr>
        <w:t>ir</w:t>
      </w:r>
      <w:r w:rsidR="00477F59" w:rsidRPr="00804728">
        <w:rPr>
          <w:rFonts w:ascii="Arial" w:hAnsi="Arial" w:cs="Arial"/>
          <w:sz w:val="22"/>
          <w:szCs w:val="22"/>
        </w:rPr>
        <w:t xml:space="preserve"> right to life</w:t>
      </w:r>
      <w:r w:rsidR="00A71B2E">
        <w:rPr>
          <w:rFonts w:ascii="Arial" w:hAnsi="Arial" w:cs="Arial"/>
          <w:sz w:val="22"/>
          <w:szCs w:val="22"/>
        </w:rPr>
        <w:t>. A</w:t>
      </w:r>
      <w:r w:rsidR="00EA3CDC" w:rsidRPr="00804728">
        <w:rPr>
          <w:rFonts w:ascii="Arial" w:hAnsi="Arial" w:cs="Arial"/>
          <w:sz w:val="22"/>
          <w:szCs w:val="22"/>
        </w:rPr>
        <w:t>ll parties to the conflict have killed civilians with weapons largely supplied by</w:t>
      </w:r>
      <w:r w:rsidR="00A71B2E">
        <w:rPr>
          <w:rFonts w:ascii="Arial" w:hAnsi="Arial" w:cs="Arial"/>
          <w:sz w:val="22"/>
          <w:szCs w:val="22"/>
        </w:rPr>
        <w:t>/originating from</w:t>
      </w:r>
      <w:r w:rsidR="00EA3CDC" w:rsidRPr="00804728">
        <w:rPr>
          <w:rFonts w:ascii="Arial" w:hAnsi="Arial" w:cs="Arial"/>
          <w:sz w:val="22"/>
          <w:szCs w:val="22"/>
        </w:rPr>
        <w:t xml:space="preserve"> external parties. Aerial bombing by the </w:t>
      </w:r>
      <w:r w:rsidR="00A71B2E">
        <w:rPr>
          <w:rFonts w:ascii="Arial" w:hAnsi="Arial" w:cs="Arial"/>
          <w:sz w:val="22"/>
          <w:szCs w:val="22"/>
        </w:rPr>
        <w:t xml:space="preserve">Saudi-led </w:t>
      </w:r>
      <w:r w:rsidR="00EA3CDC" w:rsidRPr="00804728">
        <w:rPr>
          <w:rFonts w:ascii="Arial" w:hAnsi="Arial" w:cs="Arial"/>
          <w:sz w:val="22"/>
          <w:szCs w:val="22"/>
        </w:rPr>
        <w:t>coalition has been res</w:t>
      </w:r>
      <w:r w:rsidR="0045539F" w:rsidRPr="00804728">
        <w:rPr>
          <w:rFonts w:ascii="Arial" w:hAnsi="Arial" w:cs="Arial"/>
          <w:sz w:val="22"/>
          <w:szCs w:val="22"/>
        </w:rPr>
        <w:t xml:space="preserve">ponsible for 60 per cent of </w:t>
      </w:r>
      <w:r w:rsidR="00EA3CDC" w:rsidRPr="00804728">
        <w:rPr>
          <w:rFonts w:ascii="Arial" w:hAnsi="Arial" w:cs="Arial"/>
          <w:sz w:val="22"/>
          <w:szCs w:val="22"/>
        </w:rPr>
        <w:t>civilian deaths in the conflict.</w:t>
      </w:r>
      <w:r w:rsidR="00EA3CDC" w:rsidRPr="00804728">
        <w:rPr>
          <w:rStyle w:val="FootnoteReference"/>
          <w:rFonts w:ascii="Arial" w:hAnsi="Arial" w:cs="Arial"/>
          <w:sz w:val="22"/>
          <w:szCs w:val="22"/>
        </w:rPr>
        <w:footnoteReference w:id="3"/>
      </w:r>
      <w:r w:rsidR="00EA3CDC" w:rsidRPr="00804728">
        <w:rPr>
          <w:rFonts w:ascii="Arial" w:hAnsi="Arial" w:cs="Arial"/>
          <w:sz w:val="22"/>
          <w:szCs w:val="22"/>
        </w:rPr>
        <w:t xml:space="preserve"> Yemen has </w:t>
      </w:r>
      <w:r w:rsidR="00EA3CDC" w:rsidRPr="00804728">
        <w:rPr>
          <w:rFonts w:ascii="Arial" w:hAnsi="Arial" w:cs="Arial"/>
          <w:sz w:val="22"/>
          <w:szCs w:val="22"/>
        </w:rPr>
        <w:lastRenderedPageBreak/>
        <w:t>ratified the International Covenant on Civil and Political Rights, which protects the right to life in Article 6.</w:t>
      </w:r>
    </w:p>
    <w:p w14:paraId="4F51D281" w14:textId="77777777" w:rsidR="001051B6" w:rsidRPr="00804728" w:rsidRDefault="001051B6" w:rsidP="001051B6">
      <w:pPr>
        <w:rPr>
          <w:rFonts w:ascii="Arial" w:hAnsi="Arial" w:cs="Arial"/>
          <w:sz w:val="22"/>
          <w:szCs w:val="22"/>
        </w:rPr>
      </w:pPr>
    </w:p>
    <w:p w14:paraId="4FCF0E9B" w14:textId="67730D15" w:rsidR="00655BF4" w:rsidRPr="00804728" w:rsidRDefault="0045539F" w:rsidP="00BE1AB5">
      <w:pPr>
        <w:pStyle w:val="ListParagraph"/>
        <w:numPr>
          <w:ilvl w:val="0"/>
          <w:numId w:val="7"/>
        </w:numPr>
        <w:rPr>
          <w:rFonts w:ascii="Arial" w:hAnsi="Arial" w:cs="Arial"/>
          <w:sz w:val="22"/>
          <w:szCs w:val="22"/>
        </w:rPr>
      </w:pPr>
      <w:r w:rsidRPr="00804728">
        <w:rPr>
          <w:rFonts w:ascii="Arial" w:hAnsi="Arial" w:cs="Arial"/>
          <w:sz w:val="22"/>
          <w:szCs w:val="22"/>
        </w:rPr>
        <w:t xml:space="preserve">The </w:t>
      </w:r>
      <w:r w:rsidR="006341BA" w:rsidRPr="00804728">
        <w:rPr>
          <w:rFonts w:ascii="Arial" w:hAnsi="Arial" w:cs="Arial"/>
          <w:sz w:val="22"/>
          <w:szCs w:val="22"/>
        </w:rPr>
        <w:t xml:space="preserve">International Covenant on Economic, Social and Cultural Rights </w:t>
      </w:r>
      <w:r w:rsidR="00655BF4" w:rsidRPr="00804728">
        <w:rPr>
          <w:rFonts w:ascii="Arial" w:hAnsi="Arial" w:cs="Arial"/>
          <w:sz w:val="22"/>
          <w:szCs w:val="22"/>
        </w:rPr>
        <w:t>protects the right to housing (Article 11), to health (Article 12), and to education (Article 13)</w:t>
      </w:r>
      <w:r w:rsidR="00CD3485">
        <w:rPr>
          <w:rFonts w:ascii="Arial" w:hAnsi="Arial" w:cs="Arial"/>
          <w:sz w:val="22"/>
          <w:szCs w:val="22"/>
        </w:rPr>
        <w:t xml:space="preserve"> among others</w:t>
      </w:r>
      <w:r w:rsidR="00655BF4" w:rsidRPr="00804728">
        <w:rPr>
          <w:rFonts w:ascii="Arial" w:hAnsi="Arial" w:cs="Arial"/>
          <w:sz w:val="22"/>
          <w:szCs w:val="22"/>
        </w:rPr>
        <w:t>. These are all further examples of human rights that can be affected by the supply of arms and ammunition.</w:t>
      </w:r>
      <w:r w:rsidR="006341BA" w:rsidRPr="00804728">
        <w:rPr>
          <w:rFonts w:ascii="Arial" w:hAnsi="Arial" w:cs="Arial"/>
          <w:sz w:val="22"/>
          <w:szCs w:val="22"/>
        </w:rPr>
        <w:t xml:space="preserve"> </w:t>
      </w:r>
      <w:r w:rsidRPr="00804728">
        <w:rPr>
          <w:rFonts w:ascii="Arial" w:hAnsi="Arial" w:cs="Arial"/>
          <w:sz w:val="22"/>
          <w:szCs w:val="22"/>
        </w:rPr>
        <w:t>In Yemen, t</w:t>
      </w:r>
      <w:r w:rsidR="00416E74" w:rsidRPr="00804728">
        <w:rPr>
          <w:rFonts w:ascii="Arial" w:hAnsi="Arial" w:cs="Arial"/>
          <w:sz w:val="22"/>
          <w:szCs w:val="22"/>
        </w:rPr>
        <w:t>here is widesp</w:t>
      </w:r>
      <w:r w:rsidR="00655BF4" w:rsidRPr="00804728">
        <w:rPr>
          <w:rFonts w:ascii="Arial" w:hAnsi="Arial" w:cs="Arial"/>
          <w:sz w:val="22"/>
          <w:szCs w:val="22"/>
        </w:rPr>
        <w:t xml:space="preserve">read credible documentation of </w:t>
      </w:r>
      <w:r w:rsidR="00416E74" w:rsidRPr="00804728">
        <w:rPr>
          <w:rFonts w:ascii="Arial" w:hAnsi="Arial" w:cs="Arial"/>
          <w:sz w:val="22"/>
          <w:szCs w:val="22"/>
        </w:rPr>
        <w:t xml:space="preserve">armed attacks on </w:t>
      </w:r>
      <w:r w:rsidR="00655BF4" w:rsidRPr="00804728">
        <w:rPr>
          <w:rFonts w:ascii="Arial" w:hAnsi="Arial" w:cs="Arial"/>
          <w:sz w:val="22"/>
          <w:szCs w:val="22"/>
        </w:rPr>
        <w:t xml:space="preserve">residential areas, </w:t>
      </w:r>
      <w:r w:rsidR="00416E74" w:rsidRPr="00804728">
        <w:rPr>
          <w:rFonts w:ascii="Arial" w:hAnsi="Arial" w:cs="Arial"/>
          <w:sz w:val="22"/>
          <w:szCs w:val="22"/>
        </w:rPr>
        <w:t xml:space="preserve">medical personnel and facilities, </w:t>
      </w:r>
      <w:r w:rsidR="00655BF4" w:rsidRPr="00804728">
        <w:rPr>
          <w:rFonts w:ascii="Arial" w:hAnsi="Arial" w:cs="Arial"/>
          <w:sz w:val="22"/>
          <w:szCs w:val="22"/>
        </w:rPr>
        <w:t xml:space="preserve">and </w:t>
      </w:r>
      <w:r w:rsidR="00416E74" w:rsidRPr="00804728">
        <w:rPr>
          <w:rFonts w:ascii="Arial" w:hAnsi="Arial" w:cs="Arial"/>
          <w:sz w:val="22"/>
          <w:szCs w:val="22"/>
        </w:rPr>
        <w:t>educational establishments</w:t>
      </w:r>
      <w:r w:rsidR="00655BF4" w:rsidRPr="00804728">
        <w:rPr>
          <w:rFonts w:ascii="Arial" w:hAnsi="Arial" w:cs="Arial"/>
          <w:sz w:val="22"/>
          <w:szCs w:val="22"/>
        </w:rPr>
        <w:t xml:space="preserve"> by all parties to the conflict</w:t>
      </w:r>
      <w:r w:rsidR="00CD3485">
        <w:rPr>
          <w:rFonts w:ascii="Arial" w:hAnsi="Arial" w:cs="Arial"/>
          <w:sz w:val="22"/>
          <w:szCs w:val="22"/>
        </w:rPr>
        <w:t xml:space="preserve"> that may constitute a violation of these rights</w:t>
      </w:r>
      <w:r w:rsidR="00416E74" w:rsidRPr="00804728">
        <w:rPr>
          <w:rFonts w:ascii="Arial" w:hAnsi="Arial" w:cs="Arial"/>
          <w:sz w:val="22"/>
          <w:szCs w:val="22"/>
        </w:rPr>
        <w:t xml:space="preserve">. </w:t>
      </w:r>
      <w:r w:rsidR="00BE1AB5" w:rsidRPr="00804728">
        <w:rPr>
          <w:rFonts w:ascii="Arial" w:hAnsi="Arial" w:cs="Arial"/>
          <w:sz w:val="22"/>
          <w:szCs w:val="22"/>
        </w:rPr>
        <w:t>In January 2016 for example</w:t>
      </w:r>
      <w:r w:rsidR="001E1ED3">
        <w:rPr>
          <w:rFonts w:ascii="Arial" w:hAnsi="Arial" w:cs="Arial"/>
          <w:sz w:val="22"/>
          <w:szCs w:val="22"/>
        </w:rPr>
        <w:t>,</w:t>
      </w:r>
      <w:r w:rsidR="00BE1AB5" w:rsidRPr="00804728">
        <w:rPr>
          <w:rFonts w:ascii="Arial" w:hAnsi="Arial" w:cs="Arial"/>
          <w:sz w:val="22"/>
          <w:szCs w:val="22"/>
        </w:rPr>
        <w:t xml:space="preserve"> a UN Panel of Experts documented 41 individual air attacks on residential areas and villages, as well as eight air attacks on schools, that may relate to violations of IHL.</w:t>
      </w:r>
      <w:r w:rsidR="00BE1AB5" w:rsidRPr="00804728">
        <w:rPr>
          <w:rStyle w:val="FootnoteReference"/>
          <w:rFonts w:ascii="Arial" w:hAnsi="Arial" w:cs="Arial"/>
          <w:sz w:val="22"/>
          <w:szCs w:val="22"/>
        </w:rPr>
        <w:footnoteReference w:id="4"/>
      </w:r>
      <w:r w:rsidR="00BE1AB5" w:rsidRPr="00804728">
        <w:rPr>
          <w:rFonts w:ascii="Arial" w:hAnsi="Arial" w:cs="Arial"/>
          <w:sz w:val="22"/>
          <w:szCs w:val="22"/>
        </w:rPr>
        <w:t xml:space="preserve"> </w:t>
      </w:r>
      <w:r w:rsidR="00655BF4" w:rsidRPr="00804728">
        <w:rPr>
          <w:rFonts w:ascii="Arial" w:hAnsi="Arial" w:cs="Arial"/>
          <w:sz w:val="22"/>
          <w:szCs w:val="22"/>
        </w:rPr>
        <w:t xml:space="preserve">UN OHCHR </w:t>
      </w:r>
      <w:r w:rsidR="00BE1AB5" w:rsidRPr="00804728">
        <w:rPr>
          <w:rFonts w:ascii="Arial" w:hAnsi="Arial" w:cs="Arial"/>
          <w:sz w:val="22"/>
          <w:szCs w:val="22"/>
        </w:rPr>
        <w:t xml:space="preserve">has </w:t>
      </w:r>
      <w:r w:rsidR="00655BF4" w:rsidRPr="00804728">
        <w:rPr>
          <w:rFonts w:ascii="Arial" w:hAnsi="Arial" w:cs="Arial"/>
          <w:sz w:val="22"/>
          <w:szCs w:val="22"/>
        </w:rPr>
        <w:t xml:space="preserve">reported on nine incidents in which medical units </w:t>
      </w:r>
      <w:r w:rsidRPr="00804728">
        <w:rPr>
          <w:rFonts w:ascii="Arial" w:hAnsi="Arial" w:cs="Arial"/>
          <w:sz w:val="22"/>
          <w:szCs w:val="22"/>
        </w:rPr>
        <w:t xml:space="preserve">in Yemen </w:t>
      </w:r>
      <w:r w:rsidR="00655BF4" w:rsidRPr="00804728">
        <w:rPr>
          <w:rFonts w:ascii="Arial" w:hAnsi="Arial" w:cs="Arial"/>
          <w:sz w:val="22"/>
          <w:szCs w:val="22"/>
        </w:rPr>
        <w:t>were damaged or destroyed by coali</w:t>
      </w:r>
      <w:r w:rsidRPr="00804728">
        <w:rPr>
          <w:rFonts w:ascii="Arial" w:hAnsi="Arial" w:cs="Arial"/>
          <w:sz w:val="22"/>
          <w:szCs w:val="22"/>
        </w:rPr>
        <w:t>tion air strikes</w:t>
      </w:r>
      <w:r w:rsidR="00655BF4" w:rsidRPr="00804728">
        <w:rPr>
          <w:rFonts w:ascii="Arial" w:hAnsi="Arial" w:cs="Arial"/>
          <w:sz w:val="22"/>
          <w:szCs w:val="22"/>
        </w:rPr>
        <w:t xml:space="preserve"> </w:t>
      </w:r>
      <w:r w:rsidRPr="00804728">
        <w:rPr>
          <w:rFonts w:ascii="Arial" w:hAnsi="Arial" w:cs="Arial"/>
          <w:sz w:val="22"/>
          <w:szCs w:val="22"/>
        </w:rPr>
        <w:t>or artillery shelling in attacks that the report says may amount to war crimes.</w:t>
      </w:r>
      <w:r w:rsidRPr="00804728">
        <w:rPr>
          <w:rStyle w:val="FootnoteReference"/>
          <w:rFonts w:ascii="Arial" w:hAnsi="Arial" w:cs="Arial"/>
          <w:sz w:val="22"/>
          <w:szCs w:val="22"/>
        </w:rPr>
        <w:footnoteReference w:id="5"/>
      </w:r>
      <w:r w:rsidR="00BE1AB5" w:rsidRPr="00804728">
        <w:rPr>
          <w:rFonts w:ascii="Arial" w:hAnsi="Arial" w:cs="Arial"/>
          <w:sz w:val="22"/>
          <w:szCs w:val="22"/>
        </w:rPr>
        <w:t xml:space="preserve"> </w:t>
      </w:r>
    </w:p>
    <w:p w14:paraId="162357D2" w14:textId="77777777" w:rsidR="00BE1AB5" w:rsidRPr="00804728" w:rsidRDefault="00BE1AB5" w:rsidP="00BE1AB5">
      <w:pPr>
        <w:rPr>
          <w:rFonts w:ascii="Arial" w:hAnsi="Arial" w:cs="Arial"/>
          <w:sz w:val="22"/>
          <w:szCs w:val="22"/>
        </w:rPr>
      </w:pPr>
    </w:p>
    <w:p w14:paraId="790C0F16" w14:textId="3802058D" w:rsidR="00E728B7" w:rsidRPr="00804728" w:rsidRDefault="00881B75" w:rsidP="00E728B7">
      <w:pPr>
        <w:pStyle w:val="ListParagraph"/>
        <w:numPr>
          <w:ilvl w:val="0"/>
          <w:numId w:val="7"/>
        </w:numPr>
        <w:rPr>
          <w:rFonts w:ascii="Arial" w:hAnsi="Arial" w:cs="Arial"/>
          <w:sz w:val="22"/>
          <w:szCs w:val="22"/>
        </w:rPr>
      </w:pPr>
      <w:r w:rsidRPr="00804728">
        <w:rPr>
          <w:rFonts w:ascii="Arial" w:hAnsi="Arial" w:cs="Arial"/>
          <w:sz w:val="22"/>
          <w:szCs w:val="22"/>
        </w:rPr>
        <w:t>The supply of arms has also enabled the</w:t>
      </w:r>
      <w:r w:rsidR="001051B6" w:rsidRPr="00804728">
        <w:rPr>
          <w:rFonts w:ascii="Arial" w:hAnsi="Arial" w:cs="Arial"/>
          <w:sz w:val="22"/>
          <w:szCs w:val="22"/>
        </w:rPr>
        <w:t xml:space="preserve"> Saudi-led</w:t>
      </w:r>
      <w:r w:rsidRPr="00804728">
        <w:rPr>
          <w:rFonts w:ascii="Arial" w:hAnsi="Arial" w:cs="Arial"/>
          <w:sz w:val="22"/>
          <w:szCs w:val="22"/>
        </w:rPr>
        <w:t xml:space="preserve"> coalition to enforce a naval blockade of Yemeni ports</w:t>
      </w:r>
      <w:r w:rsidR="001051B6" w:rsidRPr="00804728">
        <w:rPr>
          <w:rFonts w:ascii="Arial" w:hAnsi="Arial" w:cs="Arial"/>
          <w:sz w:val="22"/>
          <w:szCs w:val="22"/>
        </w:rPr>
        <w:t>, at various levels of intensity during the near-two years of the conflict</w:t>
      </w:r>
      <w:r w:rsidRPr="00804728">
        <w:rPr>
          <w:rFonts w:ascii="Arial" w:hAnsi="Arial" w:cs="Arial"/>
          <w:sz w:val="22"/>
          <w:szCs w:val="22"/>
        </w:rPr>
        <w:t>. The blockade</w:t>
      </w:r>
      <w:r w:rsidR="00E728B7" w:rsidRPr="00804728">
        <w:rPr>
          <w:rFonts w:ascii="Arial" w:hAnsi="Arial" w:cs="Arial"/>
          <w:sz w:val="22"/>
          <w:szCs w:val="22"/>
        </w:rPr>
        <w:t xml:space="preserve"> of commercial goods</w:t>
      </w:r>
      <w:r w:rsidRPr="00804728">
        <w:rPr>
          <w:rFonts w:ascii="Arial" w:hAnsi="Arial" w:cs="Arial"/>
          <w:sz w:val="22"/>
          <w:szCs w:val="22"/>
        </w:rPr>
        <w:t xml:space="preserve"> has </w:t>
      </w:r>
      <w:r w:rsidR="00E728B7" w:rsidRPr="00804728">
        <w:rPr>
          <w:rFonts w:ascii="Arial" w:hAnsi="Arial" w:cs="Arial"/>
          <w:sz w:val="22"/>
          <w:szCs w:val="22"/>
        </w:rPr>
        <w:t>contributed to a nationwide shortage of vital supplies, including food, water and fuel.</w:t>
      </w:r>
      <w:r w:rsidR="00EA3CDC" w:rsidRPr="00804728">
        <w:rPr>
          <w:rStyle w:val="FootnoteReference"/>
          <w:rFonts w:ascii="Arial" w:hAnsi="Arial" w:cs="Arial"/>
          <w:sz w:val="22"/>
          <w:szCs w:val="22"/>
        </w:rPr>
        <w:footnoteReference w:id="6"/>
      </w:r>
      <w:r w:rsidR="00E728B7" w:rsidRPr="00804728">
        <w:rPr>
          <w:rFonts w:ascii="Arial" w:hAnsi="Arial" w:cs="Arial"/>
          <w:sz w:val="22"/>
          <w:szCs w:val="22"/>
        </w:rPr>
        <w:t xml:space="preserve"> Yemen has ratified the International Covenant on Economic, Social and Cultural Rights, Article 11 of which specifies the right to food. </w:t>
      </w:r>
      <w:r w:rsidR="00EA3CDC" w:rsidRPr="00804728">
        <w:rPr>
          <w:rFonts w:ascii="Arial" w:hAnsi="Arial" w:cs="Arial"/>
          <w:sz w:val="22"/>
          <w:szCs w:val="22"/>
        </w:rPr>
        <w:t>The violation of this right may also be linked to the right to life in situations of famine or near famine.</w:t>
      </w:r>
      <w:r w:rsidR="00EA3CDC" w:rsidRPr="00804728">
        <w:rPr>
          <w:rStyle w:val="FootnoteReference"/>
          <w:rFonts w:ascii="Arial" w:hAnsi="Arial" w:cs="Arial"/>
          <w:sz w:val="22"/>
          <w:szCs w:val="22"/>
        </w:rPr>
        <w:footnoteReference w:id="7"/>
      </w:r>
      <w:r w:rsidR="00EA3CDC" w:rsidRPr="00804728">
        <w:rPr>
          <w:rFonts w:ascii="Arial" w:hAnsi="Arial" w:cs="Arial"/>
          <w:sz w:val="22"/>
          <w:szCs w:val="22"/>
        </w:rPr>
        <w:t xml:space="preserve"> The United Nations has described Yemen as </w:t>
      </w:r>
      <w:r w:rsidR="00EA3CDC" w:rsidRPr="00804728">
        <w:rPr>
          <w:rFonts w:ascii="Arial" w:hAnsi="Arial" w:cs="Arial"/>
          <w:i/>
          <w:sz w:val="22"/>
          <w:szCs w:val="22"/>
        </w:rPr>
        <w:t xml:space="preserve">“one step away from famine,” </w:t>
      </w:r>
      <w:r w:rsidR="00EA3CDC" w:rsidRPr="00804728">
        <w:rPr>
          <w:rFonts w:ascii="Arial" w:hAnsi="Arial" w:cs="Arial"/>
          <w:sz w:val="22"/>
          <w:szCs w:val="22"/>
        </w:rPr>
        <w:t>with more than seven million people severely food insecure and at least 370,000 children who are severely malnourished.</w:t>
      </w:r>
      <w:r w:rsidR="00EA3CDC" w:rsidRPr="00804728">
        <w:rPr>
          <w:rStyle w:val="FootnoteReference"/>
          <w:rFonts w:ascii="Arial" w:hAnsi="Arial" w:cs="Arial"/>
          <w:sz w:val="22"/>
          <w:szCs w:val="22"/>
        </w:rPr>
        <w:footnoteReference w:id="8"/>
      </w:r>
    </w:p>
    <w:p w14:paraId="66D6A6AF" w14:textId="77777777" w:rsidR="00881B75" w:rsidRPr="00804728" w:rsidRDefault="00881B75" w:rsidP="0012533B">
      <w:pPr>
        <w:rPr>
          <w:rFonts w:ascii="Arial" w:hAnsi="Arial" w:cs="Arial"/>
          <w:sz w:val="22"/>
          <w:szCs w:val="22"/>
        </w:rPr>
      </w:pPr>
    </w:p>
    <w:p w14:paraId="6AAC6232" w14:textId="2DCC08C0" w:rsidR="002D27B5" w:rsidRPr="002D27B5" w:rsidRDefault="00BE1AB5" w:rsidP="002D27B5">
      <w:pPr>
        <w:pStyle w:val="ListParagraph"/>
        <w:numPr>
          <w:ilvl w:val="0"/>
          <w:numId w:val="7"/>
        </w:numPr>
        <w:rPr>
          <w:rFonts w:ascii="Arial" w:hAnsi="Arial" w:cs="Arial"/>
          <w:sz w:val="22"/>
          <w:szCs w:val="22"/>
        </w:rPr>
      </w:pPr>
      <w:r w:rsidRPr="001E1ED3">
        <w:rPr>
          <w:rFonts w:ascii="Arial" w:hAnsi="Arial" w:cs="Arial"/>
          <w:sz w:val="22"/>
          <w:szCs w:val="22"/>
        </w:rPr>
        <w:t xml:space="preserve">While all parties to the conflict in Yemen have committed serious violations </w:t>
      </w:r>
      <w:r w:rsidR="00CD3485">
        <w:rPr>
          <w:rFonts w:ascii="Arial" w:hAnsi="Arial" w:cs="Arial"/>
          <w:sz w:val="22"/>
          <w:szCs w:val="22"/>
        </w:rPr>
        <w:t>o</w:t>
      </w:r>
      <w:r w:rsidRPr="001E1ED3">
        <w:rPr>
          <w:rFonts w:ascii="Arial" w:hAnsi="Arial" w:cs="Arial"/>
          <w:sz w:val="22"/>
          <w:szCs w:val="22"/>
        </w:rPr>
        <w:t>f IHL and IHRL, arms transfers</w:t>
      </w:r>
      <w:r w:rsidR="0012533B" w:rsidRPr="001E1ED3">
        <w:rPr>
          <w:rFonts w:ascii="Arial" w:hAnsi="Arial" w:cs="Arial"/>
          <w:sz w:val="22"/>
          <w:szCs w:val="22"/>
        </w:rPr>
        <w:t xml:space="preserve"> </w:t>
      </w:r>
      <w:r w:rsidR="00CD3485">
        <w:rPr>
          <w:rFonts w:ascii="Arial" w:hAnsi="Arial" w:cs="Arial"/>
          <w:sz w:val="22"/>
          <w:szCs w:val="22"/>
        </w:rPr>
        <w:t xml:space="preserve">by </w:t>
      </w:r>
      <w:r w:rsidR="0012533B" w:rsidRPr="001E1ED3">
        <w:rPr>
          <w:rFonts w:ascii="Arial" w:hAnsi="Arial" w:cs="Arial"/>
          <w:sz w:val="22"/>
          <w:szCs w:val="22"/>
        </w:rPr>
        <w:t>Saudi Arabia and other members of th</w:t>
      </w:r>
      <w:r w:rsidRPr="001E1ED3">
        <w:rPr>
          <w:rFonts w:ascii="Arial" w:hAnsi="Arial" w:cs="Arial"/>
          <w:sz w:val="22"/>
          <w:szCs w:val="22"/>
        </w:rPr>
        <w:t>e international coalition have directly impacted on the provision of these basic human rights to civilians in Yemen.</w:t>
      </w:r>
      <w:r w:rsidRPr="00804728">
        <w:rPr>
          <w:rStyle w:val="FootnoteReference"/>
          <w:rFonts w:ascii="Arial" w:hAnsi="Arial" w:cs="Arial"/>
          <w:sz w:val="22"/>
          <w:szCs w:val="22"/>
        </w:rPr>
        <w:footnoteReference w:id="9"/>
      </w:r>
      <w:r w:rsidRPr="001E1ED3">
        <w:rPr>
          <w:rFonts w:ascii="Arial" w:hAnsi="Arial" w:cs="Arial"/>
          <w:sz w:val="22"/>
          <w:szCs w:val="22"/>
        </w:rPr>
        <w:t xml:space="preserve"> Control Arms, through the ATT Monitor project, has documented the continuing supply of arms and ammunition to </w:t>
      </w:r>
      <w:r w:rsidR="00B909D7" w:rsidRPr="001E1ED3">
        <w:rPr>
          <w:rFonts w:ascii="Arial" w:hAnsi="Arial" w:cs="Arial"/>
          <w:sz w:val="22"/>
          <w:szCs w:val="22"/>
        </w:rPr>
        <w:t xml:space="preserve">Saudi Arabia, as the </w:t>
      </w:r>
      <w:r w:rsidR="00510EC7" w:rsidRPr="001E1ED3">
        <w:rPr>
          <w:rFonts w:ascii="Arial" w:hAnsi="Arial" w:cs="Arial"/>
          <w:sz w:val="22"/>
          <w:szCs w:val="22"/>
        </w:rPr>
        <w:t>leading member of the military intervention.</w:t>
      </w:r>
      <w:r w:rsidR="00377643">
        <w:rPr>
          <w:rStyle w:val="FootnoteReference"/>
          <w:rFonts w:ascii="Arial" w:hAnsi="Arial" w:cs="Arial"/>
          <w:sz w:val="22"/>
          <w:szCs w:val="22"/>
        </w:rPr>
        <w:footnoteReference w:id="10"/>
      </w:r>
      <w:r w:rsidR="00510EC7" w:rsidRPr="001E1ED3">
        <w:rPr>
          <w:rFonts w:ascii="Arial" w:hAnsi="Arial" w:cs="Arial"/>
          <w:sz w:val="22"/>
          <w:szCs w:val="22"/>
        </w:rPr>
        <w:t xml:space="preserve"> </w:t>
      </w:r>
      <w:r w:rsidR="00804728" w:rsidRPr="001E1ED3">
        <w:rPr>
          <w:rFonts w:ascii="Arial" w:hAnsi="Arial" w:cs="Arial"/>
          <w:sz w:val="22"/>
          <w:szCs w:val="22"/>
        </w:rPr>
        <w:t>At least 19 States Parties and Signatories either authorized or delivered arms transfe</w:t>
      </w:r>
      <w:r w:rsidR="002D27B5">
        <w:rPr>
          <w:rFonts w:ascii="Arial" w:hAnsi="Arial" w:cs="Arial"/>
          <w:sz w:val="22"/>
          <w:szCs w:val="22"/>
        </w:rPr>
        <w:t xml:space="preserve">rs to Saudi Arabia during </w:t>
      </w:r>
      <w:r w:rsidR="00377643" w:rsidRPr="002D27B5">
        <w:rPr>
          <w:rFonts w:ascii="Arial" w:hAnsi="Arial" w:cs="Arial"/>
          <w:sz w:val="22"/>
          <w:szCs w:val="22"/>
        </w:rPr>
        <w:t>2015.</w:t>
      </w:r>
      <w:r w:rsidR="001E1ED3" w:rsidRPr="002D27B5">
        <w:rPr>
          <w:rFonts w:ascii="Arial" w:hAnsi="Arial" w:cs="Arial"/>
          <w:sz w:val="22"/>
          <w:szCs w:val="22"/>
        </w:rPr>
        <w:t xml:space="preserve"> </w:t>
      </w:r>
    </w:p>
    <w:p w14:paraId="5BA91145" w14:textId="77777777" w:rsidR="002D27B5" w:rsidRDefault="002D27B5" w:rsidP="002D27B5">
      <w:pPr>
        <w:rPr>
          <w:rFonts w:ascii="Arial" w:hAnsi="Arial" w:cs="Arial"/>
          <w:b/>
          <w:sz w:val="22"/>
          <w:szCs w:val="22"/>
        </w:rPr>
      </w:pPr>
      <w:bookmarkStart w:id="0" w:name="_GoBack"/>
      <w:bookmarkEnd w:id="0"/>
    </w:p>
    <w:p w14:paraId="304F5979" w14:textId="77777777" w:rsidR="00B31CF7" w:rsidRDefault="00B31CF7" w:rsidP="002D27B5">
      <w:pPr>
        <w:rPr>
          <w:rFonts w:ascii="Arial" w:hAnsi="Arial" w:cs="Arial"/>
          <w:b/>
          <w:sz w:val="22"/>
          <w:szCs w:val="22"/>
        </w:rPr>
      </w:pPr>
    </w:p>
    <w:p w14:paraId="6F2833F2" w14:textId="77777777" w:rsidR="00B31CF7" w:rsidRDefault="00B31CF7" w:rsidP="002D27B5">
      <w:pPr>
        <w:rPr>
          <w:rFonts w:ascii="Arial" w:hAnsi="Arial" w:cs="Arial"/>
          <w:b/>
          <w:sz w:val="22"/>
          <w:szCs w:val="22"/>
        </w:rPr>
      </w:pPr>
    </w:p>
    <w:p w14:paraId="745DC592" w14:textId="77777777" w:rsidR="00B31CF7" w:rsidRDefault="00B31CF7" w:rsidP="002D27B5">
      <w:pPr>
        <w:rPr>
          <w:rFonts w:ascii="Arial" w:hAnsi="Arial" w:cs="Arial"/>
          <w:b/>
          <w:sz w:val="22"/>
          <w:szCs w:val="22"/>
        </w:rPr>
      </w:pPr>
    </w:p>
    <w:tbl>
      <w:tblPr>
        <w:tblStyle w:val="LightList-Accent2"/>
        <w:tblpPr w:leftFromText="180" w:rightFromText="180" w:vertAnchor="page" w:horzAnchor="page" w:tblpX="2449" w:tblpY="4681"/>
        <w:tblW w:w="756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501"/>
        <w:gridCol w:w="1116"/>
        <w:gridCol w:w="2371"/>
        <w:gridCol w:w="7"/>
        <w:gridCol w:w="2571"/>
      </w:tblGrid>
      <w:tr w:rsidR="00EF3BF8" w:rsidRPr="00CE31E5" w14:paraId="6B0F6BA4" w14:textId="77777777" w:rsidTr="00EF3BF8">
        <w:trPr>
          <w:cnfStyle w:val="100000000000" w:firstRow="1" w:lastRow="0" w:firstColumn="0" w:lastColumn="0" w:oddVBand="0" w:evenVBand="0" w:oddHBand="0"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501" w:type="dxa"/>
            <w:tcBorders>
              <w:left w:val="nil"/>
              <w:bottom w:val="single" w:sz="4" w:space="0" w:color="FF0000"/>
            </w:tcBorders>
          </w:tcPr>
          <w:p w14:paraId="1CBE078D" w14:textId="77777777" w:rsidR="00EF3BF8" w:rsidRPr="002D27B5" w:rsidRDefault="00EF3BF8" w:rsidP="00EF3BF8">
            <w:pPr>
              <w:rPr>
                <w:rFonts w:ascii="Arial" w:hAnsi="Arial" w:cs="Arial"/>
                <w:color w:val="auto"/>
                <w:sz w:val="18"/>
                <w:szCs w:val="20"/>
              </w:rPr>
            </w:pPr>
            <w:r w:rsidRPr="002D27B5">
              <w:rPr>
                <w:rFonts w:ascii="Arial" w:hAnsi="Arial" w:cs="Arial"/>
                <w:sz w:val="18"/>
                <w:szCs w:val="20"/>
              </w:rPr>
              <w:t>Exporting Country</w:t>
            </w:r>
          </w:p>
        </w:tc>
        <w:tc>
          <w:tcPr>
            <w:tcW w:w="1116" w:type="dxa"/>
          </w:tcPr>
          <w:p w14:paraId="41346924" w14:textId="77777777" w:rsidR="00EF3BF8" w:rsidRPr="002D27B5" w:rsidRDefault="00EF3BF8" w:rsidP="00EF3BF8">
            <w:pPr>
              <w:cnfStyle w:val="100000000000" w:firstRow="1" w:lastRow="0" w:firstColumn="0" w:lastColumn="0" w:oddVBand="0" w:evenVBand="0" w:oddHBand="0" w:evenHBand="0" w:firstRowFirstColumn="0" w:firstRowLastColumn="0" w:lastRowFirstColumn="0" w:lastRowLastColumn="0"/>
              <w:rPr>
                <w:rFonts w:ascii="Arial" w:hAnsi="Arial" w:cs="Arial"/>
                <w:sz w:val="18"/>
                <w:szCs w:val="20"/>
              </w:rPr>
            </w:pPr>
            <w:r w:rsidRPr="002D27B5">
              <w:rPr>
                <w:rFonts w:ascii="Arial" w:hAnsi="Arial" w:cs="Arial"/>
                <w:sz w:val="18"/>
                <w:szCs w:val="20"/>
              </w:rPr>
              <w:t>ATT Status</w:t>
            </w:r>
          </w:p>
        </w:tc>
        <w:tc>
          <w:tcPr>
            <w:tcW w:w="2371" w:type="dxa"/>
          </w:tcPr>
          <w:p w14:paraId="12B25768" w14:textId="77777777" w:rsidR="00EF3BF8" w:rsidRPr="002D27B5" w:rsidRDefault="00EF3BF8" w:rsidP="00EF3BF8">
            <w:pPr>
              <w:cnfStyle w:val="100000000000" w:firstRow="1" w:lastRow="0" w:firstColumn="0" w:lastColumn="0" w:oddVBand="0" w:evenVBand="0" w:oddHBand="0" w:evenHBand="0" w:firstRowFirstColumn="0" w:firstRowLastColumn="0" w:lastRowFirstColumn="0" w:lastRowLastColumn="0"/>
              <w:rPr>
                <w:rFonts w:ascii="Arial" w:hAnsi="Arial" w:cs="Arial"/>
                <w:sz w:val="18"/>
                <w:szCs w:val="20"/>
              </w:rPr>
            </w:pPr>
            <w:r w:rsidRPr="002D27B5">
              <w:rPr>
                <w:rFonts w:ascii="Arial" w:hAnsi="Arial" w:cs="Arial"/>
                <w:sz w:val="18"/>
                <w:szCs w:val="20"/>
              </w:rPr>
              <w:t>Licenses/Exports to Saudi Arabia in 2015</w:t>
            </w:r>
          </w:p>
        </w:tc>
        <w:tc>
          <w:tcPr>
            <w:tcW w:w="2578" w:type="dxa"/>
            <w:gridSpan w:val="2"/>
          </w:tcPr>
          <w:p w14:paraId="5ECFF5A4" w14:textId="77777777" w:rsidR="00EF3BF8" w:rsidRPr="00CD3485" w:rsidRDefault="00EF3BF8" w:rsidP="00EF3BF8">
            <w:pPr>
              <w:cnfStyle w:val="100000000000" w:firstRow="1" w:lastRow="0" w:firstColumn="0" w:lastColumn="0" w:oddVBand="0" w:evenVBand="0" w:oddHBand="0" w:evenHBand="0" w:firstRowFirstColumn="0" w:firstRowLastColumn="0" w:lastRowFirstColumn="0" w:lastRowLastColumn="0"/>
              <w:rPr>
                <w:rFonts w:ascii="Arial" w:hAnsi="Arial" w:cs="Arial"/>
                <w:sz w:val="18"/>
                <w:szCs w:val="20"/>
              </w:rPr>
            </w:pPr>
            <w:r w:rsidRPr="00CD3485">
              <w:rPr>
                <w:rFonts w:ascii="Arial" w:hAnsi="Arial" w:cs="Arial"/>
                <w:sz w:val="18"/>
                <w:szCs w:val="20"/>
              </w:rPr>
              <w:t>Value if reported</w:t>
            </w:r>
          </w:p>
        </w:tc>
      </w:tr>
      <w:tr w:rsidR="00EF3BF8" w:rsidRPr="00CE31E5" w14:paraId="15C4075B" w14:textId="77777777" w:rsidTr="00EF3BF8">
        <w:trPr>
          <w:cnfStyle w:val="000000100000" w:firstRow="0" w:lastRow="0" w:firstColumn="0" w:lastColumn="0" w:oddVBand="0" w:evenVBand="0" w:oddHBand="1" w:evenHBand="0" w:firstRowFirstColumn="0" w:firstRowLastColumn="0" w:lastRowFirstColumn="0" w:lastRowLastColumn="0"/>
          <w:trHeight w:val="2064"/>
        </w:trPr>
        <w:tc>
          <w:tcPr>
            <w:cnfStyle w:val="001000000000" w:firstRow="0" w:lastRow="0" w:firstColumn="1" w:lastColumn="0" w:oddVBand="0" w:evenVBand="0" w:oddHBand="0" w:evenHBand="0" w:firstRowFirstColumn="0" w:firstRowLastColumn="0" w:lastRowFirstColumn="0" w:lastRowLastColumn="0"/>
            <w:tcW w:w="1501" w:type="dxa"/>
            <w:tcBorders>
              <w:left w:val="nil"/>
              <w:bottom w:val="single" w:sz="4" w:space="0" w:color="FF0000"/>
            </w:tcBorders>
            <w:shd w:val="clear" w:color="auto" w:fill="auto"/>
          </w:tcPr>
          <w:p w14:paraId="49A17554" w14:textId="77777777" w:rsidR="00EF3BF8" w:rsidRPr="002D27B5" w:rsidRDefault="00EF3BF8" w:rsidP="00EF3BF8">
            <w:pPr>
              <w:rPr>
                <w:rFonts w:ascii="Arial" w:hAnsi="Arial" w:cs="Arial"/>
                <w:sz w:val="18"/>
                <w:szCs w:val="20"/>
              </w:rPr>
            </w:pPr>
            <w:r w:rsidRPr="002D27B5">
              <w:rPr>
                <w:rFonts w:ascii="Arial" w:hAnsi="Arial" w:cs="Arial"/>
                <w:sz w:val="18"/>
                <w:szCs w:val="20"/>
              </w:rPr>
              <w:t>France</w:t>
            </w:r>
          </w:p>
        </w:tc>
        <w:tc>
          <w:tcPr>
            <w:tcW w:w="1116" w:type="dxa"/>
          </w:tcPr>
          <w:p w14:paraId="521EF001"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r w:rsidRPr="002D27B5">
              <w:rPr>
                <w:rFonts w:ascii="Arial" w:hAnsi="Arial" w:cs="Arial"/>
                <w:b/>
                <w:sz w:val="18"/>
                <w:szCs w:val="20"/>
              </w:rPr>
              <w:t>States Party</w:t>
            </w:r>
          </w:p>
        </w:tc>
        <w:tc>
          <w:tcPr>
            <w:tcW w:w="2371" w:type="dxa"/>
            <w:shd w:val="clear" w:color="auto" w:fill="auto"/>
          </w:tcPr>
          <w:p w14:paraId="07EA4410"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2D27B5">
              <w:rPr>
                <w:rFonts w:ascii="Arial" w:hAnsi="Arial" w:cs="Arial"/>
                <w:b/>
                <w:sz w:val="18"/>
                <w:szCs w:val="20"/>
              </w:rPr>
              <w:t>Licenses:</w:t>
            </w:r>
            <w:r w:rsidRPr="002D27B5">
              <w:rPr>
                <w:rFonts w:ascii="Arial" w:hAnsi="Arial" w:cs="Arial"/>
                <w:sz w:val="18"/>
                <w:szCs w:val="20"/>
              </w:rPr>
              <w:t xml:space="preserve"> France has received 219 license applications in 2015. It is not known how many have been approved.</w:t>
            </w:r>
          </w:p>
          <w:p w14:paraId="4141CA4B"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14:paraId="13FA66BB"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2D27B5">
              <w:rPr>
                <w:rFonts w:ascii="Arial" w:hAnsi="Arial" w:cs="Arial"/>
                <w:b/>
                <w:sz w:val="18"/>
                <w:szCs w:val="20"/>
              </w:rPr>
              <w:t>Export:</w:t>
            </w:r>
            <w:r w:rsidRPr="002D27B5">
              <w:rPr>
                <w:rFonts w:ascii="Arial" w:hAnsi="Arial" w:cs="Arial"/>
                <w:sz w:val="18"/>
                <w:szCs w:val="20"/>
              </w:rPr>
              <w:t xml:space="preserve"> 115 </w:t>
            </w:r>
            <w:proofErr w:type="spellStart"/>
            <w:r w:rsidRPr="002D27B5">
              <w:rPr>
                <w:rFonts w:ascii="Arial" w:hAnsi="Arial" w:cs="Arial"/>
                <w:sz w:val="18"/>
                <w:szCs w:val="20"/>
              </w:rPr>
              <w:t>Aravis</w:t>
            </w:r>
            <w:proofErr w:type="spellEnd"/>
            <w:r w:rsidRPr="002D27B5">
              <w:rPr>
                <w:rFonts w:ascii="Arial" w:hAnsi="Arial" w:cs="Arial"/>
                <w:sz w:val="18"/>
                <w:szCs w:val="20"/>
              </w:rPr>
              <w:t xml:space="preserve"> armoured personnel carriers (APCs) and 745 precision rifles. </w:t>
            </w:r>
          </w:p>
          <w:p w14:paraId="0843D25A"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2578" w:type="dxa"/>
            <w:gridSpan w:val="2"/>
            <w:shd w:val="clear" w:color="auto" w:fill="auto"/>
          </w:tcPr>
          <w:p w14:paraId="2CE985F0"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2D27B5">
              <w:rPr>
                <w:rFonts w:ascii="Arial" w:hAnsi="Arial" w:cs="Arial"/>
                <w:sz w:val="18"/>
                <w:szCs w:val="20"/>
              </w:rPr>
              <w:t xml:space="preserve">France delivered military equipment worth $960m (€899m). </w:t>
            </w:r>
          </w:p>
        </w:tc>
      </w:tr>
      <w:tr w:rsidR="00EF3BF8" w:rsidRPr="00CE31E5" w14:paraId="4067D3F1" w14:textId="77777777" w:rsidTr="00EF3BF8">
        <w:trPr>
          <w:trHeight w:val="1202"/>
        </w:trPr>
        <w:tc>
          <w:tcPr>
            <w:cnfStyle w:val="001000000000" w:firstRow="0" w:lastRow="0" w:firstColumn="1" w:lastColumn="0" w:oddVBand="0" w:evenVBand="0" w:oddHBand="0" w:evenHBand="0" w:firstRowFirstColumn="0" w:firstRowLastColumn="0" w:lastRowFirstColumn="0" w:lastRowLastColumn="0"/>
            <w:tcW w:w="1501" w:type="dxa"/>
            <w:tcBorders>
              <w:left w:val="nil"/>
            </w:tcBorders>
          </w:tcPr>
          <w:p w14:paraId="1C5AE642" w14:textId="77777777" w:rsidR="00EF3BF8" w:rsidRPr="002D27B5" w:rsidRDefault="00EF3BF8" w:rsidP="00EF3BF8">
            <w:pPr>
              <w:rPr>
                <w:rFonts w:ascii="Arial" w:hAnsi="Arial" w:cs="Arial"/>
                <w:sz w:val="18"/>
                <w:szCs w:val="20"/>
              </w:rPr>
            </w:pPr>
            <w:r w:rsidRPr="002D27B5">
              <w:rPr>
                <w:rFonts w:ascii="Arial" w:hAnsi="Arial" w:cs="Arial"/>
                <w:sz w:val="18"/>
                <w:szCs w:val="20"/>
              </w:rPr>
              <w:t>Italy</w:t>
            </w:r>
          </w:p>
        </w:tc>
        <w:tc>
          <w:tcPr>
            <w:tcW w:w="1116" w:type="dxa"/>
          </w:tcPr>
          <w:p w14:paraId="66402E4B" w14:textId="77777777" w:rsidR="00EF3BF8" w:rsidRPr="002D27B5" w:rsidRDefault="00EF3BF8" w:rsidP="00EF3BF8">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r w:rsidRPr="002D27B5">
              <w:rPr>
                <w:rFonts w:ascii="Arial" w:hAnsi="Arial" w:cs="Arial"/>
                <w:b/>
                <w:sz w:val="18"/>
                <w:szCs w:val="20"/>
              </w:rPr>
              <w:t>States Party</w:t>
            </w:r>
          </w:p>
        </w:tc>
        <w:tc>
          <w:tcPr>
            <w:tcW w:w="2371" w:type="dxa"/>
          </w:tcPr>
          <w:p w14:paraId="473CD58D" w14:textId="77777777" w:rsidR="00EF3BF8" w:rsidRPr="002D27B5" w:rsidRDefault="00EF3BF8" w:rsidP="00EF3BF8">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2D27B5">
              <w:rPr>
                <w:rFonts w:ascii="Arial" w:hAnsi="Arial" w:cs="Arial"/>
                <w:b/>
                <w:sz w:val="18"/>
                <w:szCs w:val="20"/>
              </w:rPr>
              <w:t>Export:</w:t>
            </w:r>
            <w:r w:rsidRPr="002D27B5">
              <w:rPr>
                <w:rFonts w:ascii="Arial" w:hAnsi="Arial" w:cs="Arial"/>
                <w:sz w:val="18"/>
                <w:szCs w:val="20"/>
              </w:rPr>
              <w:t xml:space="preserve"> Four attack helicopters, 245 missile and missile launchers as well as small arms and light weapons. </w:t>
            </w:r>
          </w:p>
        </w:tc>
        <w:tc>
          <w:tcPr>
            <w:tcW w:w="2578" w:type="dxa"/>
            <w:gridSpan w:val="2"/>
          </w:tcPr>
          <w:p w14:paraId="03D9680E" w14:textId="77777777" w:rsidR="00EF3BF8" w:rsidRPr="002D27B5" w:rsidRDefault="00EF3BF8" w:rsidP="00EF3BF8">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2D27B5">
              <w:rPr>
                <w:rFonts w:ascii="Arial" w:hAnsi="Arial" w:cs="Arial"/>
                <w:sz w:val="18"/>
                <w:szCs w:val="20"/>
              </w:rPr>
              <w:t xml:space="preserve">Not reported. UN </w:t>
            </w:r>
            <w:proofErr w:type="spellStart"/>
            <w:r w:rsidRPr="002D27B5">
              <w:rPr>
                <w:rFonts w:ascii="Arial" w:hAnsi="Arial" w:cs="Arial"/>
                <w:sz w:val="18"/>
                <w:szCs w:val="20"/>
              </w:rPr>
              <w:t>Comtrade</w:t>
            </w:r>
            <w:proofErr w:type="spellEnd"/>
            <w:r w:rsidRPr="002D27B5">
              <w:rPr>
                <w:rFonts w:ascii="Arial" w:hAnsi="Arial" w:cs="Arial"/>
                <w:sz w:val="18"/>
                <w:szCs w:val="20"/>
              </w:rPr>
              <w:t xml:space="preserve"> shows sales in 2015 from Italy to Saudi Arabia worth US$41.69m, mostly for ammunition and projectiles.</w:t>
            </w:r>
          </w:p>
          <w:p w14:paraId="46798ECB" w14:textId="77777777" w:rsidR="00EF3BF8" w:rsidRPr="002D27B5" w:rsidRDefault="00EF3BF8" w:rsidP="00EF3BF8">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r w:rsidR="00EF3BF8" w:rsidRPr="00CE31E5" w14:paraId="352B9365" w14:textId="77777777" w:rsidTr="00EF3BF8">
        <w:trPr>
          <w:cnfStyle w:val="000000100000" w:firstRow="0" w:lastRow="0" w:firstColumn="0" w:lastColumn="0" w:oddVBand="0" w:evenVBand="0" w:oddHBand="1" w:evenHBand="0" w:firstRowFirstColumn="0" w:firstRowLastColumn="0" w:lastRowFirstColumn="0" w:lastRowLastColumn="0"/>
          <w:trHeight w:val="2427"/>
        </w:trPr>
        <w:tc>
          <w:tcPr>
            <w:cnfStyle w:val="001000000000" w:firstRow="0" w:lastRow="0" w:firstColumn="1" w:lastColumn="0" w:oddVBand="0" w:evenVBand="0" w:oddHBand="0" w:evenHBand="0" w:firstRowFirstColumn="0" w:firstRowLastColumn="0" w:lastRowFirstColumn="0" w:lastRowLastColumn="0"/>
            <w:tcW w:w="1501" w:type="dxa"/>
            <w:tcBorders>
              <w:left w:val="nil"/>
            </w:tcBorders>
          </w:tcPr>
          <w:p w14:paraId="6A3AA85A" w14:textId="77777777" w:rsidR="00EF3BF8" w:rsidRPr="002D27B5" w:rsidRDefault="00EF3BF8" w:rsidP="00EF3BF8">
            <w:pPr>
              <w:rPr>
                <w:rFonts w:ascii="Arial" w:hAnsi="Arial" w:cs="Arial"/>
                <w:sz w:val="18"/>
                <w:szCs w:val="20"/>
              </w:rPr>
            </w:pPr>
            <w:r w:rsidRPr="002D27B5">
              <w:rPr>
                <w:rFonts w:ascii="Arial" w:hAnsi="Arial" w:cs="Arial"/>
                <w:sz w:val="18"/>
                <w:szCs w:val="20"/>
              </w:rPr>
              <w:t>Spain</w:t>
            </w:r>
          </w:p>
        </w:tc>
        <w:tc>
          <w:tcPr>
            <w:tcW w:w="1116" w:type="dxa"/>
          </w:tcPr>
          <w:p w14:paraId="675982CC"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r w:rsidRPr="002D27B5">
              <w:rPr>
                <w:rFonts w:ascii="Arial" w:hAnsi="Arial" w:cs="Arial"/>
                <w:b/>
                <w:sz w:val="18"/>
                <w:szCs w:val="20"/>
              </w:rPr>
              <w:t>States Party</w:t>
            </w:r>
          </w:p>
        </w:tc>
        <w:tc>
          <w:tcPr>
            <w:tcW w:w="2378" w:type="dxa"/>
            <w:gridSpan w:val="2"/>
          </w:tcPr>
          <w:p w14:paraId="6FFBC0D8"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2D27B5">
              <w:rPr>
                <w:rFonts w:ascii="Arial" w:hAnsi="Arial" w:cs="Arial"/>
                <w:b/>
                <w:sz w:val="18"/>
                <w:szCs w:val="20"/>
              </w:rPr>
              <w:t>Licenses:</w:t>
            </w:r>
            <w:r w:rsidRPr="002D27B5">
              <w:rPr>
                <w:rFonts w:ascii="Arial" w:hAnsi="Arial" w:cs="Arial"/>
                <w:sz w:val="18"/>
                <w:szCs w:val="20"/>
              </w:rPr>
              <w:t xml:space="preserve"> In the first half of 2015, Spain agreed eight licenses for bombs, torpedoes, rockets and missiles, fire control systems, and aircraft. </w:t>
            </w:r>
          </w:p>
          <w:p w14:paraId="28221E86"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14:paraId="3FF9BE7D"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2D27B5">
              <w:rPr>
                <w:rFonts w:ascii="Arial" w:hAnsi="Arial" w:cs="Arial"/>
                <w:b/>
                <w:sz w:val="18"/>
                <w:szCs w:val="20"/>
              </w:rPr>
              <w:t>Exports:</w:t>
            </w:r>
            <w:r w:rsidRPr="002D27B5">
              <w:rPr>
                <w:rFonts w:ascii="Arial" w:hAnsi="Arial" w:cs="Arial"/>
                <w:sz w:val="18"/>
                <w:szCs w:val="20"/>
              </w:rPr>
              <w:t xml:space="preserve"> Two air-to-air refuelling aircraft, spare parts for fighter jets, ammunition and small arms.</w:t>
            </w:r>
          </w:p>
          <w:p w14:paraId="6B0DAA02"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2571" w:type="dxa"/>
          </w:tcPr>
          <w:p w14:paraId="063FFE73"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2D27B5">
              <w:rPr>
                <w:rFonts w:ascii="Arial" w:hAnsi="Arial" w:cs="Arial"/>
                <w:sz w:val="18"/>
                <w:szCs w:val="20"/>
              </w:rPr>
              <w:t xml:space="preserve">US$28.9m (€27m). </w:t>
            </w:r>
          </w:p>
          <w:p w14:paraId="60112EA8"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14:paraId="0E37DBAB"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14:paraId="0FF2F389"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14:paraId="76757C06"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14:paraId="1423E74C"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14:paraId="406CFE7D"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14:paraId="306BDDDF"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2D27B5">
              <w:rPr>
                <w:rFonts w:ascii="Arial" w:hAnsi="Arial" w:cs="Arial"/>
                <w:sz w:val="18"/>
                <w:szCs w:val="20"/>
              </w:rPr>
              <w:t>US$478m (€477m).</w:t>
            </w:r>
          </w:p>
        </w:tc>
      </w:tr>
      <w:tr w:rsidR="00EF3BF8" w:rsidRPr="00CE31E5" w14:paraId="25AB2BF0" w14:textId="77777777" w:rsidTr="00EF3BF8">
        <w:trPr>
          <w:trHeight w:val="2613"/>
        </w:trPr>
        <w:tc>
          <w:tcPr>
            <w:cnfStyle w:val="001000000000" w:firstRow="0" w:lastRow="0" w:firstColumn="1" w:lastColumn="0" w:oddVBand="0" w:evenVBand="0" w:oddHBand="0" w:evenHBand="0" w:firstRowFirstColumn="0" w:firstRowLastColumn="0" w:lastRowFirstColumn="0" w:lastRowLastColumn="0"/>
            <w:tcW w:w="1501" w:type="dxa"/>
            <w:tcBorders>
              <w:left w:val="nil"/>
            </w:tcBorders>
          </w:tcPr>
          <w:p w14:paraId="63C26C4C" w14:textId="77777777" w:rsidR="00EF3BF8" w:rsidRPr="002D27B5" w:rsidRDefault="00EF3BF8" w:rsidP="00EF3BF8">
            <w:pPr>
              <w:rPr>
                <w:rFonts w:ascii="Arial" w:hAnsi="Arial" w:cs="Arial"/>
                <w:sz w:val="18"/>
                <w:szCs w:val="20"/>
              </w:rPr>
            </w:pPr>
            <w:r w:rsidRPr="002D27B5">
              <w:rPr>
                <w:rFonts w:ascii="Arial" w:hAnsi="Arial" w:cs="Arial"/>
                <w:sz w:val="18"/>
                <w:szCs w:val="20"/>
              </w:rPr>
              <w:t>UK</w:t>
            </w:r>
          </w:p>
        </w:tc>
        <w:tc>
          <w:tcPr>
            <w:tcW w:w="1116" w:type="dxa"/>
          </w:tcPr>
          <w:p w14:paraId="34C17AF3" w14:textId="77777777" w:rsidR="00EF3BF8" w:rsidRPr="002D27B5" w:rsidRDefault="00EF3BF8" w:rsidP="00EF3BF8">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r w:rsidRPr="002D27B5">
              <w:rPr>
                <w:rFonts w:ascii="Arial" w:hAnsi="Arial" w:cs="Arial"/>
                <w:b/>
                <w:sz w:val="18"/>
                <w:szCs w:val="20"/>
              </w:rPr>
              <w:t>States Party</w:t>
            </w:r>
          </w:p>
        </w:tc>
        <w:tc>
          <w:tcPr>
            <w:tcW w:w="2371" w:type="dxa"/>
          </w:tcPr>
          <w:p w14:paraId="7D967FDC" w14:textId="77777777" w:rsidR="00EF3BF8" w:rsidRPr="002D27B5" w:rsidRDefault="00EF3BF8" w:rsidP="00EF3BF8">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2D27B5">
              <w:rPr>
                <w:rFonts w:ascii="Arial" w:hAnsi="Arial" w:cs="Arial"/>
                <w:b/>
                <w:sz w:val="18"/>
                <w:szCs w:val="20"/>
              </w:rPr>
              <w:t>Licenses:</w:t>
            </w:r>
            <w:r w:rsidRPr="002D27B5">
              <w:rPr>
                <w:rFonts w:ascii="Arial" w:hAnsi="Arial" w:cs="Arial"/>
                <w:sz w:val="18"/>
                <w:szCs w:val="20"/>
              </w:rPr>
              <w:t xml:space="preserve"> 165 standard military licenses were issued in 2015. </w:t>
            </w:r>
          </w:p>
          <w:p w14:paraId="11B414FC" w14:textId="77777777" w:rsidR="00EF3BF8" w:rsidRPr="002D27B5" w:rsidRDefault="00EF3BF8" w:rsidP="00EF3BF8">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14:paraId="4495B6FA" w14:textId="77777777" w:rsidR="00EF3BF8" w:rsidRPr="002D27B5" w:rsidRDefault="00EF3BF8" w:rsidP="00EF3BF8">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p w14:paraId="3E996DD6" w14:textId="77777777" w:rsidR="00EF3BF8" w:rsidRPr="002D27B5" w:rsidRDefault="00EF3BF8" w:rsidP="00EF3BF8">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p w14:paraId="1F177C7E" w14:textId="77777777" w:rsidR="00EF3BF8" w:rsidRPr="002D27B5" w:rsidRDefault="00EF3BF8" w:rsidP="00EF3BF8">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p w14:paraId="630FA7C4" w14:textId="77777777" w:rsidR="00EF3BF8" w:rsidRPr="002D27B5" w:rsidRDefault="00EF3BF8" w:rsidP="00EF3BF8">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p w14:paraId="6AA3FAAB" w14:textId="77777777" w:rsidR="00EF3BF8" w:rsidRPr="002D27B5" w:rsidRDefault="00EF3BF8" w:rsidP="00EF3BF8">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2D27B5">
              <w:rPr>
                <w:rFonts w:ascii="Arial" w:hAnsi="Arial" w:cs="Arial"/>
                <w:b/>
                <w:sz w:val="18"/>
                <w:szCs w:val="20"/>
              </w:rPr>
              <w:t>Export:</w:t>
            </w:r>
            <w:r w:rsidRPr="002D27B5">
              <w:rPr>
                <w:rFonts w:ascii="Arial" w:hAnsi="Arial" w:cs="Arial"/>
                <w:sz w:val="18"/>
                <w:szCs w:val="20"/>
              </w:rPr>
              <w:t xml:space="preserve"> 12 combat aircraft, 173 missile and missile launchers, 60 light machine guns and 4 revolvers and self-loading pistols. </w:t>
            </w:r>
          </w:p>
        </w:tc>
        <w:tc>
          <w:tcPr>
            <w:tcW w:w="2578" w:type="dxa"/>
            <w:gridSpan w:val="2"/>
          </w:tcPr>
          <w:p w14:paraId="2FD4649D" w14:textId="77777777" w:rsidR="00EF3BF8" w:rsidRPr="002D27B5" w:rsidRDefault="00EF3BF8" w:rsidP="00EF3BF8">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2D27B5">
              <w:rPr>
                <w:rFonts w:ascii="Arial" w:hAnsi="Arial" w:cs="Arial"/>
                <w:sz w:val="18"/>
                <w:szCs w:val="20"/>
              </w:rPr>
              <w:t xml:space="preserve">US$4.17 billion (£2.8 billion), including $2.5 billion for aircraft and component parts, and $1.6 billion for bombs, torpedoes, rockets and missiles. </w:t>
            </w:r>
          </w:p>
          <w:p w14:paraId="0224A37F" w14:textId="77777777" w:rsidR="00EF3BF8" w:rsidRPr="002D27B5" w:rsidRDefault="00EF3BF8" w:rsidP="00EF3BF8">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14:paraId="52A0E50D" w14:textId="77777777" w:rsidR="00EF3BF8" w:rsidRPr="002D27B5" w:rsidRDefault="00EF3BF8" w:rsidP="00EF3BF8">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2D27B5">
              <w:rPr>
                <w:rFonts w:ascii="Arial" w:hAnsi="Arial" w:cs="Arial"/>
                <w:sz w:val="18"/>
                <w:szCs w:val="20"/>
              </w:rPr>
              <w:t xml:space="preserve">Not reported. UN </w:t>
            </w:r>
            <w:proofErr w:type="spellStart"/>
            <w:r w:rsidRPr="002D27B5">
              <w:rPr>
                <w:rFonts w:ascii="Arial" w:hAnsi="Arial" w:cs="Arial"/>
                <w:sz w:val="18"/>
                <w:szCs w:val="20"/>
              </w:rPr>
              <w:t>Comtrade</w:t>
            </w:r>
            <w:proofErr w:type="spellEnd"/>
            <w:r w:rsidRPr="002D27B5">
              <w:rPr>
                <w:rFonts w:ascii="Arial" w:hAnsi="Arial" w:cs="Arial"/>
                <w:sz w:val="18"/>
                <w:szCs w:val="20"/>
              </w:rPr>
              <w:t xml:space="preserve"> reported sales of arms, ammunition, parts and components from the UK to Saudi Arabia worth US$1.46billion. </w:t>
            </w:r>
          </w:p>
          <w:p w14:paraId="017FFA1F" w14:textId="77777777" w:rsidR="00EF3BF8" w:rsidRPr="002D27B5" w:rsidRDefault="00EF3BF8" w:rsidP="00EF3BF8">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r w:rsidR="00EF3BF8" w:rsidRPr="00CE31E5" w14:paraId="49D76618" w14:textId="77777777" w:rsidTr="00EF3BF8">
        <w:trPr>
          <w:cnfStyle w:val="000000100000" w:firstRow="0" w:lastRow="0" w:firstColumn="0" w:lastColumn="0" w:oddVBand="0" w:evenVBand="0" w:oddHBand="1" w:evenHBand="0" w:firstRowFirstColumn="0" w:firstRowLastColumn="0" w:lastRowFirstColumn="0" w:lastRowLastColumn="0"/>
          <w:trHeight w:val="1690"/>
        </w:trPr>
        <w:tc>
          <w:tcPr>
            <w:cnfStyle w:val="001000000000" w:firstRow="0" w:lastRow="0" w:firstColumn="1" w:lastColumn="0" w:oddVBand="0" w:evenVBand="0" w:oddHBand="0" w:evenHBand="0" w:firstRowFirstColumn="0" w:firstRowLastColumn="0" w:lastRowFirstColumn="0" w:lastRowLastColumn="0"/>
            <w:tcW w:w="1501" w:type="dxa"/>
            <w:tcBorders>
              <w:left w:val="nil"/>
            </w:tcBorders>
          </w:tcPr>
          <w:p w14:paraId="32C16444" w14:textId="77777777" w:rsidR="00EF3BF8" w:rsidRPr="002D27B5" w:rsidRDefault="00EF3BF8" w:rsidP="00EF3BF8">
            <w:pPr>
              <w:rPr>
                <w:rFonts w:ascii="Arial" w:hAnsi="Arial" w:cs="Arial"/>
                <w:sz w:val="18"/>
                <w:szCs w:val="20"/>
              </w:rPr>
            </w:pPr>
            <w:r w:rsidRPr="002D27B5">
              <w:rPr>
                <w:rFonts w:ascii="Arial" w:hAnsi="Arial" w:cs="Arial"/>
                <w:sz w:val="18"/>
                <w:szCs w:val="20"/>
              </w:rPr>
              <w:t>US</w:t>
            </w:r>
          </w:p>
        </w:tc>
        <w:tc>
          <w:tcPr>
            <w:tcW w:w="1116" w:type="dxa"/>
          </w:tcPr>
          <w:p w14:paraId="40304E05"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r w:rsidRPr="002D27B5">
              <w:rPr>
                <w:rFonts w:ascii="Arial" w:hAnsi="Arial" w:cs="Arial"/>
                <w:b/>
                <w:sz w:val="18"/>
                <w:szCs w:val="20"/>
              </w:rPr>
              <w:t>Signatory</w:t>
            </w:r>
          </w:p>
        </w:tc>
        <w:tc>
          <w:tcPr>
            <w:tcW w:w="2371" w:type="dxa"/>
          </w:tcPr>
          <w:p w14:paraId="182DF8B0"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2D27B5">
              <w:rPr>
                <w:rFonts w:ascii="Arial" w:hAnsi="Arial" w:cs="Arial"/>
                <w:b/>
                <w:sz w:val="18"/>
                <w:szCs w:val="20"/>
              </w:rPr>
              <w:t xml:space="preserve">Licenses: </w:t>
            </w:r>
            <w:r w:rsidRPr="002D27B5">
              <w:rPr>
                <w:rFonts w:ascii="Arial" w:hAnsi="Arial" w:cs="Arial"/>
                <w:sz w:val="18"/>
                <w:szCs w:val="20"/>
              </w:rPr>
              <w:t>Issued for over eight million items, the vast majority ammunition and ordnance.</w:t>
            </w:r>
          </w:p>
          <w:p w14:paraId="36AA3215"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14:paraId="3A5027AC"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2D27B5">
              <w:rPr>
                <w:rFonts w:ascii="Arial" w:hAnsi="Arial" w:cs="Arial"/>
                <w:b/>
                <w:sz w:val="18"/>
                <w:szCs w:val="20"/>
              </w:rPr>
              <w:t xml:space="preserve">Export: </w:t>
            </w:r>
            <w:r w:rsidRPr="002D27B5">
              <w:rPr>
                <w:rFonts w:ascii="Arial" w:hAnsi="Arial" w:cs="Arial"/>
                <w:sz w:val="18"/>
                <w:szCs w:val="20"/>
              </w:rPr>
              <w:t>Small arms, light weapons and ammunition, mostly bombs and missiles.</w:t>
            </w:r>
          </w:p>
        </w:tc>
        <w:tc>
          <w:tcPr>
            <w:tcW w:w="2578" w:type="dxa"/>
            <w:gridSpan w:val="2"/>
          </w:tcPr>
          <w:p w14:paraId="300EB55F"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2D27B5">
              <w:rPr>
                <w:rFonts w:ascii="Arial" w:hAnsi="Arial" w:cs="Arial"/>
                <w:sz w:val="18"/>
                <w:szCs w:val="20"/>
              </w:rPr>
              <w:t>US$5.9 billion.</w:t>
            </w:r>
          </w:p>
          <w:p w14:paraId="3F50C6B8"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14:paraId="18E44615"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14:paraId="086140D0"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14:paraId="16003359"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14:paraId="20BE9142" w14:textId="77777777" w:rsidR="00EF3BF8" w:rsidRPr="002D27B5" w:rsidRDefault="00EF3BF8" w:rsidP="00EF3BF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2D27B5">
              <w:rPr>
                <w:rFonts w:ascii="Arial" w:hAnsi="Arial" w:cs="Arial"/>
                <w:sz w:val="18"/>
                <w:szCs w:val="20"/>
              </w:rPr>
              <w:t xml:space="preserve">US$303m. </w:t>
            </w:r>
          </w:p>
        </w:tc>
      </w:tr>
    </w:tbl>
    <w:p w14:paraId="0F49BCA2" w14:textId="77777777" w:rsidR="001E1ED3" w:rsidRPr="001E1ED3" w:rsidRDefault="001E1ED3" w:rsidP="001E1ED3">
      <w:pPr>
        <w:rPr>
          <w:rFonts w:ascii="Arial" w:hAnsi="Arial" w:cs="Arial"/>
          <w:sz w:val="22"/>
          <w:szCs w:val="22"/>
        </w:rPr>
      </w:pPr>
    </w:p>
    <w:p w14:paraId="676A9C41" w14:textId="6A3737AC" w:rsidR="00B31CF7" w:rsidRDefault="00377643" w:rsidP="00B31CF7">
      <w:pPr>
        <w:pStyle w:val="ListParagraph"/>
        <w:numPr>
          <w:ilvl w:val="0"/>
          <w:numId w:val="7"/>
        </w:numPr>
        <w:rPr>
          <w:rFonts w:ascii="Arial" w:hAnsi="Arial" w:cs="Arial"/>
          <w:sz w:val="22"/>
          <w:szCs w:val="22"/>
        </w:rPr>
      </w:pPr>
      <w:r w:rsidRPr="002D27B5">
        <w:rPr>
          <w:rFonts w:ascii="Arial" w:hAnsi="Arial" w:cs="Arial"/>
          <w:sz w:val="22"/>
          <w:szCs w:val="22"/>
        </w:rPr>
        <w:t>Several States Parties</w:t>
      </w:r>
      <w:r w:rsidR="001E1ED3" w:rsidRPr="002D27B5">
        <w:rPr>
          <w:rFonts w:ascii="Arial" w:hAnsi="Arial" w:cs="Arial"/>
          <w:sz w:val="22"/>
          <w:szCs w:val="22"/>
        </w:rPr>
        <w:t xml:space="preserve"> and Signatories, including France, Italy, Spain, the UK and the US, </w:t>
      </w:r>
      <w:r w:rsidRPr="002D27B5">
        <w:rPr>
          <w:rFonts w:ascii="Arial" w:hAnsi="Arial" w:cs="Arial"/>
          <w:sz w:val="22"/>
          <w:szCs w:val="22"/>
        </w:rPr>
        <w:t xml:space="preserve">have provided arms and ammunition of the types </w:t>
      </w:r>
      <w:r w:rsidR="00CD3485">
        <w:rPr>
          <w:rFonts w:ascii="Arial" w:hAnsi="Arial" w:cs="Arial"/>
          <w:sz w:val="22"/>
          <w:szCs w:val="22"/>
        </w:rPr>
        <w:t xml:space="preserve">being </w:t>
      </w:r>
      <w:r w:rsidRPr="002D27B5">
        <w:rPr>
          <w:rFonts w:ascii="Arial" w:hAnsi="Arial" w:cs="Arial"/>
          <w:sz w:val="22"/>
          <w:szCs w:val="22"/>
        </w:rPr>
        <w:t xml:space="preserve">used to commit human rights abuses in </w:t>
      </w:r>
      <w:r w:rsidR="002D27B5">
        <w:rPr>
          <w:rFonts w:ascii="Arial" w:hAnsi="Arial" w:cs="Arial"/>
          <w:sz w:val="22"/>
          <w:szCs w:val="22"/>
        </w:rPr>
        <w:t xml:space="preserve">Yemen (see Table 1). </w:t>
      </w:r>
      <w:r w:rsidR="00CD3485">
        <w:rPr>
          <w:rFonts w:ascii="Arial" w:hAnsi="Arial" w:cs="Arial"/>
          <w:sz w:val="22"/>
          <w:szCs w:val="22"/>
        </w:rPr>
        <w:t xml:space="preserve">Some of the 19 </w:t>
      </w:r>
      <w:r w:rsidR="00804728" w:rsidRPr="002D27B5">
        <w:rPr>
          <w:rFonts w:ascii="Arial" w:hAnsi="Arial" w:cs="Arial"/>
          <w:sz w:val="22"/>
          <w:szCs w:val="22"/>
        </w:rPr>
        <w:t xml:space="preserve">States </w:t>
      </w:r>
      <w:r w:rsidR="001E1ED3" w:rsidRPr="002D27B5">
        <w:rPr>
          <w:rFonts w:ascii="Arial" w:hAnsi="Arial" w:cs="Arial"/>
          <w:sz w:val="22"/>
          <w:szCs w:val="22"/>
        </w:rPr>
        <w:t xml:space="preserve">Parties </w:t>
      </w:r>
      <w:r w:rsidR="00804728" w:rsidRPr="002D27B5">
        <w:rPr>
          <w:rFonts w:ascii="Arial" w:hAnsi="Arial" w:cs="Arial"/>
          <w:sz w:val="22"/>
          <w:szCs w:val="22"/>
        </w:rPr>
        <w:t>have</w:t>
      </w:r>
      <w:r w:rsidR="001E1ED3" w:rsidRPr="002D27B5">
        <w:rPr>
          <w:rFonts w:ascii="Arial" w:hAnsi="Arial" w:cs="Arial"/>
          <w:sz w:val="22"/>
          <w:szCs w:val="22"/>
        </w:rPr>
        <w:t xml:space="preserve"> since</w:t>
      </w:r>
      <w:r w:rsidR="00804728" w:rsidRPr="002D27B5">
        <w:rPr>
          <w:rFonts w:ascii="Arial" w:hAnsi="Arial" w:cs="Arial"/>
          <w:sz w:val="22"/>
          <w:szCs w:val="22"/>
        </w:rPr>
        <w:t xml:space="preserve"> restricted their export policies as a result of the human rights abu</w:t>
      </w:r>
      <w:r w:rsidRPr="002D27B5">
        <w:rPr>
          <w:rFonts w:ascii="Arial" w:hAnsi="Arial" w:cs="Arial"/>
          <w:sz w:val="22"/>
          <w:szCs w:val="22"/>
        </w:rPr>
        <w:t xml:space="preserve">ses in Yemen (see response to question 4 below for more details). </w:t>
      </w:r>
    </w:p>
    <w:p w14:paraId="0F5E910F" w14:textId="77777777" w:rsidR="00B31CF7" w:rsidRDefault="00B31CF7" w:rsidP="00B31CF7">
      <w:pPr>
        <w:rPr>
          <w:rFonts w:ascii="Arial" w:hAnsi="Arial" w:cs="Arial"/>
          <w:b/>
          <w:sz w:val="22"/>
          <w:szCs w:val="22"/>
        </w:rPr>
      </w:pPr>
    </w:p>
    <w:p w14:paraId="45431F9E" w14:textId="7FF961A5" w:rsidR="00B31CF7" w:rsidRPr="00B31CF7" w:rsidRDefault="00B31CF7" w:rsidP="00B31CF7">
      <w:pPr>
        <w:rPr>
          <w:rFonts w:ascii="Arial" w:hAnsi="Arial" w:cs="Arial"/>
          <w:sz w:val="22"/>
          <w:szCs w:val="22"/>
        </w:rPr>
      </w:pPr>
      <w:r w:rsidRPr="00B31CF7">
        <w:rPr>
          <w:rFonts w:ascii="Arial" w:hAnsi="Arial" w:cs="Arial"/>
          <w:b/>
          <w:sz w:val="22"/>
          <w:szCs w:val="22"/>
        </w:rPr>
        <w:t>Table 1: Arms transfers to Saudi Arabia in 2015 (selected States Parties and Signatories)</w:t>
      </w:r>
    </w:p>
    <w:p w14:paraId="07709019" w14:textId="388D53C4" w:rsidR="00BE1AB5" w:rsidRPr="001E1ED3" w:rsidRDefault="00BE1AB5" w:rsidP="001E1ED3">
      <w:pPr>
        <w:rPr>
          <w:rFonts w:ascii="Arial" w:hAnsi="Arial" w:cs="Arial"/>
          <w:sz w:val="22"/>
          <w:szCs w:val="22"/>
        </w:rPr>
      </w:pPr>
    </w:p>
    <w:p w14:paraId="3503C7CE" w14:textId="67DED96A" w:rsidR="001051B6" w:rsidRPr="00B44550" w:rsidRDefault="00DD77AF" w:rsidP="006D1FFD">
      <w:pPr>
        <w:pStyle w:val="ListParagraph"/>
        <w:numPr>
          <w:ilvl w:val="0"/>
          <w:numId w:val="7"/>
        </w:numPr>
        <w:rPr>
          <w:rFonts w:ascii="Arial" w:hAnsi="Arial" w:cs="Arial"/>
          <w:sz w:val="22"/>
          <w:szCs w:val="22"/>
        </w:rPr>
      </w:pPr>
      <w:r w:rsidRPr="00B44550">
        <w:rPr>
          <w:rFonts w:ascii="Arial" w:hAnsi="Arial" w:cs="Arial"/>
          <w:sz w:val="22"/>
          <w:szCs w:val="22"/>
        </w:rPr>
        <w:t xml:space="preserve">The provision of arms and ammunition </w:t>
      </w:r>
      <w:r w:rsidR="00477F59" w:rsidRPr="00B44550">
        <w:rPr>
          <w:rFonts w:ascii="Arial" w:hAnsi="Arial" w:cs="Arial"/>
          <w:sz w:val="22"/>
          <w:szCs w:val="22"/>
        </w:rPr>
        <w:t>to human rights abusers</w:t>
      </w:r>
      <w:r w:rsidRPr="00B44550">
        <w:rPr>
          <w:rFonts w:ascii="Arial" w:hAnsi="Arial" w:cs="Arial"/>
          <w:sz w:val="22"/>
          <w:szCs w:val="22"/>
        </w:rPr>
        <w:t xml:space="preserve"> puts all rights holders at risk. H</w:t>
      </w:r>
      <w:r w:rsidR="00A46A9F" w:rsidRPr="00B44550">
        <w:rPr>
          <w:rFonts w:ascii="Arial" w:hAnsi="Arial" w:cs="Arial"/>
          <w:sz w:val="22"/>
          <w:szCs w:val="22"/>
        </w:rPr>
        <w:t xml:space="preserve">owever, the particular </w:t>
      </w:r>
      <w:r w:rsidR="00477F59" w:rsidRPr="00B44550">
        <w:rPr>
          <w:rFonts w:ascii="Arial" w:hAnsi="Arial" w:cs="Arial"/>
          <w:sz w:val="22"/>
          <w:szCs w:val="22"/>
        </w:rPr>
        <w:t xml:space="preserve">impact of arms transfers on </w:t>
      </w:r>
      <w:r w:rsidR="00A46A9F" w:rsidRPr="00B44550">
        <w:rPr>
          <w:rFonts w:ascii="Arial" w:hAnsi="Arial" w:cs="Arial"/>
          <w:sz w:val="22"/>
          <w:szCs w:val="22"/>
        </w:rPr>
        <w:t>women and children</w:t>
      </w:r>
      <w:r w:rsidR="00477F59" w:rsidRPr="00B44550">
        <w:rPr>
          <w:rFonts w:ascii="Arial" w:hAnsi="Arial" w:cs="Arial"/>
          <w:sz w:val="22"/>
          <w:szCs w:val="22"/>
        </w:rPr>
        <w:t xml:space="preserve"> has been recognised by the inclusion of gender-based violence </w:t>
      </w:r>
      <w:r w:rsidR="00CD3485">
        <w:rPr>
          <w:rFonts w:ascii="Arial" w:hAnsi="Arial" w:cs="Arial"/>
          <w:sz w:val="22"/>
          <w:szCs w:val="22"/>
        </w:rPr>
        <w:t xml:space="preserve">(GBV) </w:t>
      </w:r>
      <w:r w:rsidR="00477F59" w:rsidRPr="00B44550">
        <w:rPr>
          <w:rFonts w:ascii="Arial" w:hAnsi="Arial" w:cs="Arial"/>
          <w:sz w:val="22"/>
          <w:szCs w:val="22"/>
        </w:rPr>
        <w:t xml:space="preserve">in the risk assessment criteria of the Arms Trade Treaty. </w:t>
      </w:r>
      <w:r w:rsidRPr="00B44550">
        <w:rPr>
          <w:rFonts w:ascii="Arial" w:hAnsi="Arial" w:cs="Arial"/>
          <w:sz w:val="22"/>
          <w:szCs w:val="22"/>
        </w:rPr>
        <w:t xml:space="preserve">Under the ATT it is illegal to transfer arms if there is a risk that they will be used to commit or facilitate GBV or serious acts of violence against women and children (Article 7.4). </w:t>
      </w:r>
      <w:r w:rsidR="00A46A9F" w:rsidRPr="00B44550">
        <w:rPr>
          <w:rFonts w:ascii="Arial" w:hAnsi="Arial" w:cs="Arial"/>
          <w:sz w:val="22"/>
          <w:szCs w:val="22"/>
        </w:rPr>
        <w:t>UN OCHA has warned that conflict and resulting high displacement has increased the risks of gender-based violence (GBV), which is itself a serious violation of human rights. There are 70 per cent more incidents of violence against women and girls in Yemen reported today than before the conflict began in March 2015.</w:t>
      </w:r>
      <w:r w:rsidR="00A46A9F" w:rsidRPr="00B44550">
        <w:rPr>
          <w:rStyle w:val="FootnoteReference"/>
          <w:rFonts w:ascii="Arial" w:hAnsi="Arial" w:cs="Arial"/>
          <w:sz w:val="22"/>
          <w:szCs w:val="22"/>
        </w:rPr>
        <w:footnoteReference w:id="11"/>
      </w:r>
      <w:r w:rsidR="00A46A9F" w:rsidRPr="00B44550">
        <w:rPr>
          <w:rFonts w:ascii="Arial" w:hAnsi="Arial" w:cs="Arial"/>
          <w:sz w:val="22"/>
          <w:szCs w:val="22"/>
        </w:rPr>
        <w:t xml:space="preserve"> Arms transfers have indirectly fuelled this increasing violence by enabling the conflict to continue to this point.</w:t>
      </w:r>
      <w:r w:rsidR="00B52561" w:rsidRPr="00B44550">
        <w:rPr>
          <w:rFonts w:ascii="Arial" w:hAnsi="Arial" w:cs="Arial"/>
          <w:sz w:val="22"/>
          <w:szCs w:val="22"/>
        </w:rPr>
        <w:t xml:space="preserve"> </w:t>
      </w:r>
    </w:p>
    <w:p w14:paraId="3D50A388" w14:textId="77777777" w:rsidR="00B52561" w:rsidRPr="00B44550" w:rsidRDefault="00B52561" w:rsidP="00B52561">
      <w:pPr>
        <w:pStyle w:val="ListParagraph"/>
        <w:ind w:left="360"/>
        <w:rPr>
          <w:rFonts w:ascii="Arial" w:hAnsi="Arial" w:cs="Arial"/>
          <w:sz w:val="22"/>
          <w:szCs w:val="22"/>
        </w:rPr>
      </w:pPr>
    </w:p>
    <w:p w14:paraId="0CEF4240" w14:textId="77777777" w:rsidR="00F54AF4" w:rsidRPr="00B44550" w:rsidRDefault="00F54AF4" w:rsidP="00EF7B41">
      <w:pPr>
        <w:rPr>
          <w:rFonts w:ascii="Arial" w:hAnsi="Arial" w:cs="Arial"/>
          <w:sz w:val="22"/>
          <w:szCs w:val="22"/>
        </w:rPr>
      </w:pPr>
    </w:p>
    <w:p w14:paraId="51CD44BA" w14:textId="4F20B8E3" w:rsidR="00EF7B41" w:rsidRPr="00B44550" w:rsidRDefault="002D27B5" w:rsidP="0012533B">
      <w:pPr>
        <w:rPr>
          <w:rFonts w:ascii="Arial" w:hAnsi="Arial" w:cs="Arial"/>
          <w:b/>
          <w:sz w:val="22"/>
          <w:szCs w:val="22"/>
        </w:rPr>
      </w:pPr>
      <w:r w:rsidRPr="00B44550">
        <w:rPr>
          <w:rFonts w:ascii="Arial" w:hAnsi="Arial" w:cs="Arial"/>
          <w:b/>
          <w:sz w:val="22"/>
          <w:szCs w:val="22"/>
        </w:rPr>
        <w:t xml:space="preserve">Question 4: </w:t>
      </w:r>
      <w:r w:rsidR="00EF7B41" w:rsidRPr="00B44550">
        <w:rPr>
          <w:rFonts w:ascii="Arial" w:hAnsi="Arial" w:cs="Arial"/>
          <w:b/>
          <w:sz w:val="22"/>
          <w:szCs w:val="22"/>
        </w:rPr>
        <w:t>Are you aware of a refusal or refusals by government[s] to authorise a proposed arms transfer or arms transfers on the basis that the arms transfer would impact on the enjoyment of human rights? If possible, please specify the factors that were taken into consideration in making this decision, and the nature of the human rights that would have been impacted by such the proposed transfer.</w:t>
      </w:r>
    </w:p>
    <w:p w14:paraId="4AD2653E" w14:textId="77777777" w:rsidR="00EF7B41" w:rsidRPr="00B44550" w:rsidRDefault="00EF7B41" w:rsidP="00EF7B41">
      <w:pPr>
        <w:rPr>
          <w:rFonts w:ascii="Arial" w:hAnsi="Arial" w:cs="Arial"/>
          <w:sz w:val="22"/>
          <w:szCs w:val="22"/>
        </w:rPr>
      </w:pPr>
    </w:p>
    <w:p w14:paraId="75D5CF1A" w14:textId="36C1D0EC" w:rsidR="00EE00FC" w:rsidRPr="00B44550" w:rsidRDefault="00EE00FC" w:rsidP="00BD7FD9">
      <w:pPr>
        <w:pStyle w:val="ListParagraph"/>
        <w:numPr>
          <w:ilvl w:val="0"/>
          <w:numId w:val="9"/>
        </w:numPr>
        <w:rPr>
          <w:rFonts w:ascii="Arial" w:hAnsi="Arial" w:cs="Arial"/>
          <w:sz w:val="22"/>
          <w:szCs w:val="22"/>
        </w:rPr>
      </w:pPr>
      <w:r w:rsidRPr="00B44550">
        <w:rPr>
          <w:rFonts w:ascii="Arial" w:hAnsi="Arial" w:cs="Arial"/>
          <w:sz w:val="22"/>
          <w:szCs w:val="22"/>
        </w:rPr>
        <w:t xml:space="preserve">As part of a comprehensive risk assessment, States Parties to the ATT are obligated under Article 7 to deny arms export applications if there is an overriding risk that they could be used to commit or facilitate serious violations of IHRL. Although the first reports on annual imports and exports of arms have been submitted to the ATT Secretariat by </w:t>
      </w:r>
      <w:r w:rsidR="00CD3485">
        <w:rPr>
          <w:rFonts w:ascii="Arial" w:hAnsi="Arial" w:cs="Arial"/>
          <w:sz w:val="22"/>
          <w:szCs w:val="22"/>
        </w:rPr>
        <w:t>49</w:t>
      </w:r>
      <w:r w:rsidRPr="00B44550">
        <w:rPr>
          <w:rFonts w:ascii="Arial" w:hAnsi="Arial" w:cs="Arial"/>
          <w:sz w:val="22"/>
          <w:szCs w:val="22"/>
        </w:rPr>
        <w:t xml:space="preserve"> States at the time of this submission, the reporting template does not include an obligation to report on transfer denials. </w:t>
      </w:r>
    </w:p>
    <w:p w14:paraId="1E04A8A5" w14:textId="77777777" w:rsidR="00EE00FC" w:rsidRPr="00B44550" w:rsidRDefault="00EE00FC" w:rsidP="00EE00FC">
      <w:pPr>
        <w:pStyle w:val="ListParagraph"/>
        <w:ind w:left="360"/>
        <w:rPr>
          <w:rFonts w:ascii="Arial" w:hAnsi="Arial" w:cs="Arial"/>
          <w:sz w:val="22"/>
          <w:szCs w:val="22"/>
        </w:rPr>
      </w:pPr>
    </w:p>
    <w:p w14:paraId="42BC80AB" w14:textId="4478C853" w:rsidR="00BD7FD9" w:rsidRPr="00B44550" w:rsidRDefault="00EE00FC" w:rsidP="00BD7FD9">
      <w:pPr>
        <w:pStyle w:val="ListParagraph"/>
        <w:numPr>
          <w:ilvl w:val="0"/>
          <w:numId w:val="9"/>
        </w:numPr>
        <w:rPr>
          <w:rFonts w:ascii="Arial" w:hAnsi="Arial" w:cs="Arial"/>
          <w:sz w:val="22"/>
          <w:szCs w:val="22"/>
        </w:rPr>
      </w:pPr>
      <w:r w:rsidRPr="00B44550">
        <w:rPr>
          <w:rFonts w:ascii="Arial" w:hAnsi="Arial" w:cs="Arial"/>
          <w:sz w:val="22"/>
          <w:szCs w:val="22"/>
        </w:rPr>
        <w:t xml:space="preserve">European Union </w:t>
      </w:r>
      <w:r w:rsidR="00CD3485">
        <w:rPr>
          <w:rFonts w:ascii="Arial" w:hAnsi="Arial" w:cs="Arial"/>
          <w:sz w:val="22"/>
          <w:szCs w:val="22"/>
        </w:rPr>
        <w:t xml:space="preserve">(EU) </w:t>
      </w:r>
      <w:r w:rsidR="005960BB" w:rsidRPr="00B44550">
        <w:rPr>
          <w:rFonts w:ascii="Arial" w:hAnsi="Arial" w:cs="Arial"/>
          <w:sz w:val="22"/>
          <w:szCs w:val="22"/>
        </w:rPr>
        <w:t>Member States</w:t>
      </w:r>
      <w:r w:rsidR="009A6484" w:rsidRPr="00B44550">
        <w:rPr>
          <w:rFonts w:ascii="Arial" w:hAnsi="Arial" w:cs="Arial"/>
          <w:sz w:val="22"/>
          <w:szCs w:val="22"/>
        </w:rPr>
        <w:t xml:space="preserve"> report on</w:t>
      </w:r>
      <w:r w:rsidR="005960BB" w:rsidRPr="00B44550">
        <w:rPr>
          <w:rFonts w:ascii="Arial" w:hAnsi="Arial" w:cs="Arial"/>
          <w:sz w:val="22"/>
          <w:szCs w:val="22"/>
        </w:rPr>
        <w:t xml:space="preserve"> their</w:t>
      </w:r>
      <w:r w:rsidR="009A6484" w:rsidRPr="00B44550">
        <w:rPr>
          <w:rFonts w:ascii="Arial" w:hAnsi="Arial" w:cs="Arial"/>
          <w:sz w:val="22"/>
          <w:szCs w:val="22"/>
        </w:rPr>
        <w:t xml:space="preserve"> license denials each year</w:t>
      </w:r>
      <w:r w:rsidRPr="00B44550">
        <w:rPr>
          <w:rFonts w:ascii="Arial" w:hAnsi="Arial" w:cs="Arial"/>
          <w:sz w:val="22"/>
          <w:szCs w:val="22"/>
        </w:rPr>
        <w:t xml:space="preserve"> under EU Council Common Position 2008/944/CFSP, which establishes eight shared criteria for arms transfers</w:t>
      </w:r>
      <w:r w:rsidR="009A6484" w:rsidRPr="00B44550">
        <w:rPr>
          <w:rFonts w:ascii="Arial" w:hAnsi="Arial" w:cs="Arial"/>
          <w:sz w:val="22"/>
          <w:szCs w:val="22"/>
        </w:rPr>
        <w:t>. In 2014, the year in which the ATT entered into force and the most recent year for which data has been made available</w:t>
      </w:r>
      <w:r w:rsidR="00A37472" w:rsidRPr="00B44550">
        <w:rPr>
          <w:rFonts w:ascii="Arial" w:hAnsi="Arial" w:cs="Arial"/>
          <w:sz w:val="22"/>
          <w:szCs w:val="22"/>
        </w:rPr>
        <w:t xml:space="preserve"> through the EU</w:t>
      </w:r>
      <w:r w:rsidR="000B4E8A" w:rsidRPr="00B44550">
        <w:rPr>
          <w:rFonts w:ascii="Arial" w:hAnsi="Arial" w:cs="Arial"/>
          <w:sz w:val="22"/>
          <w:szCs w:val="22"/>
        </w:rPr>
        <w:t xml:space="preserve">, </w:t>
      </w:r>
      <w:r w:rsidR="00BD7FD9" w:rsidRPr="00B44550">
        <w:rPr>
          <w:rFonts w:ascii="Arial" w:hAnsi="Arial" w:cs="Arial"/>
          <w:sz w:val="22"/>
          <w:szCs w:val="22"/>
        </w:rPr>
        <w:t>a</w:t>
      </w:r>
      <w:r w:rsidR="005960BB" w:rsidRPr="00B44550">
        <w:rPr>
          <w:rFonts w:ascii="Arial" w:hAnsi="Arial" w:cs="Arial"/>
          <w:sz w:val="22"/>
          <w:szCs w:val="22"/>
        </w:rPr>
        <w:t xml:space="preserve"> total of </w:t>
      </w:r>
      <w:r w:rsidR="0012533B" w:rsidRPr="00B44550">
        <w:rPr>
          <w:rFonts w:ascii="Arial" w:hAnsi="Arial" w:cs="Arial"/>
          <w:sz w:val="22"/>
          <w:szCs w:val="22"/>
        </w:rPr>
        <w:t xml:space="preserve">72 </w:t>
      </w:r>
      <w:r w:rsidR="00BD7FD9" w:rsidRPr="00B44550">
        <w:rPr>
          <w:rFonts w:ascii="Arial" w:hAnsi="Arial" w:cs="Arial"/>
          <w:sz w:val="22"/>
          <w:szCs w:val="22"/>
        </w:rPr>
        <w:t xml:space="preserve">licenses were rejected under Criterion 2 </w:t>
      </w:r>
      <w:r w:rsidR="00A37472" w:rsidRPr="00B44550">
        <w:rPr>
          <w:rFonts w:ascii="Arial" w:hAnsi="Arial" w:cs="Arial"/>
          <w:sz w:val="22"/>
          <w:szCs w:val="22"/>
        </w:rPr>
        <w:t>(</w:t>
      </w:r>
      <w:r w:rsidR="00BD7FD9" w:rsidRPr="00B44550">
        <w:rPr>
          <w:rFonts w:ascii="Arial" w:hAnsi="Arial" w:cs="Arial"/>
          <w:sz w:val="22"/>
          <w:szCs w:val="22"/>
        </w:rPr>
        <w:t xml:space="preserve">Respect for human rights in the final destination as well as respect by that country of international humanitarian law). </w:t>
      </w:r>
    </w:p>
    <w:p w14:paraId="3F8AF990" w14:textId="77777777" w:rsidR="00BD7FD9" w:rsidRPr="00B44550" w:rsidRDefault="00BD7FD9" w:rsidP="00BD7FD9">
      <w:pPr>
        <w:pStyle w:val="ListParagraph"/>
        <w:ind w:left="360"/>
        <w:rPr>
          <w:rFonts w:ascii="Arial" w:hAnsi="Arial" w:cs="Arial"/>
          <w:sz w:val="22"/>
          <w:szCs w:val="22"/>
        </w:rPr>
      </w:pPr>
    </w:p>
    <w:p w14:paraId="5F17397D" w14:textId="0B981B81" w:rsidR="00022319" w:rsidRPr="00B44550" w:rsidRDefault="00BD7FD9" w:rsidP="00EF7B41">
      <w:pPr>
        <w:pStyle w:val="ListParagraph"/>
        <w:numPr>
          <w:ilvl w:val="0"/>
          <w:numId w:val="9"/>
        </w:numPr>
        <w:rPr>
          <w:rFonts w:ascii="Arial" w:hAnsi="Arial" w:cs="Arial"/>
          <w:sz w:val="22"/>
          <w:szCs w:val="22"/>
        </w:rPr>
      </w:pPr>
      <w:r w:rsidRPr="00B44550">
        <w:rPr>
          <w:rFonts w:ascii="Arial" w:hAnsi="Arial" w:cs="Arial"/>
          <w:sz w:val="22"/>
          <w:szCs w:val="22"/>
        </w:rPr>
        <w:t>Eight arms exporters in the EU denied licenses on the</w:t>
      </w:r>
      <w:r w:rsidR="00022319" w:rsidRPr="00B44550">
        <w:rPr>
          <w:rFonts w:ascii="Arial" w:hAnsi="Arial" w:cs="Arial"/>
          <w:sz w:val="22"/>
          <w:szCs w:val="22"/>
        </w:rPr>
        <w:t xml:space="preserve"> basis of human rights concerns in 2014: Austria, Bulgaria, Czech Republic, Denmark, Finland, Germany, Sweden, </w:t>
      </w:r>
      <w:r w:rsidR="00A9586D">
        <w:rPr>
          <w:rFonts w:ascii="Arial" w:hAnsi="Arial" w:cs="Arial"/>
          <w:sz w:val="22"/>
          <w:szCs w:val="22"/>
        </w:rPr>
        <w:t xml:space="preserve">and the </w:t>
      </w:r>
      <w:r w:rsidR="00022319" w:rsidRPr="00B44550">
        <w:rPr>
          <w:rFonts w:ascii="Arial" w:hAnsi="Arial" w:cs="Arial"/>
          <w:sz w:val="22"/>
          <w:szCs w:val="22"/>
        </w:rPr>
        <w:t xml:space="preserve">UK </w:t>
      </w:r>
      <w:r w:rsidRPr="00B44550">
        <w:rPr>
          <w:rFonts w:ascii="Arial" w:hAnsi="Arial" w:cs="Arial"/>
          <w:sz w:val="22"/>
          <w:szCs w:val="22"/>
        </w:rPr>
        <w:t xml:space="preserve">(see </w:t>
      </w:r>
      <w:r w:rsidR="00EF3BF8">
        <w:rPr>
          <w:rFonts w:ascii="Arial" w:hAnsi="Arial" w:cs="Arial"/>
          <w:sz w:val="22"/>
          <w:szCs w:val="22"/>
        </w:rPr>
        <w:t>Table 2</w:t>
      </w:r>
      <w:r w:rsidRPr="00B44550">
        <w:rPr>
          <w:rFonts w:ascii="Arial" w:hAnsi="Arial" w:cs="Arial"/>
          <w:sz w:val="22"/>
          <w:szCs w:val="22"/>
        </w:rPr>
        <w:t>)</w:t>
      </w:r>
      <w:r w:rsidR="00022319" w:rsidRPr="00B44550">
        <w:rPr>
          <w:rFonts w:ascii="Arial" w:hAnsi="Arial" w:cs="Arial"/>
          <w:sz w:val="22"/>
          <w:szCs w:val="22"/>
        </w:rPr>
        <w:t xml:space="preserve">. Almost a third of EU countries that reported on their arms exports in 2014 denied a license application on human rights grounds (31 per cent). </w:t>
      </w:r>
    </w:p>
    <w:p w14:paraId="0B752B38" w14:textId="77777777" w:rsidR="009C5C9F" w:rsidRPr="00B44550" w:rsidRDefault="009C5C9F" w:rsidP="009C5C9F">
      <w:pPr>
        <w:pStyle w:val="ListParagraph"/>
        <w:ind w:left="360"/>
        <w:rPr>
          <w:rFonts w:ascii="Arial" w:hAnsi="Arial" w:cs="Arial"/>
          <w:sz w:val="22"/>
          <w:szCs w:val="22"/>
        </w:rPr>
      </w:pPr>
    </w:p>
    <w:p w14:paraId="2907CD3A" w14:textId="4E379A28" w:rsidR="009C5C9F" w:rsidRPr="00B44550" w:rsidRDefault="009C5C9F" w:rsidP="009C5C9F">
      <w:pPr>
        <w:rPr>
          <w:rFonts w:ascii="Arial" w:hAnsi="Arial" w:cs="Arial"/>
          <w:b/>
          <w:sz w:val="22"/>
          <w:szCs w:val="22"/>
        </w:rPr>
      </w:pPr>
      <w:r w:rsidRPr="00B44550">
        <w:rPr>
          <w:rFonts w:ascii="Arial" w:hAnsi="Arial" w:cs="Arial"/>
          <w:b/>
          <w:sz w:val="22"/>
          <w:szCs w:val="22"/>
        </w:rPr>
        <w:t xml:space="preserve">Table </w:t>
      </w:r>
      <w:r w:rsidR="00EF3BF8">
        <w:rPr>
          <w:rFonts w:ascii="Arial" w:hAnsi="Arial" w:cs="Arial"/>
          <w:b/>
          <w:sz w:val="22"/>
          <w:szCs w:val="22"/>
        </w:rPr>
        <w:t>2</w:t>
      </w:r>
      <w:r w:rsidRPr="00B44550">
        <w:rPr>
          <w:rFonts w:ascii="Arial" w:hAnsi="Arial" w:cs="Arial"/>
          <w:b/>
          <w:sz w:val="22"/>
          <w:szCs w:val="22"/>
        </w:rPr>
        <w:t>: License denials on human rights ground by EU arms exporters (2014)</w:t>
      </w:r>
    </w:p>
    <w:tbl>
      <w:tblPr>
        <w:tblStyle w:val="TableGrid"/>
        <w:tblW w:w="0" w:type="auto"/>
        <w:tblLook w:val="04A0" w:firstRow="1" w:lastRow="0" w:firstColumn="1" w:lastColumn="0" w:noHBand="0" w:noVBand="1"/>
      </w:tblPr>
      <w:tblGrid>
        <w:gridCol w:w="2838"/>
        <w:gridCol w:w="2515"/>
        <w:gridCol w:w="3163"/>
      </w:tblGrid>
      <w:tr w:rsidR="009C5C9F" w:rsidRPr="00B44550" w14:paraId="6B4A9978" w14:textId="77777777" w:rsidTr="00DE7A3F">
        <w:tc>
          <w:tcPr>
            <w:tcW w:w="2838" w:type="dxa"/>
          </w:tcPr>
          <w:p w14:paraId="2B58E14B" w14:textId="77777777" w:rsidR="009C5C9F" w:rsidRPr="00B44550" w:rsidRDefault="009C5C9F" w:rsidP="009C5C9F">
            <w:pPr>
              <w:rPr>
                <w:rFonts w:ascii="Arial" w:hAnsi="Arial" w:cs="Arial"/>
                <w:b/>
                <w:sz w:val="22"/>
                <w:szCs w:val="22"/>
              </w:rPr>
            </w:pPr>
            <w:r w:rsidRPr="00B44550">
              <w:rPr>
                <w:rFonts w:ascii="Arial" w:hAnsi="Arial" w:cs="Arial"/>
                <w:b/>
                <w:sz w:val="22"/>
                <w:szCs w:val="22"/>
              </w:rPr>
              <w:t>Country</w:t>
            </w:r>
          </w:p>
        </w:tc>
        <w:tc>
          <w:tcPr>
            <w:tcW w:w="2515" w:type="dxa"/>
          </w:tcPr>
          <w:p w14:paraId="0BC7CF12" w14:textId="77777777" w:rsidR="009C5C9F" w:rsidRPr="00B44550" w:rsidRDefault="009C5C9F" w:rsidP="009C5C9F">
            <w:pPr>
              <w:rPr>
                <w:rFonts w:ascii="Arial" w:hAnsi="Arial" w:cs="Arial"/>
                <w:b/>
                <w:sz w:val="22"/>
                <w:szCs w:val="22"/>
              </w:rPr>
            </w:pPr>
            <w:r w:rsidRPr="00B44550">
              <w:rPr>
                <w:rFonts w:ascii="Arial" w:hAnsi="Arial" w:cs="Arial"/>
                <w:b/>
                <w:sz w:val="22"/>
                <w:szCs w:val="22"/>
              </w:rPr>
              <w:t>Denials involving human rights concerns in 2014</w:t>
            </w:r>
          </w:p>
        </w:tc>
        <w:tc>
          <w:tcPr>
            <w:tcW w:w="3163" w:type="dxa"/>
          </w:tcPr>
          <w:p w14:paraId="0B5F8A55" w14:textId="77777777" w:rsidR="009C5C9F" w:rsidRPr="00B44550" w:rsidRDefault="009C5C9F" w:rsidP="009C5C9F">
            <w:pPr>
              <w:rPr>
                <w:rFonts w:ascii="Arial" w:hAnsi="Arial" w:cs="Arial"/>
                <w:b/>
                <w:sz w:val="22"/>
                <w:szCs w:val="22"/>
              </w:rPr>
            </w:pPr>
            <w:r w:rsidRPr="00B44550">
              <w:rPr>
                <w:rFonts w:ascii="Arial" w:hAnsi="Arial" w:cs="Arial"/>
                <w:b/>
                <w:sz w:val="22"/>
                <w:szCs w:val="22"/>
              </w:rPr>
              <w:t>Military List Categories</w:t>
            </w:r>
          </w:p>
        </w:tc>
      </w:tr>
      <w:tr w:rsidR="009C5C9F" w:rsidRPr="00B44550" w14:paraId="1DEEBDF0" w14:textId="77777777" w:rsidTr="00DE7A3F">
        <w:tc>
          <w:tcPr>
            <w:tcW w:w="2838" w:type="dxa"/>
          </w:tcPr>
          <w:p w14:paraId="27EE9272" w14:textId="77777777" w:rsidR="009C5C9F" w:rsidRPr="00B44550" w:rsidRDefault="009C5C9F" w:rsidP="009C5C9F">
            <w:pPr>
              <w:rPr>
                <w:rFonts w:ascii="Arial" w:hAnsi="Arial" w:cs="Arial"/>
                <w:b/>
                <w:sz w:val="22"/>
                <w:szCs w:val="22"/>
              </w:rPr>
            </w:pPr>
            <w:r w:rsidRPr="00B44550">
              <w:rPr>
                <w:rFonts w:ascii="Arial" w:hAnsi="Arial" w:cs="Arial"/>
                <w:b/>
                <w:sz w:val="22"/>
                <w:szCs w:val="22"/>
              </w:rPr>
              <w:t>Austria</w:t>
            </w:r>
          </w:p>
        </w:tc>
        <w:tc>
          <w:tcPr>
            <w:tcW w:w="2515" w:type="dxa"/>
          </w:tcPr>
          <w:p w14:paraId="0674F104" w14:textId="77777777" w:rsidR="009C5C9F" w:rsidRPr="00B44550" w:rsidRDefault="009C5C9F" w:rsidP="009C5C9F">
            <w:pPr>
              <w:rPr>
                <w:rFonts w:ascii="Arial" w:hAnsi="Arial" w:cs="Arial"/>
                <w:sz w:val="22"/>
                <w:szCs w:val="22"/>
              </w:rPr>
            </w:pPr>
            <w:r w:rsidRPr="00B44550">
              <w:rPr>
                <w:rFonts w:ascii="Arial" w:hAnsi="Arial" w:cs="Arial"/>
                <w:sz w:val="22"/>
                <w:szCs w:val="22"/>
              </w:rPr>
              <w:t>1</w:t>
            </w:r>
          </w:p>
        </w:tc>
        <w:tc>
          <w:tcPr>
            <w:tcW w:w="3163" w:type="dxa"/>
          </w:tcPr>
          <w:p w14:paraId="4F4ED283" w14:textId="77777777" w:rsidR="009C5C9F" w:rsidRPr="00B44550" w:rsidRDefault="009C5C9F" w:rsidP="009C5C9F">
            <w:pPr>
              <w:rPr>
                <w:rFonts w:ascii="Arial" w:hAnsi="Arial" w:cs="Arial"/>
                <w:sz w:val="22"/>
                <w:szCs w:val="22"/>
              </w:rPr>
            </w:pPr>
            <w:r w:rsidRPr="00B44550">
              <w:rPr>
                <w:rFonts w:ascii="Arial" w:hAnsi="Arial" w:cs="Arial"/>
                <w:sz w:val="22"/>
                <w:szCs w:val="22"/>
              </w:rPr>
              <w:t>ML1</w:t>
            </w:r>
          </w:p>
        </w:tc>
      </w:tr>
      <w:tr w:rsidR="009C5C9F" w:rsidRPr="00B44550" w14:paraId="3FA17E8D" w14:textId="77777777" w:rsidTr="00DE7A3F">
        <w:tc>
          <w:tcPr>
            <w:tcW w:w="2838" w:type="dxa"/>
          </w:tcPr>
          <w:p w14:paraId="6AF96B90" w14:textId="77777777" w:rsidR="009C5C9F" w:rsidRPr="00B44550" w:rsidRDefault="009C5C9F" w:rsidP="009C5C9F">
            <w:pPr>
              <w:rPr>
                <w:rFonts w:ascii="Arial" w:hAnsi="Arial" w:cs="Arial"/>
                <w:b/>
                <w:sz w:val="22"/>
                <w:szCs w:val="22"/>
              </w:rPr>
            </w:pPr>
            <w:r w:rsidRPr="00B44550">
              <w:rPr>
                <w:rFonts w:ascii="Arial" w:hAnsi="Arial" w:cs="Arial"/>
                <w:b/>
                <w:sz w:val="22"/>
                <w:szCs w:val="22"/>
              </w:rPr>
              <w:t>Bulgaria</w:t>
            </w:r>
          </w:p>
        </w:tc>
        <w:tc>
          <w:tcPr>
            <w:tcW w:w="2515" w:type="dxa"/>
          </w:tcPr>
          <w:p w14:paraId="7DA0692C" w14:textId="77777777" w:rsidR="009C5C9F" w:rsidRPr="00B44550" w:rsidRDefault="009C5C9F" w:rsidP="009C5C9F">
            <w:pPr>
              <w:rPr>
                <w:rFonts w:ascii="Arial" w:hAnsi="Arial" w:cs="Arial"/>
                <w:sz w:val="22"/>
                <w:szCs w:val="22"/>
              </w:rPr>
            </w:pPr>
            <w:r w:rsidRPr="00B44550">
              <w:rPr>
                <w:rFonts w:ascii="Arial" w:hAnsi="Arial" w:cs="Arial"/>
                <w:sz w:val="22"/>
                <w:szCs w:val="22"/>
              </w:rPr>
              <w:t>4</w:t>
            </w:r>
          </w:p>
        </w:tc>
        <w:tc>
          <w:tcPr>
            <w:tcW w:w="3163" w:type="dxa"/>
          </w:tcPr>
          <w:p w14:paraId="0DEFB28D" w14:textId="77777777" w:rsidR="009C5C9F" w:rsidRPr="00B44550" w:rsidRDefault="009C5C9F" w:rsidP="009C5C9F">
            <w:pPr>
              <w:rPr>
                <w:rFonts w:ascii="Arial" w:hAnsi="Arial" w:cs="Arial"/>
                <w:sz w:val="22"/>
                <w:szCs w:val="22"/>
              </w:rPr>
            </w:pPr>
            <w:r w:rsidRPr="00B44550">
              <w:rPr>
                <w:rFonts w:ascii="Arial" w:hAnsi="Arial" w:cs="Arial"/>
                <w:sz w:val="22"/>
                <w:szCs w:val="22"/>
              </w:rPr>
              <w:t>ML1, 2, 3</w:t>
            </w:r>
          </w:p>
        </w:tc>
      </w:tr>
      <w:tr w:rsidR="009C5C9F" w:rsidRPr="00B44550" w14:paraId="77C51518" w14:textId="77777777" w:rsidTr="00DE7A3F">
        <w:tc>
          <w:tcPr>
            <w:tcW w:w="2838" w:type="dxa"/>
          </w:tcPr>
          <w:p w14:paraId="3180AAF6" w14:textId="77777777" w:rsidR="009C5C9F" w:rsidRPr="00B44550" w:rsidRDefault="009C5C9F" w:rsidP="009C5C9F">
            <w:pPr>
              <w:rPr>
                <w:rFonts w:ascii="Arial" w:hAnsi="Arial" w:cs="Arial"/>
                <w:b/>
                <w:sz w:val="22"/>
                <w:szCs w:val="22"/>
              </w:rPr>
            </w:pPr>
            <w:r w:rsidRPr="00B44550">
              <w:rPr>
                <w:rFonts w:ascii="Arial" w:hAnsi="Arial" w:cs="Arial"/>
                <w:b/>
                <w:sz w:val="22"/>
                <w:szCs w:val="22"/>
              </w:rPr>
              <w:t>Czech Republic</w:t>
            </w:r>
          </w:p>
        </w:tc>
        <w:tc>
          <w:tcPr>
            <w:tcW w:w="2515" w:type="dxa"/>
          </w:tcPr>
          <w:p w14:paraId="302B5AA3" w14:textId="77777777" w:rsidR="009C5C9F" w:rsidRPr="00B44550" w:rsidRDefault="009C5C9F" w:rsidP="009C5C9F">
            <w:pPr>
              <w:rPr>
                <w:rFonts w:ascii="Arial" w:hAnsi="Arial" w:cs="Arial"/>
                <w:sz w:val="22"/>
                <w:szCs w:val="22"/>
              </w:rPr>
            </w:pPr>
            <w:r w:rsidRPr="00B44550">
              <w:rPr>
                <w:rFonts w:ascii="Arial" w:hAnsi="Arial" w:cs="Arial"/>
                <w:sz w:val="22"/>
                <w:szCs w:val="22"/>
              </w:rPr>
              <w:t>2</w:t>
            </w:r>
          </w:p>
        </w:tc>
        <w:tc>
          <w:tcPr>
            <w:tcW w:w="3163" w:type="dxa"/>
          </w:tcPr>
          <w:p w14:paraId="0A40ECB2" w14:textId="77777777" w:rsidR="009C5C9F" w:rsidRPr="00B44550" w:rsidRDefault="009C5C9F" w:rsidP="009C5C9F">
            <w:pPr>
              <w:rPr>
                <w:rFonts w:ascii="Arial" w:hAnsi="Arial" w:cs="Arial"/>
                <w:sz w:val="22"/>
                <w:szCs w:val="22"/>
              </w:rPr>
            </w:pPr>
            <w:r w:rsidRPr="00B44550">
              <w:rPr>
                <w:rFonts w:ascii="Arial" w:hAnsi="Arial" w:cs="Arial"/>
                <w:sz w:val="22"/>
                <w:szCs w:val="22"/>
              </w:rPr>
              <w:t>ML1</w:t>
            </w:r>
          </w:p>
        </w:tc>
      </w:tr>
      <w:tr w:rsidR="009C5C9F" w:rsidRPr="00B44550" w14:paraId="3E03AF67" w14:textId="77777777" w:rsidTr="00DE7A3F">
        <w:tc>
          <w:tcPr>
            <w:tcW w:w="2838" w:type="dxa"/>
          </w:tcPr>
          <w:p w14:paraId="5EC72EE8" w14:textId="77777777" w:rsidR="009C5C9F" w:rsidRPr="00B44550" w:rsidRDefault="009C5C9F" w:rsidP="009C5C9F">
            <w:pPr>
              <w:rPr>
                <w:rFonts w:ascii="Arial" w:hAnsi="Arial" w:cs="Arial"/>
                <w:b/>
                <w:sz w:val="22"/>
                <w:szCs w:val="22"/>
              </w:rPr>
            </w:pPr>
            <w:r w:rsidRPr="00B44550">
              <w:rPr>
                <w:rFonts w:ascii="Arial" w:hAnsi="Arial" w:cs="Arial"/>
                <w:b/>
                <w:sz w:val="22"/>
                <w:szCs w:val="22"/>
              </w:rPr>
              <w:t>Denmark</w:t>
            </w:r>
          </w:p>
        </w:tc>
        <w:tc>
          <w:tcPr>
            <w:tcW w:w="2515" w:type="dxa"/>
          </w:tcPr>
          <w:p w14:paraId="1A5F576B" w14:textId="77777777" w:rsidR="009C5C9F" w:rsidRPr="00B44550" w:rsidRDefault="009C5C9F" w:rsidP="009C5C9F">
            <w:pPr>
              <w:rPr>
                <w:rFonts w:ascii="Arial" w:hAnsi="Arial" w:cs="Arial"/>
                <w:sz w:val="22"/>
                <w:szCs w:val="22"/>
              </w:rPr>
            </w:pPr>
            <w:r w:rsidRPr="00B44550">
              <w:rPr>
                <w:rFonts w:ascii="Arial" w:hAnsi="Arial" w:cs="Arial"/>
                <w:sz w:val="22"/>
                <w:szCs w:val="22"/>
              </w:rPr>
              <w:t>1</w:t>
            </w:r>
          </w:p>
        </w:tc>
        <w:tc>
          <w:tcPr>
            <w:tcW w:w="3163" w:type="dxa"/>
          </w:tcPr>
          <w:p w14:paraId="56A9753E" w14:textId="77777777" w:rsidR="009C5C9F" w:rsidRPr="00B44550" w:rsidRDefault="009C5C9F" w:rsidP="009C5C9F">
            <w:pPr>
              <w:rPr>
                <w:rFonts w:ascii="Arial" w:hAnsi="Arial" w:cs="Arial"/>
                <w:sz w:val="22"/>
                <w:szCs w:val="22"/>
              </w:rPr>
            </w:pPr>
            <w:r w:rsidRPr="00B44550">
              <w:rPr>
                <w:rFonts w:ascii="Arial" w:hAnsi="Arial" w:cs="Arial"/>
                <w:sz w:val="22"/>
                <w:szCs w:val="22"/>
              </w:rPr>
              <w:t>ML1</w:t>
            </w:r>
          </w:p>
        </w:tc>
      </w:tr>
      <w:tr w:rsidR="009C5C9F" w:rsidRPr="00B44550" w14:paraId="43277612" w14:textId="77777777" w:rsidTr="00DE7A3F">
        <w:tc>
          <w:tcPr>
            <w:tcW w:w="2838" w:type="dxa"/>
          </w:tcPr>
          <w:p w14:paraId="2E6CE121" w14:textId="77777777" w:rsidR="009C5C9F" w:rsidRPr="00B44550" w:rsidRDefault="009C5C9F" w:rsidP="009C5C9F">
            <w:pPr>
              <w:rPr>
                <w:rFonts w:ascii="Arial" w:hAnsi="Arial" w:cs="Arial"/>
                <w:b/>
                <w:sz w:val="22"/>
                <w:szCs w:val="22"/>
              </w:rPr>
            </w:pPr>
            <w:r w:rsidRPr="00B44550">
              <w:rPr>
                <w:rFonts w:ascii="Arial" w:hAnsi="Arial" w:cs="Arial"/>
                <w:b/>
                <w:sz w:val="22"/>
                <w:szCs w:val="22"/>
              </w:rPr>
              <w:t>Finland</w:t>
            </w:r>
          </w:p>
        </w:tc>
        <w:tc>
          <w:tcPr>
            <w:tcW w:w="2515" w:type="dxa"/>
          </w:tcPr>
          <w:p w14:paraId="2205793F" w14:textId="77777777" w:rsidR="009C5C9F" w:rsidRPr="00B44550" w:rsidRDefault="009C5C9F" w:rsidP="009C5C9F">
            <w:pPr>
              <w:rPr>
                <w:rFonts w:ascii="Arial" w:hAnsi="Arial" w:cs="Arial"/>
                <w:sz w:val="22"/>
                <w:szCs w:val="22"/>
              </w:rPr>
            </w:pPr>
            <w:r w:rsidRPr="00B44550">
              <w:rPr>
                <w:rFonts w:ascii="Arial" w:hAnsi="Arial" w:cs="Arial"/>
                <w:sz w:val="22"/>
                <w:szCs w:val="22"/>
              </w:rPr>
              <w:t>3</w:t>
            </w:r>
          </w:p>
        </w:tc>
        <w:tc>
          <w:tcPr>
            <w:tcW w:w="3163" w:type="dxa"/>
          </w:tcPr>
          <w:p w14:paraId="47091996" w14:textId="77777777" w:rsidR="009C5C9F" w:rsidRPr="00B44550" w:rsidRDefault="009C5C9F" w:rsidP="009C5C9F">
            <w:pPr>
              <w:rPr>
                <w:rFonts w:ascii="Arial" w:hAnsi="Arial" w:cs="Arial"/>
                <w:sz w:val="22"/>
                <w:szCs w:val="22"/>
              </w:rPr>
            </w:pPr>
            <w:r w:rsidRPr="00B44550">
              <w:rPr>
                <w:rFonts w:ascii="Arial" w:hAnsi="Arial" w:cs="Arial"/>
                <w:sz w:val="22"/>
                <w:szCs w:val="22"/>
              </w:rPr>
              <w:t>ML1, 13</w:t>
            </w:r>
          </w:p>
        </w:tc>
      </w:tr>
      <w:tr w:rsidR="009C5C9F" w:rsidRPr="00B44550" w14:paraId="02D184D3" w14:textId="77777777" w:rsidTr="00DE7A3F">
        <w:tc>
          <w:tcPr>
            <w:tcW w:w="2838" w:type="dxa"/>
          </w:tcPr>
          <w:p w14:paraId="5BE95D90" w14:textId="77777777" w:rsidR="009C5C9F" w:rsidRPr="00B44550" w:rsidRDefault="009C5C9F" w:rsidP="009C5C9F">
            <w:pPr>
              <w:rPr>
                <w:rFonts w:ascii="Arial" w:hAnsi="Arial" w:cs="Arial"/>
                <w:b/>
                <w:sz w:val="22"/>
                <w:szCs w:val="22"/>
              </w:rPr>
            </w:pPr>
            <w:r w:rsidRPr="00B44550">
              <w:rPr>
                <w:rFonts w:ascii="Arial" w:hAnsi="Arial" w:cs="Arial"/>
                <w:b/>
                <w:sz w:val="22"/>
                <w:szCs w:val="22"/>
              </w:rPr>
              <w:lastRenderedPageBreak/>
              <w:t>Germany</w:t>
            </w:r>
          </w:p>
        </w:tc>
        <w:tc>
          <w:tcPr>
            <w:tcW w:w="2515" w:type="dxa"/>
          </w:tcPr>
          <w:p w14:paraId="22B75307" w14:textId="77777777" w:rsidR="009C5C9F" w:rsidRPr="00B44550" w:rsidRDefault="009C5C9F" w:rsidP="009C5C9F">
            <w:pPr>
              <w:rPr>
                <w:rFonts w:ascii="Arial" w:hAnsi="Arial" w:cs="Arial"/>
                <w:sz w:val="22"/>
                <w:szCs w:val="22"/>
              </w:rPr>
            </w:pPr>
            <w:r w:rsidRPr="00B44550">
              <w:rPr>
                <w:rFonts w:ascii="Arial" w:hAnsi="Arial" w:cs="Arial"/>
                <w:sz w:val="22"/>
                <w:szCs w:val="22"/>
              </w:rPr>
              <w:t>35</w:t>
            </w:r>
          </w:p>
        </w:tc>
        <w:tc>
          <w:tcPr>
            <w:tcW w:w="3163" w:type="dxa"/>
          </w:tcPr>
          <w:p w14:paraId="6DF8F4BA" w14:textId="77777777" w:rsidR="009C5C9F" w:rsidRPr="00B44550" w:rsidRDefault="009C5C9F" w:rsidP="009C5C9F">
            <w:pPr>
              <w:rPr>
                <w:rFonts w:ascii="Arial" w:hAnsi="Arial" w:cs="Arial"/>
                <w:sz w:val="22"/>
                <w:szCs w:val="22"/>
              </w:rPr>
            </w:pPr>
            <w:r w:rsidRPr="00B44550">
              <w:rPr>
                <w:rFonts w:ascii="Arial" w:hAnsi="Arial" w:cs="Arial"/>
                <w:sz w:val="22"/>
                <w:szCs w:val="22"/>
              </w:rPr>
              <w:t>ML1, 3, 5, 6, 10, 11, 13, 15, 18</w:t>
            </w:r>
          </w:p>
        </w:tc>
      </w:tr>
      <w:tr w:rsidR="009C5C9F" w:rsidRPr="00B44550" w14:paraId="08B01D2A" w14:textId="77777777" w:rsidTr="00DE7A3F">
        <w:tc>
          <w:tcPr>
            <w:tcW w:w="2838" w:type="dxa"/>
          </w:tcPr>
          <w:p w14:paraId="3AE152DE" w14:textId="77777777" w:rsidR="009C5C9F" w:rsidRPr="00B44550" w:rsidRDefault="009C5C9F" w:rsidP="009C5C9F">
            <w:pPr>
              <w:rPr>
                <w:rFonts w:ascii="Arial" w:hAnsi="Arial" w:cs="Arial"/>
                <w:b/>
                <w:sz w:val="22"/>
                <w:szCs w:val="22"/>
              </w:rPr>
            </w:pPr>
            <w:r w:rsidRPr="00B44550">
              <w:rPr>
                <w:rFonts w:ascii="Arial" w:hAnsi="Arial" w:cs="Arial"/>
                <w:b/>
                <w:sz w:val="22"/>
                <w:szCs w:val="22"/>
              </w:rPr>
              <w:t>Sweden</w:t>
            </w:r>
          </w:p>
        </w:tc>
        <w:tc>
          <w:tcPr>
            <w:tcW w:w="2515" w:type="dxa"/>
          </w:tcPr>
          <w:p w14:paraId="7134DBAD" w14:textId="77777777" w:rsidR="009C5C9F" w:rsidRPr="00B44550" w:rsidRDefault="009C5C9F" w:rsidP="009C5C9F">
            <w:pPr>
              <w:rPr>
                <w:rFonts w:ascii="Arial" w:hAnsi="Arial" w:cs="Arial"/>
                <w:sz w:val="22"/>
                <w:szCs w:val="22"/>
              </w:rPr>
            </w:pPr>
            <w:r w:rsidRPr="00B44550">
              <w:rPr>
                <w:rFonts w:ascii="Arial" w:hAnsi="Arial" w:cs="Arial"/>
                <w:sz w:val="22"/>
                <w:szCs w:val="22"/>
              </w:rPr>
              <w:t>3</w:t>
            </w:r>
          </w:p>
        </w:tc>
        <w:tc>
          <w:tcPr>
            <w:tcW w:w="3163" w:type="dxa"/>
          </w:tcPr>
          <w:p w14:paraId="13DC6234" w14:textId="77777777" w:rsidR="009C5C9F" w:rsidRPr="00B44550" w:rsidRDefault="009C5C9F" w:rsidP="009C5C9F">
            <w:pPr>
              <w:rPr>
                <w:rFonts w:ascii="Arial" w:hAnsi="Arial" w:cs="Arial"/>
                <w:sz w:val="22"/>
                <w:szCs w:val="22"/>
              </w:rPr>
            </w:pPr>
            <w:r w:rsidRPr="00B44550">
              <w:rPr>
                <w:rFonts w:ascii="Arial" w:hAnsi="Arial" w:cs="Arial"/>
                <w:sz w:val="22"/>
                <w:szCs w:val="22"/>
              </w:rPr>
              <w:t>ML1, 5</w:t>
            </w:r>
          </w:p>
        </w:tc>
      </w:tr>
      <w:tr w:rsidR="009C5C9F" w:rsidRPr="00B44550" w14:paraId="44DBDD0E" w14:textId="77777777" w:rsidTr="00DE7A3F">
        <w:tc>
          <w:tcPr>
            <w:tcW w:w="2838" w:type="dxa"/>
          </w:tcPr>
          <w:p w14:paraId="675B978B" w14:textId="77777777" w:rsidR="009C5C9F" w:rsidRPr="00B44550" w:rsidRDefault="009C5C9F" w:rsidP="009C5C9F">
            <w:pPr>
              <w:rPr>
                <w:rFonts w:ascii="Arial" w:hAnsi="Arial" w:cs="Arial"/>
                <w:b/>
                <w:sz w:val="22"/>
                <w:szCs w:val="22"/>
              </w:rPr>
            </w:pPr>
            <w:r w:rsidRPr="00B44550">
              <w:rPr>
                <w:rFonts w:ascii="Arial" w:hAnsi="Arial" w:cs="Arial"/>
                <w:b/>
                <w:sz w:val="22"/>
                <w:szCs w:val="22"/>
              </w:rPr>
              <w:t>UK</w:t>
            </w:r>
          </w:p>
        </w:tc>
        <w:tc>
          <w:tcPr>
            <w:tcW w:w="2515" w:type="dxa"/>
          </w:tcPr>
          <w:p w14:paraId="3FD18DAE" w14:textId="77777777" w:rsidR="009C5C9F" w:rsidRPr="00B44550" w:rsidRDefault="009C5C9F" w:rsidP="009C5C9F">
            <w:pPr>
              <w:rPr>
                <w:rFonts w:ascii="Arial" w:hAnsi="Arial" w:cs="Arial"/>
                <w:sz w:val="22"/>
                <w:szCs w:val="22"/>
              </w:rPr>
            </w:pPr>
            <w:r w:rsidRPr="00B44550">
              <w:rPr>
                <w:rFonts w:ascii="Arial" w:hAnsi="Arial" w:cs="Arial"/>
                <w:sz w:val="22"/>
                <w:szCs w:val="22"/>
              </w:rPr>
              <w:t>23</w:t>
            </w:r>
          </w:p>
        </w:tc>
        <w:tc>
          <w:tcPr>
            <w:tcW w:w="3163" w:type="dxa"/>
          </w:tcPr>
          <w:p w14:paraId="65353269" w14:textId="77777777" w:rsidR="009C5C9F" w:rsidRPr="00B44550" w:rsidRDefault="009C5C9F" w:rsidP="009C5C9F">
            <w:pPr>
              <w:rPr>
                <w:rFonts w:ascii="Arial" w:hAnsi="Arial" w:cs="Arial"/>
                <w:sz w:val="22"/>
                <w:szCs w:val="22"/>
              </w:rPr>
            </w:pPr>
            <w:r w:rsidRPr="00B44550">
              <w:rPr>
                <w:rFonts w:ascii="Arial" w:hAnsi="Arial" w:cs="Arial"/>
                <w:sz w:val="22"/>
                <w:szCs w:val="22"/>
              </w:rPr>
              <w:t>ML1, 2, 3, 6, 10, 13, 14, 15, 17, 22</w:t>
            </w:r>
          </w:p>
        </w:tc>
      </w:tr>
    </w:tbl>
    <w:p w14:paraId="7E9BE147" w14:textId="77777777" w:rsidR="00022319" w:rsidRPr="00B44550" w:rsidRDefault="00022319" w:rsidP="00022319">
      <w:pPr>
        <w:rPr>
          <w:rFonts w:ascii="Arial" w:hAnsi="Arial" w:cs="Arial"/>
          <w:sz w:val="22"/>
          <w:szCs w:val="22"/>
        </w:rPr>
      </w:pPr>
    </w:p>
    <w:p w14:paraId="5667659E" w14:textId="2D31A16E" w:rsidR="000B4E8A" w:rsidRPr="00B44550" w:rsidRDefault="001019BC" w:rsidP="00326565">
      <w:pPr>
        <w:pStyle w:val="ListParagraph"/>
        <w:numPr>
          <w:ilvl w:val="0"/>
          <w:numId w:val="9"/>
        </w:numPr>
        <w:rPr>
          <w:rFonts w:ascii="Arial" w:hAnsi="Arial" w:cs="Arial"/>
          <w:sz w:val="22"/>
          <w:szCs w:val="22"/>
        </w:rPr>
      </w:pPr>
      <w:r w:rsidRPr="00B44550">
        <w:rPr>
          <w:rFonts w:ascii="Arial" w:hAnsi="Arial" w:cs="Arial"/>
          <w:sz w:val="22"/>
          <w:szCs w:val="22"/>
        </w:rPr>
        <w:t>Concerns with the possible impact of an arms transfer on human rights constituted 21 per cent of</w:t>
      </w:r>
      <w:r w:rsidR="0012533B" w:rsidRPr="00B44550">
        <w:rPr>
          <w:rFonts w:ascii="Arial" w:hAnsi="Arial" w:cs="Arial"/>
          <w:sz w:val="22"/>
          <w:szCs w:val="22"/>
        </w:rPr>
        <w:t xml:space="preserve"> the 346 total license denials</w:t>
      </w:r>
      <w:r w:rsidRPr="00B44550">
        <w:rPr>
          <w:rFonts w:ascii="Arial" w:hAnsi="Arial" w:cs="Arial"/>
          <w:sz w:val="22"/>
          <w:szCs w:val="22"/>
        </w:rPr>
        <w:t xml:space="preserve"> by EU countries in 2014. </w:t>
      </w:r>
      <w:r w:rsidR="00326565" w:rsidRPr="00B44550">
        <w:rPr>
          <w:rFonts w:ascii="Arial" w:hAnsi="Arial" w:cs="Arial"/>
          <w:sz w:val="22"/>
          <w:szCs w:val="22"/>
        </w:rPr>
        <w:t xml:space="preserve">It was most common in 2014 for </w:t>
      </w:r>
      <w:r w:rsidR="00A9586D">
        <w:rPr>
          <w:rFonts w:ascii="Arial" w:hAnsi="Arial" w:cs="Arial"/>
          <w:sz w:val="22"/>
          <w:szCs w:val="22"/>
        </w:rPr>
        <w:t xml:space="preserve">EU </w:t>
      </w:r>
      <w:r w:rsidR="00326565" w:rsidRPr="00B44550">
        <w:rPr>
          <w:rFonts w:ascii="Arial" w:hAnsi="Arial" w:cs="Arial"/>
          <w:sz w:val="22"/>
          <w:szCs w:val="22"/>
        </w:rPr>
        <w:t xml:space="preserve">exporters to issue denials </w:t>
      </w:r>
      <w:r w:rsidR="00A9586D">
        <w:rPr>
          <w:rFonts w:ascii="Arial" w:hAnsi="Arial" w:cs="Arial"/>
          <w:sz w:val="22"/>
          <w:szCs w:val="22"/>
        </w:rPr>
        <w:t xml:space="preserve">on human rights grounds for </w:t>
      </w:r>
      <w:r w:rsidR="00326565" w:rsidRPr="00B44550">
        <w:rPr>
          <w:rFonts w:ascii="Arial" w:hAnsi="Arial" w:cs="Arial"/>
          <w:sz w:val="22"/>
          <w:szCs w:val="22"/>
        </w:rPr>
        <w:t>small arms and their components</w:t>
      </w:r>
      <w:r w:rsidR="00A9586D">
        <w:rPr>
          <w:rFonts w:ascii="Arial" w:hAnsi="Arial" w:cs="Arial"/>
          <w:sz w:val="22"/>
          <w:szCs w:val="22"/>
        </w:rPr>
        <w:t xml:space="preserve"> (ML1)</w:t>
      </w:r>
      <w:r w:rsidR="00326565" w:rsidRPr="00B44550">
        <w:rPr>
          <w:rFonts w:ascii="Arial" w:hAnsi="Arial" w:cs="Arial"/>
          <w:sz w:val="22"/>
          <w:szCs w:val="22"/>
        </w:rPr>
        <w:t>.</w:t>
      </w:r>
      <w:r w:rsidR="00326565" w:rsidRPr="00B44550">
        <w:rPr>
          <w:rStyle w:val="FootnoteReference"/>
          <w:rFonts w:ascii="Arial" w:hAnsi="Arial" w:cs="Arial"/>
          <w:sz w:val="22"/>
          <w:szCs w:val="22"/>
        </w:rPr>
        <w:footnoteReference w:id="12"/>
      </w:r>
      <w:r w:rsidR="00B37C98" w:rsidRPr="00B44550">
        <w:rPr>
          <w:rFonts w:ascii="Arial" w:hAnsi="Arial" w:cs="Arial"/>
          <w:sz w:val="22"/>
          <w:szCs w:val="22"/>
        </w:rPr>
        <w:t xml:space="preserve"> </w:t>
      </w:r>
      <w:r w:rsidRPr="00B44550">
        <w:rPr>
          <w:rFonts w:ascii="Arial" w:hAnsi="Arial" w:cs="Arial"/>
          <w:sz w:val="22"/>
          <w:szCs w:val="22"/>
        </w:rPr>
        <w:t xml:space="preserve"> </w:t>
      </w:r>
      <w:r w:rsidR="00326565" w:rsidRPr="00B44550">
        <w:rPr>
          <w:rFonts w:ascii="Arial" w:hAnsi="Arial" w:cs="Arial"/>
          <w:sz w:val="22"/>
          <w:szCs w:val="22"/>
        </w:rPr>
        <w:t>Ho</w:t>
      </w:r>
      <w:r w:rsidR="00A9586D">
        <w:rPr>
          <w:rFonts w:ascii="Arial" w:hAnsi="Arial" w:cs="Arial"/>
          <w:sz w:val="22"/>
          <w:szCs w:val="22"/>
        </w:rPr>
        <w:t>wever, as can be seen in Table 2</w:t>
      </w:r>
      <w:r w:rsidR="00326565" w:rsidRPr="00B44550">
        <w:rPr>
          <w:rFonts w:ascii="Arial" w:hAnsi="Arial" w:cs="Arial"/>
          <w:sz w:val="22"/>
          <w:szCs w:val="22"/>
        </w:rPr>
        <w:t xml:space="preserve">, license denials </w:t>
      </w:r>
      <w:r w:rsidR="00A9586D">
        <w:rPr>
          <w:rFonts w:ascii="Arial" w:hAnsi="Arial" w:cs="Arial"/>
          <w:sz w:val="22"/>
          <w:szCs w:val="22"/>
        </w:rPr>
        <w:t xml:space="preserve">on the basis of human rights concerns in 2014 </w:t>
      </w:r>
      <w:r w:rsidR="00326565" w:rsidRPr="00B44550">
        <w:rPr>
          <w:rFonts w:ascii="Arial" w:hAnsi="Arial" w:cs="Arial"/>
          <w:sz w:val="22"/>
          <w:szCs w:val="22"/>
        </w:rPr>
        <w:t xml:space="preserve">covered 14 of the EU’s 22 Military List categories. </w:t>
      </w:r>
    </w:p>
    <w:p w14:paraId="78078F4B" w14:textId="77777777" w:rsidR="00326565" w:rsidRPr="00B44550" w:rsidRDefault="00326565" w:rsidP="00326565">
      <w:pPr>
        <w:rPr>
          <w:rFonts w:ascii="Arial" w:hAnsi="Arial" w:cs="Arial"/>
          <w:sz w:val="22"/>
          <w:szCs w:val="22"/>
        </w:rPr>
      </w:pPr>
    </w:p>
    <w:p w14:paraId="169584E5" w14:textId="3070B48B" w:rsidR="006E5509" w:rsidRPr="00B44550" w:rsidRDefault="009C5C9F" w:rsidP="00EF7B41">
      <w:pPr>
        <w:pStyle w:val="ListParagraph"/>
        <w:numPr>
          <w:ilvl w:val="0"/>
          <w:numId w:val="9"/>
        </w:numPr>
        <w:rPr>
          <w:rFonts w:ascii="Arial" w:hAnsi="Arial" w:cs="Arial"/>
          <w:sz w:val="22"/>
          <w:szCs w:val="22"/>
        </w:rPr>
      </w:pPr>
      <w:r w:rsidRPr="00B44550">
        <w:rPr>
          <w:rFonts w:ascii="Arial" w:hAnsi="Arial" w:cs="Arial"/>
          <w:sz w:val="22"/>
          <w:szCs w:val="22"/>
        </w:rPr>
        <w:t>Human rights concerns influenced license denials for a total of 23 d</w:t>
      </w:r>
      <w:r w:rsidR="00EF3BF8">
        <w:rPr>
          <w:rFonts w:ascii="Arial" w:hAnsi="Arial" w:cs="Arial"/>
          <w:sz w:val="22"/>
          <w:szCs w:val="22"/>
        </w:rPr>
        <w:t>estinations in 2014 (see Table 3</w:t>
      </w:r>
      <w:r w:rsidRPr="00B44550">
        <w:rPr>
          <w:rFonts w:ascii="Arial" w:hAnsi="Arial" w:cs="Arial"/>
          <w:sz w:val="22"/>
          <w:szCs w:val="22"/>
        </w:rPr>
        <w:t xml:space="preserve">). Governments do not report to the EU on the specific factors that affect their decisions to deny licenses. </w:t>
      </w:r>
    </w:p>
    <w:p w14:paraId="07C0337A" w14:textId="77777777" w:rsidR="006E5509" w:rsidRPr="00B44550" w:rsidRDefault="006E5509" w:rsidP="006E5509">
      <w:pPr>
        <w:rPr>
          <w:rFonts w:ascii="Arial" w:hAnsi="Arial" w:cs="Arial"/>
          <w:sz w:val="22"/>
          <w:szCs w:val="22"/>
        </w:rPr>
      </w:pPr>
    </w:p>
    <w:p w14:paraId="38F41B18" w14:textId="6355D824" w:rsidR="006E5509" w:rsidRPr="00B44550" w:rsidRDefault="006E5509" w:rsidP="00EF7B41">
      <w:pPr>
        <w:pStyle w:val="ListParagraph"/>
        <w:numPr>
          <w:ilvl w:val="0"/>
          <w:numId w:val="9"/>
        </w:numPr>
        <w:rPr>
          <w:rFonts w:ascii="Arial" w:hAnsi="Arial" w:cs="Arial"/>
          <w:i/>
          <w:sz w:val="22"/>
          <w:szCs w:val="22"/>
        </w:rPr>
      </w:pPr>
      <w:r w:rsidRPr="00B44550">
        <w:rPr>
          <w:rFonts w:ascii="Arial" w:hAnsi="Arial" w:cs="Arial"/>
          <w:sz w:val="22"/>
          <w:szCs w:val="22"/>
        </w:rPr>
        <w:t xml:space="preserve">In relation to the current crisis in Yemen, the government of the Netherlands tightened its export policy towards Saudi Arabia in July 2015 following a press statement issued by the UN High Commissioner for Human Rights that highlighted serious violations of human rights and international humanitarian law. In written answers to Parliamentary questions, Ministers stated that: </w:t>
      </w:r>
      <w:r w:rsidRPr="00B44550">
        <w:rPr>
          <w:rFonts w:ascii="Arial" w:hAnsi="Arial" w:cs="Arial"/>
          <w:i/>
          <w:sz w:val="22"/>
          <w:szCs w:val="22"/>
        </w:rPr>
        <w:t>“Applications for army units that are very likely [to be] involved in violations of international humanitarian law are systematically reject</w:t>
      </w:r>
      <w:r w:rsidR="00F80465" w:rsidRPr="00B44550">
        <w:rPr>
          <w:rFonts w:ascii="Arial" w:hAnsi="Arial" w:cs="Arial"/>
          <w:i/>
          <w:sz w:val="22"/>
          <w:szCs w:val="22"/>
        </w:rPr>
        <w:t>ed</w:t>
      </w:r>
      <w:r w:rsidRPr="00B44550">
        <w:rPr>
          <w:rFonts w:ascii="Arial" w:hAnsi="Arial" w:cs="Arial"/>
          <w:i/>
          <w:sz w:val="22"/>
          <w:szCs w:val="22"/>
        </w:rPr>
        <w:t>, if the goods could contribute to such violations. For example, the Cabinet recently rejected license applications for aircraft parts [for] countries participating in the bombing, and pattern switching ti</w:t>
      </w:r>
      <w:r w:rsidR="009A2C68" w:rsidRPr="00B44550">
        <w:rPr>
          <w:rFonts w:ascii="Arial" w:hAnsi="Arial" w:cs="Arial"/>
          <w:i/>
          <w:sz w:val="22"/>
          <w:szCs w:val="22"/>
        </w:rPr>
        <w:t>r</w:t>
      </w:r>
      <w:r w:rsidRPr="00B44550">
        <w:rPr>
          <w:rFonts w:ascii="Arial" w:hAnsi="Arial" w:cs="Arial"/>
          <w:i/>
          <w:sz w:val="22"/>
          <w:szCs w:val="22"/>
        </w:rPr>
        <w:t>es that can be used in the ground operation in Yemen. The government also has rejected components for n</w:t>
      </w:r>
      <w:r w:rsidR="0087081A" w:rsidRPr="00B44550">
        <w:rPr>
          <w:rFonts w:ascii="Arial" w:hAnsi="Arial" w:cs="Arial"/>
          <w:i/>
          <w:sz w:val="22"/>
          <w:szCs w:val="22"/>
        </w:rPr>
        <w:t xml:space="preserve">on-armed Unmanned Aerial Vehicles (UAVs) because of the possible supportive role that such systems fulfil in [the] intervention in Yemen […] Only when [it is] indisputably established that goods can not be used in the fight in Yemen or human rights violations </w:t>
      </w:r>
      <w:r w:rsidR="0087081A" w:rsidRPr="00EF3BF8">
        <w:rPr>
          <w:rFonts w:ascii="Arial" w:hAnsi="Arial" w:cs="Arial"/>
          <w:i/>
          <w:sz w:val="22"/>
          <w:szCs w:val="22"/>
        </w:rPr>
        <w:t>will continue to be issued a license</w:t>
      </w:r>
      <w:r w:rsidR="00EF3BF8">
        <w:rPr>
          <w:rFonts w:ascii="Arial" w:hAnsi="Arial" w:cs="Arial"/>
          <w:i/>
          <w:sz w:val="22"/>
          <w:szCs w:val="22"/>
        </w:rPr>
        <w:t xml:space="preserve"> [sic]</w:t>
      </w:r>
      <w:r w:rsidR="0087081A" w:rsidRPr="00EF3BF8">
        <w:rPr>
          <w:rFonts w:ascii="Arial" w:hAnsi="Arial" w:cs="Arial"/>
          <w:i/>
          <w:sz w:val="22"/>
          <w:szCs w:val="22"/>
        </w:rPr>
        <w:t>.”</w:t>
      </w:r>
      <w:r w:rsidR="009A2C68" w:rsidRPr="00EF3BF8">
        <w:rPr>
          <w:rStyle w:val="FootnoteReference"/>
          <w:rFonts w:ascii="Arial" w:hAnsi="Arial" w:cs="Arial"/>
          <w:i/>
          <w:sz w:val="22"/>
          <w:szCs w:val="22"/>
        </w:rPr>
        <w:footnoteReference w:id="13"/>
      </w:r>
    </w:p>
    <w:p w14:paraId="603F4C9C" w14:textId="77777777" w:rsidR="006E5509" w:rsidRPr="00B44550" w:rsidRDefault="006E5509" w:rsidP="006E5509">
      <w:pPr>
        <w:rPr>
          <w:rFonts w:ascii="Arial" w:hAnsi="Arial" w:cs="Arial"/>
          <w:sz w:val="22"/>
          <w:szCs w:val="22"/>
        </w:rPr>
      </w:pPr>
    </w:p>
    <w:p w14:paraId="4C6897E6" w14:textId="77777777" w:rsidR="006E5509" w:rsidRPr="00B44550" w:rsidRDefault="006E5509" w:rsidP="006E5509">
      <w:pPr>
        <w:pStyle w:val="ListParagraph"/>
        <w:ind w:left="360"/>
        <w:rPr>
          <w:rFonts w:ascii="Arial" w:hAnsi="Arial" w:cs="Arial"/>
          <w:sz w:val="22"/>
          <w:szCs w:val="22"/>
        </w:rPr>
      </w:pPr>
    </w:p>
    <w:p w14:paraId="5A910082" w14:textId="78148CF2" w:rsidR="009C5C9F" w:rsidRPr="00B44550" w:rsidRDefault="009C5C9F" w:rsidP="00EF7B41">
      <w:pPr>
        <w:rPr>
          <w:rFonts w:ascii="Arial" w:hAnsi="Arial" w:cs="Arial"/>
          <w:b/>
          <w:sz w:val="22"/>
          <w:szCs w:val="22"/>
        </w:rPr>
      </w:pPr>
      <w:r w:rsidRPr="00B44550">
        <w:rPr>
          <w:rFonts w:ascii="Arial" w:hAnsi="Arial" w:cs="Arial"/>
          <w:b/>
          <w:sz w:val="22"/>
          <w:szCs w:val="22"/>
        </w:rPr>
        <w:t xml:space="preserve">Table </w:t>
      </w:r>
      <w:r w:rsidR="00EF3BF8">
        <w:rPr>
          <w:rFonts w:ascii="Arial" w:hAnsi="Arial" w:cs="Arial"/>
          <w:b/>
          <w:sz w:val="22"/>
          <w:szCs w:val="22"/>
        </w:rPr>
        <w:t>3</w:t>
      </w:r>
      <w:r w:rsidRPr="00B44550">
        <w:rPr>
          <w:rFonts w:ascii="Arial" w:hAnsi="Arial" w:cs="Arial"/>
          <w:b/>
          <w:sz w:val="22"/>
          <w:szCs w:val="22"/>
        </w:rPr>
        <w:t xml:space="preserve">: Destinations with license denials under EU Criterion 2 </w:t>
      </w:r>
    </w:p>
    <w:tbl>
      <w:tblPr>
        <w:tblStyle w:val="TableGrid"/>
        <w:tblW w:w="0" w:type="auto"/>
        <w:tblLook w:val="04A0" w:firstRow="1" w:lastRow="0" w:firstColumn="1" w:lastColumn="0" w:noHBand="0" w:noVBand="1"/>
      </w:tblPr>
      <w:tblGrid>
        <w:gridCol w:w="4135"/>
        <w:gridCol w:w="3871"/>
      </w:tblGrid>
      <w:tr w:rsidR="009C5C9F" w:rsidRPr="00B44550" w14:paraId="62522213" w14:textId="77777777" w:rsidTr="00B97D51">
        <w:trPr>
          <w:trHeight w:val="231"/>
        </w:trPr>
        <w:tc>
          <w:tcPr>
            <w:tcW w:w="4135" w:type="dxa"/>
          </w:tcPr>
          <w:p w14:paraId="55E63415" w14:textId="16882F78" w:rsidR="009C5C9F" w:rsidRPr="00B44550" w:rsidRDefault="009C5C9F" w:rsidP="00EF7B41">
            <w:pPr>
              <w:rPr>
                <w:rFonts w:ascii="Arial" w:hAnsi="Arial" w:cs="Arial"/>
                <w:b/>
                <w:sz w:val="22"/>
                <w:szCs w:val="22"/>
              </w:rPr>
            </w:pPr>
            <w:r w:rsidRPr="00B44550">
              <w:rPr>
                <w:rFonts w:ascii="Arial" w:hAnsi="Arial" w:cs="Arial"/>
                <w:b/>
                <w:sz w:val="22"/>
                <w:szCs w:val="22"/>
              </w:rPr>
              <w:t>Country</w:t>
            </w:r>
          </w:p>
        </w:tc>
        <w:tc>
          <w:tcPr>
            <w:tcW w:w="3871" w:type="dxa"/>
          </w:tcPr>
          <w:p w14:paraId="7B68FEE3" w14:textId="65673E9D" w:rsidR="009C5C9F" w:rsidRPr="00B44550" w:rsidRDefault="009C5C9F" w:rsidP="00EF7B41">
            <w:pPr>
              <w:rPr>
                <w:rFonts w:ascii="Arial" w:hAnsi="Arial" w:cs="Arial"/>
                <w:b/>
                <w:sz w:val="22"/>
                <w:szCs w:val="22"/>
              </w:rPr>
            </w:pPr>
            <w:r w:rsidRPr="00B44550">
              <w:rPr>
                <w:rFonts w:ascii="Arial" w:hAnsi="Arial" w:cs="Arial"/>
                <w:b/>
                <w:sz w:val="22"/>
                <w:szCs w:val="22"/>
              </w:rPr>
              <w:t>Military List categories</w:t>
            </w:r>
          </w:p>
        </w:tc>
      </w:tr>
      <w:tr w:rsidR="009C5C9F" w:rsidRPr="00B44550" w14:paraId="36E5777F" w14:textId="77777777" w:rsidTr="00B97D51">
        <w:trPr>
          <w:trHeight w:val="245"/>
        </w:trPr>
        <w:tc>
          <w:tcPr>
            <w:tcW w:w="4135" w:type="dxa"/>
          </w:tcPr>
          <w:p w14:paraId="03F21729" w14:textId="44D9EEBE" w:rsidR="009C5C9F" w:rsidRPr="00B44550" w:rsidRDefault="009C5C9F" w:rsidP="00EF7B41">
            <w:pPr>
              <w:rPr>
                <w:rFonts w:ascii="Arial" w:hAnsi="Arial" w:cs="Arial"/>
                <w:sz w:val="22"/>
                <w:szCs w:val="22"/>
              </w:rPr>
            </w:pPr>
            <w:r w:rsidRPr="00B44550">
              <w:rPr>
                <w:rFonts w:ascii="Arial" w:hAnsi="Arial" w:cs="Arial"/>
                <w:sz w:val="22"/>
                <w:szCs w:val="22"/>
              </w:rPr>
              <w:t>Angola</w:t>
            </w:r>
          </w:p>
        </w:tc>
        <w:tc>
          <w:tcPr>
            <w:tcW w:w="3871" w:type="dxa"/>
          </w:tcPr>
          <w:p w14:paraId="796F34B7" w14:textId="77A8C377" w:rsidR="009C5C9F" w:rsidRPr="00B44550" w:rsidRDefault="009C5C9F" w:rsidP="00EF7B41">
            <w:pPr>
              <w:rPr>
                <w:rFonts w:ascii="Arial" w:hAnsi="Arial" w:cs="Arial"/>
                <w:sz w:val="22"/>
                <w:szCs w:val="22"/>
              </w:rPr>
            </w:pPr>
            <w:r w:rsidRPr="00B44550">
              <w:rPr>
                <w:rFonts w:ascii="Arial" w:hAnsi="Arial" w:cs="Arial"/>
                <w:sz w:val="22"/>
                <w:szCs w:val="22"/>
              </w:rPr>
              <w:t>ML5</w:t>
            </w:r>
          </w:p>
        </w:tc>
      </w:tr>
      <w:tr w:rsidR="009C5C9F" w:rsidRPr="00B44550" w14:paraId="6D3CBF4D" w14:textId="77777777" w:rsidTr="00B97D51">
        <w:trPr>
          <w:trHeight w:val="721"/>
        </w:trPr>
        <w:tc>
          <w:tcPr>
            <w:tcW w:w="4135" w:type="dxa"/>
          </w:tcPr>
          <w:p w14:paraId="1C26181C" w14:textId="0FBAA36B" w:rsidR="009C5C9F" w:rsidRPr="00B44550" w:rsidRDefault="009C5C9F" w:rsidP="00EF7B41">
            <w:pPr>
              <w:rPr>
                <w:rFonts w:ascii="Arial" w:hAnsi="Arial" w:cs="Arial"/>
                <w:sz w:val="22"/>
                <w:szCs w:val="22"/>
              </w:rPr>
            </w:pPr>
            <w:r w:rsidRPr="00B44550">
              <w:rPr>
                <w:rFonts w:ascii="Arial" w:hAnsi="Arial" w:cs="Arial"/>
                <w:sz w:val="22"/>
                <w:szCs w:val="22"/>
              </w:rPr>
              <w:t>Bahrain</w:t>
            </w:r>
          </w:p>
        </w:tc>
        <w:tc>
          <w:tcPr>
            <w:tcW w:w="3871" w:type="dxa"/>
          </w:tcPr>
          <w:p w14:paraId="7C779CE5" w14:textId="21AA6E52" w:rsidR="009C5C9F" w:rsidRPr="00B44550" w:rsidRDefault="00DE7A3F" w:rsidP="00EF7B41">
            <w:pPr>
              <w:rPr>
                <w:rFonts w:ascii="Arial" w:hAnsi="Arial" w:cs="Arial"/>
                <w:sz w:val="22"/>
                <w:szCs w:val="22"/>
              </w:rPr>
            </w:pPr>
            <w:r w:rsidRPr="00B44550">
              <w:rPr>
                <w:rFonts w:ascii="Arial" w:hAnsi="Arial" w:cs="Arial"/>
                <w:sz w:val="22"/>
                <w:szCs w:val="22"/>
              </w:rPr>
              <w:t xml:space="preserve">ML5, 6, </w:t>
            </w:r>
            <w:r w:rsidR="009C5C9F" w:rsidRPr="00B44550">
              <w:rPr>
                <w:rFonts w:ascii="Arial" w:hAnsi="Arial" w:cs="Arial"/>
                <w:sz w:val="22"/>
                <w:szCs w:val="22"/>
              </w:rPr>
              <w:t>10</w:t>
            </w:r>
          </w:p>
        </w:tc>
      </w:tr>
      <w:tr w:rsidR="009C5C9F" w:rsidRPr="00B44550" w14:paraId="40939FB2" w14:textId="77777777" w:rsidTr="00B97D51">
        <w:trPr>
          <w:trHeight w:val="231"/>
        </w:trPr>
        <w:tc>
          <w:tcPr>
            <w:tcW w:w="4135" w:type="dxa"/>
          </w:tcPr>
          <w:p w14:paraId="4E83DDD0" w14:textId="07A43578" w:rsidR="009C5C9F" w:rsidRPr="00B44550" w:rsidRDefault="009C5C9F" w:rsidP="00EF7B41">
            <w:pPr>
              <w:rPr>
                <w:rFonts w:ascii="Arial" w:hAnsi="Arial" w:cs="Arial"/>
                <w:sz w:val="22"/>
                <w:szCs w:val="22"/>
              </w:rPr>
            </w:pPr>
            <w:r w:rsidRPr="00B44550">
              <w:rPr>
                <w:rFonts w:ascii="Arial" w:hAnsi="Arial" w:cs="Arial"/>
                <w:sz w:val="22"/>
                <w:szCs w:val="22"/>
              </w:rPr>
              <w:t>Bangladesh</w:t>
            </w:r>
          </w:p>
        </w:tc>
        <w:tc>
          <w:tcPr>
            <w:tcW w:w="3871" w:type="dxa"/>
          </w:tcPr>
          <w:p w14:paraId="33E163AF" w14:textId="41A3EB46" w:rsidR="009C5C9F" w:rsidRPr="00B44550" w:rsidRDefault="009C5C9F" w:rsidP="00EF7B41">
            <w:pPr>
              <w:rPr>
                <w:rFonts w:ascii="Arial" w:hAnsi="Arial" w:cs="Arial"/>
                <w:sz w:val="22"/>
                <w:szCs w:val="22"/>
              </w:rPr>
            </w:pPr>
            <w:r w:rsidRPr="00B44550">
              <w:rPr>
                <w:rFonts w:ascii="Arial" w:hAnsi="Arial" w:cs="Arial"/>
                <w:sz w:val="22"/>
                <w:szCs w:val="22"/>
              </w:rPr>
              <w:t>ML1</w:t>
            </w:r>
          </w:p>
        </w:tc>
      </w:tr>
      <w:tr w:rsidR="009C5C9F" w:rsidRPr="00B44550" w14:paraId="27126C0B" w14:textId="77777777" w:rsidTr="00B97D51">
        <w:trPr>
          <w:trHeight w:val="245"/>
        </w:trPr>
        <w:tc>
          <w:tcPr>
            <w:tcW w:w="4135" w:type="dxa"/>
          </w:tcPr>
          <w:p w14:paraId="7A623532" w14:textId="2B19B3A8" w:rsidR="009C5C9F" w:rsidRPr="00B44550" w:rsidRDefault="009C5C9F" w:rsidP="00EF7B41">
            <w:pPr>
              <w:rPr>
                <w:rFonts w:ascii="Arial" w:hAnsi="Arial" w:cs="Arial"/>
                <w:sz w:val="22"/>
                <w:szCs w:val="22"/>
              </w:rPr>
            </w:pPr>
            <w:r w:rsidRPr="00B44550">
              <w:rPr>
                <w:rFonts w:ascii="Arial" w:hAnsi="Arial" w:cs="Arial"/>
                <w:sz w:val="22"/>
                <w:szCs w:val="22"/>
              </w:rPr>
              <w:t>China</w:t>
            </w:r>
          </w:p>
        </w:tc>
        <w:tc>
          <w:tcPr>
            <w:tcW w:w="3871" w:type="dxa"/>
          </w:tcPr>
          <w:p w14:paraId="249FAE96" w14:textId="7CD4566D" w:rsidR="009C5C9F" w:rsidRPr="00B44550" w:rsidRDefault="00DE7A3F" w:rsidP="00EF7B41">
            <w:pPr>
              <w:rPr>
                <w:rFonts w:ascii="Arial" w:hAnsi="Arial" w:cs="Arial"/>
                <w:sz w:val="22"/>
                <w:szCs w:val="22"/>
              </w:rPr>
            </w:pPr>
            <w:r w:rsidRPr="00B44550">
              <w:rPr>
                <w:rFonts w:ascii="Arial" w:hAnsi="Arial" w:cs="Arial"/>
                <w:sz w:val="22"/>
                <w:szCs w:val="22"/>
              </w:rPr>
              <w:t>M</w:t>
            </w:r>
            <w:r w:rsidR="009C5C9F" w:rsidRPr="00B44550">
              <w:rPr>
                <w:rFonts w:ascii="Arial" w:hAnsi="Arial" w:cs="Arial"/>
                <w:sz w:val="22"/>
                <w:szCs w:val="22"/>
              </w:rPr>
              <w:t>7</w:t>
            </w:r>
            <w:r w:rsidRPr="00B44550">
              <w:rPr>
                <w:rFonts w:ascii="Arial" w:hAnsi="Arial" w:cs="Arial"/>
                <w:sz w:val="22"/>
                <w:szCs w:val="22"/>
              </w:rPr>
              <w:t>, 10, 11, 15</w:t>
            </w:r>
          </w:p>
        </w:tc>
      </w:tr>
      <w:tr w:rsidR="009C5C9F" w:rsidRPr="00B44550" w14:paraId="74FD38CE" w14:textId="77777777" w:rsidTr="00B97D51">
        <w:trPr>
          <w:trHeight w:val="231"/>
        </w:trPr>
        <w:tc>
          <w:tcPr>
            <w:tcW w:w="4135" w:type="dxa"/>
          </w:tcPr>
          <w:p w14:paraId="08C7A4E9" w14:textId="2AE31C02" w:rsidR="009C5C9F" w:rsidRPr="00B44550" w:rsidRDefault="009C5C9F" w:rsidP="00EF7B41">
            <w:pPr>
              <w:rPr>
                <w:rFonts w:ascii="Arial" w:hAnsi="Arial" w:cs="Arial"/>
                <w:sz w:val="22"/>
                <w:szCs w:val="22"/>
              </w:rPr>
            </w:pPr>
            <w:r w:rsidRPr="00B44550">
              <w:rPr>
                <w:rFonts w:ascii="Arial" w:hAnsi="Arial" w:cs="Arial"/>
                <w:sz w:val="22"/>
                <w:szCs w:val="22"/>
              </w:rPr>
              <w:t>Egypt</w:t>
            </w:r>
          </w:p>
        </w:tc>
        <w:tc>
          <w:tcPr>
            <w:tcW w:w="3871" w:type="dxa"/>
          </w:tcPr>
          <w:p w14:paraId="6E0E39FC" w14:textId="79C949EA" w:rsidR="009C5C9F" w:rsidRPr="00B44550" w:rsidRDefault="009C5C9F" w:rsidP="00EF7B41">
            <w:pPr>
              <w:rPr>
                <w:rFonts w:ascii="Arial" w:hAnsi="Arial" w:cs="Arial"/>
                <w:sz w:val="22"/>
                <w:szCs w:val="22"/>
              </w:rPr>
            </w:pPr>
            <w:r w:rsidRPr="00B44550">
              <w:rPr>
                <w:rFonts w:ascii="Arial" w:hAnsi="Arial" w:cs="Arial"/>
                <w:sz w:val="22"/>
                <w:szCs w:val="22"/>
              </w:rPr>
              <w:t>ML1</w:t>
            </w:r>
            <w:r w:rsidR="00DE7A3F" w:rsidRPr="00B44550">
              <w:rPr>
                <w:rFonts w:ascii="Arial" w:hAnsi="Arial" w:cs="Arial"/>
                <w:sz w:val="22"/>
                <w:szCs w:val="22"/>
              </w:rPr>
              <w:t xml:space="preserve">, 3, 13, </w:t>
            </w:r>
            <w:r w:rsidRPr="00B44550">
              <w:rPr>
                <w:rFonts w:ascii="Arial" w:hAnsi="Arial" w:cs="Arial"/>
                <w:sz w:val="22"/>
                <w:szCs w:val="22"/>
              </w:rPr>
              <w:t>14</w:t>
            </w:r>
            <w:r w:rsidR="00DE7A3F" w:rsidRPr="00B44550">
              <w:rPr>
                <w:rFonts w:ascii="Arial" w:hAnsi="Arial" w:cs="Arial"/>
                <w:sz w:val="22"/>
                <w:szCs w:val="22"/>
              </w:rPr>
              <w:t xml:space="preserve">, </w:t>
            </w:r>
            <w:r w:rsidRPr="00B44550">
              <w:rPr>
                <w:rFonts w:ascii="Arial" w:hAnsi="Arial" w:cs="Arial"/>
                <w:sz w:val="22"/>
                <w:szCs w:val="22"/>
              </w:rPr>
              <w:t>15</w:t>
            </w:r>
          </w:p>
        </w:tc>
      </w:tr>
      <w:tr w:rsidR="009C5C9F" w:rsidRPr="00B44550" w14:paraId="10BA98A5" w14:textId="77777777" w:rsidTr="00B97D51">
        <w:trPr>
          <w:trHeight w:val="245"/>
        </w:trPr>
        <w:tc>
          <w:tcPr>
            <w:tcW w:w="4135" w:type="dxa"/>
          </w:tcPr>
          <w:p w14:paraId="3179335E" w14:textId="17B49C39" w:rsidR="009C5C9F" w:rsidRPr="00B44550" w:rsidRDefault="009C5C9F" w:rsidP="00EF7B41">
            <w:pPr>
              <w:rPr>
                <w:rFonts w:ascii="Arial" w:hAnsi="Arial" w:cs="Arial"/>
                <w:sz w:val="22"/>
                <w:szCs w:val="22"/>
              </w:rPr>
            </w:pPr>
            <w:r w:rsidRPr="00B44550">
              <w:rPr>
                <w:rFonts w:ascii="Arial" w:hAnsi="Arial" w:cs="Arial"/>
                <w:sz w:val="22"/>
                <w:szCs w:val="22"/>
              </w:rPr>
              <w:t>Guatemala</w:t>
            </w:r>
          </w:p>
        </w:tc>
        <w:tc>
          <w:tcPr>
            <w:tcW w:w="3871" w:type="dxa"/>
          </w:tcPr>
          <w:p w14:paraId="11B472CB" w14:textId="06D9FD85" w:rsidR="009C5C9F" w:rsidRPr="00B44550" w:rsidRDefault="009C5C9F" w:rsidP="00EF7B41">
            <w:pPr>
              <w:rPr>
                <w:rFonts w:ascii="Arial" w:hAnsi="Arial" w:cs="Arial"/>
                <w:sz w:val="22"/>
                <w:szCs w:val="22"/>
              </w:rPr>
            </w:pPr>
            <w:r w:rsidRPr="00B44550">
              <w:rPr>
                <w:rFonts w:ascii="Arial" w:hAnsi="Arial" w:cs="Arial"/>
                <w:sz w:val="22"/>
                <w:szCs w:val="22"/>
              </w:rPr>
              <w:t>ML1</w:t>
            </w:r>
          </w:p>
        </w:tc>
      </w:tr>
      <w:tr w:rsidR="009C5C9F" w:rsidRPr="00B44550" w14:paraId="08072E4F" w14:textId="77777777" w:rsidTr="00B97D51">
        <w:trPr>
          <w:trHeight w:val="245"/>
        </w:trPr>
        <w:tc>
          <w:tcPr>
            <w:tcW w:w="4135" w:type="dxa"/>
          </w:tcPr>
          <w:p w14:paraId="617EAB2F" w14:textId="73DF7D61" w:rsidR="009C5C9F" w:rsidRPr="00B44550" w:rsidRDefault="009C5C9F" w:rsidP="00EF7B41">
            <w:pPr>
              <w:rPr>
                <w:rFonts w:ascii="Arial" w:hAnsi="Arial" w:cs="Arial"/>
                <w:sz w:val="22"/>
                <w:szCs w:val="22"/>
              </w:rPr>
            </w:pPr>
            <w:r w:rsidRPr="00B44550">
              <w:rPr>
                <w:rFonts w:ascii="Arial" w:hAnsi="Arial" w:cs="Arial"/>
                <w:sz w:val="22"/>
                <w:szCs w:val="22"/>
              </w:rPr>
              <w:t>Israel</w:t>
            </w:r>
          </w:p>
        </w:tc>
        <w:tc>
          <w:tcPr>
            <w:tcW w:w="3871" w:type="dxa"/>
          </w:tcPr>
          <w:p w14:paraId="537A2195" w14:textId="0B78C48A" w:rsidR="009C5C9F" w:rsidRPr="00B44550" w:rsidRDefault="009C5C9F" w:rsidP="00EF7B41">
            <w:pPr>
              <w:rPr>
                <w:rFonts w:ascii="Arial" w:hAnsi="Arial" w:cs="Arial"/>
                <w:sz w:val="22"/>
                <w:szCs w:val="22"/>
              </w:rPr>
            </w:pPr>
            <w:r w:rsidRPr="00B44550">
              <w:rPr>
                <w:rFonts w:ascii="Arial" w:hAnsi="Arial" w:cs="Arial"/>
                <w:sz w:val="22"/>
                <w:szCs w:val="22"/>
              </w:rPr>
              <w:t>ML1</w:t>
            </w:r>
            <w:r w:rsidR="00DE7A3F" w:rsidRPr="00B44550">
              <w:rPr>
                <w:rFonts w:ascii="Arial" w:hAnsi="Arial" w:cs="Arial"/>
                <w:sz w:val="22"/>
                <w:szCs w:val="22"/>
              </w:rPr>
              <w:t xml:space="preserve">, </w:t>
            </w:r>
            <w:r w:rsidRPr="00B44550">
              <w:rPr>
                <w:rFonts w:ascii="Arial" w:hAnsi="Arial" w:cs="Arial"/>
                <w:sz w:val="22"/>
                <w:szCs w:val="22"/>
              </w:rPr>
              <w:t>3</w:t>
            </w:r>
          </w:p>
        </w:tc>
      </w:tr>
      <w:tr w:rsidR="009C5C9F" w:rsidRPr="00B44550" w14:paraId="259C6694" w14:textId="77777777" w:rsidTr="00B97D51">
        <w:trPr>
          <w:trHeight w:val="245"/>
        </w:trPr>
        <w:tc>
          <w:tcPr>
            <w:tcW w:w="4135" w:type="dxa"/>
          </w:tcPr>
          <w:p w14:paraId="326F6896" w14:textId="7C1814DA" w:rsidR="009C5C9F" w:rsidRPr="00B44550" w:rsidRDefault="009C5C9F" w:rsidP="00EF7B41">
            <w:pPr>
              <w:rPr>
                <w:rFonts w:ascii="Arial" w:hAnsi="Arial" w:cs="Arial"/>
                <w:sz w:val="22"/>
                <w:szCs w:val="22"/>
              </w:rPr>
            </w:pPr>
            <w:r w:rsidRPr="00B44550">
              <w:rPr>
                <w:rFonts w:ascii="Arial" w:hAnsi="Arial" w:cs="Arial"/>
                <w:sz w:val="22"/>
                <w:szCs w:val="22"/>
              </w:rPr>
              <w:t>Kazakhstan</w:t>
            </w:r>
          </w:p>
        </w:tc>
        <w:tc>
          <w:tcPr>
            <w:tcW w:w="3871" w:type="dxa"/>
          </w:tcPr>
          <w:p w14:paraId="770C155C" w14:textId="692F225C" w:rsidR="009C5C9F" w:rsidRPr="00B44550" w:rsidRDefault="009C5C9F" w:rsidP="00EF7B41">
            <w:pPr>
              <w:rPr>
                <w:rFonts w:ascii="Arial" w:hAnsi="Arial" w:cs="Arial"/>
                <w:sz w:val="22"/>
                <w:szCs w:val="22"/>
              </w:rPr>
            </w:pPr>
            <w:r w:rsidRPr="00B44550">
              <w:rPr>
                <w:rFonts w:ascii="Arial" w:hAnsi="Arial" w:cs="Arial"/>
                <w:sz w:val="22"/>
                <w:szCs w:val="22"/>
              </w:rPr>
              <w:t>ML5</w:t>
            </w:r>
            <w:r w:rsidR="00DE7A3F" w:rsidRPr="00B44550">
              <w:rPr>
                <w:rFonts w:ascii="Arial" w:hAnsi="Arial" w:cs="Arial"/>
                <w:sz w:val="22"/>
                <w:szCs w:val="22"/>
              </w:rPr>
              <w:t xml:space="preserve">, </w:t>
            </w:r>
            <w:r w:rsidRPr="00B44550">
              <w:rPr>
                <w:rFonts w:ascii="Arial" w:hAnsi="Arial" w:cs="Arial"/>
                <w:sz w:val="22"/>
                <w:szCs w:val="22"/>
              </w:rPr>
              <w:t>13</w:t>
            </w:r>
          </w:p>
        </w:tc>
      </w:tr>
      <w:tr w:rsidR="009C5C9F" w:rsidRPr="00B44550" w14:paraId="1FAD28EE" w14:textId="77777777" w:rsidTr="00B97D51">
        <w:trPr>
          <w:trHeight w:val="245"/>
        </w:trPr>
        <w:tc>
          <w:tcPr>
            <w:tcW w:w="4135" w:type="dxa"/>
          </w:tcPr>
          <w:p w14:paraId="4A7292D6" w14:textId="5107EC9B" w:rsidR="009C5C9F" w:rsidRPr="00B44550" w:rsidRDefault="009C5C9F" w:rsidP="00EF7B41">
            <w:pPr>
              <w:rPr>
                <w:rFonts w:ascii="Arial" w:hAnsi="Arial" w:cs="Arial"/>
                <w:sz w:val="22"/>
                <w:szCs w:val="22"/>
              </w:rPr>
            </w:pPr>
            <w:r w:rsidRPr="00B44550">
              <w:rPr>
                <w:rFonts w:ascii="Arial" w:hAnsi="Arial" w:cs="Arial"/>
                <w:sz w:val="22"/>
                <w:szCs w:val="22"/>
              </w:rPr>
              <w:lastRenderedPageBreak/>
              <w:t>Kenya</w:t>
            </w:r>
          </w:p>
        </w:tc>
        <w:tc>
          <w:tcPr>
            <w:tcW w:w="3871" w:type="dxa"/>
          </w:tcPr>
          <w:p w14:paraId="287806E4" w14:textId="380CCE5A" w:rsidR="009C5C9F" w:rsidRPr="00B44550" w:rsidRDefault="009C5C9F" w:rsidP="00EF7B41">
            <w:pPr>
              <w:rPr>
                <w:rFonts w:ascii="Arial" w:hAnsi="Arial" w:cs="Arial"/>
                <w:sz w:val="22"/>
                <w:szCs w:val="22"/>
              </w:rPr>
            </w:pPr>
            <w:r w:rsidRPr="00B44550">
              <w:rPr>
                <w:rFonts w:ascii="Arial" w:hAnsi="Arial" w:cs="Arial"/>
                <w:sz w:val="22"/>
                <w:szCs w:val="22"/>
              </w:rPr>
              <w:t>ML1</w:t>
            </w:r>
          </w:p>
        </w:tc>
      </w:tr>
      <w:tr w:rsidR="009C5C9F" w:rsidRPr="00B44550" w14:paraId="0052560C" w14:textId="77777777" w:rsidTr="00B97D51">
        <w:trPr>
          <w:trHeight w:val="245"/>
        </w:trPr>
        <w:tc>
          <w:tcPr>
            <w:tcW w:w="4135" w:type="dxa"/>
          </w:tcPr>
          <w:p w14:paraId="79357779" w14:textId="71BBC434" w:rsidR="009C5C9F" w:rsidRPr="00B44550" w:rsidRDefault="009C5C9F" w:rsidP="00EF7B41">
            <w:pPr>
              <w:rPr>
                <w:rFonts w:ascii="Arial" w:hAnsi="Arial" w:cs="Arial"/>
                <w:sz w:val="22"/>
                <w:szCs w:val="22"/>
              </w:rPr>
            </w:pPr>
            <w:r w:rsidRPr="00B44550">
              <w:rPr>
                <w:rFonts w:ascii="Arial" w:hAnsi="Arial" w:cs="Arial"/>
                <w:sz w:val="22"/>
                <w:szCs w:val="22"/>
              </w:rPr>
              <w:t>Kuwait</w:t>
            </w:r>
          </w:p>
        </w:tc>
        <w:tc>
          <w:tcPr>
            <w:tcW w:w="3871" w:type="dxa"/>
          </w:tcPr>
          <w:p w14:paraId="133556DF" w14:textId="646B61A7" w:rsidR="006E5509" w:rsidRPr="00B44550" w:rsidRDefault="009C5C9F" w:rsidP="00EF7B41">
            <w:pPr>
              <w:rPr>
                <w:rFonts w:ascii="Arial" w:hAnsi="Arial" w:cs="Arial"/>
                <w:sz w:val="22"/>
                <w:szCs w:val="22"/>
              </w:rPr>
            </w:pPr>
            <w:r w:rsidRPr="00B44550">
              <w:rPr>
                <w:rFonts w:ascii="Arial" w:hAnsi="Arial" w:cs="Arial"/>
                <w:sz w:val="22"/>
                <w:szCs w:val="22"/>
              </w:rPr>
              <w:t>ML3</w:t>
            </w:r>
            <w:r w:rsidR="00DE7A3F" w:rsidRPr="00B44550">
              <w:rPr>
                <w:rFonts w:ascii="Arial" w:hAnsi="Arial" w:cs="Arial"/>
                <w:sz w:val="22"/>
                <w:szCs w:val="22"/>
              </w:rPr>
              <w:t xml:space="preserve">, </w:t>
            </w:r>
            <w:r w:rsidR="006E5509" w:rsidRPr="00B44550">
              <w:rPr>
                <w:rFonts w:ascii="Arial" w:hAnsi="Arial" w:cs="Arial"/>
                <w:sz w:val="22"/>
                <w:szCs w:val="22"/>
              </w:rPr>
              <w:t>5</w:t>
            </w:r>
            <w:r w:rsidR="00DE7A3F" w:rsidRPr="00B44550">
              <w:rPr>
                <w:rFonts w:ascii="Arial" w:hAnsi="Arial" w:cs="Arial"/>
                <w:sz w:val="22"/>
                <w:szCs w:val="22"/>
              </w:rPr>
              <w:t xml:space="preserve">, </w:t>
            </w:r>
            <w:r w:rsidR="006E5509" w:rsidRPr="00B44550">
              <w:rPr>
                <w:rFonts w:ascii="Arial" w:hAnsi="Arial" w:cs="Arial"/>
                <w:sz w:val="22"/>
                <w:szCs w:val="22"/>
              </w:rPr>
              <w:t>13</w:t>
            </w:r>
          </w:p>
        </w:tc>
      </w:tr>
      <w:tr w:rsidR="006E5509" w:rsidRPr="00B44550" w14:paraId="2BD68D46" w14:textId="77777777" w:rsidTr="00B97D51">
        <w:trPr>
          <w:trHeight w:val="245"/>
        </w:trPr>
        <w:tc>
          <w:tcPr>
            <w:tcW w:w="4135" w:type="dxa"/>
          </w:tcPr>
          <w:p w14:paraId="4E486651" w14:textId="60F68B52" w:rsidR="006E5509" w:rsidRPr="00B44550" w:rsidRDefault="006E5509" w:rsidP="00EF7B41">
            <w:pPr>
              <w:rPr>
                <w:rFonts w:ascii="Arial" w:hAnsi="Arial" w:cs="Arial"/>
                <w:sz w:val="22"/>
                <w:szCs w:val="22"/>
              </w:rPr>
            </w:pPr>
            <w:r w:rsidRPr="00B44550">
              <w:rPr>
                <w:rFonts w:ascii="Arial" w:hAnsi="Arial" w:cs="Arial"/>
                <w:sz w:val="22"/>
                <w:szCs w:val="22"/>
              </w:rPr>
              <w:t>Kyrgyzstan</w:t>
            </w:r>
          </w:p>
        </w:tc>
        <w:tc>
          <w:tcPr>
            <w:tcW w:w="3871" w:type="dxa"/>
          </w:tcPr>
          <w:p w14:paraId="4A8A045F" w14:textId="6D4BC145" w:rsidR="006E5509" w:rsidRPr="00B44550" w:rsidRDefault="006E5509" w:rsidP="00EF7B41">
            <w:pPr>
              <w:rPr>
                <w:rFonts w:ascii="Arial" w:hAnsi="Arial" w:cs="Arial"/>
                <w:sz w:val="22"/>
                <w:szCs w:val="22"/>
              </w:rPr>
            </w:pPr>
            <w:r w:rsidRPr="00B44550">
              <w:rPr>
                <w:rFonts w:ascii="Arial" w:hAnsi="Arial" w:cs="Arial"/>
                <w:sz w:val="22"/>
                <w:szCs w:val="22"/>
              </w:rPr>
              <w:t>ML13</w:t>
            </w:r>
          </w:p>
        </w:tc>
      </w:tr>
      <w:tr w:rsidR="006E5509" w:rsidRPr="00B44550" w14:paraId="30EAF512" w14:textId="77777777" w:rsidTr="00B97D51">
        <w:trPr>
          <w:trHeight w:val="245"/>
        </w:trPr>
        <w:tc>
          <w:tcPr>
            <w:tcW w:w="4135" w:type="dxa"/>
          </w:tcPr>
          <w:p w14:paraId="6B57338B" w14:textId="40C87062" w:rsidR="006E5509" w:rsidRPr="00B44550" w:rsidRDefault="006E5509" w:rsidP="00EF7B41">
            <w:pPr>
              <w:rPr>
                <w:rFonts w:ascii="Arial" w:hAnsi="Arial" w:cs="Arial"/>
                <w:sz w:val="22"/>
                <w:szCs w:val="22"/>
              </w:rPr>
            </w:pPr>
            <w:r w:rsidRPr="00B44550">
              <w:rPr>
                <w:rFonts w:ascii="Arial" w:hAnsi="Arial" w:cs="Arial"/>
                <w:sz w:val="22"/>
                <w:szCs w:val="22"/>
              </w:rPr>
              <w:t>Libya</w:t>
            </w:r>
          </w:p>
        </w:tc>
        <w:tc>
          <w:tcPr>
            <w:tcW w:w="3871" w:type="dxa"/>
          </w:tcPr>
          <w:p w14:paraId="0B615AF4" w14:textId="37505966" w:rsidR="006E5509" w:rsidRPr="00B44550" w:rsidRDefault="006E5509" w:rsidP="00EF7B41">
            <w:pPr>
              <w:rPr>
                <w:rFonts w:ascii="Arial" w:hAnsi="Arial" w:cs="Arial"/>
                <w:sz w:val="22"/>
                <w:szCs w:val="22"/>
              </w:rPr>
            </w:pPr>
            <w:r w:rsidRPr="00B44550">
              <w:rPr>
                <w:rFonts w:ascii="Arial" w:hAnsi="Arial" w:cs="Arial"/>
                <w:sz w:val="22"/>
                <w:szCs w:val="22"/>
              </w:rPr>
              <w:t>ML6</w:t>
            </w:r>
            <w:r w:rsidR="00DE7A3F" w:rsidRPr="00B44550">
              <w:rPr>
                <w:rFonts w:ascii="Arial" w:hAnsi="Arial" w:cs="Arial"/>
                <w:sz w:val="22"/>
                <w:szCs w:val="22"/>
              </w:rPr>
              <w:t xml:space="preserve">, </w:t>
            </w:r>
            <w:r w:rsidRPr="00B44550">
              <w:rPr>
                <w:rFonts w:ascii="Arial" w:hAnsi="Arial" w:cs="Arial"/>
                <w:sz w:val="22"/>
                <w:szCs w:val="22"/>
              </w:rPr>
              <w:t>13</w:t>
            </w:r>
          </w:p>
        </w:tc>
      </w:tr>
      <w:tr w:rsidR="006E5509" w:rsidRPr="00B44550" w14:paraId="7B5FFA09" w14:textId="77777777" w:rsidTr="00B97D51">
        <w:trPr>
          <w:trHeight w:val="245"/>
        </w:trPr>
        <w:tc>
          <w:tcPr>
            <w:tcW w:w="4135" w:type="dxa"/>
          </w:tcPr>
          <w:p w14:paraId="0F9494D6" w14:textId="2C081BF7" w:rsidR="006E5509" w:rsidRPr="00B44550" w:rsidRDefault="006E5509" w:rsidP="00EF7B41">
            <w:pPr>
              <w:rPr>
                <w:rFonts w:ascii="Arial" w:hAnsi="Arial" w:cs="Arial"/>
                <w:sz w:val="22"/>
                <w:szCs w:val="22"/>
              </w:rPr>
            </w:pPr>
            <w:r w:rsidRPr="00B44550">
              <w:rPr>
                <w:rFonts w:ascii="Arial" w:hAnsi="Arial" w:cs="Arial"/>
                <w:sz w:val="22"/>
                <w:szCs w:val="22"/>
              </w:rPr>
              <w:t>Malaysia</w:t>
            </w:r>
          </w:p>
        </w:tc>
        <w:tc>
          <w:tcPr>
            <w:tcW w:w="3871" w:type="dxa"/>
          </w:tcPr>
          <w:p w14:paraId="521E9C53" w14:textId="7D9BCBB3" w:rsidR="006E5509" w:rsidRPr="00B44550" w:rsidRDefault="006E5509" w:rsidP="00EF7B41">
            <w:pPr>
              <w:rPr>
                <w:rFonts w:ascii="Arial" w:hAnsi="Arial" w:cs="Arial"/>
                <w:sz w:val="22"/>
                <w:szCs w:val="22"/>
              </w:rPr>
            </w:pPr>
            <w:r w:rsidRPr="00B44550">
              <w:rPr>
                <w:rFonts w:ascii="Arial" w:hAnsi="Arial" w:cs="Arial"/>
                <w:sz w:val="22"/>
                <w:szCs w:val="22"/>
              </w:rPr>
              <w:t>ML1</w:t>
            </w:r>
            <w:r w:rsidR="002D27B5" w:rsidRPr="00B44550">
              <w:rPr>
                <w:rFonts w:ascii="Arial" w:hAnsi="Arial" w:cs="Arial"/>
                <w:sz w:val="22"/>
                <w:szCs w:val="22"/>
              </w:rPr>
              <w:t xml:space="preserve">, </w:t>
            </w:r>
            <w:r w:rsidRPr="00B44550">
              <w:rPr>
                <w:rFonts w:ascii="Arial" w:hAnsi="Arial" w:cs="Arial"/>
                <w:sz w:val="22"/>
                <w:szCs w:val="22"/>
              </w:rPr>
              <w:t>3</w:t>
            </w:r>
          </w:p>
        </w:tc>
      </w:tr>
      <w:tr w:rsidR="006E5509" w:rsidRPr="00B44550" w14:paraId="79D7DD27" w14:textId="77777777" w:rsidTr="00B97D51">
        <w:trPr>
          <w:trHeight w:val="245"/>
        </w:trPr>
        <w:tc>
          <w:tcPr>
            <w:tcW w:w="4135" w:type="dxa"/>
          </w:tcPr>
          <w:p w14:paraId="261C6DDB" w14:textId="694C1036" w:rsidR="006E5509" w:rsidRPr="00B44550" w:rsidRDefault="006E5509" w:rsidP="00EF7B41">
            <w:pPr>
              <w:rPr>
                <w:rFonts w:ascii="Arial" w:hAnsi="Arial" w:cs="Arial"/>
                <w:sz w:val="22"/>
                <w:szCs w:val="22"/>
              </w:rPr>
            </w:pPr>
            <w:r w:rsidRPr="00B44550">
              <w:rPr>
                <w:rFonts w:ascii="Arial" w:hAnsi="Arial" w:cs="Arial"/>
                <w:sz w:val="22"/>
                <w:szCs w:val="22"/>
              </w:rPr>
              <w:t>Moldova</w:t>
            </w:r>
          </w:p>
        </w:tc>
        <w:tc>
          <w:tcPr>
            <w:tcW w:w="3871" w:type="dxa"/>
          </w:tcPr>
          <w:p w14:paraId="2BAF2980" w14:textId="2616C8F3" w:rsidR="006E5509" w:rsidRPr="00B44550" w:rsidRDefault="006E5509" w:rsidP="00EF7B41">
            <w:pPr>
              <w:rPr>
                <w:rFonts w:ascii="Arial" w:hAnsi="Arial" w:cs="Arial"/>
                <w:sz w:val="22"/>
                <w:szCs w:val="22"/>
              </w:rPr>
            </w:pPr>
            <w:r w:rsidRPr="00B44550">
              <w:rPr>
                <w:rFonts w:ascii="Arial" w:hAnsi="Arial" w:cs="Arial"/>
                <w:sz w:val="22"/>
                <w:szCs w:val="22"/>
              </w:rPr>
              <w:t>ML1</w:t>
            </w:r>
          </w:p>
        </w:tc>
      </w:tr>
      <w:tr w:rsidR="006E5509" w:rsidRPr="00B44550" w14:paraId="14CF6360" w14:textId="77777777" w:rsidTr="00B97D51">
        <w:trPr>
          <w:trHeight w:val="245"/>
        </w:trPr>
        <w:tc>
          <w:tcPr>
            <w:tcW w:w="4135" w:type="dxa"/>
          </w:tcPr>
          <w:p w14:paraId="18073718" w14:textId="73241058" w:rsidR="006E5509" w:rsidRPr="00B44550" w:rsidRDefault="006E5509" w:rsidP="00EF7B41">
            <w:pPr>
              <w:rPr>
                <w:rFonts w:ascii="Arial" w:hAnsi="Arial" w:cs="Arial"/>
                <w:sz w:val="22"/>
                <w:szCs w:val="22"/>
              </w:rPr>
            </w:pPr>
            <w:r w:rsidRPr="00B44550">
              <w:rPr>
                <w:rFonts w:ascii="Arial" w:hAnsi="Arial" w:cs="Arial"/>
                <w:sz w:val="22"/>
                <w:szCs w:val="22"/>
              </w:rPr>
              <w:t>Pakistan</w:t>
            </w:r>
          </w:p>
        </w:tc>
        <w:tc>
          <w:tcPr>
            <w:tcW w:w="3871" w:type="dxa"/>
          </w:tcPr>
          <w:p w14:paraId="67D9423F" w14:textId="49940232" w:rsidR="006E5509" w:rsidRPr="00B44550" w:rsidRDefault="006E5509" w:rsidP="00EF7B41">
            <w:pPr>
              <w:rPr>
                <w:rFonts w:ascii="Arial" w:hAnsi="Arial" w:cs="Arial"/>
                <w:sz w:val="22"/>
                <w:szCs w:val="22"/>
              </w:rPr>
            </w:pPr>
            <w:r w:rsidRPr="00B44550">
              <w:rPr>
                <w:rFonts w:ascii="Arial" w:hAnsi="Arial" w:cs="Arial"/>
                <w:sz w:val="22"/>
                <w:szCs w:val="22"/>
              </w:rPr>
              <w:t>ML2</w:t>
            </w:r>
          </w:p>
        </w:tc>
      </w:tr>
      <w:tr w:rsidR="006E5509" w:rsidRPr="00B44550" w14:paraId="25760AD3" w14:textId="77777777" w:rsidTr="00B97D51">
        <w:trPr>
          <w:trHeight w:val="245"/>
        </w:trPr>
        <w:tc>
          <w:tcPr>
            <w:tcW w:w="4135" w:type="dxa"/>
          </w:tcPr>
          <w:p w14:paraId="5010E5B7" w14:textId="5327EA3E" w:rsidR="006E5509" w:rsidRPr="00B44550" w:rsidRDefault="006E5509" w:rsidP="00EF7B41">
            <w:pPr>
              <w:rPr>
                <w:rFonts w:ascii="Arial" w:hAnsi="Arial" w:cs="Arial"/>
                <w:sz w:val="22"/>
                <w:szCs w:val="22"/>
              </w:rPr>
            </w:pPr>
            <w:r w:rsidRPr="00B44550">
              <w:rPr>
                <w:rFonts w:ascii="Arial" w:hAnsi="Arial" w:cs="Arial"/>
                <w:sz w:val="22"/>
                <w:szCs w:val="22"/>
              </w:rPr>
              <w:t>Russia</w:t>
            </w:r>
          </w:p>
        </w:tc>
        <w:tc>
          <w:tcPr>
            <w:tcW w:w="3871" w:type="dxa"/>
          </w:tcPr>
          <w:p w14:paraId="33497E10" w14:textId="37A4714A" w:rsidR="006E5509" w:rsidRPr="00B44550" w:rsidRDefault="006E5509" w:rsidP="00EF7B41">
            <w:pPr>
              <w:rPr>
                <w:rFonts w:ascii="Arial" w:hAnsi="Arial" w:cs="Arial"/>
                <w:sz w:val="22"/>
                <w:szCs w:val="22"/>
              </w:rPr>
            </w:pPr>
            <w:r w:rsidRPr="00B44550">
              <w:rPr>
                <w:rFonts w:ascii="Arial" w:hAnsi="Arial" w:cs="Arial"/>
                <w:sz w:val="22"/>
                <w:szCs w:val="22"/>
              </w:rPr>
              <w:t>ML5</w:t>
            </w:r>
            <w:r w:rsidR="00DE7A3F" w:rsidRPr="00B44550">
              <w:rPr>
                <w:rFonts w:ascii="Arial" w:hAnsi="Arial" w:cs="Arial"/>
                <w:sz w:val="22"/>
                <w:szCs w:val="22"/>
              </w:rPr>
              <w:t xml:space="preserve">, </w:t>
            </w:r>
            <w:r w:rsidRPr="00B44550">
              <w:rPr>
                <w:rFonts w:ascii="Arial" w:hAnsi="Arial" w:cs="Arial"/>
                <w:sz w:val="22"/>
                <w:szCs w:val="22"/>
              </w:rPr>
              <w:t>11</w:t>
            </w:r>
            <w:r w:rsidR="00DE7A3F" w:rsidRPr="00B44550">
              <w:rPr>
                <w:rFonts w:ascii="Arial" w:hAnsi="Arial" w:cs="Arial"/>
                <w:sz w:val="22"/>
                <w:szCs w:val="22"/>
              </w:rPr>
              <w:t xml:space="preserve">, </w:t>
            </w:r>
            <w:r w:rsidRPr="00B44550">
              <w:rPr>
                <w:rFonts w:ascii="Arial" w:hAnsi="Arial" w:cs="Arial"/>
                <w:sz w:val="22"/>
                <w:szCs w:val="22"/>
              </w:rPr>
              <w:t>13</w:t>
            </w:r>
          </w:p>
        </w:tc>
      </w:tr>
      <w:tr w:rsidR="006E5509" w:rsidRPr="00B44550" w14:paraId="2CEFEBFD" w14:textId="77777777" w:rsidTr="00B97D51">
        <w:trPr>
          <w:trHeight w:val="245"/>
        </w:trPr>
        <w:tc>
          <w:tcPr>
            <w:tcW w:w="4135" w:type="dxa"/>
          </w:tcPr>
          <w:p w14:paraId="40BB2259" w14:textId="0B3D1CC2" w:rsidR="006E5509" w:rsidRPr="00B44550" w:rsidRDefault="006E5509" w:rsidP="00EF7B41">
            <w:pPr>
              <w:rPr>
                <w:rFonts w:ascii="Arial" w:hAnsi="Arial" w:cs="Arial"/>
                <w:sz w:val="22"/>
                <w:szCs w:val="22"/>
              </w:rPr>
            </w:pPr>
            <w:r w:rsidRPr="00B44550">
              <w:rPr>
                <w:rFonts w:ascii="Arial" w:hAnsi="Arial" w:cs="Arial"/>
                <w:sz w:val="22"/>
                <w:szCs w:val="22"/>
              </w:rPr>
              <w:t>Saudi Arabia</w:t>
            </w:r>
          </w:p>
        </w:tc>
        <w:tc>
          <w:tcPr>
            <w:tcW w:w="3871" w:type="dxa"/>
          </w:tcPr>
          <w:p w14:paraId="66217770" w14:textId="4284FBC5" w:rsidR="006E5509" w:rsidRPr="00B44550" w:rsidRDefault="006E5509" w:rsidP="00EF7B41">
            <w:pPr>
              <w:rPr>
                <w:rFonts w:ascii="Arial" w:hAnsi="Arial" w:cs="Arial"/>
                <w:sz w:val="22"/>
                <w:szCs w:val="22"/>
              </w:rPr>
            </w:pPr>
            <w:r w:rsidRPr="00B44550">
              <w:rPr>
                <w:rFonts w:ascii="Arial" w:hAnsi="Arial" w:cs="Arial"/>
                <w:sz w:val="22"/>
                <w:szCs w:val="22"/>
              </w:rPr>
              <w:t>ML1</w:t>
            </w:r>
          </w:p>
        </w:tc>
      </w:tr>
      <w:tr w:rsidR="006E5509" w:rsidRPr="00B44550" w14:paraId="0BBDD8F1" w14:textId="77777777" w:rsidTr="00B97D51">
        <w:trPr>
          <w:trHeight w:val="245"/>
        </w:trPr>
        <w:tc>
          <w:tcPr>
            <w:tcW w:w="4135" w:type="dxa"/>
          </w:tcPr>
          <w:p w14:paraId="0BF59FEF" w14:textId="0D3839BF" w:rsidR="006E5509" w:rsidRPr="00B44550" w:rsidRDefault="006E5509" w:rsidP="00EF7B41">
            <w:pPr>
              <w:rPr>
                <w:rFonts w:ascii="Arial" w:hAnsi="Arial" w:cs="Arial"/>
                <w:sz w:val="22"/>
                <w:szCs w:val="22"/>
              </w:rPr>
            </w:pPr>
            <w:r w:rsidRPr="00B44550">
              <w:rPr>
                <w:rFonts w:ascii="Arial" w:hAnsi="Arial" w:cs="Arial"/>
                <w:sz w:val="22"/>
                <w:szCs w:val="22"/>
              </w:rPr>
              <w:t>Sri Lanka</w:t>
            </w:r>
          </w:p>
        </w:tc>
        <w:tc>
          <w:tcPr>
            <w:tcW w:w="3871" w:type="dxa"/>
          </w:tcPr>
          <w:p w14:paraId="69054F3D" w14:textId="410BFD99" w:rsidR="006E5509" w:rsidRPr="00B44550" w:rsidRDefault="006E5509" w:rsidP="00EF7B41">
            <w:pPr>
              <w:rPr>
                <w:rFonts w:ascii="Arial" w:hAnsi="Arial" w:cs="Arial"/>
                <w:sz w:val="22"/>
                <w:szCs w:val="22"/>
              </w:rPr>
            </w:pPr>
            <w:r w:rsidRPr="00B44550">
              <w:rPr>
                <w:rFonts w:ascii="Arial" w:hAnsi="Arial" w:cs="Arial"/>
                <w:sz w:val="22"/>
                <w:szCs w:val="22"/>
              </w:rPr>
              <w:t>ML3</w:t>
            </w:r>
          </w:p>
        </w:tc>
      </w:tr>
      <w:tr w:rsidR="006E5509" w:rsidRPr="00B44550" w14:paraId="21C49A4B" w14:textId="77777777" w:rsidTr="00B97D51">
        <w:trPr>
          <w:trHeight w:val="245"/>
        </w:trPr>
        <w:tc>
          <w:tcPr>
            <w:tcW w:w="4135" w:type="dxa"/>
          </w:tcPr>
          <w:p w14:paraId="14DE1F24" w14:textId="0E5FF190" w:rsidR="006E5509" w:rsidRPr="00B44550" w:rsidRDefault="006E5509" w:rsidP="00EF7B41">
            <w:pPr>
              <w:rPr>
                <w:rFonts w:ascii="Arial" w:hAnsi="Arial" w:cs="Arial"/>
                <w:sz w:val="22"/>
                <w:szCs w:val="22"/>
              </w:rPr>
            </w:pPr>
            <w:r w:rsidRPr="00B44550">
              <w:rPr>
                <w:rFonts w:ascii="Arial" w:hAnsi="Arial" w:cs="Arial"/>
                <w:sz w:val="22"/>
                <w:szCs w:val="22"/>
              </w:rPr>
              <w:t>Taiwan</w:t>
            </w:r>
          </w:p>
        </w:tc>
        <w:tc>
          <w:tcPr>
            <w:tcW w:w="3871" w:type="dxa"/>
          </w:tcPr>
          <w:p w14:paraId="285D63A6" w14:textId="11C2CB47" w:rsidR="006E5509" w:rsidRPr="00B44550" w:rsidRDefault="006E5509" w:rsidP="00EF7B41">
            <w:pPr>
              <w:rPr>
                <w:rFonts w:ascii="Arial" w:hAnsi="Arial" w:cs="Arial"/>
                <w:sz w:val="22"/>
                <w:szCs w:val="22"/>
              </w:rPr>
            </w:pPr>
            <w:r w:rsidRPr="00B44550">
              <w:rPr>
                <w:rFonts w:ascii="Arial" w:hAnsi="Arial" w:cs="Arial"/>
                <w:sz w:val="22"/>
                <w:szCs w:val="22"/>
              </w:rPr>
              <w:t>ML13</w:t>
            </w:r>
          </w:p>
        </w:tc>
      </w:tr>
      <w:tr w:rsidR="006E5509" w:rsidRPr="00B44550" w14:paraId="401CEEAD" w14:textId="77777777" w:rsidTr="00B97D51">
        <w:trPr>
          <w:trHeight w:val="245"/>
        </w:trPr>
        <w:tc>
          <w:tcPr>
            <w:tcW w:w="4135" w:type="dxa"/>
          </w:tcPr>
          <w:p w14:paraId="1CDB69F2" w14:textId="30FD3CC3" w:rsidR="006E5509" w:rsidRPr="00B44550" w:rsidRDefault="006E5509" w:rsidP="00EF7B41">
            <w:pPr>
              <w:rPr>
                <w:rFonts w:ascii="Arial" w:hAnsi="Arial" w:cs="Arial"/>
                <w:sz w:val="22"/>
                <w:szCs w:val="22"/>
              </w:rPr>
            </w:pPr>
            <w:r w:rsidRPr="00B44550">
              <w:rPr>
                <w:rFonts w:ascii="Arial" w:hAnsi="Arial" w:cs="Arial"/>
                <w:sz w:val="22"/>
                <w:szCs w:val="22"/>
              </w:rPr>
              <w:t>Thailand</w:t>
            </w:r>
          </w:p>
        </w:tc>
        <w:tc>
          <w:tcPr>
            <w:tcW w:w="3871" w:type="dxa"/>
          </w:tcPr>
          <w:p w14:paraId="287C357E" w14:textId="05624998" w:rsidR="006E5509" w:rsidRPr="00B44550" w:rsidRDefault="006E5509" w:rsidP="00EF7B41">
            <w:pPr>
              <w:rPr>
                <w:rFonts w:ascii="Arial" w:hAnsi="Arial" w:cs="Arial"/>
                <w:sz w:val="22"/>
                <w:szCs w:val="22"/>
              </w:rPr>
            </w:pPr>
            <w:r w:rsidRPr="00B44550">
              <w:rPr>
                <w:rFonts w:ascii="Arial" w:hAnsi="Arial" w:cs="Arial"/>
                <w:sz w:val="22"/>
                <w:szCs w:val="22"/>
              </w:rPr>
              <w:t>ML3</w:t>
            </w:r>
            <w:r w:rsidR="00DE7A3F" w:rsidRPr="00B44550">
              <w:rPr>
                <w:rFonts w:ascii="Arial" w:hAnsi="Arial" w:cs="Arial"/>
                <w:sz w:val="22"/>
                <w:szCs w:val="22"/>
              </w:rPr>
              <w:t>,</w:t>
            </w:r>
            <w:r w:rsidRPr="00B44550">
              <w:rPr>
                <w:rFonts w:ascii="Arial" w:hAnsi="Arial" w:cs="Arial"/>
                <w:sz w:val="22"/>
                <w:szCs w:val="22"/>
              </w:rPr>
              <w:t>13</w:t>
            </w:r>
          </w:p>
        </w:tc>
      </w:tr>
      <w:tr w:rsidR="006E5509" w:rsidRPr="00B44550" w14:paraId="6FBAE52A" w14:textId="77777777" w:rsidTr="00B97D51">
        <w:trPr>
          <w:trHeight w:val="245"/>
        </w:trPr>
        <w:tc>
          <w:tcPr>
            <w:tcW w:w="4135" w:type="dxa"/>
          </w:tcPr>
          <w:p w14:paraId="7F0015CE" w14:textId="6FF68214" w:rsidR="006E5509" w:rsidRPr="00B44550" w:rsidRDefault="006E5509" w:rsidP="00EF7B41">
            <w:pPr>
              <w:rPr>
                <w:rFonts w:ascii="Arial" w:hAnsi="Arial" w:cs="Arial"/>
                <w:sz w:val="22"/>
                <w:szCs w:val="22"/>
              </w:rPr>
            </w:pPr>
            <w:r w:rsidRPr="00B44550">
              <w:rPr>
                <w:rFonts w:ascii="Arial" w:hAnsi="Arial" w:cs="Arial"/>
                <w:sz w:val="22"/>
                <w:szCs w:val="22"/>
              </w:rPr>
              <w:t>Turkey</w:t>
            </w:r>
          </w:p>
        </w:tc>
        <w:tc>
          <w:tcPr>
            <w:tcW w:w="3871" w:type="dxa"/>
          </w:tcPr>
          <w:p w14:paraId="41518728" w14:textId="5EE922FD" w:rsidR="006E5509" w:rsidRPr="00B44550" w:rsidRDefault="006E5509" w:rsidP="00EF7B41">
            <w:pPr>
              <w:rPr>
                <w:rFonts w:ascii="Arial" w:hAnsi="Arial" w:cs="Arial"/>
                <w:sz w:val="22"/>
                <w:szCs w:val="22"/>
              </w:rPr>
            </w:pPr>
            <w:r w:rsidRPr="00B44550">
              <w:rPr>
                <w:rFonts w:ascii="Arial" w:hAnsi="Arial" w:cs="Arial"/>
                <w:sz w:val="22"/>
                <w:szCs w:val="22"/>
              </w:rPr>
              <w:t>ML13</w:t>
            </w:r>
          </w:p>
        </w:tc>
      </w:tr>
      <w:tr w:rsidR="006E5509" w:rsidRPr="00B44550" w14:paraId="37D4B889" w14:textId="77777777" w:rsidTr="00B97D51">
        <w:trPr>
          <w:trHeight w:val="245"/>
        </w:trPr>
        <w:tc>
          <w:tcPr>
            <w:tcW w:w="4135" w:type="dxa"/>
          </w:tcPr>
          <w:p w14:paraId="74618800" w14:textId="76B83988" w:rsidR="006E5509" w:rsidRPr="00B44550" w:rsidRDefault="006E5509" w:rsidP="00EF7B41">
            <w:pPr>
              <w:rPr>
                <w:rFonts w:ascii="Arial" w:hAnsi="Arial" w:cs="Arial"/>
                <w:sz w:val="22"/>
                <w:szCs w:val="22"/>
              </w:rPr>
            </w:pPr>
            <w:r w:rsidRPr="00B44550">
              <w:rPr>
                <w:rFonts w:ascii="Arial" w:hAnsi="Arial" w:cs="Arial"/>
                <w:sz w:val="22"/>
                <w:szCs w:val="22"/>
              </w:rPr>
              <w:t>Turkmenistan</w:t>
            </w:r>
          </w:p>
        </w:tc>
        <w:tc>
          <w:tcPr>
            <w:tcW w:w="3871" w:type="dxa"/>
          </w:tcPr>
          <w:p w14:paraId="5CAB6F2B" w14:textId="65231A9A" w:rsidR="006E5509" w:rsidRPr="00B44550" w:rsidRDefault="006E5509" w:rsidP="00EF7B41">
            <w:pPr>
              <w:rPr>
                <w:rFonts w:ascii="Arial" w:hAnsi="Arial" w:cs="Arial"/>
                <w:sz w:val="22"/>
                <w:szCs w:val="22"/>
              </w:rPr>
            </w:pPr>
            <w:r w:rsidRPr="00B44550">
              <w:rPr>
                <w:rFonts w:ascii="Arial" w:hAnsi="Arial" w:cs="Arial"/>
                <w:sz w:val="22"/>
                <w:szCs w:val="22"/>
              </w:rPr>
              <w:t>ML1</w:t>
            </w:r>
            <w:r w:rsidR="00DE7A3F" w:rsidRPr="00B44550">
              <w:rPr>
                <w:rFonts w:ascii="Arial" w:hAnsi="Arial" w:cs="Arial"/>
                <w:sz w:val="22"/>
                <w:szCs w:val="22"/>
              </w:rPr>
              <w:t xml:space="preserve">, </w:t>
            </w:r>
            <w:r w:rsidRPr="00B44550">
              <w:rPr>
                <w:rFonts w:ascii="Arial" w:hAnsi="Arial" w:cs="Arial"/>
                <w:sz w:val="22"/>
                <w:szCs w:val="22"/>
              </w:rPr>
              <w:t>5</w:t>
            </w:r>
            <w:r w:rsidR="00DE7A3F" w:rsidRPr="00B44550">
              <w:rPr>
                <w:rFonts w:ascii="Arial" w:hAnsi="Arial" w:cs="Arial"/>
                <w:sz w:val="22"/>
                <w:szCs w:val="22"/>
              </w:rPr>
              <w:t xml:space="preserve">, </w:t>
            </w:r>
            <w:r w:rsidRPr="00B44550">
              <w:rPr>
                <w:rFonts w:ascii="Arial" w:hAnsi="Arial" w:cs="Arial"/>
                <w:sz w:val="22"/>
                <w:szCs w:val="22"/>
              </w:rPr>
              <w:t>10</w:t>
            </w:r>
          </w:p>
        </w:tc>
      </w:tr>
      <w:tr w:rsidR="006E5509" w:rsidRPr="00B44550" w14:paraId="16AB8C9E" w14:textId="77777777" w:rsidTr="00B97D51">
        <w:trPr>
          <w:trHeight w:val="245"/>
        </w:trPr>
        <w:tc>
          <w:tcPr>
            <w:tcW w:w="4135" w:type="dxa"/>
          </w:tcPr>
          <w:p w14:paraId="567679E4" w14:textId="4E3E360E" w:rsidR="006E5509" w:rsidRPr="00B44550" w:rsidRDefault="006E5509" w:rsidP="00EF7B41">
            <w:pPr>
              <w:rPr>
                <w:rFonts w:ascii="Arial" w:hAnsi="Arial" w:cs="Arial"/>
                <w:sz w:val="22"/>
                <w:szCs w:val="22"/>
              </w:rPr>
            </w:pPr>
            <w:r w:rsidRPr="00B44550">
              <w:rPr>
                <w:rFonts w:ascii="Arial" w:hAnsi="Arial" w:cs="Arial"/>
                <w:sz w:val="22"/>
                <w:szCs w:val="22"/>
              </w:rPr>
              <w:t>United Arab Emirates</w:t>
            </w:r>
          </w:p>
        </w:tc>
        <w:tc>
          <w:tcPr>
            <w:tcW w:w="3871" w:type="dxa"/>
          </w:tcPr>
          <w:p w14:paraId="1A2EF64C" w14:textId="43AC9AD1" w:rsidR="006E5509" w:rsidRPr="00B44550" w:rsidRDefault="006E5509" w:rsidP="00EF7B41">
            <w:pPr>
              <w:rPr>
                <w:rFonts w:ascii="Arial" w:hAnsi="Arial" w:cs="Arial"/>
                <w:sz w:val="22"/>
                <w:szCs w:val="22"/>
              </w:rPr>
            </w:pPr>
            <w:r w:rsidRPr="00B44550">
              <w:rPr>
                <w:rFonts w:ascii="Arial" w:hAnsi="Arial" w:cs="Arial"/>
                <w:sz w:val="22"/>
                <w:szCs w:val="22"/>
              </w:rPr>
              <w:t>ML1</w:t>
            </w:r>
          </w:p>
        </w:tc>
      </w:tr>
    </w:tbl>
    <w:p w14:paraId="6C3F5398" w14:textId="350EAD94" w:rsidR="009C5C9F" w:rsidRPr="00B44550" w:rsidRDefault="009C5C9F" w:rsidP="00EF7B41">
      <w:pPr>
        <w:rPr>
          <w:rFonts w:ascii="Arial" w:hAnsi="Arial" w:cs="Arial"/>
          <w:sz w:val="22"/>
          <w:szCs w:val="22"/>
        </w:rPr>
      </w:pPr>
    </w:p>
    <w:p w14:paraId="4A3978EA" w14:textId="77777777" w:rsidR="009A2C68" w:rsidRPr="00B44550" w:rsidRDefault="009A2C68" w:rsidP="00EF7B41">
      <w:pPr>
        <w:rPr>
          <w:rFonts w:ascii="Arial" w:hAnsi="Arial" w:cs="Arial"/>
          <w:sz w:val="22"/>
          <w:szCs w:val="22"/>
        </w:rPr>
      </w:pPr>
    </w:p>
    <w:p w14:paraId="19E087B8" w14:textId="77777777" w:rsidR="009A2C68" w:rsidRPr="00B44550" w:rsidRDefault="009A2C68" w:rsidP="00EF7B41">
      <w:pPr>
        <w:rPr>
          <w:rFonts w:ascii="Arial" w:hAnsi="Arial" w:cs="Arial"/>
          <w:sz w:val="22"/>
          <w:szCs w:val="22"/>
        </w:rPr>
      </w:pPr>
    </w:p>
    <w:p w14:paraId="3030363E" w14:textId="57CE22A2" w:rsidR="00EF7B41" w:rsidRPr="00B44550" w:rsidRDefault="00EF3BF8" w:rsidP="006E5509">
      <w:pPr>
        <w:rPr>
          <w:rFonts w:ascii="Arial" w:hAnsi="Arial" w:cs="Arial"/>
          <w:b/>
          <w:sz w:val="22"/>
          <w:szCs w:val="22"/>
        </w:rPr>
      </w:pPr>
      <w:r>
        <w:rPr>
          <w:rFonts w:ascii="Arial" w:hAnsi="Arial" w:cs="Arial"/>
          <w:b/>
          <w:sz w:val="22"/>
          <w:szCs w:val="22"/>
        </w:rPr>
        <w:t xml:space="preserve">Question 5: </w:t>
      </w:r>
      <w:r w:rsidR="00EF7B41" w:rsidRPr="00B44550">
        <w:rPr>
          <w:rFonts w:ascii="Arial" w:hAnsi="Arial" w:cs="Arial"/>
          <w:b/>
          <w:sz w:val="22"/>
          <w:szCs w:val="22"/>
        </w:rPr>
        <w:t>Are you aware of a refusal or refusals by a government to authorise a proposed arms transfer on the grounds of the risk of diversion of the arms?</w:t>
      </w:r>
    </w:p>
    <w:p w14:paraId="55ABC175" w14:textId="77777777" w:rsidR="00514510" w:rsidRPr="00B44550" w:rsidRDefault="00514510" w:rsidP="00EF7B41">
      <w:pPr>
        <w:rPr>
          <w:rFonts w:ascii="Arial" w:hAnsi="Arial" w:cs="Arial"/>
          <w:sz w:val="22"/>
          <w:szCs w:val="22"/>
        </w:rPr>
      </w:pPr>
    </w:p>
    <w:p w14:paraId="03EEDCA4" w14:textId="38AB751E" w:rsidR="00B44550" w:rsidRPr="00B44550" w:rsidRDefault="00B44550" w:rsidP="00B44550">
      <w:pPr>
        <w:pStyle w:val="ListParagraph"/>
        <w:numPr>
          <w:ilvl w:val="0"/>
          <w:numId w:val="10"/>
        </w:numPr>
        <w:rPr>
          <w:rFonts w:ascii="Arial" w:hAnsi="Arial" w:cs="Arial"/>
          <w:sz w:val="22"/>
          <w:szCs w:val="22"/>
        </w:rPr>
      </w:pPr>
      <w:r w:rsidRPr="00B44550">
        <w:rPr>
          <w:rFonts w:ascii="Arial" w:hAnsi="Arial" w:cs="Arial"/>
          <w:sz w:val="22"/>
          <w:szCs w:val="22"/>
        </w:rPr>
        <w:t>Artic</w:t>
      </w:r>
      <w:r w:rsidR="00212D13">
        <w:rPr>
          <w:rFonts w:ascii="Arial" w:hAnsi="Arial" w:cs="Arial"/>
          <w:sz w:val="22"/>
          <w:szCs w:val="22"/>
        </w:rPr>
        <w:t xml:space="preserve">le 11 of the ATT requires that </w:t>
      </w:r>
      <w:r w:rsidR="00212D13" w:rsidRPr="00212D13">
        <w:rPr>
          <w:rFonts w:ascii="Arial" w:hAnsi="Arial" w:cs="Arial"/>
          <w:i/>
          <w:sz w:val="22"/>
          <w:szCs w:val="22"/>
        </w:rPr>
        <w:t>“</w:t>
      </w:r>
      <w:r w:rsidRPr="00212D13">
        <w:rPr>
          <w:rFonts w:ascii="Arial" w:hAnsi="Arial" w:cs="Arial"/>
          <w:i/>
          <w:sz w:val="22"/>
          <w:szCs w:val="22"/>
        </w:rPr>
        <w:t>Each State Party involved in the transfer of conventional arms covered under Article 2(1) shall take measures to prevent their diversion.”</w:t>
      </w:r>
      <w:r w:rsidRPr="00B44550">
        <w:rPr>
          <w:rFonts w:ascii="Arial" w:hAnsi="Arial" w:cs="Arial"/>
          <w:sz w:val="22"/>
          <w:szCs w:val="22"/>
        </w:rPr>
        <w:t xml:space="preserve"> The ATT establishes that all States have a shared responsibility to prevent diversion, and contains obligations for countries involved throughout the transfer supply chain.</w:t>
      </w:r>
      <w:r w:rsidRPr="00B44550">
        <w:rPr>
          <w:rStyle w:val="FootnoteReference"/>
          <w:rFonts w:ascii="Arial" w:hAnsi="Arial" w:cs="Arial"/>
          <w:sz w:val="22"/>
          <w:szCs w:val="22"/>
        </w:rPr>
        <w:footnoteReference w:id="14"/>
      </w:r>
      <w:r w:rsidRPr="00B44550">
        <w:rPr>
          <w:rFonts w:ascii="Arial" w:hAnsi="Arial" w:cs="Arial"/>
          <w:sz w:val="22"/>
          <w:szCs w:val="22"/>
        </w:rPr>
        <w:t xml:space="preserve"> Exporting States Parties are required to assess the risk of diversion of an export, and consider mitigation measures that can be jointly implemented together with the importing State. During any assessment of diversion risks, exporting State Parties should question if the proposed export is consistent with the types of weapons already in the possession </w:t>
      </w:r>
      <w:r w:rsidR="00A9586D">
        <w:rPr>
          <w:rFonts w:ascii="Arial" w:hAnsi="Arial" w:cs="Arial"/>
          <w:sz w:val="22"/>
          <w:szCs w:val="22"/>
        </w:rPr>
        <w:t>of</w:t>
      </w:r>
      <w:r w:rsidRPr="00B44550">
        <w:rPr>
          <w:rFonts w:ascii="Arial" w:hAnsi="Arial" w:cs="Arial"/>
          <w:sz w:val="22"/>
          <w:szCs w:val="22"/>
        </w:rPr>
        <w:t xml:space="preserve"> the intended recipient, or consistent with the size and nature of its security forces. If there is a significant possibility of diversion, States also have the option to deny or cancel the transfer.</w:t>
      </w:r>
      <w:r w:rsidRPr="00B44550">
        <w:rPr>
          <w:rStyle w:val="FootnoteReference"/>
          <w:rFonts w:ascii="Arial" w:hAnsi="Arial" w:cs="Arial"/>
          <w:sz w:val="22"/>
          <w:szCs w:val="22"/>
        </w:rPr>
        <w:footnoteReference w:id="15"/>
      </w:r>
      <w:r w:rsidRPr="00B44550">
        <w:rPr>
          <w:rFonts w:ascii="Arial" w:hAnsi="Arial" w:cs="Arial"/>
          <w:sz w:val="22"/>
          <w:szCs w:val="22"/>
        </w:rPr>
        <w:t xml:space="preserve"> The ATT also calls on States Parties to report on measures that have proven effective in addressing diversion. This reporting mechanism has not yet been developed. </w:t>
      </w:r>
    </w:p>
    <w:p w14:paraId="7D932364" w14:textId="77777777" w:rsidR="00B44550" w:rsidRPr="00B44550" w:rsidRDefault="00B44550" w:rsidP="00B44550">
      <w:pPr>
        <w:pStyle w:val="ListParagraph"/>
        <w:rPr>
          <w:rFonts w:ascii="Arial" w:hAnsi="Arial" w:cs="Arial"/>
          <w:sz w:val="22"/>
          <w:szCs w:val="22"/>
        </w:rPr>
      </w:pPr>
    </w:p>
    <w:p w14:paraId="07D0871A" w14:textId="24B8CDAD" w:rsidR="00514510" w:rsidRPr="00B44550" w:rsidRDefault="006D1FFD" w:rsidP="00192E22">
      <w:pPr>
        <w:pStyle w:val="ListParagraph"/>
        <w:numPr>
          <w:ilvl w:val="0"/>
          <w:numId w:val="10"/>
        </w:numPr>
        <w:rPr>
          <w:rFonts w:ascii="Arial" w:hAnsi="Arial" w:cs="Arial"/>
          <w:sz w:val="22"/>
          <w:szCs w:val="22"/>
        </w:rPr>
      </w:pPr>
      <w:r w:rsidRPr="00B44550">
        <w:rPr>
          <w:rFonts w:ascii="Arial" w:hAnsi="Arial" w:cs="Arial"/>
          <w:sz w:val="22"/>
          <w:szCs w:val="22"/>
        </w:rPr>
        <w:t>EU Member States also report on denials if there is a risk that technology or equipment will be diverted within the buyer country or re-exported under undesirable conditions (Criterion Seven of the EU Com</w:t>
      </w:r>
      <w:r w:rsidR="00B31CF7">
        <w:rPr>
          <w:rFonts w:ascii="Arial" w:hAnsi="Arial" w:cs="Arial"/>
          <w:sz w:val="22"/>
          <w:szCs w:val="22"/>
        </w:rPr>
        <w:t xml:space="preserve">mon Position). </w:t>
      </w:r>
      <w:r w:rsidR="00192E22" w:rsidRPr="00B44550">
        <w:rPr>
          <w:rFonts w:ascii="Arial" w:hAnsi="Arial" w:cs="Arial"/>
          <w:sz w:val="22"/>
          <w:szCs w:val="22"/>
        </w:rPr>
        <w:t xml:space="preserve">In 2014, </w:t>
      </w:r>
      <w:r w:rsidR="00B31CF7">
        <w:rPr>
          <w:rFonts w:ascii="Arial" w:hAnsi="Arial" w:cs="Arial"/>
          <w:sz w:val="22"/>
          <w:szCs w:val="22"/>
        </w:rPr>
        <w:t>the EU reports</w:t>
      </w:r>
      <w:r w:rsidR="00192E22" w:rsidRPr="00B44550">
        <w:rPr>
          <w:rFonts w:ascii="Arial" w:hAnsi="Arial" w:cs="Arial"/>
          <w:sz w:val="22"/>
          <w:szCs w:val="22"/>
        </w:rPr>
        <w:t xml:space="preserve"> </w:t>
      </w:r>
      <w:r w:rsidR="00B31CF7">
        <w:rPr>
          <w:rFonts w:ascii="Arial" w:hAnsi="Arial" w:cs="Arial"/>
          <w:sz w:val="22"/>
          <w:szCs w:val="22"/>
        </w:rPr>
        <w:t xml:space="preserve">a total of </w:t>
      </w:r>
      <w:r w:rsidR="00192E22" w:rsidRPr="00B44550">
        <w:rPr>
          <w:rFonts w:ascii="Arial" w:hAnsi="Arial" w:cs="Arial"/>
          <w:sz w:val="22"/>
          <w:szCs w:val="22"/>
        </w:rPr>
        <w:t>11</w:t>
      </w:r>
      <w:r w:rsidR="00B91A94" w:rsidRPr="00B44550">
        <w:rPr>
          <w:rFonts w:ascii="Arial" w:hAnsi="Arial" w:cs="Arial"/>
          <w:sz w:val="22"/>
          <w:szCs w:val="22"/>
        </w:rPr>
        <w:t>7</w:t>
      </w:r>
      <w:r w:rsidR="00192E22" w:rsidRPr="00B44550">
        <w:rPr>
          <w:rFonts w:ascii="Arial" w:hAnsi="Arial" w:cs="Arial"/>
          <w:sz w:val="22"/>
          <w:szCs w:val="22"/>
        </w:rPr>
        <w:t xml:space="preserve"> license denials on diversion grounds</w:t>
      </w:r>
      <w:r w:rsidR="00B31CF7">
        <w:rPr>
          <w:rFonts w:ascii="Arial" w:hAnsi="Arial" w:cs="Arial"/>
          <w:sz w:val="22"/>
          <w:szCs w:val="22"/>
        </w:rPr>
        <w:t>, although data disaggregated by country suggest there were 126 total Criterion 7 denials (see Table 3 below)</w:t>
      </w:r>
      <w:r w:rsidR="00192E22" w:rsidRPr="00B44550">
        <w:rPr>
          <w:rFonts w:ascii="Arial" w:hAnsi="Arial" w:cs="Arial"/>
          <w:sz w:val="22"/>
          <w:szCs w:val="22"/>
        </w:rPr>
        <w:t xml:space="preserve">. </w:t>
      </w:r>
      <w:r w:rsidR="00B31CF7">
        <w:rPr>
          <w:rFonts w:ascii="Arial" w:hAnsi="Arial" w:cs="Arial"/>
          <w:sz w:val="22"/>
          <w:szCs w:val="22"/>
        </w:rPr>
        <w:t>It is likely that some of these refusals are on the grounds that the items once diverted risk being used in serious violations of human rights. Countries do not elaborate on the reasons for diversion denials but should do so in order that other exporting countries may be better informed in their own export decision-making.</w:t>
      </w:r>
      <w:r w:rsidR="00A9586D">
        <w:rPr>
          <w:rFonts w:ascii="Arial" w:hAnsi="Arial" w:cs="Arial"/>
          <w:sz w:val="22"/>
          <w:szCs w:val="22"/>
        </w:rPr>
        <w:t xml:space="preserve"> </w:t>
      </w:r>
    </w:p>
    <w:p w14:paraId="07E79E4E" w14:textId="66FF80F8" w:rsidR="00192E22" w:rsidRPr="00B44550" w:rsidRDefault="00192E22" w:rsidP="00192E22">
      <w:pPr>
        <w:pStyle w:val="ListParagraph"/>
        <w:rPr>
          <w:rFonts w:ascii="Arial" w:hAnsi="Arial" w:cs="Arial"/>
          <w:sz w:val="22"/>
          <w:szCs w:val="22"/>
        </w:rPr>
      </w:pPr>
    </w:p>
    <w:p w14:paraId="66FE201E" w14:textId="70E19F7B" w:rsidR="00192E22" w:rsidRPr="00B44550" w:rsidRDefault="00192E22" w:rsidP="00192E22">
      <w:pPr>
        <w:pStyle w:val="ListParagraph"/>
        <w:numPr>
          <w:ilvl w:val="0"/>
          <w:numId w:val="10"/>
        </w:numPr>
        <w:rPr>
          <w:rFonts w:ascii="Arial" w:hAnsi="Arial" w:cs="Arial"/>
          <w:sz w:val="22"/>
          <w:szCs w:val="22"/>
        </w:rPr>
      </w:pPr>
      <w:r w:rsidRPr="00B44550">
        <w:rPr>
          <w:rFonts w:ascii="Arial" w:hAnsi="Arial" w:cs="Arial"/>
          <w:sz w:val="22"/>
          <w:szCs w:val="22"/>
        </w:rPr>
        <w:lastRenderedPageBreak/>
        <w:t xml:space="preserve">Austria, Belgium, Bulgaria, Czech Republic, Estonia, Finland, France, Germany, Greece, Lithuania, Malta, Netherlands, Portugal, Sweden, and the UK all denied license applications under Criterion Seven (see </w:t>
      </w:r>
      <w:r w:rsidR="00B31CF7">
        <w:rPr>
          <w:rFonts w:ascii="Arial" w:hAnsi="Arial" w:cs="Arial"/>
          <w:sz w:val="22"/>
          <w:szCs w:val="22"/>
        </w:rPr>
        <w:t>Table 3</w:t>
      </w:r>
      <w:r w:rsidRPr="00B44550">
        <w:rPr>
          <w:rFonts w:ascii="Arial" w:hAnsi="Arial" w:cs="Arial"/>
          <w:sz w:val="22"/>
          <w:szCs w:val="22"/>
        </w:rPr>
        <w:t xml:space="preserve">). </w:t>
      </w:r>
    </w:p>
    <w:p w14:paraId="1F55FB2A" w14:textId="77777777" w:rsidR="002D27B5" w:rsidRPr="00B44550" w:rsidRDefault="002D27B5" w:rsidP="002D27B5">
      <w:pPr>
        <w:rPr>
          <w:rFonts w:ascii="Arial" w:hAnsi="Arial" w:cs="Arial"/>
          <w:sz w:val="22"/>
          <w:szCs w:val="22"/>
        </w:rPr>
      </w:pPr>
    </w:p>
    <w:p w14:paraId="74C8FA25" w14:textId="55A73E3F" w:rsidR="00192E22" w:rsidRPr="00EF3BF8" w:rsidRDefault="00A9586D" w:rsidP="00192E22">
      <w:pPr>
        <w:pStyle w:val="ListParagraph"/>
        <w:numPr>
          <w:ilvl w:val="0"/>
          <w:numId w:val="10"/>
        </w:numPr>
        <w:rPr>
          <w:rFonts w:ascii="Arial" w:hAnsi="Arial" w:cs="Arial"/>
          <w:sz w:val="22"/>
          <w:szCs w:val="22"/>
        </w:rPr>
      </w:pPr>
      <w:r w:rsidRPr="00B44550">
        <w:rPr>
          <w:rFonts w:ascii="Arial" w:hAnsi="Arial" w:cs="Arial"/>
          <w:sz w:val="22"/>
          <w:szCs w:val="22"/>
        </w:rPr>
        <w:t>Control Ar</w:t>
      </w:r>
      <w:r>
        <w:rPr>
          <w:rFonts w:ascii="Arial" w:hAnsi="Arial" w:cs="Arial"/>
          <w:sz w:val="22"/>
          <w:szCs w:val="22"/>
        </w:rPr>
        <w:t xml:space="preserve">ms’ partners, </w:t>
      </w:r>
      <w:r w:rsidRPr="00B44550">
        <w:rPr>
          <w:rFonts w:ascii="Arial" w:hAnsi="Arial" w:cs="Arial"/>
          <w:sz w:val="22"/>
          <w:szCs w:val="22"/>
        </w:rPr>
        <w:t>Group for Research and Information on Peace and Security (GRIP)</w:t>
      </w:r>
      <w:r>
        <w:rPr>
          <w:rFonts w:ascii="Arial" w:hAnsi="Arial" w:cs="Arial"/>
          <w:sz w:val="22"/>
          <w:szCs w:val="22"/>
        </w:rPr>
        <w:t xml:space="preserve">, </w:t>
      </w:r>
      <w:r w:rsidRPr="00B44550">
        <w:rPr>
          <w:rFonts w:ascii="Arial" w:hAnsi="Arial" w:cs="Arial"/>
          <w:sz w:val="22"/>
          <w:szCs w:val="22"/>
        </w:rPr>
        <w:t>have produced a relevant analysis of measures taken by States to address diversion, including throug</w:t>
      </w:r>
      <w:r>
        <w:rPr>
          <w:rFonts w:ascii="Arial" w:hAnsi="Arial" w:cs="Arial"/>
          <w:sz w:val="22"/>
          <w:szCs w:val="22"/>
        </w:rPr>
        <w:t>h denial of export applications</w:t>
      </w:r>
      <w:r w:rsidR="002D27B5" w:rsidRPr="00B44550">
        <w:rPr>
          <w:rFonts w:ascii="Arial" w:hAnsi="Arial" w:cs="Arial"/>
          <w:sz w:val="22"/>
          <w:szCs w:val="22"/>
        </w:rPr>
        <w:t>.</w:t>
      </w:r>
      <w:r w:rsidR="00B44550" w:rsidRPr="00B44550">
        <w:rPr>
          <w:rStyle w:val="FootnoteReference"/>
          <w:rFonts w:ascii="Arial" w:hAnsi="Arial" w:cs="Arial"/>
          <w:sz w:val="22"/>
          <w:szCs w:val="22"/>
        </w:rPr>
        <w:footnoteReference w:id="16"/>
      </w:r>
    </w:p>
    <w:p w14:paraId="4D4F5361" w14:textId="77777777" w:rsidR="00192E22" w:rsidRPr="00192E22" w:rsidRDefault="00192E22" w:rsidP="00192E22">
      <w:pPr>
        <w:rPr>
          <w:rFonts w:ascii="Arial" w:hAnsi="Arial" w:cs="Arial"/>
          <w:sz w:val="22"/>
          <w:szCs w:val="22"/>
        </w:rPr>
      </w:pPr>
    </w:p>
    <w:p w14:paraId="6113BD3A" w14:textId="48EC5654" w:rsidR="00192E22" w:rsidRDefault="00B31CF7" w:rsidP="00192E22">
      <w:pPr>
        <w:rPr>
          <w:rFonts w:ascii="Arial" w:hAnsi="Arial" w:cs="Arial"/>
          <w:sz w:val="22"/>
          <w:szCs w:val="22"/>
        </w:rPr>
      </w:pPr>
      <w:r w:rsidRPr="00EF3BF8">
        <w:rPr>
          <w:rFonts w:ascii="Arial" w:hAnsi="Arial" w:cs="Arial"/>
          <w:b/>
          <w:sz w:val="22"/>
          <w:szCs w:val="22"/>
        </w:rPr>
        <w:t xml:space="preserve">Table </w:t>
      </w:r>
      <w:r w:rsidR="00EF3BF8" w:rsidRPr="00EF3BF8">
        <w:rPr>
          <w:rFonts w:ascii="Arial" w:hAnsi="Arial" w:cs="Arial"/>
          <w:b/>
          <w:sz w:val="22"/>
          <w:szCs w:val="22"/>
        </w:rPr>
        <w:t>4:</w:t>
      </w:r>
      <w:r w:rsidR="00EF3BF8">
        <w:rPr>
          <w:rFonts w:ascii="Arial" w:hAnsi="Arial" w:cs="Arial"/>
          <w:sz w:val="22"/>
          <w:szCs w:val="22"/>
        </w:rPr>
        <w:t xml:space="preserve"> </w:t>
      </w:r>
      <w:r w:rsidR="00EF3BF8" w:rsidRPr="00B44550">
        <w:rPr>
          <w:rFonts w:ascii="Arial" w:hAnsi="Arial" w:cs="Arial"/>
          <w:b/>
          <w:sz w:val="22"/>
          <w:szCs w:val="22"/>
        </w:rPr>
        <w:t xml:space="preserve">License denials on </w:t>
      </w:r>
      <w:r w:rsidR="00EF3BF8">
        <w:rPr>
          <w:rFonts w:ascii="Arial" w:hAnsi="Arial" w:cs="Arial"/>
          <w:b/>
          <w:sz w:val="22"/>
          <w:szCs w:val="22"/>
        </w:rPr>
        <w:t>diversion grounds (Criterion 7)</w:t>
      </w:r>
      <w:r w:rsidR="00EF3BF8" w:rsidRPr="00B44550">
        <w:rPr>
          <w:rFonts w:ascii="Arial" w:hAnsi="Arial" w:cs="Arial"/>
          <w:b/>
          <w:sz w:val="22"/>
          <w:szCs w:val="22"/>
        </w:rPr>
        <w:t xml:space="preserve"> by EU arms exporters (2014)</w:t>
      </w:r>
      <w:r>
        <w:rPr>
          <w:rFonts w:ascii="Arial" w:hAnsi="Arial" w:cs="Arial"/>
          <w:sz w:val="22"/>
          <w:szCs w:val="22"/>
        </w:rPr>
        <w:t xml:space="preserve"> </w:t>
      </w:r>
    </w:p>
    <w:tbl>
      <w:tblPr>
        <w:tblStyle w:val="TableGrid"/>
        <w:tblW w:w="0" w:type="auto"/>
        <w:tblLook w:val="04A0" w:firstRow="1" w:lastRow="0" w:firstColumn="1" w:lastColumn="0" w:noHBand="0" w:noVBand="1"/>
      </w:tblPr>
      <w:tblGrid>
        <w:gridCol w:w="2838"/>
        <w:gridCol w:w="2839"/>
        <w:gridCol w:w="2839"/>
      </w:tblGrid>
      <w:tr w:rsidR="00C00544" w14:paraId="1D5A93D1" w14:textId="77777777" w:rsidTr="00C00544">
        <w:tc>
          <w:tcPr>
            <w:tcW w:w="2838" w:type="dxa"/>
          </w:tcPr>
          <w:p w14:paraId="4368DB27" w14:textId="44EAF567" w:rsidR="00C00544" w:rsidRPr="00C00544" w:rsidRDefault="00C00544" w:rsidP="00192E22">
            <w:pPr>
              <w:rPr>
                <w:rFonts w:ascii="Arial" w:hAnsi="Arial" w:cs="Arial"/>
                <w:b/>
                <w:sz w:val="22"/>
                <w:szCs w:val="22"/>
              </w:rPr>
            </w:pPr>
            <w:r w:rsidRPr="00C00544">
              <w:rPr>
                <w:rFonts w:ascii="Arial" w:hAnsi="Arial" w:cs="Arial"/>
                <w:b/>
                <w:sz w:val="22"/>
                <w:szCs w:val="22"/>
              </w:rPr>
              <w:t>Country</w:t>
            </w:r>
          </w:p>
        </w:tc>
        <w:tc>
          <w:tcPr>
            <w:tcW w:w="2839" w:type="dxa"/>
          </w:tcPr>
          <w:p w14:paraId="28AC346C" w14:textId="1B966B68" w:rsidR="00C00544" w:rsidRPr="00C00544" w:rsidRDefault="00C00544" w:rsidP="00192E22">
            <w:pPr>
              <w:rPr>
                <w:rFonts w:ascii="Arial" w:hAnsi="Arial" w:cs="Arial"/>
                <w:b/>
                <w:sz w:val="22"/>
                <w:szCs w:val="22"/>
              </w:rPr>
            </w:pPr>
            <w:r w:rsidRPr="00C00544">
              <w:rPr>
                <w:rFonts w:ascii="Arial" w:hAnsi="Arial" w:cs="Arial"/>
                <w:b/>
                <w:sz w:val="22"/>
                <w:szCs w:val="22"/>
              </w:rPr>
              <w:t>License denials under Criterion 7 (2014)</w:t>
            </w:r>
          </w:p>
        </w:tc>
        <w:tc>
          <w:tcPr>
            <w:tcW w:w="2839" w:type="dxa"/>
          </w:tcPr>
          <w:p w14:paraId="7163D11F" w14:textId="74A34301" w:rsidR="00C00544" w:rsidRPr="00C00544" w:rsidRDefault="00C00544" w:rsidP="00192E22">
            <w:pPr>
              <w:rPr>
                <w:rFonts w:ascii="Arial" w:hAnsi="Arial" w:cs="Arial"/>
                <w:b/>
                <w:sz w:val="22"/>
                <w:szCs w:val="22"/>
              </w:rPr>
            </w:pPr>
            <w:r w:rsidRPr="00C00544">
              <w:rPr>
                <w:rFonts w:ascii="Arial" w:hAnsi="Arial" w:cs="Arial"/>
                <w:b/>
                <w:sz w:val="22"/>
                <w:szCs w:val="22"/>
              </w:rPr>
              <w:t>Military List Categories</w:t>
            </w:r>
          </w:p>
        </w:tc>
      </w:tr>
      <w:tr w:rsidR="00C00544" w14:paraId="352F37B2" w14:textId="77777777" w:rsidTr="00C00544">
        <w:tc>
          <w:tcPr>
            <w:tcW w:w="2838" w:type="dxa"/>
          </w:tcPr>
          <w:p w14:paraId="36E56EA6" w14:textId="364E6F7B" w:rsidR="00C00544" w:rsidRDefault="00C00544" w:rsidP="00192E22">
            <w:pPr>
              <w:rPr>
                <w:rFonts w:ascii="Arial" w:hAnsi="Arial" w:cs="Arial"/>
                <w:sz w:val="22"/>
                <w:szCs w:val="22"/>
              </w:rPr>
            </w:pPr>
            <w:r>
              <w:rPr>
                <w:rFonts w:ascii="Arial" w:hAnsi="Arial" w:cs="Arial"/>
                <w:sz w:val="22"/>
                <w:szCs w:val="22"/>
              </w:rPr>
              <w:t>Austria</w:t>
            </w:r>
          </w:p>
        </w:tc>
        <w:tc>
          <w:tcPr>
            <w:tcW w:w="2839" w:type="dxa"/>
          </w:tcPr>
          <w:p w14:paraId="1AD2B936" w14:textId="7A178DBC" w:rsidR="00C00544" w:rsidRDefault="00C00544" w:rsidP="00192E22">
            <w:pPr>
              <w:rPr>
                <w:rFonts w:ascii="Arial" w:hAnsi="Arial" w:cs="Arial"/>
                <w:sz w:val="22"/>
                <w:szCs w:val="22"/>
              </w:rPr>
            </w:pPr>
            <w:r>
              <w:rPr>
                <w:rFonts w:ascii="Arial" w:hAnsi="Arial" w:cs="Arial"/>
                <w:sz w:val="22"/>
                <w:szCs w:val="22"/>
              </w:rPr>
              <w:t>1</w:t>
            </w:r>
          </w:p>
        </w:tc>
        <w:tc>
          <w:tcPr>
            <w:tcW w:w="2839" w:type="dxa"/>
          </w:tcPr>
          <w:p w14:paraId="21181D78" w14:textId="74A54D25" w:rsidR="00C00544" w:rsidRDefault="00C00544" w:rsidP="00192E22">
            <w:pPr>
              <w:rPr>
                <w:rFonts w:ascii="Arial" w:hAnsi="Arial" w:cs="Arial"/>
                <w:sz w:val="22"/>
                <w:szCs w:val="22"/>
              </w:rPr>
            </w:pPr>
            <w:r>
              <w:rPr>
                <w:rFonts w:ascii="Arial" w:hAnsi="Arial" w:cs="Arial"/>
                <w:sz w:val="22"/>
                <w:szCs w:val="22"/>
              </w:rPr>
              <w:t>ML1</w:t>
            </w:r>
          </w:p>
        </w:tc>
      </w:tr>
      <w:tr w:rsidR="00C00544" w14:paraId="258C1EA0" w14:textId="77777777" w:rsidTr="00C00544">
        <w:tc>
          <w:tcPr>
            <w:tcW w:w="2838" w:type="dxa"/>
          </w:tcPr>
          <w:p w14:paraId="6F787CDB" w14:textId="048D7B5B" w:rsidR="00C00544" w:rsidRDefault="00C00544" w:rsidP="00192E22">
            <w:pPr>
              <w:rPr>
                <w:rFonts w:ascii="Arial" w:hAnsi="Arial" w:cs="Arial"/>
                <w:sz w:val="22"/>
                <w:szCs w:val="22"/>
              </w:rPr>
            </w:pPr>
            <w:r>
              <w:rPr>
                <w:rFonts w:ascii="Arial" w:hAnsi="Arial" w:cs="Arial"/>
                <w:sz w:val="22"/>
                <w:szCs w:val="22"/>
              </w:rPr>
              <w:t>Belgium</w:t>
            </w:r>
          </w:p>
        </w:tc>
        <w:tc>
          <w:tcPr>
            <w:tcW w:w="2839" w:type="dxa"/>
          </w:tcPr>
          <w:p w14:paraId="7C5ACB8D" w14:textId="464BF06A" w:rsidR="00C00544" w:rsidRDefault="00EE00FC" w:rsidP="00192E22">
            <w:pPr>
              <w:rPr>
                <w:rFonts w:ascii="Arial" w:hAnsi="Arial" w:cs="Arial"/>
                <w:sz w:val="22"/>
                <w:szCs w:val="22"/>
              </w:rPr>
            </w:pPr>
            <w:r>
              <w:rPr>
                <w:rFonts w:ascii="Arial" w:hAnsi="Arial" w:cs="Arial"/>
                <w:sz w:val="22"/>
                <w:szCs w:val="22"/>
              </w:rPr>
              <w:t>2</w:t>
            </w:r>
          </w:p>
        </w:tc>
        <w:tc>
          <w:tcPr>
            <w:tcW w:w="2839" w:type="dxa"/>
          </w:tcPr>
          <w:p w14:paraId="423FD2F0" w14:textId="29E218DB" w:rsidR="00C00544" w:rsidRDefault="00C00544" w:rsidP="00192E22">
            <w:pPr>
              <w:rPr>
                <w:rFonts w:ascii="Arial" w:hAnsi="Arial" w:cs="Arial"/>
                <w:sz w:val="22"/>
                <w:szCs w:val="22"/>
              </w:rPr>
            </w:pPr>
            <w:r>
              <w:rPr>
                <w:rFonts w:ascii="Arial" w:hAnsi="Arial" w:cs="Arial"/>
                <w:sz w:val="22"/>
                <w:szCs w:val="22"/>
              </w:rPr>
              <w:t>ML1</w:t>
            </w:r>
          </w:p>
        </w:tc>
      </w:tr>
      <w:tr w:rsidR="00C00544" w14:paraId="711E921F" w14:textId="77777777" w:rsidTr="00C00544">
        <w:tc>
          <w:tcPr>
            <w:tcW w:w="2838" w:type="dxa"/>
          </w:tcPr>
          <w:p w14:paraId="0B7FA703" w14:textId="61E04B92" w:rsidR="00C00544" w:rsidRDefault="00C00544" w:rsidP="00192E22">
            <w:pPr>
              <w:rPr>
                <w:rFonts w:ascii="Arial" w:hAnsi="Arial" w:cs="Arial"/>
                <w:sz w:val="22"/>
                <w:szCs w:val="22"/>
              </w:rPr>
            </w:pPr>
            <w:r>
              <w:rPr>
                <w:rFonts w:ascii="Arial" w:hAnsi="Arial" w:cs="Arial"/>
                <w:sz w:val="22"/>
                <w:szCs w:val="22"/>
              </w:rPr>
              <w:t>Bulgaria</w:t>
            </w:r>
          </w:p>
        </w:tc>
        <w:tc>
          <w:tcPr>
            <w:tcW w:w="2839" w:type="dxa"/>
          </w:tcPr>
          <w:p w14:paraId="3B36CB1F" w14:textId="2B2F6631" w:rsidR="00C00544" w:rsidRDefault="00B91A94" w:rsidP="00192E22">
            <w:pPr>
              <w:rPr>
                <w:rFonts w:ascii="Arial" w:hAnsi="Arial" w:cs="Arial"/>
                <w:sz w:val="22"/>
                <w:szCs w:val="22"/>
              </w:rPr>
            </w:pPr>
            <w:r>
              <w:rPr>
                <w:rFonts w:ascii="Arial" w:hAnsi="Arial" w:cs="Arial"/>
                <w:sz w:val="22"/>
                <w:szCs w:val="22"/>
              </w:rPr>
              <w:t>1</w:t>
            </w:r>
          </w:p>
        </w:tc>
        <w:tc>
          <w:tcPr>
            <w:tcW w:w="2839" w:type="dxa"/>
          </w:tcPr>
          <w:p w14:paraId="401B4478" w14:textId="447AD780" w:rsidR="00C00544" w:rsidRDefault="00C00544" w:rsidP="00192E22">
            <w:pPr>
              <w:rPr>
                <w:rFonts w:ascii="Arial" w:hAnsi="Arial" w:cs="Arial"/>
                <w:sz w:val="22"/>
                <w:szCs w:val="22"/>
              </w:rPr>
            </w:pPr>
            <w:r>
              <w:rPr>
                <w:rFonts w:ascii="Arial" w:hAnsi="Arial" w:cs="Arial"/>
                <w:sz w:val="22"/>
                <w:szCs w:val="22"/>
              </w:rPr>
              <w:t>ML1</w:t>
            </w:r>
          </w:p>
        </w:tc>
      </w:tr>
      <w:tr w:rsidR="00C00544" w14:paraId="6E5C95E7" w14:textId="77777777" w:rsidTr="00C00544">
        <w:tc>
          <w:tcPr>
            <w:tcW w:w="2838" w:type="dxa"/>
          </w:tcPr>
          <w:p w14:paraId="3CD8A9FF" w14:textId="37AA3014" w:rsidR="00C00544" w:rsidRDefault="00C00544" w:rsidP="00192E22">
            <w:pPr>
              <w:rPr>
                <w:rFonts w:ascii="Arial" w:hAnsi="Arial" w:cs="Arial"/>
                <w:sz w:val="22"/>
                <w:szCs w:val="22"/>
              </w:rPr>
            </w:pPr>
            <w:r>
              <w:rPr>
                <w:rFonts w:ascii="Arial" w:hAnsi="Arial" w:cs="Arial"/>
                <w:sz w:val="22"/>
                <w:szCs w:val="22"/>
              </w:rPr>
              <w:t>Czech Republic</w:t>
            </w:r>
          </w:p>
        </w:tc>
        <w:tc>
          <w:tcPr>
            <w:tcW w:w="2839" w:type="dxa"/>
          </w:tcPr>
          <w:p w14:paraId="5EFE637E" w14:textId="73ACFB57" w:rsidR="00C00544" w:rsidRDefault="00EE00FC" w:rsidP="00192E22">
            <w:pPr>
              <w:rPr>
                <w:rFonts w:ascii="Arial" w:hAnsi="Arial" w:cs="Arial"/>
                <w:sz w:val="22"/>
                <w:szCs w:val="22"/>
              </w:rPr>
            </w:pPr>
            <w:r>
              <w:rPr>
                <w:rFonts w:ascii="Arial" w:hAnsi="Arial" w:cs="Arial"/>
                <w:sz w:val="22"/>
                <w:szCs w:val="22"/>
              </w:rPr>
              <w:t>21</w:t>
            </w:r>
          </w:p>
        </w:tc>
        <w:tc>
          <w:tcPr>
            <w:tcW w:w="2839" w:type="dxa"/>
          </w:tcPr>
          <w:p w14:paraId="603BBA07" w14:textId="07E2BE63" w:rsidR="00C00544" w:rsidRDefault="00C00544" w:rsidP="00192E22">
            <w:pPr>
              <w:rPr>
                <w:rFonts w:ascii="Arial" w:hAnsi="Arial" w:cs="Arial"/>
                <w:sz w:val="22"/>
                <w:szCs w:val="22"/>
              </w:rPr>
            </w:pPr>
            <w:r>
              <w:rPr>
                <w:rFonts w:ascii="Arial" w:hAnsi="Arial" w:cs="Arial"/>
                <w:sz w:val="22"/>
                <w:szCs w:val="22"/>
              </w:rPr>
              <w:t>ML1, 6</w:t>
            </w:r>
          </w:p>
        </w:tc>
      </w:tr>
      <w:tr w:rsidR="00C00544" w14:paraId="0F105BF7" w14:textId="77777777" w:rsidTr="00C00544">
        <w:tc>
          <w:tcPr>
            <w:tcW w:w="2838" w:type="dxa"/>
          </w:tcPr>
          <w:p w14:paraId="70EFA651" w14:textId="20AE99C8" w:rsidR="00C00544" w:rsidRDefault="00C00544" w:rsidP="00192E22">
            <w:pPr>
              <w:rPr>
                <w:rFonts w:ascii="Arial" w:hAnsi="Arial" w:cs="Arial"/>
                <w:sz w:val="22"/>
                <w:szCs w:val="22"/>
              </w:rPr>
            </w:pPr>
            <w:r>
              <w:rPr>
                <w:rFonts w:ascii="Arial" w:hAnsi="Arial" w:cs="Arial"/>
                <w:sz w:val="22"/>
                <w:szCs w:val="22"/>
              </w:rPr>
              <w:t>Estonia</w:t>
            </w:r>
          </w:p>
        </w:tc>
        <w:tc>
          <w:tcPr>
            <w:tcW w:w="2839" w:type="dxa"/>
          </w:tcPr>
          <w:p w14:paraId="34CC64BE" w14:textId="1C25E566" w:rsidR="00C00544" w:rsidRDefault="00EE00FC" w:rsidP="00192E22">
            <w:pPr>
              <w:rPr>
                <w:rFonts w:ascii="Arial" w:hAnsi="Arial" w:cs="Arial"/>
                <w:sz w:val="22"/>
                <w:szCs w:val="22"/>
              </w:rPr>
            </w:pPr>
            <w:r>
              <w:rPr>
                <w:rFonts w:ascii="Arial" w:hAnsi="Arial" w:cs="Arial"/>
                <w:sz w:val="22"/>
                <w:szCs w:val="22"/>
              </w:rPr>
              <w:t>1</w:t>
            </w:r>
          </w:p>
        </w:tc>
        <w:tc>
          <w:tcPr>
            <w:tcW w:w="2839" w:type="dxa"/>
          </w:tcPr>
          <w:p w14:paraId="2041957B" w14:textId="0B0DAE83" w:rsidR="00C00544" w:rsidRDefault="00C00544" w:rsidP="00192E22">
            <w:pPr>
              <w:rPr>
                <w:rFonts w:ascii="Arial" w:hAnsi="Arial" w:cs="Arial"/>
                <w:sz w:val="22"/>
                <w:szCs w:val="22"/>
              </w:rPr>
            </w:pPr>
            <w:r>
              <w:rPr>
                <w:rFonts w:ascii="Arial" w:hAnsi="Arial" w:cs="Arial"/>
                <w:sz w:val="22"/>
                <w:szCs w:val="22"/>
              </w:rPr>
              <w:t>ML1</w:t>
            </w:r>
          </w:p>
        </w:tc>
      </w:tr>
      <w:tr w:rsidR="00C00544" w14:paraId="5B3724CF" w14:textId="77777777" w:rsidTr="00C00544">
        <w:tc>
          <w:tcPr>
            <w:tcW w:w="2838" w:type="dxa"/>
          </w:tcPr>
          <w:p w14:paraId="01A4C2C3" w14:textId="26EC8CCA" w:rsidR="00C00544" w:rsidRDefault="00C00544" w:rsidP="00192E22">
            <w:pPr>
              <w:rPr>
                <w:rFonts w:ascii="Arial" w:hAnsi="Arial" w:cs="Arial"/>
                <w:sz w:val="22"/>
                <w:szCs w:val="22"/>
              </w:rPr>
            </w:pPr>
            <w:r>
              <w:rPr>
                <w:rFonts w:ascii="Arial" w:hAnsi="Arial" w:cs="Arial"/>
                <w:sz w:val="22"/>
                <w:szCs w:val="22"/>
              </w:rPr>
              <w:t>Finland</w:t>
            </w:r>
          </w:p>
        </w:tc>
        <w:tc>
          <w:tcPr>
            <w:tcW w:w="2839" w:type="dxa"/>
          </w:tcPr>
          <w:p w14:paraId="28D076E0" w14:textId="5BE1F9DF" w:rsidR="00C00544" w:rsidRDefault="00C00544" w:rsidP="00192E22">
            <w:pPr>
              <w:rPr>
                <w:rFonts w:ascii="Arial" w:hAnsi="Arial" w:cs="Arial"/>
                <w:sz w:val="22"/>
                <w:szCs w:val="22"/>
              </w:rPr>
            </w:pPr>
            <w:r>
              <w:rPr>
                <w:rFonts w:ascii="Arial" w:hAnsi="Arial" w:cs="Arial"/>
                <w:sz w:val="22"/>
                <w:szCs w:val="22"/>
              </w:rPr>
              <w:t>1</w:t>
            </w:r>
          </w:p>
        </w:tc>
        <w:tc>
          <w:tcPr>
            <w:tcW w:w="2839" w:type="dxa"/>
          </w:tcPr>
          <w:p w14:paraId="606D4684" w14:textId="073BCDB6" w:rsidR="00C00544" w:rsidRDefault="00C00544" w:rsidP="00192E22">
            <w:pPr>
              <w:rPr>
                <w:rFonts w:ascii="Arial" w:hAnsi="Arial" w:cs="Arial"/>
                <w:sz w:val="22"/>
                <w:szCs w:val="22"/>
              </w:rPr>
            </w:pPr>
            <w:r>
              <w:rPr>
                <w:rFonts w:ascii="Arial" w:hAnsi="Arial" w:cs="Arial"/>
                <w:sz w:val="22"/>
                <w:szCs w:val="22"/>
              </w:rPr>
              <w:t>ML1</w:t>
            </w:r>
          </w:p>
        </w:tc>
      </w:tr>
      <w:tr w:rsidR="00C00544" w14:paraId="281B9334" w14:textId="77777777" w:rsidTr="00C00544">
        <w:tc>
          <w:tcPr>
            <w:tcW w:w="2838" w:type="dxa"/>
          </w:tcPr>
          <w:p w14:paraId="6D8BFC1A" w14:textId="1C4F6F99" w:rsidR="00C00544" w:rsidRDefault="00C00544" w:rsidP="00192E22">
            <w:pPr>
              <w:rPr>
                <w:rFonts w:ascii="Arial" w:hAnsi="Arial" w:cs="Arial"/>
                <w:sz w:val="22"/>
                <w:szCs w:val="22"/>
              </w:rPr>
            </w:pPr>
            <w:r>
              <w:rPr>
                <w:rFonts w:ascii="Arial" w:hAnsi="Arial" w:cs="Arial"/>
                <w:sz w:val="22"/>
                <w:szCs w:val="22"/>
              </w:rPr>
              <w:t>France</w:t>
            </w:r>
          </w:p>
        </w:tc>
        <w:tc>
          <w:tcPr>
            <w:tcW w:w="2839" w:type="dxa"/>
          </w:tcPr>
          <w:p w14:paraId="2E5368A8" w14:textId="0A26B059" w:rsidR="00C00544" w:rsidRDefault="00EE00FC" w:rsidP="00192E22">
            <w:pPr>
              <w:rPr>
                <w:rFonts w:ascii="Arial" w:hAnsi="Arial" w:cs="Arial"/>
                <w:sz w:val="22"/>
                <w:szCs w:val="22"/>
              </w:rPr>
            </w:pPr>
            <w:r>
              <w:rPr>
                <w:rFonts w:ascii="Arial" w:hAnsi="Arial" w:cs="Arial"/>
                <w:sz w:val="22"/>
                <w:szCs w:val="22"/>
              </w:rPr>
              <w:t>3</w:t>
            </w:r>
          </w:p>
        </w:tc>
        <w:tc>
          <w:tcPr>
            <w:tcW w:w="2839" w:type="dxa"/>
          </w:tcPr>
          <w:p w14:paraId="50E2CE92" w14:textId="0A2A5E09" w:rsidR="00C00544" w:rsidRDefault="00C00544" w:rsidP="00192E22">
            <w:pPr>
              <w:rPr>
                <w:rFonts w:ascii="Arial" w:hAnsi="Arial" w:cs="Arial"/>
                <w:sz w:val="22"/>
                <w:szCs w:val="22"/>
              </w:rPr>
            </w:pPr>
            <w:r>
              <w:rPr>
                <w:rFonts w:ascii="Arial" w:hAnsi="Arial" w:cs="Arial"/>
                <w:sz w:val="22"/>
                <w:szCs w:val="22"/>
              </w:rPr>
              <w:t>ML15</w:t>
            </w:r>
          </w:p>
        </w:tc>
      </w:tr>
      <w:tr w:rsidR="00C00544" w14:paraId="405F76A1" w14:textId="77777777" w:rsidTr="00C00544">
        <w:tc>
          <w:tcPr>
            <w:tcW w:w="2838" w:type="dxa"/>
          </w:tcPr>
          <w:p w14:paraId="35062E1B" w14:textId="2956D63B" w:rsidR="00C00544" w:rsidRDefault="00C00544" w:rsidP="00192E22">
            <w:pPr>
              <w:rPr>
                <w:rFonts w:ascii="Arial" w:hAnsi="Arial" w:cs="Arial"/>
                <w:sz w:val="22"/>
                <w:szCs w:val="22"/>
              </w:rPr>
            </w:pPr>
            <w:r>
              <w:rPr>
                <w:rFonts w:ascii="Arial" w:hAnsi="Arial" w:cs="Arial"/>
                <w:sz w:val="22"/>
                <w:szCs w:val="22"/>
              </w:rPr>
              <w:t>Germany</w:t>
            </w:r>
          </w:p>
        </w:tc>
        <w:tc>
          <w:tcPr>
            <w:tcW w:w="2839" w:type="dxa"/>
          </w:tcPr>
          <w:p w14:paraId="492395E1" w14:textId="048F5CFB" w:rsidR="00C00544" w:rsidRDefault="00B91A94" w:rsidP="00192E22">
            <w:pPr>
              <w:rPr>
                <w:rFonts w:ascii="Arial" w:hAnsi="Arial" w:cs="Arial"/>
                <w:sz w:val="22"/>
                <w:szCs w:val="22"/>
              </w:rPr>
            </w:pPr>
            <w:r>
              <w:rPr>
                <w:rFonts w:ascii="Arial" w:hAnsi="Arial" w:cs="Arial"/>
                <w:sz w:val="22"/>
                <w:szCs w:val="22"/>
              </w:rPr>
              <w:t>68</w:t>
            </w:r>
          </w:p>
        </w:tc>
        <w:tc>
          <w:tcPr>
            <w:tcW w:w="2839" w:type="dxa"/>
          </w:tcPr>
          <w:p w14:paraId="7539AAEF" w14:textId="0498BF74" w:rsidR="00C00544" w:rsidRDefault="00C00544" w:rsidP="00192E22">
            <w:pPr>
              <w:rPr>
                <w:rFonts w:ascii="Arial" w:hAnsi="Arial" w:cs="Arial"/>
                <w:sz w:val="22"/>
                <w:szCs w:val="22"/>
              </w:rPr>
            </w:pPr>
            <w:r>
              <w:rPr>
                <w:rFonts w:ascii="Arial" w:hAnsi="Arial" w:cs="Arial"/>
                <w:sz w:val="22"/>
                <w:szCs w:val="22"/>
              </w:rPr>
              <w:t>ML1, 3, 5, 6, 12, 13, 15, 16, 18, 22</w:t>
            </w:r>
          </w:p>
        </w:tc>
      </w:tr>
      <w:tr w:rsidR="00C00544" w14:paraId="2001A57A" w14:textId="77777777" w:rsidTr="00C00544">
        <w:tc>
          <w:tcPr>
            <w:tcW w:w="2838" w:type="dxa"/>
          </w:tcPr>
          <w:p w14:paraId="74DEE50F" w14:textId="7A35FF86" w:rsidR="00C00544" w:rsidRDefault="00C00544" w:rsidP="00192E22">
            <w:pPr>
              <w:rPr>
                <w:rFonts w:ascii="Arial" w:hAnsi="Arial" w:cs="Arial"/>
                <w:sz w:val="22"/>
                <w:szCs w:val="22"/>
              </w:rPr>
            </w:pPr>
            <w:r>
              <w:rPr>
                <w:rFonts w:ascii="Arial" w:hAnsi="Arial" w:cs="Arial"/>
                <w:sz w:val="22"/>
                <w:szCs w:val="22"/>
              </w:rPr>
              <w:t>Greece</w:t>
            </w:r>
          </w:p>
        </w:tc>
        <w:tc>
          <w:tcPr>
            <w:tcW w:w="2839" w:type="dxa"/>
          </w:tcPr>
          <w:p w14:paraId="2606785F" w14:textId="2C5AE870" w:rsidR="00C00544" w:rsidRDefault="00EE00FC" w:rsidP="00192E22">
            <w:pPr>
              <w:rPr>
                <w:rFonts w:ascii="Arial" w:hAnsi="Arial" w:cs="Arial"/>
                <w:sz w:val="22"/>
                <w:szCs w:val="22"/>
              </w:rPr>
            </w:pPr>
            <w:r>
              <w:rPr>
                <w:rFonts w:ascii="Arial" w:hAnsi="Arial" w:cs="Arial"/>
                <w:sz w:val="22"/>
                <w:szCs w:val="22"/>
              </w:rPr>
              <w:t>5</w:t>
            </w:r>
          </w:p>
        </w:tc>
        <w:tc>
          <w:tcPr>
            <w:tcW w:w="2839" w:type="dxa"/>
          </w:tcPr>
          <w:p w14:paraId="61449B2B" w14:textId="4EE48E47" w:rsidR="00C00544" w:rsidRDefault="00C00544" w:rsidP="00192E22">
            <w:pPr>
              <w:rPr>
                <w:rFonts w:ascii="Arial" w:hAnsi="Arial" w:cs="Arial"/>
                <w:sz w:val="22"/>
                <w:szCs w:val="22"/>
              </w:rPr>
            </w:pPr>
            <w:r>
              <w:rPr>
                <w:rFonts w:ascii="Arial" w:hAnsi="Arial" w:cs="Arial"/>
                <w:sz w:val="22"/>
                <w:szCs w:val="22"/>
              </w:rPr>
              <w:t>ML1, 3</w:t>
            </w:r>
          </w:p>
        </w:tc>
      </w:tr>
      <w:tr w:rsidR="00C00544" w14:paraId="57F57A5A" w14:textId="77777777" w:rsidTr="00C00544">
        <w:tc>
          <w:tcPr>
            <w:tcW w:w="2838" w:type="dxa"/>
          </w:tcPr>
          <w:p w14:paraId="6A570D52" w14:textId="7F63B3FF" w:rsidR="00C00544" w:rsidRDefault="00C00544" w:rsidP="00192E22">
            <w:pPr>
              <w:rPr>
                <w:rFonts w:ascii="Arial" w:hAnsi="Arial" w:cs="Arial"/>
                <w:sz w:val="22"/>
                <w:szCs w:val="22"/>
              </w:rPr>
            </w:pPr>
            <w:r>
              <w:rPr>
                <w:rFonts w:ascii="Arial" w:hAnsi="Arial" w:cs="Arial"/>
                <w:sz w:val="22"/>
                <w:szCs w:val="22"/>
              </w:rPr>
              <w:t>Lithuania</w:t>
            </w:r>
          </w:p>
        </w:tc>
        <w:tc>
          <w:tcPr>
            <w:tcW w:w="2839" w:type="dxa"/>
          </w:tcPr>
          <w:p w14:paraId="28A6E8EB" w14:textId="2EFD2DA8" w:rsidR="00C00544" w:rsidRDefault="00C00544" w:rsidP="00192E22">
            <w:pPr>
              <w:rPr>
                <w:rFonts w:ascii="Arial" w:hAnsi="Arial" w:cs="Arial"/>
                <w:sz w:val="22"/>
                <w:szCs w:val="22"/>
              </w:rPr>
            </w:pPr>
            <w:r>
              <w:rPr>
                <w:rFonts w:ascii="Arial" w:hAnsi="Arial" w:cs="Arial"/>
                <w:sz w:val="22"/>
                <w:szCs w:val="22"/>
              </w:rPr>
              <w:t>1</w:t>
            </w:r>
          </w:p>
        </w:tc>
        <w:tc>
          <w:tcPr>
            <w:tcW w:w="2839" w:type="dxa"/>
          </w:tcPr>
          <w:p w14:paraId="264248F4" w14:textId="41CD4EC9" w:rsidR="00C00544" w:rsidRDefault="00C00544" w:rsidP="00192E22">
            <w:pPr>
              <w:rPr>
                <w:rFonts w:ascii="Arial" w:hAnsi="Arial" w:cs="Arial"/>
                <w:sz w:val="22"/>
                <w:szCs w:val="22"/>
              </w:rPr>
            </w:pPr>
            <w:r>
              <w:rPr>
                <w:rFonts w:ascii="Arial" w:hAnsi="Arial" w:cs="Arial"/>
                <w:sz w:val="22"/>
                <w:szCs w:val="22"/>
              </w:rPr>
              <w:t>ML3</w:t>
            </w:r>
          </w:p>
        </w:tc>
      </w:tr>
      <w:tr w:rsidR="00C00544" w14:paraId="7389B099" w14:textId="77777777" w:rsidTr="00C00544">
        <w:tc>
          <w:tcPr>
            <w:tcW w:w="2838" w:type="dxa"/>
          </w:tcPr>
          <w:p w14:paraId="66B55C7E" w14:textId="0448D0AD" w:rsidR="00C00544" w:rsidRDefault="00C00544" w:rsidP="00192E22">
            <w:pPr>
              <w:rPr>
                <w:rFonts w:ascii="Arial" w:hAnsi="Arial" w:cs="Arial"/>
                <w:sz w:val="22"/>
                <w:szCs w:val="22"/>
              </w:rPr>
            </w:pPr>
            <w:r>
              <w:rPr>
                <w:rFonts w:ascii="Arial" w:hAnsi="Arial" w:cs="Arial"/>
                <w:sz w:val="22"/>
                <w:szCs w:val="22"/>
              </w:rPr>
              <w:t>Malta</w:t>
            </w:r>
          </w:p>
        </w:tc>
        <w:tc>
          <w:tcPr>
            <w:tcW w:w="2839" w:type="dxa"/>
          </w:tcPr>
          <w:p w14:paraId="56AA4DAD" w14:textId="6109AC33" w:rsidR="00C00544" w:rsidRDefault="00EE00FC" w:rsidP="00192E22">
            <w:pPr>
              <w:rPr>
                <w:rFonts w:ascii="Arial" w:hAnsi="Arial" w:cs="Arial"/>
                <w:sz w:val="22"/>
                <w:szCs w:val="22"/>
              </w:rPr>
            </w:pPr>
            <w:r>
              <w:rPr>
                <w:rFonts w:ascii="Arial" w:hAnsi="Arial" w:cs="Arial"/>
                <w:sz w:val="22"/>
                <w:szCs w:val="22"/>
              </w:rPr>
              <w:t>1</w:t>
            </w:r>
          </w:p>
        </w:tc>
        <w:tc>
          <w:tcPr>
            <w:tcW w:w="2839" w:type="dxa"/>
          </w:tcPr>
          <w:p w14:paraId="5E72C202" w14:textId="029CB1D4" w:rsidR="00C00544" w:rsidRDefault="00C00544" w:rsidP="00192E22">
            <w:pPr>
              <w:rPr>
                <w:rFonts w:ascii="Arial" w:hAnsi="Arial" w:cs="Arial"/>
                <w:sz w:val="22"/>
                <w:szCs w:val="22"/>
              </w:rPr>
            </w:pPr>
            <w:r>
              <w:rPr>
                <w:rFonts w:ascii="Arial" w:hAnsi="Arial" w:cs="Arial"/>
                <w:sz w:val="22"/>
                <w:szCs w:val="22"/>
              </w:rPr>
              <w:t>ML3</w:t>
            </w:r>
          </w:p>
        </w:tc>
      </w:tr>
      <w:tr w:rsidR="00C00544" w14:paraId="7CD6611A" w14:textId="77777777" w:rsidTr="00C00544">
        <w:tc>
          <w:tcPr>
            <w:tcW w:w="2838" w:type="dxa"/>
          </w:tcPr>
          <w:p w14:paraId="176CBE8D" w14:textId="47581B88" w:rsidR="00C00544" w:rsidRDefault="00C00544" w:rsidP="00192E22">
            <w:pPr>
              <w:rPr>
                <w:rFonts w:ascii="Arial" w:hAnsi="Arial" w:cs="Arial"/>
                <w:sz w:val="22"/>
                <w:szCs w:val="22"/>
              </w:rPr>
            </w:pPr>
            <w:r>
              <w:rPr>
                <w:rFonts w:ascii="Arial" w:hAnsi="Arial" w:cs="Arial"/>
                <w:sz w:val="22"/>
                <w:szCs w:val="22"/>
              </w:rPr>
              <w:t>Netherlands</w:t>
            </w:r>
          </w:p>
        </w:tc>
        <w:tc>
          <w:tcPr>
            <w:tcW w:w="2839" w:type="dxa"/>
          </w:tcPr>
          <w:p w14:paraId="41D6DB99" w14:textId="1A24F844" w:rsidR="00C00544" w:rsidRDefault="00C00544" w:rsidP="00192E22">
            <w:pPr>
              <w:rPr>
                <w:rFonts w:ascii="Arial" w:hAnsi="Arial" w:cs="Arial"/>
                <w:sz w:val="22"/>
                <w:szCs w:val="22"/>
              </w:rPr>
            </w:pPr>
            <w:r>
              <w:rPr>
                <w:rFonts w:ascii="Arial" w:hAnsi="Arial" w:cs="Arial"/>
                <w:sz w:val="22"/>
                <w:szCs w:val="22"/>
              </w:rPr>
              <w:t>1</w:t>
            </w:r>
          </w:p>
        </w:tc>
        <w:tc>
          <w:tcPr>
            <w:tcW w:w="2839" w:type="dxa"/>
          </w:tcPr>
          <w:p w14:paraId="6AB35525" w14:textId="17550399" w:rsidR="00C00544" w:rsidRDefault="00C00544" w:rsidP="00192E22">
            <w:pPr>
              <w:rPr>
                <w:rFonts w:ascii="Arial" w:hAnsi="Arial" w:cs="Arial"/>
                <w:sz w:val="22"/>
                <w:szCs w:val="22"/>
              </w:rPr>
            </w:pPr>
            <w:r>
              <w:rPr>
                <w:rFonts w:ascii="Arial" w:hAnsi="Arial" w:cs="Arial"/>
                <w:sz w:val="22"/>
                <w:szCs w:val="22"/>
              </w:rPr>
              <w:t>ML1</w:t>
            </w:r>
          </w:p>
        </w:tc>
      </w:tr>
      <w:tr w:rsidR="00C00544" w14:paraId="5657C27F" w14:textId="77777777" w:rsidTr="00C00544">
        <w:tc>
          <w:tcPr>
            <w:tcW w:w="2838" w:type="dxa"/>
          </w:tcPr>
          <w:p w14:paraId="5B1FFBC8" w14:textId="7FCD6B7B" w:rsidR="00C00544" w:rsidRDefault="00C00544" w:rsidP="00192E22">
            <w:pPr>
              <w:rPr>
                <w:rFonts w:ascii="Arial" w:hAnsi="Arial" w:cs="Arial"/>
                <w:sz w:val="22"/>
                <w:szCs w:val="22"/>
              </w:rPr>
            </w:pPr>
            <w:r>
              <w:rPr>
                <w:rFonts w:ascii="Arial" w:hAnsi="Arial" w:cs="Arial"/>
                <w:sz w:val="22"/>
                <w:szCs w:val="22"/>
              </w:rPr>
              <w:t>Portugal</w:t>
            </w:r>
          </w:p>
        </w:tc>
        <w:tc>
          <w:tcPr>
            <w:tcW w:w="2839" w:type="dxa"/>
          </w:tcPr>
          <w:p w14:paraId="750B137A" w14:textId="06A15CBA" w:rsidR="00C00544" w:rsidRDefault="00C00544" w:rsidP="00192E22">
            <w:pPr>
              <w:rPr>
                <w:rFonts w:ascii="Arial" w:hAnsi="Arial" w:cs="Arial"/>
                <w:sz w:val="22"/>
                <w:szCs w:val="22"/>
              </w:rPr>
            </w:pPr>
            <w:r>
              <w:rPr>
                <w:rFonts w:ascii="Arial" w:hAnsi="Arial" w:cs="Arial"/>
                <w:sz w:val="22"/>
                <w:szCs w:val="22"/>
              </w:rPr>
              <w:t>1</w:t>
            </w:r>
          </w:p>
        </w:tc>
        <w:tc>
          <w:tcPr>
            <w:tcW w:w="2839" w:type="dxa"/>
          </w:tcPr>
          <w:p w14:paraId="44F717C5" w14:textId="776EF59A" w:rsidR="00C00544" w:rsidRDefault="00C00544" w:rsidP="00192E22">
            <w:pPr>
              <w:rPr>
                <w:rFonts w:ascii="Arial" w:hAnsi="Arial" w:cs="Arial"/>
                <w:sz w:val="22"/>
                <w:szCs w:val="22"/>
              </w:rPr>
            </w:pPr>
            <w:r>
              <w:rPr>
                <w:rFonts w:ascii="Arial" w:hAnsi="Arial" w:cs="Arial"/>
                <w:sz w:val="22"/>
                <w:szCs w:val="22"/>
              </w:rPr>
              <w:t>ML3</w:t>
            </w:r>
          </w:p>
        </w:tc>
      </w:tr>
      <w:tr w:rsidR="00C00544" w14:paraId="6DA98872" w14:textId="77777777" w:rsidTr="00C00544">
        <w:tc>
          <w:tcPr>
            <w:tcW w:w="2838" w:type="dxa"/>
          </w:tcPr>
          <w:p w14:paraId="0EE93AE0" w14:textId="1BE4735B" w:rsidR="00C00544" w:rsidRDefault="00C00544" w:rsidP="00192E22">
            <w:pPr>
              <w:rPr>
                <w:rFonts w:ascii="Arial" w:hAnsi="Arial" w:cs="Arial"/>
                <w:sz w:val="22"/>
                <w:szCs w:val="22"/>
              </w:rPr>
            </w:pPr>
            <w:r>
              <w:rPr>
                <w:rFonts w:ascii="Arial" w:hAnsi="Arial" w:cs="Arial"/>
                <w:sz w:val="22"/>
                <w:szCs w:val="22"/>
              </w:rPr>
              <w:t>Sweden</w:t>
            </w:r>
          </w:p>
        </w:tc>
        <w:tc>
          <w:tcPr>
            <w:tcW w:w="2839" w:type="dxa"/>
          </w:tcPr>
          <w:p w14:paraId="24845ECC" w14:textId="37A073EC" w:rsidR="00C00544" w:rsidRDefault="00C00544" w:rsidP="00192E22">
            <w:pPr>
              <w:rPr>
                <w:rFonts w:ascii="Arial" w:hAnsi="Arial" w:cs="Arial"/>
                <w:sz w:val="22"/>
                <w:szCs w:val="22"/>
              </w:rPr>
            </w:pPr>
            <w:r>
              <w:rPr>
                <w:rFonts w:ascii="Arial" w:hAnsi="Arial" w:cs="Arial"/>
                <w:sz w:val="22"/>
                <w:szCs w:val="22"/>
              </w:rPr>
              <w:t>3</w:t>
            </w:r>
          </w:p>
        </w:tc>
        <w:tc>
          <w:tcPr>
            <w:tcW w:w="2839" w:type="dxa"/>
          </w:tcPr>
          <w:p w14:paraId="05356D2A" w14:textId="218C0578" w:rsidR="00C00544" w:rsidRDefault="00C00544" w:rsidP="00192E22">
            <w:pPr>
              <w:rPr>
                <w:rFonts w:ascii="Arial" w:hAnsi="Arial" w:cs="Arial"/>
                <w:sz w:val="22"/>
                <w:szCs w:val="22"/>
              </w:rPr>
            </w:pPr>
            <w:r>
              <w:rPr>
                <w:rFonts w:ascii="Arial" w:hAnsi="Arial" w:cs="Arial"/>
                <w:sz w:val="22"/>
                <w:szCs w:val="22"/>
              </w:rPr>
              <w:t>ML5, 18</w:t>
            </w:r>
          </w:p>
        </w:tc>
      </w:tr>
      <w:tr w:rsidR="00C00544" w14:paraId="41A8D94A" w14:textId="77777777" w:rsidTr="00C00544">
        <w:tc>
          <w:tcPr>
            <w:tcW w:w="2838" w:type="dxa"/>
          </w:tcPr>
          <w:p w14:paraId="68FB5D53" w14:textId="05A4C1C1" w:rsidR="00C00544" w:rsidRDefault="00C00544" w:rsidP="00192E22">
            <w:pPr>
              <w:rPr>
                <w:rFonts w:ascii="Arial" w:hAnsi="Arial" w:cs="Arial"/>
                <w:sz w:val="22"/>
                <w:szCs w:val="22"/>
              </w:rPr>
            </w:pPr>
            <w:r>
              <w:rPr>
                <w:rFonts w:ascii="Arial" w:hAnsi="Arial" w:cs="Arial"/>
                <w:sz w:val="22"/>
                <w:szCs w:val="22"/>
              </w:rPr>
              <w:t>UK</w:t>
            </w:r>
          </w:p>
        </w:tc>
        <w:tc>
          <w:tcPr>
            <w:tcW w:w="2839" w:type="dxa"/>
          </w:tcPr>
          <w:p w14:paraId="0E383337" w14:textId="2797DA02" w:rsidR="00C00544" w:rsidRDefault="00C00544" w:rsidP="00192E22">
            <w:pPr>
              <w:rPr>
                <w:rFonts w:ascii="Arial" w:hAnsi="Arial" w:cs="Arial"/>
                <w:sz w:val="22"/>
                <w:szCs w:val="22"/>
              </w:rPr>
            </w:pPr>
            <w:r>
              <w:rPr>
                <w:rFonts w:ascii="Arial" w:hAnsi="Arial" w:cs="Arial"/>
                <w:sz w:val="22"/>
                <w:szCs w:val="22"/>
              </w:rPr>
              <w:t>1</w:t>
            </w:r>
            <w:r w:rsidR="00EE00FC">
              <w:rPr>
                <w:rFonts w:ascii="Arial" w:hAnsi="Arial" w:cs="Arial"/>
                <w:sz w:val="22"/>
                <w:szCs w:val="22"/>
              </w:rPr>
              <w:t>6</w:t>
            </w:r>
          </w:p>
        </w:tc>
        <w:tc>
          <w:tcPr>
            <w:tcW w:w="2839" w:type="dxa"/>
          </w:tcPr>
          <w:p w14:paraId="1D117456" w14:textId="4361DF20" w:rsidR="00C00544" w:rsidRDefault="00C00544" w:rsidP="00192E22">
            <w:pPr>
              <w:rPr>
                <w:rFonts w:ascii="Arial" w:hAnsi="Arial" w:cs="Arial"/>
                <w:sz w:val="22"/>
                <w:szCs w:val="22"/>
              </w:rPr>
            </w:pPr>
            <w:r>
              <w:rPr>
                <w:rFonts w:ascii="Arial" w:hAnsi="Arial" w:cs="Arial"/>
                <w:sz w:val="22"/>
                <w:szCs w:val="22"/>
              </w:rPr>
              <w:t>ML1, 3, 11, 13</w:t>
            </w:r>
          </w:p>
        </w:tc>
      </w:tr>
    </w:tbl>
    <w:p w14:paraId="0A010E3E" w14:textId="43408BB9" w:rsidR="009F35BE" w:rsidRPr="00192E22" w:rsidRDefault="009F35BE" w:rsidP="00192E22">
      <w:pPr>
        <w:rPr>
          <w:rFonts w:ascii="Arial" w:hAnsi="Arial" w:cs="Arial"/>
          <w:sz w:val="22"/>
          <w:szCs w:val="22"/>
        </w:rPr>
      </w:pPr>
    </w:p>
    <w:sectPr w:rsidR="009F35BE" w:rsidRPr="00192E22" w:rsidSect="002D27B5">
      <w:headerReference w:type="default" r:id="rId8"/>
      <w:pgSz w:w="11900" w:h="16840"/>
      <w:pgMar w:top="1440" w:right="1800" w:bottom="1276"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5DAA27" w15:done="0"/>
  <w15:commentEx w15:paraId="6893F0BC" w15:done="0"/>
  <w15:commentEx w15:paraId="49415AB5" w15:done="0"/>
  <w15:commentEx w15:paraId="079347C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FE24C" w14:textId="77777777" w:rsidR="00CD3485" w:rsidRDefault="00CD3485" w:rsidP="00B276BE">
      <w:r>
        <w:separator/>
      </w:r>
    </w:p>
  </w:endnote>
  <w:endnote w:type="continuationSeparator" w:id="0">
    <w:p w14:paraId="342B43DE" w14:textId="77777777" w:rsidR="00CD3485" w:rsidRDefault="00CD3485" w:rsidP="00B2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7FC81" w14:textId="77777777" w:rsidR="00CD3485" w:rsidRDefault="00CD3485" w:rsidP="00B276BE">
      <w:r>
        <w:separator/>
      </w:r>
    </w:p>
  </w:footnote>
  <w:footnote w:type="continuationSeparator" w:id="0">
    <w:p w14:paraId="0DD870B9" w14:textId="77777777" w:rsidR="00CD3485" w:rsidRDefault="00CD3485" w:rsidP="00B276BE">
      <w:r>
        <w:continuationSeparator/>
      </w:r>
    </w:p>
  </w:footnote>
  <w:footnote w:id="1">
    <w:p w14:paraId="17225EC2" w14:textId="561010CA" w:rsidR="00CD3485" w:rsidRPr="001E1ED3" w:rsidRDefault="00CD3485">
      <w:pPr>
        <w:pStyle w:val="FootnoteText"/>
        <w:rPr>
          <w:rFonts w:ascii="Arial" w:hAnsi="Arial" w:cs="Arial"/>
          <w:sz w:val="18"/>
          <w:szCs w:val="18"/>
          <w:lang w:val="en-US"/>
        </w:rPr>
      </w:pPr>
      <w:r w:rsidRPr="001E1ED3">
        <w:rPr>
          <w:rStyle w:val="FootnoteReference"/>
          <w:rFonts w:ascii="Arial" w:hAnsi="Arial" w:cs="Arial"/>
          <w:sz w:val="18"/>
          <w:szCs w:val="18"/>
        </w:rPr>
        <w:footnoteRef/>
      </w:r>
      <w:r w:rsidRPr="001E1ED3">
        <w:rPr>
          <w:rFonts w:ascii="Arial" w:hAnsi="Arial" w:cs="Arial"/>
          <w:sz w:val="18"/>
          <w:szCs w:val="18"/>
        </w:rPr>
        <w:t xml:space="preserve"> </w:t>
      </w:r>
      <w:r w:rsidRPr="001E1ED3">
        <w:rPr>
          <w:rFonts w:ascii="Arial" w:hAnsi="Arial" w:cs="Arial"/>
          <w:sz w:val="18"/>
          <w:szCs w:val="18"/>
          <w:lang w:val="en-US"/>
        </w:rPr>
        <w:t xml:space="preserve">Control Arms Secretariat, “ATT Monitor Report 2015,” </w:t>
      </w:r>
      <w:hyperlink r:id="rId1" w:history="1">
        <w:r w:rsidRPr="001E1ED3">
          <w:rPr>
            <w:rStyle w:val="Hyperlink"/>
            <w:rFonts w:ascii="Arial" w:hAnsi="Arial" w:cs="Arial"/>
            <w:sz w:val="18"/>
            <w:szCs w:val="18"/>
            <w:lang w:val="en-US"/>
          </w:rPr>
          <w:t>http://armstreatymonitor.org/en/the-2015-report/</w:t>
        </w:r>
      </w:hyperlink>
      <w:r w:rsidRPr="001E1ED3">
        <w:rPr>
          <w:rFonts w:ascii="Arial" w:hAnsi="Arial" w:cs="Arial"/>
          <w:sz w:val="18"/>
          <w:szCs w:val="18"/>
          <w:lang w:val="en-US"/>
        </w:rPr>
        <w:t xml:space="preserve"> pp. 26-43.</w:t>
      </w:r>
    </w:p>
  </w:footnote>
  <w:footnote w:id="2">
    <w:p w14:paraId="3A39A8C2" w14:textId="77777777" w:rsidR="00CD3485" w:rsidRPr="001E1ED3" w:rsidRDefault="00CD3485" w:rsidP="00804728">
      <w:pPr>
        <w:pStyle w:val="FootnoteText"/>
        <w:rPr>
          <w:rFonts w:ascii="Arial" w:hAnsi="Arial" w:cs="Arial"/>
          <w:sz w:val="18"/>
          <w:szCs w:val="18"/>
          <w:lang w:val="en-US"/>
        </w:rPr>
      </w:pPr>
      <w:r w:rsidRPr="001E1ED3">
        <w:rPr>
          <w:rStyle w:val="FootnoteReference"/>
          <w:rFonts w:ascii="Arial" w:hAnsi="Arial" w:cs="Arial"/>
          <w:sz w:val="18"/>
          <w:szCs w:val="18"/>
        </w:rPr>
        <w:footnoteRef/>
      </w:r>
      <w:r w:rsidRPr="001E1ED3">
        <w:rPr>
          <w:rFonts w:ascii="Arial" w:hAnsi="Arial" w:cs="Arial"/>
          <w:sz w:val="18"/>
          <w:szCs w:val="18"/>
        </w:rPr>
        <w:t xml:space="preserve"> </w:t>
      </w:r>
      <w:r w:rsidRPr="001E1ED3">
        <w:rPr>
          <w:rFonts w:ascii="Arial" w:hAnsi="Arial" w:cs="Arial"/>
          <w:sz w:val="18"/>
          <w:szCs w:val="18"/>
          <w:lang w:val="en-US"/>
        </w:rPr>
        <w:t>Arms Trade Treaty, Article 6 (3) (adopted 2 April 2013, entered into force 24 December 2014) _UNTS (ATT) Art 6(3).</w:t>
      </w:r>
    </w:p>
  </w:footnote>
  <w:footnote w:id="3">
    <w:p w14:paraId="4D6AF036" w14:textId="261392F5" w:rsidR="00CD3485" w:rsidRPr="001E1ED3" w:rsidRDefault="00CD3485">
      <w:pPr>
        <w:pStyle w:val="FootnoteText"/>
        <w:rPr>
          <w:rFonts w:ascii="Arial" w:hAnsi="Arial" w:cs="Arial"/>
          <w:sz w:val="18"/>
          <w:szCs w:val="18"/>
        </w:rPr>
      </w:pPr>
      <w:r w:rsidRPr="001E1ED3">
        <w:rPr>
          <w:rStyle w:val="FootnoteReference"/>
          <w:rFonts w:ascii="Arial" w:hAnsi="Arial" w:cs="Arial"/>
          <w:sz w:val="18"/>
          <w:szCs w:val="18"/>
        </w:rPr>
        <w:footnoteRef/>
      </w:r>
      <w:r w:rsidRPr="001E1ED3">
        <w:rPr>
          <w:rFonts w:ascii="Arial" w:hAnsi="Arial" w:cs="Arial"/>
          <w:sz w:val="18"/>
          <w:szCs w:val="18"/>
        </w:rPr>
        <w:t xml:space="preserve"> See Report of the United Nations High Commissioner for Human Rights, “Situation of human rights in Yemen,”</w:t>
      </w:r>
      <w:r>
        <w:rPr>
          <w:rFonts w:ascii="Arial" w:hAnsi="Arial" w:cs="Arial"/>
          <w:sz w:val="18"/>
          <w:szCs w:val="18"/>
        </w:rPr>
        <w:t xml:space="preserve"> </w:t>
      </w:r>
      <w:r w:rsidRPr="001E1ED3">
        <w:rPr>
          <w:rFonts w:ascii="Arial" w:hAnsi="Arial" w:cs="Arial"/>
          <w:sz w:val="18"/>
          <w:szCs w:val="18"/>
        </w:rPr>
        <w:t xml:space="preserve">4 August 2016, </w:t>
      </w:r>
      <w:hyperlink r:id="rId2" w:history="1">
        <w:r w:rsidRPr="001E1ED3">
          <w:rPr>
            <w:rStyle w:val="Hyperlink"/>
            <w:rFonts w:ascii="Arial" w:hAnsi="Arial" w:cs="Arial"/>
            <w:sz w:val="18"/>
            <w:szCs w:val="18"/>
          </w:rPr>
          <w:t>http://ap.ohchr.org/documents/dpage_e.aspx?si=A/HRC/33/38</w:t>
        </w:r>
      </w:hyperlink>
      <w:r w:rsidRPr="001E1ED3">
        <w:rPr>
          <w:rFonts w:ascii="Arial" w:hAnsi="Arial" w:cs="Arial"/>
          <w:sz w:val="18"/>
          <w:szCs w:val="18"/>
        </w:rPr>
        <w:t>; and</w:t>
      </w:r>
    </w:p>
    <w:p w14:paraId="71518A78" w14:textId="0781D56D" w:rsidR="00CD3485" w:rsidRPr="001E1ED3" w:rsidRDefault="00CD3485">
      <w:pPr>
        <w:pStyle w:val="FootnoteText"/>
        <w:rPr>
          <w:rFonts w:ascii="Arial" w:hAnsi="Arial" w:cs="Arial"/>
          <w:sz w:val="18"/>
          <w:szCs w:val="18"/>
          <w:lang w:val="en-US"/>
        </w:rPr>
      </w:pPr>
      <w:r w:rsidRPr="001E1ED3">
        <w:rPr>
          <w:rFonts w:ascii="Arial" w:hAnsi="Arial" w:cs="Arial"/>
          <w:sz w:val="18"/>
          <w:szCs w:val="18"/>
        </w:rPr>
        <w:t xml:space="preserve">UNOCHA and AOAV, “State of Crisis: explosive weapons in Yemen,” 25 September 2015, </w:t>
      </w:r>
      <w:hyperlink r:id="rId3" w:history="1">
        <w:r w:rsidRPr="001E1ED3">
          <w:rPr>
            <w:rStyle w:val="Hyperlink"/>
            <w:rFonts w:ascii="Arial" w:hAnsi="Arial" w:cs="Arial"/>
            <w:sz w:val="18"/>
            <w:szCs w:val="18"/>
          </w:rPr>
          <w:t>http://www.unocha.org/top-stories/all-stories/almost-9-10-deaths-and-injuries-explosive-weapons-yemen-are-civilian</w:t>
        </w:r>
      </w:hyperlink>
      <w:r w:rsidRPr="001E1ED3">
        <w:rPr>
          <w:rFonts w:ascii="Arial" w:hAnsi="Arial" w:cs="Arial"/>
          <w:sz w:val="18"/>
          <w:szCs w:val="18"/>
        </w:rPr>
        <w:t xml:space="preserve">. </w:t>
      </w:r>
    </w:p>
  </w:footnote>
  <w:footnote w:id="4">
    <w:p w14:paraId="32C29106" w14:textId="676A1D91" w:rsidR="00CD3485" w:rsidRPr="001E1ED3" w:rsidRDefault="00CD3485" w:rsidP="00BE1AB5">
      <w:pPr>
        <w:pStyle w:val="FootnoteText"/>
        <w:rPr>
          <w:rFonts w:ascii="Arial" w:hAnsi="Arial" w:cs="Arial"/>
          <w:sz w:val="18"/>
          <w:szCs w:val="18"/>
          <w:lang w:val="en-US"/>
        </w:rPr>
      </w:pPr>
      <w:r w:rsidRPr="00A71B2E">
        <w:rPr>
          <w:rStyle w:val="FootnoteReference"/>
          <w:rFonts w:ascii="Arial" w:hAnsi="Arial" w:cs="Arial"/>
          <w:sz w:val="18"/>
          <w:szCs w:val="18"/>
        </w:rPr>
        <w:footnoteRef/>
      </w:r>
      <w:r w:rsidRPr="00A71B2E">
        <w:rPr>
          <w:rFonts w:ascii="Arial" w:hAnsi="Arial" w:cs="Arial"/>
          <w:sz w:val="18"/>
          <w:szCs w:val="18"/>
        </w:rPr>
        <w:t xml:space="preserve"> United Nations Security Council, “Final report of the</w:t>
      </w:r>
      <w:r w:rsidRPr="00A71B2E">
        <w:rPr>
          <w:rFonts w:ascii="Arial" w:hAnsi="Arial" w:cs="Arial"/>
          <w:sz w:val="18"/>
          <w:szCs w:val="18"/>
          <w:lang w:val="en-US"/>
        </w:rPr>
        <w:t xml:space="preserve"> Panel of Experts on Yemen established pursuant to Security Council resolution 2140 (2014),” 22 January 2016, Annex 47.</w:t>
      </w:r>
      <w:r w:rsidRPr="001E1ED3">
        <w:rPr>
          <w:rFonts w:ascii="Arial" w:hAnsi="Arial" w:cs="Arial"/>
          <w:sz w:val="18"/>
          <w:szCs w:val="18"/>
          <w:lang w:val="en-US"/>
        </w:rPr>
        <w:t xml:space="preserve"> </w:t>
      </w:r>
    </w:p>
  </w:footnote>
  <w:footnote w:id="5">
    <w:p w14:paraId="17A09B40" w14:textId="2153F9F5" w:rsidR="00CD3485" w:rsidRPr="001E1ED3" w:rsidRDefault="00CD3485">
      <w:pPr>
        <w:pStyle w:val="FootnoteText"/>
        <w:rPr>
          <w:rFonts w:ascii="Arial" w:hAnsi="Arial" w:cs="Arial"/>
          <w:sz w:val="18"/>
          <w:szCs w:val="18"/>
          <w:lang w:val="en-US"/>
        </w:rPr>
      </w:pPr>
      <w:r w:rsidRPr="001E1ED3">
        <w:rPr>
          <w:rStyle w:val="FootnoteReference"/>
          <w:rFonts w:ascii="Arial" w:hAnsi="Arial" w:cs="Arial"/>
          <w:sz w:val="18"/>
          <w:szCs w:val="18"/>
        </w:rPr>
        <w:footnoteRef/>
      </w:r>
      <w:r w:rsidRPr="001E1ED3">
        <w:rPr>
          <w:rFonts w:ascii="Arial" w:hAnsi="Arial" w:cs="Arial"/>
          <w:sz w:val="18"/>
          <w:szCs w:val="18"/>
        </w:rPr>
        <w:t xml:space="preserve"> Report of the United Nations High Commissioner for Human Rights, “Situation of human rights in Yemen,” 4 August 2016, </w:t>
      </w:r>
      <w:hyperlink r:id="rId4" w:history="1">
        <w:r w:rsidRPr="001E1ED3">
          <w:rPr>
            <w:rStyle w:val="Hyperlink"/>
            <w:rFonts w:ascii="Arial" w:hAnsi="Arial" w:cs="Arial"/>
            <w:sz w:val="18"/>
            <w:szCs w:val="18"/>
          </w:rPr>
          <w:t>http://ap.ohchr.org/documents/dpage_e.aspx?si=A/HRC/33/38</w:t>
        </w:r>
      </w:hyperlink>
    </w:p>
  </w:footnote>
  <w:footnote w:id="6">
    <w:p w14:paraId="4AF351AD" w14:textId="74C3B54E" w:rsidR="00CD3485" w:rsidRPr="001E1ED3" w:rsidRDefault="00CD3485">
      <w:pPr>
        <w:pStyle w:val="FootnoteText"/>
        <w:rPr>
          <w:rFonts w:ascii="Arial" w:hAnsi="Arial" w:cs="Arial"/>
          <w:sz w:val="18"/>
          <w:szCs w:val="18"/>
          <w:lang w:val="en-US"/>
        </w:rPr>
      </w:pPr>
      <w:r w:rsidRPr="001E1ED3">
        <w:rPr>
          <w:rStyle w:val="FootnoteReference"/>
          <w:rFonts w:ascii="Arial" w:hAnsi="Arial" w:cs="Arial"/>
          <w:sz w:val="18"/>
          <w:szCs w:val="18"/>
        </w:rPr>
        <w:footnoteRef/>
      </w:r>
      <w:r w:rsidRPr="001E1ED3">
        <w:rPr>
          <w:rFonts w:ascii="Arial" w:hAnsi="Arial" w:cs="Arial"/>
          <w:sz w:val="18"/>
          <w:szCs w:val="18"/>
        </w:rPr>
        <w:t xml:space="preserve"> </w:t>
      </w:r>
      <w:r w:rsidRPr="001E1ED3">
        <w:rPr>
          <w:rFonts w:ascii="Arial" w:hAnsi="Arial" w:cs="Arial"/>
          <w:sz w:val="18"/>
          <w:szCs w:val="18"/>
          <w:lang w:val="en-US"/>
        </w:rPr>
        <w:t xml:space="preserve">See for example Human Rights Watch, “Yemen: Coalition Blocking Desperately Needed Fuel,” 10 May 2015, </w:t>
      </w:r>
      <w:hyperlink r:id="rId5" w:history="1">
        <w:r w:rsidRPr="001E1ED3">
          <w:rPr>
            <w:rStyle w:val="Hyperlink"/>
            <w:rFonts w:ascii="Arial" w:hAnsi="Arial" w:cs="Arial"/>
            <w:sz w:val="18"/>
            <w:szCs w:val="18"/>
            <w:lang w:val="en-US"/>
          </w:rPr>
          <w:t>https://www.hrw.org/news/2015/05/10/yemen-coalition-blocking-desperately-needed-fuel</w:t>
        </w:r>
      </w:hyperlink>
      <w:r w:rsidRPr="001E1ED3">
        <w:rPr>
          <w:rFonts w:ascii="Arial" w:hAnsi="Arial" w:cs="Arial"/>
          <w:sz w:val="18"/>
          <w:szCs w:val="18"/>
          <w:lang w:val="en-US"/>
        </w:rPr>
        <w:t xml:space="preserve"> </w:t>
      </w:r>
    </w:p>
  </w:footnote>
  <w:footnote w:id="7">
    <w:p w14:paraId="002DCD58" w14:textId="2AE6DDE8" w:rsidR="00CD3485" w:rsidRPr="001E1ED3" w:rsidRDefault="00CD3485">
      <w:pPr>
        <w:pStyle w:val="FootnoteText"/>
        <w:rPr>
          <w:rFonts w:ascii="Arial" w:hAnsi="Arial" w:cs="Arial"/>
          <w:sz w:val="18"/>
          <w:szCs w:val="18"/>
          <w:lang w:val="en-US"/>
        </w:rPr>
      </w:pPr>
      <w:r w:rsidRPr="001E1ED3">
        <w:rPr>
          <w:rStyle w:val="FootnoteReference"/>
          <w:rFonts w:ascii="Arial" w:hAnsi="Arial" w:cs="Arial"/>
          <w:sz w:val="18"/>
          <w:szCs w:val="18"/>
        </w:rPr>
        <w:footnoteRef/>
      </w:r>
      <w:r w:rsidRPr="001E1ED3">
        <w:rPr>
          <w:rFonts w:ascii="Arial" w:hAnsi="Arial" w:cs="Arial"/>
          <w:sz w:val="18"/>
          <w:szCs w:val="18"/>
        </w:rPr>
        <w:t xml:space="preserve"> Matrix Chambers, “Legal Opinion: The lawfulness of the authorisation by the United Kingdom of weapons and related items for export to Saudi Arabia in the context of Saudi Arabia’s military intervention in Yemen,” 11 December 2015, </w:t>
      </w:r>
      <w:hyperlink r:id="rId6" w:history="1">
        <w:r w:rsidRPr="001E1ED3">
          <w:rPr>
            <w:rStyle w:val="Hyperlink"/>
            <w:rFonts w:ascii="Arial" w:hAnsi="Arial" w:cs="Arial"/>
            <w:sz w:val="18"/>
            <w:szCs w:val="18"/>
          </w:rPr>
          <w:t>http://controlarms.org/en/wp-content/uploads/sites/2/2015/12/Legal-Opinion-on-Arms-Exports-to-Saudi-Arabia.pdf</w:t>
        </w:r>
      </w:hyperlink>
      <w:r w:rsidRPr="001E1ED3">
        <w:rPr>
          <w:rFonts w:ascii="Arial" w:hAnsi="Arial" w:cs="Arial"/>
          <w:sz w:val="18"/>
          <w:szCs w:val="18"/>
        </w:rPr>
        <w:t xml:space="preserve">. </w:t>
      </w:r>
    </w:p>
  </w:footnote>
  <w:footnote w:id="8">
    <w:p w14:paraId="1C8C71A9" w14:textId="220283C8" w:rsidR="00CD3485" w:rsidRPr="001E1ED3" w:rsidRDefault="00CD3485">
      <w:pPr>
        <w:pStyle w:val="FootnoteText"/>
        <w:rPr>
          <w:rFonts w:ascii="Arial" w:hAnsi="Arial" w:cs="Arial"/>
          <w:sz w:val="18"/>
          <w:szCs w:val="18"/>
          <w:lang w:val="en-US"/>
        </w:rPr>
      </w:pPr>
      <w:r w:rsidRPr="001E1ED3">
        <w:rPr>
          <w:rStyle w:val="FootnoteReference"/>
          <w:rFonts w:ascii="Arial" w:hAnsi="Arial" w:cs="Arial"/>
          <w:sz w:val="18"/>
          <w:szCs w:val="18"/>
        </w:rPr>
        <w:footnoteRef/>
      </w:r>
      <w:r w:rsidRPr="001E1ED3">
        <w:rPr>
          <w:rFonts w:ascii="Arial" w:hAnsi="Arial" w:cs="Arial"/>
          <w:sz w:val="18"/>
          <w:szCs w:val="18"/>
        </w:rPr>
        <w:t xml:space="preserve"> UN Office for the Coordination of Humanitarian Affairs, “Under-Secretary-General for Humanitarian Affairs and Emergency Relief Coordinator, Stephen O’Brien Statement to the Security Council on Yemen,” 31 October 2016, </w:t>
      </w:r>
      <w:hyperlink r:id="rId7" w:history="1">
        <w:r w:rsidRPr="001E1ED3">
          <w:rPr>
            <w:rStyle w:val="Hyperlink"/>
            <w:rFonts w:ascii="Arial" w:hAnsi="Arial" w:cs="Arial"/>
            <w:sz w:val="18"/>
            <w:szCs w:val="18"/>
          </w:rPr>
          <w:t>http://reliefweb.int/report/yemen/under-secretary-general-humanitarian-affairs-and-emergency-relief-coordinator-10</w:t>
        </w:r>
      </w:hyperlink>
      <w:r w:rsidRPr="001E1ED3">
        <w:rPr>
          <w:rFonts w:ascii="Arial" w:hAnsi="Arial" w:cs="Arial"/>
          <w:sz w:val="18"/>
          <w:szCs w:val="18"/>
        </w:rPr>
        <w:t xml:space="preserve"> </w:t>
      </w:r>
    </w:p>
  </w:footnote>
  <w:footnote w:id="9">
    <w:p w14:paraId="3FA40D24" w14:textId="48C49C5F" w:rsidR="00CD3485" w:rsidRPr="001E1ED3" w:rsidRDefault="00CD3485">
      <w:pPr>
        <w:pStyle w:val="FootnoteText"/>
        <w:rPr>
          <w:rFonts w:ascii="Arial" w:hAnsi="Arial" w:cs="Arial"/>
          <w:sz w:val="18"/>
          <w:szCs w:val="18"/>
          <w:lang w:val="en-US"/>
        </w:rPr>
      </w:pPr>
      <w:r w:rsidRPr="001E1ED3">
        <w:rPr>
          <w:rStyle w:val="FootnoteReference"/>
          <w:rFonts w:ascii="Arial" w:hAnsi="Arial" w:cs="Arial"/>
          <w:sz w:val="18"/>
          <w:szCs w:val="18"/>
        </w:rPr>
        <w:footnoteRef/>
      </w:r>
      <w:r w:rsidRPr="001E1ED3">
        <w:rPr>
          <w:rFonts w:ascii="Arial" w:hAnsi="Arial" w:cs="Arial"/>
          <w:sz w:val="18"/>
          <w:szCs w:val="18"/>
          <w:lang w:val="en-US"/>
        </w:rPr>
        <w:t xml:space="preserve"> Houthi forces and their allies in Yemen are subject to arms embargoes imposed by the UN Security Council an</w:t>
      </w:r>
      <w:r>
        <w:rPr>
          <w:rFonts w:ascii="Arial" w:hAnsi="Arial" w:cs="Arial"/>
          <w:sz w:val="18"/>
          <w:szCs w:val="18"/>
          <w:lang w:val="en-US"/>
        </w:rPr>
        <w:t>d the European Union. As such any transfer of arms would be in violation of Article 6 of the ATT.</w:t>
      </w:r>
    </w:p>
  </w:footnote>
  <w:footnote w:id="10">
    <w:p w14:paraId="04754A29" w14:textId="21564A39" w:rsidR="00CD3485" w:rsidRPr="001E1ED3" w:rsidRDefault="00CD3485">
      <w:pPr>
        <w:pStyle w:val="FootnoteText"/>
        <w:rPr>
          <w:rFonts w:ascii="Arial" w:hAnsi="Arial" w:cs="Arial"/>
          <w:sz w:val="18"/>
          <w:szCs w:val="18"/>
          <w:lang w:val="en-US"/>
        </w:rPr>
      </w:pPr>
      <w:r w:rsidRPr="001E1ED3">
        <w:rPr>
          <w:rStyle w:val="FootnoteReference"/>
          <w:rFonts w:ascii="Arial" w:hAnsi="Arial" w:cs="Arial"/>
          <w:sz w:val="18"/>
          <w:szCs w:val="18"/>
        </w:rPr>
        <w:footnoteRef/>
      </w:r>
      <w:r w:rsidRPr="001E1ED3">
        <w:rPr>
          <w:rFonts w:ascii="Arial" w:hAnsi="Arial" w:cs="Arial"/>
          <w:sz w:val="18"/>
          <w:szCs w:val="18"/>
        </w:rPr>
        <w:t xml:space="preserve"> For more information see Control Arms Secretariat, “Dealing in Double Standards: How arms sales to Saudi Arabia are causing human suffering in Yemen,” ATT Monitor, February 2016, and “Update to ATT Monitor Case Study,” August 2016, both available for download at </w:t>
      </w:r>
      <w:hyperlink r:id="rId8" w:history="1">
        <w:r w:rsidRPr="001E1ED3">
          <w:rPr>
            <w:rStyle w:val="Hyperlink"/>
            <w:rFonts w:ascii="Arial" w:hAnsi="Arial" w:cs="Arial"/>
            <w:sz w:val="18"/>
            <w:szCs w:val="18"/>
          </w:rPr>
          <w:t>http://armstreatymonitor.org/en/dealing-double-standards-arms-sales-saudi-arabia-causing-human-suffering-yemen/</w:t>
        </w:r>
      </w:hyperlink>
      <w:r w:rsidRPr="001E1ED3">
        <w:rPr>
          <w:rFonts w:ascii="Arial" w:hAnsi="Arial" w:cs="Arial"/>
          <w:sz w:val="18"/>
          <w:szCs w:val="18"/>
        </w:rPr>
        <w:t xml:space="preserve">. </w:t>
      </w:r>
    </w:p>
  </w:footnote>
  <w:footnote w:id="11">
    <w:p w14:paraId="018A4DDB" w14:textId="77777777" w:rsidR="00CD3485" w:rsidRPr="001E1ED3" w:rsidRDefault="00CD3485" w:rsidP="00A46A9F">
      <w:pPr>
        <w:pStyle w:val="FootnoteText"/>
        <w:rPr>
          <w:rFonts w:ascii="Arial" w:hAnsi="Arial" w:cs="Arial"/>
          <w:sz w:val="18"/>
          <w:szCs w:val="18"/>
          <w:lang w:val="en-US"/>
        </w:rPr>
      </w:pPr>
      <w:r w:rsidRPr="001E1ED3">
        <w:rPr>
          <w:rStyle w:val="FootnoteReference"/>
          <w:rFonts w:ascii="Arial" w:hAnsi="Arial" w:cs="Arial"/>
          <w:sz w:val="18"/>
          <w:szCs w:val="18"/>
        </w:rPr>
        <w:footnoteRef/>
      </w:r>
      <w:r w:rsidRPr="001E1ED3">
        <w:rPr>
          <w:rFonts w:ascii="Arial" w:hAnsi="Arial" w:cs="Arial"/>
          <w:sz w:val="18"/>
          <w:szCs w:val="18"/>
        </w:rPr>
        <w:t xml:space="preserve"> </w:t>
      </w:r>
      <w:r w:rsidRPr="001E1ED3">
        <w:rPr>
          <w:rFonts w:ascii="Arial" w:hAnsi="Arial" w:cs="Arial"/>
          <w:sz w:val="18"/>
          <w:szCs w:val="18"/>
          <w:lang w:val="en-US"/>
        </w:rPr>
        <w:t xml:space="preserve">UN OCHA, “Humanitarian Bulletin: Yemen,” Issue 18, 14 December 2016, </w:t>
      </w:r>
      <w:hyperlink r:id="rId9" w:history="1">
        <w:r w:rsidRPr="001E1ED3">
          <w:rPr>
            <w:rStyle w:val="Hyperlink"/>
            <w:rFonts w:ascii="Arial" w:hAnsi="Arial" w:cs="Arial"/>
            <w:sz w:val="18"/>
            <w:szCs w:val="18"/>
            <w:lang w:val="en-US"/>
          </w:rPr>
          <w:t>http://reliefweb.int/sites/reliefweb.int/files/resources/november_hb-_issue_18.pdf</w:t>
        </w:r>
      </w:hyperlink>
      <w:r w:rsidRPr="001E1ED3">
        <w:rPr>
          <w:rFonts w:ascii="Arial" w:hAnsi="Arial" w:cs="Arial"/>
          <w:sz w:val="18"/>
          <w:szCs w:val="18"/>
          <w:lang w:val="en-US"/>
        </w:rPr>
        <w:t xml:space="preserve"> </w:t>
      </w:r>
    </w:p>
  </w:footnote>
  <w:footnote w:id="12">
    <w:p w14:paraId="36265CDC" w14:textId="2ED3FF09" w:rsidR="00CD3485" w:rsidRPr="001E1ED3" w:rsidRDefault="00CD3485">
      <w:pPr>
        <w:pStyle w:val="FootnoteText"/>
        <w:rPr>
          <w:rFonts w:ascii="Arial" w:hAnsi="Arial" w:cs="Arial"/>
          <w:sz w:val="18"/>
          <w:szCs w:val="18"/>
          <w:lang w:val="en-US"/>
        </w:rPr>
      </w:pPr>
      <w:r w:rsidRPr="001E1ED3">
        <w:rPr>
          <w:rStyle w:val="FootnoteReference"/>
          <w:rFonts w:ascii="Arial" w:hAnsi="Arial" w:cs="Arial"/>
          <w:sz w:val="18"/>
          <w:szCs w:val="18"/>
        </w:rPr>
        <w:footnoteRef/>
      </w:r>
      <w:r w:rsidRPr="001E1ED3">
        <w:rPr>
          <w:rFonts w:ascii="Arial" w:hAnsi="Arial" w:cs="Arial"/>
          <w:sz w:val="18"/>
          <w:szCs w:val="18"/>
        </w:rPr>
        <w:t xml:space="preserve"> </w:t>
      </w:r>
      <w:r w:rsidRPr="001E1ED3">
        <w:rPr>
          <w:rFonts w:ascii="Arial" w:hAnsi="Arial" w:cs="Arial"/>
          <w:sz w:val="18"/>
          <w:szCs w:val="18"/>
          <w:lang w:val="en-US"/>
        </w:rPr>
        <w:t xml:space="preserve">21 of the 72 denials were for ML1 items, defined as: “Smooth-bore weapons with a caliber of less than 20mm, other arms and automatic weapons with a caliber of 12.7mm (caliber 0.50 inches) or less and accessories, as follows, and specially designed components […]” See: Official Journal of the European Union, “Common Military List of the European Union,” 2015/C 120/01, Volume 58, 21 April 2015, </w:t>
      </w:r>
      <w:hyperlink r:id="rId10" w:history="1">
        <w:r w:rsidRPr="001E1ED3">
          <w:rPr>
            <w:rStyle w:val="Hyperlink"/>
            <w:rFonts w:ascii="Arial" w:hAnsi="Arial" w:cs="Arial"/>
            <w:sz w:val="18"/>
            <w:szCs w:val="18"/>
            <w:lang w:val="en-US"/>
          </w:rPr>
          <w:t>http://eur-lex.europa.eu/legal-content/EN/TXT/PDF/?uri=OJ:C:2015:129:FULL&amp;from=EN</w:t>
        </w:r>
      </w:hyperlink>
      <w:r w:rsidRPr="001E1ED3">
        <w:rPr>
          <w:rFonts w:ascii="Arial" w:hAnsi="Arial" w:cs="Arial"/>
          <w:sz w:val="18"/>
          <w:szCs w:val="18"/>
          <w:lang w:val="en-US"/>
        </w:rPr>
        <w:t xml:space="preserve"> </w:t>
      </w:r>
    </w:p>
  </w:footnote>
  <w:footnote w:id="13">
    <w:p w14:paraId="38CC8CDE" w14:textId="0DF87224" w:rsidR="00CD3485" w:rsidRPr="001E1ED3" w:rsidRDefault="00CD3485">
      <w:pPr>
        <w:pStyle w:val="FootnoteText"/>
        <w:rPr>
          <w:rFonts w:ascii="Arial" w:hAnsi="Arial" w:cs="Arial"/>
          <w:sz w:val="18"/>
          <w:szCs w:val="18"/>
          <w:lang w:val="en-US"/>
        </w:rPr>
      </w:pPr>
      <w:r w:rsidRPr="001E1ED3">
        <w:rPr>
          <w:rStyle w:val="FootnoteReference"/>
          <w:rFonts w:ascii="Arial" w:hAnsi="Arial" w:cs="Arial"/>
          <w:sz w:val="18"/>
          <w:szCs w:val="18"/>
        </w:rPr>
        <w:footnoteRef/>
      </w:r>
      <w:r w:rsidRPr="001E1ED3">
        <w:rPr>
          <w:rFonts w:ascii="Arial" w:hAnsi="Arial" w:cs="Arial"/>
          <w:sz w:val="18"/>
          <w:szCs w:val="18"/>
        </w:rPr>
        <w:t xml:space="preserve"> Translated from original Dutch using Google Translate: </w:t>
      </w:r>
      <w:r w:rsidRPr="001E1ED3">
        <w:rPr>
          <w:rFonts w:ascii="Arial" w:hAnsi="Arial" w:cs="Arial"/>
          <w:sz w:val="18"/>
          <w:szCs w:val="18"/>
          <w:lang w:val="en-US"/>
        </w:rPr>
        <w:t xml:space="preserve">Reponses from </w:t>
      </w:r>
      <w:proofErr w:type="spellStart"/>
      <w:r w:rsidRPr="001E1ED3">
        <w:rPr>
          <w:rFonts w:ascii="Arial" w:hAnsi="Arial" w:cs="Arial"/>
          <w:sz w:val="18"/>
          <w:szCs w:val="18"/>
          <w:lang w:val="en-US"/>
        </w:rPr>
        <w:t>Mr</w:t>
      </w:r>
      <w:proofErr w:type="spellEnd"/>
      <w:r w:rsidRPr="001E1ED3">
        <w:rPr>
          <w:rFonts w:ascii="Arial" w:hAnsi="Arial" w:cs="Arial"/>
          <w:sz w:val="18"/>
          <w:szCs w:val="18"/>
          <w:lang w:val="en-US"/>
        </w:rPr>
        <w:t xml:space="preserve"> </w:t>
      </w:r>
      <w:proofErr w:type="spellStart"/>
      <w:r w:rsidRPr="001E1ED3">
        <w:rPr>
          <w:rFonts w:ascii="Arial" w:hAnsi="Arial" w:cs="Arial"/>
          <w:sz w:val="18"/>
          <w:szCs w:val="18"/>
          <w:lang w:val="en-US"/>
        </w:rPr>
        <w:t>Koenders</w:t>
      </w:r>
      <w:proofErr w:type="spellEnd"/>
      <w:r w:rsidRPr="001E1ED3">
        <w:rPr>
          <w:rFonts w:ascii="Arial" w:hAnsi="Arial" w:cs="Arial"/>
          <w:sz w:val="18"/>
          <w:szCs w:val="18"/>
          <w:lang w:val="en-US"/>
        </w:rPr>
        <w:t xml:space="preserve"> (BZ) and Minister Ploumen (Foreign Trade and Development) to questions from MPs Van </w:t>
      </w:r>
      <w:proofErr w:type="spellStart"/>
      <w:r w:rsidRPr="001E1ED3">
        <w:rPr>
          <w:rFonts w:ascii="Arial" w:hAnsi="Arial" w:cs="Arial"/>
          <w:sz w:val="18"/>
          <w:szCs w:val="18"/>
          <w:lang w:val="en-US"/>
        </w:rPr>
        <w:t>Bommel</w:t>
      </w:r>
      <w:proofErr w:type="spellEnd"/>
      <w:r w:rsidRPr="001E1ED3">
        <w:rPr>
          <w:rFonts w:ascii="Arial" w:hAnsi="Arial" w:cs="Arial"/>
          <w:sz w:val="18"/>
          <w:szCs w:val="18"/>
          <w:lang w:val="en-US"/>
        </w:rPr>
        <w:t xml:space="preserve"> and Van </w:t>
      </w:r>
      <w:proofErr w:type="spellStart"/>
      <w:r w:rsidRPr="001E1ED3">
        <w:rPr>
          <w:rFonts w:ascii="Arial" w:hAnsi="Arial" w:cs="Arial"/>
          <w:sz w:val="18"/>
          <w:szCs w:val="18"/>
          <w:lang w:val="en-US"/>
        </w:rPr>
        <w:t>Dijk</w:t>
      </w:r>
      <w:proofErr w:type="spellEnd"/>
      <w:r w:rsidRPr="001E1ED3">
        <w:rPr>
          <w:rFonts w:ascii="Arial" w:hAnsi="Arial" w:cs="Arial"/>
          <w:sz w:val="18"/>
          <w:szCs w:val="18"/>
          <w:lang w:val="en-US"/>
        </w:rPr>
        <w:t xml:space="preserve"> (both SP) on exports of military equipment to Saudi Arabia, 9 February 2016, </w:t>
      </w:r>
      <w:hyperlink r:id="rId11" w:history="1">
        <w:r w:rsidRPr="001E1ED3">
          <w:rPr>
            <w:rStyle w:val="Hyperlink"/>
            <w:rFonts w:ascii="Arial" w:hAnsi="Arial" w:cs="Arial"/>
            <w:sz w:val="18"/>
            <w:szCs w:val="18"/>
            <w:lang w:val="en-US"/>
          </w:rPr>
          <w:t>https://www.rijksoverheid.nl/documenten/kamerstukken/2016/02/09/beantwoording-kamervragen-over-export-van-militair-materieel-aan-saoedi-arabie</w:t>
        </w:r>
      </w:hyperlink>
      <w:r w:rsidRPr="001E1ED3">
        <w:rPr>
          <w:rStyle w:val="Hyperlink"/>
          <w:rFonts w:ascii="Arial" w:hAnsi="Arial" w:cs="Arial"/>
          <w:sz w:val="18"/>
          <w:szCs w:val="18"/>
          <w:lang w:val="en-US"/>
        </w:rPr>
        <w:t xml:space="preserve"> </w:t>
      </w:r>
    </w:p>
  </w:footnote>
  <w:footnote w:id="14">
    <w:p w14:paraId="368EEF42" w14:textId="77777777" w:rsidR="00CD3485" w:rsidRPr="00A51EFB" w:rsidRDefault="00CD3485" w:rsidP="00B44550">
      <w:pPr>
        <w:rPr>
          <w:rFonts w:asciiTheme="majorHAnsi" w:hAnsiTheme="majorHAnsi"/>
          <w:sz w:val="18"/>
          <w:szCs w:val="18"/>
        </w:rPr>
      </w:pPr>
      <w:r w:rsidRPr="00A51EFB">
        <w:rPr>
          <w:rStyle w:val="FootnoteReference"/>
          <w:rFonts w:asciiTheme="majorHAnsi" w:hAnsiTheme="majorHAnsi"/>
          <w:sz w:val="18"/>
          <w:szCs w:val="18"/>
        </w:rPr>
        <w:footnoteRef/>
      </w:r>
      <w:r w:rsidRPr="00A51EFB">
        <w:rPr>
          <w:rFonts w:asciiTheme="majorHAnsi" w:hAnsiTheme="majorHAnsi"/>
          <w:sz w:val="18"/>
          <w:szCs w:val="18"/>
        </w:rPr>
        <w:t xml:space="preserve"> Although the provisions across Article 11 explicitly refer just to conventional arms laid out in Article 2.1 States Parties and Signatories should take a broader interpretation and apply these obligations to items covered by Article 3 (Ammunition) and Article 4 (Parts and Components), particularly as these Articles cover items commonly at high risk of diversion.</w:t>
      </w:r>
    </w:p>
  </w:footnote>
  <w:footnote w:id="15">
    <w:p w14:paraId="05D6B998" w14:textId="77777777" w:rsidR="00CD3485" w:rsidRPr="00A51EFB" w:rsidRDefault="00CD3485" w:rsidP="00B44550">
      <w:pPr>
        <w:pStyle w:val="FootnoteText"/>
        <w:rPr>
          <w:rFonts w:asciiTheme="majorHAnsi" w:hAnsiTheme="majorHAnsi"/>
          <w:sz w:val="18"/>
          <w:szCs w:val="18"/>
          <w:lang w:val="en-US"/>
        </w:rPr>
      </w:pPr>
      <w:r w:rsidRPr="00A51EFB">
        <w:rPr>
          <w:rStyle w:val="FootnoteReference"/>
          <w:rFonts w:asciiTheme="majorHAnsi" w:hAnsiTheme="majorHAnsi"/>
          <w:sz w:val="18"/>
          <w:szCs w:val="18"/>
        </w:rPr>
        <w:footnoteRef/>
      </w:r>
      <w:r>
        <w:rPr>
          <w:rFonts w:asciiTheme="majorHAnsi" w:hAnsiTheme="majorHAnsi"/>
          <w:sz w:val="18"/>
          <w:szCs w:val="18"/>
          <w:lang w:val="en-US"/>
        </w:rPr>
        <w:t xml:space="preserve"> </w:t>
      </w:r>
      <w:r w:rsidRPr="00A51EFB">
        <w:rPr>
          <w:rFonts w:asciiTheme="majorHAnsi" w:hAnsiTheme="majorHAnsi"/>
          <w:sz w:val="18"/>
          <w:szCs w:val="18"/>
        </w:rPr>
        <w:t xml:space="preserve">Arms Trade Treaty, </w:t>
      </w:r>
      <w:r w:rsidRPr="00A51EFB">
        <w:rPr>
          <w:rFonts w:asciiTheme="majorHAnsi" w:hAnsiTheme="majorHAnsi"/>
          <w:sz w:val="18"/>
          <w:szCs w:val="18"/>
          <w:lang w:val="en-US"/>
        </w:rPr>
        <w:t>Article 11.2 (adopted 2 April 2013, entered into force 24 December 2014)_UNTS (ATT) Art 11.2.</w:t>
      </w:r>
    </w:p>
  </w:footnote>
  <w:footnote w:id="16">
    <w:p w14:paraId="5454E6B8" w14:textId="30F36102" w:rsidR="00CD3485" w:rsidRPr="00B44550" w:rsidRDefault="00CD3485">
      <w:pPr>
        <w:pStyle w:val="FootnoteText"/>
        <w:rPr>
          <w:rFonts w:ascii="Arial" w:hAnsi="Arial" w:cs="Arial"/>
          <w:lang w:val="en-US"/>
        </w:rPr>
      </w:pPr>
      <w:r w:rsidRPr="00B44550">
        <w:rPr>
          <w:rStyle w:val="FootnoteReference"/>
          <w:rFonts w:ascii="Arial" w:hAnsi="Arial" w:cs="Arial"/>
          <w:sz w:val="18"/>
        </w:rPr>
        <w:footnoteRef/>
      </w:r>
      <w:r w:rsidRPr="00B44550">
        <w:rPr>
          <w:rFonts w:ascii="Arial" w:hAnsi="Arial" w:cs="Arial"/>
          <w:sz w:val="18"/>
        </w:rPr>
        <w:t xml:space="preserve"> </w:t>
      </w:r>
      <w:proofErr w:type="spellStart"/>
      <w:r w:rsidRPr="00B44550">
        <w:rPr>
          <w:rFonts w:ascii="Arial" w:hAnsi="Arial" w:cs="Arial"/>
          <w:sz w:val="18"/>
          <w:lang w:val="en-US"/>
        </w:rPr>
        <w:t>Vranckx</w:t>
      </w:r>
      <w:proofErr w:type="spellEnd"/>
      <w:r w:rsidRPr="00B44550">
        <w:rPr>
          <w:rFonts w:ascii="Arial" w:hAnsi="Arial" w:cs="Arial"/>
          <w:sz w:val="18"/>
          <w:lang w:val="en-US"/>
        </w:rPr>
        <w:t xml:space="preserve">, A. “Containing Diversion: Arms end-use and post-delivery controls,” GRIP Reports 2016/4.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4AFC8" w14:textId="41EB7950" w:rsidR="00CD3485" w:rsidRDefault="00CD3485" w:rsidP="00A71B2E">
    <w:pPr>
      <w:pStyle w:val="Header"/>
      <w:jc w:val="center"/>
    </w:pPr>
    <w:r w:rsidRPr="00794752">
      <w:rPr>
        <w:b/>
        <w:noProof/>
        <w:lang w:val="en-US"/>
      </w:rPr>
      <w:drawing>
        <wp:inline distT="0" distB="0" distL="0" distR="0" wp14:anchorId="0199CED4" wp14:editId="04A0498D">
          <wp:extent cx="2005965" cy="396435"/>
          <wp:effectExtent l="0" t="0" r="63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2038054" cy="40277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D7B"/>
    <w:multiLevelType w:val="hybridMultilevel"/>
    <w:tmpl w:val="27787D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33E06F5"/>
    <w:multiLevelType w:val="hybridMultilevel"/>
    <w:tmpl w:val="2A742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B469DC"/>
    <w:multiLevelType w:val="hybridMultilevel"/>
    <w:tmpl w:val="D4CC2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03BED"/>
    <w:multiLevelType w:val="hybridMultilevel"/>
    <w:tmpl w:val="C812143C"/>
    <w:lvl w:ilvl="0" w:tplc="8C44AB7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5E5F40"/>
    <w:multiLevelType w:val="hybridMultilevel"/>
    <w:tmpl w:val="1D0EE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9645DE"/>
    <w:multiLevelType w:val="hybridMultilevel"/>
    <w:tmpl w:val="3822D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DB49CB"/>
    <w:multiLevelType w:val="hybridMultilevel"/>
    <w:tmpl w:val="83722490"/>
    <w:lvl w:ilvl="0" w:tplc="4B488C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76F2F48"/>
    <w:multiLevelType w:val="hybridMultilevel"/>
    <w:tmpl w:val="4D46D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EE737D"/>
    <w:multiLevelType w:val="hybridMultilevel"/>
    <w:tmpl w:val="C0C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596BA0"/>
    <w:multiLevelType w:val="multilevel"/>
    <w:tmpl w:val="C0C82B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1B878E5"/>
    <w:multiLevelType w:val="hybridMultilevel"/>
    <w:tmpl w:val="E57C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9"/>
  </w:num>
  <w:num w:numId="5">
    <w:abstractNumId w:val="5"/>
  </w:num>
  <w:num w:numId="6">
    <w:abstractNumId w:val="10"/>
  </w:num>
  <w:num w:numId="7">
    <w:abstractNumId w:val="1"/>
  </w:num>
  <w:num w:numId="8">
    <w:abstractNumId w:val="7"/>
  </w:num>
  <w:num w:numId="9">
    <w:abstractNumId w:val="3"/>
  </w:num>
  <w:num w:numId="10">
    <w:abstractNumId w:val="4"/>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Isbister">
    <w15:presenceInfo w15:providerId="Windows Live" w15:userId="c1d797a0dc5fae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C9D"/>
    <w:rsid w:val="00022319"/>
    <w:rsid w:val="000B4E8A"/>
    <w:rsid w:val="001019BC"/>
    <w:rsid w:val="001051B6"/>
    <w:rsid w:val="0012533B"/>
    <w:rsid w:val="00135013"/>
    <w:rsid w:val="00192E22"/>
    <w:rsid w:val="001A6353"/>
    <w:rsid w:val="001A6C3D"/>
    <w:rsid w:val="001E1ED3"/>
    <w:rsid w:val="00212D13"/>
    <w:rsid w:val="002D27B5"/>
    <w:rsid w:val="002E6F34"/>
    <w:rsid w:val="00326565"/>
    <w:rsid w:val="003516AB"/>
    <w:rsid w:val="00377643"/>
    <w:rsid w:val="003B4A97"/>
    <w:rsid w:val="003D1596"/>
    <w:rsid w:val="003D2451"/>
    <w:rsid w:val="00416E74"/>
    <w:rsid w:val="0045539F"/>
    <w:rsid w:val="00477F59"/>
    <w:rsid w:val="00483DBD"/>
    <w:rsid w:val="004E5BDA"/>
    <w:rsid w:val="00510EC7"/>
    <w:rsid w:val="00514510"/>
    <w:rsid w:val="005960BB"/>
    <w:rsid w:val="00626B0E"/>
    <w:rsid w:val="006341BA"/>
    <w:rsid w:val="00655BF4"/>
    <w:rsid w:val="006D1FFD"/>
    <w:rsid w:val="006E5509"/>
    <w:rsid w:val="0073070C"/>
    <w:rsid w:val="00734610"/>
    <w:rsid w:val="00804728"/>
    <w:rsid w:val="0087081A"/>
    <w:rsid w:val="00881B75"/>
    <w:rsid w:val="008F0E26"/>
    <w:rsid w:val="008F3C9D"/>
    <w:rsid w:val="00967824"/>
    <w:rsid w:val="009716B6"/>
    <w:rsid w:val="00995B6F"/>
    <w:rsid w:val="009A2C68"/>
    <w:rsid w:val="009A4F94"/>
    <w:rsid w:val="009A6484"/>
    <w:rsid w:val="009B539D"/>
    <w:rsid w:val="009C5C9F"/>
    <w:rsid w:val="009D6C89"/>
    <w:rsid w:val="009F35BE"/>
    <w:rsid w:val="00A37472"/>
    <w:rsid w:val="00A46A9F"/>
    <w:rsid w:val="00A71B2E"/>
    <w:rsid w:val="00A9586D"/>
    <w:rsid w:val="00B276BE"/>
    <w:rsid w:val="00B31CF7"/>
    <w:rsid w:val="00B37C98"/>
    <w:rsid w:val="00B44550"/>
    <w:rsid w:val="00B52561"/>
    <w:rsid w:val="00B909D7"/>
    <w:rsid w:val="00B91A94"/>
    <w:rsid w:val="00B97D51"/>
    <w:rsid w:val="00BD7FD9"/>
    <w:rsid w:val="00BE1AB5"/>
    <w:rsid w:val="00C00544"/>
    <w:rsid w:val="00C2447C"/>
    <w:rsid w:val="00C35580"/>
    <w:rsid w:val="00CA2E1E"/>
    <w:rsid w:val="00CD3485"/>
    <w:rsid w:val="00D114F8"/>
    <w:rsid w:val="00D17BD7"/>
    <w:rsid w:val="00D518A5"/>
    <w:rsid w:val="00DD77AF"/>
    <w:rsid w:val="00DE7A3F"/>
    <w:rsid w:val="00E704B0"/>
    <w:rsid w:val="00E728B7"/>
    <w:rsid w:val="00EA3CDC"/>
    <w:rsid w:val="00EA6DA6"/>
    <w:rsid w:val="00EE00FC"/>
    <w:rsid w:val="00EF3BF8"/>
    <w:rsid w:val="00EF7B41"/>
    <w:rsid w:val="00F36059"/>
    <w:rsid w:val="00F54AF4"/>
    <w:rsid w:val="00F80465"/>
    <w:rsid w:val="00FC7D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C214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F7B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B41"/>
    <w:pPr>
      <w:ind w:left="720"/>
      <w:contextualSpacing/>
    </w:pPr>
  </w:style>
  <w:style w:type="character" w:customStyle="1" w:styleId="Heading2Char">
    <w:name w:val="Heading 2 Char"/>
    <w:basedOn w:val="DefaultParagraphFont"/>
    <w:link w:val="Heading2"/>
    <w:uiPriority w:val="9"/>
    <w:rsid w:val="00EF7B4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26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276BE"/>
  </w:style>
  <w:style w:type="character" w:customStyle="1" w:styleId="FootnoteTextChar">
    <w:name w:val="Footnote Text Char"/>
    <w:basedOn w:val="DefaultParagraphFont"/>
    <w:link w:val="FootnoteText"/>
    <w:uiPriority w:val="99"/>
    <w:rsid w:val="00B276BE"/>
  </w:style>
  <w:style w:type="character" w:styleId="FootnoteReference">
    <w:name w:val="footnote reference"/>
    <w:basedOn w:val="DefaultParagraphFont"/>
    <w:uiPriority w:val="99"/>
    <w:unhideWhenUsed/>
    <w:rsid w:val="00B276BE"/>
    <w:rPr>
      <w:vertAlign w:val="superscript"/>
    </w:rPr>
  </w:style>
  <w:style w:type="character" w:styleId="CommentReference">
    <w:name w:val="annotation reference"/>
    <w:basedOn w:val="DefaultParagraphFont"/>
    <w:uiPriority w:val="99"/>
    <w:semiHidden/>
    <w:unhideWhenUsed/>
    <w:rsid w:val="00326565"/>
    <w:rPr>
      <w:sz w:val="18"/>
      <w:szCs w:val="18"/>
    </w:rPr>
  </w:style>
  <w:style w:type="paragraph" w:styleId="CommentText">
    <w:name w:val="annotation text"/>
    <w:basedOn w:val="Normal"/>
    <w:link w:val="CommentTextChar"/>
    <w:uiPriority w:val="99"/>
    <w:semiHidden/>
    <w:unhideWhenUsed/>
    <w:rsid w:val="00326565"/>
  </w:style>
  <w:style w:type="character" w:customStyle="1" w:styleId="CommentTextChar">
    <w:name w:val="Comment Text Char"/>
    <w:basedOn w:val="DefaultParagraphFont"/>
    <w:link w:val="CommentText"/>
    <w:uiPriority w:val="99"/>
    <w:semiHidden/>
    <w:rsid w:val="00326565"/>
  </w:style>
  <w:style w:type="paragraph" w:styleId="CommentSubject">
    <w:name w:val="annotation subject"/>
    <w:basedOn w:val="CommentText"/>
    <w:next w:val="CommentText"/>
    <w:link w:val="CommentSubjectChar"/>
    <w:uiPriority w:val="99"/>
    <w:semiHidden/>
    <w:unhideWhenUsed/>
    <w:rsid w:val="00326565"/>
    <w:rPr>
      <w:b/>
      <w:bCs/>
      <w:sz w:val="20"/>
      <w:szCs w:val="20"/>
    </w:rPr>
  </w:style>
  <w:style w:type="character" w:customStyle="1" w:styleId="CommentSubjectChar">
    <w:name w:val="Comment Subject Char"/>
    <w:basedOn w:val="CommentTextChar"/>
    <w:link w:val="CommentSubject"/>
    <w:uiPriority w:val="99"/>
    <w:semiHidden/>
    <w:rsid w:val="00326565"/>
    <w:rPr>
      <w:b/>
      <w:bCs/>
      <w:sz w:val="20"/>
      <w:szCs w:val="20"/>
    </w:rPr>
  </w:style>
  <w:style w:type="paragraph" w:styleId="BalloonText">
    <w:name w:val="Balloon Text"/>
    <w:basedOn w:val="Normal"/>
    <w:link w:val="BalloonTextChar"/>
    <w:uiPriority w:val="99"/>
    <w:semiHidden/>
    <w:unhideWhenUsed/>
    <w:rsid w:val="003265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6565"/>
    <w:rPr>
      <w:rFonts w:ascii="Lucida Grande" w:hAnsi="Lucida Grande" w:cs="Lucida Grande"/>
      <w:sz w:val="18"/>
      <w:szCs w:val="18"/>
    </w:rPr>
  </w:style>
  <w:style w:type="character" w:styleId="Hyperlink">
    <w:name w:val="Hyperlink"/>
    <w:basedOn w:val="DefaultParagraphFont"/>
    <w:uiPriority w:val="99"/>
    <w:unhideWhenUsed/>
    <w:rsid w:val="00326565"/>
    <w:rPr>
      <w:color w:val="0000FF" w:themeColor="hyperlink"/>
      <w:u w:val="single"/>
    </w:rPr>
  </w:style>
  <w:style w:type="paragraph" w:styleId="EndnoteText">
    <w:name w:val="endnote text"/>
    <w:basedOn w:val="Normal"/>
    <w:link w:val="EndnoteTextChar"/>
    <w:uiPriority w:val="99"/>
    <w:unhideWhenUsed/>
    <w:rsid w:val="00804728"/>
    <w:rPr>
      <w:rFonts w:eastAsiaTheme="minorHAnsi"/>
      <w:sz w:val="20"/>
      <w:szCs w:val="20"/>
    </w:rPr>
  </w:style>
  <w:style w:type="character" w:customStyle="1" w:styleId="EndnoteTextChar">
    <w:name w:val="Endnote Text Char"/>
    <w:basedOn w:val="DefaultParagraphFont"/>
    <w:link w:val="EndnoteText"/>
    <w:uiPriority w:val="99"/>
    <w:rsid w:val="00804728"/>
    <w:rPr>
      <w:rFonts w:eastAsiaTheme="minorHAnsi"/>
      <w:sz w:val="20"/>
      <w:szCs w:val="20"/>
    </w:rPr>
  </w:style>
  <w:style w:type="character" w:styleId="EndnoteReference">
    <w:name w:val="endnote reference"/>
    <w:basedOn w:val="DefaultParagraphFont"/>
    <w:uiPriority w:val="99"/>
    <w:unhideWhenUsed/>
    <w:rsid w:val="00804728"/>
    <w:rPr>
      <w:vertAlign w:val="superscript"/>
    </w:rPr>
  </w:style>
  <w:style w:type="table" w:styleId="LightList-Accent2">
    <w:name w:val="Light List Accent 2"/>
    <w:basedOn w:val="TableNormal"/>
    <w:uiPriority w:val="61"/>
    <w:rsid w:val="001E1ED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Spacing">
    <w:name w:val="No Spacing"/>
    <w:uiPriority w:val="1"/>
    <w:qFormat/>
    <w:rsid w:val="001E1ED3"/>
  </w:style>
  <w:style w:type="paragraph" w:styleId="Header">
    <w:name w:val="header"/>
    <w:basedOn w:val="Normal"/>
    <w:link w:val="HeaderChar"/>
    <w:uiPriority w:val="99"/>
    <w:unhideWhenUsed/>
    <w:rsid w:val="00A71B2E"/>
    <w:pPr>
      <w:tabs>
        <w:tab w:val="center" w:pos="4320"/>
        <w:tab w:val="right" w:pos="8640"/>
      </w:tabs>
    </w:pPr>
  </w:style>
  <w:style w:type="character" w:customStyle="1" w:styleId="HeaderChar">
    <w:name w:val="Header Char"/>
    <w:basedOn w:val="DefaultParagraphFont"/>
    <w:link w:val="Header"/>
    <w:uiPriority w:val="99"/>
    <w:rsid w:val="00A71B2E"/>
  </w:style>
  <w:style w:type="paragraph" w:styleId="Footer">
    <w:name w:val="footer"/>
    <w:basedOn w:val="Normal"/>
    <w:link w:val="FooterChar"/>
    <w:uiPriority w:val="99"/>
    <w:unhideWhenUsed/>
    <w:rsid w:val="00A71B2E"/>
    <w:pPr>
      <w:tabs>
        <w:tab w:val="center" w:pos="4320"/>
        <w:tab w:val="right" w:pos="8640"/>
      </w:tabs>
    </w:pPr>
  </w:style>
  <w:style w:type="character" w:customStyle="1" w:styleId="FooterChar">
    <w:name w:val="Footer Char"/>
    <w:basedOn w:val="DefaultParagraphFont"/>
    <w:link w:val="Footer"/>
    <w:uiPriority w:val="99"/>
    <w:rsid w:val="00A71B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F7B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B41"/>
    <w:pPr>
      <w:ind w:left="720"/>
      <w:contextualSpacing/>
    </w:pPr>
  </w:style>
  <w:style w:type="character" w:customStyle="1" w:styleId="Heading2Char">
    <w:name w:val="Heading 2 Char"/>
    <w:basedOn w:val="DefaultParagraphFont"/>
    <w:link w:val="Heading2"/>
    <w:uiPriority w:val="9"/>
    <w:rsid w:val="00EF7B4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26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276BE"/>
  </w:style>
  <w:style w:type="character" w:customStyle="1" w:styleId="FootnoteTextChar">
    <w:name w:val="Footnote Text Char"/>
    <w:basedOn w:val="DefaultParagraphFont"/>
    <w:link w:val="FootnoteText"/>
    <w:uiPriority w:val="99"/>
    <w:rsid w:val="00B276BE"/>
  </w:style>
  <w:style w:type="character" w:styleId="FootnoteReference">
    <w:name w:val="footnote reference"/>
    <w:basedOn w:val="DefaultParagraphFont"/>
    <w:uiPriority w:val="99"/>
    <w:unhideWhenUsed/>
    <w:rsid w:val="00B276BE"/>
    <w:rPr>
      <w:vertAlign w:val="superscript"/>
    </w:rPr>
  </w:style>
  <w:style w:type="character" w:styleId="CommentReference">
    <w:name w:val="annotation reference"/>
    <w:basedOn w:val="DefaultParagraphFont"/>
    <w:uiPriority w:val="99"/>
    <w:semiHidden/>
    <w:unhideWhenUsed/>
    <w:rsid w:val="00326565"/>
    <w:rPr>
      <w:sz w:val="18"/>
      <w:szCs w:val="18"/>
    </w:rPr>
  </w:style>
  <w:style w:type="paragraph" w:styleId="CommentText">
    <w:name w:val="annotation text"/>
    <w:basedOn w:val="Normal"/>
    <w:link w:val="CommentTextChar"/>
    <w:uiPriority w:val="99"/>
    <w:semiHidden/>
    <w:unhideWhenUsed/>
    <w:rsid w:val="00326565"/>
  </w:style>
  <w:style w:type="character" w:customStyle="1" w:styleId="CommentTextChar">
    <w:name w:val="Comment Text Char"/>
    <w:basedOn w:val="DefaultParagraphFont"/>
    <w:link w:val="CommentText"/>
    <w:uiPriority w:val="99"/>
    <w:semiHidden/>
    <w:rsid w:val="00326565"/>
  </w:style>
  <w:style w:type="paragraph" w:styleId="CommentSubject">
    <w:name w:val="annotation subject"/>
    <w:basedOn w:val="CommentText"/>
    <w:next w:val="CommentText"/>
    <w:link w:val="CommentSubjectChar"/>
    <w:uiPriority w:val="99"/>
    <w:semiHidden/>
    <w:unhideWhenUsed/>
    <w:rsid w:val="00326565"/>
    <w:rPr>
      <w:b/>
      <w:bCs/>
      <w:sz w:val="20"/>
      <w:szCs w:val="20"/>
    </w:rPr>
  </w:style>
  <w:style w:type="character" w:customStyle="1" w:styleId="CommentSubjectChar">
    <w:name w:val="Comment Subject Char"/>
    <w:basedOn w:val="CommentTextChar"/>
    <w:link w:val="CommentSubject"/>
    <w:uiPriority w:val="99"/>
    <w:semiHidden/>
    <w:rsid w:val="00326565"/>
    <w:rPr>
      <w:b/>
      <w:bCs/>
      <w:sz w:val="20"/>
      <w:szCs w:val="20"/>
    </w:rPr>
  </w:style>
  <w:style w:type="paragraph" w:styleId="BalloonText">
    <w:name w:val="Balloon Text"/>
    <w:basedOn w:val="Normal"/>
    <w:link w:val="BalloonTextChar"/>
    <w:uiPriority w:val="99"/>
    <w:semiHidden/>
    <w:unhideWhenUsed/>
    <w:rsid w:val="003265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6565"/>
    <w:rPr>
      <w:rFonts w:ascii="Lucida Grande" w:hAnsi="Lucida Grande" w:cs="Lucida Grande"/>
      <w:sz w:val="18"/>
      <w:szCs w:val="18"/>
    </w:rPr>
  </w:style>
  <w:style w:type="character" w:styleId="Hyperlink">
    <w:name w:val="Hyperlink"/>
    <w:basedOn w:val="DefaultParagraphFont"/>
    <w:uiPriority w:val="99"/>
    <w:unhideWhenUsed/>
    <w:rsid w:val="00326565"/>
    <w:rPr>
      <w:color w:val="0000FF" w:themeColor="hyperlink"/>
      <w:u w:val="single"/>
    </w:rPr>
  </w:style>
  <w:style w:type="paragraph" w:styleId="EndnoteText">
    <w:name w:val="endnote text"/>
    <w:basedOn w:val="Normal"/>
    <w:link w:val="EndnoteTextChar"/>
    <w:uiPriority w:val="99"/>
    <w:unhideWhenUsed/>
    <w:rsid w:val="00804728"/>
    <w:rPr>
      <w:rFonts w:eastAsiaTheme="minorHAnsi"/>
      <w:sz w:val="20"/>
      <w:szCs w:val="20"/>
    </w:rPr>
  </w:style>
  <w:style w:type="character" w:customStyle="1" w:styleId="EndnoteTextChar">
    <w:name w:val="Endnote Text Char"/>
    <w:basedOn w:val="DefaultParagraphFont"/>
    <w:link w:val="EndnoteText"/>
    <w:uiPriority w:val="99"/>
    <w:rsid w:val="00804728"/>
    <w:rPr>
      <w:rFonts w:eastAsiaTheme="minorHAnsi"/>
      <w:sz w:val="20"/>
      <w:szCs w:val="20"/>
    </w:rPr>
  </w:style>
  <w:style w:type="character" w:styleId="EndnoteReference">
    <w:name w:val="endnote reference"/>
    <w:basedOn w:val="DefaultParagraphFont"/>
    <w:uiPriority w:val="99"/>
    <w:unhideWhenUsed/>
    <w:rsid w:val="00804728"/>
    <w:rPr>
      <w:vertAlign w:val="superscript"/>
    </w:rPr>
  </w:style>
  <w:style w:type="table" w:styleId="LightList-Accent2">
    <w:name w:val="Light List Accent 2"/>
    <w:basedOn w:val="TableNormal"/>
    <w:uiPriority w:val="61"/>
    <w:rsid w:val="001E1ED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Spacing">
    <w:name w:val="No Spacing"/>
    <w:uiPriority w:val="1"/>
    <w:qFormat/>
    <w:rsid w:val="001E1ED3"/>
  </w:style>
  <w:style w:type="paragraph" w:styleId="Header">
    <w:name w:val="header"/>
    <w:basedOn w:val="Normal"/>
    <w:link w:val="HeaderChar"/>
    <w:uiPriority w:val="99"/>
    <w:unhideWhenUsed/>
    <w:rsid w:val="00A71B2E"/>
    <w:pPr>
      <w:tabs>
        <w:tab w:val="center" w:pos="4320"/>
        <w:tab w:val="right" w:pos="8640"/>
      </w:tabs>
    </w:pPr>
  </w:style>
  <w:style w:type="character" w:customStyle="1" w:styleId="HeaderChar">
    <w:name w:val="Header Char"/>
    <w:basedOn w:val="DefaultParagraphFont"/>
    <w:link w:val="Header"/>
    <w:uiPriority w:val="99"/>
    <w:rsid w:val="00A71B2E"/>
  </w:style>
  <w:style w:type="paragraph" w:styleId="Footer">
    <w:name w:val="footer"/>
    <w:basedOn w:val="Normal"/>
    <w:link w:val="FooterChar"/>
    <w:uiPriority w:val="99"/>
    <w:unhideWhenUsed/>
    <w:rsid w:val="00A71B2E"/>
    <w:pPr>
      <w:tabs>
        <w:tab w:val="center" w:pos="4320"/>
        <w:tab w:val="right" w:pos="8640"/>
      </w:tabs>
    </w:pPr>
  </w:style>
  <w:style w:type="character" w:customStyle="1" w:styleId="FooterChar">
    <w:name w:val="Footer Char"/>
    <w:basedOn w:val="DefaultParagraphFont"/>
    <w:link w:val="Footer"/>
    <w:uiPriority w:val="99"/>
    <w:rsid w:val="00A7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12" Type="http://schemas.microsoft.com/office/2011/relationships/commentsExtended" Target="commentsExtended.xml"/><Relationship Id="rId7" Type="http://schemas.openxmlformats.org/officeDocument/2006/relationships/endnotes" Target="endnotes.xml"/><Relationship Id="rId2" Type="http://schemas.openxmlformats.org/officeDocument/2006/relationships/styles" Target="styles.xml"/><Relationship Id="rId11"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unocha.org/top-stories/all-stories/almost-9-10-deaths-and-injuries-explosive-weapons-yemen-are-civilian" TargetMode="External"/><Relationship Id="rId4" Type="http://schemas.openxmlformats.org/officeDocument/2006/relationships/hyperlink" Target="http://ap.ohchr.org/documents/dpage_e.aspx?si=A/HRC/33/38" TargetMode="External"/><Relationship Id="rId5" Type="http://schemas.openxmlformats.org/officeDocument/2006/relationships/hyperlink" Target="https://www.hrw.org/news/2015/05/10/yemen-coalition-blocking-desperately-needed-fuel" TargetMode="External"/><Relationship Id="rId6" Type="http://schemas.openxmlformats.org/officeDocument/2006/relationships/hyperlink" Target="http://controlarms.org/en/wp-content/uploads/sites/2/2015/12/Legal-Opinion-on-Arms-Exports-to-Saudi-Arabia.pdf" TargetMode="External"/><Relationship Id="rId7" Type="http://schemas.openxmlformats.org/officeDocument/2006/relationships/hyperlink" Target="http://reliefweb.int/report/yemen/under-secretary-general-humanitarian-affairs-and-emergency-relief-coordinator-10" TargetMode="External"/><Relationship Id="rId8" Type="http://schemas.openxmlformats.org/officeDocument/2006/relationships/hyperlink" Target="http://armstreatymonitor.org/en/dealing-double-standards-arms-sales-saudi-arabia-causing-human-suffering-yemen/" TargetMode="External"/><Relationship Id="rId9" Type="http://schemas.openxmlformats.org/officeDocument/2006/relationships/hyperlink" Target="http://reliefweb.int/sites/reliefweb.int/files/resources/november_hb-_issue_18.pdf" TargetMode="External"/><Relationship Id="rId10" Type="http://schemas.openxmlformats.org/officeDocument/2006/relationships/hyperlink" Target="http://eur-lex.europa.eu/legal-content/EN/TXT/PDF/?uri=OJ:C:2015:129:FULL&amp;from=EN" TargetMode="External"/><Relationship Id="rId11" Type="http://schemas.openxmlformats.org/officeDocument/2006/relationships/hyperlink" Target="https://www.rijksoverheid.nl/documenten/kamerstukken/2016/02/09/beantwoording-kamervragen-over-export-van-militair-materieel-aan-saoedi-arabie" TargetMode="External"/><Relationship Id="rId1" Type="http://schemas.openxmlformats.org/officeDocument/2006/relationships/hyperlink" Target="http://armstreatymonitor.org/en/the-2015-report/" TargetMode="External"/><Relationship Id="rId2" Type="http://schemas.openxmlformats.org/officeDocument/2006/relationships/hyperlink" Target="http://ap.ohchr.org/documents/dpage_e.aspx?si=A/HRC/33/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D44CD2-3E0C-4AC4-ACD0-BAE5C7C0E764}"/>
</file>

<file path=customXml/itemProps2.xml><?xml version="1.0" encoding="utf-8"?>
<ds:datastoreItem xmlns:ds="http://schemas.openxmlformats.org/officeDocument/2006/customXml" ds:itemID="{42AAB58B-57C0-4D2E-89F0-F5FD9A1A2DB2}"/>
</file>

<file path=customXml/itemProps3.xml><?xml version="1.0" encoding="utf-8"?>
<ds:datastoreItem xmlns:ds="http://schemas.openxmlformats.org/officeDocument/2006/customXml" ds:itemID="{F436AB1E-44A6-4EDE-891D-58A8D5D0295D}"/>
</file>

<file path=docProps/app.xml><?xml version="1.0" encoding="utf-8"?>
<Properties xmlns="http://schemas.openxmlformats.org/officeDocument/2006/extended-properties" xmlns:vt="http://schemas.openxmlformats.org/officeDocument/2006/docPropsVTypes">
  <Template>Normal.dotm</Template>
  <TotalTime>13</TotalTime>
  <Pages>7</Pages>
  <Words>2286</Words>
  <Characters>13033</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Perkins</dc:creator>
  <cp:keywords/>
  <dc:description/>
  <cp:lastModifiedBy>Rob Perkins</cp:lastModifiedBy>
  <cp:revision>3</cp:revision>
  <dcterms:created xsi:type="dcterms:W3CDTF">2017-02-03T17:34:00Z</dcterms:created>
  <dcterms:modified xsi:type="dcterms:W3CDTF">2017-02-03T17:40:00Z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