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4B6B" w14:textId="79EAB89F" w:rsidR="00C55F77" w:rsidRPr="00712BD6" w:rsidRDefault="00C55F77" w:rsidP="00C55F77">
      <w:pPr>
        <w:pStyle w:val="BasicParagraph"/>
        <w:ind w:left="-284" w:firstLine="284"/>
        <w:rPr>
          <w:rFonts w:ascii="Helvetica Light" w:hAnsi="Helvetica Light" w:cs="Helvetica"/>
          <w:b/>
          <w:bCs/>
          <w:color w:val="FFFFFF"/>
          <w:sz w:val="40"/>
          <w:szCs w:val="40"/>
        </w:rPr>
      </w:pPr>
      <w:r w:rsidRPr="00712BD6">
        <w:rPr>
          <w:rFonts w:ascii="Helvetica Light" w:hAnsi="Helvetica Light"/>
          <w:b/>
          <w:bCs/>
          <w:noProof/>
          <w:sz w:val="40"/>
          <w:szCs w:val="44"/>
          <w:lang w:val="en-US" w:eastAsia="zh-CN"/>
        </w:rPr>
        <mc:AlternateContent>
          <mc:Choice Requires="wps">
            <w:drawing>
              <wp:anchor distT="0" distB="0" distL="114300" distR="114300" simplePos="0" relativeHeight="251659264" behindDoc="1" locked="0" layoutInCell="1" allowOverlap="1" wp14:anchorId="1DA3E959" wp14:editId="4A669403">
                <wp:simplePos x="0" y="0"/>
                <wp:positionH relativeFrom="column">
                  <wp:posOffset>-863600</wp:posOffset>
                </wp:positionH>
                <wp:positionV relativeFrom="paragraph">
                  <wp:posOffset>-2127250</wp:posOffset>
                </wp:positionV>
                <wp:extent cx="4801235" cy="12093575"/>
                <wp:effectExtent l="0" t="0" r="24765" b="22225"/>
                <wp:wrapNone/>
                <wp:docPr id="1" name="Rectangle 1"/>
                <wp:cNvGraphicFramePr/>
                <a:graphic xmlns:a="http://schemas.openxmlformats.org/drawingml/2006/main">
                  <a:graphicData uri="http://schemas.microsoft.com/office/word/2010/wordprocessingShape">
                    <wps:wsp>
                      <wps:cNvSpPr/>
                      <wps:spPr>
                        <a:xfrm>
                          <a:off x="0" y="0"/>
                          <a:ext cx="4801235" cy="12093575"/>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FA5C" id="Rectangle 1" o:spid="_x0000_s1026" style="position:absolute;margin-left:-68pt;margin-top:-167.5pt;width:378.05pt;height:9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" fillcolor="#2c166f" strokecolor="#2c166f" strokeweight="1pt"/>
            </w:pict>
          </mc:Fallback>
        </mc:AlternateContent>
      </w:r>
      <w:r w:rsidRPr="00712BD6">
        <w:rPr>
          <w:rFonts w:ascii="Helvetica Light" w:hAnsi="Helvetica Light" w:cs="Helvetica"/>
          <w:b/>
          <w:bCs/>
          <w:color w:val="FFFFFF"/>
          <w:sz w:val="40"/>
          <w:szCs w:val="40"/>
        </w:rPr>
        <w:t xml:space="preserve">Submission to the            </w:t>
      </w:r>
    </w:p>
    <w:p w14:paraId="753025E7" w14:textId="77777777" w:rsidR="00C55F77" w:rsidRPr="00712BD6" w:rsidRDefault="00C55F77" w:rsidP="00C55F77">
      <w:pPr>
        <w:rPr>
          <w:rFonts w:ascii="Helvetica Light" w:hAnsi="Helvetica Light" w:cs="Helvetica"/>
          <w:b/>
          <w:bCs/>
          <w:color w:val="FFFFFF"/>
          <w:sz w:val="40"/>
          <w:szCs w:val="40"/>
        </w:rPr>
      </w:pPr>
      <w:r w:rsidRPr="00712BD6">
        <w:rPr>
          <w:rFonts w:ascii="Helvetica Light" w:hAnsi="Helvetica Light" w:cs="Helvetica"/>
          <w:b/>
          <w:bCs/>
          <w:color w:val="FFFFFF"/>
          <w:sz w:val="40"/>
          <w:szCs w:val="40"/>
        </w:rPr>
        <w:t xml:space="preserve">UN Special Rapporteur on </w:t>
      </w:r>
    </w:p>
    <w:p w14:paraId="532B0D8C" w14:textId="77777777" w:rsidR="00C55F77" w:rsidRDefault="00C55F77" w:rsidP="00C55F77">
      <w:pPr>
        <w:rPr>
          <w:rFonts w:ascii="Helvetica Light" w:hAnsi="Helvetica Light" w:cs="Helvetica"/>
          <w:color w:val="FFFFFF"/>
          <w:sz w:val="48"/>
          <w:szCs w:val="48"/>
        </w:rPr>
      </w:pPr>
      <w:r w:rsidRPr="00712BD6">
        <w:rPr>
          <w:rFonts w:ascii="Helvetica Light" w:hAnsi="Helvetica Light" w:cs="Helvetica"/>
          <w:b/>
          <w:bCs/>
          <w:color w:val="FFFFFF"/>
          <w:sz w:val="40"/>
          <w:szCs w:val="40"/>
        </w:rPr>
        <w:t>Freedom of Religion or Belief</w:t>
      </w:r>
      <w:r w:rsidRPr="004E46D4">
        <w:rPr>
          <w:rFonts w:ascii="Helvetica Light" w:hAnsi="Helvetica Light" w:cs="Helvetica"/>
          <w:b/>
          <w:bCs/>
          <w:color w:val="FFFFFF"/>
          <w:sz w:val="40"/>
          <w:szCs w:val="40"/>
        </w:rPr>
        <w:t xml:space="preserve"> </w:t>
      </w:r>
    </w:p>
    <w:p w14:paraId="35B38CCD" w14:textId="77777777" w:rsidR="00C55F77" w:rsidRDefault="00C55F77" w:rsidP="00C55F77">
      <w:pPr>
        <w:ind w:left="-284" w:hanging="142"/>
        <w:rPr>
          <w:rFonts w:ascii="Helvetica Light" w:hAnsi="Helvetica Light" w:cs="Helvetica"/>
          <w:color w:val="FFFFFF"/>
          <w:sz w:val="48"/>
          <w:szCs w:val="48"/>
        </w:rPr>
      </w:pPr>
    </w:p>
    <w:p w14:paraId="442D5F40" w14:textId="0C0F64E8" w:rsidR="00C55F77" w:rsidRDefault="00C55F77" w:rsidP="00C55F77">
      <w:pPr>
        <w:ind w:left="-284" w:hanging="142"/>
        <w:rPr>
          <w:rFonts w:ascii="Helvetica Light" w:hAnsi="Helvetica Light" w:cs="Helvetica"/>
          <w:color w:val="FFFFFF"/>
          <w:sz w:val="48"/>
          <w:szCs w:val="48"/>
        </w:rPr>
      </w:pPr>
    </w:p>
    <w:p w14:paraId="1BABFEBB" w14:textId="28D14EBB" w:rsidR="00C55F77" w:rsidRDefault="00C55F77" w:rsidP="00C55F77">
      <w:pPr>
        <w:ind w:left="-284" w:hanging="142"/>
        <w:rPr>
          <w:rFonts w:ascii="Helvetica Light" w:hAnsi="Helvetica Light" w:cs="Helvetica"/>
          <w:color w:val="FFFFFF"/>
          <w:sz w:val="48"/>
          <w:szCs w:val="48"/>
        </w:rPr>
      </w:pPr>
    </w:p>
    <w:p w14:paraId="305815AA" w14:textId="184B1D59" w:rsidR="00C55F77" w:rsidRDefault="00C55F77" w:rsidP="00C55F77">
      <w:pPr>
        <w:ind w:left="-284" w:hanging="142"/>
        <w:rPr>
          <w:rFonts w:ascii="Helvetica Light" w:hAnsi="Helvetica Light" w:cs="Helvetica"/>
          <w:color w:val="FFFFFF"/>
          <w:sz w:val="48"/>
          <w:szCs w:val="48"/>
        </w:rPr>
      </w:pPr>
    </w:p>
    <w:p w14:paraId="3E43EA68" w14:textId="0D49ABCB" w:rsidR="00C55F77" w:rsidRDefault="00C55F77" w:rsidP="00C55F77">
      <w:pPr>
        <w:ind w:left="-284" w:hanging="142"/>
        <w:rPr>
          <w:rFonts w:ascii="Helvetica Light" w:hAnsi="Helvetica Light" w:cs="Helvetica"/>
          <w:color w:val="FFFFFF"/>
          <w:sz w:val="48"/>
          <w:szCs w:val="48"/>
        </w:rPr>
      </w:pPr>
    </w:p>
    <w:p w14:paraId="4E8474D7" w14:textId="5FEF64FD" w:rsidR="00C55F77" w:rsidRPr="00712BD6" w:rsidRDefault="00C55F77" w:rsidP="00C55F77">
      <w:pPr>
        <w:pStyle w:val="BasicParagraph"/>
        <w:tabs>
          <w:tab w:val="left" w:pos="709"/>
        </w:tabs>
        <w:spacing w:line="240" w:lineRule="auto"/>
        <w:ind w:left="709"/>
        <w:rPr>
          <w:rFonts w:ascii="Helvetica" w:hAnsi="Helvetica" w:cs="Helvetica"/>
          <w:b/>
          <w:bCs/>
          <w:color w:val="FFFFFF"/>
          <w:sz w:val="40"/>
          <w:szCs w:val="40"/>
        </w:rPr>
      </w:pPr>
      <w:r w:rsidRPr="00712BD6">
        <w:rPr>
          <w:rFonts w:ascii="Helvetica Light" w:hAnsi="Helvetica Light" w:cs="Helvetica"/>
          <w:noProof/>
          <w:color w:val="FFFFFF"/>
          <w:sz w:val="40"/>
          <w:szCs w:val="40"/>
          <w:lang w:val="en-US" w:eastAsia="zh-CN"/>
        </w:rPr>
        <mc:AlternateContent>
          <mc:Choice Requires="wps">
            <w:drawing>
              <wp:anchor distT="0" distB="0" distL="114300" distR="114300" simplePos="0" relativeHeight="251660288" behindDoc="0" locked="0" layoutInCell="1" allowOverlap="1" wp14:anchorId="67D726B6" wp14:editId="43F50B7A">
                <wp:simplePos x="0" y="0"/>
                <wp:positionH relativeFrom="column">
                  <wp:posOffset>87630</wp:posOffset>
                </wp:positionH>
                <wp:positionV relativeFrom="paragraph">
                  <wp:posOffset>40640</wp:posOffset>
                </wp:positionV>
                <wp:extent cx="0" cy="2922270"/>
                <wp:effectExtent l="76200" t="0" r="88900" b="36830"/>
                <wp:wrapNone/>
                <wp:docPr id="2" name="Straight Connector 2"/>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187F7A"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3.2pt" to="6.9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" strokecolor="white [3212]" strokeweight="12.5pt">
                <v:stroke joinstyle="miter"/>
              </v:line>
            </w:pict>
          </mc:Fallback>
        </mc:AlternateContent>
      </w:r>
      <w:r>
        <w:rPr>
          <w:rFonts w:ascii="Helvetica" w:hAnsi="Helvetica" w:cs="Helvetica"/>
          <w:b/>
          <w:bCs/>
          <w:color w:val="FFFFFF"/>
          <w:sz w:val="40"/>
          <w:szCs w:val="40"/>
        </w:rPr>
        <w:tab/>
      </w:r>
      <w:r w:rsidRPr="00712BD6">
        <w:rPr>
          <w:rFonts w:ascii="Helvetica" w:hAnsi="Helvetica" w:cs="Helvetica"/>
          <w:b/>
          <w:bCs/>
          <w:color w:val="FFFFFF"/>
          <w:sz w:val="40"/>
          <w:szCs w:val="40"/>
        </w:rPr>
        <w:t xml:space="preserve"> </w:t>
      </w:r>
    </w:p>
    <w:p w14:paraId="4A834CDF" w14:textId="77777777" w:rsidR="00C55F77" w:rsidRDefault="00C55F77" w:rsidP="00C55F77">
      <w:pPr>
        <w:rPr>
          <w:rFonts w:ascii="Helvetica" w:hAnsi="Helvetica" w:cs="Helvetica"/>
          <w:b/>
          <w:bCs/>
          <w:color w:val="FFFFFF"/>
          <w:sz w:val="72"/>
          <w:szCs w:val="72"/>
        </w:rPr>
      </w:pPr>
    </w:p>
    <w:p w14:paraId="2A28EF04" w14:textId="71CCCA76" w:rsidR="00C55F77" w:rsidRDefault="00C55F77" w:rsidP="00C55F77">
      <w:pPr>
        <w:pStyle w:val="BasicParagraph"/>
        <w:ind w:left="709"/>
        <w:rPr>
          <w:rFonts w:ascii="Helvetica Light" w:hAnsi="Helvetica Light" w:cs="Helvetica"/>
          <w:color w:val="FFFFFF"/>
          <w:sz w:val="36"/>
          <w:szCs w:val="36"/>
        </w:rPr>
      </w:pPr>
      <w:r>
        <w:rPr>
          <w:rFonts w:ascii="Helvetica Light" w:hAnsi="Helvetica Light" w:cs="Helvetica"/>
          <w:color w:val="FFFFFF"/>
          <w:sz w:val="36"/>
          <w:szCs w:val="36"/>
        </w:rPr>
        <w:t xml:space="preserve">For the Report to the UN </w:t>
      </w:r>
    </w:p>
    <w:p w14:paraId="7F66246C" w14:textId="62D50103" w:rsidR="00C55F77" w:rsidRDefault="00C55F77" w:rsidP="00C55F77">
      <w:pPr>
        <w:pStyle w:val="BasicParagraph"/>
        <w:ind w:left="709"/>
        <w:rPr>
          <w:rFonts w:ascii="Helvetica Light" w:hAnsi="Helvetica Light" w:cs="Helvetica"/>
          <w:color w:val="FFFFFF"/>
          <w:sz w:val="36"/>
          <w:szCs w:val="36"/>
        </w:rPr>
      </w:pPr>
      <w:r>
        <w:rPr>
          <w:rFonts w:ascii="Helvetica Light" w:hAnsi="Helvetica Light" w:cs="Helvetica"/>
          <w:color w:val="FFFFFF"/>
          <w:sz w:val="36"/>
          <w:szCs w:val="36"/>
        </w:rPr>
        <w:t>General Assembly on</w:t>
      </w:r>
    </w:p>
    <w:p w14:paraId="0C903760" w14:textId="3DC43F3D" w:rsidR="00C55F77" w:rsidRDefault="00C55F77" w:rsidP="00C55F77">
      <w:pPr>
        <w:pStyle w:val="BasicParagraph"/>
        <w:ind w:left="709"/>
        <w:rPr>
          <w:rFonts w:ascii="Helvetica Light" w:hAnsi="Helvetica Light" w:cs="Helvetica"/>
          <w:color w:val="FFFFFF"/>
          <w:sz w:val="36"/>
          <w:szCs w:val="36"/>
        </w:rPr>
      </w:pPr>
      <w:r>
        <w:rPr>
          <w:rFonts w:ascii="Helvetica Light" w:hAnsi="Helvetica Light" w:cs="Helvetica"/>
          <w:color w:val="FFFFFF"/>
          <w:sz w:val="36"/>
          <w:szCs w:val="36"/>
        </w:rPr>
        <w:t>Eliminating Intolerance and</w:t>
      </w:r>
    </w:p>
    <w:p w14:paraId="13A92655" w14:textId="102819F6" w:rsidR="00C55F77" w:rsidRDefault="00C55F77" w:rsidP="00C55F77">
      <w:pPr>
        <w:pStyle w:val="BasicParagraph"/>
        <w:ind w:left="709"/>
        <w:rPr>
          <w:rFonts w:ascii="Helvetica Light" w:hAnsi="Helvetica Light" w:cs="Helvetica"/>
          <w:color w:val="FFFFFF"/>
          <w:sz w:val="36"/>
          <w:szCs w:val="36"/>
        </w:rPr>
      </w:pPr>
      <w:r>
        <w:rPr>
          <w:rFonts w:ascii="Helvetica Light" w:hAnsi="Helvetica Light" w:cs="Helvetica"/>
          <w:color w:val="FFFFFF"/>
          <w:sz w:val="36"/>
          <w:szCs w:val="36"/>
        </w:rPr>
        <w:t>Discrimination Based on</w:t>
      </w:r>
    </w:p>
    <w:p w14:paraId="5B305728" w14:textId="2E2BB167" w:rsidR="00C55F77" w:rsidRDefault="00C55F77" w:rsidP="00C55F77">
      <w:pPr>
        <w:pStyle w:val="BasicParagraph"/>
        <w:ind w:left="709"/>
        <w:rPr>
          <w:rFonts w:ascii="Helvetica Light" w:hAnsi="Helvetica Light" w:cs="Helvetica"/>
          <w:color w:val="FFFFFF"/>
          <w:sz w:val="36"/>
          <w:szCs w:val="36"/>
        </w:rPr>
      </w:pPr>
      <w:r>
        <w:rPr>
          <w:rFonts w:ascii="Helvetica Light" w:hAnsi="Helvetica Light" w:cs="Helvetica"/>
          <w:color w:val="FFFFFF"/>
          <w:sz w:val="36"/>
          <w:szCs w:val="36"/>
        </w:rPr>
        <w:t>Religion or Belief and the</w:t>
      </w:r>
    </w:p>
    <w:p w14:paraId="688C6FEC" w14:textId="478D78FB" w:rsidR="00C55F77" w:rsidRDefault="00C55F77" w:rsidP="00C55F77">
      <w:pPr>
        <w:pStyle w:val="BasicParagraph"/>
        <w:ind w:left="709"/>
        <w:rPr>
          <w:rFonts w:ascii="Helvetica Light" w:hAnsi="Helvetica Light" w:cs="Helvetica"/>
          <w:color w:val="FFFFFF"/>
          <w:sz w:val="36"/>
          <w:szCs w:val="36"/>
        </w:rPr>
      </w:pPr>
      <w:r>
        <w:rPr>
          <w:rFonts w:ascii="Helvetica Light" w:hAnsi="Helvetica Light" w:cs="Helvetica"/>
          <w:color w:val="FFFFFF"/>
          <w:sz w:val="36"/>
          <w:szCs w:val="36"/>
        </w:rPr>
        <w:t>Achievement of SDG 16</w:t>
      </w:r>
    </w:p>
    <w:p w14:paraId="435CF756" w14:textId="3185C0E2" w:rsidR="00C55F77" w:rsidRDefault="00C55F77" w:rsidP="00C55F77">
      <w:pPr>
        <w:pStyle w:val="BasicParagraph"/>
        <w:ind w:left="709"/>
        <w:rPr>
          <w:rFonts w:ascii="Helvetica Light" w:hAnsi="Helvetica Light" w:cs="Helvetica"/>
          <w:color w:val="FFFFFF"/>
          <w:sz w:val="36"/>
          <w:szCs w:val="36"/>
        </w:rPr>
      </w:pPr>
    </w:p>
    <w:p w14:paraId="315F44B9" w14:textId="53124446" w:rsidR="00C55F77" w:rsidRDefault="00C55F77" w:rsidP="00C55F77">
      <w:pPr>
        <w:pStyle w:val="BasicParagraph"/>
        <w:ind w:left="709"/>
        <w:rPr>
          <w:rFonts w:ascii="Helvetica Light" w:hAnsi="Helvetica Light" w:cs="Helvetica"/>
          <w:color w:val="FFFFFF"/>
          <w:sz w:val="36"/>
          <w:szCs w:val="36"/>
        </w:rPr>
      </w:pPr>
    </w:p>
    <w:p w14:paraId="11D111D5" w14:textId="196704E9" w:rsidR="00C55F77" w:rsidRPr="00C55F77" w:rsidRDefault="00F6243B" w:rsidP="00C55F77">
      <w:pPr>
        <w:pStyle w:val="BasicParagraph"/>
        <w:ind w:left="709"/>
        <w:rPr>
          <w:rFonts w:ascii="Helvetica Light" w:hAnsi="Helvetica Light" w:cs="Helvetica"/>
          <w:b/>
          <w:bCs/>
          <w:color w:val="FFFFFF"/>
          <w:sz w:val="36"/>
          <w:szCs w:val="36"/>
        </w:rPr>
      </w:pPr>
      <w:r w:rsidRPr="009764D6">
        <w:rPr>
          <w:rFonts w:asciiTheme="majorBidi" w:eastAsia="Times New Roman" w:hAnsiTheme="majorBidi" w:cstheme="majorBidi"/>
          <w:noProof/>
          <w:lang w:val="en-US" w:eastAsia="zh-CN"/>
        </w:rPr>
        <w:drawing>
          <wp:anchor distT="0" distB="0" distL="114300" distR="114300" simplePos="0" relativeHeight="251665408" behindDoc="1" locked="0" layoutInCell="1" allowOverlap="1" wp14:anchorId="04C525F6" wp14:editId="4B63FBD0">
            <wp:simplePos x="0" y="0"/>
            <wp:positionH relativeFrom="column">
              <wp:posOffset>4225925</wp:posOffset>
            </wp:positionH>
            <wp:positionV relativeFrom="paragraph">
              <wp:posOffset>19685</wp:posOffset>
            </wp:positionV>
            <wp:extent cx="2317941" cy="1240971"/>
            <wp:effectExtent l="0" t="0" r="6350" b="0"/>
            <wp:wrapNone/>
            <wp:docPr id="10" name="Picture 10" descr="tatelessness Working Paper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elessness Working Paper Se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941" cy="12409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Light" w:hAnsi="Helvetica Light" w:cs="Helvetica"/>
          <w:b/>
          <w:bCs/>
          <w:color w:val="FFFFFF"/>
          <w:sz w:val="36"/>
          <w:szCs w:val="36"/>
        </w:rPr>
        <w:t>30 November</w:t>
      </w:r>
      <w:r w:rsidR="00C55F77">
        <w:rPr>
          <w:rFonts w:ascii="Helvetica Light" w:hAnsi="Helvetica Light" w:cs="Helvetica"/>
          <w:b/>
          <w:bCs/>
          <w:color w:val="FFFFFF"/>
          <w:sz w:val="36"/>
          <w:szCs w:val="36"/>
        </w:rPr>
        <w:t xml:space="preserve"> 2020</w:t>
      </w:r>
    </w:p>
    <w:p w14:paraId="6EAE9B21" w14:textId="7172D6A4" w:rsidR="00C55F77" w:rsidRPr="00C013D5" w:rsidRDefault="00C55F77" w:rsidP="00C55F77">
      <w:pPr>
        <w:pStyle w:val="BasicParagraph"/>
        <w:tabs>
          <w:tab w:val="left" w:pos="7360"/>
        </w:tabs>
        <w:ind w:firstLine="426"/>
        <w:rPr>
          <w:rFonts w:ascii="Helvetica Light" w:hAnsi="Helvetica Light" w:cs="Helvetica"/>
          <w:color w:val="FFFFFF"/>
          <w:sz w:val="48"/>
          <w:szCs w:val="48"/>
        </w:rPr>
      </w:pPr>
      <w:r>
        <w:rPr>
          <w:rFonts w:ascii="Helvetica Light" w:hAnsi="Helvetica Light" w:cs="Helvetica"/>
          <w:color w:val="FFFFFF"/>
          <w:sz w:val="48"/>
          <w:szCs w:val="48"/>
        </w:rPr>
        <w:tab/>
      </w:r>
    </w:p>
    <w:p w14:paraId="30D91837" w14:textId="2B772E2E" w:rsidR="00C55F77" w:rsidRPr="00C55F77" w:rsidRDefault="00C55F77" w:rsidP="006A2494">
      <w:pPr>
        <w:pStyle w:val="BasicParagraph"/>
        <w:spacing w:line="240" w:lineRule="auto"/>
        <w:jc w:val="center"/>
        <w:rPr>
          <w:rFonts w:asciiTheme="minorHAnsi" w:hAnsiTheme="minorHAnsi" w:cstheme="minorHAnsi"/>
          <w:b/>
          <w:bCs/>
          <w:color w:val="auto"/>
          <w:sz w:val="40"/>
          <w:szCs w:val="40"/>
        </w:rPr>
      </w:pPr>
      <w:r w:rsidRPr="00C55F77">
        <w:rPr>
          <w:rFonts w:asciiTheme="minorHAnsi" w:hAnsiTheme="minorHAnsi" w:cstheme="minorHAnsi"/>
          <w:b/>
          <w:bCs/>
          <w:color w:val="auto"/>
          <w:sz w:val="40"/>
          <w:szCs w:val="40"/>
        </w:rPr>
        <w:lastRenderedPageBreak/>
        <w:t>Submission to the UN Special Rapporteur on Freedom of Religion or Belief</w:t>
      </w:r>
      <w:r w:rsidRPr="00C55F77">
        <w:rPr>
          <w:rStyle w:val="FootnoteReference"/>
          <w:rFonts w:asciiTheme="minorHAnsi" w:hAnsiTheme="minorHAnsi" w:cstheme="minorHAnsi"/>
          <w:b/>
          <w:bCs/>
          <w:color w:val="auto"/>
          <w:sz w:val="40"/>
          <w:szCs w:val="40"/>
        </w:rPr>
        <w:footnoteReference w:customMarkFollows="1" w:id="1"/>
        <w:sym w:font="Symbol" w:char="F02A"/>
      </w:r>
    </w:p>
    <w:p w14:paraId="1A7D1DF0" w14:textId="3F9B5833" w:rsidR="00BD1298" w:rsidRDefault="00BD1298" w:rsidP="006A2494">
      <w:pPr>
        <w:spacing w:after="0" w:line="240" w:lineRule="auto"/>
        <w:jc w:val="both"/>
        <w:rPr>
          <w:rFonts w:eastAsia="Times New Roman" w:cstheme="minorHAnsi"/>
        </w:rPr>
      </w:pPr>
    </w:p>
    <w:p w14:paraId="4593807B" w14:textId="77777777" w:rsidR="006A2494" w:rsidRPr="00F501D1" w:rsidRDefault="006A2494" w:rsidP="006A2494">
      <w:pPr>
        <w:spacing w:after="0" w:line="240" w:lineRule="auto"/>
        <w:jc w:val="both"/>
        <w:rPr>
          <w:rFonts w:eastAsia="Times New Roman" w:cstheme="minorHAnsi"/>
        </w:rPr>
      </w:pPr>
    </w:p>
    <w:p w14:paraId="1F332A1D" w14:textId="06FFECD9" w:rsidR="006A2494" w:rsidRPr="006A2494" w:rsidRDefault="00F6243B" w:rsidP="006A2494">
      <w:pPr>
        <w:pStyle w:val="Default"/>
        <w:numPr>
          <w:ilvl w:val="0"/>
          <w:numId w:val="3"/>
        </w:numPr>
        <w:jc w:val="both"/>
        <w:rPr>
          <w:rFonts w:asciiTheme="minorHAnsi" w:hAnsiTheme="minorHAnsi" w:cstheme="minorHAnsi"/>
          <w:sz w:val="22"/>
          <w:szCs w:val="22"/>
        </w:rPr>
      </w:pPr>
      <w:r>
        <w:rPr>
          <w:rFonts w:asciiTheme="minorHAnsi" w:eastAsia="Times New Roman" w:hAnsiTheme="minorHAnsi" w:cstheme="minorHAnsi"/>
          <w:sz w:val="22"/>
          <w:szCs w:val="22"/>
        </w:rPr>
        <w:t>T</w:t>
      </w:r>
      <w:r w:rsidR="00B061DD" w:rsidRPr="00F501D1">
        <w:rPr>
          <w:rFonts w:asciiTheme="minorHAnsi" w:eastAsia="Times New Roman" w:hAnsiTheme="minorHAnsi" w:cstheme="minorHAnsi"/>
          <w:sz w:val="22"/>
          <w:szCs w:val="22"/>
        </w:rPr>
        <w:t xml:space="preserve">he </w:t>
      </w:r>
      <w:r w:rsidR="00BD1298" w:rsidRPr="00F501D1">
        <w:rPr>
          <w:rFonts w:asciiTheme="minorHAnsi" w:eastAsia="Times New Roman" w:hAnsiTheme="minorHAnsi" w:cstheme="minorHAnsi"/>
          <w:sz w:val="22"/>
          <w:szCs w:val="22"/>
        </w:rPr>
        <w:t>Institute on Statelessness and Inclusion</w:t>
      </w:r>
      <w:r w:rsidR="00BD1298" w:rsidRPr="00F501D1">
        <w:rPr>
          <w:rStyle w:val="FootnoteReference"/>
          <w:rFonts w:asciiTheme="minorHAnsi" w:eastAsia="Times New Roman" w:hAnsiTheme="minorHAnsi" w:cstheme="minorHAnsi"/>
          <w:sz w:val="22"/>
          <w:szCs w:val="22"/>
        </w:rPr>
        <w:footnoteReference w:id="2"/>
      </w:r>
      <w:r w:rsidR="00B061DD" w:rsidRPr="00F501D1">
        <w:rPr>
          <w:rFonts w:asciiTheme="minorHAnsi" w:eastAsia="Times New Roman" w:hAnsiTheme="minorHAnsi" w:cstheme="minorHAnsi"/>
          <w:sz w:val="22"/>
          <w:szCs w:val="22"/>
        </w:rPr>
        <w:t xml:space="preserve"> </w:t>
      </w:r>
      <w:r w:rsidR="00812D82" w:rsidRPr="00F501D1">
        <w:rPr>
          <w:rFonts w:asciiTheme="minorHAnsi" w:eastAsia="Times New Roman" w:hAnsiTheme="minorHAnsi" w:cstheme="minorHAnsi"/>
          <w:sz w:val="22"/>
          <w:szCs w:val="22"/>
        </w:rPr>
        <w:t>welcome</w:t>
      </w:r>
      <w:r>
        <w:rPr>
          <w:rFonts w:asciiTheme="minorHAnsi" w:eastAsia="Times New Roman" w:hAnsiTheme="minorHAnsi" w:cstheme="minorHAnsi"/>
          <w:sz w:val="22"/>
          <w:szCs w:val="22"/>
        </w:rPr>
        <w:t>s</w:t>
      </w:r>
      <w:r w:rsidR="00BD1298" w:rsidRPr="00F501D1">
        <w:rPr>
          <w:rFonts w:asciiTheme="minorHAnsi" w:eastAsia="Times New Roman" w:hAnsiTheme="minorHAnsi" w:cstheme="minorHAnsi"/>
          <w:sz w:val="22"/>
          <w:szCs w:val="22"/>
        </w:rPr>
        <w:t xml:space="preserve"> the opportunity to</w:t>
      </w:r>
      <w:r w:rsidR="00BA371D" w:rsidRPr="00F501D1">
        <w:rPr>
          <w:rFonts w:asciiTheme="minorHAnsi" w:eastAsia="Times New Roman" w:hAnsiTheme="minorHAnsi" w:cstheme="minorHAnsi"/>
          <w:sz w:val="22"/>
          <w:szCs w:val="22"/>
        </w:rPr>
        <w:t xml:space="preserve"> </w:t>
      </w:r>
      <w:r w:rsidR="00927A33" w:rsidRPr="00F501D1">
        <w:rPr>
          <w:rFonts w:asciiTheme="minorHAnsi" w:eastAsia="Times New Roman" w:hAnsiTheme="minorHAnsi" w:cstheme="minorHAnsi"/>
          <w:sz w:val="22"/>
          <w:szCs w:val="22"/>
        </w:rPr>
        <w:t>make this submission to</w:t>
      </w:r>
      <w:r w:rsidR="00BA371D" w:rsidRPr="00F501D1">
        <w:rPr>
          <w:rFonts w:asciiTheme="minorHAnsi" w:eastAsia="Times New Roman" w:hAnsiTheme="minorHAnsi" w:cstheme="minorHAnsi"/>
          <w:sz w:val="22"/>
          <w:szCs w:val="22"/>
        </w:rPr>
        <w:t xml:space="preserve"> the Special Rapporteur</w:t>
      </w:r>
      <w:r w:rsidR="002764F8" w:rsidRPr="00F501D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in relation to his upcoming report on anti-Muslim hatred and discrimination.</w:t>
      </w:r>
      <w:r>
        <w:rPr>
          <w:rStyle w:val="FootnoteReference"/>
          <w:rFonts w:asciiTheme="minorHAnsi" w:eastAsia="Times New Roman" w:hAnsiTheme="minorHAnsi" w:cstheme="minorHAnsi"/>
          <w:sz w:val="22"/>
          <w:szCs w:val="22"/>
        </w:rPr>
        <w:footnoteReference w:id="3"/>
      </w:r>
      <w:r w:rsidR="002764F8" w:rsidRPr="00F501D1">
        <w:rPr>
          <w:rFonts w:asciiTheme="minorHAnsi" w:eastAsia="Times New Roman" w:hAnsiTheme="minorHAnsi" w:cstheme="minorHAnsi"/>
          <w:sz w:val="22"/>
          <w:szCs w:val="22"/>
        </w:rPr>
        <w:t xml:space="preserve"> “e</w:t>
      </w:r>
      <w:r w:rsidR="002764F8" w:rsidRPr="00F501D1">
        <w:rPr>
          <w:rFonts w:asciiTheme="minorHAnsi" w:hAnsiTheme="minorHAnsi" w:cstheme="minorHAnsi"/>
          <w:sz w:val="22"/>
          <w:szCs w:val="22"/>
        </w:rPr>
        <w:t>xamples of religious or belief communities at risk of statelessness”.</w:t>
      </w:r>
      <w:r w:rsidR="005F4781" w:rsidRPr="00F501D1">
        <w:rPr>
          <w:rStyle w:val="FootnoteReference"/>
          <w:rFonts w:asciiTheme="minorHAnsi" w:hAnsiTheme="minorHAnsi" w:cstheme="minorHAnsi"/>
          <w:sz w:val="22"/>
          <w:szCs w:val="22"/>
        </w:rPr>
        <w:footnoteReference w:id="4"/>
      </w:r>
      <w:r w:rsidR="00BA3B60" w:rsidRPr="00F501D1">
        <w:rPr>
          <w:rFonts w:asciiTheme="minorHAnsi" w:hAnsiTheme="minorHAnsi" w:cstheme="minorHAnsi"/>
          <w:sz w:val="22"/>
          <w:szCs w:val="22"/>
        </w:rPr>
        <w:t xml:space="preserve"> This submission</w:t>
      </w:r>
      <w:r w:rsidR="002764F8" w:rsidRPr="00F501D1">
        <w:rPr>
          <w:rFonts w:asciiTheme="minorHAnsi" w:eastAsia="Times New Roman" w:hAnsiTheme="minorHAnsi" w:cstheme="minorHAnsi"/>
          <w:sz w:val="22"/>
          <w:szCs w:val="22"/>
        </w:rPr>
        <w:t xml:space="preserve"> focuses </w:t>
      </w:r>
      <w:r w:rsidR="00BA371D" w:rsidRPr="00F501D1">
        <w:rPr>
          <w:rFonts w:asciiTheme="minorHAnsi" w:eastAsia="Times New Roman" w:hAnsiTheme="minorHAnsi" w:cstheme="minorHAnsi"/>
          <w:sz w:val="22"/>
          <w:szCs w:val="22"/>
        </w:rPr>
        <w:t>on</w:t>
      </w:r>
      <w:r w:rsidR="006A2494">
        <w:rPr>
          <w:rFonts w:asciiTheme="minorHAnsi" w:eastAsia="Times New Roman" w:hAnsiTheme="minorHAnsi" w:cstheme="minorHAnsi"/>
          <w:sz w:val="22"/>
          <w:szCs w:val="22"/>
        </w:rPr>
        <w:t>:</w:t>
      </w:r>
    </w:p>
    <w:p w14:paraId="232E010D" w14:textId="77777777" w:rsidR="006A2494" w:rsidRPr="006A2494" w:rsidRDefault="006A2494" w:rsidP="006A2494">
      <w:pPr>
        <w:pStyle w:val="Default"/>
        <w:ind w:left="720"/>
        <w:jc w:val="both"/>
        <w:rPr>
          <w:rFonts w:asciiTheme="minorHAnsi" w:hAnsiTheme="minorHAnsi" w:cstheme="minorHAnsi"/>
          <w:sz w:val="22"/>
          <w:szCs w:val="22"/>
        </w:rPr>
      </w:pPr>
    </w:p>
    <w:p w14:paraId="4DF379DE" w14:textId="0543721E" w:rsidR="006A2494" w:rsidRPr="007151AE" w:rsidRDefault="006A2494" w:rsidP="006A2494">
      <w:pPr>
        <w:pStyle w:val="Default"/>
        <w:numPr>
          <w:ilvl w:val="1"/>
          <w:numId w:val="3"/>
        </w:numPr>
        <w:jc w:val="both"/>
        <w:rPr>
          <w:rFonts w:asciiTheme="minorHAnsi" w:hAnsiTheme="minorHAnsi" w:cstheme="minorHAnsi"/>
          <w:sz w:val="22"/>
          <w:szCs w:val="22"/>
        </w:rPr>
      </w:pPr>
      <w:r>
        <w:rPr>
          <w:rFonts w:asciiTheme="minorHAnsi" w:eastAsia="Times New Roman" w:hAnsiTheme="minorHAnsi" w:cstheme="minorHAnsi"/>
          <w:sz w:val="22"/>
          <w:szCs w:val="22"/>
        </w:rPr>
        <w:t>A</w:t>
      </w:r>
      <w:r w:rsidR="00F6243B">
        <w:rPr>
          <w:rFonts w:asciiTheme="minorHAnsi" w:eastAsia="Times New Roman" w:hAnsiTheme="minorHAnsi" w:cstheme="minorHAnsi"/>
          <w:sz w:val="22"/>
          <w:szCs w:val="22"/>
        </w:rPr>
        <w:t>nti-Muslim hatred and discrimination endured by the Rohingya community in Myanmar and India</w:t>
      </w:r>
      <w:r>
        <w:rPr>
          <w:rFonts w:asciiTheme="minorHAnsi" w:eastAsia="Times New Roman" w:hAnsiTheme="minorHAnsi" w:cstheme="minorHAnsi"/>
          <w:sz w:val="22"/>
          <w:szCs w:val="22"/>
        </w:rPr>
        <w:t xml:space="preserve">; </w:t>
      </w:r>
      <w:r w:rsidR="007151AE">
        <w:rPr>
          <w:rFonts w:asciiTheme="minorHAnsi" w:eastAsia="Times New Roman" w:hAnsiTheme="minorHAnsi" w:cstheme="minorHAnsi"/>
          <w:sz w:val="22"/>
          <w:szCs w:val="22"/>
        </w:rPr>
        <w:t xml:space="preserve">and </w:t>
      </w:r>
    </w:p>
    <w:p w14:paraId="077D9D47" w14:textId="77777777" w:rsidR="007151AE" w:rsidRPr="006A2494" w:rsidRDefault="007151AE" w:rsidP="007151AE">
      <w:pPr>
        <w:pStyle w:val="Default"/>
        <w:ind w:left="1440"/>
        <w:jc w:val="both"/>
        <w:rPr>
          <w:rFonts w:asciiTheme="minorHAnsi" w:hAnsiTheme="minorHAnsi" w:cstheme="minorHAnsi"/>
          <w:sz w:val="22"/>
          <w:szCs w:val="22"/>
        </w:rPr>
      </w:pPr>
    </w:p>
    <w:p w14:paraId="1A10C7AD" w14:textId="6E0D09F2" w:rsidR="00A74947" w:rsidRPr="007151AE" w:rsidRDefault="007151AE" w:rsidP="007151AE">
      <w:pPr>
        <w:pStyle w:val="Default"/>
        <w:numPr>
          <w:ilvl w:val="1"/>
          <w:numId w:val="3"/>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Discriminatory nationality deprivation measures against Muslim citizens, both in a counter-terrorism context and the targeted d</w:t>
      </w:r>
      <w:r w:rsidR="006A2494">
        <w:rPr>
          <w:rFonts w:asciiTheme="minorHAnsi" w:eastAsia="Times New Roman" w:hAnsiTheme="minorHAnsi" w:cstheme="minorHAnsi"/>
          <w:sz w:val="22"/>
          <w:szCs w:val="22"/>
        </w:rPr>
        <w:t>eprivation of nationality of Muslim Indians and exclusion of Muslims from access to Indian citizenshi</w:t>
      </w:r>
      <w:r>
        <w:rPr>
          <w:rFonts w:asciiTheme="minorHAnsi" w:eastAsia="Times New Roman" w:hAnsiTheme="minorHAnsi" w:cstheme="minorHAnsi"/>
          <w:sz w:val="22"/>
          <w:szCs w:val="22"/>
        </w:rPr>
        <w:t>p.</w:t>
      </w:r>
    </w:p>
    <w:p w14:paraId="45C873BB" w14:textId="77777777" w:rsidR="00A74947" w:rsidRPr="00A74947" w:rsidRDefault="00A74947" w:rsidP="006A2494">
      <w:pPr>
        <w:pStyle w:val="Default"/>
        <w:ind w:left="720"/>
        <w:jc w:val="both"/>
        <w:rPr>
          <w:rFonts w:asciiTheme="minorHAnsi" w:hAnsiTheme="minorHAnsi" w:cstheme="minorHAnsi"/>
          <w:sz w:val="22"/>
          <w:szCs w:val="22"/>
        </w:rPr>
      </w:pPr>
    </w:p>
    <w:p w14:paraId="718590A7" w14:textId="77777777" w:rsidR="006A2494" w:rsidRPr="006A2494" w:rsidRDefault="00A74947" w:rsidP="006A2494">
      <w:pPr>
        <w:pStyle w:val="Default"/>
        <w:numPr>
          <w:ilvl w:val="0"/>
          <w:numId w:val="3"/>
        </w:numPr>
        <w:jc w:val="both"/>
        <w:rPr>
          <w:rFonts w:asciiTheme="minorHAnsi" w:hAnsiTheme="minorHAnsi" w:cstheme="minorHAnsi"/>
          <w:sz w:val="22"/>
          <w:szCs w:val="22"/>
        </w:rPr>
      </w:pPr>
      <w:r>
        <w:rPr>
          <w:rFonts w:asciiTheme="minorHAnsi" w:eastAsia="Times New Roman" w:hAnsiTheme="minorHAnsi" w:cstheme="minorHAnsi"/>
          <w:sz w:val="22"/>
          <w:szCs w:val="22"/>
        </w:rPr>
        <w:t xml:space="preserve">As such, this submission focuses on </w:t>
      </w:r>
      <w:r w:rsidR="00BA371D" w:rsidRPr="00F501D1">
        <w:rPr>
          <w:rFonts w:asciiTheme="minorHAnsi" w:eastAsia="Times New Roman" w:hAnsiTheme="minorHAnsi" w:cstheme="minorHAnsi"/>
          <w:sz w:val="22"/>
          <w:szCs w:val="22"/>
        </w:rPr>
        <w:t xml:space="preserve">the nexus between discrimination </w:t>
      </w:r>
      <w:r w:rsidR="00C32E98" w:rsidRPr="00F501D1">
        <w:rPr>
          <w:rFonts w:asciiTheme="minorHAnsi" w:eastAsia="Times New Roman" w:hAnsiTheme="minorHAnsi" w:cstheme="minorHAnsi"/>
          <w:sz w:val="22"/>
          <w:szCs w:val="22"/>
        </w:rPr>
        <w:t xml:space="preserve">against </w:t>
      </w:r>
      <w:r>
        <w:rPr>
          <w:rFonts w:asciiTheme="minorHAnsi" w:eastAsia="Times New Roman" w:hAnsiTheme="minorHAnsi" w:cstheme="minorHAnsi"/>
          <w:sz w:val="22"/>
          <w:szCs w:val="22"/>
        </w:rPr>
        <w:t>Muslims</w:t>
      </w:r>
      <w:r w:rsidR="00BA371D" w:rsidRPr="00F501D1">
        <w:rPr>
          <w:rFonts w:asciiTheme="minorHAnsi" w:eastAsia="Times New Roman" w:hAnsiTheme="minorHAnsi" w:cstheme="minorHAnsi"/>
          <w:sz w:val="22"/>
          <w:szCs w:val="22"/>
        </w:rPr>
        <w:t xml:space="preserve">, and the denial of equal nationality rights and related (risk of) statelessness; as well as the multiple discrimination/additional vulnerabilities of </w:t>
      </w:r>
      <w:r>
        <w:rPr>
          <w:rFonts w:asciiTheme="minorHAnsi" w:eastAsia="Times New Roman" w:hAnsiTheme="minorHAnsi" w:cstheme="minorHAnsi"/>
          <w:sz w:val="22"/>
          <w:szCs w:val="22"/>
        </w:rPr>
        <w:t>Muslims</w:t>
      </w:r>
      <w:r w:rsidR="00BA371D" w:rsidRPr="00F501D1">
        <w:rPr>
          <w:rFonts w:asciiTheme="minorHAnsi" w:eastAsia="Times New Roman" w:hAnsiTheme="minorHAnsi" w:cstheme="minorHAnsi"/>
          <w:sz w:val="22"/>
          <w:szCs w:val="22"/>
        </w:rPr>
        <w:t xml:space="preserve"> who are stateless or whose nationality is under threat.</w:t>
      </w:r>
    </w:p>
    <w:p w14:paraId="0EBAC9AE" w14:textId="79075EFE" w:rsidR="006A2494" w:rsidRDefault="006A2494" w:rsidP="006A2494">
      <w:pPr>
        <w:pStyle w:val="Default"/>
        <w:jc w:val="both"/>
        <w:rPr>
          <w:rFonts w:asciiTheme="minorHAnsi" w:hAnsiTheme="minorHAnsi" w:cstheme="minorHAnsi"/>
          <w:sz w:val="22"/>
          <w:szCs w:val="22"/>
        </w:rPr>
      </w:pPr>
    </w:p>
    <w:p w14:paraId="2AD42AF0" w14:textId="77777777" w:rsidR="007151AE" w:rsidRDefault="007151AE" w:rsidP="006A2494">
      <w:pPr>
        <w:pStyle w:val="Default"/>
        <w:jc w:val="both"/>
        <w:rPr>
          <w:rFonts w:asciiTheme="minorHAnsi" w:hAnsiTheme="minorHAnsi" w:cstheme="minorHAnsi"/>
          <w:sz w:val="22"/>
          <w:szCs w:val="22"/>
        </w:rPr>
      </w:pPr>
    </w:p>
    <w:p w14:paraId="2ED7C458" w14:textId="46B4D45C" w:rsidR="006A2494" w:rsidRPr="006A2494" w:rsidRDefault="006A2494" w:rsidP="006A2494">
      <w:pPr>
        <w:pStyle w:val="Default"/>
        <w:jc w:val="both"/>
        <w:rPr>
          <w:rFonts w:asciiTheme="minorHAnsi" w:hAnsiTheme="minorHAnsi" w:cstheme="minorHAnsi"/>
          <w:b/>
          <w:bCs/>
          <w:sz w:val="28"/>
          <w:szCs w:val="28"/>
        </w:rPr>
      </w:pPr>
      <w:r w:rsidRPr="006A2494">
        <w:rPr>
          <w:rFonts w:asciiTheme="minorHAnsi" w:hAnsiTheme="minorHAnsi" w:cstheme="minorHAnsi"/>
          <w:b/>
          <w:bCs/>
          <w:sz w:val="28"/>
          <w:szCs w:val="28"/>
        </w:rPr>
        <w:t>1. Discrimination against Rohingya in Myanmar and India</w:t>
      </w:r>
    </w:p>
    <w:p w14:paraId="2243B9EC" w14:textId="28800BFC" w:rsidR="006A2494" w:rsidRDefault="006A2494" w:rsidP="006A2494">
      <w:pPr>
        <w:pStyle w:val="Default"/>
        <w:jc w:val="both"/>
        <w:rPr>
          <w:rFonts w:asciiTheme="minorHAnsi" w:hAnsiTheme="minorHAnsi" w:cstheme="minorHAnsi"/>
          <w:b/>
          <w:bCs/>
          <w:sz w:val="22"/>
          <w:szCs w:val="22"/>
        </w:rPr>
      </w:pPr>
    </w:p>
    <w:p w14:paraId="5358915F" w14:textId="77777777" w:rsidR="007151AE" w:rsidRPr="00A74947" w:rsidRDefault="007151AE" w:rsidP="006A2494">
      <w:pPr>
        <w:pStyle w:val="Default"/>
        <w:jc w:val="both"/>
        <w:rPr>
          <w:rFonts w:asciiTheme="minorHAnsi" w:hAnsiTheme="minorHAnsi" w:cstheme="minorHAnsi"/>
          <w:b/>
          <w:bCs/>
          <w:sz w:val="22"/>
          <w:szCs w:val="22"/>
        </w:rPr>
      </w:pPr>
    </w:p>
    <w:p w14:paraId="1FFFE0C7" w14:textId="77777777" w:rsidR="006A2494" w:rsidRPr="006A2494" w:rsidRDefault="006A2494" w:rsidP="006A2494">
      <w:pPr>
        <w:shd w:val="clear" w:color="auto" w:fill="FFFFFF"/>
        <w:spacing w:after="0" w:line="240" w:lineRule="auto"/>
        <w:jc w:val="both"/>
        <w:rPr>
          <w:rFonts w:eastAsia="Times New Roman" w:cstheme="minorHAnsi"/>
          <w:b/>
          <w:bCs/>
          <w:i/>
          <w:iCs/>
          <w:color w:val="000000"/>
          <w:sz w:val="24"/>
          <w:szCs w:val="24"/>
        </w:rPr>
      </w:pPr>
      <w:r w:rsidRPr="006A2494">
        <w:rPr>
          <w:rFonts w:eastAsia="Times New Roman" w:cstheme="minorHAnsi"/>
          <w:b/>
          <w:bCs/>
          <w:i/>
          <w:iCs/>
          <w:color w:val="000000"/>
          <w:sz w:val="24"/>
          <w:szCs w:val="24"/>
          <w:lang w:eastAsia="en-GB"/>
        </w:rPr>
        <w:t xml:space="preserve">1.a. Deprivation of the </w:t>
      </w:r>
      <w:r w:rsidRPr="006A2494">
        <w:rPr>
          <w:rFonts w:eastAsia="Times New Roman" w:cstheme="minorHAnsi"/>
          <w:b/>
          <w:bCs/>
          <w:i/>
          <w:iCs/>
          <w:color w:val="000000"/>
          <w:sz w:val="24"/>
          <w:szCs w:val="24"/>
        </w:rPr>
        <w:t xml:space="preserve">Right to Nationality (Myanmar) </w:t>
      </w:r>
    </w:p>
    <w:p w14:paraId="0D65A014" w14:textId="77777777" w:rsidR="006A2494" w:rsidRPr="006A2494" w:rsidRDefault="006A2494" w:rsidP="006A2494">
      <w:pPr>
        <w:spacing w:after="0" w:line="240" w:lineRule="auto"/>
        <w:rPr>
          <w:rFonts w:eastAsia="Times New Roman" w:cstheme="minorHAnsi"/>
        </w:rPr>
      </w:pPr>
    </w:p>
    <w:p w14:paraId="096ED689" w14:textId="7C290322" w:rsidR="006A2494" w:rsidRPr="007151AE" w:rsidRDefault="00A74947" w:rsidP="006A2494">
      <w:pPr>
        <w:pStyle w:val="Default"/>
        <w:numPr>
          <w:ilvl w:val="0"/>
          <w:numId w:val="3"/>
        </w:numPr>
        <w:jc w:val="both"/>
        <w:rPr>
          <w:rFonts w:asciiTheme="minorHAnsi" w:hAnsiTheme="minorHAnsi" w:cstheme="minorHAnsi"/>
          <w:sz w:val="22"/>
          <w:szCs w:val="22"/>
        </w:rPr>
      </w:pPr>
      <w:r w:rsidRPr="006A2494">
        <w:rPr>
          <w:rFonts w:asciiTheme="minorHAnsi" w:eastAsia="Times New Roman" w:hAnsiTheme="minorHAnsi" w:cstheme="minorHAnsi"/>
          <w:sz w:val="22"/>
          <w:szCs w:val="22"/>
        </w:rPr>
        <w:t xml:space="preserve">Access to citizenship in Myanmar follows the discriminatory framework of the 1982 Citizenship Law. The Law facilitates </w:t>
      </w:r>
      <w:r w:rsidRPr="007151AE">
        <w:rPr>
          <w:rFonts w:asciiTheme="minorHAnsi" w:eastAsia="Times New Roman" w:hAnsiTheme="minorHAnsi" w:cstheme="minorHAnsi"/>
          <w:sz w:val="22"/>
          <w:szCs w:val="22"/>
        </w:rPr>
        <w:t>corruption, gives authorities excessive discretion to refuse citizenship and is predicated on the myth of ethnic purity.</w:t>
      </w:r>
      <w:r w:rsidRPr="007151AE">
        <w:rPr>
          <w:rStyle w:val="FootnoteReference"/>
          <w:rFonts w:asciiTheme="minorHAnsi" w:eastAsia="Times New Roman" w:hAnsiTheme="minorHAnsi" w:cstheme="minorHAnsi"/>
          <w:sz w:val="22"/>
          <w:szCs w:val="22"/>
        </w:rPr>
        <w:footnoteReference w:id="5"/>
      </w:r>
      <w:r w:rsidRPr="007151AE">
        <w:rPr>
          <w:rFonts w:asciiTheme="minorHAnsi" w:eastAsia="Times New Roman" w:hAnsiTheme="minorHAnsi" w:cstheme="minorHAnsi"/>
          <w:sz w:val="22"/>
          <w:szCs w:val="22"/>
        </w:rPr>
        <w:t xml:space="preserve"> It defines three categories of citizens: ‘citizens’, ‘associate citizens’ and ‘naturalised citizens’ each with different rules regarding transmission and revocation of citizenship and rights that come with each status.</w:t>
      </w:r>
      <w:r w:rsidRPr="007151AE">
        <w:rPr>
          <w:rStyle w:val="FootnoteReference"/>
          <w:rFonts w:asciiTheme="minorHAnsi" w:eastAsia="Times New Roman" w:hAnsiTheme="minorHAnsi" w:cstheme="minorHAnsi"/>
          <w:sz w:val="22"/>
          <w:szCs w:val="22"/>
        </w:rPr>
        <w:footnoteReference w:id="6"/>
      </w:r>
      <w:r w:rsidRPr="007151AE">
        <w:rPr>
          <w:rFonts w:asciiTheme="minorHAnsi" w:eastAsia="Times New Roman" w:hAnsiTheme="minorHAnsi" w:cstheme="minorHAnsi"/>
          <w:sz w:val="22"/>
          <w:szCs w:val="22"/>
        </w:rPr>
        <w:t xml:space="preserve"> Citizenship is given to the recognised 135 “national races”. Rohingya are not recognised within the 135. </w:t>
      </w:r>
    </w:p>
    <w:p w14:paraId="4C6A267D" w14:textId="77777777" w:rsidR="006A2494" w:rsidRPr="007151AE" w:rsidRDefault="006A2494" w:rsidP="006A2494">
      <w:pPr>
        <w:pStyle w:val="Default"/>
        <w:ind w:left="720"/>
        <w:jc w:val="both"/>
        <w:rPr>
          <w:rFonts w:asciiTheme="minorHAnsi" w:hAnsiTheme="minorHAnsi" w:cstheme="minorHAnsi"/>
          <w:sz w:val="22"/>
          <w:szCs w:val="22"/>
        </w:rPr>
      </w:pPr>
    </w:p>
    <w:p w14:paraId="202F4E4F" w14:textId="3CC287E6" w:rsidR="00A74947" w:rsidRPr="007151AE" w:rsidRDefault="00A74947" w:rsidP="006A2494">
      <w:pPr>
        <w:pStyle w:val="Default"/>
        <w:numPr>
          <w:ilvl w:val="0"/>
          <w:numId w:val="3"/>
        </w:numPr>
        <w:jc w:val="both"/>
        <w:rPr>
          <w:rFonts w:asciiTheme="minorHAnsi" w:hAnsiTheme="minorHAnsi" w:cstheme="minorHAnsi"/>
          <w:sz w:val="22"/>
          <w:szCs w:val="22"/>
        </w:rPr>
      </w:pPr>
      <w:r w:rsidRPr="007151AE">
        <w:rPr>
          <w:rFonts w:asciiTheme="minorHAnsi" w:eastAsia="Times New Roman" w:hAnsiTheme="minorHAnsi" w:cstheme="minorHAnsi"/>
          <w:sz w:val="22"/>
          <w:szCs w:val="22"/>
        </w:rPr>
        <w:t xml:space="preserve">Denying Rohingya the claim to citizenship by right reinforced State narratives that Rohingya are ‘foreigners’ and ‘illegal </w:t>
      </w:r>
      <w:proofErr w:type="gramStart"/>
      <w:r w:rsidRPr="007151AE">
        <w:rPr>
          <w:rFonts w:asciiTheme="minorHAnsi" w:eastAsia="Times New Roman" w:hAnsiTheme="minorHAnsi" w:cstheme="minorHAnsi"/>
          <w:sz w:val="22"/>
          <w:szCs w:val="22"/>
        </w:rPr>
        <w:t>immigrants’</w:t>
      </w:r>
      <w:proofErr w:type="gramEnd"/>
      <w:r w:rsidRPr="007151AE">
        <w:rPr>
          <w:rFonts w:asciiTheme="minorHAnsi" w:eastAsia="Times New Roman" w:hAnsiTheme="minorHAnsi" w:cstheme="minorHAnsi"/>
          <w:sz w:val="22"/>
          <w:szCs w:val="22"/>
        </w:rPr>
        <w:t>. Rohingya have been expelled from Myanmar based on their (lack of) citizenship status ‘justified’ through the Citizenship La</w:t>
      </w:r>
      <w:r w:rsidR="007151AE" w:rsidRPr="007151AE">
        <w:rPr>
          <w:rFonts w:asciiTheme="minorHAnsi" w:eastAsia="Times New Roman" w:hAnsiTheme="minorHAnsi" w:cstheme="minorHAnsi"/>
          <w:sz w:val="22"/>
          <w:szCs w:val="22"/>
        </w:rPr>
        <w:t>w</w:t>
      </w:r>
      <w:r w:rsidRPr="007151AE">
        <w:rPr>
          <w:rFonts w:asciiTheme="minorHAnsi" w:eastAsia="Times New Roman" w:hAnsiTheme="minorHAnsi" w:cstheme="minorHAnsi"/>
          <w:sz w:val="22"/>
          <w:szCs w:val="22"/>
        </w:rPr>
        <w:t xml:space="preserve">. Its continued use entrenches statelessness of minorities in Myanmar. </w:t>
      </w:r>
    </w:p>
    <w:p w14:paraId="51DBEA4A" w14:textId="07CDC6A7" w:rsidR="00A74947" w:rsidRDefault="00A74947" w:rsidP="006A2494">
      <w:pPr>
        <w:spacing w:after="0" w:line="240" w:lineRule="auto"/>
        <w:jc w:val="both"/>
        <w:rPr>
          <w:rFonts w:eastAsia="Times New Roman" w:cstheme="minorHAnsi"/>
          <w:b/>
          <w:bCs/>
          <w:color w:val="000000"/>
        </w:rPr>
      </w:pPr>
    </w:p>
    <w:p w14:paraId="7C4A9FAC" w14:textId="77777777" w:rsidR="007151AE" w:rsidRPr="007151AE" w:rsidRDefault="007151AE" w:rsidP="006A2494">
      <w:pPr>
        <w:spacing w:after="0" w:line="240" w:lineRule="auto"/>
        <w:jc w:val="both"/>
        <w:rPr>
          <w:rFonts w:eastAsia="Times New Roman" w:cstheme="minorHAnsi"/>
          <w:b/>
          <w:bCs/>
          <w:color w:val="000000"/>
        </w:rPr>
      </w:pPr>
    </w:p>
    <w:p w14:paraId="7CB7FE8F" w14:textId="1162C25D" w:rsidR="00A74947" w:rsidRPr="007151AE" w:rsidRDefault="007151AE" w:rsidP="006A2494">
      <w:pPr>
        <w:spacing w:after="0" w:line="240" w:lineRule="auto"/>
        <w:jc w:val="both"/>
        <w:rPr>
          <w:rFonts w:eastAsia="Times New Roman" w:cstheme="minorHAnsi"/>
          <w:b/>
          <w:bCs/>
          <w:i/>
          <w:iCs/>
          <w:color w:val="000000"/>
          <w:sz w:val="24"/>
          <w:szCs w:val="24"/>
        </w:rPr>
      </w:pPr>
      <w:r w:rsidRPr="007151AE">
        <w:rPr>
          <w:rFonts w:eastAsia="Times New Roman" w:cstheme="minorHAnsi"/>
          <w:b/>
          <w:bCs/>
          <w:i/>
          <w:iCs/>
          <w:color w:val="000000"/>
          <w:sz w:val="24"/>
          <w:szCs w:val="24"/>
        </w:rPr>
        <w:t xml:space="preserve">1.b. </w:t>
      </w:r>
      <w:r w:rsidR="00A74947" w:rsidRPr="007151AE">
        <w:rPr>
          <w:rFonts w:eastAsia="Times New Roman" w:cstheme="minorHAnsi"/>
          <w:b/>
          <w:bCs/>
          <w:i/>
          <w:iCs/>
          <w:color w:val="000000"/>
          <w:sz w:val="24"/>
          <w:szCs w:val="24"/>
        </w:rPr>
        <w:t>The Rohingya: Right to Legal Identity (India)</w:t>
      </w:r>
    </w:p>
    <w:p w14:paraId="36C5B8FC" w14:textId="77777777" w:rsidR="007151AE" w:rsidRDefault="007151AE" w:rsidP="006A2494">
      <w:pPr>
        <w:spacing w:after="0" w:line="240" w:lineRule="auto"/>
        <w:jc w:val="both"/>
        <w:rPr>
          <w:rFonts w:eastAsia="Times New Roman" w:cstheme="minorHAnsi"/>
          <w:color w:val="000000"/>
        </w:rPr>
      </w:pPr>
    </w:p>
    <w:p w14:paraId="10B95FE5" w14:textId="77777777" w:rsidR="007151AE" w:rsidRPr="007151AE" w:rsidRDefault="00A74947" w:rsidP="006A2494">
      <w:pPr>
        <w:pStyle w:val="ListParagraph"/>
        <w:numPr>
          <w:ilvl w:val="0"/>
          <w:numId w:val="3"/>
        </w:numPr>
        <w:spacing w:after="0" w:line="240" w:lineRule="auto"/>
        <w:jc w:val="both"/>
        <w:rPr>
          <w:rFonts w:cstheme="minorHAnsi"/>
        </w:rPr>
      </w:pPr>
      <w:r w:rsidRPr="007151AE">
        <w:rPr>
          <w:rFonts w:eastAsia="Times New Roman" w:cstheme="minorHAnsi"/>
          <w:color w:val="000000"/>
        </w:rPr>
        <w:t>The legal position of Rohingyas in India is uncertain. With no domestic legal framework to recognise or protect refugees and India not being signatory to the 1951 Refugee Convention or its 1967 Protocol makes legal services inaccessible and makes them more susceptible to discrimination.</w:t>
      </w:r>
      <w:r w:rsidRPr="007A1FF0">
        <w:rPr>
          <w:rStyle w:val="FootnoteReference"/>
          <w:rFonts w:cstheme="minorHAnsi"/>
        </w:rPr>
        <w:footnoteReference w:id="7"/>
      </w:r>
      <w:r w:rsidRPr="007151AE">
        <w:rPr>
          <w:rFonts w:eastAsia="Times New Roman" w:cstheme="minorHAnsi"/>
          <w:color w:val="000000"/>
        </w:rPr>
        <w:t xml:space="preserve"> Indian immigration laws prevent foreigners form being in India without a passport and visa putting refugees/asylum seekers at risk of arrest, detention and deportation.</w:t>
      </w:r>
      <w:r w:rsidRPr="007A1FF0">
        <w:rPr>
          <w:rStyle w:val="FootnoteReference"/>
          <w:rFonts w:eastAsia="Times New Roman" w:cstheme="minorHAnsi"/>
          <w:color w:val="000000"/>
        </w:rPr>
        <w:footnoteReference w:id="8"/>
      </w:r>
    </w:p>
    <w:p w14:paraId="51BB513A" w14:textId="77777777" w:rsidR="007151AE" w:rsidRPr="007151AE" w:rsidRDefault="007151AE" w:rsidP="007151AE">
      <w:pPr>
        <w:pStyle w:val="ListParagraph"/>
        <w:spacing w:after="0" w:line="240" w:lineRule="auto"/>
        <w:jc w:val="both"/>
        <w:rPr>
          <w:rFonts w:cstheme="minorHAnsi"/>
        </w:rPr>
      </w:pPr>
    </w:p>
    <w:p w14:paraId="432E62B0" w14:textId="77777777" w:rsidR="007151AE" w:rsidRPr="007151AE" w:rsidRDefault="00A74947" w:rsidP="006A2494">
      <w:pPr>
        <w:pStyle w:val="ListParagraph"/>
        <w:numPr>
          <w:ilvl w:val="0"/>
          <w:numId w:val="3"/>
        </w:numPr>
        <w:spacing w:after="0" w:line="240" w:lineRule="auto"/>
        <w:jc w:val="both"/>
        <w:rPr>
          <w:rFonts w:cstheme="minorHAnsi"/>
        </w:rPr>
      </w:pPr>
      <w:r w:rsidRPr="007151AE">
        <w:rPr>
          <w:rFonts w:eastAsia="Times New Roman" w:cstheme="minorHAnsi"/>
          <w:color w:val="000000"/>
        </w:rPr>
        <w:t>They are entitled to UNHCR Refugee Cards, but these are not recognised as valid identification. The domestic framework does provide for Long-Term Visas (LTVs) for those without valid documentation which offers some protection however LTVs have not been renewed since 2016-2017 and new ones not issued.</w:t>
      </w:r>
      <w:r w:rsidRPr="007A1FF0">
        <w:rPr>
          <w:rStyle w:val="FootnoteReference"/>
          <w:rFonts w:eastAsia="Times New Roman" w:cstheme="minorHAnsi"/>
          <w:color w:val="000000"/>
        </w:rPr>
        <w:footnoteReference w:id="9"/>
      </w:r>
      <w:r w:rsidRPr="007151AE">
        <w:rPr>
          <w:rFonts w:eastAsia="Times New Roman" w:cstheme="minorHAnsi"/>
          <w:color w:val="000000"/>
        </w:rPr>
        <w:t xml:space="preserve"> </w:t>
      </w:r>
    </w:p>
    <w:p w14:paraId="658CC7B6" w14:textId="77777777" w:rsidR="007151AE" w:rsidRPr="007151AE" w:rsidRDefault="007151AE" w:rsidP="007151AE">
      <w:pPr>
        <w:pStyle w:val="ListParagraph"/>
        <w:rPr>
          <w:rFonts w:eastAsia="Times New Roman" w:cstheme="minorHAnsi"/>
          <w:color w:val="000000"/>
        </w:rPr>
      </w:pPr>
    </w:p>
    <w:p w14:paraId="180ED309" w14:textId="54850122" w:rsidR="00A74947" w:rsidRPr="007151AE" w:rsidRDefault="00A74947" w:rsidP="006A2494">
      <w:pPr>
        <w:pStyle w:val="ListParagraph"/>
        <w:numPr>
          <w:ilvl w:val="0"/>
          <w:numId w:val="3"/>
        </w:numPr>
        <w:spacing w:after="0" w:line="240" w:lineRule="auto"/>
        <w:jc w:val="both"/>
        <w:rPr>
          <w:rFonts w:cstheme="minorHAnsi"/>
        </w:rPr>
      </w:pPr>
      <w:r w:rsidRPr="007151AE">
        <w:rPr>
          <w:rFonts w:eastAsia="Times New Roman" w:cstheme="minorHAnsi"/>
          <w:color w:val="000000"/>
        </w:rPr>
        <w:t>The Citizenship Amendment Act (CAA) was passed in 2019 aiming to amend the 1955 Act granting an expedited path to Indian citizenship for minority refugee groups assuming that they had faced religious persecution in their home country. This does not apply to Muslim minorities,</w:t>
      </w:r>
      <w:r w:rsidRPr="007A1FF0">
        <w:rPr>
          <w:rStyle w:val="FootnoteReference"/>
          <w:rFonts w:eastAsia="Times New Roman" w:cstheme="minorHAnsi"/>
          <w:color w:val="000000"/>
        </w:rPr>
        <w:footnoteReference w:id="10"/>
      </w:r>
      <w:r w:rsidRPr="007151AE">
        <w:rPr>
          <w:rFonts w:eastAsia="Times New Roman" w:cstheme="minorHAnsi"/>
          <w:color w:val="000000"/>
        </w:rPr>
        <w:t xml:space="preserve"> directly discriminating against Muslim populations seeking refuge in India. </w:t>
      </w:r>
      <w:r w:rsidR="007151AE">
        <w:rPr>
          <w:rFonts w:eastAsia="Times New Roman" w:cstheme="minorHAnsi"/>
          <w:color w:val="000000"/>
        </w:rPr>
        <w:t>(See section 2 below).</w:t>
      </w:r>
    </w:p>
    <w:p w14:paraId="317C351D" w14:textId="55DC93BA" w:rsidR="007151AE" w:rsidRDefault="007151AE" w:rsidP="006A2494">
      <w:pPr>
        <w:spacing w:after="0" w:line="240" w:lineRule="auto"/>
        <w:jc w:val="both"/>
        <w:rPr>
          <w:rFonts w:eastAsia="Times New Roman" w:cstheme="minorHAnsi"/>
          <w:b/>
          <w:bCs/>
          <w:color w:val="000000"/>
        </w:rPr>
      </w:pPr>
    </w:p>
    <w:p w14:paraId="0A1C255C" w14:textId="77777777" w:rsidR="007151AE" w:rsidRDefault="007151AE" w:rsidP="006A2494">
      <w:pPr>
        <w:spacing w:after="0" w:line="240" w:lineRule="auto"/>
        <w:jc w:val="both"/>
        <w:rPr>
          <w:rFonts w:eastAsia="Times New Roman" w:cstheme="minorHAnsi"/>
          <w:b/>
          <w:bCs/>
          <w:color w:val="000000"/>
        </w:rPr>
      </w:pPr>
    </w:p>
    <w:p w14:paraId="0BC2D17F" w14:textId="5437F2BC" w:rsidR="00A74947" w:rsidRPr="007151AE" w:rsidRDefault="007151AE" w:rsidP="006A2494">
      <w:pPr>
        <w:spacing w:after="0" w:line="240" w:lineRule="auto"/>
        <w:jc w:val="both"/>
        <w:rPr>
          <w:rFonts w:eastAsia="Times New Roman" w:cstheme="minorHAnsi"/>
          <w:b/>
          <w:bCs/>
          <w:i/>
          <w:iCs/>
          <w:color w:val="000000"/>
          <w:sz w:val="24"/>
          <w:szCs w:val="24"/>
        </w:rPr>
      </w:pPr>
      <w:r w:rsidRPr="007151AE">
        <w:rPr>
          <w:rFonts w:eastAsia="Times New Roman" w:cstheme="minorHAnsi"/>
          <w:b/>
          <w:bCs/>
          <w:i/>
          <w:iCs/>
          <w:color w:val="000000"/>
          <w:sz w:val="24"/>
          <w:szCs w:val="24"/>
        </w:rPr>
        <w:t>1.c. Denial of the Right to Political</w:t>
      </w:r>
      <w:r w:rsidR="00A74947" w:rsidRPr="007151AE">
        <w:rPr>
          <w:rFonts w:eastAsia="Times New Roman" w:cstheme="minorHAnsi"/>
          <w:b/>
          <w:bCs/>
          <w:i/>
          <w:iCs/>
          <w:color w:val="000000"/>
          <w:sz w:val="24"/>
          <w:szCs w:val="24"/>
        </w:rPr>
        <w:t xml:space="preserve"> Participation </w:t>
      </w:r>
    </w:p>
    <w:p w14:paraId="0ECFB9B9" w14:textId="77777777" w:rsidR="007151AE" w:rsidRDefault="007151AE" w:rsidP="006A2494">
      <w:pPr>
        <w:spacing w:after="0" w:line="240" w:lineRule="auto"/>
        <w:jc w:val="both"/>
        <w:rPr>
          <w:rFonts w:eastAsia="Times New Roman" w:cstheme="minorHAnsi"/>
          <w:color w:val="000000"/>
        </w:rPr>
      </w:pPr>
    </w:p>
    <w:p w14:paraId="1B14518B" w14:textId="7588F75E" w:rsidR="007151AE" w:rsidRDefault="007151AE" w:rsidP="006A2494">
      <w:pPr>
        <w:pStyle w:val="ListParagraph"/>
        <w:numPr>
          <w:ilvl w:val="0"/>
          <w:numId w:val="3"/>
        </w:numPr>
        <w:spacing w:after="0" w:line="240" w:lineRule="auto"/>
        <w:jc w:val="both"/>
        <w:rPr>
          <w:rFonts w:eastAsia="Times New Roman" w:cstheme="minorHAnsi"/>
          <w:color w:val="000000"/>
        </w:rPr>
      </w:pPr>
      <w:r>
        <w:rPr>
          <w:rFonts w:eastAsia="Times New Roman" w:cstheme="minorHAnsi"/>
          <w:color w:val="000000"/>
        </w:rPr>
        <w:t>In Myanmar, t</w:t>
      </w:r>
      <w:r w:rsidR="00A74947" w:rsidRPr="007151AE">
        <w:rPr>
          <w:rFonts w:eastAsia="Times New Roman" w:cstheme="minorHAnsi"/>
          <w:color w:val="000000"/>
        </w:rPr>
        <w:t>he NLD have showed no political will to reinstate voting rights of Rohingya and in November 2020 they were again, denied voting rights. No Rohingya living in Myanmar, or those in refugee situations were allowed to vote.</w:t>
      </w:r>
      <w:r w:rsidR="00A74947" w:rsidRPr="007A1FF0">
        <w:rPr>
          <w:rStyle w:val="FootnoteReference"/>
          <w:rFonts w:eastAsia="Times New Roman" w:cstheme="minorHAnsi"/>
          <w:color w:val="000000"/>
        </w:rPr>
        <w:footnoteReference w:id="11"/>
      </w:r>
      <w:r w:rsidR="00A74947" w:rsidRPr="007151AE">
        <w:rPr>
          <w:rFonts w:eastAsia="Times New Roman" w:cstheme="minorHAnsi"/>
          <w:color w:val="000000"/>
        </w:rPr>
        <w:t xml:space="preserve"> </w:t>
      </w:r>
    </w:p>
    <w:p w14:paraId="2286C1FE" w14:textId="77777777" w:rsidR="007151AE" w:rsidRDefault="007151AE" w:rsidP="007151AE">
      <w:pPr>
        <w:pStyle w:val="ListParagraph"/>
        <w:spacing w:after="0" w:line="240" w:lineRule="auto"/>
        <w:jc w:val="both"/>
        <w:rPr>
          <w:rFonts w:eastAsia="Times New Roman" w:cstheme="minorHAnsi"/>
          <w:color w:val="000000"/>
        </w:rPr>
      </w:pPr>
    </w:p>
    <w:p w14:paraId="6B1CB9F9" w14:textId="77777777" w:rsidR="007151AE" w:rsidRDefault="00A74947" w:rsidP="006A2494">
      <w:pPr>
        <w:pStyle w:val="ListParagraph"/>
        <w:numPr>
          <w:ilvl w:val="0"/>
          <w:numId w:val="3"/>
        </w:numPr>
        <w:spacing w:after="0" w:line="240" w:lineRule="auto"/>
        <w:jc w:val="both"/>
        <w:rPr>
          <w:rFonts w:eastAsia="Times New Roman" w:cstheme="minorHAnsi"/>
          <w:color w:val="000000"/>
        </w:rPr>
      </w:pPr>
      <w:r w:rsidRPr="007151AE">
        <w:rPr>
          <w:rFonts w:eastAsia="Times New Roman" w:cstheme="minorHAnsi"/>
          <w:color w:val="000000"/>
        </w:rPr>
        <w:t xml:space="preserve">The Myanmar Union Election Commission cancelled polling for the 8 November election in parts of Rakhine, Kachin, Mon Shan States and </w:t>
      </w:r>
      <w:proofErr w:type="spellStart"/>
      <w:r w:rsidRPr="007151AE">
        <w:rPr>
          <w:rFonts w:eastAsia="Times New Roman" w:cstheme="minorHAnsi"/>
          <w:color w:val="000000"/>
        </w:rPr>
        <w:t>Bago</w:t>
      </w:r>
      <w:proofErr w:type="spellEnd"/>
      <w:r w:rsidRPr="007151AE">
        <w:rPr>
          <w:rFonts w:eastAsia="Times New Roman" w:cstheme="minorHAnsi"/>
          <w:color w:val="000000"/>
        </w:rPr>
        <w:t xml:space="preserve"> Region</w:t>
      </w:r>
      <w:r w:rsidRPr="007A1FF0">
        <w:rPr>
          <w:rStyle w:val="FootnoteReference"/>
          <w:rFonts w:eastAsia="Times New Roman" w:cstheme="minorHAnsi"/>
          <w:color w:val="000000"/>
        </w:rPr>
        <w:footnoteReference w:id="12"/>
      </w:r>
      <w:r w:rsidRPr="007151AE">
        <w:rPr>
          <w:rFonts w:eastAsia="Times New Roman" w:cstheme="minorHAnsi"/>
          <w:color w:val="000000"/>
        </w:rPr>
        <w:t xml:space="preserve"> due to alleged inability to ensure conditions conducive to free and fair elections due to conflict.</w:t>
      </w:r>
      <w:r w:rsidRPr="007A1FF0">
        <w:rPr>
          <w:rStyle w:val="FootnoteReference"/>
          <w:rFonts w:eastAsia="Times New Roman" w:cstheme="minorHAnsi"/>
          <w:color w:val="000000"/>
        </w:rPr>
        <w:footnoteReference w:id="13"/>
      </w:r>
      <w:r w:rsidRPr="007151AE">
        <w:rPr>
          <w:rFonts w:eastAsia="Times New Roman" w:cstheme="minorHAnsi"/>
          <w:color w:val="000000"/>
        </w:rPr>
        <w:t xml:space="preserve"> Denying these populations voting rights, significantly decreased ethnic minorities winning seats in Parliament.</w:t>
      </w:r>
    </w:p>
    <w:p w14:paraId="48177D6B" w14:textId="77777777" w:rsidR="007151AE" w:rsidRPr="007151AE" w:rsidRDefault="007151AE" w:rsidP="007151AE">
      <w:pPr>
        <w:pStyle w:val="ListParagraph"/>
        <w:rPr>
          <w:rFonts w:eastAsia="Times New Roman" w:cstheme="minorHAnsi"/>
          <w:color w:val="000000"/>
        </w:rPr>
      </w:pPr>
    </w:p>
    <w:p w14:paraId="2CAB6F47" w14:textId="77777777" w:rsidR="007151AE" w:rsidRDefault="00A74947" w:rsidP="006A2494">
      <w:pPr>
        <w:pStyle w:val="ListParagraph"/>
        <w:numPr>
          <w:ilvl w:val="0"/>
          <w:numId w:val="3"/>
        </w:numPr>
        <w:spacing w:after="0" w:line="240" w:lineRule="auto"/>
        <w:jc w:val="both"/>
        <w:rPr>
          <w:rFonts w:eastAsia="Times New Roman" w:cstheme="minorHAnsi"/>
          <w:color w:val="000000"/>
        </w:rPr>
      </w:pPr>
      <w:r w:rsidRPr="007151AE">
        <w:rPr>
          <w:rFonts w:eastAsia="Times New Roman" w:cstheme="minorHAnsi"/>
          <w:color w:val="000000"/>
        </w:rPr>
        <w:t>A voter app developed to give information about parliamentary candidates included inflammatory language around race and religion including the contextually derogatory and racist term ‘Bengali’ referring to a Rohingya candidate.</w:t>
      </w:r>
      <w:r w:rsidRPr="007A1FF0">
        <w:rPr>
          <w:rStyle w:val="FootnoteReference"/>
          <w:rFonts w:eastAsia="Times New Roman" w:cstheme="minorHAnsi"/>
          <w:color w:val="000000"/>
        </w:rPr>
        <w:footnoteReference w:id="14"/>
      </w:r>
    </w:p>
    <w:p w14:paraId="47D8C684" w14:textId="5633AC03" w:rsidR="007151AE" w:rsidRDefault="007151AE" w:rsidP="007151AE">
      <w:pPr>
        <w:rPr>
          <w:rFonts w:eastAsia="Times New Roman" w:cstheme="minorHAnsi"/>
          <w:color w:val="000000"/>
        </w:rPr>
      </w:pPr>
    </w:p>
    <w:p w14:paraId="24A4DD09" w14:textId="77777777" w:rsidR="007151AE" w:rsidRPr="007151AE" w:rsidRDefault="007151AE" w:rsidP="007151AE">
      <w:pPr>
        <w:spacing w:after="0" w:line="240" w:lineRule="auto"/>
        <w:jc w:val="both"/>
        <w:rPr>
          <w:rFonts w:eastAsia="Times New Roman" w:cstheme="minorHAnsi"/>
          <w:b/>
          <w:bCs/>
          <w:i/>
          <w:iCs/>
          <w:color w:val="000000"/>
          <w:sz w:val="24"/>
          <w:szCs w:val="24"/>
        </w:rPr>
      </w:pPr>
      <w:r w:rsidRPr="007151AE">
        <w:rPr>
          <w:rFonts w:eastAsia="Times New Roman" w:cstheme="minorHAnsi"/>
          <w:b/>
          <w:bCs/>
          <w:i/>
          <w:iCs/>
          <w:color w:val="000000"/>
          <w:sz w:val="24"/>
          <w:szCs w:val="24"/>
        </w:rPr>
        <w:t>1.d. Liberty and Security of Person</w:t>
      </w:r>
    </w:p>
    <w:p w14:paraId="3355D11A" w14:textId="77777777" w:rsidR="007151AE" w:rsidRPr="007151AE" w:rsidRDefault="007151AE" w:rsidP="007151AE">
      <w:pPr>
        <w:pStyle w:val="ListParagraph"/>
        <w:spacing w:after="0" w:line="240" w:lineRule="auto"/>
        <w:jc w:val="both"/>
        <w:textAlignment w:val="baseline"/>
        <w:rPr>
          <w:rFonts w:cstheme="minorHAnsi"/>
        </w:rPr>
      </w:pPr>
    </w:p>
    <w:p w14:paraId="25C09AEF" w14:textId="74D1E547" w:rsidR="007151AE" w:rsidRPr="007151AE" w:rsidRDefault="007151AE" w:rsidP="00F92DD2">
      <w:pPr>
        <w:pStyle w:val="ListParagraph"/>
        <w:numPr>
          <w:ilvl w:val="0"/>
          <w:numId w:val="3"/>
        </w:numPr>
        <w:spacing w:after="0" w:line="240" w:lineRule="auto"/>
        <w:jc w:val="both"/>
        <w:textAlignment w:val="baseline"/>
        <w:rPr>
          <w:rFonts w:cstheme="minorHAnsi"/>
        </w:rPr>
      </w:pPr>
      <w:r w:rsidRPr="007151AE">
        <w:rPr>
          <w:rFonts w:eastAsia="Times New Roman" w:cstheme="minorHAnsi"/>
          <w:color w:val="000000"/>
        </w:rPr>
        <w:t xml:space="preserve">In Myanmar, </w:t>
      </w:r>
      <w:r>
        <w:rPr>
          <w:rFonts w:eastAsia="Times New Roman" w:cstheme="minorHAnsi"/>
          <w:color w:val="000000"/>
        </w:rPr>
        <w:t>a</w:t>
      </w:r>
      <w:r w:rsidR="00A74947" w:rsidRPr="007151AE">
        <w:rPr>
          <w:rFonts w:eastAsia="Times New Roman" w:cstheme="minorHAnsi"/>
          <w:color w:val="000000"/>
        </w:rPr>
        <w:t>pproximately 130,000 Rohingya Muslims are held in 24 internment camps in Rakhine.</w:t>
      </w:r>
      <w:r w:rsidR="00A74947" w:rsidRPr="007A1FF0">
        <w:rPr>
          <w:rStyle w:val="FootnoteReference"/>
          <w:rFonts w:eastAsia="Times New Roman" w:cstheme="minorHAnsi"/>
          <w:color w:val="000000"/>
        </w:rPr>
        <w:footnoteReference w:id="15"/>
      </w:r>
      <w:r w:rsidR="00A74947" w:rsidRPr="007151AE">
        <w:rPr>
          <w:rFonts w:eastAsia="Times New Roman" w:cstheme="minorHAnsi"/>
          <w:color w:val="000000"/>
        </w:rPr>
        <w:t xml:space="preserve"> Rohingya and Kaman Muslims in internment camps face squalid conditions with restrictions on food, </w:t>
      </w:r>
      <w:proofErr w:type="gramStart"/>
      <w:r w:rsidR="00A74947" w:rsidRPr="007151AE">
        <w:rPr>
          <w:rFonts w:eastAsia="Times New Roman" w:cstheme="minorHAnsi"/>
          <w:color w:val="000000"/>
        </w:rPr>
        <w:t>healthcare</w:t>
      </w:r>
      <w:proofErr w:type="gramEnd"/>
      <w:r w:rsidR="00A74947" w:rsidRPr="007151AE">
        <w:rPr>
          <w:rFonts w:eastAsia="Times New Roman" w:cstheme="minorHAnsi"/>
          <w:color w:val="000000"/>
        </w:rPr>
        <w:t xml:space="preserve"> and aid, endangering human security and basic human rights. Physical abuse</w:t>
      </w:r>
      <w:r w:rsidR="00A74947" w:rsidRPr="007A1FF0">
        <w:rPr>
          <w:rStyle w:val="FootnoteReference"/>
          <w:rFonts w:eastAsia="Times New Roman" w:cstheme="minorHAnsi"/>
          <w:color w:val="000000"/>
        </w:rPr>
        <w:footnoteReference w:id="16"/>
      </w:r>
      <w:r w:rsidR="00A74947" w:rsidRPr="007151AE">
        <w:rPr>
          <w:rFonts w:eastAsia="Times New Roman" w:cstheme="minorHAnsi"/>
          <w:color w:val="000000"/>
        </w:rPr>
        <w:t xml:space="preserve"> and forced confinement are characteristic of the camps.</w:t>
      </w:r>
      <w:r w:rsidR="00A74947" w:rsidRPr="007A1FF0">
        <w:rPr>
          <w:rStyle w:val="FootnoteReference"/>
          <w:rFonts w:eastAsia="Times New Roman" w:cstheme="minorHAnsi"/>
          <w:color w:val="000000"/>
        </w:rPr>
        <w:footnoteReference w:id="17"/>
      </w:r>
      <w:r w:rsidR="00A74947" w:rsidRPr="007151AE">
        <w:rPr>
          <w:rFonts w:eastAsia="Times New Roman" w:cstheme="minorHAnsi"/>
          <w:color w:val="000000"/>
        </w:rPr>
        <w:t xml:space="preserve"> Restrictions on movement due to militarisation</w:t>
      </w:r>
      <w:r w:rsidR="00A74947" w:rsidRPr="007A1FF0">
        <w:rPr>
          <w:rStyle w:val="FootnoteReference"/>
          <w:rFonts w:eastAsia="Times New Roman" w:cstheme="minorHAnsi"/>
          <w:color w:val="000000"/>
        </w:rPr>
        <w:footnoteReference w:id="18"/>
      </w:r>
      <w:r w:rsidR="00A74947" w:rsidRPr="007151AE">
        <w:rPr>
          <w:rFonts w:eastAsia="Times New Roman" w:cstheme="minorHAnsi"/>
          <w:color w:val="000000"/>
        </w:rPr>
        <w:t xml:space="preserve"> pose grave threats to basic rights and liberty of Rohingya.</w:t>
      </w:r>
    </w:p>
    <w:p w14:paraId="6EB9316C" w14:textId="77777777" w:rsidR="007151AE" w:rsidRPr="007151AE" w:rsidRDefault="007151AE" w:rsidP="007151AE">
      <w:pPr>
        <w:pStyle w:val="ListParagraph"/>
        <w:spacing w:after="0" w:line="240" w:lineRule="auto"/>
        <w:jc w:val="both"/>
        <w:textAlignment w:val="baseline"/>
        <w:rPr>
          <w:rFonts w:cstheme="minorHAnsi"/>
        </w:rPr>
      </w:pPr>
    </w:p>
    <w:p w14:paraId="019E555D" w14:textId="747065DB" w:rsidR="00A74947" w:rsidRPr="007151AE" w:rsidRDefault="007151AE" w:rsidP="00F92DD2">
      <w:pPr>
        <w:pStyle w:val="ListParagraph"/>
        <w:numPr>
          <w:ilvl w:val="0"/>
          <w:numId w:val="3"/>
        </w:numPr>
        <w:spacing w:after="0" w:line="240" w:lineRule="auto"/>
        <w:jc w:val="both"/>
        <w:textAlignment w:val="baseline"/>
        <w:rPr>
          <w:rFonts w:cstheme="minorHAnsi"/>
        </w:rPr>
      </w:pPr>
      <w:r>
        <w:rPr>
          <w:rFonts w:cstheme="minorHAnsi"/>
        </w:rPr>
        <w:t>In India, a</w:t>
      </w:r>
      <w:r w:rsidR="00A74947" w:rsidRPr="007151AE">
        <w:rPr>
          <w:rFonts w:cstheme="minorHAnsi"/>
        </w:rPr>
        <w:t>pproximately 500 Rohingya are</w:t>
      </w:r>
      <w:r>
        <w:rPr>
          <w:rFonts w:cstheme="minorHAnsi"/>
        </w:rPr>
        <w:t xml:space="preserve"> in detention</w:t>
      </w:r>
      <w:r w:rsidR="00A74947" w:rsidRPr="007151AE">
        <w:rPr>
          <w:rFonts w:cstheme="minorHAnsi"/>
        </w:rPr>
        <w:t xml:space="preserve">. Most </w:t>
      </w:r>
      <w:r>
        <w:rPr>
          <w:rFonts w:cstheme="minorHAnsi"/>
        </w:rPr>
        <w:t xml:space="preserve">have been </w:t>
      </w:r>
      <w:r w:rsidR="00A74947" w:rsidRPr="007151AE">
        <w:rPr>
          <w:rFonts w:cstheme="minorHAnsi"/>
        </w:rPr>
        <w:t xml:space="preserve">arrested when migrating through Indian states bordering Myanmar, </w:t>
      </w:r>
      <w:proofErr w:type="gramStart"/>
      <w:r w:rsidR="00A74947" w:rsidRPr="007151AE">
        <w:rPr>
          <w:rFonts w:cstheme="minorHAnsi"/>
        </w:rPr>
        <w:t>Bangladesh</w:t>
      </w:r>
      <w:proofErr w:type="gramEnd"/>
      <w:r w:rsidR="00A74947" w:rsidRPr="007151AE">
        <w:rPr>
          <w:rFonts w:cstheme="minorHAnsi"/>
        </w:rPr>
        <w:t xml:space="preserve"> and Bhutan. To ensure release, Rohingya need documentation provided by UNHCR which is largely inaccessible across detention facilities.</w:t>
      </w:r>
      <w:r w:rsidR="00A74947" w:rsidRPr="007A1FF0">
        <w:rPr>
          <w:rStyle w:val="FootnoteReference"/>
          <w:rFonts w:cstheme="minorHAnsi"/>
        </w:rPr>
        <w:footnoteReference w:id="19"/>
      </w:r>
      <w:r w:rsidR="00A74947" w:rsidRPr="007151AE">
        <w:rPr>
          <w:rFonts w:cstheme="minorHAnsi"/>
        </w:rPr>
        <w:t xml:space="preserve"> Detained Rohingya are denied access to legal services and India</w:t>
      </w:r>
      <w:r>
        <w:rPr>
          <w:rFonts w:cstheme="minorHAnsi"/>
        </w:rPr>
        <w:t>, which</w:t>
      </w:r>
      <w:r w:rsidR="00A74947" w:rsidRPr="007151AE">
        <w:rPr>
          <w:rFonts w:cstheme="minorHAnsi"/>
        </w:rPr>
        <w:t xml:space="preserve"> is not </w:t>
      </w:r>
      <w:r>
        <w:rPr>
          <w:rFonts w:cstheme="minorHAnsi"/>
        </w:rPr>
        <w:t>party to</w:t>
      </w:r>
      <w:r w:rsidR="00A74947" w:rsidRPr="007151AE">
        <w:rPr>
          <w:rFonts w:cstheme="minorHAnsi"/>
        </w:rPr>
        <w:t xml:space="preserve"> the 1951 Refugee Convention</w:t>
      </w:r>
      <w:r>
        <w:rPr>
          <w:rFonts w:cstheme="minorHAnsi"/>
        </w:rPr>
        <w:t>, treats the Rohingya as illegal immigrants and does not protect them.</w:t>
      </w:r>
      <w:r w:rsidR="00A74947" w:rsidRPr="007A1FF0">
        <w:rPr>
          <w:rStyle w:val="FootnoteReference"/>
          <w:rFonts w:cstheme="minorHAnsi"/>
        </w:rPr>
        <w:footnoteReference w:id="20"/>
      </w:r>
    </w:p>
    <w:p w14:paraId="093DC93F" w14:textId="7E43931B" w:rsidR="007151AE" w:rsidRDefault="007151AE" w:rsidP="006A2494">
      <w:pPr>
        <w:shd w:val="clear" w:color="auto" w:fill="FFFFFF"/>
        <w:spacing w:after="0" w:line="240" w:lineRule="auto"/>
        <w:jc w:val="both"/>
        <w:rPr>
          <w:rFonts w:eastAsia="Times New Roman" w:cstheme="minorHAnsi"/>
          <w:b/>
          <w:bCs/>
          <w:color w:val="000000"/>
          <w:lang w:eastAsia="en-GB"/>
        </w:rPr>
      </w:pPr>
    </w:p>
    <w:p w14:paraId="016F69A6" w14:textId="77777777" w:rsidR="007151AE" w:rsidRDefault="007151AE" w:rsidP="006A2494">
      <w:pPr>
        <w:shd w:val="clear" w:color="auto" w:fill="FFFFFF"/>
        <w:spacing w:after="0" w:line="240" w:lineRule="auto"/>
        <w:jc w:val="both"/>
        <w:rPr>
          <w:rFonts w:eastAsia="Times New Roman" w:cstheme="minorHAnsi"/>
          <w:b/>
          <w:bCs/>
          <w:color w:val="000000"/>
          <w:lang w:eastAsia="en-GB"/>
        </w:rPr>
      </w:pPr>
    </w:p>
    <w:p w14:paraId="119C4401" w14:textId="6CBA31A3" w:rsidR="007151AE" w:rsidRPr="007151AE" w:rsidRDefault="007151AE" w:rsidP="006A2494">
      <w:pPr>
        <w:shd w:val="clear" w:color="auto" w:fill="FFFFFF"/>
        <w:spacing w:after="0" w:line="240" w:lineRule="auto"/>
        <w:jc w:val="both"/>
        <w:rPr>
          <w:rFonts w:eastAsia="Times New Roman" w:cstheme="minorHAnsi"/>
          <w:b/>
          <w:bCs/>
          <w:i/>
          <w:iCs/>
          <w:color w:val="000000"/>
          <w:sz w:val="24"/>
          <w:szCs w:val="24"/>
          <w:lang w:eastAsia="en-GB"/>
        </w:rPr>
      </w:pPr>
      <w:r w:rsidRPr="007151AE">
        <w:rPr>
          <w:rFonts w:eastAsia="Times New Roman" w:cstheme="minorHAnsi"/>
          <w:b/>
          <w:bCs/>
          <w:i/>
          <w:iCs/>
          <w:color w:val="000000"/>
          <w:sz w:val="24"/>
          <w:szCs w:val="24"/>
          <w:lang w:eastAsia="en-GB"/>
        </w:rPr>
        <w:t>1.e. Access to e</w:t>
      </w:r>
      <w:r w:rsidR="00A74947" w:rsidRPr="007151AE">
        <w:rPr>
          <w:rFonts w:eastAsia="Times New Roman" w:cstheme="minorHAnsi"/>
          <w:b/>
          <w:bCs/>
          <w:i/>
          <w:iCs/>
          <w:color w:val="000000"/>
          <w:sz w:val="24"/>
          <w:szCs w:val="24"/>
          <w:lang w:eastAsia="en-GB"/>
        </w:rPr>
        <w:t xml:space="preserve">conomic, </w:t>
      </w:r>
      <w:proofErr w:type="gramStart"/>
      <w:r w:rsidR="00A74947" w:rsidRPr="007151AE">
        <w:rPr>
          <w:rFonts w:eastAsia="Times New Roman" w:cstheme="minorHAnsi"/>
          <w:b/>
          <w:bCs/>
          <w:i/>
          <w:iCs/>
          <w:color w:val="000000"/>
          <w:sz w:val="24"/>
          <w:szCs w:val="24"/>
          <w:lang w:eastAsia="en-GB"/>
        </w:rPr>
        <w:t>social</w:t>
      </w:r>
      <w:proofErr w:type="gramEnd"/>
      <w:r w:rsidR="00A74947" w:rsidRPr="007151AE">
        <w:rPr>
          <w:rFonts w:eastAsia="Times New Roman" w:cstheme="minorHAnsi"/>
          <w:b/>
          <w:bCs/>
          <w:i/>
          <w:iCs/>
          <w:color w:val="000000"/>
          <w:sz w:val="24"/>
          <w:szCs w:val="24"/>
          <w:lang w:eastAsia="en-GB"/>
        </w:rPr>
        <w:t xml:space="preserve"> and cultural rights</w:t>
      </w:r>
    </w:p>
    <w:p w14:paraId="1B4C25BB" w14:textId="77777777" w:rsidR="007151AE" w:rsidRDefault="007151AE" w:rsidP="006A2494">
      <w:pPr>
        <w:shd w:val="clear" w:color="auto" w:fill="FFFFFF"/>
        <w:spacing w:after="0" w:line="240" w:lineRule="auto"/>
        <w:jc w:val="both"/>
        <w:rPr>
          <w:rFonts w:eastAsia="Times New Roman" w:cstheme="minorHAnsi"/>
          <w:b/>
          <w:bCs/>
          <w:color w:val="000000"/>
          <w:lang w:eastAsia="en-GB"/>
        </w:rPr>
      </w:pPr>
    </w:p>
    <w:p w14:paraId="7387C05F" w14:textId="12845FB8" w:rsidR="007151AE" w:rsidRPr="007151AE" w:rsidRDefault="00A74947" w:rsidP="006A2494">
      <w:pPr>
        <w:pStyle w:val="ListParagraph"/>
        <w:numPr>
          <w:ilvl w:val="0"/>
          <w:numId w:val="3"/>
        </w:numPr>
        <w:shd w:val="clear" w:color="auto" w:fill="FFFFFF"/>
        <w:spacing w:after="0" w:line="240" w:lineRule="auto"/>
        <w:jc w:val="both"/>
        <w:rPr>
          <w:rFonts w:eastAsia="Times New Roman" w:cstheme="minorHAnsi"/>
          <w:b/>
          <w:bCs/>
          <w:color w:val="000000"/>
          <w:lang w:eastAsia="en-GB"/>
        </w:rPr>
      </w:pPr>
      <w:r w:rsidRPr="007151AE">
        <w:rPr>
          <w:rFonts w:cstheme="minorHAnsi"/>
        </w:rPr>
        <w:t>In India,</w:t>
      </w:r>
      <w:r w:rsidR="007151AE">
        <w:rPr>
          <w:rFonts w:cstheme="minorHAnsi"/>
        </w:rPr>
        <w:t xml:space="preserve"> Rohingya </w:t>
      </w:r>
      <w:r w:rsidRPr="007151AE">
        <w:rPr>
          <w:rFonts w:cstheme="minorHAnsi"/>
        </w:rPr>
        <w:t>refugees live in both small urban-based camps and in rental apartments. With no right to work, employment is found in informal sectors of the economy. They have no safety nets or social security. COVID-19 has resulted in loss of livelihoods and financial insecurity. Inability to pay rent has resulted in harassment from landlords and the loss of homes.</w:t>
      </w:r>
      <w:r w:rsidRPr="007A1FF0">
        <w:rPr>
          <w:rStyle w:val="FootnoteReference"/>
          <w:rFonts w:cstheme="minorHAnsi"/>
        </w:rPr>
        <w:footnoteReference w:id="21"/>
      </w:r>
      <w:r w:rsidRPr="007151AE">
        <w:rPr>
          <w:rFonts w:cstheme="minorHAnsi"/>
        </w:rPr>
        <w:t xml:space="preserve"> Some continue to work increasing risk of infection. Food rations do not always reach Rohingya communities, meaning they are facing food shortages.</w:t>
      </w:r>
      <w:r w:rsidRPr="007A1FF0">
        <w:rPr>
          <w:rStyle w:val="FootnoteReference"/>
          <w:rFonts w:cstheme="minorHAnsi"/>
        </w:rPr>
        <w:footnoteReference w:id="22"/>
      </w:r>
    </w:p>
    <w:p w14:paraId="29E3D157" w14:textId="77777777" w:rsidR="007151AE" w:rsidRPr="007151AE" w:rsidRDefault="007151AE" w:rsidP="007151AE">
      <w:pPr>
        <w:pStyle w:val="ListParagraph"/>
        <w:shd w:val="clear" w:color="auto" w:fill="FFFFFF"/>
        <w:spacing w:after="0" w:line="240" w:lineRule="auto"/>
        <w:jc w:val="both"/>
        <w:rPr>
          <w:rFonts w:eastAsia="Times New Roman" w:cstheme="minorHAnsi"/>
          <w:b/>
          <w:bCs/>
          <w:color w:val="000000"/>
          <w:lang w:eastAsia="en-GB"/>
        </w:rPr>
      </w:pPr>
    </w:p>
    <w:p w14:paraId="11E64A81" w14:textId="77777777" w:rsidR="007151AE" w:rsidRPr="007151AE" w:rsidRDefault="00A74947" w:rsidP="006A2494">
      <w:pPr>
        <w:pStyle w:val="ListParagraph"/>
        <w:numPr>
          <w:ilvl w:val="0"/>
          <w:numId w:val="3"/>
        </w:numPr>
        <w:shd w:val="clear" w:color="auto" w:fill="FFFFFF"/>
        <w:spacing w:after="0" w:line="240" w:lineRule="auto"/>
        <w:jc w:val="both"/>
        <w:rPr>
          <w:rFonts w:eastAsia="Times New Roman" w:cstheme="minorHAnsi"/>
          <w:b/>
          <w:bCs/>
          <w:color w:val="000000"/>
          <w:lang w:eastAsia="en-GB"/>
        </w:rPr>
      </w:pPr>
      <w:r w:rsidRPr="007151AE">
        <w:rPr>
          <w:rFonts w:cstheme="minorHAnsi"/>
        </w:rPr>
        <w:t>Camps are densely populated and overcrowded with limited access to proper hygiene facilities. Social distancing is often impossible to maintain and virus prevention measures are difficult to implement. Rohingya are at increased risk of infection compounded by an increased culture of fear and anxiety of contacting the virus.</w:t>
      </w:r>
      <w:r w:rsidRPr="007A1FF0">
        <w:rPr>
          <w:rStyle w:val="FootnoteReference"/>
          <w:rFonts w:cstheme="minorHAnsi"/>
        </w:rPr>
        <w:footnoteReference w:id="23"/>
      </w:r>
    </w:p>
    <w:p w14:paraId="4AC4E757" w14:textId="77777777" w:rsidR="007151AE" w:rsidRPr="007151AE" w:rsidRDefault="007151AE" w:rsidP="007151AE">
      <w:pPr>
        <w:pStyle w:val="ListParagraph"/>
        <w:rPr>
          <w:rFonts w:cstheme="minorHAnsi"/>
        </w:rPr>
      </w:pPr>
    </w:p>
    <w:p w14:paraId="73E40BFE" w14:textId="77777777" w:rsidR="007151AE" w:rsidRPr="007151AE" w:rsidRDefault="00A74947" w:rsidP="006A2494">
      <w:pPr>
        <w:pStyle w:val="ListParagraph"/>
        <w:numPr>
          <w:ilvl w:val="0"/>
          <w:numId w:val="3"/>
        </w:numPr>
        <w:shd w:val="clear" w:color="auto" w:fill="FFFFFF"/>
        <w:spacing w:after="0" w:line="240" w:lineRule="auto"/>
        <w:jc w:val="both"/>
        <w:rPr>
          <w:rFonts w:eastAsia="Times New Roman" w:cstheme="minorHAnsi"/>
          <w:b/>
          <w:bCs/>
          <w:color w:val="000000"/>
          <w:lang w:eastAsia="en-GB"/>
        </w:rPr>
      </w:pPr>
      <w:r w:rsidRPr="007151AE">
        <w:rPr>
          <w:rFonts w:cstheme="minorHAnsi"/>
        </w:rPr>
        <w:t>Access to public health information is a serious challenge. Internet blackouts</w:t>
      </w:r>
      <w:r w:rsidRPr="007A1FF0">
        <w:rPr>
          <w:rStyle w:val="FootnoteReference"/>
          <w:rFonts w:cstheme="minorHAnsi"/>
        </w:rPr>
        <w:footnoteReference w:id="24"/>
      </w:r>
      <w:r w:rsidRPr="007151AE">
        <w:rPr>
          <w:rFonts w:cstheme="minorHAnsi"/>
        </w:rPr>
        <w:t xml:space="preserve"> in parts of Rakhine makes disseminating public health and virus prevention information challenging,</w:t>
      </w:r>
      <w:r w:rsidRPr="007A1FF0">
        <w:rPr>
          <w:rStyle w:val="FootnoteReference"/>
          <w:rFonts w:cstheme="minorHAnsi"/>
        </w:rPr>
        <w:footnoteReference w:id="25"/>
      </w:r>
      <w:r w:rsidRPr="007151AE">
        <w:rPr>
          <w:rFonts w:cstheme="minorHAnsi"/>
        </w:rPr>
        <w:t xml:space="preserve"> leading to widespread misinformation and rumours, panic and fear.</w:t>
      </w:r>
      <w:r w:rsidRPr="007A1FF0">
        <w:rPr>
          <w:rStyle w:val="FootnoteReference"/>
          <w:rFonts w:cstheme="minorHAnsi"/>
        </w:rPr>
        <w:footnoteReference w:id="26"/>
      </w:r>
      <w:r w:rsidRPr="007151AE">
        <w:rPr>
          <w:rFonts w:cstheme="minorHAnsi"/>
        </w:rPr>
        <w:t xml:space="preserve"> Rohingya language interpreters are </w:t>
      </w:r>
      <w:r w:rsidRPr="007151AE">
        <w:rPr>
          <w:rFonts w:cstheme="minorHAnsi"/>
        </w:rPr>
        <w:lastRenderedPageBreak/>
        <w:t>scarce, as are female interpreters impacting both access to healthcare and decisions to seek healthcare.</w:t>
      </w:r>
      <w:r w:rsidRPr="007A1FF0">
        <w:rPr>
          <w:rStyle w:val="FootnoteReference"/>
          <w:rFonts w:cstheme="minorHAnsi"/>
        </w:rPr>
        <w:footnoteReference w:id="27"/>
      </w:r>
    </w:p>
    <w:p w14:paraId="0EACF302" w14:textId="77777777" w:rsidR="007151AE" w:rsidRPr="007151AE" w:rsidRDefault="007151AE" w:rsidP="007151AE">
      <w:pPr>
        <w:pStyle w:val="ListParagraph"/>
        <w:rPr>
          <w:rFonts w:eastAsia="Times New Roman" w:cstheme="minorHAnsi"/>
          <w:color w:val="000000"/>
        </w:rPr>
      </w:pPr>
    </w:p>
    <w:p w14:paraId="3206981A" w14:textId="20017B4D" w:rsidR="00A74947" w:rsidRPr="007151AE" w:rsidRDefault="00A74947" w:rsidP="006A2494">
      <w:pPr>
        <w:pStyle w:val="ListParagraph"/>
        <w:numPr>
          <w:ilvl w:val="0"/>
          <w:numId w:val="3"/>
        </w:numPr>
        <w:shd w:val="clear" w:color="auto" w:fill="FFFFFF"/>
        <w:spacing w:after="0" w:line="240" w:lineRule="auto"/>
        <w:jc w:val="both"/>
        <w:rPr>
          <w:rFonts w:eastAsia="Times New Roman" w:cstheme="minorHAnsi"/>
          <w:b/>
          <w:bCs/>
          <w:color w:val="000000"/>
          <w:lang w:eastAsia="en-GB"/>
        </w:rPr>
      </w:pPr>
      <w:r w:rsidRPr="007151AE">
        <w:rPr>
          <w:rFonts w:eastAsia="Times New Roman" w:cstheme="minorHAnsi"/>
          <w:color w:val="000000"/>
        </w:rPr>
        <w:t xml:space="preserve">Internally displaced women in </w:t>
      </w:r>
      <w:proofErr w:type="spellStart"/>
      <w:r w:rsidRPr="007151AE">
        <w:rPr>
          <w:rFonts w:eastAsia="Times New Roman" w:cstheme="minorHAnsi"/>
          <w:color w:val="000000"/>
        </w:rPr>
        <w:t>Taung</w:t>
      </w:r>
      <w:proofErr w:type="spellEnd"/>
      <w:r w:rsidRPr="007151AE">
        <w:rPr>
          <w:rFonts w:eastAsia="Times New Roman" w:cstheme="minorHAnsi"/>
          <w:color w:val="000000"/>
        </w:rPr>
        <w:t xml:space="preserve"> Paw camp, Rakhine, have faced limits to reproductive and maternal healthcare.</w:t>
      </w:r>
      <w:r w:rsidRPr="007A1FF0">
        <w:rPr>
          <w:rStyle w:val="FootnoteReference"/>
          <w:rFonts w:eastAsia="Times New Roman" w:cstheme="minorHAnsi"/>
          <w:color w:val="000000"/>
        </w:rPr>
        <w:footnoteReference w:id="28"/>
      </w:r>
      <w:r w:rsidRPr="007151AE">
        <w:rPr>
          <w:rFonts w:eastAsia="Times New Roman" w:cstheme="minorHAnsi"/>
          <w:color w:val="000000"/>
        </w:rPr>
        <w:t xml:space="preserve"> There are accounts of pregnant women dying during labour and occurrences of still births due to restrictions of movement and inadequate healthcare. </w:t>
      </w:r>
      <w:r w:rsidRPr="007A1FF0">
        <w:rPr>
          <w:rStyle w:val="FootnoteReference"/>
          <w:rFonts w:eastAsia="Times New Roman" w:cstheme="minorHAnsi"/>
          <w:color w:val="000000"/>
        </w:rPr>
        <w:footnoteReference w:id="29"/>
      </w:r>
    </w:p>
    <w:p w14:paraId="1B54FC41" w14:textId="2A34BC14" w:rsidR="007151AE" w:rsidRDefault="007151AE" w:rsidP="006A2494">
      <w:pPr>
        <w:spacing w:after="0" w:line="240" w:lineRule="auto"/>
        <w:jc w:val="both"/>
        <w:rPr>
          <w:rFonts w:eastAsia="Times New Roman" w:cstheme="minorHAnsi"/>
          <w:b/>
          <w:bCs/>
        </w:rPr>
      </w:pPr>
    </w:p>
    <w:p w14:paraId="44201CA4" w14:textId="77777777" w:rsidR="007151AE" w:rsidRDefault="007151AE" w:rsidP="006A2494">
      <w:pPr>
        <w:spacing w:after="0" w:line="240" w:lineRule="auto"/>
        <w:jc w:val="both"/>
        <w:rPr>
          <w:rFonts w:eastAsia="Times New Roman" w:cstheme="minorHAnsi"/>
          <w:b/>
          <w:bCs/>
        </w:rPr>
      </w:pPr>
    </w:p>
    <w:p w14:paraId="4205DEC8" w14:textId="4BB86684" w:rsidR="00A74947" w:rsidRPr="007151AE" w:rsidRDefault="007151AE" w:rsidP="006A2494">
      <w:pPr>
        <w:spacing w:after="0" w:line="240" w:lineRule="auto"/>
        <w:jc w:val="both"/>
        <w:rPr>
          <w:rFonts w:eastAsia="Times New Roman" w:cstheme="minorHAnsi"/>
          <w:i/>
          <w:iCs/>
          <w:sz w:val="24"/>
          <w:szCs w:val="24"/>
        </w:rPr>
      </w:pPr>
      <w:r w:rsidRPr="007151AE">
        <w:rPr>
          <w:rFonts w:eastAsia="Times New Roman" w:cstheme="minorHAnsi"/>
          <w:b/>
          <w:bCs/>
          <w:i/>
          <w:iCs/>
          <w:sz w:val="24"/>
          <w:szCs w:val="24"/>
        </w:rPr>
        <w:t xml:space="preserve">1.f. </w:t>
      </w:r>
      <w:r w:rsidR="00A74947" w:rsidRPr="007151AE">
        <w:rPr>
          <w:rFonts w:eastAsia="Times New Roman" w:cstheme="minorHAnsi"/>
          <w:b/>
          <w:bCs/>
          <w:i/>
          <w:iCs/>
          <w:sz w:val="24"/>
          <w:szCs w:val="24"/>
        </w:rPr>
        <w:t>Social attitude, hate speech</w:t>
      </w:r>
      <w:r w:rsidRPr="007151AE">
        <w:rPr>
          <w:rFonts w:eastAsia="Times New Roman" w:cstheme="minorHAnsi"/>
          <w:b/>
          <w:bCs/>
          <w:i/>
          <w:iCs/>
          <w:sz w:val="24"/>
          <w:szCs w:val="24"/>
        </w:rPr>
        <w:t xml:space="preserve"> and state sponsored violence</w:t>
      </w:r>
    </w:p>
    <w:p w14:paraId="0265E95E" w14:textId="77777777" w:rsidR="007151AE" w:rsidRDefault="007151AE" w:rsidP="006A2494">
      <w:pPr>
        <w:spacing w:after="0" w:line="240" w:lineRule="auto"/>
        <w:jc w:val="both"/>
        <w:rPr>
          <w:rFonts w:eastAsia="Times New Roman" w:cstheme="minorHAnsi"/>
          <w:color w:val="000000"/>
        </w:rPr>
      </w:pPr>
    </w:p>
    <w:p w14:paraId="646AC49A" w14:textId="6F052B39" w:rsidR="007151AE" w:rsidRDefault="00A74947" w:rsidP="006A2494">
      <w:pPr>
        <w:pStyle w:val="ListParagraph"/>
        <w:numPr>
          <w:ilvl w:val="0"/>
          <w:numId w:val="3"/>
        </w:numPr>
        <w:spacing w:after="0" w:line="240" w:lineRule="auto"/>
        <w:jc w:val="both"/>
        <w:rPr>
          <w:rFonts w:eastAsia="Times New Roman" w:cstheme="minorHAnsi"/>
          <w:color w:val="000000"/>
        </w:rPr>
      </w:pPr>
      <w:r w:rsidRPr="007151AE">
        <w:rPr>
          <w:rFonts w:eastAsia="Times New Roman" w:cstheme="minorHAnsi"/>
          <w:color w:val="000000"/>
        </w:rPr>
        <w:t>COVID-19 resulted in increased hate speech from Myanmar authorities and media against the Rohingya. The adopted rhetoric being the Rohingya are ‘Bengali’, have entered Myanmar illegally and bought with them the virus.</w:t>
      </w:r>
      <w:r w:rsidRPr="007A1FF0">
        <w:rPr>
          <w:rStyle w:val="FootnoteReference"/>
          <w:rFonts w:eastAsia="Times New Roman" w:cstheme="minorHAnsi"/>
          <w:color w:val="000000"/>
        </w:rPr>
        <w:footnoteReference w:id="30"/>
      </w:r>
    </w:p>
    <w:p w14:paraId="34581D66" w14:textId="77777777" w:rsidR="007151AE" w:rsidRDefault="007151AE" w:rsidP="007151AE">
      <w:pPr>
        <w:pStyle w:val="ListParagraph"/>
        <w:spacing w:after="0" w:line="240" w:lineRule="auto"/>
        <w:jc w:val="both"/>
        <w:rPr>
          <w:rFonts w:eastAsia="Times New Roman" w:cstheme="minorHAnsi"/>
          <w:color w:val="000000"/>
        </w:rPr>
      </w:pPr>
    </w:p>
    <w:p w14:paraId="35660DE8" w14:textId="77777777" w:rsidR="007151AE" w:rsidRDefault="00A74947" w:rsidP="006A2494">
      <w:pPr>
        <w:pStyle w:val="ListParagraph"/>
        <w:numPr>
          <w:ilvl w:val="0"/>
          <w:numId w:val="3"/>
        </w:numPr>
        <w:spacing w:after="0" w:line="240" w:lineRule="auto"/>
        <w:jc w:val="both"/>
        <w:rPr>
          <w:rFonts w:eastAsia="Times New Roman" w:cstheme="minorHAnsi"/>
          <w:color w:val="000000"/>
        </w:rPr>
      </w:pPr>
      <w:r w:rsidRPr="007151AE">
        <w:rPr>
          <w:rFonts w:eastAsia="Times New Roman" w:cstheme="minorHAnsi"/>
          <w:color w:val="000000"/>
        </w:rPr>
        <w:t>Ahead of the November 2020 elections there was a rise in hate speech and disinformation on social media, discrimination against minority voters and disqualification of Muslim candidates based on racist claims against their ancestry.</w:t>
      </w:r>
      <w:r w:rsidRPr="007A1FF0">
        <w:rPr>
          <w:rStyle w:val="FootnoteReference"/>
          <w:rFonts w:eastAsia="Times New Roman" w:cstheme="minorHAnsi"/>
          <w:color w:val="000000"/>
        </w:rPr>
        <w:footnoteReference w:id="31"/>
      </w:r>
    </w:p>
    <w:p w14:paraId="273043B7" w14:textId="77777777" w:rsidR="007151AE" w:rsidRPr="007151AE" w:rsidRDefault="007151AE" w:rsidP="007151AE">
      <w:pPr>
        <w:pStyle w:val="ListParagraph"/>
        <w:rPr>
          <w:rFonts w:eastAsia="Times New Roman" w:cstheme="minorHAnsi"/>
          <w:color w:val="000000"/>
        </w:rPr>
      </w:pPr>
    </w:p>
    <w:p w14:paraId="6B57AC45" w14:textId="64AF553E" w:rsidR="00A74947" w:rsidRPr="007151AE" w:rsidRDefault="00A74947" w:rsidP="006A2494">
      <w:pPr>
        <w:pStyle w:val="ListParagraph"/>
        <w:numPr>
          <w:ilvl w:val="0"/>
          <w:numId w:val="3"/>
        </w:numPr>
        <w:spacing w:after="0" w:line="240" w:lineRule="auto"/>
        <w:jc w:val="both"/>
        <w:rPr>
          <w:rFonts w:eastAsia="Times New Roman" w:cstheme="minorHAnsi"/>
          <w:color w:val="000000"/>
        </w:rPr>
      </w:pPr>
      <w:r w:rsidRPr="007151AE">
        <w:rPr>
          <w:rFonts w:eastAsia="Times New Roman" w:cstheme="minorHAnsi"/>
          <w:color w:val="000000"/>
        </w:rPr>
        <w:t>State-sponsored violence is recognised as genocidal by the UN and other international bodies and states. In January, the ICJ ruled Myanmar must protect the Rohingya from genocide; prevent the military from committing acts of genocide and prevent the destruction of evidence of Genocide.</w:t>
      </w:r>
      <w:r w:rsidRPr="007A1FF0">
        <w:rPr>
          <w:rStyle w:val="FootnoteReference"/>
          <w:rFonts w:eastAsia="Times New Roman" w:cstheme="minorHAnsi"/>
          <w:color w:val="000000"/>
        </w:rPr>
        <w:footnoteReference w:id="32"/>
      </w:r>
      <w:r w:rsidRPr="007151AE">
        <w:rPr>
          <w:rFonts w:eastAsia="Times New Roman" w:cstheme="minorHAnsi"/>
          <w:color w:val="000000"/>
        </w:rPr>
        <w:t xml:space="preserve"> “Security operations”</w:t>
      </w:r>
      <w:r w:rsidRPr="007A1FF0">
        <w:rPr>
          <w:rStyle w:val="FootnoteReference"/>
          <w:rFonts w:eastAsia="Times New Roman" w:cstheme="minorHAnsi"/>
          <w:color w:val="000000"/>
        </w:rPr>
        <w:footnoteReference w:id="33"/>
      </w:r>
      <w:r w:rsidRPr="007151AE">
        <w:rPr>
          <w:rFonts w:eastAsia="Times New Roman" w:cstheme="minorHAnsi"/>
          <w:color w:val="000000"/>
        </w:rPr>
        <w:t xml:space="preserve"> in 2017 consisting of multiple attacks on Rohingya communities and the destruction of approximately 40,600 structures in Rohingya villages</w:t>
      </w:r>
      <w:r w:rsidRPr="007A1FF0">
        <w:rPr>
          <w:rStyle w:val="FootnoteReference"/>
          <w:rFonts w:eastAsia="Times New Roman" w:cstheme="minorHAnsi"/>
          <w:color w:val="000000"/>
        </w:rPr>
        <w:footnoteReference w:id="34"/>
      </w:r>
      <w:r w:rsidRPr="007151AE">
        <w:rPr>
          <w:rFonts w:eastAsia="Times New Roman" w:cstheme="minorHAnsi"/>
          <w:color w:val="000000"/>
        </w:rPr>
        <w:t xml:space="preserve"> have been denounced by the international community.</w:t>
      </w:r>
      <w:r w:rsidRPr="007A1FF0">
        <w:rPr>
          <w:rStyle w:val="FootnoteReference"/>
          <w:rFonts w:eastAsia="Times New Roman" w:cstheme="minorHAnsi"/>
          <w:color w:val="000000"/>
        </w:rPr>
        <w:footnoteReference w:id="35"/>
      </w:r>
      <w:r w:rsidRPr="007151AE">
        <w:rPr>
          <w:rFonts w:eastAsia="Times New Roman" w:cstheme="minorHAnsi"/>
          <w:color w:val="000000"/>
        </w:rPr>
        <w:t xml:space="preserve"> In Rakhine, Rohingya face institutionalised control and state violence, restrictions to their livelihood and freedom of movement beyond Rakhine State.</w:t>
      </w:r>
    </w:p>
    <w:p w14:paraId="0A09DFF8" w14:textId="26F4A1E7" w:rsidR="007151AE" w:rsidRDefault="007151AE" w:rsidP="006A2494">
      <w:pPr>
        <w:spacing w:after="0" w:line="240" w:lineRule="auto"/>
        <w:jc w:val="both"/>
        <w:outlineLvl w:val="0"/>
        <w:rPr>
          <w:rFonts w:eastAsia="Times New Roman" w:cstheme="minorHAnsi"/>
          <w:b/>
          <w:bCs/>
          <w:sz w:val="24"/>
          <w:szCs w:val="24"/>
        </w:rPr>
      </w:pPr>
    </w:p>
    <w:p w14:paraId="11F3E09B" w14:textId="77777777" w:rsidR="004A2734" w:rsidRDefault="004A2734" w:rsidP="006A2494">
      <w:pPr>
        <w:spacing w:after="0" w:line="240" w:lineRule="auto"/>
        <w:jc w:val="both"/>
        <w:outlineLvl w:val="0"/>
        <w:rPr>
          <w:rFonts w:eastAsia="Times New Roman" w:cstheme="minorHAnsi"/>
          <w:b/>
          <w:bCs/>
          <w:sz w:val="24"/>
          <w:szCs w:val="24"/>
        </w:rPr>
      </w:pPr>
    </w:p>
    <w:p w14:paraId="19401C9E" w14:textId="77777777" w:rsidR="007151AE" w:rsidRDefault="007151AE" w:rsidP="006A2494">
      <w:pPr>
        <w:spacing w:after="0" w:line="240" w:lineRule="auto"/>
        <w:jc w:val="both"/>
        <w:outlineLvl w:val="0"/>
        <w:rPr>
          <w:rFonts w:eastAsia="Times New Roman" w:cstheme="minorHAnsi"/>
          <w:b/>
          <w:bCs/>
          <w:sz w:val="24"/>
          <w:szCs w:val="24"/>
        </w:rPr>
      </w:pPr>
    </w:p>
    <w:p w14:paraId="253054B4" w14:textId="6AA6BC30" w:rsidR="00A74947" w:rsidRPr="007151AE" w:rsidRDefault="007151AE" w:rsidP="006A2494">
      <w:pPr>
        <w:spacing w:after="0" w:line="240" w:lineRule="auto"/>
        <w:jc w:val="both"/>
        <w:outlineLvl w:val="0"/>
        <w:rPr>
          <w:rFonts w:eastAsia="Times New Roman" w:cstheme="minorHAnsi"/>
          <w:b/>
          <w:bCs/>
          <w:sz w:val="28"/>
          <w:szCs w:val="28"/>
        </w:rPr>
      </w:pPr>
      <w:r w:rsidRPr="007151AE">
        <w:rPr>
          <w:rFonts w:eastAsia="Times New Roman" w:cstheme="minorHAnsi"/>
          <w:b/>
          <w:bCs/>
          <w:sz w:val="28"/>
          <w:szCs w:val="28"/>
        </w:rPr>
        <w:t>2. Discriminatory n</w:t>
      </w:r>
      <w:r w:rsidR="00A74947" w:rsidRPr="007151AE">
        <w:rPr>
          <w:rFonts w:eastAsia="Times New Roman" w:cstheme="minorHAnsi"/>
          <w:b/>
          <w:bCs/>
          <w:sz w:val="28"/>
          <w:szCs w:val="28"/>
        </w:rPr>
        <w:t>ationality deprivation</w:t>
      </w:r>
      <w:r w:rsidRPr="007151AE">
        <w:rPr>
          <w:rFonts w:eastAsia="Times New Roman" w:cstheme="minorHAnsi"/>
          <w:b/>
          <w:bCs/>
          <w:sz w:val="28"/>
          <w:szCs w:val="28"/>
        </w:rPr>
        <w:t xml:space="preserve"> targeting Muslims</w:t>
      </w:r>
    </w:p>
    <w:p w14:paraId="4A2E4ED6" w14:textId="77777777" w:rsidR="00A74947" w:rsidRPr="00F26D8F" w:rsidRDefault="00A74947" w:rsidP="006A2494">
      <w:pPr>
        <w:spacing w:after="0" w:line="240" w:lineRule="auto"/>
        <w:jc w:val="both"/>
        <w:outlineLvl w:val="0"/>
        <w:rPr>
          <w:rFonts w:eastAsia="Times New Roman" w:cstheme="minorHAnsi"/>
        </w:rPr>
      </w:pPr>
    </w:p>
    <w:p w14:paraId="6D935296" w14:textId="77777777" w:rsidR="00A74947" w:rsidRPr="002071DA" w:rsidRDefault="00A74947" w:rsidP="007151AE">
      <w:pPr>
        <w:pStyle w:val="ListParagraph"/>
        <w:numPr>
          <w:ilvl w:val="0"/>
          <w:numId w:val="3"/>
        </w:numPr>
        <w:spacing w:after="0" w:line="240" w:lineRule="auto"/>
        <w:jc w:val="both"/>
        <w:outlineLvl w:val="0"/>
        <w:rPr>
          <w:rFonts w:eastAsia="Times New Roman" w:cstheme="minorHAnsi"/>
        </w:rPr>
      </w:pPr>
      <w:r w:rsidRPr="002071DA">
        <w:rPr>
          <w:rFonts w:eastAsia="Times New Roman" w:cstheme="minorHAnsi"/>
        </w:rPr>
        <w:t>Post-WWII, citizenship stripping was no longer seen as democratic and the prohibition of arbitrary deprivation of nationality became anchored in international human rights law. Today, while most democratic states resist increasing these powers, the policy is regaining traction. These powers especially target particular groups, e.g. naturalised or dual citizens, groups largely composed of those with a particular national or ethnic origin,</w:t>
      </w:r>
      <w:r w:rsidRPr="00F26D8F">
        <w:rPr>
          <w:vertAlign w:val="superscript"/>
        </w:rPr>
        <w:footnoteReference w:id="36"/>
      </w:r>
      <w:r w:rsidRPr="002071DA">
        <w:rPr>
          <w:rFonts w:eastAsia="Times New Roman" w:cstheme="minorHAnsi"/>
        </w:rPr>
        <w:t xml:space="preserve"> or religious background. The notion that some citizens are ‘more equal’ than others, undermines the fundamental democratic premise of equal citizenship for all. In the immediate term, even if ultimately only a small number of people are deprived of citizenship under these expanded powers,</w:t>
      </w:r>
      <w:r w:rsidRPr="00F26D8F">
        <w:rPr>
          <w:vertAlign w:val="superscript"/>
        </w:rPr>
        <w:footnoteReference w:id="37"/>
      </w:r>
      <w:r w:rsidRPr="002071DA">
        <w:rPr>
          <w:rFonts w:eastAsia="Times New Roman" w:cstheme="minorHAnsi"/>
        </w:rPr>
        <w:t xml:space="preserve"> </w:t>
      </w:r>
      <w:r w:rsidRPr="002071DA">
        <w:rPr>
          <w:rFonts w:eastAsia="Times New Roman" w:cstheme="minorHAnsi"/>
          <w:i/>
          <w:iCs/>
        </w:rPr>
        <w:t>“nationality stripping measures in the context of counter-terrorism initiatives can be divisive, and buy into and promote false and xenophobic narratives”</w:t>
      </w:r>
      <w:r w:rsidRPr="002071DA">
        <w:rPr>
          <w:rFonts w:eastAsia="Times New Roman" w:cstheme="minorHAnsi"/>
        </w:rPr>
        <w:t>.</w:t>
      </w:r>
      <w:r w:rsidRPr="00F26D8F">
        <w:rPr>
          <w:vertAlign w:val="superscript"/>
        </w:rPr>
        <w:footnoteReference w:id="38"/>
      </w:r>
      <w:r w:rsidRPr="002071DA">
        <w:rPr>
          <w:rFonts w:eastAsia="Times New Roman" w:cstheme="minorHAnsi"/>
        </w:rPr>
        <w:t xml:space="preserve"> As such, “</w:t>
      </w:r>
      <w:r w:rsidRPr="002071DA">
        <w:rPr>
          <w:rFonts w:eastAsia="Times New Roman" w:cstheme="minorHAnsi"/>
          <w:i/>
          <w:iCs/>
        </w:rPr>
        <w:t>they effectively stigmatize entire racial, ethnic, national and religious groups in ways that make these groups even more vulnerable to racist and xenophobic violence”</w:t>
      </w:r>
      <w:r w:rsidRPr="002071DA">
        <w:rPr>
          <w:rFonts w:eastAsia="Times New Roman" w:cstheme="minorHAnsi"/>
        </w:rPr>
        <w:t>.</w:t>
      </w:r>
      <w:r w:rsidRPr="00F26D8F">
        <w:rPr>
          <w:vertAlign w:val="superscript"/>
        </w:rPr>
        <w:footnoteReference w:id="39"/>
      </w:r>
      <w:r w:rsidRPr="002071DA">
        <w:rPr>
          <w:rFonts w:eastAsia="Times New Roman" w:cstheme="minorHAnsi"/>
        </w:rPr>
        <w:t xml:space="preserve"> </w:t>
      </w:r>
    </w:p>
    <w:p w14:paraId="47D44572" w14:textId="77777777" w:rsidR="00A74947" w:rsidRDefault="00A74947" w:rsidP="006A2494">
      <w:pPr>
        <w:spacing w:after="0" w:line="240" w:lineRule="auto"/>
        <w:jc w:val="both"/>
        <w:outlineLvl w:val="0"/>
        <w:rPr>
          <w:rFonts w:eastAsia="Times New Roman" w:cstheme="minorHAnsi"/>
          <w:b/>
          <w:bCs/>
        </w:rPr>
      </w:pPr>
    </w:p>
    <w:p w14:paraId="3578F11E" w14:textId="77777777" w:rsidR="00A74947" w:rsidRPr="002071DA" w:rsidRDefault="00A74947" w:rsidP="007151AE">
      <w:pPr>
        <w:pStyle w:val="ListParagraph"/>
        <w:numPr>
          <w:ilvl w:val="0"/>
          <w:numId w:val="3"/>
        </w:numPr>
        <w:spacing w:after="0" w:line="240" w:lineRule="auto"/>
        <w:jc w:val="both"/>
        <w:outlineLvl w:val="0"/>
        <w:rPr>
          <w:rFonts w:eastAsia="Times New Roman" w:cstheme="minorHAnsi"/>
        </w:rPr>
      </w:pPr>
      <w:r w:rsidRPr="002071DA">
        <w:rPr>
          <w:rFonts w:eastAsia="Times New Roman" w:cstheme="minorHAnsi"/>
        </w:rPr>
        <w:t xml:space="preserve">Citizenship deprivation powers are powerful instruments for nationalist or populist </w:t>
      </w:r>
      <w:proofErr w:type="gramStart"/>
      <w:r w:rsidRPr="002071DA">
        <w:rPr>
          <w:rFonts w:eastAsia="Times New Roman" w:cstheme="minorHAnsi"/>
        </w:rPr>
        <w:t xml:space="preserve">governments, </w:t>
      </w:r>
      <w:r>
        <w:rPr>
          <w:rFonts w:eastAsia="Times New Roman" w:cstheme="minorHAnsi"/>
        </w:rPr>
        <w:t>and</w:t>
      </w:r>
      <w:proofErr w:type="gramEnd"/>
      <w:r>
        <w:rPr>
          <w:rFonts w:eastAsia="Times New Roman" w:cstheme="minorHAnsi"/>
        </w:rPr>
        <w:t xml:space="preserve"> are employed by States in different ways. </w:t>
      </w:r>
      <w:r w:rsidRPr="002071DA">
        <w:rPr>
          <w:rFonts w:eastAsia="Times New Roman" w:cstheme="minorHAnsi"/>
        </w:rPr>
        <w:t>Citizenship can</w:t>
      </w:r>
      <w:r>
        <w:rPr>
          <w:rFonts w:eastAsia="Times New Roman" w:cstheme="minorHAnsi"/>
        </w:rPr>
        <w:t xml:space="preserve"> for instance</w:t>
      </w:r>
      <w:r w:rsidRPr="002071DA">
        <w:rPr>
          <w:rFonts w:eastAsia="Times New Roman" w:cstheme="minorHAnsi"/>
        </w:rPr>
        <w:t xml:space="preserve"> be weaponised to manipulate the demographic composition of the state (as in Assam, India where 1.9 million people are on the brink of statelessness)</w:t>
      </w:r>
      <w:r w:rsidRPr="00F26D8F">
        <w:rPr>
          <w:vertAlign w:val="superscript"/>
        </w:rPr>
        <w:footnoteReference w:id="40"/>
      </w:r>
      <w:r w:rsidRPr="002071DA">
        <w:rPr>
          <w:rFonts w:eastAsia="Times New Roman" w:cstheme="minorHAnsi"/>
        </w:rPr>
        <w:t>; deployed as an extension of restrictive and controversial immigration powers (as in the US, where a ‘denaturalisation’ task force has been mandated to review the citizenship files of 700,000 Americans)</w:t>
      </w:r>
      <w:r>
        <w:rPr>
          <w:rFonts w:eastAsia="Times New Roman" w:cstheme="minorHAnsi"/>
        </w:rPr>
        <w:t>.</w:t>
      </w:r>
      <w:r w:rsidRPr="00F26D8F">
        <w:rPr>
          <w:vertAlign w:val="superscript"/>
        </w:rPr>
        <w:footnoteReference w:id="41"/>
      </w:r>
      <w:r>
        <w:rPr>
          <w:rFonts w:eastAsia="Times New Roman" w:cstheme="minorHAnsi"/>
        </w:rPr>
        <w:t xml:space="preserve"> Below the issue of nationality deprivation as a counter-terrorism measure targeting Muslims is considered, as well as the situation in India. </w:t>
      </w:r>
    </w:p>
    <w:p w14:paraId="7BC6E968" w14:textId="22ED65A8" w:rsidR="00A74947" w:rsidRDefault="00A74947" w:rsidP="006A2494">
      <w:pPr>
        <w:spacing w:after="0" w:line="240" w:lineRule="auto"/>
        <w:jc w:val="both"/>
        <w:outlineLvl w:val="0"/>
        <w:rPr>
          <w:rFonts w:eastAsia="Times New Roman" w:cstheme="minorHAnsi"/>
          <w:b/>
          <w:bCs/>
        </w:rPr>
      </w:pPr>
    </w:p>
    <w:p w14:paraId="0861B1F4" w14:textId="77777777" w:rsidR="004A2734" w:rsidRDefault="004A2734" w:rsidP="006A2494">
      <w:pPr>
        <w:spacing w:after="0" w:line="240" w:lineRule="auto"/>
        <w:jc w:val="both"/>
        <w:outlineLvl w:val="0"/>
        <w:rPr>
          <w:rFonts w:eastAsia="Times New Roman" w:cstheme="minorHAnsi"/>
          <w:b/>
          <w:bCs/>
        </w:rPr>
      </w:pPr>
    </w:p>
    <w:p w14:paraId="10D3AE9C" w14:textId="77777777" w:rsidR="004A2734" w:rsidRDefault="004A2734" w:rsidP="006A2494">
      <w:pPr>
        <w:spacing w:after="0" w:line="240" w:lineRule="auto"/>
        <w:jc w:val="both"/>
        <w:outlineLvl w:val="0"/>
        <w:rPr>
          <w:rFonts w:eastAsia="Times New Roman" w:cstheme="minorHAnsi"/>
          <w:b/>
          <w:bCs/>
        </w:rPr>
      </w:pPr>
    </w:p>
    <w:p w14:paraId="2236E0D3" w14:textId="77777777" w:rsidR="004A2734" w:rsidRDefault="004A2734" w:rsidP="006A2494">
      <w:pPr>
        <w:spacing w:after="0" w:line="240" w:lineRule="auto"/>
        <w:jc w:val="both"/>
        <w:outlineLvl w:val="0"/>
        <w:rPr>
          <w:rFonts w:eastAsia="Times New Roman" w:cstheme="minorHAnsi"/>
          <w:b/>
          <w:bCs/>
        </w:rPr>
      </w:pPr>
    </w:p>
    <w:p w14:paraId="18F52EFF" w14:textId="65702B84" w:rsidR="00A74947" w:rsidRPr="004A2734" w:rsidRDefault="004A2734" w:rsidP="006A2494">
      <w:pPr>
        <w:spacing w:after="0" w:line="240" w:lineRule="auto"/>
        <w:jc w:val="both"/>
        <w:outlineLvl w:val="0"/>
        <w:rPr>
          <w:rFonts w:eastAsia="Times New Roman" w:cstheme="minorHAnsi"/>
          <w:b/>
          <w:bCs/>
          <w:i/>
          <w:iCs/>
          <w:sz w:val="24"/>
          <w:szCs w:val="24"/>
        </w:rPr>
      </w:pPr>
      <w:r w:rsidRPr="004A2734">
        <w:rPr>
          <w:rFonts w:eastAsia="Times New Roman" w:cstheme="minorHAnsi"/>
          <w:b/>
          <w:bCs/>
          <w:i/>
          <w:iCs/>
          <w:sz w:val="24"/>
          <w:szCs w:val="24"/>
        </w:rPr>
        <w:t xml:space="preserve">2.a. </w:t>
      </w:r>
      <w:r w:rsidR="00A74947" w:rsidRPr="004A2734">
        <w:rPr>
          <w:rFonts w:eastAsia="Times New Roman" w:cstheme="minorHAnsi"/>
          <w:b/>
          <w:bCs/>
          <w:i/>
          <w:iCs/>
          <w:sz w:val="24"/>
          <w:szCs w:val="24"/>
        </w:rPr>
        <w:t>Nationality deprivation as a counter-terrorism measure</w:t>
      </w:r>
    </w:p>
    <w:p w14:paraId="1118BBFD" w14:textId="77777777" w:rsidR="00A74947" w:rsidRPr="00B01AEB" w:rsidRDefault="00A74947" w:rsidP="006A2494">
      <w:pPr>
        <w:spacing w:after="0" w:line="240" w:lineRule="auto"/>
        <w:jc w:val="both"/>
        <w:outlineLvl w:val="0"/>
        <w:rPr>
          <w:rFonts w:eastAsia="Times New Roman" w:cstheme="minorHAnsi"/>
          <w:b/>
          <w:bCs/>
        </w:rPr>
      </w:pPr>
    </w:p>
    <w:p w14:paraId="7CF09A18" w14:textId="77777777" w:rsidR="00A74947" w:rsidRPr="002071DA" w:rsidRDefault="00A74947" w:rsidP="007151AE">
      <w:pPr>
        <w:pStyle w:val="ListParagraph"/>
        <w:numPr>
          <w:ilvl w:val="0"/>
          <w:numId w:val="3"/>
        </w:numPr>
        <w:spacing w:after="0" w:line="240" w:lineRule="auto"/>
        <w:jc w:val="both"/>
        <w:outlineLvl w:val="0"/>
      </w:pPr>
      <w:r>
        <w:t xml:space="preserve">There is a 21st Century trend of a small, but growing number of States resorting to deprivation of nationality as a counterterrorism and national security measure. While some States have amended their laws to expand existing powers or introduce new powers to enable deprivation of nationality, others have relied on existing powers, which have been construed expansively to </w:t>
      </w:r>
      <w:r>
        <w:lastRenderedPageBreak/>
        <w:t xml:space="preserve">apply to situations not previously envisaged. Deprivation of nationality as a national security measure disproportionately targets those of minority and migrant heritage and is likely to be discriminatory on various grounds, including religion. Albeit often not directly targeted, this leads to Muslims being significantly affected by these measures. </w:t>
      </w:r>
      <w:bookmarkStart w:id="0" w:name="_Hlk41938382"/>
    </w:p>
    <w:p w14:paraId="35548BF9" w14:textId="77777777" w:rsidR="00A74947" w:rsidRPr="00B01AEB" w:rsidRDefault="00A74947" w:rsidP="006A2494">
      <w:pPr>
        <w:pStyle w:val="ListParagraph"/>
        <w:spacing w:after="0" w:line="240" w:lineRule="auto"/>
        <w:jc w:val="both"/>
        <w:outlineLvl w:val="0"/>
        <w:rPr>
          <w:rFonts w:eastAsia="Times New Roman" w:cstheme="minorHAnsi"/>
          <w:b/>
          <w:bCs/>
          <w:sz w:val="24"/>
          <w:szCs w:val="24"/>
        </w:rPr>
      </w:pPr>
    </w:p>
    <w:p w14:paraId="078A8FAD" w14:textId="77777777" w:rsidR="00A74947" w:rsidRPr="00B01AEB" w:rsidRDefault="00A74947" w:rsidP="007151AE">
      <w:pPr>
        <w:pStyle w:val="ListParagraph"/>
        <w:numPr>
          <w:ilvl w:val="0"/>
          <w:numId w:val="3"/>
        </w:numPr>
        <w:spacing w:after="0" w:line="240" w:lineRule="auto"/>
        <w:jc w:val="both"/>
        <w:outlineLvl w:val="0"/>
        <w:rPr>
          <w:rFonts w:eastAsia="Times New Roman" w:cstheme="minorHAnsi"/>
          <w:b/>
          <w:bCs/>
          <w:sz w:val="24"/>
          <w:szCs w:val="24"/>
        </w:rPr>
      </w:pPr>
      <w:r>
        <w:t xml:space="preserve">For instance, Islamist entities like </w:t>
      </w:r>
      <w:r w:rsidRPr="00981C70">
        <w:t xml:space="preserve">Al </w:t>
      </w:r>
      <w:proofErr w:type="spellStart"/>
      <w:r w:rsidRPr="00981C70">
        <w:t>Qa'ida</w:t>
      </w:r>
      <w:proofErr w:type="spellEnd"/>
      <w:r w:rsidRPr="00981C70">
        <w:t xml:space="preserve">, ISIS and allies to ISIS, </w:t>
      </w:r>
      <w:proofErr w:type="spellStart"/>
      <w:r w:rsidRPr="00981C70">
        <w:t>Hay'at</w:t>
      </w:r>
      <w:proofErr w:type="spellEnd"/>
      <w:r w:rsidRPr="00981C70">
        <w:t xml:space="preserve"> Tahrir al-Sham</w:t>
      </w:r>
      <w:r>
        <w:t>, are listed as terrorist organisations in the Netherlands,</w:t>
      </w:r>
      <w:r>
        <w:rPr>
          <w:rStyle w:val="FootnoteReference"/>
        </w:rPr>
        <w:footnoteReference w:id="42"/>
      </w:r>
      <w:r>
        <w:t xml:space="preserve"> whose members can be deprived of nationality, whereas there are no non-Islamist groups on the list (e.g. FARC). </w:t>
      </w:r>
      <w:proofErr w:type="gramStart"/>
      <w:r>
        <w:t>The ethno-religious make-up of these groups,</w:t>
      </w:r>
      <w:proofErr w:type="gramEnd"/>
      <w:r>
        <w:t xml:space="preserve"> raises questions of ethno-religious discrimination. </w:t>
      </w:r>
      <w:bookmarkEnd w:id="0"/>
      <w:r>
        <w:t>Addressing this situation, the Special Rapporteur on Racism and Xenophobia has stated that:</w:t>
      </w:r>
    </w:p>
    <w:p w14:paraId="69B68682" w14:textId="77777777" w:rsidR="00A74947" w:rsidRPr="002B6E8F" w:rsidRDefault="00A74947" w:rsidP="006A2494">
      <w:pPr>
        <w:pStyle w:val="ListParagraph"/>
        <w:spacing w:after="0" w:line="240" w:lineRule="auto"/>
        <w:jc w:val="both"/>
        <w:rPr>
          <w:u w:val="single"/>
        </w:rPr>
      </w:pPr>
    </w:p>
    <w:p w14:paraId="1A531EF1" w14:textId="77777777" w:rsidR="00A74947" w:rsidRPr="00981C70" w:rsidRDefault="00A74947" w:rsidP="006A2494">
      <w:pPr>
        <w:pStyle w:val="ListParagraph"/>
        <w:spacing w:after="0" w:line="240" w:lineRule="auto"/>
        <w:ind w:left="1440"/>
        <w:jc w:val="both"/>
        <w:rPr>
          <w:i/>
          <w:iCs/>
        </w:rPr>
      </w:pPr>
      <w:r w:rsidRPr="00981C70">
        <w:rPr>
          <w:i/>
          <w:iCs/>
        </w:rPr>
        <w:t>“In light of the ethnic and national origin composition of the Dutch population of dual nationals, these counter-terrorism policies effectively target Dutch-Moroccan dual nationals and Dutch-Turkish dual nationals, and risk fuelling xenophobic rhetoric that equates terrorism with radicalised groups, including dual citizens, Muslims, and other individuals perceived to be of non-Dutch origin.”</w:t>
      </w:r>
      <w:r w:rsidRPr="00981C70">
        <w:rPr>
          <w:rStyle w:val="FootnoteReference"/>
          <w:rFonts w:eastAsia="Times New Roman" w:cstheme="minorHAnsi"/>
          <w:i/>
          <w:iCs/>
          <w:lang w:val="en-US" w:eastAsia="zh-CN"/>
        </w:rPr>
        <w:footnoteReference w:id="43"/>
      </w:r>
    </w:p>
    <w:p w14:paraId="01D6C4BE" w14:textId="77777777" w:rsidR="00A74947" w:rsidRDefault="00A74947" w:rsidP="006A2494">
      <w:pPr>
        <w:pStyle w:val="ListParagraph"/>
        <w:spacing w:after="0" w:line="240" w:lineRule="auto"/>
        <w:jc w:val="both"/>
      </w:pPr>
    </w:p>
    <w:p w14:paraId="2746618D" w14:textId="77777777" w:rsidR="00A74947" w:rsidRDefault="00A74947" w:rsidP="006A2494">
      <w:pPr>
        <w:pStyle w:val="ListParagraph"/>
        <w:spacing w:after="0" w:line="240" w:lineRule="auto"/>
        <w:jc w:val="both"/>
      </w:pPr>
      <w:r>
        <w:t xml:space="preserve">In the UK too, concern has been raised that expanded deprivation powers disproportionately impact </w:t>
      </w:r>
      <w:r w:rsidRPr="00981C70">
        <w:t>Muslims</w:t>
      </w:r>
      <w:r>
        <w:t>, who have become “tolerated citizens”.</w:t>
      </w:r>
      <w:r>
        <w:rPr>
          <w:rStyle w:val="FootnoteReference"/>
        </w:rPr>
        <w:footnoteReference w:id="44"/>
      </w:r>
    </w:p>
    <w:p w14:paraId="52191E5D" w14:textId="77777777" w:rsidR="00A74947" w:rsidRDefault="00A74947" w:rsidP="006A2494">
      <w:pPr>
        <w:pStyle w:val="ListParagraph"/>
        <w:spacing w:after="0" w:line="240" w:lineRule="auto"/>
        <w:jc w:val="both"/>
      </w:pPr>
    </w:p>
    <w:p w14:paraId="28AEB2D9" w14:textId="77777777" w:rsidR="00A74947" w:rsidRPr="00F26D8F" w:rsidRDefault="00A74947" w:rsidP="007151AE">
      <w:pPr>
        <w:pStyle w:val="ListParagraph"/>
        <w:numPr>
          <w:ilvl w:val="0"/>
          <w:numId w:val="3"/>
        </w:numPr>
        <w:spacing w:after="0" w:line="240" w:lineRule="auto"/>
        <w:jc w:val="both"/>
      </w:pPr>
      <w:r>
        <w:t>There is no evidence to support the use of deprivation of nationality as being an effective means of protecting national security, and there is growing concern that such actions may actually be counterproductive.</w:t>
      </w:r>
      <w:r w:rsidRPr="00F57087">
        <w:t xml:space="preserve"> </w:t>
      </w:r>
      <w:r>
        <w:t>Such measures are also likely to be arbitrary and can cause statelessness. There are also significant concerns related to the permanent nature of the measure.</w:t>
      </w:r>
      <w:r w:rsidRPr="00F26D8F">
        <w:rPr>
          <w:rFonts w:eastAsia="Times New Roman" w:cstheme="minorHAnsi"/>
          <w:lang w:val="en-US" w:eastAsia="zh-CN"/>
        </w:rPr>
        <w:t xml:space="preserve"> </w:t>
      </w:r>
    </w:p>
    <w:p w14:paraId="510FF93C" w14:textId="77777777" w:rsidR="00A74947" w:rsidRPr="00F26D8F" w:rsidRDefault="00A74947" w:rsidP="006A2494">
      <w:pPr>
        <w:pStyle w:val="ListParagraph"/>
        <w:spacing w:after="0" w:line="240" w:lineRule="auto"/>
        <w:jc w:val="both"/>
      </w:pPr>
    </w:p>
    <w:p w14:paraId="6CD95ACC" w14:textId="77777777" w:rsidR="00A74947" w:rsidRPr="00EA4A27" w:rsidRDefault="00A74947" w:rsidP="007151AE">
      <w:pPr>
        <w:pStyle w:val="ListParagraph"/>
        <w:numPr>
          <w:ilvl w:val="0"/>
          <w:numId w:val="3"/>
        </w:numPr>
        <w:spacing w:after="0" w:line="240" w:lineRule="auto"/>
        <w:jc w:val="both"/>
      </w:pPr>
      <w:r w:rsidRPr="00F26D8F">
        <w:rPr>
          <w:rFonts w:eastAsia="Times New Roman" w:cstheme="minorHAnsi"/>
        </w:rPr>
        <w:t xml:space="preserve">Addressing this practice, </w:t>
      </w:r>
      <w:r w:rsidRPr="00F26D8F">
        <w:rPr>
          <w:rFonts w:eastAsia="Times New Roman" w:cstheme="minorHAnsi"/>
          <w:lang w:val="en-US" w:eastAsia="zh-CN"/>
        </w:rPr>
        <w:t xml:space="preserve">the </w:t>
      </w:r>
      <w:r w:rsidRPr="00F26D8F">
        <w:rPr>
          <w:rFonts w:eastAsia="Times New Roman" w:cstheme="minorHAnsi"/>
          <w:i/>
          <w:iCs/>
          <w:lang w:val="en-US" w:eastAsia="zh-CN"/>
        </w:rPr>
        <w:t>Principles on Deprivation of Nationality as a National Security Measure</w:t>
      </w:r>
      <w:r w:rsidRPr="00F26D8F">
        <w:rPr>
          <w:rFonts w:eastAsia="Times New Roman" w:cstheme="minorHAnsi"/>
          <w:lang w:val="en-US" w:eastAsia="zh-CN"/>
        </w:rPr>
        <w:t xml:space="preserve"> were developed over a 30-month research and consultation period, with input and endorsement from more than 60 leading experts,</w:t>
      </w:r>
      <w:r w:rsidRPr="00F501D1">
        <w:rPr>
          <w:rStyle w:val="FootnoteReference"/>
          <w:rFonts w:eastAsia="Times New Roman" w:cstheme="minorHAnsi"/>
          <w:lang w:val="en-US" w:eastAsia="zh-CN"/>
        </w:rPr>
        <w:footnoteReference w:id="45"/>
      </w:r>
      <w:r w:rsidRPr="00F26D8F">
        <w:rPr>
          <w:rFonts w:eastAsia="Times New Roman" w:cstheme="minorHAnsi"/>
          <w:lang w:val="en-US" w:eastAsia="zh-CN"/>
        </w:rPr>
        <w:t xml:space="preserve"> including UN Special Rapporteurs on Minority Issues, Racism &amp; Xenophobia</w:t>
      </w:r>
      <w:r>
        <w:rPr>
          <w:rFonts w:eastAsia="Times New Roman" w:cstheme="minorHAnsi"/>
          <w:lang w:val="en-US" w:eastAsia="zh-CN"/>
        </w:rPr>
        <w:t>, and</w:t>
      </w:r>
      <w:r w:rsidRPr="00F26D8F">
        <w:rPr>
          <w:rFonts w:eastAsia="Times New Roman" w:cstheme="minorHAnsi"/>
          <w:lang w:val="en-US" w:eastAsia="zh-CN"/>
        </w:rPr>
        <w:t xml:space="preserve"> Counter-terrorism &amp; Human Rights. </w:t>
      </w:r>
      <w:r w:rsidRPr="002071DA">
        <w:rPr>
          <w:rFonts w:eastAsia="Times New Roman" w:cstheme="minorHAnsi"/>
          <w:shd w:val="clear" w:color="auto" w:fill="FFFFFF"/>
          <w:lang w:val="en-US" w:eastAsia="zh-CN"/>
        </w:rPr>
        <w:t>The Principles  restate or reflect international law and legal standards under the UN Charter, treaty law, customary international law, general principles of law, judicial decisions and legal scholarship, regional and national law and practice, and are a relevant resource for the Special Rapporteur’s consideration</w:t>
      </w:r>
      <w:r>
        <w:rPr>
          <w:rFonts w:eastAsia="Times New Roman" w:cstheme="minorHAnsi"/>
          <w:shd w:val="clear" w:color="auto" w:fill="FFFFFF"/>
          <w:lang w:val="en-US" w:eastAsia="zh-CN"/>
        </w:rPr>
        <w:t xml:space="preserve"> in addressing discriminatory measures relating to citizenship (in)directly targeting Muslims.</w:t>
      </w:r>
    </w:p>
    <w:p w14:paraId="697D2271" w14:textId="77777777" w:rsidR="00A74947" w:rsidRDefault="00A74947" w:rsidP="006A2494">
      <w:pPr>
        <w:spacing w:after="0" w:line="240" w:lineRule="auto"/>
        <w:jc w:val="both"/>
        <w:rPr>
          <w:b/>
          <w:bCs/>
        </w:rPr>
      </w:pPr>
    </w:p>
    <w:p w14:paraId="59ADC70B" w14:textId="77777777" w:rsidR="004A2734" w:rsidRDefault="004A2734">
      <w:pPr>
        <w:rPr>
          <w:b/>
          <w:bCs/>
        </w:rPr>
      </w:pPr>
      <w:r>
        <w:rPr>
          <w:b/>
          <w:bCs/>
        </w:rPr>
        <w:br w:type="page"/>
      </w:r>
    </w:p>
    <w:p w14:paraId="009F3D45" w14:textId="32B390AF" w:rsidR="00A74947" w:rsidRPr="004A2734" w:rsidRDefault="004A2734" w:rsidP="006A2494">
      <w:pPr>
        <w:spacing w:after="0" w:line="240" w:lineRule="auto"/>
        <w:jc w:val="both"/>
        <w:rPr>
          <w:b/>
          <w:bCs/>
          <w:i/>
          <w:iCs/>
          <w:sz w:val="24"/>
          <w:szCs w:val="24"/>
        </w:rPr>
      </w:pPr>
      <w:r w:rsidRPr="004A2734">
        <w:rPr>
          <w:b/>
          <w:bCs/>
          <w:i/>
          <w:iCs/>
          <w:sz w:val="24"/>
          <w:szCs w:val="24"/>
        </w:rPr>
        <w:lastRenderedPageBreak/>
        <w:t xml:space="preserve">2.b. </w:t>
      </w:r>
      <w:r w:rsidR="00A74947" w:rsidRPr="004A2734">
        <w:rPr>
          <w:b/>
          <w:bCs/>
          <w:i/>
          <w:iCs/>
          <w:sz w:val="24"/>
          <w:szCs w:val="24"/>
        </w:rPr>
        <w:t>India: exclusion from citizenship</w:t>
      </w:r>
    </w:p>
    <w:p w14:paraId="77FE28F9" w14:textId="77777777" w:rsidR="00A74947" w:rsidRPr="00EA4A27" w:rsidRDefault="00A74947" w:rsidP="006A2494">
      <w:pPr>
        <w:spacing w:after="0" w:line="240" w:lineRule="auto"/>
        <w:jc w:val="both"/>
        <w:rPr>
          <w:b/>
          <w:bCs/>
        </w:rPr>
      </w:pPr>
    </w:p>
    <w:p w14:paraId="6C76DF67" w14:textId="77777777" w:rsidR="00A74947" w:rsidRPr="00EA4A27" w:rsidRDefault="00A74947" w:rsidP="007151AE">
      <w:pPr>
        <w:numPr>
          <w:ilvl w:val="0"/>
          <w:numId w:val="3"/>
        </w:numPr>
        <w:spacing w:after="0" w:line="240" w:lineRule="auto"/>
        <w:jc w:val="both"/>
      </w:pPr>
      <w:r w:rsidRPr="00EA4A27">
        <w:t xml:space="preserve">In December 2019, India’s Parliament passed the Citizenship (Amendment) Act (CAA), which enables the provision of Indian citizenship to Hindu, Sikh, Buddhist, Jain, Parsi, and Christian migrants from Pakistan, Bangladesh and Afghanistan (three Muslim majority countries) who entered India before December 2014. Muslims are excluded and face risks of disenfranchisement, statelessness, </w:t>
      </w:r>
      <w:proofErr w:type="gramStart"/>
      <w:r w:rsidRPr="00EA4A27">
        <w:t>detention</w:t>
      </w:r>
      <w:proofErr w:type="gramEnd"/>
      <w:r w:rsidRPr="00EA4A27">
        <w:t xml:space="preserve"> and deportation. This ‘religion test’ contravenes the secular nature of the Indian constitution and violates principles of equality and non-discrimination. </w:t>
      </w:r>
    </w:p>
    <w:p w14:paraId="27655D0B" w14:textId="77777777" w:rsidR="00A74947" w:rsidRPr="00EA4A27" w:rsidRDefault="00A74947" w:rsidP="006A2494">
      <w:pPr>
        <w:spacing w:after="0" w:line="240" w:lineRule="auto"/>
        <w:jc w:val="both"/>
      </w:pPr>
    </w:p>
    <w:p w14:paraId="76AF34C0" w14:textId="77777777" w:rsidR="00A74947" w:rsidRPr="00EA4A27" w:rsidRDefault="00A74947" w:rsidP="007151AE">
      <w:pPr>
        <w:numPr>
          <w:ilvl w:val="0"/>
          <w:numId w:val="3"/>
        </w:numPr>
        <w:spacing w:after="0" w:line="240" w:lineRule="auto"/>
        <w:jc w:val="both"/>
      </w:pPr>
      <w:r w:rsidRPr="00EA4A27">
        <w:t xml:space="preserve">The CAA, in addition to targeting foreigners, also targets those arbitrarily declared as foreigners through discriminatory bureaucratic processes. In particular, it will have direct and immediate impact on the 1.9 million persons excluded from National Register of Citizens (NRC) in Assam. The vast majority of these people were of Bengali origin, most of Muslim faith, with Hindu’s also impacted. Women and girls form a majority of the excluded, due to lack of documentation to prove their claim to citizenship. </w:t>
      </w:r>
    </w:p>
    <w:p w14:paraId="3A87AE13" w14:textId="77777777" w:rsidR="00A74947" w:rsidRPr="00EA4A27" w:rsidRDefault="00A74947" w:rsidP="006A2494">
      <w:pPr>
        <w:spacing w:after="0" w:line="240" w:lineRule="auto"/>
        <w:jc w:val="both"/>
      </w:pPr>
    </w:p>
    <w:p w14:paraId="022DE05A" w14:textId="77777777" w:rsidR="00A74947" w:rsidRDefault="00A74947" w:rsidP="007151AE">
      <w:pPr>
        <w:numPr>
          <w:ilvl w:val="0"/>
          <w:numId w:val="3"/>
        </w:numPr>
        <w:spacing w:after="0" w:line="240" w:lineRule="auto"/>
        <w:jc w:val="both"/>
      </w:pPr>
      <w:r w:rsidRPr="00EA4A27">
        <w:t xml:space="preserve">The implementation of the NRC coincided with an increase in anti-Muslim rhetoric espoused by ruling </w:t>
      </w:r>
      <w:proofErr w:type="spellStart"/>
      <w:r w:rsidRPr="00EA4A27">
        <w:t>Bharatiya</w:t>
      </w:r>
      <w:proofErr w:type="spellEnd"/>
      <w:r w:rsidRPr="00EA4A27">
        <w:t xml:space="preserve"> Janata Party (BJP) officials, demonising Muslims living in Assam and Rohingya seeking refuge, as “infiltrators.” In September 2018, the BJP Home Minister referred to Muslim immigrants as “termites” who pose threats to security and stability. This inflammatory rhetoric influenced the implementation of the NRC. The process placed the burden of proof on individuals and resulted in discrimination based on language and religion.</w:t>
      </w:r>
      <w:r w:rsidRPr="00EA4A27">
        <w:rPr>
          <w:vertAlign w:val="superscript"/>
        </w:rPr>
        <w:footnoteReference w:id="46"/>
      </w:r>
      <w:r w:rsidRPr="00EA4A27">
        <w:t xml:space="preserve"> </w:t>
      </w:r>
    </w:p>
    <w:p w14:paraId="3504A12E" w14:textId="77777777" w:rsidR="00A74947" w:rsidRPr="00EA4A27" w:rsidRDefault="00A74947" w:rsidP="006A2494">
      <w:pPr>
        <w:spacing w:after="0" w:line="240" w:lineRule="auto"/>
        <w:jc w:val="both"/>
      </w:pPr>
    </w:p>
    <w:p w14:paraId="0DA83C4E" w14:textId="77777777" w:rsidR="00A74947" w:rsidRPr="00EA4A27" w:rsidRDefault="00A74947" w:rsidP="007151AE">
      <w:pPr>
        <w:numPr>
          <w:ilvl w:val="0"/>
          <w:numId w:val="3"/>
        </w:numPr>
        <w:spacing w:after="0" w:line="240" w:lineRule="auto"/>
        <w:jc w:val="both"/>
      </w:pPr>
      <w:r w:rsidRPr="00EA4A27">
        <w:t>In defending the clear discriminatory intent behind the CAA, BJP officials have stated that “there is a fundamental difference between a refugee and an infiltrator.”</w:t>
      </w:r>
      <w:r w:rsidRPr="00EA4A27">
        <w:rPr>
          <w:vertAlign w:val="superscript"/>
        </w:rPr>
        <w:footnoteReference w:id="47"/>
      </w:r>
      <w:r w:rsidRPr="00EA4A27">
        <w:t xml:space="preserve"> Those excluded under the NRC, who find themselves outside the scope of the CAA must appeal to Foreigner’s Tribunals, which have a track record of arbitrary and discriminatory decision-making. Those who lose their appeals are subjected to detention.</w:t>
      </w:r>
      <w:r w:rsidRPr="00EA4A27">
        <w:rPr>
          <w:vertAlign w:val="superscript"/>
        </w:rPr>
        <w:footnoteReference w:id="48"/>
      </w:r>
      <w:r w:rsidRPr="00EA4A27">
        <w:t xml:space="preserve"> </w:t>
      </w:r>
    </w:p>
    <w:p w14:paraId="0A1E379C" w14:textId="77777777" w:rsidR="00A74947" w:rsidRPr="00EA4A27" w:rsidRDefault="00A74947" w:rsidP="006A2494">
      <w:pPr>
        <w:spacing w:after="0" w:line="240" w:lineRule="auto"/>
        <w:jc w:val="both"/>
      </w:pPr>
    </w:p>
    <w:p w14:paraId="444802C9" w14:textId="77777777" w:rsidR="00A74947" w:rsidRDefault="00A74947" w:rsidP="007151AE">
      <w:pPr>
        <w:numPr>
          <w:ilvl w:val="0"/>
          <w:numId w:val="3"/>
        </w:numPr>
        <w:spacing w:after="0" w:line="240" w:lineRule="auto"/>
        <w:jc w:val="both"/>
      </w:pPr>
      <w:r w:rsidRPr="00EA4A27">
        <w:t>This politico-legal landscape</w:t>
      </w:r>
      <w:r w:rsidRPr="00EA4A27" w:rsidDel="3174D98C">
        <w:t xml:space="preserve"> has </w:t>
      </w:r>
      <w:r w:rsidRPr="00EA4A27">
        <w:t>heightened</w:t>
      </w:r>
      <w:r w:rsidRPr="00EA4A27" w:rsidDel="3174D98C">
        <w:t xml:space="preserve"> </w:t>
      </w:r>
      <w:r w:rsidRPr="00EA4A27">
        <w:t>violence and hatred against</w:t>
      </w:r>
      <w:r w:rsidRPr="00EA4A27" w:rsidDel="00BD1298">
        <w:t xml:space="preserve"> Muslims in</w:t>
      </w:r>
      <w:r w:rsidRPr="00EA4A27">
        <w:t xml:space="preserve"> Assam and India</w:t>
      </w:r>
      <w:r w:rsidRPr="00EA4A27" w:rsidDel="63B876F2">
        <w:t xml:space="preserve"> as a whole</w:t>
      </w:r>
      <w:r w:rsidRPr="00EA4A27">
        <w:t xml:space="preserve">. Anti-Muslim pogroms took hold of the capital </w:t>
      </w:r>
      <w:r w:rsidRPr="00EA4A27" w:rsidDel="7E28CBED">
        <w:t xml:space="preserve">New Delhi </w:t>
      </w:r>
      <w:r w:rsidRPr="00EA4A27">
        <w:t xml:space="preserve">in February </w:t>
      </w:r>
      <w:r w:rsidRPr="00EA4A27" w:rsidDel="3145CEE4">
        <w:t>2020</w:t>
      </w:r>
      <w:r w:rsidRPr="00EA4A27">
        <w:t xml:space="preserve">. Following protests over the Citizenship Amendment Act, the pogroms in predominantly Muslim areas resulted in Muslims being attacked and their property destroyed. Fifty-two people were killed and over 200 were injured. The </w:t>
      </w:r>
      <w:r>
        <w:t>S</w:t>
      </w:r>
      <w:r w:rsidRPr="00EA4A27">
        <w:t>tate response was slow and weak. Leading government ministers instigating the pogroms through hate speech and BJP officials described the protestors as “traitors”.</w:t>
      </w:r>
      <w:r w:rsidRPr="00EA4A27">
        <w:rPr>
          <w:vertAlign w:val="superscript"/>
        </w:rPr>
        <w:footnoteReference w:id="49"/>
      </w:r>
    </w:p>
    <w:p w14:paraId="199FABD1" w14:textId="77777777" w:rsidR="00A74947" w:rsidRDefault="00A74947" w:rsidP="006A2494">
      <w:pPr>
        <w:spacing w:after="0" w:line="240" w:lineRule="auto"/>
        <w:ind w:left="720"/>
        <w:jc w:val="both"/>
      </w:pPr>
    </w:p>
    <w:p w14:paraId="1D8F3FC1" w14:textId="7A205CC6" w:rsidR="00A74947" w:rsidRDefault="00A74947" w:rsidP="007151AE">
      <w:pPr>
        <w:numPr>
          <w:ilvl w:val="0"/>
          <w:numId w:val="3"/>
        </w:numPr>
        <w:spacing w:after="0" w:line="240" w:lineRule="auto"/>
        <w:jc w:val="both"/>
      </w:pPr>
      <w:r>
        <w:t>The current pandemic has deepened islamophobia in India</w:t>
      </w:r>
      <w:r>
        <w:rPr>
          <w:rStyle w:val="FootnoteReference"/>
        </w:rPr>
        <w:footnoteReference w:id="50"/>
      </w:r>
      <w:r>
        <w:t>. A</w:t>
      </w:r>
      <w:r w:rsidRPr="00675602">
        <w:t>uthorities exploit the pandemic to further an exclusionary, nationalist agenda, and many Muslims are being targeted by rumours that they are carrying the virus</w:t>
      </w:r>
      <w:r>
        <w:t>.</w:t>
      </w:r>
      <w:r>
        <w:rPr>
          <w:rStyle w:val="FootnoteReference"/>
        </w:rPr>
        <w:footnoteReference w:id="51"/>
      </w:r>
      <w:r w:rsidRPr="00675602">
        <w:t xml:space="preserve"> One individual reported that he was stopped by a police officer, directly blamed for spreading the virus, before being assaulted and left lying on the road for nearly </w:t>
      </w:r>
      <w:r w:rsidRPr="00675602">
        <w:lastRenderedPageBreak/>
        <w:t>an hour.</w:t>
      </w:r>
      <w:r>
        <w:rPr>
          <w:rStyle w:val="FootnoteReference"/>
        </w:rPr>
        <w:footnoteReference w:id="52"/>
      </w:r>
      <w:r w:rsidRPr="00675602">
        <w:t xml:space="preserve"> There have also been reports of online disinformation targeted at Muslims, propagated by the ruling party and the mainstream media.</w:t>
      </w:r>
    </w:p>
    <w:p w14:paraId="378343B9" w14:textId="77777777" w:rsidR="004A2734" w:rsidRDefault="004A2734" w:rsidP="004A2734">
      <w:pPr>
        <w:pStyle w:val="ListParagraph"/>
      </w:pPr>
    </w:p>
    <w:p w14:paraId="469404A7" w14:textId="5C678D87" w:rsidR="004A2734" w:rsidRPr="004A2734" w:rsidRDefault="004A2734" w:rsidP="004A2734">
      <w:pPr>
        <w:spacing w:after="0" w:line="240" w:lineRule="auto"/>
        <w:jc w:val="both"/>
        <w:rPr>
          <w:b/>
          <w:bCs/>
          <w:sz w:val="28"/>
          <w:szCs w:val="28"/>
        </w:rPr>
      </w:pPr>
      <w:r w:rsidRPr="004A2734">
        <w:rPr>
          <w:b/>
          <w:bCs/>
          <w:sz w:val="28"/>
          <w:szCs w:val="28"/>
        </w:rPr>
        <w:t>Select</w:t>
      </w:r>
      <w:r>
        <w:rPr>
          <w:b/>
          <w:bCs/>
          <w:sz w:val="28"/>
          <w:szCs w:val="28"/>
        </w:rPr>
        <w:t>ive</w:t>
      </w:r>
      <w:r w:rsidRPr="004A2734">
        <w:rPr>
          <w:b/>
          <w:bCs/>
          <w:sz w:val="28"/>
          <w:szCs w:val="28"/>
        </w:rPr>
        <w:t xml:space="preserve"> </w:t>
      </w:r>
      <w:r>
        <w:rPr>
          <w:b/>
          <w:bCs/>
          <w:sz w:val="28"/>
          <w:szCs w:val="28"/>
        </w:rPr>
        <w:t>b</w:t>
      </w:r>
      <w:r w:rsidRPr="004A2734">
        <w:rPr>
          <w:b/>
          <w:bCs/>
          <w:sz w:val="28"/>
          <w:szCs w:val="28"/>
        </w:rPr>
        <w:t>ibliography of ISI publications</w:t>
      </w:r>
    </w:p>
    <w:p w14:paraId="29A49ED5" w14:textId="2B6E19FC" w:rsidR="004A2734" w:rsidRDefault="004A2734" w:rsidP="004A2734">
      <w:pPr>
        <w:spacing w:after="0" w:line="240" w:lineRule="auto"/>
        <w:jc w:val="both"/>
        <w:rPr>
          <w:b/>
          <w:bCs/>
        </w:rPr>
      </w:pPr>
    </w:p>
    <w:p w14:paraId="39E7B2C3" w14:textId="1584092D" w:rsidR="004A2734" w:rsidRDefault="004A2734" w:rsidP="004A2734">
      <w:pPr>
        <w:spacing w:after="0" w:line="240" w:lineRule="auto"/>
        <w:jc w:val="both"/>
        <w:rPr>
          <w:b/>
          <w:bCs/>
        </w:rPr>
      </w:pPr>
      <w:r>
        <w:rPr>
          <w:b/>
          <w:bCs/>
        </w:rPr>
        <w:t>Rohingya</w:t>
      </w:r>
    </w:p>
    <w:p w14:paraId="0560CBE2" w14:textId="6D7A49FB" w:rsidR="004A2734" w:rsidRDefault="004A2734" w:rsidP="004A2734">
      <w:pPr>
        <w:spacing w:after="0" w:line="240" w:lineRule="auto"/>
        <w:jc w:val="both"/>
        <w:rPr>
          <w:b/>
          <w:bCs/>
        </w:rPr>
      </w:pPr>
    </w:p>
    <w:p w14:paraId="07751AD2" w14:textId="58D1D4C7" w:rsidR="004A2734" w:rsidRPr="00632491" w:rsidRDefault="004A2734" w:rsidP="00632491">
      <w:pPr>
        <w:pStyle w:val="ListParagraph"/>
        <w:numPr>
          <w:ilvl w:val="0"/>
          <w:numId w:val="9"/>
        </w:numPr>
        <w:spacing w:after="0" w:line="240" w:lineRule="auto"/>
        <w:rPr>
          <w:b/>
          <w:bCs/>
        </w:rPr>
      </w:pPr>
      <w:r w:rsidRPr="00632491">
        <w:rPr>
          <w:rFonts w:cstheme="minorHAnsi"/>
        </w:rPr>
        <w:t xml:space="preserve">Institute on Statelessness and Inclusion, </w:t>
      </w:r>
      <w:r w:rsidRPr="00632491">
        <w:rPr>
          <w:rFonts w:cstheme="minorHAnsi"/>
          <w:i/>
          <w:iCs/>
        </w:rPr>
        <w:t xml:space="preserve">Joint Submission to the Universal Periodic Review of Myanmar, </w:t>
      </w:r>
      <w:r w:rsidRPr="00632491">
        <w:rPr>
          <w:rFonts w:cstheme="minorHAnsi"/>
        </w:rPr>
        <w:t>09 July 2020, 37</w:t>
      </w:r>
      <w:r w:rsidRPr="00632491">
        <w:rPr>
          <w:rFonts w:cstheme="minorHAnsi"/>
          <w:vertAlign w:val="superscript"/>
        </w:rPr>
        <w:t>th</w:t>
      </w:r>
      <w:r w:rsidRPr="00632491">
        <w:rPr>
          <w:rFonts w:cstheme="minorHAnsi"/>
        </w:rPr>
        <w:t xml:space="preserve"> Session, available at: </w:t>
      </w:r>
      <w:hyperlink r:id="rId9" w:history="1">
        <w:r w:rsidRPr="00632491">
          <w:rPr>
            <w:rStyle w:val="Hyperlink"/>
            <w:rFonts w:cstheme="minorHAnsi"/>
          </w:rPr>
          <w:t>https://files.institutesi.org/UPR37_Myanmar.pdf</w:t>
        </w:r>
      </w:hyperlink>
      <w:r w:rsidRPr="00632491">
        <w:rPr>
          <w:rFonts w:cstheme="minorHAnsi"/>
        </w:rPr>
        <w:t xml:space="preserve"> </w:t>
      </w:r>
    </w:p>
    <w:p w14:paraId="404A9C64" w14:textId="26DC7CD0" w:rsidR="004A2734" w:rsidRPr="004A2734" w:rsidRDefault="004A2734" w:rsidP="004A2734">
      <w:pPr>
        <w:spacing w:after="0" w:line="240" w:lineRule="auto"/>
        <w:rPr>
          <w:b/>
          <w:bCs/>
        </w:rPr>
      </w:pPr>
    </w:p>
    <w:p w14:paraId="73AD0DBA" w14:textId="23D50F95" w:rsidR="004A2734" w:rsidRPr="00632491" w:rsidRDefault="004A2734" w:rsidP="00632491">
      <w:pPr>
        <w:pStyle w:val="ListParagraph"/>
        <w:numPr>
          <w:ilvl w:val="0"/>
          <w:numId w:val="9"/>
        </w:numPr>
        <w:spacing w:after="0" w:line="240" w:lineRule="auto"/>
        <w:rPr>
          <w:rStyle w:val="Hyperlink"/>
          <w:rFonts w:cstheme="minorHAnsi"/>
        </w:rPr>
      </w:pPr>
      <w:r w:rsidRPr="00632491">
        <w:rPr>
          <w:rFonts w:cstheme="minorHAnsi"/>
        </w:rPr>
        <w:t xml:space="preserve">Institute on Statelessness and Inclusion (2020) Human Rights and COVID-19: What Now For The Rohingya? Briefing Paper [online] available at: </w:t>
      </w:r>
      <w:hyperlink r:id="rId10" w:history="1">
        <w:r w:rsidRPr="00632491">
          <w:rPr>
            <w:rStyle w:val="Hyperlink"/>
            <w:rFonts w:cstheme="minorHAnsi"/>
          </w:rPr>
          <w:t>https://files.institutesi.org/Covid19_The_Rohingya_Briefing_Paper.pdf</w:t>
        </w:r>
      </w:hyperlink>
    </w:p>
    <w:p w14:paraId="3FC3882B" w14:textId="4B4BA692" w:rsidR="004A2734" w:rsidRPr="004A2734" w:rsidRDefault="004A2734" w:rsidP="004A2734">
      <w:pPr>
        <w:spacing w:after="0" w:line="240" w:lineRule="auto"/>
        <w:rPr>
          <w:rStyle w:val="Hyperlink"/>
          <w:rFonts w:cstheme="minorHAnsi"/>
        </w:rPr>
      </w:pPr>
    </w:p>
    <w:p w14:paraId="30421DC9" w14:textId="04DCCC29" w:rsidR="004A2734" w:rsidRPr="00632491" w:rsidRDefault="004A2734" w:rsidP="00632491">
      <w:pPr>
        <w:pStyle w:val="ListParagraph"/>
        <w:numPr>
          <w:ilvl w:val="0"/>
          <w:numId w:val="9"/>
        </w:numPr>
        <w:spacing w:after="0" w:line="240" w:lineRule="auto"/>
        <w:rPr>
          <w:rStyle w:val="Hyperlink"/>
          <w:rFonts w:cstheme="minorHAnsi"/>
        </w:rPr>
      </w:pPr>
      <w:r w:rsidRPr="00632491">
        <w:rPr>
          <w:rFonts w:cstheme="minorHAnsi"/>
        </w:rPr>
        <w:t xml:space="preserve">Institute on Statelessness and Inclusion (2020) Locked in and Locked Out: The Impact of Digital Identity Systems on Rohingya Populations [online] available at: </w:t>
      </w:r>
      <w:hyperlink r:id="rId11" w:history="1">
        <w:r w:rsidRPr="00632491">
          <w:rPr>
            <w:rStyle w:val="Hyperlink"/>
            <w:rFonts w:cstheme="minorHAnsi"/>
          </w:rPr>
          <w:t>https://files.institutesi.org/Locked_In_Locked_Out_The_Rohingya_Briefing_Paper.pdf</w:t>
        </w:r>
      </w:hyperlink>
      <w:r w:rsidRPr="00632491">
        <w:rPr>
          <w:rFonts w:cstheme="minorHAnsi"/>
        </w:rPr>
        <w:t xml:space="preserve"> </w:t>
      </w:r>
    </w:p>
    <w:p w14:paraId="5873908C" w14:textId="15FF2164" w:rsidR="004A2734" w:rsidRPr="004A2734" w:rsidRDefault="004A2734" w:rsidP="004A2734">
      <w:pPr>
        <w:spacing w:after="0" w:line="240" w:lineRule="auto"/>
        <w:rPr>
          <w:b/>
          <w:bCs/>
        </w:rPr>
      </w:pPr>
    </w:p>
    <w:p w14:paraId="4FCE0D6A" w14:textId="6D9A6819" w:rsidR="004A2734" w:rsidRPr="00632491" w:rsidRDefault="004A2734" w:rsidP="00632491">
      <w:pPr>
        <w:pStyle w:val="ListParagraph"/>
        <w:numPr>
          <w:ilvl w:val="0"/>
          <w:numId w:val="9"/>
        </w:numPr>
        <w:rPr>
          <w:rFonts w:cstheme="minorHAnsi"/>
        </w:rPr>
      </w:pPr>
      <w:r w:rsidRPr="00632491">
        <w:rPr>
          <w:rFonts w:cstheme="minorHAnsi"/>
        </w:rPr>
        <w:t xml:space="preserve">Institute on Statelessness and Inclusion and European Network on Statelessness (2019) ‘Country Position Paper: Statelessness in Myanmar’ [online] available at </w:t>
      </w:r>
      <w:hyperlink r:id="rId12" w:history="1">
        <w:r w:rsidRPr="00632491">
          <w:rPr>
            <w:rStyle w:val="Hyperlink"/>
            <w:rFonts w:cstheme="minorHAnsi"/>
          </w:rPr>
          <w:t>https://statelessjourneys.org/resources/statelessness-in-myanmar/</w:t>
        </w:r>
      </w:hyperlink>
      <w:r w:rsidRPr="00632491">
        <w:rPr>
          <w:rFonts w:cstheme="minorHAnsi"/>
        </w:rPr>
        <w:t xml:space="preserve"> </w:t>
      </w:r>
    </w:p>
    <w:p w14:paraId="77B0AC47" w14:textId="77777777" w:rsidR="004A2734" w:rsidRDefault="004A2734" w:rsidP="004A2734">
      <w:pPr>
        <w:spacing w:after="0" w:line="240" w:lineRule="auto"/>
        <w:jc w:val="both"/>
        <w:rPr>
          <w:b/>
          <w:bCs/>
        </w:rPr>
      </w:pPr>
    </w:p>
    <w:p w14:paraId="06CEDEAA" w14:textId="27266E17" w:rsidR="004A2734" w:rsidRPr="004A2734" w:rsidRDefault="004A2734" w:rsidP="004A2734">
      <w:pPr>
        <w:spacing w:after="0" w:line="240" w:lineRule="auto"/>
        <w:jc w:val="both"/>
        <w:rPr>
          <w:b/>
          <w:bCs/>
        </w:rPr>
      </w:pPr>
      <w:r>
        <w:rPr>
          <w:b/>
          <w:bCs/>
        </w:rPr>
        <w:t>Citizenship deprivation</w:t>
      </w:r>
    </w:p>
    <w:p w14:paraId="1B8D85E3" w14:textId="482D5905" w:rsidR="00A74947" w:rsidRDefault="00A74947" w:rsidP="006A2494">
      <w:pPr>
        <w:spacing w:after="0" w:line="240" w:lineRule="auto"/>
        <w:jc w:val="both"/>
      </w:pPr>
    </w:p>
    <w:p w14:paraId="0EBCFC39" w14:textId="5CF511EE" w:rsidR="004A2734" w:rsidRPr="00632491" w:rsidRDefault="004A2734" w:rsidP="00632491">
      <w:pPr>
        <w:pStyle w:val="ListParagraph"/>
        <w:numPr>
          <w:ilvl w:val="0"/>
          <w:numId w:val="10"/>
        </w:numPr>
        <w:spacing w:after="0" w:line="240" w:lineRule="auto"/>
        <w:rPr>
          <w:rFonts w:cstheme="minorHAnsi"/>
          <w:lang w:val="en-US"/>
        </w:rPr>
      </w:pPr>
      <w:r w:rsidRPr="00632491">
        <w:rPr>
          <w:rFonts w:cstheme="minorHAnsi"/>
          <w:lang w:val="en-US"/>
        </w:rPr>
        <w:t>Institute on Statelessness and Inclusion</w:t>
      </w:r>
      <w:r w:rsidRPr="00632491">
        <w:rPr>
          <w:rFonts w:cstheme="minorHAnsi"/>
          <w:lang w:val="en-US"/>
        </w:rPr>
        <w:t xml:space="preserve"> </w:t>
      </w:r>
      <w:r w:rsidRPr="00632491">
        <w:rPr>
          <w:rFonts w:cstheme="minorHAnsi"/>
          <w:i/>
          <w:iCs/>
          <w:lang w:val="en-US"/>
        </w:rPr>
        <w:t xml:space="preserve">et al, </w:t>
      </w:r>
      <w:r w:rsidRPr="00632491">
        <w:rPr>
          <w:rFonts w:cstheme="minorHAnsi"/>
          <w:lang w:val="en-US"/>
        </w:rPr>
        <w:t>Principles on Deprivation of Nationality as a National Security Measure (2020), available at:</w:t>
      </w:r>
      <w:r w:rsidR="00632491" w:rsidRPr="00632491">
        <w:rPr>
          <w:rFonts w:cstheme="minorHAnsi"/>
          <w:lang w:val="en-US"/>
        </w:rPr>
        <w:t xml:space="preserve"> </w:t>
      </w:r>
      <w:hyperlink r:id="rId13" w:history="1">
        <w:r w:rsidR="00632491" w:rsidRPr="00632491">
          <w:rPr>
            <w:rStyle w:val="Hyperlink"/>
            <w:rFonts w:cstheme="minorHAnsi"/>
            <w:lang w:val="en-US"/>
          </w:rPr>
          <w:t>https://files.institutesi.org/PRINCIPLES.pdf</w:t>
        </w:r>
      </w:hyperlink>
      <w:r w:rsidR="00632491" w:rsidRPr="00632491">
        <w:rPr>
          <w:rFonts w:cstheme="minorHAnsi"/>
          <w:lang w:val="en-US"/>
        </w:rPr>
        <w:t xml:space="preserve"> </w:t>
      </w:r>
    </w:p>
    <w:p w14:paraId="223EF029" w14:textId="63900825" w:rsidR="004A2734" w:rsidRPr="00632491" w:rsidRDefault="004A2734" w:rsidP="00632491">
      <w:pPr>
        <w:spacing w:after="0" w:line="240" w:lineRule="auto"/>
        <w:rPr>
          <w:rFonts w:cstheme="minorHAnsi"/>
          <w:lang w:val="en-US"/>
        </w:rPr>
      </w:pPr>
    </w:p>
    <w:p w14:paraId="27955693" w14:textId="618BC7F0" w:rsidR="004A2734" w:rsidRPr="00632491" w:rsidRDefault="00632491" w:rsidP="00632491">
      <w:pPr>
        <w:pStyle w:val="ListParagraph"/>
        <w:numPr>
          <w:ilvl w:val="0"/>
          <w:numId w:val="10"/>
        </w:numPr>
        <w:spacing w:after="0" w:line="240" w:lineRule="auto"/>
        <w:rPr>
          <w:rFonts w:cstheme="minorHAnsi"/>
          <w:lang w:val="en-US"/>
        </w:rPr>
      </w:pPr>
      <w:r w:rsidRPr="00632491">
        <w:rPr>
          <w:rFonts w:cstheme="minorHAnsi"/>
          <w:lang w:val="en-US"/>
        </w:rPr>
        <w:t>Institute on Statelessness and Inclusio</w:t>
      </w:r>
      <w:r w:rsidRPr="00632491">
        <w:rPr>
          <w:rFonts w:cstheme="minorHAnsi"/>
          <w:lang w:val="en-US"/>
        </w:rPr>
        <w:t>n, Draft Commentary to the</w:t>
      </w:r>
      <w:r w:rsidRPr="00632491">
        <w:rPr>
          <w:rFonts w:cstheme="minorHAnsi"/>
          <w:i/>
          <w:iCs/>
          <w:lang w:val="en-US"/>
        </w:rPr>
        <w:t xml:space="preserve"> </w:t>
      </w:r>
      <w:r w:rsidRPr="00632491">
        <w:rPr>
          <w:rFonts w:cstheme="minorHAnsi"/>
          <w:lang w:val="en-US"/>
        </w:rPr>
        <w:t>Principles on Deprivation of Nationality as a National Security Measure (2020), available at:</w:t>
      </w:r>
      <w:r w:rsidRPr="00632491">
        <w:rPr>
          <w:rFonts w:cstheme="minorHAnsi"/>
          <w:lang w:val="en-US"/>
        </w:rPr>
        <w:t xml:space="preserve"> </w:t>
      </w:r>
      <w:hyperlink r:id="rId14" w:history="1">
        <w:r w:rsidRPr="00632491">
          <w:rPr>
            <w:rStyle w:val="Hyperlink"/>
            <w:rFonts w:cstheme="minorHAnsi"/>
            <w:lang w:val="en-US"/>
          </w:rPr>
          <w:t>https://files.institutesi.org/PRINCIPLES_Draft_Commentary.pdf</w:t>
        </w:r>
      </w:hyperlink>
      <w:r w:rsidRPr="00632491">
        <w:rPr>
          <w:rFonts w:cstheme="minorHAnsi"/>
          <w:lang w:val="en-US"/>
        </w:rPr>
        <w:t xml:space="preserve"> </w:t>
      </w:r>
    </w:p>
    <w:p w14:paraId="7449573F" w14:textId="3CA4EFFE" w:rsidR="00632491" w:rsidRPr="00632491" w:rsidRDefault="00632491" w:rsidP="00632491">
      <w:pPr>
        <w:spacing w:after="0" w:line="240" w:lineRule="auto"/>
        <w:rPr>
          <w:rFonts w:cstheme="minorHAnsi"/>
          <w:lang w:val="en-US"/>
        </w:rPr>
      </w:pPr>
    </w:p>
    <w:p w14:paraId="00CA2926" w14:textId="77777777" w:rsidR="00632491" w:rsidRPr="00632491" w:rsidRDefault="00632491" w:rsidP="00632491">
      <w:pPr>
        <w:pStyle w:val="ListParagraph"/>
        <w:numPr>
          <w:ilvl w:val="0"/>
          <w:numId w:val="10"/>
        </w:numPr>
        <w:spacing w:after="0" w:line="240" w:lineRule="auto"/>
        <w:rPr>
          <w:sz w:val="32"/>
          <w:szCs w:val="32"/>
        </w:rPr>
      </w:pPr>
      <w:r w:rsidRPr="00632491">
        <w:rPr>
          <w:rFonts w:cstheme="minorHAnsi"/>
          <w:lang w:val="en-US"/>
        </w:rPr>
        <w:t xml:space="preserve">Institute on Statelessness and Inclusion, World’s Stateless Report: Citizenship Stripping (2020), available at: </w:t>
      </w:r>
      <w:hyperlink r:id="rId15" w:history="1">
        <w:r w:rsidRPr="00632491">
          <w:rPr>
            <w:rStyle w:val="Hyperlink"/>
            <w:rFonts w:cstheme="minorHAnsi"/>
            <w:lang w:val="en-US"/>
          </w:rPr>
          <w:t>https://files.institutesi.org/WORLD's_STATELESS_2020.pdf</w:t>
        </w:r>
      </w:hyperlink>
      <w:r w:rsidRPr="00632491">
        <w:rPr>
          <w:rFonts w:cstheme="minorHAnsi"/>
          <w:lang w:val="en-US"/>
        </w:rPr>
        <w:t xml:space="preserve"> </w:t>
      </w:r>
    </w:p>
    <w:p w14:paraId="23392D05" w14:textId="77777777" w:rsidR="00632491" w:rsidRPr="00632491" w:rsidRDefault="00632491" w:rsidP="00632491">
      <w:pPr>
        <w:spacing w:after="0" w:line="240" w:lineRule="auto"/>
      </w:pPr>
    </w:p>
    <w:p w14:paraId="471CC39F" w14:textId="66995405" w:rsidR="00A74947" w:rsidRPr="00632491" w:rsidRDefault="004A2734" w:rsidP="00632491">
      <w:pPr>
        <w:pStyle w:val="ListParagraph"/>
        <w:numPr>
          <w:ilvl w:val="0"/>
          <w:numId w:val="10"/>
        </w:numPr>
        <w:spacing w:after="0" w:line="240" w:lineRule="auto"/>
        <w:rPr>
          <w:sz w:val="32"/>
          <w:szCs w:val="32"/>
        </w:rPr>
      </w:pPr>
      <w:r w:rsidRPr="00632491">
        <w:rPr>
          <w:rFonts w:cstheme="minorHAnsi"/>
          <w:lang w:val="en-US"/>
        </w:rPr>
        <w:t xml:space="preserve">Institute on Statelessness and Inclusion, </w:t>
      </w:r>
      <w:r w:rsidRPr="00632491">
        <w:rPr>
          <w:rFonts w:cstheme="minorHAnsi"/>
          <w:lang w:val="en-US"/>
        </w:rPr>
        <w:t xml:space="preserve">Joint Statement by 125 Civil Society </w:t>
      </w:r>
      <w:proofErr w:type="spellStart"/>
      <w:r w:rsidRPr="00632491">
        <w:rPr>
          <w:rFonts w:cstheme="minorHAnsi"/>
          <w:lang w:val="en-US"/>
        </w:rPr>
        <w:t>Organisations</w:t>
      </w:r>
      <w:proofErr w:type="spellEnd"/>
      <w:r w:rsidRPr="00632491">
        <w:rPr>
          <w:rFonts w:cstheme="minorHAnsi"/>
          <w:lang w:val="en-US"/>
        </w:rPr>
        <w:t xml:space="preserve"> condemning the exclusion of 1.9 million people from the Assam NRC and call for urgent action to protect everyone’s right to a nationality, issued on 5 September 2019, </w:t>
      </w:r>
      <w:hyperlink r:id="rId16" w:history="1">
        <w:r w:rsidRPr="00632491">
          <w:rPr>
            <w:rStyle w:val="Hyperlink"/>
            <w:rFonts w:cstheme="minorHAnsi"/>
            <w:lang w:val="en-US"/>
          </w:rPr>
          <w:t>https://www.institutesi.org/news/cso-joint-statement-on-assam-nrc</w:t>
        </w:r>
      </w:hyperlink>
      <w:r w:rsidRPr="00632491">
        <w:rPr>
          <w:rFonts w:cstheme="minorHAnsi"/>
          <w:lang w:val="en-US"/>
        </w:rPr>
        <w:t>.</w:t>
      </w:r>
    </w:p>
    <w:p w14:paraId="6F6B7EE7" w14:textId="3CACBFD1" w:rsidR="00125B92" w:rsidRPr="00CB704E" w:rsidRDefault="00125B92" w:rsidP="006A2494">
      <w:pPr>
        <w:spacing w:after="0" w:line="240" w:lineRule="auto"/>
        <w:rPr>
          <w:rFonts w:eastAsia="Times New Roman" w:cstheme="minorHAnsi"/>
        </w:rPr>
      </w:pPr>
    </w:p>
    <w:sectPr w:rsidR="00125B92" w:rsidRPr="00CB7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375C" w14:textId="77777777" w:rsidR="004673F9" w:rsidRDefault="004673F9">
      <w:pPr>
        <w:spacing w:after="0" w:line="240" w:lineRule="auto"/>
      </w:pPr>
      <w:r>
        <w:separator/>
      </w:r>
    </w:p>
  </w:endnote>
  <w:endnote w:type="continuationSeparator" w:id="0">
    <w:p w14:paraId="3E915CF8" w14:textId="77777777" w:rsidR="004673F9" w:rsidRDefault="0046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Light">
    <w:altName w:val="Arial Nova Light"/>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83EF" w14:textId="77777777" w:rsidR="004673F9" w:rsidRDefault="004673F9">
      <w:pPr>
        <w:spacing w:after="0" w:line="240" w:lineRule="auto"/>
      </w:pPr>
      <w:r>
        <w:separator/>
      </w:r>
    </w:p>
  </w:footnote>
  <w:footnote w:type="continuationSeparator" w:id="0">
    <w:p w14:paraId="4C2C1836" w14:textId="77777777" w:rsidR="004673F9" w:rsidRDefault="004673F9">
      <w:pPr>
        <w:spacing w:after="0" w:line="240" w:lineRule="auto"/>
      </w:pPr>
      <w:r>
        <w:continuationSeparator/>
      </w:r>
    </w:p>
  </w:footnote>
  <w:footnote w:id="1">
    <w:p w14:paraId="12D0ADBB" w14:textId="3EAEC923" w:rsidR="001A0DAB" w:rsidRPr="004A2734" w:rsidRDefault="001A0DAB" w:rsidP="00981C70">
      <w:pPr>
        <w:pStyle w:val="FootnoteText"/>
        <w:rPr>
          <w:rFonts w:cstheme="minorHAnsi"/>
          <w:sz w:val="16"/>
          <w:szCs w:val="16"/>
        </w:rPr>
      </w:pPr>
      <w:r w:rsidRPr="004A2734">
        <w:rPr>
          <w:rStyle w:val="FootnoteReference"/>
          <w:rFonts w:cstheme="minorHAnsi"/>
          <w:sz w:val="16"/>
          <w:szCs w:val="16"/>
        </w:rPr>
        <w:sym w:font="Symbol" w:char="F02A"/>
      </w:r>
      <w:r w:rsidRPr="004A2734">
        <w:rPr>
          <w:rFonts w:cstheme="minorHAnsi"/>
          <w:sz w:val="16"/>
          <w:szCs w:val="16"/>
        </w:rPr>
        <w:t xml:space="preserve"> For more information, please contact: </w:t>
      </w:r>
      <w:hyperlink r:id="rId1" w:history="1">
        <w:r w:rsidRPr="004A2734">
          <w:rPr>
            <w:rStyle w:val="Hyperlink"/>
            <w:rFonts w:cstheme="minorHAnsi"/>
            <w:sz w:val="16"/>
            <w:szCs w:val="16"/>
          </w:rPr>
          <w:t>Sangita.Bajulaiye@institutesi.org</w:t>
        </w:r>
      </w:hyperlink>
    </w:p>
  </w:footnote>
  <w:footnote w:id="2">
    <w:p w14:paraId="7E998505" w14:textId="37CBB9CA" w:rsidR="001A0DAB" w:rsidRPr="004A2734" w:rsidRDefault="001A0DAB" w:rsidP="00981C70">
      <w:pPr>
        <w:spacing w:after="0" w:line="240" w:lineRule="auto"/>
        <w:rPr>
          <w:rFonts w:eastAsia="Times New Roman" w:cstheme="minorHAnsi"/>
          <w:sz w:val="16"/>
          <w:szCs w:val="16"/>
          <w:lang w:eastAsia="zh-CN"/>
        </w:rPr>
      </w:pPr>
      <w:r w:rsidRPr="004A2734">
        <w:rPr>
          <w:rStyle w:val="FootnoteReference"/>
          <w:rFonts w:cstheme="minorHAnsi"/>
          <w:sz w:val="16"/>
          <w:szCs w:val="16"/>
        </w:rPr>
        <w:footnoteRef/>
      </w:r>
      <w:r w:rsidRPr="004A2734">
        <w:rPr>
          <w:rFonts w:cstheme="minorHAnsi"/>
          <w:sz w:val="16"/>
          <w:szCs w:val="16"/>
        </w:rPr>
        <w:t xml:space="preserve"> </w:t>
      </w:r>
      <w:r w:rsidR="004A2734">
        <w:rPr>
          <w:rFonts w:cstheme="minorHAnsi"/>
          <w:sz w:val="16"/>
          <w:szCs w:val="16"/>
        </w:rPr>
        <w:t xml:space="preserve">See </w:t>
      </w:r>
      <w:hyperlink r:id="rId2" w:history="1">
        <w:r w:rsidR="004A2734" w:rsidRPr="00C97DF9">
          <w:rPr>
            <w:rStyle w:val="Hyperlink"/>
            <w:rFonts w:eastAsia="Times New Roman" w:cstheme="minorHAnsi"/>
            <w:sz w:val="16"/>
            <w:szCs w:val="16"/>
          </w:rPr>
          <w:t>https://www.institutesi.org/</w:t>
        </w:r>
      </w:hyperlink>
      <w:r w:rsidRPr="004A2734">
        <w:rPr>
          <w:rFonts w:eastAsia="Times New Roman" w:cstheme="minorHAnsi"/>
          <w:sz w:val="16"/>
          <w:szCs w:val="16"/>
        </w:rPr>
        <w:t xml:space="preserve">. </w:t>
      </w:r>
    </w:p>
  </w:footnote>
  <w:footnote w:id="3">
    <w:p w14:paraId="13A58CC8" w14:textId="2ADD13AC" w:rsidR="00F6243B" w:rsidRPr="004A2734" w:rsidRDefault="00F6243B">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proofErr w:type="spellStart"/>
      <w:r w:rsidRPr="004A2734">
        <w:rPr>
          <w:rFonts w:cstheme="minorHAnsi"/>
          <w:sz w:val="16"/>
          <w:szCs w:val="16"/>
        </w:rPr>
        <w:t>SRFoRB</w:t>
      </w:r>
      <w:proofErr w:type="spellEnd"/>
      <w:r w:rsidRPr="004A2734">
        <w:rPr>
          <w:rFonts w:cstheme="minorHAnsi"/>
          <w:sz w:val="16"/>
          <w:szCs w:val="16"/>
        </w:rPr>
        <w:t xml:space="preserve"> call for input, preparation for the report to the 46</w:t>
      </w:r>
      <w:r w:rsidRPr="004A2734">
        <w:rPr>
          <w:rFonts w:cstheme="minorHAnsi"/>
          <w:sz w:val="16"/>
          <w:szCs w:val="16"/>
          <w:vertAlign w:val="superscript"/>
        </w:rPr>
        <w:t>th</w:t>
      </w:r>
      <w:r w:rsidRPr="004A2734">
        <w:rPr>
          <w:rFonts w:cstheme="minorHAnsi"/>
          <w:sz w:val="16"/>
          <w:szCs w:val="16"/>
        </w:rPr>
        <w:t xml:space="preserve"> Session of the Human Rights Council, available at: </w:t>
      </w:r>
      <w:hyperlink r:id="rId3" w:history="1">
        <w:r w:rsidRPr="004A2734">
          <w:rPr>
            <w:rStyle w:val="Hyperlink"/>
            <w:rFonts w:cstheme="minorHAnsi"/>
            <w:sz w:val="16"/>
            <w:szCs w:val="16"/>
          </w:rPr>
          <w:t>https://www.ohchr.org/EN/Issues/FreedomReligion/Pages/HatredAndDiscrimination.aspx</w:t>
        </w:r>
      </w:hyperlink>
      <w:r w:rsidRPr="004A2734">
        <w:rPr>
          <w:rFonts w:cstheme="minorHAnsi"/>
          <w:sz w:val="16"/>
          <w:szCs w:val="16"/>
        </w:rPr>
        <w:t xml:space="preserve"> </w:t>
      </w:r>
    </w:p>
  </w:footnote>
  <w:footnote w:id="4">
    <w:p w14:paraId="4387BE38" w14:textId="239AE9AA" w:rsidR="001A0DAB" w:rsidRPr="004A2734" w:rsidRDefault="001A0DAB" w:rsidP="00981C70">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rPr>
        <w:t xml:space="preserve"> </w:t>
      </w:r>
      <w:proofErr w:type="spellStart"/>
      <w:r w:rsidRPr="004A2734">
        <w:rPr>
          <w:rFonts w:cstheme="minorHAnsi"/>
          <w:sz w:val="16"/>
          <w:szCs w:val="16"/>
          <w:lang w:val="en-US"/>
        </w:rPr>
        <w:t>SRFoRB</w:t>
      </w:r>
      <w:proofErr w:type="spellEnd"/>
      <w:r w:rsidRPr="004A2734">
        <w:rPr>
          <w:rFonts w:cstheme="minorHAnsi"/>
          <w:sz w:val="16"/>
          <w:szCs w:val="16"/>
          <w:lang w:val="en-US"/>
        </w:rPr>
        <w:t xml:space="preserve">, Call for Submissions, Report to the United National General Assembly on Eliminating Intolerance and Discrimination Based on Religion or Belief and the Achievement of Sustainable Development Goal 16 (ADG 16), p. 3. </w:t>
      </w:r>
    </w:p>
  </w:footnote>
  <w:footnote w:id="5">
    <w:p w14:paraId="1D78CA48"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ISI has a forthcoming report covering the barriers to obtaining citizenship documents, which will be published in 2021. </w:t>
      </w:r>
    </w:p>
  </w:footnote>
  <w:footnote w:id="6">
    <w:p w14:paraId="3DF4DF55"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w:t>
      </w:r>
      <w:r w:rsidRPr="004A2734">
        <w:rPr>
          <w:rFonts w:cstheme="minorHAnsi"/>
          <w:i/>
          <w:iCs/>
          <w:sz w:val="16"/>
          <w:szCs w:val="16"/>
        </w:rPr>
        <w:t xml:space="preserve">Joint Submission to the Universal Periodic Review of Myanmar, </w:t>
      </w:r>
      <w:r w:rsidRPr="004A2734">
        <w:rPr>
          <w:rFonts w:cstheme="minorHAnsi"/>
          <w:sz w:val="16"/>
          <w:szCs w:val="16"/>
        </w:rPr>
        <w:t>09 July 2020, 37</w:t>
      </w:r>
      <w:r w:rsidRPr="004A2734">
        <w:rPr>
          <w:rFonts w:cstheme="minorHAnsi"/>
          <w:sz w:val="16"/>
          <w:szCs w:val="16"/>
          <w:vertAlign w:val="superscript"/>
        </w:rPr>
        <w:t>th</w:t>
      </w:r>
      <w:r w:rsidRPr="004A2734">
        <w:rPr>
          <w:rFonts w:cstheme="minorHAnsi"/>
          <w:sz w:val="16"/>
          <w:szCs w:val="16"/>
        </w:rPr>
        <w:t xml:space="preserve"> Session, available at: </w:t>
      </w:r>
      <w:hyperlink r:id="rId4" w:history="1">
        <w:r w:rsidRPr="004A2734">
          <w:rPr>
            <w:rStyle w:val="Hyperlink"/>
            <w:rFonts w:cstheme="minorHAnsi"/>
            <w:sz w:val="16"/>
            <w:szCs w:val="16"/>
          </w:rPr>
          <w:t>https://files.institutesi.org/UPR37_Myanmar.pdf</w:t>
        </w:r>
      </w:hyperlink>
      <w:r w:rsidRPr="004A2734">
        <w:rPr>
          <w:rFonts w:cstheme="minorHAnsi"/>
          <w:sz w:val="16"/>
          <w:szCs w:val="16"/>
        </w:rPr>
        <w:t xml:space="preserve"> [accessed 24/11/2020]</w:t>
      </w:r>
    </w:p>
  </w:footnote>
  <w:footnote w:id="7">
    <w:p w14:paraId="76289C0A"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proofErr w:type="spellStart"/>
      <w:r w:rsidRPr="004A2734">
        <w:rPr>
          <w:rFonts w:cstheme="minorHAnsi"/>
          <w:sz w:val="16"/>
          <w:szCs w:val="16"/>
        </w:rPr>
        <w:t>Syam</w:t>
      </w:r>
      <w:proofErr w:type="spellEnd"/>
      <w:r w:rsidRPr="004A2734">
        <w:rPr>
          <w:rFonts w:cstheme="minorHAnsi"/>
          <w:sz w:val="16"/>
          <w:szCs w:val="16"/>
        </w:rPr>
        <w:t xml:space="preserve">, A (2019) ‘Patchwork of archaic regulations and policies in India: A breeding ground for discriminatory practice against refugees’ 51 N.Y.U. Journal of International Law &amp; Politics 1381-1382 available at: </w:t>
      </w:r>
      <w:hyperlink r:id="rId5" w:history="1">
        <w:r w:rsidRPr="004A2734">
          <w:rPr>
            <w:rStyle w:val="Hyperlink"/>
            <w:rFonts w:cstheme="minorHAnsi"/>
            <w:sz w:val="16"/>
            <w:szCs w:val="16"/>
          </w:rPr>
          <w:t>https://nyujilp.org/wp-content/uploads/2019/09/NYI411.pdf</w:t>
        </w:r>
      </w:hyperlink>
      <w:r w:rsidRPr="004A2734">
        <w:rPr>
          <w:rFonts w:cstheme="minorHAnsi"/>
          <w:sz w:val="16"/>
          <w:szCs w:val="16"/>
        </w:rPr>
        <w:t xml:space="preserve"> [accessed 13/11/2020]</w:t>
      </w:r>
    </w:p>
  </w:footnote>
  <w:footnote w:id="8">
    <w:p w14:paraId="0EF71583"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9">
    <w:p w14:paraId="3800E907"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(2020) Locked in and Locked Out: The Impact of Digital Identity Systems on Rohingya Populations [online] available at: </w:t>
      </w:r>
      <w:hyperlink r:id="rId6" w:history="1">
        <w:r w:rsidRPr="004A2734">
          <w:rPr>
            <w:rStyle w:val="Hyperlink"/>
            <w:rFonts w:cstheme="minorHAnsi"/>
            <w:sz w:val="16"/>
            <w:szCs w:val="16"/>
          </w:rPr>
          <w:t>https://files.institutesi.org/Locked_In_Locked_Out_The_Rohingya_Briefing_Paper.pdf</w:t>
        </w:r>
      </w:hyperlink>
      <w:r w:rsidRPr="004A2734">
        <w:rPr>
          <w:rFonts w:cstheme="minorHAnsi"/>
          <w:sz w:val="16"/>
          <w:szCs w:val="16"/>
        </w:rPr>
        <w:t xml:space="preserve"> [accessed 24/11/2020]</w:t>
      </w:r>
    </w:p>
  </w:footnote>
  <w:footnote w:id="10">
    <w:p w14:paraId="15F8925A"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11">
    <w:p w14:paraId="7C13543E"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Human Rights Watch (2020) Myanmar: Election Fundamentally Flawed [online] available at: </w:t>
      </w:r>
      <w:hyperlink r:id="rId7" w:history="1">
        <w:r w:rsidRPr="004A2734">
          <w:rPr>
            <w:rStyle w:val="Hyperlink"/>
            <w:rFonts w:cstheme="minorHAnsi"/>
            <w:sz w:val="16"/>
            <w:szCs w:val="16"/>
          </w:rPr>
          <w:t>https://www.hrw.org/news/2020/10/05/myanmar-election-fundamentally-flawed</w:t>
        </w:r>
      </w:hyperlink>
      <w:r w:rsidRPr="004A2734">
        <w:rPr>
          <w:rFonts w:cstheme="minorHAnsi"/>
          <w:sz w:val="16"/>
          <w:szCs w:val="16"/>
        </w:rPr>
        <w:t xml:space="preserve"> [accessed 24/11/2020]</w:t>
      </w:r>
    </w:p>
  </w:footnote>
  <w:footnote w:id="12">
    <w:p w14:paraId="0C93CEA7"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proofErr w:type="spellStart"/>
      <w:r w:rsidRPr="004A2734">
        <w:rPr>
          <w:rFonts w:cstheme="minorHAnsi"/>
          <w:sz w:val="16"/>
          <w:szCs w:val="16"/>
        </w:rPr>
        <w:t>Pyae</w:t>
      </w:r>
      <w:proofErr w:type="spellEnd"/>
      <w:r w:rsidRPr="004A2734">
        <w:rPr>
          <w:rFonts w:cstheme="minorHAnsi"/>
          <w:sz w:val="16"/>
          <w:szCs w:val="16"/>
        </w:rPr>
        <w:t xml:space="preserve"> sone Win, ‘Myanmar polls body defends cancelled voting in insecure areas’ </w:t>
      </w:r>
      <w:r w:rsidRPr="004A2734">
        <w:rPr>
          <w:rFonts w:cstheme="minorHAnsi"/>
          <w:i/>
          <w:iCs/>
          <w:sz w:val="16"/>
          <w:szCs w:val="16"/>
        </w:rPr>
        <w:t>AP News</w:t>
      </w:r>
      <w:r w:rsidRPr="004A2734">
        <w:rPr>
          <w:rFonts w:cstheme="minorHAnsi"/>
          <w:sz w:val="16"/>
          <w:szCs w:val="16"/>
        </w:rPr>
        <w:t xml:space="preserve"> (20 October 2020) [online] available at: </w:t>
      </w:r>
      <w:hyperlink r:id="rId8" w:history="1">
        <w:r w:rsidRPr="004A2734">
          <w:rPr>
            <w:rStyle w:val="Hyperlink"/>
            <w:rFonts w:cstheme="minorHAnsi"/>
            <w:sz w:val="16"/>
            <w:szCs w:val="16"/>
          </w:rPr>
          <w:t>https://apnews.com/article/virus-outbreak-race-and-ethnicity-myanmar-general-elections-elections-3c8f96ed7acf3cba2b8ad129fbfe51e3</w:t>
        </w:r>
      </w:hyperlink>
      <w:r w:rsidRPr="004A2734">
        <w:rPr>
          <w:rFonts w:cstheme="minorHAnsi"/>
          <w:sz w:val="16"/>
          <w:szCs w:val="16"/>
        </w:rPr>
        <w:t xml:space="preserve"> [accessed 24/11/2020]</w:t>
      </w:r>
    </w:p>
  </w:footnote>
  <w:footnote w:id="13">
    <w:p w14:paraId="1D6BA786" w14:textId="77777777" w:rsidR="00A74947" w:rsidRPr="004A2734" w:rsidRDefault="00A74947" w:rsidP="00A74947">
      <w:pPr>
        <w:pStyle w:val="FootnoteText"/>
        <w:rPr>
          <w:rFonts w:cstheme="minorHAnsi"/>
          <w:i/>
          <w:iCs/>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14">
    <w:p w14:paraId="460684C3"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Kyaw Win and John </w:t>
      </w:r>
      <w:proofErr w:type="spellStart"/>
      <w:r w:rsidRPr="004A2734">
        <w:rPr>
          <w:rFonts w:cstheme="minorHAnsi"/>
          <w:sz w:val="16"/>
          <w:szCs w:val="16"/>
        </w:rPr>
        <w:t>Quinley</w:t>
      </w:r>
      <w:proofErr w:type="spellEnd"/>
      <w:r w:rsidRPr="004A2734">
        <w:rPr>
          <w:rFonts w:cstheme="minorHAnsi"/>
          <w:sz w:val="16"/>
          <w:szCs w:val="16"/>
        </w:rPr>
        <w:t xml:space="preserve"> III, ‘Myanmar Elections set to Exacerbate Erasure of the Rohingya Identity’ </w:t>
      </w:r>
      <w:r w:rsidRPr="004A2734">
        <w:rPr>
          <w:rFonts w:cstheme="minorHAnsi"/>
          <w:i/>
          <w:iCs/>
          <w:sz w:val="16"/>
          <w:szCs w:val="16"/>
        </w:rPr>
        <w:t>The Diplomat</w:t>
      </w:r>
      <w:r w:rsidRPr="004A2734">
        <w:rPr>
          <w:rFonts w:cstheme="minorHAnsi"/>
          <w:sz w:val="16"/>
          <w:szCs w:val="16"/>
        </w:rPr>
        <w:t xml:space="preserve"> (20 October 2002) [online] available at: </w:t>
      </w:r>
      <w:hyperlink r:id="rId9" w:history="1">
        <w:r w:rsidRPr="004A2734">
          <w:rPr>
            <w:rStyle w:val="Hyperlink"/>
            <w:rFonts w:cstheme="minorHAnsi"/>
            <w:sz w:val="16"/>
            <w:szCs w:val="16"/>
          </w:rPr>
          <w:t>https://thediplomat.com/2020/10/myanmar-elections-set-to-exacerbate-erasure-rohingya/</w:t>
        </w:r>
      </w:hyperlink>
      <w:r w:rsidRPr="004A2734">
        <w:rPr>
          <w:rFonts w:cstheme="minorHAnsi"/>
          <w:sz w:val="16"/>
          <w:szCs w:val="16"/>
        </w:rPr>
        <w:t xml:space="preserve"> [accessed 24/11/2020] </w:t>
      </w:r>
    </w:p>
  </w:footnote>
  <w:footnote w:id="15">
    <w:p w14:paraId="032018D1"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Human Rights Watch (2020) Myanmar: Mass Detention of Rohingya in Squalid Camps [online] available at: </w:t>
      </w:r>
      <w:hyperlink r:id="rId10" w:history="1">
        <w:r w:rsidRPr="004A2734">
          <w:rPr>
            <w:rStyle w:val="Hyperlink"/>
            <w:rFonts w:cstheme="minorHAnsi"/>
            <w:sz w:val="16"/>
            <w:szCs w:val="16"/>
          </w:rPr>
          <w:t>https://www.hrw.org/news/2020/10/08/myanmar-mass-detention-rohingya-squalid-camps</w:t>
        </w:r>
      </w:hyperlink>
      <w:r w:rsidRPr="004A2734">
        <w:rPr>
          <w:rFonts w:cstheme="minorHAnsi"/>
          <w:sz w:val="16"/>
          <w:szCs w:val="16"/>
        </w:rPr>
        <w:t xml:space="preserve"> [accessed 24/11/2020]</w:t>
      </w:r>
    </w:p>
  </w:footnote>
  <w:footnote w:id="16">
    <w:p w14:paraId="0164B397"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17">
    <w:p w14:paraId="0F4A5B0A"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18">
    <w:p w14:paraId="32933511"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19">
    <w:p w14:paraId="54679ADB"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(2020) Human Rights and COVID-19: What Now For The Rohingya? Briefing Paper [online] available at: </w:t>
      </w:r>
      <w:hyperlink r:id="rId11" w:history="1">
        <w:r w:rsidRPr="004A2734">
          <w:rPr>
            <w:rStyle w:val="Hyperlink"/>
            <w:rFonts w:cstheme="minorHAnsi"/>
            <w:sz w:val="16"/>
            <w:szCs w:val="16"/>
          </w:rPr>
          <w:t>https://files.institutesi.org/Covid19_The_Rohingya_Briefing_Paper.pdf</w:t>
        </w:r>
      </w:hyperlink>
      <w:r w:rsidRPr="004A2734">
        <w:rPr>
          <w:rFonts w:cstheme="minorHAnsi"/>
          <w:sz w:val="16"/>
          <w:szCs w:val="16"/>
        </w:rPr>
        <w:t xml:space="preserve"> [accessed 24/11/2020]</w:t>
      </w:r>
    </w:p>
  </w:footnote>
  <w:footnote w:id="20">
    <w:p w14:paraId="25ACB321"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21">
    <w:p w14:paraId="6D60BE38" w14:textId="77777777" w:rsidR="00A74947" w:rsidRPr="004A2734" w:rsidRDefault="00A74947" w:rsidP="00A74947">
      <w:pPr>
        <w:pStyle w:val="FootnoteText"/>
        <w:rPr>
          <w:rFonts w:cstheme="minorHAnsi"/>
          <w:i/>
          <w:iCs/>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22">
    <w:p w14:paraId="336E6441" w14:textId="77777777" w:rsidR="00A74947" w:rsidRPr="004A2734" w:rsidRDefault="00A74947" w:rsidP="00A74947">
      <w:pPr>
        <w:pStyle w:val="FootnoteText"/>
        <w:rPr>
          <w:rFonts w:cstheme="minorHAnsi"/>
          <w:i/>
          <w:iCs/>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Ibid</w:t>
      </w:r>
    </w:p>
  </w:footnote>
  <w:footnote w:id="23">
    <w:p w14:paraId="2D08D979" w14:textId="77777777" w:rsidR="00A74947" w:rsidRPr="004A2734" w:rsidRDefault="00A74947" w:rsidP="00A74947">
      <w:pPr>
        <w:pStyle w:val="FootnoteText"/>
        <w:rPr>
          <w:rFonts w:cstheme="minorHAnsi"/>
          <w:i/>
          <w:iCs/>
          <w:sz w:val="16"/>
          <w:szCs w:val="16"/>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i/>
          <w:iCs/>
          <w:sz w:val="16"/>
          <w:szCs w:val="16"/>
        </w:rPr>
        <w:t xml:space="preserve">Ibid </w:t>
      </w:r>
    </w:p>
  </w:footnote>
  <w:footnote w:id="24">
    <w:p w14:paraId="478BB1DA"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w:t>
      </w:r>
      <w:r w:rsidRPr="004A2734">
        <w:rPr>
          <w:rFonts w:cstheme="minorHAnsi"/>
          <w:i/>
          <w:iCs/>
          <w:sz w:val="16"/>
          <w:szCs w:val="16"/>
        </w:rPr>
        <w:t xml:space="preserve">Joint Submission to the Universal Periodic Review of Myanmar, </w:t>
      </w:r>
      <w:r w:rsidRPr="004A2734">
        <w:rPr>
          <w:rFonts w:cstheme="minorHAnsi"/>
          <w:sz w:val="16"/>
          <w:szCs w:val="16"/>
        </w:rPr>
        <w:t>09 July 2020, 37</w:t>
      </w:r>
      <w:r w:rsidRPr="004A2734">
        <w:rPr>
          <w:rFonts w:cstheme="minorHAnsi"/>
          <w:sz w:val="16"/>
          <w:szCs w:val="16"/>
          <w:vertAlign w:val="superscript"/>
        </w:rPr>
        <w:t>th</w:t>
      </w:r>
      <w:r w:rsidRPr="004A2734">
        <w:rPr>
          <w:rFonts w:cstheme="minorHAnsi"/>
          <w:sz w:val="16"/>
          <w:szCs w:val="16"/>
        </w:rPr>
        <w:t xml:space="preserve"> Session, available at: </w:t>
      </w:r>
      <w:hyperlink r:id="rId12" w:history="1">
        <w:r w:rsidRPr="004A2734">
          <w:rPr>
            <w:rStyle w:val="Hyperlink"/>
            <w:rFonts w:cstheme="minorHAnsi"/>
            <w:sz w:val="16"/>
            <w:szCs w:val="16"/>
          </w:rPr>
          <w:t>https://files.institutesi.org/UPR37_Myanmar.pdf</w:t>
        </w:r>
      </w:hyperlink>
      <w:r w:rsidRPr="004A2734">
        <w:rPr>
          <w:rFonts w:cstheme="minorHAnsi"/>
          <w:sz w:val="16"/>
          <w:szCs w:val="16"/>
        </w:rPr>
        <w:t xml:space="preserve"> [accessed 24/11/2020]</w:t>
      </w:r>
    </w:p>
  </w:footnote>
  <w:footnote w:id="25">
    <w:p w14:paraId="5532C931" w14:textId="77777777" w:rsidR="00A74947" w:rsidRPr="004A2734" w:rsidRDefault="00A74947" w:rsidP="00A74947">
      <w:pPr>
        <w:pStyle w:val="FootnoteText"/>
        <w:rPr>
          <w:rFonts w:cstheme="minorHAnsi"/>
          <w:i/>
          <w:iCs/>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(2020) Human Rights and COVID-19: What Now For The Rohingya? Briefing Paper [online] available at: </w:t>
      </w:r>
      <w:hyperlink r:id="rId13" w:history="1">
        <w:r w:rsidRPr="004A2734">
          <w:rPr>
            <w:rStyle w:val="Hyperlink"/>
            <w:rFonts w:cstheme="minorHAnsi"/>
            <w:sz w:val="16"/>
            <w:szCs w:val="16"/>
          </w:rPr>
          <w:t>https://files.institutesi.org/Covid19_The_Rohingya_Briefing_Paper.pdf</w:t>
        </w:r>
      </w:hyperlink>
      <w:r w:rsidRPr="004A2734">
        <w:rPr>
          <w:rFonts w:cstheme="minorHAnsi"/>
          <w:sz w:val="16"/>
          <w:szCs w:val="16"/>
        </w:rPr>
        <w:t xml:space="preserve"> [accessed 24/11/2020]</w:t>
      </w:r>
    </w:p>
  </w:footnote>
  <w:footnote w:id="26">
    <w:p w14:paraId="185D4434"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Burmese Rohingya Organisation UK (2020) BROUK Responds to International Development Committee Report on the Rohingya [online] available at: </w:t>
      </w:r>
      <w:hyperlink r:id="rId14" w:history="1">
        <w:r w:rsidRPr="004A2734">
          <w:rPr>
            <w:rStyle w:val="Hyperlink"/>
            <w:rFonts w:cstheme="minorHAnsi"/>
            <w:sz w:val="16"/>
            <w:szCs w:val="16"/>
          </w:rPr>
          <w:t>https://www.brouk.org.uk/brouk-responds-tointernational-development-committee-report-on-rohingya/</w:t>
        </w:r>
      </w:hyperlink>
      <w:r w:rsidRPr="004A2734">
        <w:rPr>
          <w:rFonts w:cstheme="minorHAnsi"/>
          <w:sz w:val="16"/>
          <w:szCs w:val="16"/>
        </w:rPr>
        <w:t xml:space="preserve"> [accessed 24/11/2020]</w:t>
      </w:r>
    </w:p>
  </w:footnote>
  <w:footnote w:id="27">
    <w:p w14:paraId="4D0E4BD7"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(2020) Human Rights and COVID-19: What Now For The Rohingya? Briefing Paper [online] available at: </w:t>
      </w:r>
      <w:hyperlink r:id="rId15" w:history="1">
        <w:r w:rsidRPr="004A2734">
          <w:rPr>
            <w:rStyle w:val="Hyperlink"/>
            <w:rFonts w:cstheme="minorHAnsi"/>
            <w:sz w:val="16"/>
            <w:szCs w:val="16"/>
          </w:rPr>
          <w:t>https://files.institutesi.org/Covid19_The_Rohingya_Briefing_Paper.pdf</w:t>
        </w:r>
      </w:hyperlink>
      <w:r w:rsidRPr="004A2734">
        <w:rPr>
          <w:rFonts w:cstheme="minorHAnsi"/>
          <w:sz w:val="16"/>
          <w:szCs w:val="16"/>
        </w:rPr>
        <w:t xml:space="preserve"> [accessed 24/11/2020]</w:t>
      </w:r>
    </w:p>
  </w:footnote>
  <w:footnote w:id="28">
    <w:p w14:paraId="388065DA"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The Danish Institute for Human Rights (2019) Promoting Freedom of  Religion or Belief and Gender Equality in the Context of the Sustainable Development Goals: A Focus on Access to Justice, Education and Health [online] available at: </w:t>
      </w:r>
      <w:hyperlink r:id="rId16" w:history="1">
        <w:r w:rsidRPr="004A2734">
          <w:rPr>
            <w:rStyle w:val="Hyperlink"/>
            <w:rFonts w:cstheme="minorHAnsi"/>
            <w:sz w:val="16"/>
            <w:szCs w:val="16"/>
          </w:rPr>
          <w:t>https://ec.europa.eu/echo/field-blogs/stories/myanmarburma-ensuring-access-health-care-conflict-victims-rakhine-state_en</w:t>
        </w:r>
      </w:hyperlink>
      <w:r w:rsidRPr="004A2734">
        <w:rPr>
          <w:rFonts w:cstheme="minorHAnsi"/>
          <w:sz w:val="16"/>
          <w:szCs w:val="16"/>
        </w:rPr>
        <w:t xml:space="preserve"> [accessed 24/11/2020];</w:t>
      </w:r>
    </w:p>
  </w:footnote>
  <w:footnote w:id="29">
    <w:p w14:paraId="30D02181"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European Union (2016) ‘Myanmar/Burma: Ensuring access to health care for conflict victims in Rakhine State’ [online] available at: </w:t>
      </w:r>
      <w:hyperlink r:id="rId17" w:history="1">
        <w:r w:rsidRPr="004A2734">
          <w:rPr>
            <w:rStyle w:val="Hyperlink"/>
            <w:rFonts w:cstheme="minorHAnsi"/>
            <w:sz w:val="16"/>
            <w:szCs w:val="16"/>
          </w:rPr>
          <w:t>https://ec.europa.eu/echo/field-blogs/stories/myanmarburma-ensuring-access-health-care-conflict-victims-rakhine-state_en</w:t>
        </w:r>
      </w:hyperlink>
      <w:r w:rsidRPr="004A2734">
        <w:rPr>
          <w:rFonts w:cstheme="minorHAnsi"/>
          <w:sz w:val="16"/>
          <w:szCs w:val="16"/>
        </w:rPr>
        <w:t xml:space="preserve"> [accessed 24/11/2020]; see also; The Danish Institute for Human Rights (2019) Promoting Freedom of  Religion or Belief and Gender Equality in the Context of the Sustainable Development Goals: A Focus on Access to Justice, Education and Health [online] available at: </w:t>
      </w:r>
      <w:hyperlink r:id="rId18" w:history="1">
        <w:r w:rsidRPr="004A2734">
          <w:rPr>
            <w:rStyle w:val="Hyperlink"/>
            <w:rFonts w:cstheme="minorHAnsi"/>
            <w:sz w:val="16"/>
            <w:szCs w:val="16"/>
          </w:rPr>
          <w:t>https://ec.europa.eu/echo/field-blogs/stories/myanmarburma-ensuring-access-health-care-conflict-victims-rakhine-state_en</w:t>
        </w:r>
      </w:hyperlink>
      <w:r w:rsidRPr="004A2734">
        <w:rPr>
          <w:rFonts w:cstheme="minorHAnsi"/>
          <w:sz w:val="16"/>
          <w:szCs w:val="16"/>
        </w:rPr>
        <w:t xml:space="preserve"> [accessed 24/11/2020]; see also Human Rights Watch (2020) “An open Prison without End” Myanmar’s Mass Detention of Rohingya in Rakhine State [online] available at: </w:t>
      </w:r>
      <w:hyperlink r:id="rId19" w:history="1">
        <w:r w:rsidRPr="004A2734">
          <w:rPr>
            <w:rStyle w:val="Hyperlink"/>
            <w:rFonts w:cstheme="minorHAnsi"/>
            <w:sz w:val="16"/>
            <w:szCs w:val="16"/>
          </w:rPr>
          <w:t>https://www.hrw.org/report/2020/10/08/open-prison-without-end/myanmars-mass-detention-rohingya-rakhine-state</w:t>
        </w:r>
      </w:hyperlink>
      <w:r w:rsidRPr="004A2734">
        <w:rPr>
          <w:rFonts w:cstheme="minorHAnsi"/>
          <w:sz w:val="16"/>
          <w:szCs w:val="16"/>
        </w:rPr>
        <w:t xml:space="preserve"> [accessed 24/11/2020]</w:t>
      </w:r>
    </w:p>
  </w:footnote>
  <w:footnote w:id="30">
    <w:p w14:paraId="3BA22C61"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Abrar, C, </w:t>
      </w:r>
      <w:r w:rsidRPr="004A2734">
        <w:rPr>
          <w:rFonts w:cstheme="minorHAnsi"/>
          <w:i/>
          <w:iCs/>
          <w:sz w:val="16"/>
          <w:szCs w:val="16"/>
        </w:rPr>
        <w:t>‘</w:t>
      </w:r>
      <w:r w:rsidRPr="004A2734">
        <w:rPr>
          <w:rFonts w:cstheme="minorHAnsi"/>
          <w:sz w:val="16"/>
          <w:szCs w:val="16"/>
        </w:rPr>
        <w:t xml:space="preserve">COVID-19 and the Rohingya: Hunger, exploitation, hate crimes and xenophobia’ </w:t>
      </w:r>
      <w:r w:rsidRPr="004A2734">
        <w:rPr>
          <w:rFonts w:cstheme="minorHAnsi"/>
          <w:i/>
          <w:iCs/>
          <w:sz w:val="16"/>
          <w:szCs w:val="16"/>
        </w:rPr>
        <w:t xml:space="preserve">The Daily Star </w:t>
      </w:r>
      <w:r w:rsidRPr="004A2734">
        <w:rPr>
          <w:rFonts w:cstheme="minorHAnsi"/>
          <w:sz w:val="16"/>
          <w:szCs w:val="16"/>
        </w:rPr>
        <w:t xml:space="preserve">(14 July 2020) [online] available at: </w:t>
      </w:r>
      <w:hyperlink r:id="rId20" w:history="1">
        <w:r w:rsidRPr="004A2734">
          <w:rPr>
            <w:rStyle w:val="Hyperlink"/>
            <w:rFonts w:cstheme="minorHAnsi"/>
            <w:sz w:val="16"/>
            <w:szCs w:val="16"/>
          </w:rPr>
          <w:t>https://www.thedailystar.net/opinion/news/covid-19-and-the-rohingya-hunger-exploitation-hate-crimes-and-xenophobia-1929817</w:t>
        </w:r>
      </w:hyperlink>
      <w:r w:rsidRPr="004A2734">
        <w:rPr>
          <w:rFonts w:cstheme="minorHAnsi"/>
          <w:sz w:val="16"/>
          <w:szCs w:val="16"/>
        </w:rPr>
        <w:t xml:space="preserve"> [accessed 25/11/2020]</w:t>
      </w:r>
    </w:p>
  </w:footnote>
  <w:footnote w:id="31">
    <w:p w14:paraId="578D48E6"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Burma Human Rights Network (2020) Digital Hate: Free and Fair for Some: Discrimination and Hate Speech in Burma’s General Election Campaign [online] available at: </w:t>
      </w:r>
      <w:hyperlink r:id="rId21" w:history="1">
        <w:r w:rsidRPr="004A2734">
          <w:rPr>
            <w:rStyle w:val="Hyperlink"/>
            <w:rFonts w:cstheme="minorHAnsi"/>
            <w:sz w:val="16"/>
            <w:szCs w:val="16"/>
          </w:rPr>
          <w:t>http://www.bhrn.org.uk/en/press-release/1137-bhrn-launches-new-report-on-discrimination-and-hate-speech-in-burma-s-election-campaign.html</w:t>
        </w:r>
      </w:hyperlink>
      <w:r w:rsidRPr="004A2734">
        <w:rPr>
          <w:rFonts w:cstheme="minorHAnsi"/>
          <w:sz w:val="16"/>
          <w:szCs w:val="16"/>
        </w:rPr>
        <w:t xml:space="preserve"> [accessed 25/11/2020]</w:t>
      </w:r>
    </w:p>
  </w:footnote>
  <w:footnote w:id="32">
    <w:p w14:paraId="62327A37"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International Court of Justice (2020) Application of the Convention on the Prevention and Punishment of the Crime of Genocide (The Gambia v. Myanmar) [online] available at: </w:t>
      </w:r>
      <w:hyperlink r:id="rId22" w:history="1">
        <w:r w:rsidRPr="004A2734">
          <w:rPr>
            <w:rStyle w:val="Hyperlink"/>
            <w:rFonts w:cstheme="minorHAnsi"/>
            <w:sz w:val="16"/>
            <w:szCs w:val="16"/>
          </w:rPr>
          <w:t>https://www.icj-cij.org/public/files/case-related/178/178-20200123-ORD-01-00-EN.pdf</w:t>
        </w:r>
      </w:hyperlink>
      <w:r w:rsidRPr="004A2734">
        <w:rPr>
          <w:rFonts w:cstheme="minorHAnsi"/>
          <w:sz w:val="16"/>
          <w:szCs w:val="16"/>
        </w:rPr>
        <w:t xml:space="preserve"> [accessed 26/11/2020]</w:t>
      </w:r>
    </w:p>
  </w:footnote>
  <w:footnote w:id="33">
    <w:p w14:paraId="458787F1"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See also  United Nations News, ‘UN human rights chief points to ‘textbook example of ethnic cleansing in Myanmar’ (11 September 2017) [online] available at: </w:t>
      </w:r>
      <w:hyperlink r:id="rId23" w:anchor=".WfJRrltSy70" w:history="1">
        <w:r w:rsidRPr="004A2734">
          <w:rPr>
            <w:rStyle w:val="Hyperlink"/>
            <w:rFonts w:cstheme="minorHAnsi"/>
            <w:sz w:val="16"/>
            <w:szCs w:val="16"/>
          </w:rPr>
          <w:t>https://news.un.org/en/story/2017/09/564622-un-human-rights-chief-points-textbook-example-ethnic-cleansing-myanmar#.WfJRrltSy70</w:t>
        </w:r>
      </w:hyperlink>
      <w:r w:rsidRPr="004A2734">
        <w:rPr>
          <w:rFonts w:cstheme="minorHAnsi"/>
          <w:sz w:val="16"/>
          <w:szCs w:val="16"/>
        </w:rPr>
        <w:t xml:space="preserve"> [accessed 24/11/2020]</w:t>
      </w:r>
    </w:p>
  </w:footnote>
  <w:footnote w:id="34">
    <w:p w14:paraId="7B76FAF8"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United Nations Human Rights Council (2019) Detailed Findings of the Independent International Fact-Finding Mission on Myanmar [online] available at: </w:t>
      </w:r>
      <w:hyperlink r:id="rId24" w:history="1">
        <w:r w:rsidRPr="004A2734">
          <w:rPr>
            <w:rStyle w:val="Hyperlink"/>
            <w:rFonts w:cstheme="minorHAnsi"/>
            <w:sz w:val="16"/>
            <w:szCs w:val="16"/>
          </w:rPr>
          <w:t>https://www.ohchr.org/Documents/HRBodies/HRCouncil/FFM-Myanmar/20190916/A_HRC_42_CRP.5.pdf</w:t>
        </w:r>
      </w:hyperlink>
      <w:r w:rsidRPr="004A2734">
        <w:rPr>
          <w:rFonts w:cstheme="minorHAnsi"/>
          <w:sz w:val="16"/>
          <w:szCs w:val="16"/>
        </w:rPr>
        <w:t xml:space="preserve"> [accessed 24/11/2020]</w:t>
      </w:r>
    </w:p>
  </w:footnote>
  <w:footnote w:id="35">
    <w:p w14:paraId="1E86F4CE"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United Nations News, ‘UN human rights chief points to ‘textbook example of ethnic cleansing in Myanmar’ (11 September 2017) [online] available at: </w:t>
      </w:r>
      <w:hyperlink r:id="rId25" w:anchor=".WfJRrltSy70" w:history="1">
        <w:r w:rsidRPr="004A2734">
          <w:rPr>
            <w:rStyle w:val="Hyperlink"/>
            <w:rFonts w:cstheme="minorHAnsi"/>
            <w:sz w:val="16"/>
            <w:szCs w:val="16"/>
          </w:rPr>
          <w:t>https://news.un.org/en/story/2017/09/564622-un-human-rights-chief-points-textbook-example-ethnic-cleansing-myanmar#.WfJRrltSy70</w:t>
        </w:r>
      </w:hyperlink>
      <w:r w:rsidRPr="004A2734">
        <w:rPr>
          <w:rFonts w:cstheme="minorHAnsi"/>
          <w:sz w:val="16"/>
          <w:szCs w:val="16"/>
        </w:rPr>
        <w:t xml:space="preserve"> [accessed 24/11/2020]</w:t>
      </w:r>
    </w:p>
  </w:footnote>
  <w:footnote w:id="36">
    <w:p w14:paraId="35898979" w14:textId="77777777" w:rsidR="00A74947" w:rsidRPr="004A2734" w:rsidRDefault="00A74947" w:rsidP="00A74947">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lang w:val="en-US"/>
        </w:rPr>
        <w:t xml:space="preserve"> van </w:t>
      </w:r>
      <w:proofErr w:type="spellStart"/>
      <w:r w:rsidRPr="004A2734">
        <w:rPr>
          <w:rFonts w:cstheme="minorHAnsi"/>
          <w:sz w:val="16"/>
          <w:szCs w:val="16"/>
          <w:lang w:val="en-US"/>
        </w:rPr>
        <w:t>Waas</w:t>
      </w:r>
      <w:proofErr w:type="spellEnd"/>
      <w:r w:rsidRPr="004A2734">
        <w:rPr>
          <w:rFonts w:cstheme="minorHAnsi"/>
          <w:sz w:val="16"/>
          <w:szCs w:val="16"/>
          <w:lang w:val="en-US"/>
        </w:rPr>
        <w:t xml:space="preserve">, L and </w:t>
      </w:r>
      <w:proofErr w:type="spellStart"/>
      <w:r w:rsidRPr="004A2734">
        <w:rPr>
          <w:rFonts w:cstheme="minorHAnsi"/>
          <w:sz w:val="16"/>
          <w:szCs w:val="16"/>
          <w:lang w:val="en-US"/>
        </w:rPr>
        <w:t>Jaghai</w:t>
      </w:r>
      <w:proofErr w:type="spellEnd"/>
      <w:r w:rsidRPr="004A2734">
        <w:rPr>
          <w:rFonts w:cstheme="minorHAnsi"/>
          <w:sz w:val="16"/>
          <w:szCs w:val="16"/>
          <w:lang w:val="en-US"/>
        </w:rPr>
        <w:t xml:space="preserve">, S (2018) All Citizens are Born Equal but Some are More Equal than Others  [online] available at: </w:t>
      </w:r>
      <w:hyperlink r:id="rId26" w:history="1">
        <w:r w:rsidRPr="004A2734">
          <w:rPr>
            <w:rStyle w:val="Hyperlink"/>
            <w:rFonts w:cstheme="minorHAnsi"/>
            <w:sz w:val="16"/>
            <w:szCs w:val="16"/>
            <w:lang w:val="en-US"/>
          </w:rPr>
          <w:t>https://link.springer.com/article/10.1007/s40802-018-0123-8</w:t>
        </w:r>
      </w:hyperlink>
      <w:r w:rsidRPr="004A2734">
        <w:rPr>
          <w:rFonts w:cstheme="minorHAnsi"/>
          <w:sz w:val="16"/>
          <w:szCs w:val="16"/>
          <w:lang w:val="en-US"/>
        </w:rPr>
        <w:tab/>
      </w:r>
    </w:p>
  </w:footnote>
  <w:footnote w:id="37">
    <w:p w14:paraId="786BB135" w14:textId="77777777" w:rsidR="00A74947" w:rsidRPr="004A2734" w:rsidRDefault="00A74947" w:rsidP="00A74947">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lang w:val="en-US"/>
        </w:rPr>
        <w:t xml:space="preserve"> In most countries where deprivation powers have been expanded in recent years, they have so far been used only against a handful of people, although in the UK the numbers are significantly higher. See for data on the UK van </w:t>
      </w:r>
      <w:proofErr w:type="spellStart"/>
      <w:r w:rsidRPr="004A2734">
        <w:rPr>
          <w:rFonts w:cstheme="minorHAnsi"/>
          <w:sz w:val="16"/>
          <w:szCs w:val="16"/>
          <w:lang w:val="en-US"/>
        </w:rPr>
        <w:t>Waas</w:t>
      </w:r>
      <w:proofErr w:type="spellEnd"/>
      <w:r w:rsidRPr="004A2734">
        <w:rPr>
          <w:rFonts w:cstheme="minorHAnsi"/>
          <w:sz w:val="16"/>
          <w:szCs w:val="16"/>
          <w:lang w:val="en-US"/>
        </w:rPr>
        <w:t xml:space="preserve">, L and </w:t>
      </w:r>
      <w:proofErr w:type="spellStart"/>
      <w:r w:rsidRPr="004A2734">
        <w:rPr>
          <w:rFonts w:cstheme="minorHAnsi"/>
          <w:sz w:val="16"/>
          <w:szCs w:val="16"/>
          <w:lang w:val="en-US"/>
        </w:rPr>
        <w:t>Jaghai</w:t>
      </w:r>
      <w:proofErr w:type="spellEnd"/>
      <w:r w:rsidRPr="004A2734">
        <w:rPr>
          <w:rFonts w:cstheme="minorHAnsi"/>
          <w:sz w:val="16"/>
          <w:szCs w:val="16"/>
          <w:lang w:val="en-US"/>
        </w:rPr>
        <w:t xml:space="preserve">, S (2018) All Citizens are Born Equal but Some are More Equal than Others  [online] available at: </w:t>
      </w:r>
      <w:hyperlink r:id="rId27" w:history="1">
        <w:r w:rsidRPr="004A2734">
          <w:rPr>
            <w:rStyle w:val="Hyperlink"/>
            <w:rFonts w:cstheme="minorHAnsi"/>
            <w:sz w:val="16"/>
            <w:szCs w:val="16"/>
            <w:lang w:val="en-US"/>
          </w:rPr>
          <w:t>https://link.springer.com/article/10.1007/s40802-018-0123-8</w:t>
        </w:r>
      </w:hyperlink>
      <w:r w:rsidRPr="004A2734">
        <w:rPr>
          <w:rFonts w:cstheme="minorHAnsi"/>
          <w:sz w:val="16"/>
          <w:szCs w:val="16"/>
          <w:lang w:val="en-US"/>
        </w:rPr>
        <w:t xml:space="preserve"> at p.420.</w:t>
      </w:r>
    </w:p>
  </w:footnote>
  <w:footnote w:id="38">
    <w:p w14:paraId="567A3EAE" w14:textId="77777777" w:rsidR="00A74947" w:rsidRPr="004A2734" w:rsidRDefault="00A74947" w:rsidP="00A74947">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lang w:val="en-US"/>
        </w:rPr>
        <w:t xml:space="preserve"> Amnesty International (2017) Dangerously Disproportionate, The ever-expanding security state in Europe. </w:t>
      </w:r>
      <w:hyperlink r:id="rId28" w:history="1">
        <w:r w:rsidRPr="004A2734">
          <w:rPr>
            <w:rStyle w:val="Hyperlink"/>
            <w:rFonts w:cstheme="minorHAnsi"/>
            <w:sz w:val="16"/>
            <w:szCs w:val="16"/>
            <w:lang w:val="en-US"/>
          </w:rPr>
          <w:t>https://www.amnesty.org/download/documents/eur0153422017english.pdf</w:t>
        </w:r>
      </w:hyperlink>
      <w:r w:rsidRPr="004A2734">
        <w:rPr>
          <w:rFonts w:cstheme="minorHAnsi"/>
          <w:sz w:val="16"/>
          <w:szCs w:val="16"/>
          <w:lang w:val="en-US"/>
        </w:rPr>
        <w:t xml:space="preserve">. </w:t>
      </w:r>
    </w:p>
  </w:footnote>
  <w:footnote w:id="39">
    <w:p w14:paraId="2AC37FF0" w14:textId="77777777" w:rsidR="00A74947" w:rsidRPr="004A2734" w:rsidRDefault="00A74947" w:rsidP="00A74947">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lang w:val="en-US"/>
        </w:rPr>
        <w:t xml:space="preserve"> Report of the Special Rapporteur on contemporary forms of racism, racial discrimination, xenophobia and related intolerance, 25 April 2018, para. 56.</w:t>
      </w:r>
    </w:p>
  </w:footnote>
  <w:footnote w:id="40">
    <w:p w14:paraId="290FF527" w14:textId="77777777" w:rsidR="00A74947" w:rsidRPr="004A2734" w:rsidRDefault="00A74947" w:rsidP="00A74947">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lang w:val="en-US"/>
        </w:rPr>
        <w:t xml:space="preserve"> See the Joint Statement by 125 Civil Society </w:t>
      </w:r>
      <w:proofErr w:type="spellStart"/>
      <w:r w:rsidRPr="004A2734">
        <w:rPr>
          <w:rFonts w:cstheme="minorHAnsi"/>
          <w:sz w:val="16"/>
          <w:szCs w:val="16"/>
          <w:lang w:val="en-US"/>
        </w:rPr>
        <w:t>Organisations</w:t>
      </w:r>
      <w:proofErr w:type="spellEnd"/>
      <w:r w:rsidRPr="004A2734">
        <w:rPr>
          <w:rFonts w:cstheme="minorHAnsi"/>
          <w:sz w:val="16"/>
          <w:szCs w:val="16"/>
          <w:lang w:val="en-US"/>
        </w:rPr>
        <w:t xml:space="preserve"> condemning the exclusion of 1.9 million people from the Assam NRC and call for urgent action to protect everyone’s right to a nationality, issued on 5 September 2019, </w:t>
      </w:r>
      <w:hyperlink r:id="rId29" w:history="1">
        <w:r w:rsidRPr="004A2734">
          <w:rPr>
            <w:rStyle w:val="Hyperlink"/>
            <w:rFonts w:cstheme="minorHAnsi"/>
            <w:sz w:val="16"/>
            <w:szCs w:val="16"/>
            <w:lang w:val="en-US"/>
          </w:rPr>
          <w:t>https://www.institutesi.org/news/cso-joint-statement-on-assam-nrc</w:t>
        </w:r>
      </w:hyperlink>
      <w:r w:rsidRPr="004A2734">
        <w:rPr>
          <w:rFonts w:cstheme="minorHAnsi"/>
          <w:sz w:val="16"/>
          <w:szCs w:val="16"/>
          <w:lang w:val="en-US"/>
        </w:rPr>
        <w:t>.</w:t>
      </w:r>
    </w:p>
  </w:footnote>
  <w:footnote w:id="41">
    <w:p w14:paraId="643CA046" w14:textId="77777777" w:rsidR="00A74947" w:rsidRPr="004A2734" w:rsidRDefault="00A74947" w:rsidP="00A74947">
      <w:pPr>
        <w:pStyle w:val="FootnoteText"/>
        <w:rPr>
          <w:rFonts w:cstheme="minorHAnsi"/>
          <w:sz w:val="16"/>
          <w:szCs w:val="16"/>
          <w:lang w:val="en-US"/>
        </w:rPr>
      </w:pPr>
      <w:r w:rsidRPr="004A2734">
        <w:rPr>
          <w:rStyle w:val="FootnoteReference"/>
          <w:rFonts w:cstheme="minorHAnsi"/>
          <w:sz w:val="16"/>
          <w:szCs w:val="16"/>
        </w:rPr>
        <w:footnoteRef/>
      </w:r>
      <w:r w:rsidRPr="004A2734">
        <w:rPr>
          <w:rFonts w:cstheme="minorHAnsi"/>
          <w:sz w:val="16"/>
          <w:szCs w:val="16"/>
          <w:lang w:val="en-US"/>
        </w:rPr>
        <w:t xml:space="preserve"> See the report “Unmaking Americans”, published by Open Society Justice Initiative on 17 September 2019, </w:t>
      </w:r>
      <w:hyperlink r:id="rId30" w:history="1">
        <w:r w:rsidRPr="004A2734">
          <w:rPr>
            <w:rStyle w:val="Hyperlink"/>
            <w:rFonts w:cstheme="minorHAnsi"/>
            <w:sz w:val="16"/>
            <w:szCs w:val="16"/>
            <w:lang w:val="en-US"/>
          </w:rPr>
          <w:t>https://www.justiceinitiative.org/uploads/08cbf518-8a19-4601-897b-7187f04cea27/unmaking-americans-insecure-citizenship-in-the-united-states-fact-sheet-20190916.pdf</w:t>
        </w:r>
      </w:hyperlink>
      <w:r w:rsidRPr="004A2734">
        <w:rPr>
          <w:rFonts w:cstheme="minorHAnsi"/>
          <w:sz w:val="16"/>
          <w:szCs w:val="16"/>
          <w:lang w:val="en-US"/>
        </w:rPr>
        <w:t>.</w:t>
      </w:r>
    </w:p>
  </w:footnote>
  <w:footnote w:id="42">
    <w:p w14:paraId="04DD85BC" w14:textId="77777777" w:rsidR="00A74947" w:rsidRPr="004A2734" w:rsidRDefault="00A74947" w:rsidP="00A74947">
      <w:pPr>
        <w:spacing w:after="0" w:line="240" w:lineRule="auto"/>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See </w:t>
      </w:r>
      <w:r w:rsidRPr="004A2734">
        <w:rPr>
          <w:rFonts w:eastAsia="Times New Roman" w:cstheme="minorHAnsi"/>
          <w:color w:val="000000"/>
          <w:sz w:val="16"/>
          <w:szCs w:val="16"/>
        </w:rPr>
        <w:t>article 14(4) Dutch Nationality Act and </w:t>
      </w:r>
      <w:hyperlink r:id="rId31" w:history="1">
        <w:r w:rsidRPr="004A2734">
          <w:rPr>
            <w:rStyle w:val="Hyperlink"/>
            <w:rFonts w:eastAsia="Times New Roman" w:cstheme="minorHAnsi"/>
            <w:sz w:val="16"/>
            <w:szCs w:val="16"/>
          </w:rPr>
          <w:t>https://zoek.officielebekendmakingen.nl/stcrt-2017-13023.html</w:t>
        </w:r>
      </w:hyperlink>
      <w:r w:rsidRPr="004A2734">
        <w:rPr>
          <w:rFonts w:eastAsia="Times New Roman" w:cstheme="minorHAnsi"/>
          <w:color w:val="000000"/>
          <w:sz w:val="16"/>
          <w:szCs w:val="16"/>
        </w:rPr>
        <w:t> (government gazette).</w:t>
      </w:r>
    </w:p>
  </w:footnote>
  <w:footnote w:id="43">
    <w:p w14:paraId="41602AC7" w14:textId="77777777" w:rsidR="00A74947" w:rsidRPr="004A2734" w:rsidRDefault="00A74947" w:rsidP="00A74947">
      <w:pPr>
        <w:spacing w:after="0" w:line="240" w:lineRule="auto"/>
        <w:rPr>
          <w:rFonts w:eastAsia="Times New Roman" w:cstheme="minorHAnsi"/>
          <w:sz w:val="16"/>
          <w:szCs w:val="16"/>
          <w:lang w:val="en-US" w:eastAsia="zh-CN"/>
        </w:rPr>
      </w:pPr>
      <w:r w:rsidRPr="004A2734">
        <w:rPr>
          <w:rStyle w:val="FootnoteReference"/>
          <w:rFonts w:cstheme="minorHAnsi"/>
          <w:sz w:val="16"/>
          <w:szCs w:val="16"/>
        </w:rPr>
        <w:footnoteRef/>
      </w:r>
      <w:r w:rsidRPr="004A2734">
        <w:rPr>
          <w:rFonts w:cstheme="minorHAnsi"/>
          <w:sz w:val="16"/>
          <w:szCs w:val="16"/>
        </w:rPr>
        <w:t xml:space="preserve"> </w:t>
      </w:r>
      <w:r w:rsidRPr="004A2734">
        <w:rPr>
          <w:rFonts w:cstheme="minorHAnsi"/>
          <w:sz w:val="16"/>
          <w:szCs w:val="16"/>
          <w:lang w:val="en-US"/>
        </w:rPr>
        <w:t xml:space="preserve">Amicus Brief presented by the UN Special Rapporteur on contemporary forms of racism, racial discrimination, xenophobia and related intolerance before the Dutch Immigration and </w:t>
      </w:r>
      <w:proofErr w:type="spellStart"/>
      <w:r w:rsidRPr="004A2734">
        <w:rPr>
          <w:rFonts w:cstheme="minorHAnsi"/>
          <w:sz w:val="16"/>
          <w:szCs w:val="16"/>
          <w:lang w:val="en-US"/>
        </w:rPr>
        <w:t>Naturalisation</w:t>
      </w:r>
      <w:proofErr w:type="spellEnd"/>
      <w:r w:rsidRPr="004A2734">
        <w:rPr>
          <w:rFonts w:cstheme="minorHAnsi"/>
          <w:sz w:val="16"/>
          <w:szCs w:val="16"/>
          <w:lang w:val="en-US"/>
        </w:rPr>
        <w:t xml:space="preserve"> Service. Available at:</w:t>
      </w:r>
      <w:r w:rsidRPr="004A2734">
        <w:rPr>
          <w:rFonts w:eastAsia="Times New Roman" w:cstheme="minorHAnsi"/>
          <w:sz w:val="16"/>
          <w:szCs w:val="16"/>
          <w:lang w:val="en-US" w:eastAsia="zh-CN"/>
        </w:rPr>
        <w:t xml:space="preserve"> </w:t>
      </w:r>
      <w:hyperlink r:id="rId32" w:history="1">
        <w:r w:rsidRPr="004A2734">
          <w:rPr>
            <w:rStyle w:val="Hyperlink"/>
            <w:rFonts w:eastAsia="Times New Roman" w:cstheme="minorHAnsi"/>
            <w:sz w:val="16"/>
            <w:szCs w:val="16"/>
          </w:rPr>
          <w:t>https://www.ohchr.org/Documents/Issues/Racism/SR/Amicus/DutchImmigration_Amicus.pdf</w:t>
        </w:r>
      </w:hyperlink>
      <w:r w:rsidRPr="004A2734">
        <w:rPr>
          <w:rFonts w:eastAsia="Times New Roman" w:cstheme="minorHAnsi"/>
          <w:sz w:val="16"/>
          <w:szCs w:val="16"/>
          <w:lang w:val="en-US" w:eastAsia="zh-CN"/>
        </w:rPr>
        <w:t>, p. 21.</w:t>
      </w:r>
    </w:p>
  </w:footnote>
  <w:footnote w:id="44">
    <w:p w14:paraId="2155F7F3"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Choudhury (2017). See also, in respect of the Netherlands and Belgium, Amnesty (2017).</w:t>
      </w:r>
    </w:p>
  </w:footnote>
  <w:footnote w:id="45">
    <w:p w14:paraId="7A15EF14" w14:textId="77777777" w:rsidR="00A74947" w:rsidRPr="004A2734" w:rsidRDefault="00A74947" w:rsidP="00A74947">
      <w:pPr>
        <w:spacing w:after="0" w:line="240" w:lineRule="auto"/>
        <w:rPr>
          <w:rFonts w:eastAsia="Times New Roman" w:cstheme="minorHAnsi"/>
          <w:sz w:val="16"/>
          <w:szCs w:val="16"/>
          <w:lang w:eastAsia="zh-CN"/>
        </w:rPr>
      </w:pPr>
      <w:r w:rsidRPr="004A2734">
        <w:rPr>
          <w:rStyle w:val="FootnoteReference"/>
          <w:rFonts w:cstheme="minorHAnsi"/>
          <w:sz w:val="16"/>
          <w:szCs w:val="16"/>
        </w:rPr>
        <w:footnoteRef/>
      </w:r>
      <w:r w:rsidRPr="004A2734">
        <w:rPr>
          <w:rFonts w:cstheme="minorHAnsi"/>
          <w:sz w:val="16"/>
          <w:szCs w:val="16"/>
        </w:rPr>
        <w:t xml:space="preserve"> </w:t>
      </w:r>
      <w:hyperlink r:id="rId33" w:history="1">
        <w:r w:rsidRPr="004A2734">
          <w:rPr>
            <w:rStyle w:val="Hyperlink"/>
            <w:rFonts w:eastAsia="Times New Roman" w:cstheme="minorHAnsi"/>
            <w:sz w:val="16"/>
            <w:szCs w:val="16"/>
          </w:rPr>
          <w:t>https://www.institutesi.org/year-of-action-resources/principles-on-deprivation-of-nationality</w:t>
        </w:r>
      </w:hyperlink>
      <w:r w:rsidRPr="004A2734">
        <w:rPr>
          <w:rFonts w:eastAsia="Times New Roman" w:cstheme="minorHAnsi"/>
          <w:sz w:val="16"/>
          <w:szCs w:val="16"/>
        </w:rPr>
        <w:t xml:space="preserve">. </w:t>
      </w:r>
    </w:p>
  </w:footnote>
  <w:footnote w:id="46">
    <w:p w14:paraId="3681CF3F" w14:textId="77777777" w:rsidR="00A74947" w:rsidRPr="004A2734" w:rsidRDefault="00A74947" w:rsidP="00A74947">
      <w:pPr>
        <w:pStyle w:val="EndnoteText"/>
        <w:rPr>
          <w:rFonts w:cstheme="minorHAnsi"/>
          <w:sz w:val="16"/>
          <w:szCs w:val="16"/>
        </w:rPr>
      </w:pPr>
      <w:r w:rsidRPr="004A2734">
        <w:rPr>
          <w:rStyle w:val="FootnoteReference"/>
          <w:rFonts w:eastAsia="Times New Roman" w:cstheme="minorHAnsi"/>
          <w:sz w:val="16"/>
          <w:szCs w:val="16"/>
        </w:rPr>
        <w:footnoteRef/>
      </w:r>
      <w:r w:rsidRPr="004A2734">
        <w:rPr>
          <w:rFonts w:eastAsia="Times New Roman" w:cstheme="minorHAnsi"/>
          <w:sz w:val="16"/>
          <w:szCs w:val="16"/>
        </w:rPr>
        <w:t xml:space="preserve"> </w:t>
      </w:r>
      <w:r w:rsidRPr="004A2734">
        <w:rPr>
          <w:rFonts w:eastAsia="Times New Roman" w:cstheme="minorHAnsi"/>
          <w:i/>
          <w:iCs/>
          <w:sz w:val="16"/>
          <w:szCs w:val="16"/>
        </w:rPr>
        <w:t>Majoritarian Consolidation: Chronicling the Undermining of the Secular Republic</w:t>
      </w:r>
      <w:r w:rsidRPr="004A2734">
        <w:rPr>
          <w:rFonts w:eastAsia="Times New Roman" w:cstheme="minorHAnsi"/>
          <w:sz w:val="16"/>
          <w:szCs w:val="16"/>
        </w:rPr>
        <w:t>, Citizens Against Hate, March 2020.</w:t>
      </w:r>
    </w:p>
  </w:footnote>
  <w:footnote w:id="47">
    <w:p w14:paraId="2CF87CD4" w14:textId="77777777" w:rsidR="00A74947" w:rsidRPr="004A2734" w:rsidRDefault="00A74947" w:rsidP="00A74947">
      <w:pPr>
        <w:pStyle w:val="FootnoteText"/>
        <w:rPr>
          <w:rFonts w:cstheme="minorHAnsi"/>
          <w:sz w:val="16"/>
          <w:szCs w:val="16"/>
        </w:rPr>
      </w:pPr>
      <w:r w:rsidRPr="004A2734">
        <w:rPr>
          <w:rStyle w:val="FootnoteReference"/>
          <w:rFonts w:eastAsia="Times New Roman" w:cstheme="minorHAnsi"/>
          <w:sz w:val="16"/>
          <w:szCs w:val="16"/>
        </w:rPr>
        <w:footnoteRef/>
      </w:r>
      <w:r w:rsidRPr="004A2734">
        <w:rPr>
          <w:rFonts w:eastAsia="Times New Roman" w:cstheme="minorHAnsi"/>
          <w:sz w:val="16"/>
          <w:szCs w:val="16"/>
        </w:rPr>
        <w:t xml:space="preserve"> Human Rights Watch, </w:t>
      </w:r>
      <w:r w:rsidRPr="004A2734">
        <w:rPr>
          <w:rFonts w:eastAsia="Times New Roman" w:cstheme="minorHAnsi"/>
          <w:i/>
          <w:iCs/>
          <w:sz w:val="16"/>
          <w:szCs w:val="16"/>
        </w:rPr>
        <w:t xml:space="preserve">India: Citizenship Bill Discriminates Against Muslims, </w:t>
      </w:r>
      <w:r w:rsidRPr="004A2734">
        <w:rPr>
          <w:rFonts w:eastAsia="Times New Roman" w:cstheme="minorHAnsi"/>
          <w:sz w:val="16"/>
          <w:szCs w:val="16"/>
        </w:rPr>
        <w:t>Dec. 2019.</w:t>
      </w:r>
    </w:p>
  </w:footnote>
  <w:footnote w:id="48">
    <w:p w14:paraId="53D99BCB" w14:textId="77777777" w:rsidR="00A74947" w:rsidRPr="004A2734" w:rsidRDefault="00A74947" w:rsidP="00A74947">
      <w:pPr>
        <w:pStyle w:val="FootnoteText"/>
        <w:rPr>
          <w:rFonts w:cstheme="minorHAnsi"/>
          <w:sz w:val="16"/>
          <w:szCs w:val="16"/>
        </w:rPr>
      </w:pPr>
      <w:r w:rsidRPr="004A2734">
        <w:rPr>
          <w:rStyle w:val="FootnoteReference"/>
          <w:rFonts w:eastAsia="Times New Roman" w:cstheme="minorHAnsi"/>
          <w:sz w:val="16"/>
          <w:szCs w:val="16"/>
        </w:rPr>
        <w:footnoteRef/>
      </w:r>
      <w:r w:rsidRPr="004A2734">
        <w:rPr>
          <w:rFonts w:eastAsia="Times New Roman" w:cstheme="minorHAnsi"/>
          <w:sz w:val="16"/>
          <w:szCs w:val="16"/>
        </w:rPr>
        <w:t xml:space="preserve"> </w:t>
      </w:r>
      <w:hyperlink r:id="rId34">
        <w:r w:rsidRPr="004A2734">
          <w:rPr>
            <w:rStyle w:val="Hyperlink"/>
            <w:rFonts w:eastAsia="Times New Roman" w:cstheme="minorHAnsi"/>
            <w:sz w:val="16"/>
            <w:szCs w:val="16"/>
          </w:rPr>
          <w:t>https://www.vox.com/future-perfect/2019/9/17/20861427/india-assam-citizenship-muslim-detention-camps</w:t>
        </w:r>
      </w:hyperlink>
    </w:p>
  </w:footnote>
  <w:footnote w:id="49">
    <w:p w14:paraId="5E3A9F39" w14:textId="77777777" w:rsidR="00A74947" w:rsidRPr="004A2734" w:rsidRDefault="00A74947" w:rsidP="00A74947">
      <w:pPr>
        <w:pStyle w:val="FootnoteText"/>
        <w:rPr>
          <w:rFonts w:cstheme="minorHAnsi"/>
          <w:i/>
          <w:iCs/>
          <w:sz w:val="16"/>
          <w:szCs w:val="16"/>
        </w:rPr>
      </w:pPr>
      <w:r w:rsidRPr="004A2734">
        <w:rPr>
          <w:rStyle w:val="FootnoteReference"/>
          <w:rFonts w:eastAsia="Times New Roman" w:cstheme="minorHAnsi"/>
          <w:sz w:val="16"/>
          <w:szCs w:val="16"/>
        </w:rPr>
        <w:footnoteRef/>
      </w:r>
      <w:r w:rsidRPr="004A2734">
        <w:rPr>
          <w:rFonts w:eastAsia="Times New Roman" w:cstheme="minorHAnsi"/>
          <w:sz w:val="16"/>
          <w:szCs w:val="16"/>
        </w:rPr>
        <w:t xml:space="preserve"> </w:t>
      </w:r>
      <w:r w:rsidRPr="004A2734">
        <w:rPr>
          <w:rFonts w:eastAsia="Times New Roman" w:cstheme="minorHAnsi"/>
          <w:i/>
          <w:iCs/>
          <w:sz w:val="16"/>
          <w:szCs w:val="16"/>
        </w:rPr>
        <w:t xml:space="preserve">Shoot the Traitors, </w:t>
      </w:r>
      <w:r w:rsidRPr="004A2734">
        <w:rPr>
          <w:rFonts w:eastAsia="Times New Roman" w:cstheme="minorHAnsi"/>
          <w:sz w:val="16"/>
          <w:szCs w:val="16"/>
        </w:rPr>
        <w:t>Human Rights Watch, Apr. 2020.</w:t>
      </w:r>
    </w:p>
  </w:footnote>
  <w:footnote w:id="50">
    <w:p w14:paraId="09FB3DCE"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Institute on Statelessness and Inclusion, </w:t>
      </w:r>
      <w:r w:rsidRPr="004A2734">
        <w:rPr>
          <w:rFonts w:cstheme="minorHAnsi"/>
          <w:i/>
          <w:iCs/>
          <w:sz w:val="16"/>
          <w:szCs w:val="16"/>
        </w:rPr>
        <w:t xml:space="preserve">Stateless in a Global Pandemic. Impact Report </w:t>
      </w:r>
      <w:r w:rsidRPr="004A2734">
        <w:rPr>
          <w:rFonts w:cstheme="minorHAnsi"/>
          <w:sz w:val="16"/>
          <w:szCs w:val="16"/>
        </w:rPr>
        <w:t xml:space="preserve">(2020), available at </w:t>
      </w:r>
      <w:hyperlink r:id="rId35" w:history="1">
        <w:r w:rsidRPr="004A2734">
          <w:rPr>
            <w:rStyle w:val="Hyperlink"/>
            <w:rFonts w:cstheme="minorHAnsi"/>
            <w:sz w:val="16"/>
            <w:szCs w:val="16"/>
          </w:rPr>
          <w:t>https://files.institutesi.org/Covid19_Stateless_Impact_Report.pdf</w:t>
        </w:r>
      </w:hyperlink>
      <w:r w:rsidRPr="004A2734">
        <w:rPr>
          <w:rFonts w:cstheme="minorHAnsi"/>
          <w:sz w:val="16"/>
          <w:szCs w:val="16"/>
        </w:rPr>
        <w:t xml:space="preserve">. </w:t>
      </w:r>
    </w:p>
  </w:footnote>
  <w:footnote w:id="51">
    <w:p w14:paraId="067EB120"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Citizens Against Hate, ‘Hit Job: Using COVID-19 To deepen Anti-Muslim Bias and Weaken Muslim Voice’ (May 2020).</w:t>
      </w:r>
    </w:p>
  </w:footnote>
  <w:footnote w:id="52">
    <w:p w14:paraId="455DCF53" w14:textId="77777777" w:rsidR="00A74947" w:rsidRPr="004A2734" w:rsidRDefault="00A74947" w:rsidP="00A74947">
      <w:pPr>
        <w:pStyle w:val="FootnoteText"/>
        <w:rPr>
          <w:rFonts w:cstheme="minorHAnsi"/>
          <w:sz w:val="16"/>
          <w:szCs w:val="16"/>
        </w:rPr>
      </w:pPr>
      <w:r w:rsidRPr="004A2734">
        <w:rPr>
          <w:rStyle w:val="FootnoteReference"/>
          <w:rFonts w:cstheme="minorHAnsi"/>
          <w:sz w:val="16"/>
          <w:szCs w:val="16"/>
        </w:rPr>
        <w:footnoteRef/>
      </w:r>
      <w:r w:rsidRPr="004A2734">
        <w:rPr>
          <w:rFonts w:cstheme="minorHAnsi"/>
          <w:sz w:val="16"/>
          <w:szCs w:val="16"/>
        </w:rPr>
        <w:t xml:space="preserve"> H. Regan, ‘India’s Muslims feel targeted by </w:t>
      </w:r>
      <w:proofErr w:type="spellStart"/>
      <w:r w:rsidRPr="004A2734">
        <w:rPr>
          <w:rFonts w:cstheme="minorHAnsi"/>
          <w:sz w:val="16"/>
          <w:szCs w:val="16"/>
        </w:rPr>
        <w:t>rumors</w:t>
      </w:r>
      <w:proofErr w:type="spellEnd"/>
      <w:r w:rsidRPr="004A2734">
        <w:rPr>
          <w:rFonts w:cstheme="minorHAnsi"/>
          <w:sz w:val="16"/>
          <w:szCs w:val="16"/>
        </w:rPr>
        <w:t xml:space="preserve"> they’re spreading Covid-19’ CNN (24 April 2020), available at https://edition.cnn.com/2020/04/23/asia/ </w:t>
      </w:r>
      <w:proofErr w:type="spellStart"/>
      <w:r w:rsidRPr="004A2734">
        <w:rPr>
          <w:rFonts w:cstheme="minorHAnsi"/>
          <w:sz w:val="16"/>
          <w:szCs w:val="16"/>
        </w:rPr>
        <w:t>india</w:t>
      </w:r>
      <w:proofErr w:type="spellEnd"/>
      <w:r w:rsidRPr="004A2734">
        <w:rPr>
          <w:rFonts w:cstheme="minorHAnsi"/>
          <w:sz w:val="16"/>
          <w:szCs w:val="16"/>
        </w:rPr>
        <w:t>-coronavirus-</w:t>
      </w:r>
      <w:proofErr w:type="spellStart"/>
      <w:r w:rsidRPr="004A2734">
        <w:rPr>
          <w:rFonts w:cstheme="minorHAnsi"/>
          <w:sz w:val="16"/>
          <w:szCs w:val="16"/>
        </w:rPr>
        <w:t>muslim</w:t>
      </w:r>
      <w:proofErr w:type="spellEnd"/>
      <w:r w:rsidRPr="004A2734">
        <w:rPr>
          <w:rFonts w:cstheme="minorHAnsi"/>
          <w:sz w:val="16"/>
          <w:szCs w:val="16"/>
        </w:rPr>
        <w:t>-targeted-</w:t>
      </w:r>
      <w:proofErr w:type="spellStart"/>
      <w:r w:rsidRPr="004A2734">
        <w:rPr>
          <w:rFonts w:cstheme="minorHAnsi"/>
          <w:sz w:val="16"/>
          <w:szCs w:val="16"/>
        </w:rPr>
        <w:t>intl</w:t>
      </w:r>
      <w:proofErr w:type="spellEnd"/>
      <w:r w:rsidRPr="004A2734">
        <w:rPr>
          <w:rFonts w:cstheme="minorHAnsi"/>
          <w:sz w:val="16"/>
          <w:szCs w:val="16"/>
        </w:rPr>
        <w:t>-</w:t>
      </w:r>
      <w:proofErr w:type="spellStart"/>
      <w:r w:rsidRPr="004A2734">
        <w:rPr>
          <w:rFonts w:cstheme="minorHAnsi"/>
          <w:sz w:val="16"/>
          <w:szCs w:val="16"/>
        </w:rPr>
        <w:t>hnk</w:t>
      </w:r>
      <w:proofErr w:type="spellEnd"/>
      <w:r w:rsidRPr="004A2734">
        <w:rPr>
          <w:rFonts w:cstheme="minorHAnsi"/>
          <w:sz w:val="16"/>
          <w:szCs w:val="16"/>
        </w:rPr>
        <w:t xml:space="preserve">/index.html.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733D"/>
    <w:multiLevelType w:val="hybridMultilevel"/>
    <w:tmpl w:val="58D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A66FC"/>
    <w:multiLevelType w:val="hybridMultilevel"/>
    <w:tmpl w:val="098E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109F4"/>
    <w:multiLevelType w:val="hybridMultilevel"/>
    <w:tmpl w:val="1A1AC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77128"/>
    <w:multiLevelType w:val="hybridMultilevel"/>
    <w:tmpl w:val="6EE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F4C62"/>
    <w:multiLevelType w:val="hybridMultilevel"/>
    <w:tmpl w:val="331C14D6"/>
    <w:lvl w:ilvl="0" w:tplc="A640693C">
      <w:start w:val="1"/>
      <w:numFmt w:val="decimal"/>
      <w:lvlText w:val="%1."/>
      <w:lvlJc w:val="left"/>
      <w:pPr>
        <w:ind w:left="720" w:hanging="360"/>
      </w:pPr>
      <w:rPr>
        <w:b w:val="0"/>
        <w:bCs w:val="0"/>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D00B3"/>
    <w:multiLevelType w:val="hybridMultilevel"/>
    <w:tmpl w:val="11DA307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12770"/>
    <w:multiLevelType w:val="hybridMultilevel"/>
    <w:tmpl w:val="48F08AC0"/>
    <w:lvl w:ilvl="0" w:tplc="136A4E8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06103"/>
    <w:multiLevelType w:val="hybridMultilevel"/>
    <w:tmpl w:val="CE8668DC"/>
    <w:lvl w:ilvl="0" w:tplc="5FFCE2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957F6"/>
    <w:multiLevelType w:val="hybridMultilevel"/>
    <w:tmpl w:val="B1325738"/>
    <w:lvl w:ilvl="0" w:tplc="32684CB0">
      <w:start w:val="1"/>
      <w:numFmt w:val="decimal"/>
      <w:lvlText w:val="%1."/>
      <w:lvlJc w:val="left"/>
      <w:pPr>
        <w:ind w:left="720" w:hanging="360"/>
      </w:pPr>
      <w:rPr>
        <w:b w:val="0"/>
        <w:bCs w:val="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DD23701"/>
    <w:multiLevelType w:val="hybridMultilevel"/>
    <w:tmpl w:val="26E0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1F3E4D"/>
    <w:rsid w:val="00005DDC"/>
    <w:rsid w:val="00033CA5"/>
    <w:rsid w:val="00080D94"/>
    <w:rsid w:val="000D0AF7"/>
    <w:rsid w:val="000F8DE9"/>
    <w:rsid w:val="00104B46"/>
    <w:rsid w:val="00111203"/>
    <w:rsid w:val="001161C9"/>
    <w:rsid w:val="00125B92"/>
    <w:rsid w:val="00125C8B"/>
    <w:rsid w:val="001267A5"/>
    <w:rsid w:val="001500FB"/>
    <w:rsid w:val="001A0DAB"/>
    <w:rsid w:val="001A0DDD"/>
    <w:rsid w:val="001A79C9"/>
    <w:rsid w:val="001B4263"/>
    <w:rsid w:val="001B619B"/>
    <w:rsid w:val="00202220"/>
    <w:rsid w:val="00220173"/>
    <w:rsid w:val="00222646"/>
    <w:rsid w:val="00234C98"/>
    <w:rsid w:val="002718CA"/>
    <w:rsid w:val="00274B72"/>
    <w:rsid w:val="00275C0B"/>
    <w:rsid w:val="002764F8"/>
    <w:rsid w:val="00276A27"/>
    <w:rsid w:val="002B6E8F"/>
    <w:rsid w:val="002C0225"/>
    <w:rsid w:val="00312B2F"/>
    <w:rsid w:val="00335D33"/>
    <w:rsid w:val="003409EB"/>
    <w:rsid w:val="00352DAF"/>
    <w:rsid w:val="003942F9"/>
    <w:rsid w:val="003A4108"/>
    <w:rsid w:val="003D779F"/>
    <w:rsid w:val="003E2523"/>
    <w:rsid w:val="00420F35"/>
    <w:rsid w:val="004221CB"/>
    <w:rsid w:val="004673F9"/>
    <w:rsid w:val="004684A0"/>
    <w:rsid w:val="00483003"/>
    <w:rsid w:val="004A2734"/>
    <w:rsid w:val="004C7320"/>
    <w:rsid w:val="004D4570"/>
    <w:rsid w:val="005637C6"/>
    <w:rsid w:val="0056404D"/>
    <w:rsid w:val="00565351"/>
    <w:rsid w:val="005A5891"/>
    <w:rsid w:val="005A5A8C"/>
    <w:rsid w:val="005D1105"/>
    <w:rsid w:val="005F3AE6"/>
    <w:rsid w:val="005F4781"/>
    <w:rsid w:val="00632491"/>
    <w:rsid w:val="006772F4"/>
    <w:rsid w:val="0068460B"/>
    <w:rsid w:val="006A2494"/>
    <w:rsid w:val="006C2915"/>
    <w:rsid w:val="006C700B"/>
    <w:rsid w:val="006D514A"/>
    <w:rsid w:val="006E6DC3"/>
    <w:rsid w:val="006F782D"/>
    <w:rsid w:val="00702C3E"/>
    <w:rsid w:val="007151AE"/>
    <w:rsid w:val="00770560"/>
    <w:rsid w:val="007955D8"/>
    <w:rsid w:val="007A05B0"/>
    <w:rsid w:val="007B6C13"/>
    <w:rsid w:val="007B70F5"/>
    <w:rsid w:val="00812B5C"/>
    <w:rsid w:val="00812D82"/>
    <w:rsid w:val="00877F90"/>
    <w:rsid w:val="0088362D"/>
    <w:rsid w:val="008A3426"/>
    <w:rsid w:val="008B0D5F"/>
    <w:rsid w:val="008C0758"/>
    <w:rsid w:val="008D73B5"/>
    <w:rsid w:val="00927A33"/>
    <w:rsid w:val="009764D6"/>
    <w:rsid w:val="00981C70"/>
    <w:rsid w:val="00991577"/>
    <w:rsid w:val="00992944"/>
    <w:rsid w:val="009C04F5"/>
    <w:rsid w:val="009E0C49"/>
    <w:rsid w:val="00A002A6"/>
    <w:rsid w:val="00A04EAF"/>
    <w:rsid w:val="00A31506"/>
    <w:rsid w:val="00A37ABD"/>
    <w:rsid w:val="00A45367"/>
    <w:rsid w:val="00A55523"/>
    <w:rsid w:val="00A721A5"/>
    <w:rsid w:val="00A74947"/>
    <w:rsid w:val="00A93346"/>
    <w:rsid w:val="00AD385F"/>
    <w:rsid w:val="00B0567E"/>
    <w:rsid w:val="00B061DD"/>
    <w:rsid w:val="00B64186"/>
    <w:rsid w:val="00B662D2"/>
    <w:rsid w:val="00B90562"/>
    <w:rsid w:val="00B967C9"/>
    <w:rsid w:val="00BA371D"/>
    <w:rsid w:val="00BA3B60"/>
    <w:rsid w:val="00BC319F"/>
    <w:rsid w:val="00BD1298"/>
    <w:rsid w:val="00BF409A"/>
    <w:rsid w:val="00C19C59"/>
    <w:rsid w:val="00C32E98"/>
    <w:rsid w:val="00C474E2"/>
    <w:rsid w:val="00C47A6C"/>
    <w:rsid w:val="00C55F77"/>
    <w:rsid w:val="00C5695D"/>
    <w:rsid w:val="00C8CBF2"/>
    <w:rsid w:val="00CA553B"/>
    <w:rsid w:val="00CA6170"/>
    <w:rsid w:val="00CB704E"/>
    <w:rsid w:val="00CC6F21"/>
    <w:rsid w:val="00CE3EF7"/>
    <w:rsid w:val="00CF6090"/>
    <w:rsid w:val="00D05E99"/>
    <w:rsid w:val="00D23E1D"/>
    <w:rsid w:val="00D415AE"/>
    <w:rsid w:val="00D45A66"/>
    <w:rsid w:val="00D96C6A"/>
    <w:rsid w:val="00DA4E56"/>
    <w:rsid w:val="00DF0374"/>
    <w:rsid w:val="00E047D0"/>
    <w:rsid w:val="00E13ED4"/>
    <w:rsid w:val="00E32DCE"/>
    <w:rsid w:val="00E369E4"/>
    <w:rsid w:val="00E71C6B"/>
    <w:rsid w:val="00E94713"/>
    <w:rsid w:val="00F13CB3"/>
    <w:rsid w:val="00F27821"/>
    <w:rsid w:val="00F41622"/>
    <w:rsid w:val="00F501D1"/>
    <w:rsid w:val="00F6243B"/>
    <w:rsid w:val="00F80406"/>
    <w:rsid w:val="00FA274D"/>
    <w:rsid w:val="00FE6349"/>
    <w:rsid w:val="00FE7115"/>
    <w:rsid w:val="01E9AED3"/>
    <w:rsid w:val="01EC322F"/>
    <w:rsid w:val="024E2FE9"/>
    <w:rsid w:val="029999C0"/>
    <w:rsid w:val="02A8F829"/>
    <w:rsid w:val="02E7E5CA"/>
    <w:rsid w:val="03011380"/>
    <w:rsid w:val="03298424"/>
    <w:rsid w:val="0335918B"/>
    <w:rsid w:val="03783376"/>
    <w:rsid w:val="03835F5C"/>
    <w:rsid w:val="03B1FE20"/>
    <w:rsid w:val="03D6CC99"/>
    <w:rsid w:val="03D6E6E8"/>
    <w:rsid w:val="03E08B1F"/>
    <w:rsid w:val="03F48700"/>
    <w:rsid w:val="03F4C7FE"/>
    <w:rsid w:val="0416F4EC"/>
    <w:rsid w:val="04195B10"/>
    <w:rsid w:val="042B4426"/>
    <w:rsid w:val="04592216"/>
    <w:rsid w:val="04674918"/>
    <w:rsid w:val="046B27BD"/>
    <w:rsid w:val="046C8D98"/>
    <w:rsid w:val="047450CD"/>
    <w:rsid w:val="04A19236"/>
    <w:rsid w:val="04CCB638"/>
    <w:rsid w:val="04E63957"/>
    <w:rsid w:val="04FF2082"/>
    <w:rsid w:val="054B40CD"/>
    <w:rsid w:val="054BF5CA"/>
    <w:rsid w:val="0569E1C3"/>
    <w:rsid w:val="057358E6"/>
    <w:rsid w:val="05827923"/>
    <w:rsid w:val="059EA9F0"/>
    <w:rsid w:val="05A1A558"/>
    <w:rsid w:val="05AAF949"/>
    <w:rsid w:val="05ACEF6F"/>
    <w:rsid w:val="05BB4EF8"/>
    <w:rsid w:val="05D8EF19"/>
    <w:rsid w:val="05E8EA40"/>
    <w:rsid w:val="05EB5001"/>
    <w:rsid w:val="05EBD074"/>
    <w:rsid w:val="06020CD1"/>
    <w:rsid w:val="065C8140"/>
    <w:rsid w:val="0744EE09"/>
    <w:rsid w:val="077D052D"/>
    <w:rsid w:val="07FC9231"/>
    <w:rsid w:val="0813F754"/>
    <w:rsid w:val="08B06110"/>
    <w:rsid w:val="090A7E9C"/>
    <w:rsid w:val="09526884"/>
    <w:rsid w:val="096DAD52"/>
    <w:rsid w:val="099E9D50"/>
    <w:rsid w:val="0A1AC9CE"/>
    <w:rsid w:val="0ABDC0A2"/>
    <w:rsid w:val="0AF66538"/>
    <w:rsid w:val="0AF8D511"/>
    <w:rsid w:val="0B0D3A4D"/>
    <w:rsid w:val="0B18B3EE"/>
    <w:rsid w:val="0B3A07FB"/>
    <w:rsid w:val="0B58C799"/>
    <w:rsid w:val="0B6BEA93"/>
    <w:rsid w:val="0BDA068D"/>
    <w:rsid w:val="0C031AA4"/>
    <w:rsid w:val="0C08010C"/>
    <w:rsid w:val="0C08719A"/>
    <w:rsid w:val="0C1EF37A"/>
    <w:rsid w:val="0C29A8CC"/>
    <w:rsid w:val="0C2C10B3"/>
    <w:rsid w:val="0C92D280"/>
    <w:rsid w:val="0C991B79"/>
    <w:rsid w:val="0CC97CFC"/>
    <w:rsid w:val="0CCDC39B"/>
    <w:rsid w:val="0CD5AD15"/>
    <w:rsid w:val="0D4D27A0"/>
    <w:rsid w:val="0DB26EBB"/>
    <w:rsid w:val="0DB9C7BC"/>
    <w:rsid w:val="0DCF3AB3"/>
    <w:rsid w:val="0DDDB9F5"/>
    <w:rsid w:val="0E482187"/>
    <w:rsid w:val="0EC35063"/>
    <w:rsid w:val="0EDA4E3E"/>
    <w:rsid w:val="0F0C5025"/>
    <w:rsid w:val="0F39AEE4"/>
    <w:rsid w:val="0F678038"/>
    <w:rsid w:val="0F6B7113"/>
    <w:rsid w:val="0F980A30"/>
    <w:rsid w:val="0FC82A54"/>
    <w:rsid w:val="1004F51B"/>
    <w:rsid w:val="103795B7"/>
    <w:rsid w:val="1060E65B"/>
    <w:rsid w:val="1127B866"/>
    <w:rsid w:val="117FF47B"/>
    <w:rsid w:val="1232CB3A"/>
    <w:rsid w:val="123C97AB"/>
    <w:rsid w:val="124ABBF4"/>
    <w:rsid w:val="12849BCE"/>
    <w:rsid w:val="12FFA1A4"/>
    <w:rsid w:val="133A398D"/>
    <w:rsid w:val="136AF00B"/>
    <w:rsid w:val="136F6A80"/>
    <w:rsid w:val="138AFCBA"/>
    <w:rsid w:val="138D0112"/>
    <w:rsid w:val="138E7185"/>
    <w:rsid w:val="1396D2DE"/>
    <w:rsid w:val="13A62910"/>
    <w:rsid w:val="13DD337E"/>
    <w:rsid w:val="13E0E6C0"/>
    <w:rsid w:val="14162B19"/>
    <w:rsid w:val="148C4E2D"/>
    <w:rsid w:val="149BBA06"/>
    <w:rsid w:val="14AB8DFB"/>
    <w:rsid w:val="14ED4E73"/>
    <w:rsid w:val="15265277"/>
    <w:rsid w:val="152AC0C6"/>
    <w:rsid w:val="152D31B7"/>
    <w:rsid w:val="153CE49D"/>
    <w:rsid w:val="1569A503"/>
    <w:rsid w:val="1569CCEF"/>
    <w:rsid w:val="158A3C62"/>
    <w:rsid w:val="159ADFA3"/>
    <w:rsid w:val="15A2E4E4"/>
    <w:rsid w:val="15FD6F70"/>
    <w:rsid w:val="16444D43"/>
    <w:rsid w:val="165765C8"/>
    <w:rsid w:val="1670DB61"/>
    <w:rsid w:val="16801489"/>
    <w:rsid w:val="16B3B87E"/>
    <w:rsid w:val="16EA52D6"/>
    <w:rsid w:val="16F21BCD"/>
    <w:rsid w:val="16FFE5D0"/>
    <w:rsid w:val="17153822"/>
    <w:rsid w:val="172C15A3"/>
    <w:rsid w:val="177F9897"/>
    <w:rsid w:val="17915DAA"/>
    <w:rsid w:val="17BB3D1A"/>
    <w:rsid w:val="17D74EA0"/>
    <w:rsid w:val="17E3FCC7"/>
    <w:rsid w:val="180E1BB8"/>
    <w:rsid w:val="1812DADA"/>
    <w:rsid w:val="18343369"/>
    <w:rsid w:val="189CB250"/>
    <w:rsid w:val="18A744BC"/>
    <w:rsid w:val="18A80378"/>
    <w:rsid w:val="18C4D867"/>
    <w:rsid w:val="18E3476B"/>
    <w:rsid w:val="19037B3D"/>
    <w:rsid w:val="1932358D"/>
    <w:rsid w:val="199D8C6E"/>
    <w:rsid w:val="19B40368"/>
    <w:rsid w:val="19C03B68"/>
    <w:rsid w:val="1A08E0FC"/>
    <w:rsid w:val="1AA5B1C5"/>
    <w:rsid w:val="1AB66B4F"/>
    <w:rsid w:val="1AD575D9"/>
    <w:rsid w:val="1B02F2B5"/>
    <w:rsid w:val="1B2D973E"/>
    <w:rsid w:val="1B2FCA19"/>
    <w:rsid w:val="1B479812"/>
    <w:rsid w:val="1BA366D3"/>
    <w:rsid w:val="1BCFD9D0"/>
    <w:rsid w:val="1C1E8749"/>
    <w:rsid w:val="1C27294E"/>
    <w:rsid w:val="1C7CDBEE"/>
    <w:rsid w:val="1C83E12D"/>
    <w:rsid w:val="1CAF8A26"/>
    <w:rsid w:val="1CB3D9A2"/>
    <w:rsid w:val="1CBE7B3D"/>
    <w:rsid w:val="1D0C4CE7"/>
    <w:rsid w:val="1D1E49E3"/>
    <w:rsid w:val="1D97B727"/>
    <w:rsid w:val="1DB798A6"/>
    <w:rsid w:val="1DCDAC48"/>
    <w:rsid w:val="1E227AB8"/>
    <w:rsid w:val="1E32D866"/>
    <w:rsid w:val="1E37FB2B"/>
    <w:rsid w:val="1E51464D"/>
    <w:rsid w:val="1E53398C"/>
    <w:rsid w:val="1EBB5E64"/>
    <w:rsid w:val="1F2A904E"/>
    <w:rsid w:val="1F58ABF0"/>
    <w:rsid w:val="1F741E50"/>
    <w:rsid w:val="1F9D21E9"/>
    <w:rsid w:val="1FA0CBCC"/>
    <w:rsid w:val="1FADEA73"/>
    <w:rsid w:val="1FBD6E4C"/>
    <w:rsid w:val="1FC7396C"/>
    <w:rsid w:val="1FD559C8"/>
    <w:rsid w:val="1FE1F6DE"/>
    <w:rsid w:val="1FE692FA"/>
    <w:rsid w:val="1FFD6F12"/>
    <w:rsid w:val="200A8AB6"/>
    <w:rsid w:val="201780DE"/>
    <w:rsid w:val="201F3E4D"/>
    <w:rsid w:val="203A0D56"/>
    <w:rsid w:val="209DED38"/>
    <w:rsid w:val="20A51426"/>
    <w:rsid w:val="20B257BE"/>
    <w:rsid w:val="20B931DD"/>
    <w:rsid w:val="20EEEAEC"/>
    <w:rsid w:val="211985D5"/>
    <w:rsid w:val="213AB300"/>
    <w:rsid w:val="216C22ED"/>
    <w:rsid w:val="21BAFADD"/>
    <w:rsid w:val="21D892D6"/>
    <w:rsid w:val="22121972"/>
    <w:rsid w:val="224A5A14"/>
    <w:rsid w:val="22DD9278"/>
    <w:rsid w:val="22F58567"/>
    <w:rsid w:val="232E797D"/>
    <w:rsid w:val="2340D7AB"/>
    <w:rsid w:val="23606F27"/>
    <w:rsid w:val="237AC579"/>
    <w:rsid w:val="23ECDE6A"/>
    <w:rsid w:val="23F00AE3"/>
    <w:rsid w:val="24469C85"/>
    <w:rsid w:val="24D9B7CF"/>
    <w:rsid w:val="251378BB"/>
    <w:rsid w:val="2513F7DF"/>
    <w:rsid w:val="25206E7F"/>
    <w:rsid w:val="25276BAB"/>
    <w:rsid w:val="25B78520"/>
    <w:rsid w:val="25C25B46"/>
    <w:rsid w:val="25C51147"/>
    <w:rsid w:val="25C8499E"/>
    <w:rsid w:val="25DD4C42"/>
    <w:rsid w:val="2606BEC4"/>
    <w:rsid w:val="26253A51"/>
    <w:rsid w:val="2625881D"/>
    <w:rsid w:val="264536F7"/>
    <w:rsid w:val="26494ABA"/>
    <w:rsid w:val="265C668B"/>
    <w:rsid w:val="26AB2A01"/>
    <w:rsid w:val="26EC7A94"/>
    <w:rsid w:val="26FAED91"/>
    <w:rsid w:val="26FB5F6E"/>
    <w:rsid w:val="27527218"/>
    <w:rsid w:val="27559821"/>
    <w:rsid w:val="277A60D1"/>
    <w:rsid w:val="277E58E6"/>
    <w:rsid w:val="27876D9C"/>
    <w:rsid w:val="27DD2F27"/>
    <w:rsid w:val="280AE2F1"/>
    <w:rsid w:val="28112029"/>
    <w:rsid w:val="28152847"/>
    <w:rsid w:val="28191808"/>
    <w:rsid w:val="281A819F"/>
    <w:rsid w:val="28289480"/>
    <w:rsid w:val="2898764D"/>
    <w:rsid w:val="28C9452C"/>
    <w:rsid w:val="28E70686"/>
    <w:rsid w:val="28EE8DF5"/>
    <w:rsid w:val="2914146B"/>
    <w:rsid w:val="292684D0"/>
    <w:rsid w:val="29752358"/>
    <w:rsid w:val="2975BFE0"/>
    <w:rsid w:val="297C7342"/>
    <w:rsid w:val="29B53937"/>
    <w:rsid w:val="29BC16FE"/>
    <w:rsid w:val="29DB71AB"/>
    <w:rsid w:val="2A04FD5A"/>
    <w:rsid w:val="2AC8E0A9"/>
    <w:rsid w:val="2B181C0E"/>
    <w:rsid w:val="2B1A6CAD"/>
    <w:rsid w:val="2B205C81"/>
    <w:rsid w:val="2B22ACB6"/>
    <w:rsid w:val="2C2D9EE3"/>
    <w:rsid w:val="2C545523"/>
    <w:rsid w:val="2CA3FB4F"/>
    <w:rsid w:val="2CACB35B"/>
    <w:rsid w:val="2CE179F8"/>
    <w:rsid w:val="2D0F51C2"/>
    <w:rsid w:val="2D103197"/>
    <w:rsid w:val="2D4B12F1"/>
    <w:rsid w:val="2D59CD09"/>
    <w:rsid w:val="2D8CB3FB"/>
    <w:rsid w:val="2DA6806A"/>
    <w:rsid w:val="2E161EEA"/>
    <w:rsid w:val="2E8D181F"/>
    <w:rsid w:val="2EA90CA0"/>
    <w:rsid w:val="2EF6BDB6"/>
    <w:rsid w:val="2F04A8D0"/>
    <w:rsid w:val="2F27FEF5"/>
    <w:rsid w:val="2F2AC179"/>
    <w:rsid w:val="2F6B2594"/>
    <w:rsid w:val="2FBD76E2"/>
    <w:rsid w:val="2FCD974E"/>
    <w:rsid w:val="2FCFDCBE"/>
    <w:rsid w:val="2FD47131"/>
    <w:rsid w:val="3014FF35"/>
    <w:rsid w:val="30AAEABA"/>
    <w:rsid w:val="30B2D3E1"/>
    <w:rsid w:val="30C9CC36"/>
    <w:rsid w:val="30D7B9C1"/>
    <w:rsid w:val="3145CEE4"/>
    <w:rsid w:val="315E5E5C"/>
    <w:rsid w:val="3165BBFA"/>
    <w:rsid w:val="3174D98C"/>
    <w:rsid w:val="319E848D"/>
    <w:rsid w:val="31B66C03"/>
    <w:rsid w:val="31CCE6BE"/>
    <w:rsid w:val="31DB70F3"/>
    <w:rsid w:val="31F02D64"/>
    <w:rsid w:val="32430A97"/>
    <w:rsid w:val="324B7D33"/>
    <w:rsid w:val="324D049C"/>
    <w:rsid w:val="325177FB"/>
    <w:rsid w:val="325A5E95"/>
    <w:rsid w:val="3263CDF5"/>
    <w:rsid w:val="3288B51D"/>
    <w:rsid w:val="32D38A61"/>
    <w:rsid w:val="332F9F48"/>
    <w:rsid w:val="334724E7"/>
    <w:rsid w:val="337A184B"/>
    <w:rsid w:val="33BB1E06"/>
    <w:rsid w:val="33ED005B"/>
    <w:rsid w:val="340875ED"/>
    <w:rsid w:val="340C2109"/>
    <w:rsid w:val="341CB2B6"/>
    <w:rsid w:val="342CB822"/>
    <w:rsid w:val="343E2E46"/>
    <w:rsid w:val="343FB964"/>
    <w:rsid w:val="345F9D57"/>
    <w:rsid w:val="349B9F49"/>
    <w:rsid w:val="34F6072A"/>
    <w:rsid w:val="3500A8A6"/>
    <w:rsid w:val="35318416"/>
    <w:rsid w:val="35510052"/>
    <w:rsid w:val="35546651"/>
    <w:rsid w:val="35836D53"/>
    <w:rsid w:val="3592A8D5"/>
    <w:rsid w:val="359351FF"/>
    <w:rsid w:val="35CC53E2"/>
    <w:rsid w:val="35E767C4"/>
    <w:rsid w:val="3610D4F8"/>
    <w:rsid w:val="3613EDCD"/>
    <w:rsid w:val="361E7EFB"/>
    <w:rsid w:val="3666DF80"/>
    <w:rsid w:val="36975523"/>
    <w:rsid w:val="36E7EA34"/>
    <w:rsid w:val="37220458"/>
    <w:rsid w:val="376AA93C"/>
    <w:rsid w:val="376F75EB"/>
    <w:rsid w:val="37809E7E"/>
    <w:rsid w:val="3790683B"/>
    <w:rsid w:val="37CFA229"/>
    <w:rsid w:val="37D25CD9"/>
    <w:rsid w:val="37DA507E"/>
    <w:rsid w:val="380AB971"/>
    <w:rsid w:val="3818D527"/>
    <w:rsid w:val="38190108"/>
    <w:rsid w:val="38443705"/>
    <w:rsid w:val="384E3512"/>
    <w:rsid w:val="387A07E8"/>
    <w:rsid w:val="38942507"/>
    <w:rsid w:val="38D1C1CB"/>
    <w:rsid w:val="390C292E"/>
    <w:rsid w:val="3998746D"/>
    <w:rsid w:val="39E10613"/>
    <w:rsid w:val="3A02065C"/>
    <w:rsid w:val="3A2C95DC"/>
    <w:rsid w:val="3A3F7E9C"/>
    <w:rsid w:val="3AA1C29B"/>
    <w:rsid w:val="3AAF5B9C"/>
    <w:rsid w:val="3AB0A13D"/>
    <w:rsid w:val="3AEE6BF2"/>
    <w:rsid w:val="3AF8700D"/>
    <w:rsid w:val="3B0755B8"/>
    <w:rsid w:val="3B53BA89"/>
    <w:rsid w:val="3B5FC5A2"/>
    <w:rsid w:val="3BB54A64"/>
    <w:rsid w:val="3BB634D1"/>
    <w:rsid w:val="3BC4ADC0"/>
    <w:rsid w:val="3C11A4C4"/>
    <w:rsid w:val="3C30537D"/>
    <w:rsid w:val="3C4671AA"/>
    <w:rsid w:val="3C549464"/>
    <w:rsid w:val="3C712E27"/>
    <w:rsid w:val="3C890A1D"/>
    <w:rsid w:val="3CB68195"/>
    <w:rsid w:val="3CB99B86"/>
    <w:rsid w:val="3CCDC5BB"/>
    <w:rsid w:val="3CDACF86"/>
    <w:rsid w:val="3D35E87B"/>
    <w:rsid w:val="3D3CFB28"/>
    <w:rsid w:val="3D45F04B"/>
    <w:rsid w:val="3D491A63"/>
    <w:rsid w:val="3D8A9D71"/>
    <w:rsid w:val="3D96ABD0"/>
    <w:rsid w:val="3DBAADA1"/>
    <w:rsid w:val="3DC8ADED"/>
    <w:rsid w:val="3DEBE04F"/>
    <w:rsid w:val="3DF57EEF"/>
    <w:rsid w:val="3E2F23F9"/>
    <w:rsid w:val="3E66C347"/>
    <w:rsid w:val="3E927AE4"/>
    <w:rsid w:val="3E948A43"/>
    <w:rsid w:val="3EF9D9B6"/>
    <w:rsid w:val="3F274DA7"/>
    <w:rsid w:val="3F2B9FA9"/>
    <w:rsid w:val="3F7D4621"/>
    <w:rsid w:val="3F7FA567"/>
    <w:rsid w:val="3FB1DA6E"/>
    <w:rsid w:val="4013D63D"/>
    <w:rsid w:val="40193407"/>
    <w:rsid w:val="406E3AFA"/>
    <w:rsid w:val="408AE7D1"/>
    <w:rsid w:val="40B43B9D"/>
    <w:rsid w:val="40CAE775"/>
    <w:rsid w:val="40F25D1F"/>
    <w:rsid w:val="40F9EB0D"/>
    <w:rsid w:val="41065611"/>
    <w:rsid w:val="41153D38"/>
    <w:rsid w:val="413752B8"/>
    <w:rsid w:val="416A2D6F"/>
    <w:rsid w:val="416BE88C"/>
    <w:rsid w:val="41735987"/>
    <w:rsid w:val="4187155F"/>
    <w:rsid w:val="41E96961"/>
    <w:rsid w:val="4217BCBE"/>
    <w:rsid w:val="423C52E3"/>
    <w:rsid w:val="427E89A9"/>
    <w:rsid w:val="42856E92"/>
    <w:rsid w:val="428643CF"/>
    <w:rsid w:val="42A2AAD5"/>
    <w:rsid w:val="42ADCEE5"/>
    <w:rsid w:val="43C825EA"/>
    <w:rsid w:val="43D162FD"/>
    <w:rsid w:val="443715DB"/>
    <w:rsid w:val="446A06DF"/>
    <w:rsid w:val="4478D429"/>
    <w:rsid w:val="44C2FC67"/>
    <w:rsid w:val="44D32E37"/>
    <w:rsid w:val="45264384"/>
    <w:rsid w:val="454561A4"/>
    <w:rsid w:val="454DCC5D"/>
    <w:rsid w:val="4554B694"/>
    <w:rsid w:val="45670881"/>
    <w:rsid w:val="459E69A8"/>
    <w:rsid w:val="45A441AB"/>
    <w:rsid w:val="45E055C5"/>
    <w:rsid w:val="45EDC50B"/>
    <w:rsid w:val="4606030B"/>
    <w:rsid w:val="462159C8"/>
    <w:rsid w:val="468D97C5"/>
    <w:rsid w:val="46CBCBED"/>
    <w:rsid w:val="46D05342"/>
    <w:rsid w:val="472B06A8"/>
    <w:rsid w:val="4751CCCD"/>
    <w:rsid w:val="47CF6E71"/>
    <w:rsid w:val="47F561DE"/>
    <w:rsid w:val="4814C4DE"/>
    <w:rsid w:val="484DD142"/>
    <w:rsid w:val="48865A2D"/>
    <w:rsid w:val="489A8AA1"/>
    <w:rsid w:val="48F78B72"/>
    <w:rsid w:val="48FF8292"/>
    <w:rsid w:val="4912E676"/>
    <w:rsid w:val="4933FF17"/>
    <w:rsid w:val="49577AD2"/>
    <w:rsid w:val="4960B4FC"/>
    <w:rsid w:val="49961D7E"/>
    <w:rsid w:val="49AE651E"/>
    <w:rsid w:val="4A3E3C54"/>
    <w:rsid w:val="4A52B99F"/>
    <w:rsid w:val="4A56C1A6"/>
    <w:rsid w:val="4A6E67C5"/>
    <w:rsid w:val="4A7A22AD"/>
    <w:rsid w:val="4AA1B7D8"/>
    <w:rsid w:val="4AB0A89A"/>
    <w:rsid w:val="4AC6B6EC"/>
    <w:rsid w:val="4ADAAC53"/>
    <w:rsid w:val="4AEA6D1E"/>
    <w:rsid w:val="4B2CA5F0"/>
    <w:rsid w:val="4B53E24D"/>
    <w:rsid w:val="4B5E13D8"/>
    <w:rsid w:val="4B63203B"/>
    <w:rsid w:val="4BB5949C"/>
    <w:rsid w:val="4BEE5278"/>
    <w:rsid w:val="4C53E394"/>
    <w:rsid w:val="4D37B0A7"/>
    <w:rsid w:val="4D671BCD"/>
    <w:rsid w:val="4DB10AE7"/>
    <w:rsid w:val="4DC317C5"/>
    <w:rsid w:val="4E099B84"/>
    <w:rsid w:val="4E619676"/>
    <w:rsid w:val="4E8F05FA"/>
    <w:rsid w:val="4EA51374"/>
    <w:rsid w:val="4EE66226"/>
    <w:rsid w:val="4F30EE09"/>
    <w:rsid w:val="4F54A50E"/>
    <w:rsid w:val="4F61743B"/>
    <w:rsid w:val="4F87EC73"/>
    <w:rsid w:val="4FBD6A4B"/>
    <w:rsid w:val="4FBF68F0"/>
    <w:rsid w:val="4FD5BFEE"/>
    <w:rsid w:val="4FEC2235"/>
    <w:rsid w:val="504C0DAC"/>
    <w:rsid w:val="505E0117"/>
    <w:rsid w:val="5067EC56"/>
    <w:rsid w:val="5069380A"/>
    <w:rsid w:val="5072425A"/>
    <w:rsid w:val="507272A5"/>
    <w:rsid w:val="50A02C67"/>
    <w:rsid w:val="50A538A1"/>
    <w:rsid w:val="50FCDA3A"/>
    <w:rsid w:val="511B4A14"/>
    <w:rsid w:val="5135C872"/>
    <w:rsid w:val="514E815E"/>
    <w:rsid w:val="51B589A8"/>
    <w:rsid w:val="51B5FFA3"/>
    <w:rsid w:val="528866AD"/>
    <w:rsid w:val="52995A05"/>
    <w:rsid w:val="52EFD456"/>
    <w:rsid w:val="5312B25B"/>
    <w:rsid w:val="533ECA2D"/>
    <w:rsid w:val="53CDB62A"/>
    <w:rsid w:val="53D0C98B"/>
    <w:rsid w:val="542BFE4E"/>
    <w:rsid w:val="54564449"/>
    <w:rsid w:val="54863B43"/>
    <w:rsid w:val="54A59DA6"/>
    <w:rsid w:val="54C295E7"/>
    <w:rsid w:val="54C54CF3"/>
    <w:rsid w:val="55A2F88C"/>
    <w:rsid w:val="5625F995"/>
    <w:rsid w:val="562AC854"/>
    <w:rsid w:val="576DE6E9"/>
    <w:rsid w:val="57B8E84D"/>
    <w:rsid w:val="57DC55EA"/>
    <w:rsid w:val="582FBDA7"/>
    <w:rsid w:val="584DBB8C"/>
    <w:rsid w:val="58694A34"/>
    <w:rsid w:val="588A04A4"/>
    <w:rsid w:val="58F677AC"/>
    <w:rsid w:val="590D2973"/>
    <w:rsid w:val="59CD4E5A"/>
    <w:rsid w:val="59F47018"/>
    <w:rsid w:val="59FEB881"/>
    <w:rsid w:val="5A0E0F26"/>
    <w:rsid w:val="5A4C1F07"/>
    <w:rsid w:val="5A81BCAD"/>
    <w:rsid w:val="5AED10F7"/>
    <w:rsid w:val="5B0886E7"/>
    <w:rsid w:val="5B3F799A"/>
    <w:rsid w:val="5BD30C13"/>
    <w:rsid w:val="5C36B198"/>
    <w:rsid w:val="5C743A4C"/>
    <w:rsid w:val="5C7843E5"/>
    <w:rsid w:val="5C8C3801"/>
    <w:rsid w:val="5CB0519B"/>
    <w:rsid w:val="5CC0D616"/>
    <w:rsid w:val="5CCF9D6B"/>
    <w:rsid w:val="5CD2BF86"/>
    <w:rsid w:val="5CF94C4A"/>
    <w:rsid w:val="5DCEB897"/>
    <w:rsid w:val="5DD73A98"/>
    <w:rsid w:val="5DEBFAC9"/>
    <w:rsid w:val="5E4B43ED"/>
    <w:rsid w:val="5EE94716"/>
    <w:rsid w:val="5F12EABD"/>
    <w:rsid w:val="5F1DD4C1"/>
    <w:rsid w:val="5F21F5D1"/>
    <w:rsid w:val="5F357096"/>
    <w:rsid w:val="5FA9BB71"/>
    <w:rsid w:val="5FDE0169"/>
    <w:rsid w:val="602305F0"/>
    <w:rsid w:val="604815E9"/>
    <w:rsid w:val="6053801D"/>
    <w:rsid w:val="605CA4F7"/>
    <w:rsid w:val="606BF026"/>
    <w:rsid w:val="60A5582E"/>
    <w:rsid w:val="60AE9F37"/>
    <w:rsid w:val="60C21489"/>
    <w:rsid w:val="60F66135"/>
    <w:rsid w:val="61BC36EB"/>
    <w:rsid w:val="61C6E699"/>
    <w:rsid w:val="61CF0A2D"/>
    <w:rsid w:val="61D0892F"/>
    <w:rsid w:val="61DA5585"/>
    <w:rsid w:val="628323A1"/>
    <w:rsid w:val="62AF4BF5"/>
    <w:rsid w:val="62DFC855"/>
    <w:rsid w:val="62EACFB8"/>
    <w:rsid w:val="633CB73F"/>
    <w:rsid w:val="637EB4DD"/>
    <w:rsid w:val="63A1F0D7"/>
    <w:rsid w:val="63B876F2"/>
    <w:rsid w:val="642BB4E0"/>
    <w:rsid w:val="64301646"/>
    <w:rsid w:val="644D4BC8"/>
    <w:rsid w:val="6477EE7D"/>
    <w:rsid w:val="649EEA07"/>
    <w:rsid w:val="64CD164E"/>
    <w:rsid w:val="64CD6AD6"/>
    <w:rsid w:val="651120F6"/>
    <w:rsid w:val="65473DCB"/>
    <w:rsid w:val="656D3974"/>
    <w:rsid w:val="6598B632"/>
    <w:rsid w:val="65AB517B"/>
    <w:rsid w:val="65D887A6"/>
    <w:rsid w:val="65F42ABE"/>
    <w:rsid w:val="662C053A"/>
    <w:rsid w:val="6639DE59"/>
    <w:rsid w:val="6645A77F"/>
    <w:rsid w:val="664C8639"/>
    <w:rsid w:val="66BFBB4F"/>
    <w:rsid w:val="66D54BA2"/>
    <w:rsid w:val="66D77C7C"/>
    <w:rsid w:val="66DD4F53"/>
    <w:rsid w:val="6702B9FD"/>
    <w:rsid w:val="6718CA2A"/>
    <w:rsid w:val="6754DC8F"/>
    <w:rsid w:val="67592B31"/>
    <w:rsid w:val="676E65EE"/>
    <w:rsid w:val="68004572"/>
    <w:rsid w:val="684B8ABA"/>
    <w:rsid w:val="684DFFCF"/>
    <w:rsid w:val="684FD1CC"/>
    <w:rsid w:val="68CD3173"/>
    <w:rsid w:val="68FB90F9"/>
    <w:rsid w:val="691EE36D"/>
    <w:rsid w:val="69309F8B"/>
    <w:rsid w:val="69507679"/>
    <w:rsid w:val="69515BC9"/>
    <w:rsid w:val="695BB388"/>
    <w:rsid w:val="69628802"/>
    <w:rsid w:val="69A85B47"/>
    <w:rsid w:val="69DFCE22"/>
    <w:rsid w:val="6A72D354"/>
    <w:rsid w:val="6A89743C"/>
    <w:rsid w:val="6ABB3EB9"/>
    <w:rsid w:val="6AF856B2"/>
    <w:rsid w:val="6B74CED7"/>
    <w:rsid w:val="6B9BFF4D"/>
    <w:rsid w:val="6BAC8F38"/>
    <w:rsid w:val="6C3E44C4"/>
    <w:rsid w:val="6C4E5E56"/>
    <w:rsid w:val="6C6A2DF7"/>
    <w:rsid w:val="6C9B662A"/>
    <w:rsid w:val="6CD08511"/>
    <w:rsid w:val="6D147624"/>
    <w:rsid w:val="6D7C671F"/>
    <w:rsid w:val="6D82D1C5"/>
    <w:rsid w:val="6D8DE56A"/>
    <w:rsid w:val="6D986CA2"/>
    <w:rsid w:val="6DE4A946"/>
    <w:rsid w:val="6E4E317B"/>
    <w:rsid w:val="6E671201"/>
    <w:rsid w:val="6E8BE791"/>
    <w:rsid w:val="6E9AD653"/>
    <w:rsid w:val="6EE1A4BD"/>
    <w:rsid w:val="6F67F09B"/>
    <w:rsid w:val="6F80ACC2"/>
    <w:rsid w:val="6FADA3C9"/>
    <w:rsid w:val="70020A5A"/>
    <w:rsid w:val="7053BFD3"/>
    <w:rsid w:val="708FDD7D"/>
    <w:rsid w:val="70A5B7DB"/>
    <w:rsid w:val="70A9E062"/>
    <w:rsid w:val="70B4C1D4"/>
    <w:rsid w:val="70D552AB"/>
    <w:rsid w:val="71152E9C"/>
    <w:rsid w:val="7159AB14"/>
    <w:rsid w:val="7188BECD"/>
    <w:rsid w:val="71FE34D7"/>
    <w:rsid w:val="7220B77B"/>
    <w:rsid w:val="72460598"/>
    <w:rsid w:val="727D006C"/>
    <w:rsid w:val="729D3B40"/>
    <w:rsid w:val="72C1B618"/>
    <w:rsid w:val="7304A112"/>
    <w:rsid w:val="730F8A29"/>
    <w:rsid w:val="73133510"/>
    <w:rsid w:val="739AE4B1"/>
    <w:rsid w:val="739EE064"/>
    <w:rsid w:val="73A471CC"/>
    <w:rsid w:val="73ECFDC2"/>
    <w:rsid w:val="73EDA1ED"/>
    <w:rsid w:val="74007C60"/>
    <w:rsid w:val="745461E2"/>
    <w:rsid w:val="751CBF4A"/>
    <w:rsid w:val="75996905"/>
    <w:rsid w:val="75B771BA"/>
    <w:rsid w:val="75E596F5"/>
    <w:rsid w:val="75EAD1E5"/>
    <w:rsid w:val="761FAE68"/>
    <w:rsid w:val="76235A1E"/>
    <w:rsid w:val="7623CFD2"/>
    <w:rsid w:val="767B2FA5"/>
    <w:rsid w:val="767EF0F4"/>
    <w:rsid w:val="76DB6778"/>
    <w:rsid w:val="76FA9D1A"/>
    <w:rsid w:val="7726D0A6"/>
    <w:rsid w:val="7751AEE0"/>
    <w:rsid w:val="77681805"/>
    <w:rsid w:val="7787B036"/>
    <w:rsid w:val="7789D57A"/>
    <w:rsid w:val="779203E7"/>
    <w:rsid w:val="77F3BFD8"/>
    <w:rsid w:val="7808D423"/>
    <w:rsid w:val="782EEB29"/>
    <w:rsid w:val="78530918"/>
    <w:rsid w:val="789A948A"/>
    <w:rsid w:val="78CA7989"/>
    <w:rsid w:val="78E502FB"/>
    <w:rsid w:val="78F73383"/>
    <w:rsid w:val="793978FE"/>
    <w:rsid w:val="79CA1569"/>
    <w:rsid w:val="79DEC282"/>
    <w:rsid w:val="7A37B8D0"/>
    <w:rsid w:val="7A3F3402"/>
    <w:rsid w:val="7A7A63D2"/>
    <w:rsid w:val="7A866E17"/>
    <w:rsid w:val="7A94D705"/>
    <w:rsid w:val="7AA283E6"/>
    <w:rsid w:val="7AB38773"/>
    <w:rsid w:val="7ABC0EA4"/>
    <w:rsid w:val="7AEFCE09"/>
    <w:rsid w:val="7AFDB65A"/>
    <w:rsid w:val="7AFE4757"/>
    <w:rsid w:val="7B096F36"/>
    <w:rsid w:val="7B36739F"/>
    <w:rsid w:val="7B54E43F"/>
    <w:rsid w:val="7BB6F407"/>
    <w:rsid w:val="7BEF8740"/>
    <w:rsid w:val="7BF76A9F"/>
    <w:rsid w:val="7C10C351"/>
    <w:rsid w:val="7C6853DB"/>
    <w:rsid w:val="7C6E5C51"/>
    <w:rsid w:val="7CD80A28"/>
    <w:rsid w:val="7CF6151B"/>
    <w:rsid w:val="7D0D7367"/>
    <w:rsid w:val="7D341E2D"/>
    <w:rsid w:val="7D8A39C8"/>
    <w:rsid w:val="7DD06E8B"/>
    <w:rsid w:val="7DFAAA95"/>
    <w:rsid w:val="7E10ED4A"/>
    <w:rsid w:val="7E28CBED"/>
    <w:rsid w:val="7E5C0225"/>
    <w:rsid w:val="7E8A699F"/>
    <w:rsid w:val="7EC6C530"/>
    <w:rsid w:val="7EF2B811"/>
    <w:rsid w:val="7EF57122"/>
    <w:rsid w:val="7F0BDC84"/>
    <w:rsid w:val="7F103430"/>
    <w:rsid w:val="7F23E900"/>
    <w:rsid w:val="7F2C2F2C"/>
    <w:rsid w:val="7F51F3E5"/>
    <w:rsid w:val="7F6325A0"/>
    <w:rsid w:val="7F955284"/>
    <w:rsid w:val="7FDC13E0"/>
    <w:rsid w:val="7FE46E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F3E4D"/>
  <w15:chartTrackingRefBased/>
  <w15:docId w15:val="{83616D14-BB20-4C11-9E99-115CA92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BalloonText">
    <w:name w:val="Balloon Text"/>
    <w:basedOn w:val="Normal"/>
    <w:link w:val="BalloonTextChar"/>
    <w:uiPriority w:val="99"/>
    <w:semiHidden/>
    <w:unhideWhenUsed/>
    <w:rsid w:val="00C569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9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42F9"/>
    <w:rPr>
      <w:sz w:val="18"/>
      <w:szCs w:val="18"/>
    </w:rPr>
  </w:style>
  <w:style w:type="paragraph" w:styleId="CommentText">
    <w:name w:val="annotation text"/>
    <w:basedOn w:val="Normal"/>
    <w:link w:val="CommentTextChar"/>
    <w:uiPriority w:val="99"/>
    <w:semiHidden/>
    <w:unhideWhenUsed/>
    <w:rsid w:val="003942F9"/>
    <w:pPr>
      <w:spacing w:line="240" w:lineRule="auto"/>
    </w:pPr>
    <w:rPr>
      <w:sz w:val="24"/>
      <w:szCs w:val="24"/>
    </w:rPr>
  </w:style>
  <w:style w:type="character" w:customStyle="1" w:styleId="CommentTextChar">
    <w:name w:val="Comment Text Char"/>
    <w:basedOn w:val="DefaultParagraphFont"/>
    <w:link w:val="CommentText"/>
    <w:uiPriority w:val="99"/>
    <w:semiHidden/>
    <w:rsid w:val="003942F9"/>
    <w:rPr>
      <w:sz w:val="24"/>
      <w:szCs w:val="24"/>
    </w:rPr>
  </w:style>
  <w:style w:type="paragraph" w:styleId="CommentSubject">
    <w:name w:val="annotation subject"/>
    <w:basedOn w:val="CommentText"/>
    <w:next w:val="CommentText"/>
    <w:link w:val="CommentSubjectChar"/>
    <w:uiPriority w:val="99"/>
    <w:semiHidden/>
    <w:unhideWhenUsed/>
    <w:rsid w:val="003942F9"/>
    <w:rPr>
      <w:b/>
      <w:bCs/>
      <w:sz w:val="20"/>
      <w:szCs w:val="20"/>
    </w:rPr>
  </w:style>
  <w:style w:type="character" w:customStyle="1" w:styleId="CommentSubjectChar">
    <w:name w:val="Comment Subject Char"/>
    <w:basedOn w:val="CommentTextChar"/>
    <w:link w:val="CommentSubject"/>
    <w:uiPriority w:val="99"/>
    <w:semiHidden/>
    <w:rsid w:val="003942F9"/>
    <w:rPr>
      <w:b/>
      <w:bCs/>
      <w:sz w:val="20"/>
      <w:szCs w:val="20"/>
    </w:rPr>
  </w:style>
  <w:style w:type="paragraph" w:styleId="NormalWeb">
    <w:name w:val="Normal (Web)"/>
    <w:basedOn w:val="Normal"/>
    <w:uiPriority w:val="99"/>
    <w:semiHidden/>
    <w:unhideWhenUsed/>
    <w:rsid w:val="008D73B5"/>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BD1298"/>
    <w:pPr>
      <w:ind w:left="720"/>
      <w:contextualSpacing/>
    </w:pPr>
  </w:style>
  <w:style w:type="paragraph" w:customStyle="1" w:styleId="Default">
    <w:name w:val="Default"/>
    <w:rsid w:val="002764F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D05E99"/>
    <w:rPr>
      <w:i/>
      <w:iCs/>
    </w:rPr>
  </w:style>
  <w:style w:type="paragraph" w:customStyle="1" w:styleId="BasicParagraph">
    <w:name w:val="[Basic Paragraph]"/>
    <w:basedOn w:val="Normal"/>
    <w:uiPriority w:val="99"/>
    <w:rsid w:val="00C55F7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rsid w:val="00C55F77"/>
    <w:rPr>
      <w:color w:val="605E5C"/>
      <w:shd w:val="clear" w:color="auto" w:fill="E1DFDD"/>
    </w:rPr>
  </w:style>
  <w:style w:type="paragraph" w:styleId="Header">
    <w:name w:val="header"/>
    <w:basedOn w:val="Normal"/>
    <w:link w:val="HeaderChar"/>
    <w:uiPriority w:val="99"/>
    <w:unhideWhenUsed/>
    <w:rsid w:val="00F62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3B"/>
    <w:rPr>
      <w:lang w:val="en-GB"/>
    </w:rPr>
  </w:style>
  <w:style w:type="paragraph" w:styleId="Footer">
    <w:name w:val="footer"/>
    <w:basedOn w:val="Normal"/>
    <w:link w:val="FooterChar"/>
    <w:uiPriority w:val="99"/>
    <w:unhideWhenUsed/>
    <w:rsid w:val="00F6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3B"/>
    <w:rPr>
      <w:lang w:val="en-GB"/>
    </w:rPr>
  </w:style>
  <w:style w:type="paragraph" w:customStyle="1" w:styleId="paragraph">
    <w:name w:val="paragraph"/>
    <w:basedOn w:val="Normal"/>
    <w:rsid w:val="00A749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9609">
      <w:bodyDiv w:val="1"/>
      <w:marLeft w:val="0"/>
      <w:marRight w:val="0"/>
      <w:marTop w:val="0"/>
      <w:marBottom w:val="0"/>
      <w:divBdr>
        <w:top w:val="none" w:sz="0" w:space="0" w:color="auto"/>
        <w:left w:val="none" w:sz="0" w:space="0" w:color="auto"/>
        <w:bottom w:val="none" w:sz="0" w:space="0" w:color="auto"/>
        <w:right w:val="none" w:sz="0" w:space="0" w:color="auto"/>
      </w:divBdr>
    </w:div>
    <w:div w:id="81342388">
      <w:bodyDiv w:val="1"/>
      <w:marLeft w:val="0"/>
      <w:marRight w:val="0"/>
      <w:marTop w:val="0"/>
      <w:marBottom w:val="0"/>
      <w:divBdr>
        <w:top w:val="none" w:sz="0" w:space="0" w:color="auto"/>
        <w:left w:val="none" w:sz="0" w:space="0" w:color="auto"/>
        <w:bottom w:val="none" w:sz="0" w:space="0" w:color="auto"/>
        <w:right w:val="none" w:sz="0" w:space="0" w:color="auto"/>
      </w:divBdr>
    </w:div>
    <w:div w:id="110832214">
      <w:bodyDiv w:val="1"/>
      <w:marLeft w:val="0"/>
      <w:marRight w:val="0"/>
      <w:marTop w:val="0"/>
      <w:marBottom w:val="0"/>
      <w:divBdr>
        <w:top w:val="none" w:sz="0" w:space="0" w:color="auto"/>
        <w:left w:val="none" w:sz="0" w:space="0" w:color="auto"/>
        <w:bottom w:val="none" w:sz="0" w:space="0" w:color="auto"/>
        <w:right w:val="none" w:sz="0" w:space="0" w:color="auto"/>
      </w:divBdr>
    </w:div>
    <w:div w:id="12886687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44789011">
      <w:bodyDiv w:val="1"/>
      <w:marLeft w:val="0"/>
      <w:marRight w:val="0"/>
      <w:marTop w:val="0"/>
      <w:marBottom w:val="0"/>
      <w:divBdr>
        <w:top w:val="none" w:sz="0" w:space="0" w:color="auto"/>
        <w:left w:val="none" w:sz="0" w:space="0" w:color="auto"/>
        <w:bottom w:val="none" w:sz="0" w:space="0" w:color="auto"/>
        <w:right w:val="none" w:sz="0" w:space="0" w:color="auto"/>
      </w:divBdr>
    </w:div>
    <w:div w:id="509368140">
      <w:bodyDiv w:val="1"/>
      <w:marLeft w:val="0"/>
      <w:marRight w:val="0"/>
      <w:marTop w:val="0"/>
      <w:marBottom w:val="0"/>
      <w:divBdr>
        <w:top w:val="none" w:sz="0" w:space="0" w:color="auto"/>
        <w:left w:val="none" w:sz="0" w:space="0" w:color="auto"/>
        <w:bottom w:val="none" w:sz="0" w:space="0" w:color="auto"/>
        <w:right w:val="none" w:sz="0" w:space="0" w:color="auto"/>
      </w:divBdr>
    </w:div>
    <w:div w:id="691225720">
      <w:bodyDiv w:val="1"/>
      <w:marLeft w:val="0"/>
      <w:marRight w:val="0"/>
      <w:marTop w:val="0"/>
      <w:marBottom w:val="0"/>
      <w:divBdr>
        <w:top w:val="none" w:sz="0" w:space="0" w:color="auto"/>
        <w:left w:val="none" w:sz="0" w:space="0" w:color="auto"/>
        <w:bottom w:val="none" w:sz="0" w:space="0" w:color="auto"/>
        <w:right w:val="none" w:sz="0" w:space="0" w:color="auto"/>
      </w:divBdr>
    </w:div>
    <w:div w:id="691879997">
      <w:bodyDiv w:val="1"/>
      <w:marLeft w:val="0"/>
      <w:marRight w:val="0"/>
      <w:marTop w:val="0"/>
      <w:marBottom w:val="0"/>
      <w:divBdr>
        <w:top w:val="none" w:sz="0" w:space="0" w:color="auto"/>
        <w:left w:val="none" w:sz="0" w:space="0" w:color="auto"/>
        <w:bottom w:val="none" w:sz="0" w:space="0" w:color="auto"/>
        <w:right w:val="none" w:sz="0" w:space="0" w:color="auto"/>
      </w:divBdr>
    </w:div>
    <w:div w:id="811483724">
      <w:bodyDiv w:val="1"/>
      <w:marLeft w:val="0"/>
      <w:marRight w:val="0"/>
      <w:marTop w:val="0"/>
      <w:marBottom w:val="0"/>
      <w:divBdr>
        <w:top w:val="none" w:sz="0" w:space="0" w:color="auto"/>
        <w:left w:val="none" w:sz="0" w:space="0" w:color="auto"/>
        <w:bottom w:val="none" w:sz="0" w:space="0" w:color="auto"/>
        <w:right w:val="none" w:sz="0" w:space="0" w:color="auto"/>
      </w:divBdr>
    </w:div>
    <w:div w:id="842474894">
      <w:bodyDiv w:val="1"/>
      <w:marLeft w:val="0"/>
      <w:marRight w:val="0"/>
      <w:marTop w:val="0"/>
      <w:marBottom w:val="0"/>
      <w:divBdr>
        <w:top w:val="none" w:sz="0" w:space="0" w:color="auto"/>
        <w:left w:val="none" w:sz="0" w:space="0" w:color="auto"/>
        <w:bottom w:val="none" w:sz="0" w:space="0" w:color="auto"/>
        <w:right w:val="none" w:sz="0" w:space="0" w:color="auto"/>
      </w:divBdr>
    </w:div>
    <w:div w:id="849413492">
      <w:bodyDiv w:val="1"/>
      <w:marLeft w:val="0"/>
      <w:marRight w:val="0"/>
      <w:marTop w:val="0"/>
      <w:marBottom w:val="0"/>
      <w:divBdr>
        <w:top w:val="none" w:sz="0" w:space="0" w:color="auto"/>
        <w:left w:val="none" w:sz="0" w:space="0" w:color="auto"/>
        <w:bottom w:val="none" w:sz="0" w:space="0" w:color="auto"/>
        <w:right w:val="none" w:sz="0" w:space="0" w:color="auto"/>
      </w:divBdr>
      <w:divsChild>
        <w:div w:id="2086687641">
          <w:marLeft w:val="0"/>
          <w:marRight w:val="0"/>
          <w:marTop w:val="0"/>
          <w:marBottom w:val="0"/>
          <w:divBdr>
            <w:top w:val="none" w:sz="0" w:space="0" w:color="auto"/>
            <w:left w:val="none" w:sz="0" w:space="0" w:color="auto"/>
            <w:bottom w:val="none" w:sz="0" w:space="0" w:color="auto"/>
            <w:right w:val="none" w:sz="0" w:space="0" w:color="auto"/>
          </w:divBdr>
        </w:div>
      </w:divsChild>
    </w:div>
    <w:div w:id="870798152">
      <w:bodyDiv w:val="1"/>
      <w:marLeft w:val="0"/>
      <w:marRight w:val="0"/>
      <w:marTop w:val="0"/>
      <w:marBottom w:val="0"/>
      <w:divBdr>
        <w:top w:val="none" w:sz="0" w:space="0" w:color="auto"/>
        <w:left w:val="none" w:sz="0" w:space="0" w:color="auto"/>
        <w:bottom w:val="none" w:sz="0" w:space="0" w:color="auto"/>
        <w:right w:val="none" w:sz="0" w:space="0" w:color="auto"/>
      </w:divBdr>
    </w:div>
    <w:div w:id="927428469">
      <w:bodyDiv w:val="1"/>
      <w:marLeft w:val="0"/>
      <w:marRight w:val="0"/>
      <w:marTop w:val="0"/>
      <w:marBottom w:val="0"/>
      <w:divBdr>
        <w:top w:val="none" w:sz="0" w:space="0" w:color="auto"/>
        <w:left w:val="none" w:sz="0" w:space="0" w:color="auto"/>
        <w:bottom w:val="none" w:sz="0" w:space="0" w:color="auto"/>
        <w:right w:val="none" w:sz="0" w:space="0" w:color="auto"/>
      </w:divBdr>
    </w:div>
    <w:div w:id="996567507">
      <w:bodyDiv w:val="1"/>
      <w:marLeft w:val="0"/>
      <w:marRight w:val="0"/>
      <w:marTop w:val="0"/>
      <w:marBottom w:val="0"/>
      <w:divBdr>
        <w:top w:val="none" w:sz="0" w:space="0" w:color="auto"/>
        <w:left w:val="none" w:sz="0" w:space="0" w:color="auto"/>
        <w:bottom w:val="none" w:sz="0" w:space="0" w:color="auto"/>
        <w:right w:val="none" w:sz="0" w:space="0" w:color="auto"/>
      </w:divBdr>
    </w:div>
    <w:div w:id="1158769774">
      <w:bodyDiv w:val="1"/>
      <w:marLeft w:val="0"/>
      <w:marRight w:val="0"/>
      <w:marTop w:val="0"/>
      <w:marBottom w:val="0"/>
      <w:divBdr>
        <w:top w:val="none" w:sz="0" w:space="0" w:color="auto"/>
        <w:left w:val="none" w:sz="0" w:space="0" w:color="auto"/>
        <w:bottom w:val="none" w:sz="0" w:space="0" w:color="auto"/>
        <w:right w:val="none" w:sz="0" w:space="0" w:color="auto"/>
      </w:divBdr>
    </w:div>
    <w:div w:id="1248736364">
      <w:bodyDiv w:val="1"/>
      <w:marLeft w:val="0"/>
      <w:marRight w:val="0"/>
      <w:marTop w:val="0"/>
      <w:marBottom w:val="0"/>
      <w:divBdr>
        <w:top w:val="none" w:sz="0" w:space="0" w:color="auto"/>
        <w:left w:val="none" w:sz="0" w:space="0" w:color="auto"/>
        <w:bottom w:val="none" w:sz="0" w:space="0" w:color="auto"/>
        <w:right w:val="none" w:sz="0" w:space="0" w:color="auto"/>
      </w:divBdr>
    </w:div>
    <w:div w:id="1277442525">
      <w:bodyDiv w:val="1"/>
      <w:marLeft w:val="0"/>
      <w:marRight w:val="0"/>
      <w:marTop w:val="0"/>
      <w:marBottom w:val="0"/>
      <w:divBdr>
        <w:top w:val="none" w:sz="0" w:space="0" w:color="auto"/>
        <w:left w:val="none" w:sz="0" w:space="0" w:color="auto"/>
        <w:bottom w:val="none" w:sz="0" w:space="0" w:color="auto"/>
        <w:right w:val="none" w:sz="0" w:space="0" w:color="auto"/>
      </w:divBdr>
      <w:divsChild>
        <w:div w:id="147527623">
          <w:marLeft w:val="0"/>
          <w:marRight w:val="0"/>
          <w:marTop w:val="0"/>
          <w:marBottom w:val="0"/>
          <w:divBdr>
            <w:top w:val="none" w:sz="0" w:space="0" w:color="auto"/>
            <w:left w:val="none" w:sz="0" w:space="0" w:color="auto"/>
            <w:bottom w:val="none" w:sz="0" w:space="0" w:color="auto"/>
            <w:right w:val="none" w:sz="0" w:space="0" w:color="auto"/>
          </w:divBdr>
        </w:div>
      </w:divsChild>
    </w:div>
    <w:div w:id="1461916119">
      <w:bodyDiv w:val="1"/>
      <w:marLeft w:val="0"/>
      <w:marRight w:val="0"/>
      <w:marTop w:val="0"/>
      <w:marBottom w:val="0"/>
      <w:divBdr>
        <w:top w:val="none" w:sz="0" w:space="0" w:color="auto"/>
        <w:left w:val="none" w:sz="0" w:space="0" w:color="auto"/>
        <w:bottom w:val="none" w:sz="0" w:space="0" w:color="auto"/>
        <w:right w:val="none" w:sz="0" w:space="0" w:color="auto"/>
      </w:divBdr>
    </w:div>
    <w:div w:id="1525442279">
      <w:bodyDiv w:val="1"/>
      <w:marLeft w:val="0"/>
      <w:marRight w:val="0"/>
      <w:marTop w:val="0"/>
      <w:marBottom w:val="0"/>
      <w:divBdr>
        <w:top w:val="none" w:sz="0" w:space="0" w:color="auto"/>
        <w:left w:val="none" w:sz="0" w:space="0" w:color="auto"/>
        <w:bottom w:val="none" w:sz="0" w:space="0" w:color="auto"/>
        <w:right w:val="none" w:sz="0" w:space="0" w:color="auto"/>
      </w:divBdr>
    </w:div>
    <w:div w:id="1544555581">
      <w:bodyDiv w:val="1"/>
      <w:marLeft w:val="0"/>
      <w:marRight w:val="0"/>
      <w:marTop w:val="0"/>
      <w:marBottom w:val="0"/>
      <w:divBdr>
        <w:top w:val="none" w:sz="0" w:space="0" w:color="auto"/>
        <w:left w:val="none" w:sz="0" w:space="0" w:color="auto"/>
        <w:bottom w:val="none" w:sz="0" w:space="0" w:color="auto"/>
        <w:right w:val="none" w:sz="0" w:space="0" w:color="auto"/>
      </w:divBdr>
    </w:div>
    <w:div w:id="1563177812">
      <w:bodyDiv w:val="1"/>
      <w:marLeft w:val="0"/>
      <w:marRight w:val="0"/>
      <w:marTop w:val="0"/>
      <w:marBottom w:val="0"/>
      <w:divBdr>
        <w:top w:val="none" w:sz="0" w:space="0" w:color="auto"/>
        <w:left w:val="none" w:sz="0" w:space="0" w:color="auto"/>
        <w:bottom w:val="none" w:sz="0" w:space="0" w:color="auto"/>
        <w:right w:val="none" w:sz="0" w:space="0" w:color="auto"/>
      </w:divBdr>
    </w:div>
    <w:div w:id="1690064412">
      <w:bodyDiv w:val="1"/>
      <w:marLeft w:val="0"/>
      <w:marRight w:val="0"/>
      <w:marTop w:val="0"/>
      <w:marBottom w:val="0"/>
      <w:divBdr>
        <w:top w:val="none" w:sz="0" w:space="0" w:color="auto"/>
        <w:left w:val="none" w:sz="0" w:space="0" w:color="auto"/>
        <w:bottom w:val="none" w:sz="0" w:space="0" w:color="auto"/>
        <w:right w:val="none" w:sz="0" w:space="0" w:color="auto"/>
      </w:divBdr>
    </w:div>
    <w:div w:id="1699695907">
      <w:bodyDiv w:val="1"/>
      <w:marLeft w:val="0"/>
      <w:marRight w:val="0"/>
      <w:marTop w:val="0"/>
      <w:marBottom w:val="0"/>
      <w:divBdr>
        <w:top w:val="none" w:sz="0" w:space="0" w:color="auto"/>
        <w:left w:val="none" w:sz="0" w:space="0" w:color="auto"/>
        <w:bottom w:val="none" w:sz="0" w:space="0" w:color="auto"/>
        <w:right w:val="none" w:sz="0" w:space="0" w:color="auto"/>
      </w:divBdr>
    </w:div>
    <w:div w:id="1745180241">
      <w:bodyDiv w:val="1"/>
      <w:marLeft w:val="0"/>
      <w:marRight w:val="0"/>
      <w:marTop w:val="0"/>
      <w:marBottom w:val="0"/>
      <w:divBdr>
        <w:top w:val="none" w:sz="0" w:space="0" w:color="auto"/>
        <w:left w:val="none" w:sz="0" w:space="0" w:color="auto"/>
        <w:bottom w:val="none" w:sz="0" w:space="0" w:color="auto"/>
        <w:right w:val="none" w:sz="0" w:space="0" w:color="auto"/>
      </w:divBdr>
    </w:div>
    <w:div w:id="1833327788">
      <w:bodyDiv w:val="1"/>
      <w:marLeft w:val="0"/>
      <w:marRight w:val="0"/>
      <w:marTop w:val="0"/>
      <w:marBottom w:val="0"/>
      <w:divBdr>
        <w:top w:val="none" w:sz="0" w:space="0" w:color="auto"/>
        <w:left w:val="none" w:sz="0" w:space="0" w:color="auto"/>
        <w:bottom w:val="none" w:sz="0" w:space="0" w:color="auto"/>
        <w:right w:val="none" w:sz="0" w:space="0" w:color="auto"/>
      </w:divBdr>
    </w:div>
    <w:div w:id="1842427884">
      <w:bodyDiv w:val="1"/>
      <w:marLeft w:val="0"/>
      <w:marRight w:val="0"/>
      <w:marTop w:val="0"/>
      <w:marBottom w:val="0"/>
      <w:divBdr>
        <w:top w:val="none" w:sz="0" w:space="0" w:color="auto"/>
        <w:left w:val="none" w:sz="0" w:space="0" w:color="auto"/>
        <w:bottom w:val="none" w:sz="0" w:space="0" w:color="auto"/>
        <w:right w:val="none" w:sz="0" w:space="0" w:color="auto"/>
      </w:divBdr>
    </w:div>
    <w:div w:id="1894416352">
      <w:bodyDiv w:val="1"/>
      <w:marLeft w:val="0"/>
      <w:marRight w:val="0"/>
      <w:marTop w:val="0"/>
      <w:marBottom w:val="0"/>
      <w:divBdr>
        <w:top w:val="none" w:sz="0" w:space="0" w:color="auto"/>
        <w:left w:val="none" w:sz="0" w:space="0" w:color="auto"/>
        <w:bottom w:val="none" w:sz="0" w:space="0" w:color="auto"/>
        <w:right w:val="none" w:sz="0" w:space="0" w:color="auto"/>
      </w:divBdr>
    </w:div>
    <w:div w:id="1910722287">
      <w:bodyDiv w:val="1"/>
      <w:marLeft w:val="0"/>
      <w:marRight w:val="0"/>
      <w:marTop w:val="0"/>
      <w:marBottom w:val="0"/>
      <w:divBdr>
        <w:top w:val="none" w:sz="0" w:space="0" w:color="auto"/>
        <w:left w:val="none" w:sz="0" w:space="0" w:color="auto"/>
        <w:bottom w:val="none" w:sz="0" w:space="0" w:color="auto"/>
        <w:right w:val="none" w:sz="0" w:space="0" w:color="auto"/>
      </w:divBdr>
    </w:div>
    <w:div w:id="21251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institutesi.org/PRINCIPLE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tatelessjourneys.org/resources/statelessness-in-myanm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itutesi.org/news/cso-joint-statement-on-assam-nrc"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institutesi.org/Locked_In_Locked_Out_The_Rohingya_Briefing_Paper.pdf" TargetMode="External"/><Relationship Id="rId5" Type="http://schemas.openxmlformats.org/officeDocument/2006/relationships/webSettings" Target="webSettings.xml"/><Relationship Id="rId15" Type="http://schemas.openxmlformats.org/officeDocument/2006/relationships/hyperlink" Target="https://files.institutesi.org/WORLD's_STATELESS_2020.pdf" TargetMode="External"/><Relationship Id="rId10" Type="http://schemas.openxmlformats.org/officeDocument/2006/relationships/hyperlink" Target="https://files.institutesi.org/Covid19_The_Rohingya_Briefing_Paper.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files.institutesi.org/UPR37_Myanmar.pdf" TargetMode="External"/><Relationship Id="rId14" Type="http://schemas.openxmlformats.org/officeDocument/2006/relationships/hyperlink" Target="https://files.institutesi.org/PRINCIPLES_Draft_Commentary.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files.institutesi.org/Covid19_The_Rohingya_Briefing_Paper.pdf" TargetMode="External"/><Relationship Id="rId18" Type="http://schemas.openxmlformats.org/officeDocument/2006/relationships/hyperlink" Target="https://ec.europa.eu/echo/field-blogs/stories/myanmarburma-ensuring-access-health-care-conflict-victims-rakhine-state_en" TargetMode="External"/><Relationship Id="rId26" Type="http://schemas.openxmlformats.org/officeDocument/2006/relationships/hyperlink" Target="https://link.springer.com/article/10.1007/s40802-018-0123-8" TargetMode="External"/><Relationship Id="rId3" Type="http://schemas.openxmlformats.org/officeDocument/2006/relationships/hyperlink" Target="https://www.ohchr.org/EN/Issues/FreedomReligion/Pages/HatredAndDiscrimination.aspx" TargetMode="External"/><Relationship Id="rId21" Type="http://schemas.openxmlformats.org/officeDocument/2006/relationships/hyperlink" Target="http://www.bhrn.org.uk/en/press-release/1137-bhrn-launches-new-report-on-discrimination-and-hate-speech-in-burma-s-election-campaign.html" TargetMode="External"/><Relationship Id="rId34" Type="http://schemas.openxmlformats.org/officeDocument/2006/relationships/hyperlink" Target="https://www.vox.com/future-perfect/2019/9/17/20861427/india-assam-citizenship-muslim-detention-camps" TargetMode="External"/><Relationship Id="rId7" Type="http://schemas.openxmlformats.org/officeDocument/2006/relationships/hyperlink" Target="https://www.hrw.org/news/2020/10/05/myanmar-election-fundamentally-flawed" TargetMode="External"/><Relationship Id="rId12" Type="http://schemas.openxmlformats.org/officeDocument/2006/relationships/hyperlink" Target="https://files.institutesi.org/UPR37_Myanmar.pdf" TargetMode="External"/><Relationship Id="rId17" Type="http://schemas.openxmlformats.org/officeDocument/2006/relationships/hyperlink" Target="https://ec.europa.eu/echo/field-blogs/stories/myanmarburma-ensuring-access-health-care-conflict-victims-rakhine-state_en" TargetMode="External"/><Relationship Id="rId25" Type="http://schemas.openxmlformats.org/officeDocument/2006/relationships/hyperlink" Target="https://news.un.org/en/story/2017/09/564622-un-human-rights-chief-points-textbook-example-ethnic-cleansing-myanmar" TargetMode="External"/><Relationship Id="rId33" Type="http://schemas.openxmlformats.org/officeDocument/2006/relationships/hyperlink" Target="https://www.institutesi.org/year-of-action-resources/principles-on-deprivation-of-nationality" TargetMode="External"/><Relationship Id="rId2" Type="http://schemas.openxmlformats.org/officeDocument/2006/relationships/hyperlink" Target="https://www.institutesi.org/" TargetMode="External"/><Relationship Id="rId16" Type="http://schemas.openxmlformats.org/officeDocument/2006/relationships/hyperlink" Target="https://ec.europa.eu/echo/field-blogs/stories/myanmarburma-ensuring-access-health-care-conflict-victims-rakhine-state_en" TargetMode="External"/><Relationship Id="rId20" Type="http://schemas.openxmlformats.org/officeDocument/2006/relationships/hyperlink" Target="https://www.thedailystar.net/opinion/news/covid-19-and-the-rohingya-hunger-exploitation-hate-crimes-and-xenophobia-1929817" TargetMode="External"/><Relationship Id="rId29" Type="http://schemas.openxmlformats.org/officeDocument/2006/relationships/hyperlink" Target="https://www.institutesi.org/news/cso-joint-statement-on-assam-nrc" TargetMode="External"/><Relationship Id="rId1" Type="http://schemas.openxmlformats.org/officeDocument/2006/relationships/hyperlink" Target="mailto:Sangita.Bajulaiye@institutesi.org" TargetMode="External"/><Relationship Id="rId6" Type="http://schemas.openxmlformats.org/officeDocument/2006/relationships/hyperlink" Target="https://files.institutesi.org/Locked_In_Locked_Out_The_Rohingya_Briefing_Paper.pdf" TargetMode="External"/><Relationship Id="rId11" Type="http://schemas.openxmlformats.org/officeDocument/2006/relationships/hyperlink" Target="https://files.institutesi.org/Covid19_The_Rohingya_Briefing_Paper.pdf" TargetMode="External"/><Relationship Id="rId24" Type="http://schemas.openxmlformats.org/officeDocument/2006/relationships/hyperlink" Target="https://www.ohchr.org/Documents/HRBodies/HRCouncil/FFM-Myanmar/20190916/A_HRC_42_CRP.5.pdf" TargetMode="External"/><Relationship Id="rId32" Type="http://schemas.openxmlformats.org/officeDocument/2006/relationships/hyperlink" Target="https://www.ohchr.org/Documents/Issues/Racism/SR/Amicus/DutchImmigration_Amicus.pdf" TargetMode="External"/><Relationship Id="rId5" Type="http://schemas.openxmlformats.org/officeDocument/2006/relationships/hyperlink" Target="https://nyujilp.org/wp-content/uploads/2019/09/NYI411.pdf" TargetMode="External"/><Relationship Id="rId15" Type="http://schemas.openxmlformats.org/officeDocument/2006/relationships/hyperlink" Target="https://files.institutesi.org/Covid19_The_Rohingya_Briefing_Paper.pdf" TargetMode="External"/><Relationship Id="rId23" Type="http://schemas.openxmlformats.org/officeDocument/2006/relationships/hyperlink" Target="https://news.un.org/en/story/2017/09/564622-un-human-rights-chief-points-textbook-example-ethnic-cleansing-myanmar" TargetMode="External"/><Relationship Id="rId28" Type="http://schemas.openxmlformats.org/officeDocument/2006/relationships/hyperlink" Target="https://www.amnesty.org/download/documents/eur0153422017english.pdf" TargetMode="External"/><Relationship Id="rId10" Type="http://schemas.openxmlformats.org/officeDocument/2006/relationships/hyperlink" Target="https://www.hrw.org/news/2020/10/08/myanmar-mass-detention-rohingya-squalid-camps" TargetMode="External"/><Relationship Id="rId19" Type="http://schemas.openxmlformats.org/officeDocument/2006/relationships/hyperlink" Target="https://www.hrw.org/report/2020/10/08/open-prison-without-end/myanmars-mass-detention-rohingya-rakhine-state" TargetMode="External"/><Relationship Id="rId31" Type="http://schemas.openxmlformats.org/officeDocument/2006/relationships/hyperlink" Target="https://zoek.officielebekendmakingen.nl/stcrt-2017-13023.html" TargetMode="External"/><Relationship Id="rId4" Type="http://schemas.openxmlformats.org/officeDocument/2006/relationships/hyperlink" Target="https://files.institutesi.org/UPR37_Myanmar.pdf" TargetMode="External"/><Relationship Id="rId9" Type="http://schemas.openxmlformats.org/officeDocument/2006/relationships/hyperlink" Target="https://thediplomat.com/2020/10/myanmar-elections-set-to-exacerbate-erasure-rohingya/" TargetMode="External"/><Relationship Id="rId14" Type="http://schemas.openxmlformats.org/officeDocument/2006/relationships/hyperlink" Target="https://www.brouk.org.uk/brouk-responds-tointernational-development-committee-report-on-rohingya/" TargetMode="External"/><Relationship Id="rId22" Type="http://schemas.openxmlformats.org/officeDocument/2006/relationships/hyperlink" Target="https://www.icj-cij.org/public/files/case-related/178/178-20200123-ORD-01-00-EN.pdf" TargetMode="External"/><Relationship Id="rId27" Type="http://schemas.openxmlformats.org/officeDocument/2006/relationships/hyperlink" Target="https://link.springer.com/article/10.1007/s40802-018-0123-8" TargetMode="External"/><Relationship Id="rId30" Type="http://schemas.openxmlformats.org/officeDocument/2006/relationships/hyperlink" Target="https://www.justiceinitiative.org/uploads/08cbf518-8a19-4601-897b-7187f04cea27/unmaking-americans-insecure-citizenship-in-the-united-states-fact-sheet-20190916.pdf" TargetMode="External"/><Relationship Id="rId35" Type="http://schemas.openxmlformats.org/officeDocument/2006/relationships/hyperlink" Target="https://files.institutesi.org/Covid19_Stateless_Impact_Report.pdf" TargetMode="External"/><Relationship Id="rId8" Type="http://schemas.openxmlformats.org/officeDocument/2006/relationships/hyperlink" Target="https://apnews.com/article/virus-outbreak-race-and-ethnicity-myanmar-general-elections-elections-3c8f96ed7acf3cba2b8ad129fbfe51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B52560-76DE-4465-B7E3-8292AC613459}">
  <ds:schemaRefs>
    <ds:schemaRef ds:uri="http://schemas.openxmlformats.org/officeDocument/2006/bibliography"/>
  </ds:schemaRefs>
</ds:datastoreItem>
</file>

<file path=customXml/itemProps2.xml><?xml version="1.0" encoding="utf-8"?>
<ds:datastoreItem xmlns:ds="http://schemas.openxmlformats.org/officeDocument/2006/customXml" ds:itemID="{6ABCD743-B61E-4F3C-82C2-46A302ADA184}"/>
</file>

<file path=customXml/itemProps3.xml><?xml version="1.0" encoding="utf-8"?>
<ds:datastoreItem xmlns:ds="http://schemas.openxmlformats.org/officeDocument/2006/customXml" ds:itemID="{7D8CA45B-B741-4074-B5AB-70A1440F7BE2}"/>
</file>

<file path=customXml/itemProps4.xml><?xml version="1.0" encoding="utf-8"?>
<ds:datastoreItem xmlns:ds="http://schemas.openxmlformats.org/officeDocument/2006/customXml" ds:itemID="{3A1CDAB1-E5B5-4DEA-90A4-B68DF9D12C0B}"/>
</file>

<file path=docProps/app.xml><?xml version="1.0" encoding="utf-8"?>
<Properties xmlns="http://schemas.openxmlformats.org/officeDocument/2006/extended-properties" xmlns:vt="http://schemas.openxmlformats.org/officeDocument/2006/docPropsVTypes">
  <Template>Normal</Template>
  <TotalTime>36</TotalTime>
  <Pages>9</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Luke</dc:creator>
  <cp:keywords/>
  <dc:description/>
  <cp:lastModifiedBy>Amal de Chickera</cp:lastModifiedBy>
  <cp:revision>3</cp:revision>
  <dcterms:created xsi:type="dcterms:W3CDTF">2020-11-27T17:14:00Z</dcterms:created>
  <dcterms:modified xsi:type="dcterms:W3CDTF">2020-11-30T21:58:00Z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