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5948D8" w:rsidP="00324D8F" w:rsidRDefault="005948D8" w14:paraId="45B6CDE4" wp14:textId="77777777">
      <w:pPr>
        <w:pStyle w:val="Heading1"/>
      </w:pPr>
      <w:r w:rsidRPr="005948D8">
        <w:t>Race, Borders, and Digital Technologies</w:t>
      </w:r>
    </w:p>
    <w:p xmlns:wp14="http://schemas.microsoft.com/office/word/2010/wordml" w:rsidR="005948D8" w:rsidP="005948D8" w:rsidRDefault="005948D8" w14:paraId="32AF5794" wp14:textId="77777777">
      <w:pPr>
        <w:jc w:val="center"/>
        <w:rPr>
          <w:lang w:val="nl-NL" w:eastAsia="en-GB"/>
        </w:rPr>
      </w:pPr>
      <w:r>
        <w:rPr>
          <w:lang w:val="nl-NL" w:eastAsia="en-GB"/>
        </w:rPr>
        <w:t xml:space="preserve">Input </w:t>
      </w:r>
      <w:proofErr w:type="spellStart"/>
      <w:r>
        <w:rPr>
          <w:lang w:val="nl-NL" w:eastAsia="en-GB"/>
        </w:rPr>
        <w:t>by</w:t>
      </w:r>
      <w:proofErr w:type="spellEnd"/>
      <w:r>
        <w:rPr>
          <w:lang w:val="nl-NL" w:eastAsia="en-GB"/>
        </w:rPr>
        <w:t xml:space="preserve"> Dr. Dimitri Van Den Meerssche (Asser Institute)</w:t>
      </w:r>
    </w:p>
    <w:p xmlns:wp14="http://schemas.microsoft.com/office/word/2010/wordml" w:rsidR="005948D8" w:rsidP="005948D8" w:rsidRDefault="005948D8" w14:paraId="672A6659" wp14:textId="77777777">
      <w:pPr>
        <w:jc w:val="center"/>
        <w:rPr>
          <w:lang w:val="nl-NL" w:eastAsia="en-GB"/>
        </w:rPr>
      </w:pPr>
    </w:p>
    <w:p xmlns:wp14="http://schemas.microsoft.com/office/word/2010/wordml" w:rsidR="005948D8" w:rsidP="00324D8F" w:rsidRDefault="005948D8" w14:paraId="78CEC009" wp14:textId="77777777">
      <w:pPr>
        <w:spacing w:before="0" w:after="240"/>
        <w:rPr>
          <w:lang w:val="nl-NL" w:eastAsia="en-GB"/>
        </w:rPr>
      </w:pPr>
      <w:r>
        <w:rPr>
          <w:lang w:val="nl-NL" w:eastAsia="en-GB"/>
        </w:rPr>
        <w:t>Dear Special Rapporteur,</w:t>
      </w:r>
    </w:p>
    <w:p xmlns:wp14="http://schemas.microsoft.com/office/word/2010/wordml" w:rsidR="005948D8" w:rsidP="005948D8" w:rsidRDefault="005948D8" w14:paraId="4CA46066" wp14:textId="77777777">
      <w:pPr>
        <w:rPr>
          <w:lang w:val="en-US" w:eastAsia="en-GB"/>
        </w:rPr>
      </w:pPr>
      <w:r w:rsidRPr="005948D8">
        <w:rPr>
          <w:lang w:val="en-US" w:eastAsia="en-GB"/>
        </w:rPr>
        <w:t>My aim in this contr</w:t>
      </w:r>
      <w:r>
        <w:rPr>
          <w:lang w:val="en-US" w:eastAsia="en-GB"/>
        </w:rPr>
        <w:t xml:space="preserve">ibution is to share some insights from my academic research on emerging digital technologies in practices of border control. These practices entail clear risks of racial (and other forms of) discrimination and inequality. </w:t>
      </w:r>
    </w:p>
    <w:p xmlns:wp14="http://schemas.microsoft.com/office/word/2010/wordml" w:rsidR="000C7502" w:rsidP="000C7502" w:rsidRDefault="000C7502" w14:paraId="3E7A9F1C" wp14:textId="77777777">
      <w:pPr>
        <w:spacing w:before="240" w:after="240"/>
        <w:rPr>
          <w:b/>
          <w:bCs/>
          <w:lang w:val="en-US" w:eastAsia="en-GB"/>
        </w:rPr>
      </w:pPr>
      <w:r>
        <w:rPr>
          <w:b/>
          <w:bCs/>
          <w:lang w:val="en-US" w:eastAsia="en-GB"/>
        </w:rPr>
        <w:t>Introduction</w:t>
      </w:r>
    </w:p>
    <w:p xmlns:wp14="http://schemas.microsoft.com/office/word/2010/wordml" w:rsidR="00461BA6" w:rsidP="00461BA6" w:rsidRDefault="000C7502" w14:paraId="39947475" wp14:textId="77777777">
      <w:pPr>
        <w:spacing w:before="240" w:after="240"/>
        <w:rPr>
          <w:lang w:val="en-US" w:eastAsia="en-GB"/>
        </w:rPr>
      </w:pPr>
      <w:r>
        <w:rPr>
          <w:lang w:val="en-US" w:eastAsia="en-GB"/>
        </w:rPr>
        <w:t>In my academic research</w:t>
      </w:r>
      <w:r w:rsidR="00AB2BF9">
        <w:rPr>
          <w:lang w:val="en-US" w:eastAsia="en-GB"/>
        </w:rPr>
        <w:t>,</w:t>
      </w:r>
      <w:r>
        <w:rPr>
          <w:lang w:val="en-US" w:eastAsia="en-GB"/>
        </w:rPr>
        <w:t xml:space="preserve"> I focus mainly on new technologies of bordering that are being tested and developed with</w:t>
      </w:r>
      <w:r w:rsidR="00FF7C3D">
        <w:rPr>
          <w:lang w:val="en-US" w:eastAsia="en-GB"/>
        </w:rPr>
        <w:t>in</w:t>
      </w:r>
      <w:r>
        <w:rPr>
          <w:lang w:val="en-US" w:eastAsia="en-GB"/>
        </w:rPr>
        <w:t xml:space="preserve"> the European Union (Schengen Zone). </w:t>
      </w:r>
      <w:r w:rsidR="00C736BE">
        <w:rPr>
          <w:lang w:val="en-US" w:eastAsia="en-GB"/>
        </w:rPr>
        <w:t>The pilot projects on which my work focuses are especially importan</w:t>
      </w:r>
      <w:r w:rsidR="00FF7C3D">
        <w:rPr>
          <w:lang w:val="en-US" w:eastAsia="en-GB"/>
        </w:rPr>
        <w:t>t</w:t>
      </w:r>
      <w:r w:rsidR="00C736BE">
        <w:rPr>
          <w:lang w:val="en-US" w:eastAsia="en-GB"/>
        </w:rPr>
        <w:t xml:space="preserve"> in light of the new EU regulation on the ‘interoperability’ of data systems in the domains of migration, border control and security, as well as the recent EU regulation on the ETIAS system (the European Travel Information and Authorization system – equivalent to ESTA).</w:t>
      </w:r>
      <w:r w:rsidR="00C736BE">
        <w:rPr>
          <w:rStyle w:val="FootnoteReference"/>
          <w:lang w:val="en-US" w:eastAsia="en-GB"/>
        </w:rPr>
        <w:footnoteReference w:id="1"/>
      </w:r>
      <w:r w:rsidR="00C736BE">
        <w:rPr>
          <w:lang w:val="en-US" w:eastAsia="en-GB"/>
        </w:rPr>
        <w:t xml:space="preserve"> The latter system should be entering into force into 2021 and orients the decision-making on travel authorization and border control around an algorithmic assessment of ‘security, irregular immigration or high epidemic risk’.</w:t>
      </w:r>
      <w:r w:rsidR="00C736BE">
        <w:rPr>
          <w:rStyle w:val="FootnoteReference"/>
          <w:lang w:val="en-US" w:eastAsia="en-GB"/>
        </w:rPr>
        <w:footnoteReference w:id="2"/>
      </w:r>
      <w:r w:rsidR="00C736BE">
        <w:rPr>
          <w:lang w:val="en-US" w:eastAsia="en-GB"/>
        </w:rPr>
        <w:t xml:space="preserve"> The basic challenge, as articulated by a number of decentralized EU agencies (including Frontex, Europol and Eu-Lisa), is to transform vast amounts of big data into ‘actionable’ information. It is in this translation of data into</w:t>
      </w:r>
      <w:r w:rsidR="00AB2BF9">
        <w:rPr>
          <w:lang w:val="en-US" w:eastAsia="en-GB"/>
        </w:rPr>
        <w:t xml:space="preserve"> accessible</w:t>
      </w:r>
      <w:r w:rsidR="00C736BE">
        <w:rPr>
          <w:lang w:val="en-US" w:eastAsia="en-GB"/>
        </w:rPr>
        <w:t xml:space="preserve"> information (appearing on a</w:t>
      </w:r>
      <w:r w:rsidR="00AB2BF9">
        <w:rPr>
          <w:lang w:val="en-US" w:eastAsia="en-GB"/>
        </w:rPr>
        <w:t xml:space="preserve"> user</w:t>
      </w:r>
      <w:r w:rsidR="00C736BE">
        <w:rPr>
          <w:lang w:val="en-US" w:eastAsia="en-GB"/>
        </w:rPr>
        <w:t xml:space="preserve"> interface) that </w:t>
      </w:r>
      <w:r w:rsidR="00FF7C3D">
        <w:rPr>
          <w:lang w:val="en-US" w:eastAsia="en-GB"/>
        </w:rPr>
        <w:t>tools</w:t>
      </w:r>
      <w:r w:rsidR="00C736BE">
        <w:rPr>
          <w:lang w:val="en-US" w:eastAsia="en-GB"/>
        </w:rPr>
        <w:t xml:space="preserve"> of artificial intelligence </w:t>
      </w:r>
      <w:r w:rsidR="00FF7C3D">
        <w:rPr>
          <w:lang w:val="en-US" w:eastAsia="en-GB"/>
        </w:rPr>
        <w:t>are</w:t>
      </w:r>
      <w:r w:rsidR="00C736BE">
        <w:rPr>
          <w:lang w:val="en-US" w:eastAsia="en-GB"/>
        </w:rPr>
        <w:t xml:space="preserve"> promoted. </w:t>
      </w:r>
      <w:r w:rsidRPr="00C736BE" w:rsidR="00C736BE">
        <w:rPr>
          <w:lang w:val="en-US" w:eastAsia="en-GB"/>
        </w:rPr>
        <w:t>Olivier Onidi, EU Deputy Director-General of DG Migration and Home</w:t>
      </w:r>
      <w:r w:rsidR="00C736BE">
        <w:rPr>
          <w:lang w:val="en-US" w:eastAsia="en-GB"/>
        </w:rPr>
        <w:t xml:space="preserve"> </w:t>
      </w:r>
      <w:r w:rsidRPr="00C736BE" w:rsidR="00C736BE">
        <w:rPr>
          <w:lang w:val="en-US" w:eastAsia="en-GB"/>
        </w:rPr>
        <w:t xml:space="preserve">Affairs, </w:t>
      </w:r>
      <w:r w:rsidR="00C736BE">
        <w:rPr>
          <w:lang w:val="en-US" w:eastAsia="en-GB"/>
        </w:rPr>
        <w:t xml:space="preserve">recently </w:t>
      </w:r>
      <w:r w:rsidRPr="00C736BE" w:rsidR="00C736BE">
        <w:rPr>
          <w:lang w:val="en-US" w:eastAsia="en-GB"/>
        </w:rPr>
        <w:t>claimed that ‘data analytics’ can make ‘data more illustrative for border guards’ and observed</w:t>
      </w:r>
      <w:r w:rsidR="00C736BE">
        <w:rPr>
          <w:lang w:val="en-US" w:eastAsia="en-GB"/>
        </w:rPr>
        <w:t xml:space="preserve"> </w:t>
      </w:r>
      <w:r w:rsidRPr="00C736BE" w:rsidR="00C736BE">
        <w:rPr>
          <w:lang w:val="en-US" w:eastAsia="en-GB"/>
        </w:rPr>
        <w:t>that ‘there is tremendous work being done on artificial intelligence in the EU … to use, combine and</w:t>
      </w:r>
      <w:r w:rsidR="00C736BE">
        <w:rPr>
          <w:lang w:val="en-US" w:eastAsia="en-GB"/>
        </w:rPr>
        <w:t xml:space="preserve"> </w:t>
      </w:r>
      <w:r w:rsidRPr="00C736BE" w:rsidR="00C736BE">
        <w:rPr>
          <w:lang w:val="en-US" w:eastAsia="en-GB"/>
        </w:rPr>
        <w:t xml:space="preserve">spread data’. </w:t>
      </w:r>
      <w:r w:rsidR="00C736BE">
        <w:rPr>
          <w:lang w:val="en-US" w:eastAsia="en-GB"/>
        </w:rPr>
        <w:t>He</w:t>
      </w:r>
      <w:r w:rsidRPr="00C736BE" w:rsidR="00C736BE">
        <w:rPr>
          <w:lang w:val="en-US" w:eastAsia="en-GB"/>
        </w:rPr>
        <w:t xml:space="preserve"> specifically underlined that ‘machine learning has potential’ for ‘vetting persons’, for ‘screening their application files’ and conducting ‘virtual border checks’.</w:t>
      </w:r>
      <w:r w:rsidR="00C736BE">
        <w:rPr>
          <w:lang w:val="en-US" w:eastAsia="en-GB"/>
        </w:rPr>
        <w:t xml:space="preserve"> </w:t>
      </w:r>
      <w:r w:rsidR="00461BA6">
        <w:rPr>
          <w:lang w:val="en-US" w:eastAsia="en-GB"/>
        </w:rPr>
        <w:t>I identify t</w:t>
      </w:r>
      <w:r w:rsidRPr="00461BA6" w:rsidR="00461BA6">
        <w:rPr>
          <w:lang w:val="en-US" w:eastAsia="en-GB"/>
        </w:rPr>
        <w:t>hree stages in</w:t>
      </w:r>
      <w:r w:rsidR="00461BA6">
        <w:rPr>
          <w:lang w:val="en-US" w:eastAsia="en-GB"/>
        </w:rPr>
        <w:t xml:space="preserve"> the</w:t>
      </w:r>
      <w:r w:rsidRPr="00461BA6" w:rsidR="00461BA6">
        <w:rPr>
          <w:lang w:val="en-US" w:eastAsia="en-GB"/>
        </w:rPr>
        <w:t xml:space="preserve"> </w:t>
      </w:r>
      <w:r w:rsidR="00461BA6">
        <w:rPr>
          <w:lang w:val="en-US" w:eastAsia="en-GB"/>
        </w:rPr>
        <w:t>operationalization of</w:t>
      </w:r>
      <w:r w:rsidRPr="00461BA6" w:rsidR="00461BA6">
        <w:rPr>
          <w:lang w:val="en-US" w:eastAsia="en-GB"/>
        </w:rPr>
        <w:t xml:space="preserve"> ‘virtual border</w:t>
      </w:r>
      <w:r w:rsidR="00461BA6">
        <w:rPr>
          <w:lang w:val="en-US" w:eastAsia="en-GB"/>
        </w:rPr>
        <w:t>s</w:t>
      </w:r>
      <w:r w:rsidRPr="00461BA6" w:rsidR="00461BA6">
        <w:rPr>
          <w:lang w:val="en-US" w:eastAsia="en-GB"/>
        </w:rPr>
        <w:t>’: the construction and</w:t>
      </w:r>
      <w:r w:rsidR="00461BA6">
        <w:rPr>
          <w:lang w:val="en-US" w:eastAsia="en-GB"/>
        </w:rPr>
        <w:t xml:space="preserve"> </w:t>
      </w:r>
      <w:r w:rsidRPr="00461BA6" w:rsidR="00461BA6">
        <w:rPr>
          <w:lang w:val="en-US" w:eastAsia="en-GB"/>
        </w:rPr>
        <w:t>maintenance of large-scale information systems, the infrastructure of interoperability between these</w:t>
      </w:r>
      <w:r w:rsidR="00461BA6">
        <w:rPr>
          <w:lang w:val="en-US" w:eastAsia="en-GB"/>
        </w:rPr>
        <w:t xml:space="preserve"> </w:t>
      </w:r>
      <w:r w:rsidRPr="00461BA6" w:rsidR="00461BA6">
        <w:rPr>
          <w:lang w:val="en-US" w:eastAsia="en-GB"/>
        </w:rPr>
        <w:t xml:space="preserve">systems and the </w:t>
      </w:r>
      <w:r w:rsidR="00461BA6">
        <w:rPr>
          <w:lang w:val="en-US" w:eastAsia="en-GB"/>
        </w:rPr>
        <w:t>use</w:t>
      </w:r>
      <w:r w:rsidRPr="00461BA6" w:rsidR="00461BA6">
        <w:rPr>
          <w:lang w:val="en-US" w:eastAsia="en-GB"/>
        </w:rPr>
        <w:t xml:space="preserve"> of algorithmic models that assemble disconnected</w:t>
      </w:r>
      <w:r w:rsidR="00461BA6">
        <w:rPr>
          <w:lang w:val="en-US" w:eastAsia="en-GB"/>
        </w:rPr>
        <w:t xml:space="preserve"> </w:t>
      </w:r>
      <w:r w:rsidRPr="00461BA6" w:rsidR="00461BA6">
        <w:rPr>
          <w:lang w:val="en-US" w:eastAsia="en-GB"/>
        </w:rPr>
        <w:t>data as actionable information.</w:t>
      </w:r>
      <w:r w:rsidR="00461BA6">
        <w:rPr>
          <w:lang w:val="en-US" w:eastAsia="en-GB"/>
        </w:rPr>
        <w:t xml:space="preserve"> </w:t>
      </w:r>
    </w:p>
    <w:p xmlns:wp14="http://schemas.microsoft.com/office/word/2010/wordml" w:rsidR="00461BA6" w:rsidP="00461BA6" w:rsidRDefault="00461BA6" w14:paraId="10F799A2" wp14:textId="77777777">
      <w:pPr>
        <w:spacing w:before="240" w:after="240"/>
        <w:rPr>
          <w:lang w:val="en-US" w:eastAsia="en-GB"/>
        </w:rPr>
      </w:pPr>
      <w:r>
        <w:rPr>
          <w:lang w:val="en-US" w:eastAsia="en-GB"/>
        </w:rPr>
        <w:t>In this brief contribution, I focus on three dimensions of the emerging informational infrastructure of ‘virtual borders’ in the EU: the types of technology, the actors involved and the dominant rationality.</w:t>
      </w:r>
    </w:p>
    <w:p xmlns:wp14="http://schemas.microsoft.com/office/word/2010/wordml" w:rsidR="005948D8" w:rsidP="00C736BE" w:rsidRDefault="00461BA6" w14:paraId="28A73D49" wp14:textId="77777777">
      <w:pPr>
        <w:spacing w:before="240" w:after="240"/>
        <w:rPr>
          <w:b/>
          <w:bCs/>
          <w:lang w:val="en-US" w:eastAsia="en-GB"/>
        </w:rPr>
      </w:pPr>
      <w:r>
        <w:rPr>
          <w:b/>
          <w:bCs/>
          <w:lang w:val="en-US" w:eastAsia="en-GB"/>
        </w:rPr>
        <w:t>T</w:t>
      </w:r>
      <w:r w:rsidRPr="00461BA6" w:rsidR="005948D8">
        <w:rPr>
          <w:b/>
          <w:bCs/>
          <w:lang w:val="en-US" w:eastAsia="en-GB"/>
        </w:rPr>
        <w:t>ypes of digital technologies</w:t>
      </w:r>
    </w:p>
    <w:p xmlns:wp14="http://schemas.microsoft.com/office/word/2010/wordml" w:rsidR="007D4259" w:rsidP="00324D8F" w:rsidRDefault="00AB2BF9" w14:paraId="27E53709" wp14:textId="77777777">
      <w:pPr>
        <w:spacing w:before="240"/>
        <w:rPr>
          <w:lang w:val="en-US" w:eastAsia="en-GB"/>
        </w:rPr>
      </w:pPr>
      <w:r>
        <w:rPr>
          <w:lang w:val="en-US" w:eastAsia="en-GB"/>
        </w:rPr>
        <w:t>Two recently concluded pilot projects – Tresspass and iBorderCtrl – shed light on the types of border control technologies that are being tested and deployed in the EU.</w:t>
      </w:r>
      <w:r w:rsidR="00083AA5">
        <w:rPr>
          <w:rStyle w:val="FootnoteReference"/>
          <w:lang w:val="en-US" w:eastAsia="en-GB"/>
        </w:rPr>
        <w:footnoteReference w:id="3"/>
      </w:r>
      <w:r>
        <w:rPr>
          <w:lang w:val="en-US" w:eastAsia="en-GB"/>
        </w:rPr>
        <w:t xml:space="preserve"> </w:t>
      </w:r>
      <w:r w:rsidRPr="00AB2BF9">
        <w:rPr>
          <w:lang w:val="en-US" w:eastAsia="en-GB"/>
        </w:rPr>
        <w:t>These</w:t>
      </w:r>
      <w:r>
        <w:rPr>
          <w:lang w:val="en-US" w:eastAsia="en-GB"/>
        </w:rPr>
        <w:t xml:space="preserve"> </w:t>
      </w:r>
      <w:r w:rsidRPr="00AB2BF9">
        <w:rPr>
          <w:lang w:val="en-US" w:eastAsia="en-GB"/>
        </w:rPr>
        <w:t>‘state of the art’ border control systems</w:t>
      </w:r>
      <w:r>
        <w:rPr>
          <w:lang w:val="en-US" w:eastAsia="en-GB"/>
        </w:rPr>
        <w:t xml:space="preserve"> – funded by the EU Commission, overseen by Frontex and run by a consortium of consultancy firms, computer scientists and private corporations – </w:t>
      </w:r>
      <w:r w:rsidRPr="00AB2BF9">
        <w:rPr>
          <w:lang w:val="en-US" w:eastAsia="en-GB"/>
        </w:rPr>
        <w:t xml:space="preserve">claim to trade ‘subjective control </w:t>
      </w:r>
      <w:r w:rsidRPr="00AB2BF9">
        <w:rPr>
          <w:lang w:val="en-US" w:eastAsia="en-GB"/>
        </w:rPr>
        <w:lastRenderedPageBreak/>
        <w:t>of human agents’</w:t>
      </w:r>
      <w:r>
        <w:rPr>
          <w:lang w:val="en-US" w:eastAsia="en-GB"/>
        </w:rPr>
        <w:t xml:space="preserve"> </w:t>
      </w:r>
      <w:r w:rsidRPr="00AB2BF9">
        <w:rPr>
          <w:lang w:val="en-US" w:eastAsia="en-GB"/>
        </w:rPr>
        <w:t>for ‘objective control with automated means</w:t>
      </w:r>
      <w:r>
        <w:rPr>
          <w:lang w:val="en-US" w:eastAsia="en-GB"/>
        </w:rPr>
        <w:t>’.</w:t>
      </w:r>
      <w:r w:rsidR="00083AA5">
        <w:rPr>
          <w:lang w:val="en-US" w:eastAsia="en-GB"/>
        </w:rPr>
        <w:t xml:space="preserve"> They function first and foremost to vastly expand the amount and types of data on the basis of which border controls are conducted. The Tresspass system, for example, </w:t>
      </w:r>
      <w:r w:rsidRPr="002267F0" w:rsidR="002267F0">
        <w:rPr>
          <w:lang w:val="en-US" w:eastAsia="en-GB"/>
        </w:rPr>
        <w:t xml:space="preserve">provides the capacity for ‘real-time </w:t>
      </w:r>
      <w:proofErr w:type="spellStart"/>
      <w:r w:rsidRPr="002267F0" w:rsidR="002267F0">
        <w:rPr>
          <w:lang w:val="en-US" w:eastAsia="en-GB"/>
        </w:rPr>
        <w:t>behaviour</w:t>
      </w:r>
      <w:proofErr w:type="spellEnd"/>
      <w:r w:rsidRPr="002267F0" w:rsidR="002267F0">
        <w:rPr>
          <w:lang w:val="en-US" w:eastAsia="en-GB"/>
        </w:rPr>
        <w:t xml:space="preserve"> analytics’ </w:t>
      </w:r>
      <w:r w:rsidR="002267F0">
        <w:rPr>
          <w:lang w:val="en-US" w:eastAsia="en-GB"/>
        </w:rPr>
        <w:t xml:space="preserve">at the border </w:t>
      </w:r>
      <w:r w:rsidRPr="002267F0" w:rsidR="002267F0">
        <w:rPr>
          <w:lang w:val="en-US" w:eastAsia="en-GB"/>
        </w:rPr>
        <w:t>that could detect ‘hidden aspects’ of ‘intent’</w:t>
      </w:r>
      <w:r w:rsidR="002267F0">
        <w:rPr>
          <w:lang w:val="en-US" w:eastAsia="en-GB"/>
        </w:rPr>
        <w:t xml:space="preserve"> </w:t>
      </w:r>
      <w:r w:rsidRPr="002267F0" w:rsidR="002267F0">
        <w:rPr>
          <w:lang w:val="en-US" w:eastAsia="en-GB"/>
        </w:rPr>
        <w:t>and ‘attitude’ through ‘on-site observations’ as well as ‘open source web intelligence and mining’.</w:t>
      </w:r>
      <w:r w:rsidR="002267F0">
        <w:rPr>
          <w:lang w:val="en-US" w:eastAsia="en-GB"/>
        </w:rPr>
        <w:t xml:space="preserve"> </w:t>
      </w:r>
      <w:r w:rsidR="007D4259">
        <w:rPr>
          <w:lang w:val="en-US" w:eastAsia="en-GB"/>
        </w:rPr>
        <w:t>The project calculates ‘risk’ on the basis of ‘observable’ (</w:t>
      </w:r>
      <w:r w:rsidR="002A05B2">
        <w:rPr>
          <w:lang w:val="en-US" w:eastAsia="en-GB"/>
        </w:rPr>
        <w:t>‘</w:t>
      </w:r>
      <w:r w:rsidR="007D4259">
        <w:rPr>
          <w:lang w:val="en-US" w:eastAsia="en-GB"/>
        </w:rPr>
        <w:t>identity</w:t>
      </w:r>
      <w:r w:rsidR="002A05B2">
        <w:rPr>
          <w:lang w:val="en-US" w:eastAsia="en-GB"/>
        </w:rPr>
        <w:t>’</w:t>
      </w:r>
      <w:r w:rsidR="007D4259">
        <w:rPr>
          <w:lang w:val="en-US" w:eastAsia="en-GB"/>
        </w:rPr>
        <w:t xml:space="preserve"> and </w:t>
      </w:r>
      <w:r w:rsidR="002A05B2">
        <w:rPr>
          <w:lang w:val="en-US" w:eastAsia="en-GB"/>
        </w:rPr>
        <w:t>‘</w:t>
      </w:r>
      <w:r w:rsidR="007D4259">
        <w:rPr>
          <w:lang w:val="en-US" w:eastAsia="en-GB"/>
        </w:rPr>
        <w:t>behavior</w:t>
      </w:r>
      <w:r w:rsidR="002A05B2">
        <w:rPr>
          <w:lang w:val="en-US" w:eastAsia="en-GB"/>
        </w:rPr>
        <w:t>’</w:t>
      </w:r>
      <w:r w:rsidR="007D4259">
        <w:rPr>
          <w:lang w:val="en-US" w:eastAsia="en-GB"/>
        </w:rPr>
        <w:t>) as well as ‘hidden’ aspects (‘mental state’, ‘intent’ and ‘capacity’) that are retrieved from ‘biometric technologies’, ‘sensing technologies’ and the ‘l</w:t>
      </w:r>
      <w:r w:rsidRPr="007D4259" w:rsidR="007D4259">
        <w:rPr>
          <w:lang w:val="en-US" w:eastAsia="en-GB"/>
        </w:rPr>
        <w:t>inks to legacy systems and external databases such as VIS/SIS/PNR</w:t>
      </w:r>
      <w:r w:rsidR="007D4259">
        <w:rPr>
          <w:lang w:val="en-US" w:eastAsia="en-GB"/>
        </w:rPr>
        <w:t xml:space="preserve">’. iBorderCtrl, in a similar vein, </w:t>
      </w:r>
      <w:r w:rsidRPr="007D4259" w:rsidR="007D4259">
        <w:rPr>
          <w:lang w:val="en-US" w:eastAsia="en-GB"/>
        </w:rPr>
        <w:t>trade</w:t>
      </w:r>
      <w:r w:rsidR="007D4259">
        <w:rPr>
          <w:lang w:val="en-US" w:eastAsia="en-GB"/>
        </w:rPr>
        <w:t>s</w:t>
      </w:r>
      <w:r w:rsidRPr="007D4259" w:rsidR="007D4259">
        <w:rPr>
          <w:lang w:val="en-US" w:eastAsia="en-GB"/>
        </w:rPr>
        <w:t xml:space="preserve"> technologies of facial recognition (</w:t>
      </w:r>
      <w:r w:rsidR="007D4259">
        <w:rPr>
          <w:lang w:val="en-US" w:eastAsia="en-GB"/>
        </w:rPr>
        <w:t xml:space="preserve">which </w:t>
      </w:r>
      <w:r w:rsidRPr="007D4259" w:rsidR="007D4259">
        <w:rPr>
          <w:lang w:val="en-US" w:eastAsia="en-GB"/>
        </w:rPr>
        <w:t>crossmatch images with databases)</w:t>
      </w:r>
      <w:r w:rsidR="007D4259">
        <w:rPr>
          <w:lang w:val="en-US" w:eastAsia="en-GB"/>
        </w:rPr>
        <w:t xml:space="preserve"> </w:t>
      </w:r>
      <w:r w:rsidRPr="007D4259" w:rsidR="007D4259">
        <w:rPr>
          <w:lang w:val="en-US" w:eastAsia="en-GB"/>
        </w:rPr>
        <w:t xml:space="preserve">for </w:t>
      </w:r>
      <w:r w:rsidR="007D4259">
        <w:rPr>
          <w:lang w:val="en-US" w:eastAsia="en-GB"/>
        </w:rPr>
        <w:t xml:space="preserve">new </w:t>
      </w:r>
      <w:r w:rsidRPr="007D4259" w:rsidR="007D4259">
        <w:rPr>
          <w:lang w:val="en-US" w:eastAsia="en-GB"/>
        </w:rPr>
        <w:t>forms of biophysiological reading: in ‘</w:t>
      </w:r>
      <w:proofErr w:type="spellStart"/>
      <w:r w:rsidRPr="007D4259" w:rsidR="007D4259">
        <w:rPr>
          <w:lang w:val="en-US" w:eastAsia="en-GB"/>
        </w:rPr>
        <w:t>analysing</w:t>
      </w:r>
      <w:proofErr w:type="spellEnd"/>
      <w:r w:rsidRPr="007D4259" w:rsidR="007D4259">
        <w:rPr>
          <w:lang w:val="en-US" w:eastAsia="en-GB"/>
        </w:rPr>
        <w:t xml:space="preserve"> non-verbal micro-expressions’ to ‘quantif[y] the</w:t>
      </w:r>
      <w:r w:rsidR="007D4259">
        <w:rPr>
          <w:lang w:val="en-US" w:eastAsia="en-GB"/>
        </w:rPr>
        <w:t xml:space="preserve"> </w:t>
      </w:r>
      <w:r w:rsidRPr="007D4259" w:rsidR="007D4259">
        <w:rPr>
          <w:lang w:val="en-US" w:eastAsia="en-GB"/>
        </w:rPr>
        <w:t xml:space="preserve">probability of deceit’, </w:t>
      </w:r>
      <w:r w:rsidR="007D4259">
        <w:rPr>
          <w:lang w:val="en-US" w:eastAsia="en-GB"/>
        </w:rPr>
        <w:t>the system</w:t>
      </w:r>
      <w:r w:rsidRPr="007D4259" w:rsidR="007D4259">
        <w:rPr>
          <w:lang w:val="en-US" w:eastAsia="en-GB"/>
        </w:rPr>
        <w:t xml:space="preserve"> claims to have moved ‘beyond biometrics and onto biomarkers</w:t>
      </w:r>
      <w:r w:rsidR="007D4259">
        <w:rPr>
          <w:lang w:val="en-US" w:eastAsia="en-GB"/>
        </w:rPr>
        <w:t xml:space="preserve">’ that could </w:t>
      </w:r>
      <w:r w:rsidRPr="007D4259" w:rsidR="007D4259">
        <w:rPr>
          <w:lang w:val="en-US" w:eastAsia="en-GB"/>
        </w:rPr>
        <w:t xml:space="preserve">read </w:t>
      </w:r>
      <w:r w:rsidR="007D4259">
        <w:rPr>
          <w:lang w:val="en-US" w:eastAsia="en-GB"/>
        </w:rPr>
        <w:t>‘</w:t>
      </w:r>
      <w:r w:rsidRPr="007D4259" w:rsidR="007D4259">
        <w:rPr>
          <w:lang w:val="en-US" w:eastAsia="en-GB"/>
        </w:rPr>
        <w:t>psychological states</w:t>
      </w:r>
      <w:r w:rsidR="007D4259">
        <w:rPr>
          <w:lang w:val="en-US" w:eastAsia="en-GB"/>
        </w:rPr>
        <w:t>’</w:t>
      </w:r>
      <w:r w:rsidRPr="007D4259" w:rsidR="007D4259">
        <w:rPr>
          <w:lang w:val="en-US" w:eastAsia="en-GB"/>
        </w:rPr>
        <w:t xml:space="preserve"> from uncontrollable physical features</w:t>
      </w:r>
      <w:r w:rsidR="007D4259">
        <w:rPr>
          <w:lang w:val="en-US" w:eastAsia="en-GB"/>
        </w:rPr>
        <w:t xml:space="preserve">. In the case of iBorderCtrl, this implies the use of SilentTalker – a patented artificial intelligence tool for lie detection that can be employed for a variety of purposes. </w:t>
      </w:r>
    </w:p>
    <w:p xmlns:wp14="http://schemas.microsoft.com/office/word/2010/wordml" w:rsidR="00461BA6" w:rsidP="00324D8F" w:rsidRDefault="007D4259" w14:paraId="2BDFAAD6" wp14:textId="77777777">
      <w:pPr>
        <w:spacing w:after="240"/>
        <w:rPr>
          <w:lang w:val="en-US" w:eastAsia="en-GB"/>
        </w:rPr>
      </w:pPr>
      <w:r>
        <w:rPr>
          <w:lang w:val="en-US" w:eastAsia="en-GB"/>
        </w:rPr>
        <w:t xml:space="preserve">Both experimental pilot projects share a number of features. First, they drastically increase the amount of data that is assembled at the border: </w:t>
      </w:r>
      <w:r w:rsidR="002867FF">
        <w:rPr>
          <w:lang w:val="en-US" w:eastAsia="en-GB"/>
        </w:rPr>
        <w:t xml:space="preserve">they do not only draw on information already present in public information systems or biometric databases but also develop </w:t>
      </w:r>
      <w:r w:rsidR="00997B28">
        <w:rPr>
          <w:lang w:val="en-US" w:eastAsia="en-GB"/>
        </w:rPr>
        <w:t xml:space="preserve">an </w:t>
      </w:r>
      <w:r w:rsidR="00997B28">
        <w:rPr>
          <w:lang w:val="en-US" w:eastAsia="en-GB"/>
        </w:rPr>
        <w:t>interface with social media platforms (‘open source web intelligence and mining’)</w:t>
      </w:r>
      <w:r w:rsidR="00997B28">
        <w:rPr>
          <w:lang w:val="en-US" w:eastAsia="en-GB"/>
        </w:rPr>
        <w:t xml:space="preserve">, new </w:t>
      </w:r>
      <w:r w:rsidR="002867FF">
        <w:rPr>
          <w:lang w:val="en-US" w:eastAsia="en-GB"/>
        </w:rPr>
        <w:t xml:space="preserve">sensors for real-time behavioral analysis and </w:t>
      </w:r>
      <w:r w:rsidR="00997B28">
        <w:rPr>
          <w:lang w:val="en-US" w:eastAsia="en-GB"/>
        </w:rPr>
        <w:t>an</w:t>
      </w:r>
      <w:r w:rsidR="002867FF">
        <w:rPr>
          <w:lang w:val="en-US" w:eastAsia="en-GB"/>
        </w:rPr>
        <w:t xml:space="preserve"> infrastructure to read and process ‘biomarkers’. Second, they provide a platform for interoperability between various already existing information systems and databases – a technical interconnection of data that is currently scattered. Third, they aim for an automated reading of subjective, psychological states that presumably signal danger or deceit. </w:t>
      </w:r>
      <w:r w:rsidR="00A2628B">
        <w:rPr>
          <w:lang w:val="en-US" w:eastAsia="en-GB"/>
        </w:rPr>
        <w:t>These</w:t>
      </w:r>
      <w:r w:rsidR="002867FF">
        <w:rPr>
          <w:lang w:val="en-US" w:eastAsia="en-GB"/>
        </w:rPr>
        <w:t xml:space="preserve"> projection</w:t>
      </w:r>
      <w:r w:rsidR="00A2628B">
        <w:rPr>
          <w:lang w:val="en-US" w:eastAsia="en-GB"/>
        </w:rPr>
        <w:t>s</w:t>
      </w:r>
      <w:r w:rsidR="002867FF">
        <w:rPr>
          <w:lang w:val="en-US" w:eastAsia="en-GB"/>
        </w:rPr>
        <w:t xml:space="preserve"> </w:t>
      </w:r>
      <w:r w:rsidR="00A2628B">
        <w:rPr>
          <w:lang w:val="en-US" w:eastAsia="en-GB"/>
        </w:rPr>
        <w:t>are</w:t>
      </w:r>
      <w:r w:rsidR="002867FF">
        <w:rPr>
          <w:lang w:val="en-US" w:eastAsia="en-GB"/>
        </w:rPr>
        <w:t xml:space="preserve"> based on </w:t>
      </w:r>
      <w:r w:rsidR="00A2628B">
        <w:rPr>
          <w:lang w:val="en-US" w:eastAsia="en-GB"/>
        </w:rPr>
        <w:t>deep learning tools for visual recognition and anomaly detection traditionally deployed in the security sector.</w:t>
      </w:r>
      <w:r w:rsidR="00A2628B">
        <w:rPr>
          <w:rStyle w:val="FootnoteReference"/>
          <w:lang w:val="en-US" w:eastAsia="en-GB"/>
        </w:rPr>
        <w:footnoteReference w:id="4"/>
      </w:r>
      <w:r w:rsidR="00E4553F">
        <w:rPr>
          <w:lang w:val="en-US" w:eastAsia="en-GB"/>
        </w:rPr>
        <w:t xml:space="preserve"> It has been well </w:t>
      </w:r>
      <w:hyperlink w:history="1" r:id="rId7">
        <w:r w:rsidRPr="00E4553F" w:rsidR="00E4553F">
          <w:rPr>
            <w:rStyle w:val="Hyperlink"/>
            <w:lang w:val="en-US" w:eastAsia="en-GB"/>
          </w:rPr>
          <w:t>documented</w:t>
        </w:r>
      </w:hyperlink>
      <w:r w:rsidR="00E4553F">
        <w:rPr>
          <w:lang w:val="en-US" w:eastAsia="en-GB"/>
        </w:rPr>
        <w:t xml:space="preserve"> how these systems entail clear risks of racial bias and discrimination.</w:t>
      </w:r>
      <w:r w:rsidR="00A2628B">
        <w:rPr>
          <w:lang w:val="en-US" w:eastAsia="en-GB"/>
        </w:rPr>
        <w:t xml:space="preserve"> </w:t>
      </w:r>
    </w:p>
    <w:p xmlns:wp14="http://schemas.microsoft.com/office/word/2010/wordml" w:rsidR="00A2628B" w:rsidP="00324D8F" w:rsidRDefault="00A2628B" w14:paraId="553CDC9C" wp14:textId="77777777">
      <w:pPr>
        <w:spacing w:before="240" w:after="200"/>
        <w:rPr>
          <w:lang w:val="en-US" w:eastAsia="en-GB"/>
        </w:rPr>
      </w:pPr>
      <w:r>
        <w:rPr>
          <w:b/>
          <w:bCs/>
          <w:lang w:val="en-US" w:eastAsia="en-GB"/>
        </w:rPr>
        <w:t>Actors involved</w:t>
      </w:r>
    </w:p>
    <w:p xmlns:wp14="http://schemas.microsoft.com/office/word/2010/wordml" w:rsidR="00A2628B" w:rsidP="00324D8F" w:rsidRDefault="00A2628B" w14:paraId="4AF17592" wp14:textId="77777777">
      <w:pPr>
        <w:spacing w:after="240"/>
        <w:rPr>
          <w:rFonts w:ascii="Times New Roman" w:hAnsi="Times New Roman" w:cs="Times New Roman"/>
          <w:lang w:val="en-GB"/>
        </w:rPr>
      </w:pPr>
      <w:r>
        <w:rPr>
          <w:lang w:val="en-US" w:eastAsia="en-GB"/>
        </w:rPr>
        <w:t xml:space="preserve">The focus on pilot projects not only reveals the types of technology that </w:t>
      </w:r>
      <w:r w:rsidR="003E4F12">
        <w:rPr>
          <w:lang w:val="en-US" w:eastAsia="en-GB"/>
        </w:rPr>
        <w:t>are</w:t>
      </w:r>
      <w:r>
        <w:rPr>
          <w:lang w:val="en-US" w:eastAsia="en-GB"/>
        </w:rPr>
        <w:t xml:space="preserve"> being tested and deployed but also sheds light on which actors are involved in the construction of ‘virtual borders’. It is clear that this construction and the associated need for new digital technologies and </w:t>
      </w:r>
      <w:r w:rsidRPr="00A2628B">
        <w:rPr>
          <w:lang w:val="en-US" w:eastAsia="en-GB"/>
        </w:rPr>
        <w:t>data mining</w:t>
      </w:r>
      <w:r>
        <w:rPr>
          <w:lang w:val="en-US" w:eastAsia="en-GB"/>
        </w:rPr>
        <w:t xml:space="preserve"> models </w:t>
      </w:r>
      <w:r w:rsidRPr="00A2628B">
        <w:rPr>
          <w:lang w:val="en-US" w:eastAsia="en-GB"/>
        </w:rPr>
        <w:t xml:space="preserve">entails a strong reliance on private technology </w:t>
      </w:r>
      <w:r w:rsidR="003E4F12">
        <w:rPr>
          <w:lang w:val="en-US" w:eastAsia="en-GB"/>
        </w:rPr>
        <w:t>corporations</w:t>
      </w:r>
      <w:r w:rsidRPr="00A2628B">
        <w:rPr>
          <w:lang w:val="en-US" w:eastAsia="en-GB"/>
        </w:rPr>
        <w:t xml:space="preserve"> and risk consultancy consortia.</w:t>
      </w:r>
      <w:r>
        <w:rPr>
          <w:lang w:val="en-US" w:eastAsia="en-GB"/>
        </w:rPr>
        <w:t xml:space="preserve"> </w:t>
      </w:r>
      <w:r w:rsidRPr="00A2628B">
        <w:rPr>
          <w:lang w:val="en-US" w:eastAsia="en-GB"/>
        </w:rPr>
        <w:t>While Europol is ‘scouting the market for available [AI] technologies’,</w:t>
      </w:r>
      <w:r>
        <w:rPr>
          <w:rStyle w:val="FootnoteReference"/>
          <w:lang w:val="en-US" w:eastAsia="en-GB"/>
        </w:rPr>
        <w:footnoteReference w:id="5"/>
      </w:r>
      <w:r>
        <w:rPr>
          <w:lang w:val="en-US" w:eastAsia="en-GB"/>
        </w:rPr>
        <w:t xml:space="preserve"> </w:t>
      </w:r>
      <w:r w:rsidRPr="00A2628B">
        <w:rPr>
          <w:lang w:val="en-US" w:eastAsia="en-GB"/>
        </w:rPr>
        <w:t>Frontex has institutionalized</w:t>
      </w:r>
      <w:r>
        <w:rPr>
          <w:lang w:val="en-US" w:eastAsia="en-GB"/>
        </w:rPr>
        <w:t xml:space="preserve"> </w:t>
      </w:r>
      <w:r w:rsidRPr="00A2628B">
        <w:rPr>
          <w:lang w:val="en-US" w:eastAsia="en-GB"/>
        </w:rPr>
        <w:t>this scouting process in the ‘tool’ of ‘technology foresight’ through which ‘industry representatives’</w:t>
      </w:r>
      <w:r>
        <w:rPr>
          <w:lang w:val="en-US" w:eastAsia="en-GB"/>
        </w:rPr>
        <w:t xml:space="preserve"> </w:t>
      </w:r>
      <w:r w:rsidRPr="00A2628B">
        <w:rPr>
          <w:lang w:val="en-US" w:eastAsia="en-GB"/>
        </w:rPr>
        <w:t>are invited to pitch the ‘technologies that may, in a medium or long-term perspective, impact the EU</w:t>
      </w:r>
      <w:r>
        <w:rPr>
          <w:lang w:val="en-US" w:eastAsia="en-GB"/>
        </w:rPr>
        <w:t xml:space="preserve"> </w:t>
      </w:r>
      <w:r>
        <w:rPr>
          <w:rFonts w:ascii="Times New Roman" w:hAnsi="Times New Roman" w:cs="Times New Roman"/>
          <w:lang w:val="en-GB"/>
        </w:rPr>
        <w:t>borders and the Border and Coast Guard community the most’.</w:t>
      </w:r>
      <w:r>
        <w:rPr>
          <w:rStyle w:val="FootnoteReference"/>
          <w:rFonts w:ascii="Times New Roman" w:hAnsi="Times New Roman" w:cs="Times New Roman"/>
          <w:lang w:val="en-GB"/>
        </w:rPr>
        <w:footnoteReference w:id="6"/>
      </w:r>
      <w:r>
        <w:rPr>
          <w:rFonts w:ascii="Times New Roman" w:hAnsi="Times New Roman" w:cs="Times New Roman"/>
          <w:lang w:val="en-GB"/>
        </w:rPr>
        <w:t xml:space="preserve"> EU </w:t>
      </w:r>
      <w:r w:rsidRPr="00A2628B">
        <w:rPr>
          <w:rFonts w:ascii="Times New Roman" w:hAnsi="Times New Roman" w:cs="Times New Roman"/>
          <w:lang w:val="en-GB"/>
        </w:rPr>
        <w:t xml:space="preserve">border </w:t>
      </w:r>
      <w:r>
        <w:rPr>
          <w:rFonts w:ascii="Times New Roman" w:hAnsi="Times New Roman" w:cs="Times New Roman"/>
          <w:lang w:val="en-GB"/>
        </w:rPr>
        <w:t xml:space="preserve">control </w:t>
      </w:r>
      <w:r w:rsidRPr="00A2628B">
        <w:rPr>
          <w:rFonts w:ascii="Times New Roman" w:hAnsi="Times New Roman" w:cs="Times New Roman"/>
          <w:lang w:val="en-GB"/>
        </w:rPr>
        <w:t xml:space="preserve">authorities are not </w:t>
      </w:r>
      <w:r w:rsidRPr="00A2628B">
        <w:rPr>
          <w:rFonts w:ascii="Times New Roman" w:hAnsi="Times New Roman" w:cs="Times New Roman"/>
          <w:lang w:val="en-GB"/>
        </w:rPr>
        <w:lastRenderedPageBreak/>
        <w:t>developing technologies on their own</w:t>
      </w:r>
      <w:r>
        <w:rPr>
          <w:rFonts w:ascii="Times New Roman" w:hAnsi="Times New Roman" w:cs="Times New Roman"/>
          <w:lang w:val="en-GB"/>
        </w:rPr>
        <w:t>, t</w:t>
      </w:r>
      <w:r w:rsidRPr="00A2628B">
        <w:rPr>
          <w:rFonts w:ascii="Times New Roman" w:hAnsi="Times New Roman" w:cs="Times New Roman"/>
          <w:lang w:val="en-GB"/>
        </w:rPr>
        <w:t>hey buy from the market</w:t>
      </w:r>
      <w:r>
        <w:rPr>
          <w:rFonts w:ascii="Times New Roman" w:hAnsi="Times New Roman" w:cs="Times New Roman"/>
          <w:lang w:val="en-GB"/>
        </w:rPr>
        <w:t xml:space="preserve"> (</w:t>
      </w:r>
      <w:r w:rsidRPr="00A2628B">
        <w:rPr>
          <w:rFonts w:ascii="Times New Roman" w:hAnsi="Times New Roman" w:cs="Times New Roman"/>
          <w:lang w:val="en-GB"/>
        </w:rPr>
        <w:t>usually in public procurement</w:t>
      </w:r>
      <w:r>
        <w:rPr>
          <w:rFonts w:ascii="Times New Roman" w:hAnsi="Times New Roman" w:cs="Times New Roman"/>
          <w:lang w:val="en-GB"/>
        </w:rPr>
        <w:t>)</w:t>
      </w:r>
      <w:r w:rsidRPr="00A2628B">
        <w:rPr>
          <w:rFonts w:ascii="Times New Roman" w:hAnsi="Times New Roman" w:cs="Times New Roman"/>
          <w:lang w:val="en-GB"/>
        </w:rPr>
        <w:t>.</w:t>
      </w:r>
      <w:r w:rsidR="00E02A9C">
        <w:rPr>
          <w:rFonts w:ascii="Times New Roman" w:hAnsi="Times New Roman" w:cs="Times New Roman"/>
          <w:lang w:val="en-GB"/>
        </w:rPr>
        <w:t xml:space="preserve"> </w:t>
      </w:r>
      <w:r w:rsidR="00E4553F">
        <w:rPr>
          <w:rFonts w:ascii="Times New Roman" w:hAnsi="Times New Roman" w:cs="Times New Roman"/>
          <w:lang w:val="en-GB"/>
        </w:rPr>
        <w:t xml:space="preserve">One way to conceptualize the pilot projects discussed above is as formations of public-private networks where available tools on the market are tested and traded. </w:t>
      </w:r>
      <w:r w:rsidR="00491258">
        <w:rPr>
          <w:rFonts w:ascii="Times New Roman" w:hAnsi="Times New Roman" w:cs="Times New Roman"/>
          <w:lang w:val="en-GB"/>
        </w:rPr>
        <w:t xml:space="preserve">In </w:t>
      </w:r>
      <w:r w:rsidR="003E4F12">
        <w:rPr>
          <w:rFonts w:ascii="Times New Roman" w:hAnsi="Times New Roman" w:cs="Times New Roman"/>
          <w:lang w:val="en-GB"/>
        </w:rPr>
        <w:t xml:space="preserve">the </w:t>
      </w:r>
      <w:r w:rsidR="00491258">
        <w:rPr>
          <w:rFonts w:ascii="Times New Roman" w:hAnsi="Times New Roman" w:cs="Times New Roman"/>
          <w:lang w:val="en-GB"/>
        </w:rPr>
        <w:t xml:space="preserve">iBorderCtrl </w:t>
      </w:r>
      <w:r w:rsidR="00491258">
        <w:rPr>
          <w:rFonts w:ascii="Times New Roman" w:hAnsi="Times New Roman" w:cs="Times New Roman"/>
          <w:lang w:val="en-GB"/>
        </w:rPr>
        <w:t>consortium</w:t>
      </w:r>
      <w:r w:rsidR="00491258">
        <w:rPr>
          <w:rFonts w:ascii="Times New Roman" w:hAnsi="Times New Roman" w:cs="Times New Roman"/>
          <w:lang w:val="en-GB"/>
        </w:rPr>
        <w:t xml:space="preserve">, for example, we find border control agencies (from Hungary, Latvia and Greece) and academic institutions side by side with consultancy firms (such as </w:t>
      </w:r>
      <w:proofErr w:type="spellStart"/>
      <w:r w:rsidR="00491258">
        <w:rPr>
          <w:rFonts w:ascii="Times New Roman" w:hAnsi="Times New Roman" w:cs="Times New Roman"/>
          <w:lang w:val="en-GB"/>
        </w:rPr>
        <w:t>Everis</w:t>
      </w:r>
      <w:proofErr w:type="spellEnd"/>
      <w:r w:rsidR="00491258">
        <w:rPr>
          <w:rFonts w:ascii="Times New Roman" w:hAnsi="Times New Roman" w:cs="Times New Roman"/>
          <w:lang w:val="en-GB"/>
        </w:rPr>
        <w:t xml:space="preserve"> or European Dynamics) as well as private technology and security actors specialized in biometric</w:t>
      </w:r>
      <w:r w:rsidR="00DC2453">
        <w:rPr>
          <w:rFonts w:ascii="Times New Roman" w:hAnsi="Times New Roman" w:cs="Times New Roman"/>
          <w:lang w:val="en-GB"/>
        </w:rPr>
        <w:t>s</w:t>
      </w:r>
      <w:r w:rsidR="00491258">
        <w:rPr>
          <w:rFonts w:ascii="Times New Roman" w:hAnsi="Times New Roman" w:cs="Times New Roman"/>
          <w:lang w:val="en-GB"/>
        </w:rPr>
        <w:t xml:space="preserve"> and artificial intelligence</w:t>
      </w:r>
      <w:r w:rsidR="003E4F12">
        <w:rPr>
          <w:rFonts w:ascii="Times New Roman" w:hAnsi="Times New Roman" w:cs="Times New Roman"/>
          <w:lang w:val="en-GB"/>
        </w:rPr>
        <w:t xml:space="preserve"> </w:t>
      </w:r>
      <w:r w:rsidR="003E4F12">
        <w:rPr>
          <w:rFonts w:ascii="Times New Roman" w:hAnsi="Times New Roman" w:cs="Times New Roman"/>
          <w:lang w:val="en-GB"/>
        </w:rPr>
        <w:t xml:space="preserve">(such as </w:t>
      </w:r>
      <w:proofErr w:type="spellStart"/>
      <w:r w:rsidR="003E4F12">
        <w:rPr>
          <w:rFonts w:ascii="Times New Roman" w:hAnsi="Times New Roman" w:cs="Times New Roman"/>
          <w:lang w:val="en-GB"/>
        </w:rPr>
        <w:t>BioSec</w:t>
      </w:r>
      <w:proofErr w:type="spellEnd"/>
      <w:r w:rsidR="003E4F12">
        <w:rPr>
          <w:rFonts w:ascii="Times New Roman" w:hAnsi="Times New Roman" w:cs="Times New Roman"/>
          <w:lang w:val="en-GB"/>
        </w:rPr>
        <w:t xml:space="preserve"> and </w:t>
      </w:r>
      <w:r w:rsidR="003E4F12">
        <w:rPr>
          <w:rFonts w:ascii="Times New Roman" w:hAnsi="Times New Roman" w:cs="Times New Roman"/>
          <w:lang w:val="en-GB"/>
        </w:rPr>
        <w:t>JAS</w:t>
      </w:r>
      <w:r w:rsidR="003E4F12">
        <w:rPr>
          <w:rFonts w:ascii="Times New Roman" w:hAnsi="Times New Roman" w:cs="Times New Roman"/>
          <w:lang w:val="en-GB"/>
        </w:rPr>
        <w:t>)</w:t>
      </w:r>
      <w:r w:rsidR="00491258">
        <w:rPr>
          <w:rFonts w:ascii="Times New Roman" w:hAnsi="Times New Roman" w:cs="Times New Roman"/>
          <w:lang w:val="en-GB"/>
        </w:rPr>
        <w:t xml:space="preserve">. In the same vein, the Tresspass consortium employs the services of </w:t>
      </w:r>
      <w:r w:rsidRPr="00491258" w:rsidR="00491258">
        <w:rPr>
          <w:rFonts w:ascii="Times New Roman" w:hAnsi="Times New Roman" w:cs="Times New Roman"/>
          <w:lang w:val="en-GB"/>
        </w:rPr>
        <w:t>Vicarious Perception Technologies</w:t>
      </w:r>
      <w:r w:rsidR="00491258">
        <w:rPr>
          <w:rFonts w:ascii="Times New Roman" w:hAnsi="Times New Roman" w:cs="Times New Roman"/>
          <w:lang w:val="en-GB"/>
        </w:rPr>
        <w:t xml:space="preserve"> for its ‘</w:t>
      </w:r>
      <w:r w:rsidRPr="00491258" w:rsidR="00491258">
        <w:rPr>
          <w:rFonts w:ascii="Times New Roman" w:hAnsi="Times New Roman" w:cs="Times New Roman"/>
          <w:lang w:val="en-GB"/>
        </w:rPr>
        <w:t>people tracking, person re-identification and stress detection solutions</w:t>
      </w:r>
      <w:r w:rsidR="00491258">
        <w:rPr>
          <w:rFonts w:ascii="Times New Roman" w:hAnsi="Times New Roman" w:cs="Times New Roman"/>
          <w:lang w:val="en-GB"/>
        </w:rPr>
        <w:t>’</w:t>
      </w:r>
      <w:r w:rsidR="000829BE">
        <w:rPr>
          <w:rFonts w:ascii="Times New Roman" w:hAnsi="Times New Roman" w:cs="Times New Roman"/>
          <w:lang w:val="en-GB"/>
        </w:rPr>
        <w:t xml:space="preserve"> – a corporation priding itself on having designed the ‘world’s first tool capable of automatically analysing facial expression</w:t>
      </w:r>
      <w:r w:rsidR="003E4F12">
        <w:rPr>
          <w:rFonts w:ascii="Times New Roman" w:hAnsi="Times New Roman" w:cs="Times New Roman"/>
          <w:lang w:val="en-GB"/>
        </w:rPr>
        <w:t>s</w:t>
      </w:r>
      <w:r w:rsidR="000829BE">
        <w:rPr>
          <w:rFonts w:ascii="Times New Roman" w:hAnsi="Times New Roman" w:cs="Times New Roman"/>
          <w:lang w:val="en-GB"/>
        </w:rPr>
        <w:t xml:space="preserve">’. The </w:t>
      </w:r>
      <w:r w:rsidR="003E4F12">
        <w:rPr>
          <w:rFonts w:ascii="Times New Roman" w:hAnsi="Times New Roman" w:cs="Times New Roman"/>
          <w:lang w:val="en-GB"/>
        </w:rPr>
        <w:t>‘</w:t>
      </w:r>
      <w:r w:rsidR="000829BE">
        <w:rPr>
          <w:rFonts w:ascii="Times New Roman" w:hAnsi="Times New Roman" w:cs="Times New Roman"/>
          <w:lang w:val="en-GB"/>
        </w:rPr>
        <w:t>security and intelligence</w:t>
      </w:r>
      <w:r w:rsidR="003E4F12">
        <w:rPr>
          <w:rFonts w:ascii="Times New Roman" w:hAnsi="Times New Roman" w:cs="Times New Roman"/>
          <w:lang w:val="en-GB"/>
        </w:rPr>
        <w:t>’</w:t>
      </w:r>
      <w:r w:rsidR="000829BE">
        <w:rPr>
          <w:rFonts w:ascii="Times New Roman" w:hAnsi="Times New Roman" w:cs="Times New Roman"/>
          <w:lang w:val="en-GB"/>
        </w:rPr>
        <w:t xml:space="preserve"> firm </w:t>
      </w:r>
      <w:proofErr w:type="spellStart"/>
      <w:r w:rsidR="000829BE">
        <w:rPr>
          <w:rFonts w:ascii="Times New Roman" w:hAnsi="Times New Roman" w:cs="Times New Roman"/>
          <w:lang w:val="en-GB"/>
        </w:rPr>
        <w:t>Zanasi</w:t>
      </w:r>
      <w:proofErr w:type="spellEnd"/>
      <w:r w:rsidR="000829BE">
        <w:rPr>
          <w:rFonts w:ascii="Times New Roman" w:hAnsi="Times New Roman" w:cs="Times New Roman"/>
          <w:lang w:val="en-GB"/>
        </w:rPr>
        <w:t xml:space="preserve"> &amp; Partners ‘</w:t>
      </w:r>
      <w:r w:rsidRPr="000829BE" w:rsidR="000829BE">
        <w:rPr>
          <w:rFonts w:ascii="Times New Roman" w:hAnsi="Times New Roman" w:cs="Times New Roman"/>
          <w:lang w:val="en-GB"/>
        </w:rPr>
        <w:t>will leverage its expertise in risk assessment methodologies and human factors in border control to drive the identification of risk indicators and support the definition of methods for threat and risk assessment</w:t>
      </w:r>
      <w:r w:rsidR="000829BE">
        <w:rPr>
          <w:rFonts w:ascii="Times New Roman" w:hAnsi="Times New Roman" w:cs="Times New Roman"/>
          <w:lang w:val="en-GB"/>
        </w:rPr>
        <w:t xml:space="preserve">’. </w:t>
      </w:r>
      <w:r w:rsidR="00DC2453">
        <w:rPr>
          <w:rFonts w:ascii="Times New Roman" w:hAnsi="Times New Roman" w:cs="Times New Roman"/>
          <w:lang w:val="en-GB"/>
        </w:rPr>
        <w:t>When looking at the emergence of ‘virtual borders’ through the prism of the</w:t>
      </w:r>
      <w:r w:rsidR="00B31008">
        <w:rPr>
          <w:rFonts w:ascii="Times New Roman" w:hAnsi="Times New Roman" w:cs="Times New Roman"/>
          <w:lang w:val="en-GB"/>
        </w:rPr>
        <w:t>se</w:t>
      </w:r>
      <w:r w:rsidR="00DC2453">
        <w:rPr>
          <w:rFonts w:ascii="Times New Roman" w:hAnsi="Times New Roman" w:cs="Times New Roman"/>
          <w:lang w:val="en-GB"/>
        </w:rPr>
        <w:t xml:space="preserve"> pilot project</w:t>
      </w:r>
      <w:r w:rsidR="00B31008">
        <w:rPr>
          <w:rFonts w:ascii="Times New Roman" w:hAnsi="Times New Roman" w:cs="Times New Roman"/>
          <w:lang w:val="en-GB"/>
        </w:rPr>
        <w:t>s</w:t>
      </w:r>
      <w:r w:rsidR="00DC2453">
        <w:rPr>
          <w:rFonts w:ascii="Times New Roman" w:hAnsi="Times New Roman" w:cs="Times New Roman"/>
          <w:lang w:val="en-GB"/>
        </w:rPr>
        <w:t xml:space="preserve">, in other words, what we see is the alignment of security logics with </w:t>
      </w:r>
      <w:r w:rsidR="008B784C">
        <w:rPr>
          <w:rFonts w:ascii="Times New Roman" w:hAnsi="Times New Roman" w:cs="Times New Roman"/>
          <w:lang w:val="en-GB"/>
        </w:rPr>
        <w:t xml:space="preserve">the </w:t>
      </w:r>
      <w:r w:rsidR="00DC2453">
        <w:rPr>
          <w:rFonts w:ascii="Times New Roman" w:hAnsi="Times New Roman" w:cs="Times New Roman"/>
          <w:lang w:val="en-GB"/>
        </w:rPr>
        <w:t xml:space="preserve">private sector interest </w:t>
      </w:r>
      <w:r w:rsidR="008B784C">
        <w:rPr>
          <w:rFonts w:ascii="Times New Roman" w:hAnsi="Times New Roman" w:cs="Times New Roman"/>
          <w:lang w:val="en-GB"/>
        </w:rPr>
        <w:t>of</w:t>
      </w:r>
      <w:r w:rsidR="00DC2453">
        <w:rPr>
          <w:rFonts w:ascii="Times New Roman" w:hAnsi="Times New Roman" w:cs="Times New Roman"/>
          <w:lang w:val="en-GB"/>
        </w:rPr>
        <w:t xml:space="preserve"> selling ‘state of the art’ artificial intelligence tools and risk modelling systems. This has obvious repercussions on the level of political decision-making, transparency (most of the new sensors and models deployed by iBorderCtrl and Tresspass are patent-protected and not open to scrutiny) and democratic control.</w:t>
      </w:r>
    </w:p>
    <w:p xmlns:wp14="http://schemas.microsoft.com/office/word/2010/wordml" w:rsidR="00DC2453" w:rsidP="00ED27F5" w:rsidRDefault="00DC2453" w14:paraId="7D50345F" wp14:textId="77777777">
      <w:pPr>
        <w:spacing w:before="200"/>
        <w:rPr>
          <w:rFonts w:ascii="Times New Roman" w:hAnsi="Times New Roman" w:cs="Times New Roman"/>
          <w:lang w:val="en-GB"/>
        </w:rPr>
      </w:pPr>
      <w:r>
        <w:rPr>
          <w:rFonts w:ascii="Times New Roman" w:hAnsi="Times New Roman" w:cs="Times New Roman"/>
          <w:b/>
          <w:bCs/>
          <w:lang w:val="en-GB"/>
        </w:rPr>
        <w:t>Logics and rationalities</w:t>
      </w:r>
    </w:p>
    <w:p xmlns:wp14="http://schemas.microsoft.com/office/word/2010/wordml" w:rsidR="00DC2453" w:rsidP="00637957" w:rsidRDefault="00DC2453" w14:paraId="2788C229" wp14:textId="77777777">
      <w:pPr>
        <w:spacing w:before="160"/>
        <w:rPr>
          <w:lang w:val="en-US" w:eastAsia="en-GB"/>
        </w:rPr>
      </w:pPr>
      <w:r>
        <w:rPr>
          <w:rFonts w:ascii="Times New Roman" w:hAnsi="Times New Roman" w:cs="Times New Roman"/>
          <w:lang w:val="en-GB"/>
        </w:rPr>
        <w:t>Associated with the prev</w:t>
      </w:r>
      <w:r w:rsidR="008A576A">
        <w:rPr>
          <w:rFonts w:ascii="Times New Roman" w:hAnsi="Times New Roman" w:cs="Times New Roman"/>
          <w:lang w:val="en-GB"/>
        </w:rPr>
        <w:t xml:space="preserve">ious point is the </w:t>
      </w:r>
      <w:r w:rsidR="00FB3110">
        <w:rPr>
          <w:rFonts w:ascii="Times New Roman" w:hAnsi="Times New Roman" w:cs="Times New Roman"/>
          <w:lang w:val="en-GB"/>
        </w:rPr>
        <w:t>prevalence of a</w:t>
      </w:r>
      <w:r w:rsidRPr="00FB3110" w:rsidR="00FB3110">
        <w:rPr>
          <w:rFonts w:ascii="Times New Roman" w:hAnsi="Times New Roman" w:cs="Times New Roman"/>
          <w:lang w:val="en-GB"/>
        </w:rPr>
        <w:t xml:space="preserve"> sociotechnical imaginary in which political dilemmas are displaced by the invocation of</w:t>
      </w:r>
      <w:r w:rsidR="00FB3110">
        <w:rPr>
          <w:rFonts w:ascii="Times New Roman" w:hAnsi="Times New Roman" w:cs="Times New Roman"/>
          <w:lang w:val="en-GB"/>
        </w:rPr>
        <w:t xml:space="preserve"> </w:t>
      </w:r>
      <w:r w:rsidRPr="00FB3110" w:rsidR="00FB3110">
        <w:rPr>
          <w:rFonts w:ascii="Times New Roman" w:hAnsi="Times New Roman" w:cs="Times New Roman"/>
          <w:lang w:val="en-GB"/>
        </w:rPr>
        <w:t xml:space="preserve">technological </w:t>
      </w:r>
      <w:r w:rsidR="00FB3110">
        <w:rPr>
          <w:rFonts w:ascii="Times New Roman" w:hAnsi="Times New Roman" w:cs="Times New Roman"/>
          <w:lang w:val="en-GB"/>
        </w:rPr>
        <w:t xml:space="preserve">objectivity and </w:t>
      </w:r>
      <w:r w:rsidRPr="00FB3110" w:rsidR="00FB3110">
        <w:rPr>
          <w:rFonts w:ascii="Times New Roman" w:hAnsi="Times New Roman" w:cs="Times New Roman"/>
          <w:lang w:val="en-GB"/>
        </w:rPr>
        <w:t>progress.</w:t>
      </w:r>
      <w:r w:rsidR="005357FF">
        <w:rPr>
          <w:rFonts w:ascii="Times New Roman" w:hAnsi="Times New Roman" w:cs="Times New Roman"/>
          <w:lang w:val="en-GB"/>
        </w:rPr>
        <w:t xml:space="preserve"> This is what we clearly observe in the </w:t>
      </w:r>
      <w:r w:rsidR="008B68C0">
        <w:rPr>
          <w:rFonts w:ascii="Times New Roman" w:hAnsi="Times New Roman" w:cs="Times New Roman"/>
          <w:lang w:val="en-GB"/>
        </w:rPr>
        <w:t>assertion</w:t>
      </w:r>
      <w:r w:rsidR="005357FF">
        <w:rPr>
          <w:rFonts w:ascii="Times New Roman" w:hAnsi="Times New Roman" w:cs="Times New Roman"/>
          <w:lang w:val="en-GB"/>
        </w:rPr>
        <w:t xml:space="preserve"> by iBorderCtrl that ‘subjective’, ‘human’ decision-making is traded for </w:t>
      </w:r>
      <w:r w:rsidRPr="00AB2BF9" w:rsidR="005357FF">
        <w:rPr>
          <w:lang w:val="en-US" w:eastAsia="en-GB"/>
        </w:rPr>
        <w:t>‘objective control with automated means</w:t>
      </w:r>
      <w:r w:rsidR="005357FF">
        <w:rPr>
          <w:lang w:val="en-US" w:eastAsia="en-GB"/>
        </w:rPr>
        <w:t>’</w:t>
      </w:r>
      <w:r w:rsidR="005357FF">
        <w:rPr>
          <w:lang w:val="en-US" w:eastAsia="en-GB"/>
        </w:rPr>
        <w:t xml:space="preserve">. It is also prevalent in other EU policies and legislations, such as the ECRIS-TCN regulation (installing a criminal records information system for third-country nationals), which </w:t>
      </w:r>
      <w:r w:rsidRPr="005357FF" w:rsidR="005357FF">
        <w:rPr>
          <w:lang w:val="en-US" w:eastAsia="en-GB"/>
        </w:rPr>
        <w:t>grants the EU</w:t>
      </w:r>
      <w:r w:rsidR="005357FF">
        <w:rPr>
          <w:lang w:val="en-US" w:eastAsia="en-GB"/>
        </w:rPr>
        <w:t xml:space="preserve"> </w:t>
      </w:r>
      <w:r w:rsidRPr="005357FF" w:rsidR="005357FF">
        <w:rPr>
          <w:lang w:val="en-US" w:eastAsia="en-GB"/>
        </w:rPr>
        <w:t>Commission the delegated power to adopt facial recognition policies employing automated biometric</w:t>
      </w:r>
      <w:r w:rsidR="005357FF">
        <w:rPr>
          <w:lang w:val="en-US" w:eastAsia="en-GB"/>
        </w:rPr>
        <w:t xml:space="preserve"> </w:t>
      </w:r>
      <w:r w:rsidRPr="005357FF" w:rsidR="005357FF">
        <w:rPr>
          <w:lang w:val="en-US" w:eastAsia="en-GB"/>
        </w:rPr>
        <w:t xml:space="preserve">verification whenever these technologies </w:t>
      </w:r>
      <w:r w:rsidR="005357FF">
        <w:rPr>
          <w:lang w:val="en-US" w:eastAsia="en-GB"/>
        </w:rPr>
        <w:t>‘</w:t>
      </w:r>
      <w:r w:rsidRPr="005357FF" w:rsidR="005357FF">
        <w:rPr>
          <w:lang w:val="en-US" w:eastAsia="en-GB"/>
        </w:rPr>
        <w:t>become available</w:t>
      </w:r>
      <w:r w:rsidR="005357FF">
        <w:rPr>
          <w:lang w:val="en-US" w:eastAsia="en-GB"/>
        </w:rPr>
        <w:t>’</w:t>
      </w:r>
      <w:r w:rsidRPr="005357FF" w:rsidR="005357FF">
        <w:rPr>
          <w:lang w:val="en-US" w:eastAsia="en-GB"/>
        </w:rPr>
        <w:t>.</w:t>
      </w:r>
      <w:r w:rsidR="005357FF">
        <w:rPr>
          <w:lang w:val="en-US" w:eastAsia="en-GB"/>
        </w:rPr>
        <w:t xml:space="preserve"> </w:t>
      </w:r>
      <w:r w:rsidRPr="005357FF" w:rsidR="005357FF">
        <w:rPr>
          <w:lang w:val="en-US" w:eastAsia="en-GB"/>
        </w:rPr>
        <w:t>This is an explicit deference of legislative</w:t>
      </w:r>
      <w:r w:rsidR="005357FF">
        <w:rPr>
          <w:lang w:val="en-US" w:eastAsia="en-GB"/>
        </w:rPr>
        <w:t xml:space="preserve"> </w:t>
      </w:r>
      <w:r w:rsidRPr="005357FF" w:rsidR="005357FF">
        <w:rPr>
          <w:lang w:val="en-US" w:eastAsia="en-GB"/>
        </w:rPr>
        <w:t xml:space="preserve">power </w:t>
      </w:r>
      <w:r w:rsidR="005357FF">
        <w:rPr>
          <w:lang w:val="en-US" w:eastAsia="en-GB"/>
        </w:rPr>
        <w:t>to</w:t>
      </w:r>
      <w:r w:rsidRPr="005357FF" w:rsidR="005357FF">
        <w:rPr>
          <w:lang w:val="en-US" w:eastAsia="en-GB"/>
        </w:rPr>
        <w:t xml:space="preserve"> a speculative futurity of technological enhancement</w:t>
      </w:r>
      <w:r w:rsidR="005357FF">
        <w:rPr>
          <w:lang w:val="en-US" w:eastAsia="en-GB"/>
        </w:rPr>
        <w:t xml:space="preserve">. </w:t>
      </w:r>
    </w:p>
    <w:p xmlns:wp14="http://schemas.microsoft.com/office/word/2010/wordml" w:rsidRPr="00324D8F" w:rsidR="00E25523" w:rsidP="00637957" w:rsidRDefault="005357FF" w14:paraId="02637316" wp14:textId="77777777">
      <w:pPr>
        <w:spacing w:after="0"/>
        <w:rPr>
          <w:lang w:val="en-US" w:eastAsia="en-GB"/>
        </w:rPr>
      </w:pPr>
      <w:r>
        <w:rPr>
          <w:lang w:val="en-US" w:eastAsia="en-GB"/>
        </w:rPr>
        <w:t xml:space="preserve">Yet, while narratives of techno-optimism </w:t>
      </w:r>
      <w:r w:rsidR="00406C47">
        <w:rPr>
          <w:lang w:val="en-US" w:eastAsia="en-GB"/>
        </w:rPr>
        <w:t>or</w:t>
      </w:r>
      <w:r>
        <w:rPr>
          <w:lang w:val="en-US" w:eastAsia="en-GB"/>
        </w:rPr>
        <w:t xml:space="preserve"> neutrality are</w:t>
      </w:r>
      <w:r w:rsidR="00A045C4">
        <w:rPr>
          <w:lang w:val="en-US" w:eastAsia="en-GB"/>
        </w:rPr>
        <w:t xml:space="preserve"> omnipresent</w:t>
      </w:r>
      <w:r w:rsidR="00324D8F">
        <w:rPr>
          <w:lang w:val="en-US" w:eastAsia="en-GB"/>
        </w:rPr>
        <w:t xml:space="preserve">, I conclude by </w:t>
      </w:r>
      <w:r w:rsidR="00406C47">
        <w:rPr>
          <w:lang w:val="en-US" w:eastAsia="en-GB"/>
        </w:rPr>
        <w:t>pointing to</w:t>
      </w:r>
      <w:r w:rsidR="00324D8F">
        <w:rPr>
          <w:lang w:val="en-US" w:eastAsia="en-GB"/>
        </w:rPr>
        <w:t xml:space="preserve"> </w:t>
      </w:r>
      <w:r w:rsidR="00406C47">
        <w:rPr>
          <w:lang w:val="en-US" w:eastAsia="en-GB"/>
        </w:rPr>
        <w:t>the central logic at play in both Tresspass and iBorderCtrl:</w:t>
      </w:r>
      <w:r w:rsidR="00324D8F">
        <w:rPr>
          <w:lang w:val="en-US" w:eastAsia="en-GB"/>
        </w:rPr>
        <w:t xml:space="preserve"> </w:t>
      </w:r>
      <w:r w:rsidR="00406C47">
        <w:rPr>
          <w:lang w:val="en-US" w:eastAsia="en-GB"/>
        </w:rPr>
        <w:t>the</w:t>
      </w:r>
      <w:r w:rsidR="00324D8F">
        <w:rPr>
          <w:lang w:val="en-US" w:eastAsia="en-GB"/>
        </w:rPr>
        <w:t xml:space="preserve"> rationality of risk</w:t>
      </w:r>
      <w:r w:rsidR="00406C47">
        <w:rPr>
          <w:lang w:val="en-US" w:eastAsia="en-GB"/>
        </w:rPr>
        <w:t>. This entails</w:t>
      </w:r>
      <w:r w:rsidR="00324D8F">
        <w:rPr>
          <w:lang w:val="en-US" w:eastAsia="en-GB"/>
        </w:rPr>
        <w:t xml:space="preserve"> an extension of post-9/11 security discourse</w:t>
      </w:r>
      <w:r w:rsidR="00406C47">
        <w:rPr>
          <w:lang w:val="en-US" w:eastAsia="en-GB"/>
        </w:rPr>
        <w:t>s,</w:t>
      </w:r>
      <w:r w:rsidR="00324D8F">
        <w:rPr>
          <w:lang w:val="en-US" w:eastAsia="en-GB"/>
        </w:rPr>
        <w:t xml:space="preserve"> infused with</w:t>
      </w:r>
      <w:r w:rsidR="00406C47">
        <w:rPr>
          <w:lang w:val="en-US" w:eastAsia="en-GB"/>
        </w:rPr>
        <w:t xml:space="preserve"> </w:t>
      </w:r>
      <w:r w:rsidR="00B31008">
        <w:rPr>
          <w:lang w:val="en-US" w:eastAsia="en-GB"/>
        </w:rPr>
        <w:t xml:space="preserve">the </w:t>
      </w:r>
      <w:r w:rsidR="00324D8F">
        <w:rPr>
          <w:lang w:val="en-US" w:eastAsia="en-GB"/>
        </w:rPr>
        <w:t>promise</w:t>
      </w:r>
      <w:r w:rsidR="00406C47">
        <w:rPr>
          <w:lang w:val="en-US" w:eastAsia="en-GB"/>
        </w:rPr>
        <w:t xml:space="preserve"> of enhanced</w:t>
      </w:r>
      <w:r w:rsidR="00324D8F">
        <w:rPr>
          <w:lang w:val="en-US" w:eastAsia="en-GB"/>
        </w:rPr>
        <w:t xml:space="preserve"> algorithmic </w:t>
      </w:r>
      <w:r w:rsidR="00406C47">
        <w:rPr>
          <w:lang w:val="en-US" w:eastAsia="en-GB"/>
        </w:rPr>
        <w:t xml:space="preserve">pattern detection. Aiming to translate </w:t>
      </w:r>
      <w:r w:rsidRPr="00324D8F" w:rsidR="00324D8F">
        <w:rPr>
          <w:lang w:val="en-US" w:eastAsia="en-GB"/>
        </w:rPr>
        <w:t xml:space="preserve">disaggregated data in formats amenable to </w:t>
      </w:r>
      <w:r w:rsidR="00406C47">
        <w:rPr>
          <w:lang w:val="en-US" w:eastAsia="en-GB"/>
        </w:rPr>
        <w:t>automation</w:t>
      </w:r>
      <w:r w:rsidRPr="00324D8F" w:rsidR="00324D8F">
        <w:rPr>
          <w:lang w:val="en-US" w:eastAsia="en-GB"/>
        </w:rPr>
        <w:t>,</w:t>
      </w:r>
      <w:r w:rsidR="00324D8F">
        <w:rPr>
          <w:lang w:val="en-US" w:eastAsia="en-GB"/>
        </w:rPr>
        <w:t xml:space="preserve"> </w:t>
      </w:r>
      <w:r w:rsidRPr="00324D8F" w:rsidR="00324D8F">
        <w:rPr>
          <w:lang w:val="en-US" w:eastAsia="en-GB"/>
        </w:rPr>
        <w:t xml:space="preserve">Tresspass </w:t>
      </w:r>
      <w:r w:rsidR="00406C47">
        <w:rPr>
          <w:lang w:val="en-US" w:eastAsia="en-GB"/>
        </w:rPr>
        <w:t>designs</w:t>
      </w:r>
      <w:r w:rsidRPr="00324D8F" w:rsidR="00324D8F">
        <w:rPr>
          <w:lang w:val="en-US" w:eastAsia="en-GB"/>
        </w:rPr>
        <w:t xml:space="preserve"> a ‘single cohesive risk</w:t>
      </w:r>
      <w:r w:rsidR="00ED27F5">
        <w:rPr>
          <w:lang w:val="en-US" w:eastAsia="en-GB"/>
        </w:rPr>
        <w:t>-</w:t>
      </w:r>
      <w:r w:rsidRPr="00324D8F" w:rsidR="00324D8F">
        <w:rPr>
          <w:lang w:val="en-US" w:eastAsia="en-GB"/>
        </w:rPr>
        <w:t>based border management concept’ that provides</w:t>
      </w:r>
      <w:r w:rsidR="00324D8F">
        <w:rPr>
          <w:lang w:val="en-US" w:eastAsia="en-GB"/>
        </w:rPr>
        <w:t xml:space="preserve"> </w:t>
      </w:r>
      <w:r w:rsidRPr="00324D8F" w:rsidR="00324D8F">
        <w:rPr>
          <w:lang w:val="en-US" w:eastAsia="en-GB"/>
        </w:rPr>
        <w:t>‘risk indicators’ on the basis of</w:t>
      </w:r>
      <w:r w:rsidR="00406C47">
        <w:rPr>
          <w:lang w:val="en-US" w:eastAsia="en-GB"/>
        </w:rPr>
        <w:t xml:space="preserve"> data associations</w:t>
      </w:r>
      <w:r w:rsidRPr="00324D8F" w:rsidR="00324D8F">
        <w:rPr>
          <w:lang w:val="en-US" w:eastAsia="en-GB"/>
        </w:rPr>
        <w:t>. In an explicit expression of governmental change, the</w:t>
      </w:r>
      <w:r w:rsidR="00324D8F">
        <w:rPr>
          <w:lang w:val="en-US" w:eastAsia="en-GB"/>
        </w:rPr>
        <w:t xml:space="preserve"> </w:t>
      </w:r>
      <w:r w:rsidRPr="00324D8F" w:rsidR="00324D8F">
        <w:rPr>
          <w:lang w:val="en-US" w:eastAsia="en-GB"/>
        </w:rPr>
        <w:t>project claims to move away from the ‘old and outdated rule based to the new risk</w:t>
      </w:r>
      <w:r w:rsidR="00ED27F5">
        <w:rPr>
          <w:lang w:val="en-US" w:eastAsia="en-GB"/>
        </w:rPr>
        <w:t>-</w:t>
      </w:r>
      <w:r w:rsidRPr="00324D8F" w:rsidR="00324D8F">
        <w:rPr>
          <w:lang w:val="en-US" w:eastAsia="en-GB"/>
        </w:rPr>
        <w:t>based strategy’.</w:t>
      </w:r>
      <w:r w:rsidR="00324D8F">
        <w:rPr>
          <w:lang w:val="en-US" w:eastAsia="en-GB"/>
        </w:rPr>
        <w:t xml:space="preserve"> </w:t>
      </w:r>
      <w:r w:rsidRPr="00324D8F" w:rsidR="00324D8F">
        <w:rPr>
          <w:lang w:val="en-US" w:eastAsia="en-GB"/>
        </w:rPr>
        <w:t xml:space="preserve">Similarly, iBorderCtrl </w:t>
      </w:r>
      <w:r w:rsidR="00ED27F5">
        <w:rPr>
          <w:lang w:val="en-US" w:eastAsia="en-GB"/>
        </w:rPr>
        <w:t>sets out</w:t>
      </w:r>
      <w:r w:rsidRPr="00324D8F" w:rsidR="00324D8F">
        <w:rPr>
          <w:lang w:val="en-US" w:eastAsia="en-GB"/>
        </w:rPr>
        <w:t xml:space="preserve"> that ‘risks are key to the performance of the system as they declutter the</w:t>
      </w:r>
      <w:r w:rsidR="00324D8F">
        <w:rPr>
          <w:lang w:val="en-US" w:eastAsia="en-GB"/>
        </w:rPr>
        <w:t xml:space="preserve"> </w:t>
      </w:r>
      <w:r w:rsidRPr="00324D8F" w:rsidR="00324D8F">
        <w:rPr>
          <w:lang w:val="en-US" w:eastAsia="en-GB"/>
        </w:rPr>
        <w:t>information by compressing all data into meaningful actionable risk scores’.</w:t>
      </w:r>
      <w:r w:rsidR="00ED27F5">
        <w:rPr>
          <w:lang w:val="en-US" w:eastAsia="en-GB"/>
        </w:rPr>
        <w:t xml:space="preserve"> </w:t>
      </w:r>
      <w:r w:rsidRPr="00ED27F5" w:rsidR="00ED27F5">
        <w:rPr>
          <w:lang w:val="en-US" w:eastAsia="en-GB"/>
        </w:rPr>
        <w:t>In its shift from a ‘rule based’ to a ‘risk based’ order, the ‘advanced risk modelling’</w:t>
      </w:r>
      <w:r w:rsidR="00ED27F5">
        <w:rPr>
          <w:lang w:val="en-US" w:eastAsia="en-GB"/>
        </w:rPr>
        <w:t xml:space="preserve"> </w:t>
      </w:r>
      <w:r w:rsidRPr="00ED27F5" w:rsidR="00ED27F5">
        <w:rPr>
          <w:lang w:val="en-US" w:eastAsia="en-GB"/>
        </w:rPr>
        <w:t>tools used by iBorderCtrl and Tresspass become authorized in public decision-making as techniques</w:t>
      </w:r>
      <w:r w:rsidR="00ED27F5">
        <w:rPr>
          <w:lang w:val="en-US" w:eastAsia="en-GB"/>
        </w:rPr>
        <w:t xml:space="preserve"> </w:t>
      </w:r>
      <w:r w:rsidRPr="00ED27F5" w:rsidR="00ED27F5">
        <w:rPr>
          <w:lang w:val="en-US" w:eastAsia="en-GB"/>
        </w:rPr>
        <w:t>of association that displace t</w:t>
      </w:r>
      <w:r w:rsidR="00C240CB">
        <w:rPr>
          <w:lang w:val="en-US" w:eastAsia="en-GB"/>
        </w:rPr>
        <w:t>h</w:t>
      </w:r>
      <w:r w:rsidRPr="00ED27F5" w:rsidR="00ED27F5">
        <w:rPr>
          <w:lang w:val="en-US" w:eastAsia="en-GB"/>
        </w:rPr>
        <w:t xml:space="preserve">icker forms of identification and social affiliation to which </w:t>
      </w:r>
      <w:r w:rsidR="00ED27F5">
        <w:rPr>
          <w:lang w:val="en-US" w:eastAsia="en-GB"/>
        </w:rPr>
        <w:t>(</w:t>
      </w:r>
      <w:r w:rsidRPr="00ED27F5" w:rsidR="00ED27F5">
        <w:rPr>
          <w:lang w:val="en-US" w:eastAsia="en-GB"/>
        </w:rPr>
        <w:t>international</w:t>
      </w:r>
      <w:r w:rsidR="00ED27F5">
        <w:rPr>
          <w:lang w:val="en-US" w:eastAsia="en-GB"/>
        </w:rPr>
        <w:t xml:space="preserve">) </w:t>
      </w:r>
      <w:r w:rsidRPr="00ED27F5" w:rsidR="00ED27F5">
        <w:rPr>
          <w:lang w:val="en-US" w:eastAsia="en-GB"/>
        </w:rPr>
        <w:t xml:space="preserve">legal thinking is more </w:t>
      </w:r>
      <w:r w:rsidR="00A73D2A">
        <w:rPr>
          <w:lang w:val="en-US" w:eastAsia="en-GB"/>
        </w:rPr>
        <w:t>directly</w:t>
      </w:r>
      <w:r w:rsidRPr="00ED27F5" w:rsidR="00ED27F5">
        <w:rPr>
          <w:lang w:val="en-US" w:eastAsia="en-GB"/>
        </w:rPr>
        <w:t xml:space="preserve"> attuned (those linked to territory, population or legal status).</w:t>
      </w:r>
      <w:r w:rsidR="00ED27F5">
        <w:rPr>
          <w:lang w:val="en-US" w:eastAsia="en-GB"/>
        </w:rPr>
        <w:t xml:space="preserve"> The promises of algorithmic pattern detection have significantly altered and expanded </w:t>
      </w:r>
      <w:r w:rsidR="00A73D2A">
        <w:rPr>
          <w:lang w:val="en-US" w:eastAsia="en-GB"/>
        </w:rPr>
        <w:t>the</w:t>
      </w:r>
      <w:r w:rsidR="00ED27F5">
        <w:rPr>
          <w:lang w:val="en-US" w:eastAsia="en-GB"/>
        </w:rPr>
        <w:t xml:space="preserve"> logic of ‘risk’, leading to new forms of</w:t>
      </w:r>
      <w:r w:rsidR="00A73D2A">
        <w:rPr>
          <w:lang w:val="en-US" w:eastAsia="en-GB"/>
        </w:rPr>
        <w:t xml:space="preserve"> subjectivity,</w:t>
      </w:r>
      <w:r w:rsidR="00ED27F5">
        <w:rPr>
          <w:lang w:val="en-US" w:eastAsia="en-GB"/>
        </w:rPr>
        <w:t xml:space="preserve"> discrimination and inequality.</w:t>
      </w:r>
    </w:p>
    <w:sectPr w:rsidRPr="00324D8F" w:rsidR="00E25523" w:rsidSect="00C64ACA">
      <w:pgSz w:w="11900" w:h="16840" w:orient="portrait"/>
      <w:pgMar w:top="1417" w:right="1134" w:bottom="1134" w:left="1134" w:header="708" w:footer="708" w:gutter="0"/>
      <w:cols w:space="708"/>
      <w:docGrid w:linePitch="360"/>
      <w:headerReference w:type="default" r:id="R0e4ea582aa3f4486"/>
      <w:footerReference w:type="default" r:id="Rb1b484b0411d4d4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44CFA" w:rsidP="00C736BE" w:rsidRDefault="00A44CFA" w14:paraId="0A37501D" wp14:textId="77777777">
      <w:pPr>
        <w:spacing w:before="0" w:after="0" w:line="240" w:lineRule="auto"/>
      </w:pPr>
      <w:r>
        <w:separator/>
      </w:r>
    </w:p>
  </w:endnote>
  <w:endnote w:type="continuationSeparator" w:id="0">
    <w:p xmlns:wp14="http://schemas.microsoft.com/office/word/2010/wordml" w:rsidR="00A44CFA" w:rsidP="00C736BE" w:rsidRDefault="00A44CFA" w14:paraId="5DAB6C7B"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1"/>
      <w:gridCol w:w="3211"/>
      <w:gridCol w:w="3211"/>
    </w:tblGrid>
    <w:tr w:rsidR="12B2F152" w:rsidTr="12B2F152" w14:paraId="1D1A7DC6">
      <w:tc>
        <w:tcPr>
          <w:tcW w:w="3211" w:type="dxa"/>
          <w:tcMar/>
        </w:tcPr>
        <w:p w:rsidR="12B2F152" w:rsidP="12B2F152" w:rsidRDefault="12B2F152" w14:paraId="158840B1" w14:textId="4EFD0CA8">
          <w:pPr>
            <w:pStyle w:val="Header"/>
            <w:bidi w:val="0"/>
            <w:ind w:left="-115"/>
            <w:jc w:val="left"/>
          </w:pPr>
        </w:p>
      </w:tc>
      <w:tc>
        <w:tcPr>
          <w:tcW w:w="3211" w:type="dxa"/>
          <w:tcMar/>
        </w:tcPr>
        <w:p w:rsidR="12B2F152" w:rsidP="12B2F152" w:rsidRDefault="12B2F152" w14:paraId="0BC80244" w14:textId="35517247">
          <w:pPr>
            <w:pStyle w:val="Header"/>
            <w:bidi w:val="0"/>
            <w:jc w:val="center"/>
          </w:pPr>
        </w:p>
      </w:tc>
      <w:tc>
        <w:tcPr>
          <w:tcW w:w="3211" w:type="dxa"/>
          <w:tcMar/>
        </w:tcPr>
        <w:p w:rsidR="12B2F152" w:rsidP="12B2F152" w:rsidRDefault="12B2F152" w14:paraId="705D3413" w14:textId="4FFE79C3">
          <w:pPr>
            <w:pStyle w:val="Header"/>
            <w:bidi w:val="0"/>
            <w:ind w:right="-115"/>
            <w:jc w:val="right"/>
          </w:pPr>
        </w:p>
      </w:tc>
    </w:tr>
  </w:tbl>
  <w:p w:rsidR="12B2F152" w:rsidP="12B2F152" w:rsidRDefault="12B2F152" w14:paraId="7D077081" w14:textId="0CBF29D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44CFA" w:rsidP="00C736BE" w:rsidRDefault="00A44CFA" w14:paraId="02EB378F" wp14:textId="77777777">
      <w:pPr>
        <w:spacing w:before="0" w:after="0" w:line="240" w:lineRule="auto"/>
      </w:pPr>
      <w:r>
        <w:separator/>
      </w:r>
    </w:p>
  </w:footnote>
  <w:footnote w:type="continuationSeparator" w:id="0">
    <w:p xmlns:wp14="http://schemas.microsoft.com/office/word/2010/wordml" w:rsidR="00A44CFA" w:rsidP="00C736BE" w:rsidRDefault="00A44CFA" w14:paraId="6A05A809" wp14:textId="77777777">
      <w:pPr>
        <w:spacing w:before="0" w:after="0" w:line="240" w:lineRule="auto"/>
      </w:pPr>
      <w:r>
        <w:continuationSeparator/>
      </w:r>
    </w:p>
  </w:footnote>
  <w:footnote w:id="1">
    <w:p xmlns:wp14="http://schemas.microsoft.com/office/word/2010/wordml" w:rsidRPr="005269D0" w:rsidR="00C736BE" w:rsidRDefault="00C736BE" w14:paraId="5252D371" wp14:textId="77777777">
      <w:pPr>
        <w:pStyle w:val="FootnoteText"/>
        <w:rPr>
          <w:lang w:val="en-GB"/>
        </w:rPr>
      </w:pPr>
      <w:r w:rsidRPr="005269D0">
        <w:rPr>
          <w:rStyle w:val="FootnoteReference"/>
          <w:lang w:val="en-GB"/>
        </w:rPr>
        <w:footnoteRef/>
      </w:r>
      <w:r w:rsidRPr="005269D0">
        <w:rPr>
          <w:lang w:val="en-GB"/>
        </w:rPr>
        <w:t xml:space="preserve"> </w:t>
      </w:r>
      <w:r w:rsidR="00324D8F">
        <w:rPr>
          <w:lang w:val="en-GB"/>
        </w:rPr>
        <w:t>S</w:t>
      </w:r>
      <w:r w:rsidRPr="005269D0">
        <w:rPr>
          <w:lang w:val="en-GB"/>
        </w:rPr>
        <w:t xml:space="preserve">ee </w:t>
      </w:r>
      <w:r w:rsidRPr="005269D0">
        <w:rPr>
          <w:rFonts w:ascii="Times New Roman" w:hAnsi="Times New Roman" w:cs="Times New Roman"/>
          <w:lang w:val="en-GB"/>
        </w:rPr>
        <w:t>Regulation (EU) 2018/1240</w:t>
      </w:r>
      <w:r w:rsidRPr="005269D0">
        <w:rPr>
          <w:rFonts w:ascii="Times New Roman" w:hAnsi="Times New Roman" w:cs="Times New Roman"/>
          <w:lang w:val="en-GB"/>
        </w:rPr>
        <w:t>,</w:t>
      </w:r>
      <w:r w:rsidRPr="005269D0">
        <w:rPr>
          <w:rFonts w:ascii="Times New Roman" w:hAnsi="Times New Roman" w:cs="Times New Roman"/>
          <w:lang w:val="en-GB"/>
        </w:rPr>
        <w:t xml:space="preserve"> Regulation (EU) 2019/816</w:t>
      </w:r>
      <w:r w:rsidRPr="005269D0">
        <w:rPr>
          <w:rFonts w:ascii="Times New Roman" w:hAnsi="Times New Roman" w:cs="Times New Roman"/>
          <w:lang w:val="en-GB"/>
        </w:rPr>
        <w:t>,</w:t>
      </w:r>
      <w:r w:rsidRPr="005269D0">
        <w:rPr>
          <w:rFonts w:ascii="Times New Roman" w:hAnsi="Times New Roman" w:cs="Times New Roman"/>
          <w:lang w:val="en-GB"/>
        </w:rPr>
        <w:t xml:space="preserve"> Regulation (EU) 2019/817</w:t>
      </w:r>
      <w:r w:rsidRPr="005269D0">
        <w:rPr>
          <w:rFonts w:ascii="Times New Roman" w:hAnsi="Times New Roman" w:cs="Times New Roman"/>
          <w:lang w:val="en-GB"/>
        </w:rPr>
        <w:t>,</w:t>
      </w:r>
      <w:r w:rsidRPr="005269D0">
        <w:rPr>
          <w:rFonts w:ascii="Times New Roman" w:hAnsi="Times New Roman" w:cs="Times New Roman"/>
          <w:lang w:val="en-GB"/>
        </w:rPr>
        <w:t xml:space="preserve"> Regulation (EU) 2019/1896.</w:t>
      </w:r>
      <w:r w:rsidRPr="005269D0">
        <w:rPr>
          <w:rFonts w:ascii="Times New Roman" w:hAnsi="Times New Roman" w:cs="Times New Roman"/>
          <w:lang w:val="en-GB"/>
        </w:rPr>
        <w:t xml:space="preserve"> </w:t>
      </w:r>
    </w:p>
  </w:footnote>
  <w:footnote w:id="2">
    <w:p xmlns:wp14="http://schemas.microsoft.com/office/word/2010/wordml" w:rsidRPr="005269D0" w:rsidR="00C736BE" w:rsidRDefault="00C736BE" w14:paraId="1262A2EB" wp14:textId="77777777">
      <w:pPr>
        <w:pStyle w:val="FootnoteText"/>
        <w:rPr>
          <w:lang w:val="en-GB"/>
        </w:rPr>
      </w:pPr>
      <w:r w:rsidRPr="005269D0">
        <w:rPr>
          <w:rStyle w:val="FootnoteReference"/>
          <w:lang w:val="en-GB"/>
        </w:rPr>
        <w:footnoteRef/>
      </w:r>
      <w:r w:rsidRPr="005269D0">
        <w:rPr>
          <w:lang w:val="en-GB"/>
        </w:rPr>
        <w:t xml:space="preserve"> See article 33, </w:t>
      </w:r>
      <w:r w:rsidRPr="005269D0">
        <w:rPr>
          <w:rFonts w:ascii="Times New Roman" w:hAnsi="Times New Roman" w:cs="Times New Roman"/>
          <w:lang w:val="en-GB"/>
        </w:rPr>
        <w:t>Regulation (EU) 2018/1240</w:t>
      </w:r>
      <w:r w:rsidRPr="005269D0">
        <w:rPr>
          <w:rFonts w:ascii="Times New Roman" w:hAnsi="Times New Roman" w:cs="Times New Roman"/>
          <w:lang w:val="en-GB"/>
        </w:rPr>
        <w:t>.</w:t>
      </w:r>
    </w:p>
  </w:footnote>
  <w:footnote w:id="3">
    <w:p xmlns:wp14="http://schemas.microsoft.com/office/word/2010/wordml" w:rsidRPr="005269D0" w:rsidR="00083AA5" w:rsidRDefault="00083AA5" w14:paraId="1254FFB0" wp14:textId="77777777">
      <w:pPr>
        <w:pStyle w:val="FootnoteText"/>
        <w:rPr>
          <w:lang w:val="en-GB"/>
        </w:rPr>
      </w:pPr>
      <w:r w:rsidRPr="005269D0">
        <w:rPr>
          <w:rStyle w:val="FootnoteReference"/>
          <w:lang w:val="en-GB"/>
        </w:rPr>
        <w:footnoteRef/>
      </w:r>
      <w:r w:rsidRPr="005269D0">
        <w:rPr>
          <w:lang w:val="en-GB"/>
        </w:rPr>
        <w:t xml:space="preserve"> For more info</w:t>
      </w:r>
      <w:r w:rsidRPr="005269D0" w:rsidR="002267F0">
        <w:rPr>
          <w:lang w:val="en-GB"/>
        </w:rPr>
        <w:t xml:space="preserve">: </w:t>
      </w:r>
      <w:hyperlink w:history="1" r:id="rId1">
        <w:r w:rsidRPr="005269D0" w:rsidR="002267F0">
          <w:rPr>
            <w:rStyle w:val="Hyperlink"/>
            <w:lang w:val="en-GB"/>
          </w:rPr>
          <w:t>https://www.iborderctrl.eu/Technical-Framework</w:t>
        </w:r>
      </w:hyperlink>
      <w:r w:rsidRPr="005269D0" w:rsidR="002267F0">
        <w:rPr>
          <w:lang w:val="en-GB"/>
        </w:rPr>
        <w:t xml:space="preserve"> </w:t>
      </w:r>
      <w:r w:rsidRPr="005269D0" w:rsidR="002267F0">
        <w:rPr>
          <w:lang w:val="en-GB"/>
        </w:rPr>
        <w:t xml:space="preserve">and </w:t>
      </w:r>
      <w:hyperlink w:history="1" r:id="rId2">
        <w:r w:rsidRPr="005269D0" w:rsidR="002267F0">
          <w:rPr>
            <w:rStyle w:val="Hyperlink"/>
            <w:lang w:val="en-GB"/>
          </w:rPr>
          <w:t>https://www.tresspass.eu/Technical-Framework</w:t>
        </w:r>
      </w:hyperlink>
      <w:r w:rsidRPr="005269D0" w:rsidR="002267F0">
        <w:rPr>
          <w:lang w:val="en-GB"/>
        </w:rPr>
        <w:t xml:space="preserve">. </w:t>
      </w:r>
    </w:p>
  </w:footnote>
  <w:footnote w:id="4">
    <w:p xmlns:wp14="http://schemas.microsoft.com/office/word/2010/wordml" w:rsidRPr="005269D0" w:rsidR="00A2628B" w:rsidP="00A2628B" w:rsidRDefault="00A2628B" w14:paraId="2BA0BD4B" wp14:textId="77777777">
      <w:pPr>
        <w:pStyle w:val="FootnoteText"/>
        <w:rPr>
          <w:lang w:val="en-GB"/>
        </w:rPr>
      </w:pPr>
      <w:r w:rsidRPr="005269D0">
        <w:rPr>
          <w:rStyle w:val="FootnoteReference"/>
          <w:lang w:val="en-GB"/>
        </w:rPr>
        <w:footnoteRef/>
      </w:r>
      <w:r w:rsidRPr="005269D0">
        <w:rPr>
          <w:lang w:val="en-GB"/>
        </w:rPr>
        <w:t xml:space="preserve"> My work draws on the great insights </w:t>
      </w:r>
      <w:r w:rsidR="00324D8F">
        <w:rPr>
          <w:lang w:val="en-GB"/>
        </w:rPr>
        <w:t>of</w:t>
      </w:r>
      <w:r w:rsidRPr="005269D0">
        <w:rPr>
          <w:lang w:val="en-GB"/>
        </w:rPr>
        <w:t xml:space="preserve"> </w:t>
      </w:r>
      <w:r w:rsidRPr="005269D0">
        <w:rPr>
          <w:rFonts w:ascii="Times New Roman" w:hAnsi="Times New Roman" w:cs="Times New Roman"/>
          <w:lang w:val="en-GB"/>
        </w:rPr>
        <w:t xml:space="preserve">C. Aradau, T. Blanke, “Governing Others: Anomaly and the Algorithmic Subject of Security”, </w:t>
      </w:r>
      <w:r w:rsidRPr="005269D0">
        <w:rPr>
          <w:rFonts w:ascii="Times New Roman" w:hAnsi="Times New Roman" w:cs="Times New Roman"/>
          <w:i/>
          <w:iCs/>
          <w:lang w:val="en-GB"/>
        </w:rPr>
        <w:t>EJIS</w:t>
      </w:r>
      <w:r w:rsidRPr="005269D0">
        <w:rPr>
          <w:rFonts w:ascii="Times New Roman" w:hAnsi="Times New Roman" w:cs="Times New Roman"/>
          <w:lang w:val="en-GB"/>
        </w:rPr>
        <w:t>, Vol. 3:1, 2017.</w:t>
      </w:r>
      <w:r w:rsidRPr="005269D0">
        <w:rPr>
          <w:lang w:val="en-GB"/>
        </w:rPr>
        <w:t xml:space="preserve"> One of the architects of Tresspass noted: ‘t</w:t>
      </w:r>
      <w:r w:rsidRPr="005269D0">
        <w:rPr>
          <w:lang w:val="en-GB"/>
        </w:rPr>
        <w:t xml:space="preserve">hrough advancements in Artificial intelligence and mainly through the application of machine learning, security professionals have greatly augmented their capability of </w:t>
      </w:r>
      <w:proofErr w:type="spellStart"/>
      <w:r w:rsidRPr="005269D0">
        <w:rPr>
          <w:lang w:val="en-GB"/>
        </w:rPr>
        <w:t>analyzing</w:t>
      </w:r>
      <w:proofErr w:type="spellEnd"/>
      <w:r w:rsidRPr="005269D0">
        <w:rPr>
          <w:lang w:val="en-GB"/>
        </w:rPr>
        <w:t xml:space="preserve"> data concerning the </w:t>
      </w:r>
      <w:proofErr w:type="spellStart"/>
      <w:r w:rsidRPr="005269D0">
        <w:rPr>
          <w:lang w:val="en-GB"/>
        </w:rPr>
        <w:t>behavior</w:t>
      </w:r>
      <w:proofErr w:type="spellEnd"/>
      <w:r w:rsidRPr="005269D0">
        <w:rPr>
          <w:lang w:val="en-GB"/>
        </w:rPr>
        <w:t xml:space="preserve"> and profile patterns of attackers, both in terms of volume of data and in terms of availability of sources</w:t>
      </w:r>
      <w:r w:rsidRPr="005269D0">
        <w:rPr>
          <w:lang w:val="en-GB"/>
        </w:rPr>
        <w:t xml:space="preserve">’. In </w:t>
      </w:r>
      <w:r w:rsidRPr="005269D0">
        <w:rPr>
          <w:lang w:val="en-GB"/>
        </w:rPr>
        <w:t>D. M. Kyriazanos et al, “Automated Decision Making in Airport Checkpoints: Bias Detection Toward Smarter Security</w:t>
      </w:r>
      <w:r w:rsidRPr="005269D0">
        <w:rPr>
          <w:lang w:val="en-GB"/>
        </w:rPr>
        <w:t xml:space="preserve"> </w:t>
      </w:r>
      <w:r w:rsidRPr="005269D0">
        <w:rPr>
          <w:lang w:val="en-GB"/>
        </w:rPr>
        <w:t xml:space="preserve">and Fairness”, </w:t>
      </w:r>
      <w:r w:rsidRPr="005269D0">
        <w:rPr>
          <w:i/>
          <w:iCs/>
          <w:lang w:val="en-GB"/>
        </w:rPr>
        <w:t>IEEE Security and Privacy Magazine</w:t>
      </w:r>
      <w:r w:rsidRPr="005269D0">
        <w:rPr>
          <w:lang w:val="en-GB"/>
        </w:rPr>
        <w:t>, 2019.</w:t>
      </w:r>
    </w:p>
  </w:footnote>
  <w:footnote w:id="5">
    <w:p xmlns:wp14="http://schemas.microsoft.com/office/word/2010/wordml" w:rsidRPr="005269D0" w:rsidR="00A2628B" w:rsidRDefault="00A2628B" w14:paraId="54A5B113" wp14:textId="77777777">
      <w:pPr>
        <w:pStyle w:val="FootnoteText"/>
        <w:rPr>
          <w:lang w:val="en-GB"/>
        </w:rPr>
      </w:pPr>
      <w:r w:rsidRPr="005269D0">
        <w:rPr>
          <w:rStyle w:val="FootnoteReference"/>
          <w:lang w:val="en-GB"/>
        </w:rPr>
        <w:footnoteRef/>
      </w:r>
      <w:r w:rsidRPr="005269D0">
        <w:rPr>
          <w:lang w:val="en-GB"/>
        </w:rPr>
        <w:t xml:space="preserve"> </w:t>
      </w:r>
      <w:r w:rsidRPr="005269D0">
        <w:rPr>
          <w:rFonts w:ascii="Times New Roman" w:hAnsi="Times New Roman" w:cs="Times New Roman"/>
          <w:lang w:val="en-GB"/>
        </w:rPr>
        <w:t xml:space="preserve">See eu-LISA, </w:t>
      </w:r>
      <w:r w:rsidRPr="005269D0">
        <w:rPr>
          <w:rFonts w:ascii="Times New Roman" w:hAnsi="Times New Roman" w:cs="Times New Roman"/>
          <w:i/>
          <w:iCs/>
          <w:lang w:val="en-GB"/>
        </w:rPr>
        <w:t>Conference Report: Going Digital for a Safe and Secure Europe</w:t>
      </w:r>
      <w:r w:rsidRPr="005269D0">
        <w:rPr>
          <w:rFonts w:ascii="Times New Roman" w:hAnsi="Times New Roman" w:cs="Times New Roman"/>
          <w:lang w:val="en-GB"/>
        </w:rPr>
        <w:t>, 17-18 October 2017, Tallinn, 17.</w:t>
      </w:r>
    </w:p>
  </w:footnote>
  <w:footnote w:id="6">
    <w:p xmlns:wp14="http://schemas.microsoft.com/office/word/2010/wordml" w:rsidRPr="005269D0" w:rsidR="00A2628B" w:rsidP="00A2628B" w:rsidRDefault="00A2628B" w14:paraId="65C74F09" wp14:textId="77777777">
      <w:pPr>
        <w:pStyle w:val="FootnoteText"/>
      </w:pPr>
      <w:r w:rsidRPr="005269D0">
        <w:rPr>
          <w:rStyle w:val="FootnoteReference"/>
          <w:lang w:val="en-GB"/>
        </w:rPr>
        <w:footnoteRef/>
      </w:r>
      <w:r w:rsidRPr="005269D0" w:rsidR="005269D0">
        <w:rPr>
          <w:lang w:val="en-GB"/>
        </w:rPr>
        <w:t xml:space="preserve"> Indicatively, Frontex has recently also contracted RAND corporation to conduct a comprehensive study on the possible future uses of AI technology in border control.</w:t>
      </w:r>
      <w:r w:rsidR="005269D0">
        <w:rPr>
          <w:lang w:val="en-GB"/>
        </w:rPr>
        <w:t xml:space="preserve"> See </w:t>
      </w:r>
      <w:hyperlink w:history="1" r:id="rId3">
        <w:r w:rsidRPr="00B24AF2" w:rsidR="005269D0">
          <w:rPr>
            <w:rStyle w:val="Hyperlink"/>
            <w:lang w:val="en-GB"/>
          </w:rPr>
          <w:t>https://www.rand.org/randeurope/research/projects/european-border-coast-guard-artificial-intelligence.html</w:t>
        </w:r>
      </w:hyperlink>
      <w:r w:rsidR="005269D0">
        <w:rPr>
          <w:lang w:val="en-GB"/>
        </w:rPr>
        <w:t xml:space="preserve">.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1"/>
      <w:gridCol w:w="3211"/>
      <w:gridCol w:w="3211"/>
    </w:tblGrid>
    <w:tr w:rsidR="12B2F152" w:rsidTr="12B2F152" w14:paraId="79CE8812">
      <w:tc>
        <w:tcPr>
          <w:tcW w:w="3211" w:type="dxa"/>
          <w:tcMar/>
        </w:tcPr>
        <w:p w:rsidR="12B2F152" w:rsidP="12B2F152" w:rsidRDefault="12B2F152" w14:paraId="08093AE2" w14:textId="482A666B">
          <w:pPr>
            <w:pStyle w:val="Header"/>
            <w:bidi w:val="0"/>
            <w:ind w:left="-115"/>
            <w:jc w:val="left"/>
          </w:pPr>
        </w:p>
      </w:tc>
      <w:tc>
        <w:tcPr>
          <w:tcW w:w="3211" w:type="dxa"/>
          <w:tcMar/>
        </w:tcPr>
        <w:p w:rsidR="12B2F152" w:rsidP="12B2F152" w:rsidRDefault="12B2F152" w14:paraId="3695F8F9" w14:textId="6E24D970">
          <w:pPr>
            <w:pStyle w:val="Header"/>
            <w:bidi w:val="0"/>
            <w:jc w:val="center"/>
          </w:pPr>
        </w:p>
      </w:tc>
      <w:tc>
        <w:tcPr>
          <w:tcW w:w="3211" w:type="dxa"/>
          <w:tcMar/>
        </w:tcPr>
        <w:p w:rsidR="12B2F152" w:rsidP="12B2F152" w:rsidRDefault="12B2F152" w14:paraId="407A6313" w14:textId="40A1CAB1">
          <w:pPr>
            <w:pStyle w:val="Header"/>
            <w:bidi w:val="0"/>
            <w:ind w:right="-115"/>
            <w:jc w:val="right"/>
          </w:pPr>
        </w:p>
      </w:tc>
    </w:tr>
  </w:tbl>
  <w:p w:rsidR="12B2F152" w:rsidP="12B2F152" w:rsidRDefault="12B2F152" w14:paraId="0B4A840D" w14:textId="20D8CC4D">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proofState w:spelling="clean" w:grammar="dirty"/>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8"/>
    <w:rsid w:val="000829BE"/>
    <w:rsid w:val="00083AA5"/>
    <w:rsid w:val="000C7502"/>
    <w:rsid w:val="000F7AF2"/>
    <w:rsid w:val="002267F0"/>
    <w:rsid w:val="002867FF"/>
    <w:rsid w:val="002A05B2"/>
    <w:rsid w:val="00324D8F"/>
    <w:rsid w:val="003E4F12"/>
    <w:rsid w:val="00403FAA"/>
    <w:rsid w:val="00406C47"/>
    <w:rsid w:val="00461BA6"/>
    <w:rsid w:val="00491258"/>
    <w:rsid w:val="005269D0"/>
    <w:rsid w:val="005357FF"/>
    <w:rsid w:val="005948D8"/>
    <w:rsid w:val="005E0E68"/>
    <w:rsid w:val="00637957"/>
    <w:rsid w:val="007D4259"/>
    <w:rsid w:val="008A576A"/>
    <w:rsid w:val="008B68C0"/>
    <w:rsid w:val="008B784C"/>
    <w:rsid w:val="00957C1D"/>
    <w:rsid w:val="00997B28"/>
    <w:rsid w:val="00A045C4"/>
    <w:rsid w:val="00A2628B"/>
    <w:rsid w:val="00A37256"/>
    <w:rsid w:val="00A44CFA"/>
    <w:rsid w:val="00A73D2A"/>
    <w:rsid w:val="00AB2BF9"/>
    <w:rsid w:val="00B31008"/>
    <w:rsid w:val="00C240CB"/>
    <w:rsid w:val="00C64ACA"/>
    <w:rsid w:val="00C736BE"/>
    <w:rsid w:val="00DC2453"/>
    <w:rsid w:val="00E02A9C"/>
    <w:rsid w:val="00E25523"/>
    <w:rsid w:val="00E4553F"/>
    <w:rsid w:val="00ED27F5"/>
    <w:rsid w:val="00FB3110"/>
    <w:rsid w:val="00FE36BD"/>
    <w:rsid w:val="00FF7C3D"/>
    <w:rsid w:val="12B2F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1AF538"/>
  <w15:chartTrackingRefBased/>
  <w15:docId w15:val="{066237BA-A032-E249-824E-D49D006B6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E25523"/>
    <w:pPr>
      <w:spacing w:before="120" w:after="120" w:line="300" w:lineRule="auto"/>
      <w:jc w:val="both"/>
    </w:pPr>
    <w:rPr>
      <w:rFonts w:ascii="Times" w:hAnsi="Times"/>
    </w:rPr>
  </w:style>
  <w:style w:type="paragraph" w:styleId="Heading1">
    <w:name w:val="heading 1"/>
    <w:basedOn w:val="Normal"/>
    <w:next w:val="Normal"/>
    <w:link w:val="Heading1Char"/>
    <w:autoRedefine/>
    <w:uiPriority w:val="9"/>
    <w:qFormat/>
    <w:rsid w:val="00324D8F"/>
    <w:pPr>
      <w:keepNext/>
      <w:keepLines/>
      <w:spacing w:before="0"/>
      <w:jc w:val="center"/>
      <w:outlineLvl w:val="0"/>
    </w:pPr>
    <w:rPr>
      <w:rFonts w:eastAsia="Times New Roman" w:cstheme="majorBidi"/>
      <w:b/>
      <w:bCs/>
      <w:color w:val="000000" w:themeColor="text1"/>
      <w:sz w:val="28"/>
      <w:szCs w:val="32"/>
      <w:lang w:val="en-NL" w:eastAsia="en-GB"/>
    </w:rPr>
  </w:style>
  <w:style w:type="paragraph" w:styleId="Heading2">
    <w:name w:val="heading 2"/>
    <w:basedOn w:val="Normal"/>
    <w:next w:val="Normal"/>
    <w:link w:val="Heading2Char"/>
    <w:autoRedefine/>
    <w:uiPriority w:val="9"/>
    <w:unhideWhenUsed/>
    <w:qFormat/>
    <w:rsid w:val="00E25523"/>
    <w:pPr>
      <w:keepNext/>
      <w:keepLines/>
      <w:spacing w:before="240" w:after="240"/>
      <w:outlineLvl w:val="1"/>
    </w:pPr>
    <w:rPr>
      <w:rFonts w:eastAsiaTheme="majorEastAsia" w:cstheme="majorBidi"/>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4D8F"/>
    <w:rPr>
      <w:rFonts w:ascii="Times" w:hAnsi="Times" w:eastAsia="Times New Roman" w:cstheme="majorBidi"/>
      <w:b/>
      <w:bCs/>
      <w:color w:val="000000" w:themeColor="text1"/>
      <w:sz w:val="28"/>
      <w:szCs w:val="32"/>
      <w:lang w:val="en-NL" w:eastAsia="en-GB"/>
    </w:rPr>
  </w:style>
  <w:style w:type="character" w:styleId="Heading2Char" w:customStyle="1">
    <w:name w:val="Heading 2 Char"/>
    <w:basedOn w:val="DefaultParagraphFont"/>
    <w:link w:val="Heading2"/>
    <w:uiPriority w:val="9"/>
    <w:rsid w:val="00E25523"/>
    <w:rPr>
      <w:rFonts w:ascii="Times" w:hAnsi="Times" w:eastAsiaTheme="majorEastAsia" w:cstheme="majorBidi"/>
      <w:color w:val="000000" w:themeColor="text1"/>
      <w:szCs w:val="26"/>
    </w:rPr>
  </w:style>
  <w:style w:type="paragraph" w:styleId="FootnoteText">
    <w:name w:val="footnote text"/>
    <w:basedOn w:val="Normal"/>
    <w:link w:val="FootnoteTextChar"/>
    <w:uiPriority w:val="99"/>
    <w:semiHidden/>
    <w:unhideWhenUsed/>
    <w:rsid w:val="00C736BE"/>
    <w:pPr>
      <w:spacing w:before="0" w:after="0" w:line="240" w:lineRule="auto"/>
    </w:pPr>
    <w:rPr>
      <w:sz w:val="20"/>
      <w:szCs w:val="20"/>
    </w:rPr>
  </w:style>
  <w:style w:type="character" w:styleId="FootnoteTextChar" w:customStyle="1">
    <w:name w:val="Footnote Text Char"/>
    <w:basedOn w:val="DefaultParagraphFont"/>
    <w:link w:val="FootnoteText"/>
    <w:uiPriority w:val="99"/>
    <w:semiHidden/>
    <w:rsid w:val="00C736BE"/>
    <w:rPr>
      <w:rFonts w:ascii="Times" w:hAnsi="Times"/>
      <w:sz w:val="20"/>
      <w:szCs w:val="20"/>
    </w:rPr>
  </w:style>
  <w:style w:type="character" w:styleId="FootnoteReference">
    <w:name w:val="footnote reference"/>
    <w:basedOn w:val="DefaultParagraphFont"/>
    <w:uiPriority w:val="99"/>
    <w:semiHidden/>
    <w:unhideWhenUsed/>
    <w:rsid w:val="00C736BE"/>
    <w:rPr>
      <w:vertAlign w:val="superscript"/>
    </w:rPr>
  </w:style>
  <w:style w:type="character" w:styleId="Hyperlink">
    <w:name w:val="Hyperlink"/>
    <w:basedOn w:val="DefaultParagraphFont"/>
    <w:uiPriority w:val="99"/>
    <w:unhideWhenUsed/>
    <w:rsid w:val="002267F0"/>
    <w:rPr>
      <w:color w:val="0563C1" w:themeColor="hyperlink"/>
      <w:u w:val="single"/>
    </w:rPr>
  </w:style>
  <w:style w:type="character" w:styleId="UnresolvedMention">
    <w:name w:val="Unresolved Mention"/>
    <w:basedOn w:val="DefaultParagraphFont"/>
    <w:uiPriority w:val="99"/>
    <w:semiHidden/>
    <w:unhideWhenUsed/>
    <w:rsid w:val="002267F0"/>
    <w:rPr>
      <w:color w:val="605E5C"/>
      <w:shd w:val="clear" w:color="auto" w:fill="E1DFDD"/>
    </w:rPr>
  </w:style>
  <w:style w:type="paragraph" w:styleId="BalloonText">
    <w:name w:val="Balloon Text"/>
    <w:basedOn w:val="Normal"/>
    <w:link w:val="BalloonTextChar"/>
    <w:uiPriority w:val="99"/>
    <w:semiHidden/>
    <w:unhideWhenUsed/>
    <w:rsid w:val="00FE36BD"/>
    <w:pPr>
      <w:spacing w:before="0"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E36BD"/>
    <w:rPr>
      <w:rFonts w:ascii="Times New Roman" w:hAnsi="Times New Roman" w:cs="Times New Roman"/>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3255">
      <w:bodyDiv w:val="1"/>
      <w:marLeft w:val="0"/>
      <w:marRight w:val="0"/>
      <w:marTop w:val="0"/>
      <w:marBottom w:val="0"/>
      <w:divBdr>
        <w:top w:val="none" w:sz="0" w:space="0" w:color="auto"/>
        <w:left w:val="none" w:sz="0" w:space="0" w:color="auto"/>
        <w:bottom w:val="none" w:sz="0" w:space="0" w:color="auto"/>
        <w:right w:val="none" w:sz="0" w:space="0" w:color="auto"/>
      </w:divBdr>
    </w:div>
    <w:div w:id="564297466">
      <w:bodyDiv w:val="1"/>
      <w:marLeft w:val="0"/>
      <w:marRight w:val="0"/>
      <w:marTop w:val="0"/>
      <w:marBottom w:val="0"/>
      <w:divBdr>
        <w:top w:val="none" w:sz="0" w:space="0" w:color="auto"/>
        <w:left w:val="none" w:sz="0" w:space="0" w:color="auto"/>
        <w:bottom w:val="none" w:sz="0" w:space="0" w:color="auto"/>
        <w:right w:val="none" w:sz="0" w:space="0" w:color="auto"/>
      </w:divBdr>
    </w:div>
    <w:div w:id="643659194">
      <w:bodyDiv w:val="1"/>
      <w:marLeft w:val="0"/>
      <w:marRight w:val="0"/>
      <w:marTop w:val="0"/>
      <w:marBottom w:val="0"/>
      <w:divBdr>
        <w:top w:val="none" w:sz="0" w:space="0" w:color="auto"/>
        <w:left w:val="none" w:sz="0" w:space="0" w:color="auto"/>
        <w:bottom w:val="none" w:sz="0" w:space="0" w:color="auto"/>
        <w:right w:val="none" w:sz="0" w:space="0" w:color="auto"/>
      </w:divBdr>
    </w:div>
    <w:div w:id="706491965">
      <w:bodyDiv w:val="1"/>
      <w:marLeft w:val="0"/>
      <w:marRight w:val="0"/>
      <w:marTop w:val="0"/>
      <w:marBottom w:val="0"/>
      <w:divBdr>
        <w:top w:val="none" w:sz="0" w:space="0" w:color="auto"/>
        <w:left w:val="none" w:sz="0" w:space="0" w:color="auto"/>
        <w:bottom w:val="none" w:sz="0" w:space="0" w:color="auto"/>
        <w:right w:val="none" w:sz="0" w:space="0" w:color="auto"/>
      </w:divBdr>
    </w:div>
    <w:div w:id="1088769646">
      <w:bodyDiv w:val="1"/>
      <w:marLeft w:val="0"/>
      <w:marRight w:val="0"/>
      <w:marTop w:val="0"/>
      <w:marBottom w:val="0"/>
      <w:divBdr>
        <w:top w:val="none" w:sz="0" w:space="0" w:color="auto"/>
        <w:left w:val="none" w:sz="0" w:space="0" w:color="auto"/>
        <w:bottom w:val="none" w:sz="0" w:space="0" w:color="auto"/>
        <w:right w:val="none" w:sz="0" w:space="0" w:color="auto"/>
      </w:divBdr>
    </w:div>
    <w:div w:id="2047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iborderctrl.no/blog:iborderctrl_automates_discrimination" TargetMode="Externa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0e4ea582aa3f4486" /><Relationship Type="http://schemas.openxmlformats.org/officeDocument/2006/relationships/footer" Target="/word/footer.xml" Id="Rb1b484b0411d4d4f" /></Relationships>
</file>

<file path=word/_rels/footnotes.xml.rels><?xml version="1.0" encoding="UTF-8" standalone="yes"?>
<Relationships xmlns="http://schemas.openxmlformats.org/package/2006/relationships"><Relationship Id="rId3" Type="http://schemas.openxmlformats.org/officeDocument/2006/relationships/hyperlink" Target="https://www.rand.org/randeurope/research/projects/european-border-coast-guard-artificial-intelligence.html" TargetMode="External"/><Relationship Id="rId2" Type="http://schemas.openxmlformats.org/officeDocument/2006/relationships/hyperlink" Target="https://www.tresspass.eu/Technical-Framework" TargetMode="External"/><Relationship Id="rId1" Type="http://schemas.openxmlformats.org/officeDocument/2006/relationships/hyperlink" Target="https://www.iborderctrl.eu/Technical-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mitrivandenmeerssche/Documents/Template/Goo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235951-419E-8249-8C85-0ADA3A4EDAC5}">
  <ds:schemaRefs>
    <ds:schemaRef ds:uri="http://schemas.openxmlformats.org/officeDocument/2006/bibliography"/>
  </ds:schemaRefs>
</ds:datastoreItem>
</file>

<file path=customXml/itemProps2.xml><?xml version="1.0" encoding="utf-8"?>
<ds:datastoreItem xmlns:ds="http://schemas.openxmlformats.org/officeDocument/2006/customXml" ds:itemID="{F87BBD3E-4150-449B-9E19-B1A462A0A127}"/>
</file>

<file path=customXml/itemProps3.xml><?xml version="1.0" encoding="utf-8"?>
<ds:datastoreItem xmlns:ds="http://schemas.openxmlformats.org/officeDocument/2006/customXml" ds:itemID="{2821B7F1-52C9-4F95-950B-6DA0B7538D2E}"/>
</file>

<file path=customXml/itemProps4.xml><?xml version="1.0" encoding="utf-8"?>
<ds:datastoreItem xmlns:ds="http://schemas.openxmlformats.org/officeDocument/2006/customXml" ds:itemID="{D5A69912-F4ED-49D3-BCF1-2B0E5CC9CC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Good Template.dotx</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Jung, Seulgee (IHRC)</cp:lastModifiedBy>
  <cp:revision>18</cp:revision>
  <cp:lastPrinted>2020-05-17T16:15:00Z</cp:lastPrinted>
  <dcterms:created xsi:type="dcterms:W3CDTF">2020-05-17T16:14:00Z</dcterms:created>
  <dcterms:modified xsi:type="dcterms:W3CDTF">2020-10-29T03:37:51Z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