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8E59" w14:textId="18A8F254" w:rsidR="000125D9" w:rsidRDefault="000125D9" w:rsidP="000125D9">
      <w:pPr>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Daniel Gonzalez</w:t>
      </w:r>
    </w:p>
    <w:p w14:paraId="24654946" w14:textId="07C8A927" w:rsidR="000125D9" w:rsidRDefault="000125D9" w:rsidP="000125D9">
      <w:pPr>
        <w:rPr>
          <w:rFonts w:ascii="Times New Roman" w:eastAsia="Times New Roman" w:hAnsi="Times New Roman" w:cs="Times New Roman"/>
          <w:color w:val="000000"/>
          <w:shd w:val="clear" w:color="auto" w:fill="FFFFFF"/>
        </w:rPr>
      </w:pPr>
    </w:p>
    <w:p w14:paraId="380DDFDC" w14:textId="3CE2FA17" w:rsidR="000125D9" w:rsidRDefault="000125D9" w:rsidP="000125D9">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Daniel Gonzalez </w:t>
      </w:r>
    </w:p>
    <w:p w14:paraId="6AA126D9" w14:textId="435C36F0" w:rsidR="009514A5" w:rsidRDefault="009514A5" w:rsidP="000125D9">
      <w:pPr>
        <w:rPr>
          <w:rFonts w:ascii="Times New Roman" w:eastAsia="Times New Roman" w:hAnsi="Times New Roman" w:cs="Times New Roman"/>
          <w:color w:val="000000"/>
          <w:shd w:val="clear" w:color="auto" w:fill="FFFFFF"/>
        </w:rPr>
      </w:pPr>
    </w:p>
    <w:p w14:paraId="7CD7CE44" w14:textId="77777777" w:rsidR="009514A5" w:rsidRPr="009514A5" w:rsidRDefault="009514A5" w:rsidP="009514A5">
      <w:pPr>
        <w:rPr>
          <w:rFonts w:ascii="Times New Roman" w:eastAsia="Times New Roman" w:hAnsi="Times New Roman" w:cs="Times New Roman"/>
        </w:rPr>
      </w:pPr>
      <w:r w:rsidRPr="009514A5">
        <w:rPr>
          <w:rFonts w:ascii="Times New Roman" w:eastAsia="Times New Roman" w:hAnsi="Times New Roman" w:cs="Times New Roman"/>
          <w:i/>
          <w:iCs/>
          <w:color w:val="292929"/>
          <w:spacing w:val="-1"/>
        </w:rPr>
        <w:t>Daniel Gonzalez is a PhD candidate in the Department of Geography and Geographic Sciences at the University of Illinois at Urbana-Champaign. His research focuses on the science and technologies of racial capitalism, particularly as they pertain to regimes of US border enforcement and immigration management.</w:t>
      </w:r>
    </w:p>
    <w:p w14:paraId="374C5E41" w14:textId="77777777" w:rsidR="000125D9" w:rsidRDefault="000125D9" w:rsidP="001C6FEC">
      <w:pPr>
        <w:rPr>
          <w:rFonts w:ascii="Times New Roman" w:eastAsia="Times New Roman" w:hAnsi="Times New Roman" w:cs="Times New Roman"/>
          <w:color w:val="000000"/>
          <w:shd w:val="clear" w:color="auto" w:fill="FFFFFF"/>
        </w:rPr>
      </w:pPr>
    </w:p>
    <w:p w14:paraId="5ABB601B" w14:textId="1B7BBF4B" w:rsidR="001C6FEC" w:rsidRPr="009514A5" w:rsidRDefault="005B0B09" w:rsidP="001C6FEC">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Often surveillance and monitoring technologies are seen as separate and distinct </w:t>
      </w:r>
      <w:r w:rsidR="00CC7117">
        <w:rPr>
          <w:rFonts w:ascii="Times New Roman" w:eastAsia="Times New Roman" w:hAnsi="Times New Roman" w:cs="Times New Roman"/>
          <w:color w:val="000000"/>
          <w:shd w:val="clear" w:color="auto" w:fill="FFFFFF"/>
        </w:rPr>
        <w:t>objects</w:t>
      </w:r>
      <w:r w:rsidR="002125BC">
        <w:rPr>
          <w:rFonts w:ascii="Times New Roman" w:eastAsia="Times New Roman" w:hAnsi="Times New Roman" w:cs="Times New Roman"/>
          <w:color w:val="000000"/>
          <w:shd w:val="clear" w:color="auto" w:fill="FFFFFF"/>
        </w:rPr>
        <w:t xml:space="preserve">. Each put to use by </w:t>
      </w:r>
      <w:r w:rsidR="00B56FC4">
        <w:rPr>
          <w:rFonts w:ascii="Times New Roman" w:eastAsia="Times New Roman" w:hAnsi="Times New Roman" w:cs="Times New Roman"/>
          <w:color w:val="000000"/>
          <w:shd w:val="clear" w:color="auto" w:fill="FFFFFF"/>
        </w:rPr>
        <w:t xml:space="preserve">particular </w:t>
      </w:r>
      <w:r w:rsidR="002125BC">
        <w:rPr>
          <w:rFonts w:ascii="Times New Roman" w:eastAsia="Times New Roman" w:hAnsi="Times New Roman" w:cs="Times New Roman"/>
          <w:color w:val="000000"/>
          <w:shd w:val="clear" w:color="auto" w:fill="FFFFFF"/>
        </w:rPr>
        <w:t xml:space="preserve">government agencies to </w:t>
      </w:r>
      <w:r w:rsidR="00CC7117">
        <w:rPr>
          <w:rFonts w:ascii="Times New Roman" w:eastAsia="Times New Roman" w:hAnsi="Times New Roman" w:cs="Times New Roman"/>
          <w:color w:val="000000"/>
          <w:shd w:val="clear" w:color="auto" w:fill="FFFFFF"/>
        </w:rPr>
        <w:t>collect</w:t>
      </w:r>
      <w:r w:rsidR="002125BC">
        <w:rPr>
          <w:rFonts w:ascii="Times New Roman" w:eastAsia="Times New Roman" w:hAnsi="Times New Roman" w:cs="Times New Roman"/>
          <w:color w:val="000000"/>
          <w:shd w:val="clear" w:color="auto" w:fill="FFFFFF"/>
        </w:rPr>
        <w:t>, store, and manage</w:t>
      </w:r>
      <w:r w:rsidR="00CC7117">
        <w:rPr>
          <w:rFonts w:ascii="Times New Roman" w:eastAsia="Times New Roman" w:hAnsi="Times New Roman" w:cs="Times New Roman"/>
          <w:color w:val="000000"/>
          <w:shd w:val="clear" w:color="auto" w:fill="FFFFFF"/>
        </w:rPr>
        <w:t xml:space="preserve"> </w:t>
      </w:r>
      <w:r w:rsidR="002125BC">
        <w:rPr>
          <w:rFonts w:ascii="Times New Roman" w:eastAsia="Times New Roman" w:hAnsi="Times New Roman" w:cs="Times New Roman"/>
          <w:color w:val="000000"/>
          <w:shd w:val="clear" w:color="auto" w:fill="FFFFFF"/>
        </w:rPr>
        <w:t>data about it</w:t>
      </w:r>
      <w:r w:rsidR="00CC7117">
        <w:rPr>
          <w:rFonts w:ascii="Times New Roman" w:eastAsia="Times New Roman" w:hAnsi="Times New Roman" w:cs="Times New Roman"/>
          <w:color w:val="000000"/>
          <w:shd w:val="clear" w:color="auto" w:fill="FFFFFF"/>
        </w:rPr>
        <w:t xml:space="preserve"> about specific subjects.</w:t>
      </w:r>
      <w:r w:rsidR="002125BC">
        <w:rPr>
          <w:rFonts w:ascii="Times New Roman" w:eastAsia="Times New Roman" w:hAnsi="Times New Roman" w:cs="Times New Roman"/>
          <w:color w:val="000000"/>
          <w:shd w:val="clear" w:color="auto" w:fill="FFFFFF"/>
        </w:rPr>
        <w:t xml:space="preserve"> </w:t>
      </w:r>
      <w:r w:rsidR="009514A5">
        <w:rPr>
          <w:rFonts w:ascii="Times New Roman" w:eastAsia="Times New Roman" w:hAnsi="Times New Roman" w:cs="Times New Roman"/>
          <w:color w:val="000000"/>
          <w:shd w:val="clear" w:color="auto" w:fill="FFFFFF"/>
        </w:rPr>
        <w:t>R</w:t>
      </w:r>
      <w:r w:rsidR="002125BC">
        <w:rPr>
          <w:rFonts w:ascii="Times New Roman" w:eastAsia="Times New Roman" w:hAnsi="Times New Roman" w:cs="Times New Roman"/>
          <w:color w:val="000000"/>
          <w:shd w:val="clear" w:color="auto" w:fill="FFFFFF"/>
        </w:rPr>
        <w:t>ecent advancements in information technologies (IT)</w:t>
      </w:r>
      <w:r w:rsidR="00245795">
        <w:rPr>
          <w:rFonts w:ascii="Times New Roman" w:eastAsia="Times New Roman" w:hAnsi="Times New Roman" w:cs="Times New Roman"/>
          <w:color w:val="000000"/>
          <w:shd w:val="clear" w:color="auto" w:fill="FFFFFF"/>
        </w:rPr>
        <w:t xml:space="preserve"> and database management systems</w:t>
      </w:r>
      <w:r w:rsidR="002125BC">
        <w:rPr>
          <w:rFonts w:ascii="Times New Roman" w:eastAsia="Times New Roman" w:hAnsi="Times New Roman" w:cs="Times New Roman"/>
          <w:color w:val="000000"/>
          <w:shd w:val="clear" w:color="auto" w:fill="FFFFFF"/>
        </w:rPr>
        <w:t xml:space="preserve"> </w:t>
      </w:r>
      <w:r w:rsidR="00245795">
        <w:rPr>
          <w:rFonts w:ascii="Times New Roman" w:eastAsia="Times New Roman" w:hAnsi="Times New Roman" w:cs="Times New Roman"/>
          <w:color w:val="000000"/>
          <w:shd w:val="clear" w:color="auto" w:fill="FFFFFF"/>
        </w:rPr>
        <w:t>forces</w:t>
      </w:r>
      <w:r w:rsidR="009514A5">
        <w:rPr>
          <w:rFonts w:ascii="Times New Roman" w:eastAsia="Times New Roman" w:hAnsi="Times New Roman" w:cs="Times New Roman"/>
          <w:color w:val="000000"/>
          <w:shd w:val="clear" w:color="auto" w:fill="FFFFFF"/>
        </w:rPr>
        <w:t xml:space="preserve"> us</w:t>
      </w:r>
      <w:r w:rsidR="00245795">
        <w:rPr>
          <w:rFonts w:ascii="Times New Roman" w:eastAsia="Times New Roman" w:hAnsi="Times New Roman" w:cs="Times New Roman"/>
          <w:color w:val="000000"/>
          <w:shd w:val="clear" w:color="auto" w:fill="FFFFFF"/>
        </w:rPr>
        <w:t xml:space="preserve"> to revisit this understanding of technology.</w:t>
      </w:r>
      <w:r w:rsidR="008D3616">
        <w:rPr>
          <w:rFonts w:ascii="Times New Roman" w:eastAsia="Times New Roman" w:hAnsi="Times New Roman" w:cs="Times New Roman"/>
          <w:color w:val="000000"/>
          <w:shd w:val="clear" w:color="auto" w:fill="FFFFFF"/>
        </w:rPr>
        <w:t xml:space="preserve"> </w:t>
      </w:r>
      <w:r w:rsidR="00500D51">
        <w:rPr>
          <w:rFonts w:ascii="Times New Roman" w:eastAsia="Times New Roman" w:hAnsi="Times New Roman" w:cs="Times New Roman"/>
          <w:color w:val="000000"/>
          <w:shd w:val="clear" w:color="auto" w:fill="FFFFFF"/>
        </w:rPr>
        <w:t>I</w:t>
      </w:r>
      <w:r w:rsidR="00B56FC4">
        <w:rPr>
          <w:rFonts w:ascii="Times New Roman" w:eastAsia="Times New Roman" w:hAnsi="Times New Roman" w:cs="Times New Roman"/>
          <w:color w:val="000000"/>
          <w:shd w:val="clear" w:color="auto" w:fill="FFFFFF"/>
        </w:rPr>
        <w:t xml:space="preserve">n the context of border management and immigrate enforcement, the </w:t>
      </w:r>
      <w:r w:rsidR="00CC7117" w:rsidRPr="00EA26FF">
        <w:rPr>
          <w:rFonts w:ascii="Times New Roman" w:eastAsia="Times New Roman" w:hAnsi="Times New Roman" w:cs="Times New Roman"/>
          <w:color w:val="000000"/>
          <w:shd w:val="clear" w:color="auto" w:fill="FFFFFF"/>
        </w:rPr>
        <w:t>US Department of Homeland Security</w:t>
      </w:r>
      <w:r w:rsidR="00B56FC4">
        <w:rPr>
          <w:rFonts w:ascii="Times New Roman" w:eastAsia="Times New Roman" w:hAnsi="Times New Roman" w:cs="Times New Roman"/>
          <w:color w:val="000000"/>
          <w:shd w:val="clear" w:color="auto" w:fill="FFFFFF"/>
        </w:rPr>
        <w:t>’s</w:t>
      </w:r>
      <w:r w:rsidR="00CC7117">
        <w:rPr>
          <w:rFonts w:ascii="Times New Roman" w:eastAsia="Times New Roman" w:hAnsi="Times New Roman" w:cs="Times New Roman"/>
          <w:color w:val="000000"/>
          <w:shd w:val="clear" w:color="auto" w:fill="FFFFFF"/>
        </w:rPr>
        <w:t xml:space="preserve"> (DHS)</w:t>
      </w:r>
      <w:r w:rsidR="00245795">
        <w:rPr>
          <w:rFonts w:ascii="Times New Roman" w:eastAsia="Times New Roman" w:hAnsi="Times New Roman" w:cs="Times New Roman"/>
          <w:color w:val="000000"/>
          <w:shd w:val="clear" w:color="auto" w:fill="FFFFFF"/>
        </w:rPr>
        <w:t xml:space="preserve"> use</w:t>
      </w:r>
      <w:r w:rsidR="00B56FC4">
        <w:rPr>
          <w:rFonts w:ascii="Times New Roman" w:eastAsia="Times New Roman" w:hAnsi="Times New Roman" w:cs="Times New Roman"/>
          <w:color w:val="000000"/>
          <w:shd w:val="clear" w:color="auto" w:fill="FFFFFF"/>
        </w:rPr>
        <w:t xml:space="preserve">s </w:t>
      </w:r>
      <w:r w:rsidR="00500D51">
        <w:rPr>
          <w:rFonts w:ascii="Times New Roman" w:eastAsia="Times New Roman" w:hAnsi="Times New Roman" w:cs="Times New Roman"/>
          <w:color w:val="000000"/>
          <w:shd w:val="clear" w:color="auto" w:fill="FFFFFF"/>
        </w:rPr>
        <w:t xml:space="preserve">an array of </w:t>
      </w:r>
      <w:r w:rsidR="00B56FC4">
        <w:rPr>
          <w:rFonts w:ascii="Times New Roman" w:eastAsia="Times New Roman" w:hAnsi="Times New Roman" w:cs="Times New Roman"/>
          <w:color w:val="000000"/>
          <w:shd w:val="clear" w:color="auto" w:fill="FFFFFF"/>
        </w:rPr>
        <w:t>complex</w:t>
      </w:r>
      <w:r w:rsidR="00245795">
        <w:rPr>
          <w:rFonts w:ascii="Times New Roman" w:eastAsia="Times New Roman" w:hAnsi="Times New Roman" w:cs="Times New Roman"/>
          <w:color w:val="000000"/>
          <w:shd w:val="clear" w:color="auto" w:fill="FFFFFF"/>
        </w:rPr>
        <w:t xml:space="preserve"> </w:t>
      </w:r>
      <w:r w:rsidR="00CC7117">
        <w:rPr>
          <w:rFonts w:ascii="Times New Roman" w:eastAsia="Times New Roman" w:hAnsi="Times New Roman" w:cs="Times New Roman"/>
          <w:color w:val="000000"/>
          <w:shd w:val="clear" w:color="auto" w:fill="FFFFFF"/>
        </w:rPr>
        <w:t xml:space="preserve">border technologies such as walls, </w:t>
      </w:r>
      <w:r w:rsidR="00245795">
        <w:rPr>
          <w:rFonts w:ascii="Times New Roman" w:eastAsia="Times New Roman" w:hAnsi="Times New Roman" w:cs="Times New Roman"/>
          <w:color w:val="000000"/>
          <w:shd w:val="clear" w:color="auto" w:fill="FFFFFF"/>
        </w:rPr>
        <w:t>check points</w:t>
      </w:r>
      <w:r w:rsidR="00CC7117">
        <w:rPr>
          <w:rFonts w:ascii="Times New Roman" w:eastAsia="Times New Roman" w:hAnsi="Times New Roman" w:cs="Times New Roman"/>
          <w:color w:val="000000"/>
          <w:shd w:val="clear" w:color="auto" w:fill="FFFFFF"/>
        </w:rPr>
        <w:t xml:space="preserve">, </w:t>
      </w:r>
      <w:r w:rsidR="00245795">
        <w:rPr>
          <w:rFonts w:ascii="Times New Roman" w:eastAsia="Times New Roman" w:hAnsi="Times New Roman" w:cs="Times New Roman"/>
          <w:color w:val="000000"/>
          <w:shd w:val="clear" w:color="auto" w:fill="FFFFFF"/>
        </w:rPr>
        <w:t xml:space="preserve">and </w:t>
      </w:r>
      <w:r w:rsidR="00CC7117">
        <w:rPr>
          <w:rFonts w:ascii="Times New Roman" w:eastAsia="Times New Roman" w:hAnsi="Times New Roman" w:cs="Times New Roman"/>
          <w:color w:val="000000"/>
          <w:shd w:val="clear" w:color="auto" w:fill="FFFFFF"/>
        </w:rPr>
        <w:t>digital technologies (video and audio</w:t>
      </w:r>
      <w:r w:rsidR="00245795">
        <w:rPr>
          <w:rFonts w:ascii="Times New Roman" w:eastAsia="Times New Roman" w:hAnsi="Times New Roman" w:cs="Times New Roman"/>
          <w:color w:val="000000"/>
          <w:shd w:val="clear" w:color="auto" w:fill="FFFFFF"/>
        </w:rPr>
        <w:t xml:space="preserve"> monitoring</w:t>
      </w:r>
      <w:r w:rsidR="00CC7117">
        <w:rPr>
          <w:rFonts w:ascii="Times New Roman" w:eastAsia="Times New Roman" w:hAnsi="Times New Roman" w:cs="Times New Roman"/>
          <w:color w:val="000000"/>
          <w:shd w:val="clear" w:color="auto" w:fill="FFFFFF"/>
        </w:rPr>
        <w:t>, biometrics</w:t>
      </w:r>
      <w:r w:rsidR="00245795">
        <w:rPr>
          <w:rFonts w:ascii="Times New Roman" w:eastAsia="Times New Roman" w:hAnsi="Times New Roman" w:cs="Times New Roman"/>
          <w:color w:val="000000"/>
          <w:shd w:val="clear" w:color="auto" w:fill="FFFFFF"/>
        </w:rPr>
        <w:t xml:space="preserve"> recording</w:t>
      </w:r>
      <w:r w:rsidR="00CC7117">
        <w:rPr>
          <w:rFonts w:ascii="Times New Roman" w:eastAsia="Times New Roman" w:hAnsi="Times New Roman" w:cs="Times New Roman"/>
          <w:color w:val="000000"/>
          <w:shd w:val="clear" w:color="auto" w:fill="FFFFFF"/>
        </w:rPr>
        <w:t xml:space="preserve">, </w:t>
      </w:r>
      <w:r w:rsidR="00245795">
        <w:rPr>
          <w:rFonts w:ascii="Times New Roman" w:eastAsia="Times New Roman" w:hAnsi="Times New Roman" w:cs="Times New Roman"/>
          <w:color w:val="000000"/>
          <w:shd w:val="clear" w:color="auto" w:fill="FFFFFF"/>
        </w:rPr>
        <w:t>i</w:t>
      </w:r>
      <w:r w:rsidR="002125BC">
        <w:rPr>
          <w:rFonts w:ascii="Times New Roman" w:eastAsia="Times New Roman" w:hAnsi="Times New Roman" w:cs="Times New Roman"/>
          <w:color w:val="000000"/>
          <w:shd w:val="clear" w:color="auto" w:fill="FFFFFF"/>
        </w:rPr>
        <w:t>dentification</w:t>
      </w:r>
      <w:r w:rsidR="00245795">
        <w:rPr>
          <w:rFonts w:ascii="Times New Roman" w:eastAsia="Times New Roman" w:hAnsi="Times New Roman" w:cs="Times New Roman"/>
          <w:color w:val="000000"/>
          <w:shd w:val="clear" w:color="auto" w:fill="FFFFFF"/>
        </w:rPr>
        <w:t xml:space="preserve"> data bases, </w:t>
      </w:r>
      <w:proofErr w:type="spellStart"/>
      <w:r w:rsidR="00245795">
        <w:rPr>
          <w:rFonts w:ascii="Times New Roman" w:eastAsia="Times New Roman" w:hAnsi="Times New Roman" w:cs="Times New Roman"/>
          <w:color w:val="000000"/>
          <w:shd w:val="clear" w:color="auto" w:fill="FFFFFF"/>
        </w:rPr>
        <w:t>ect</w:t>
      </w:r>
      <w:proofErr w:type="spellEnd"/>
      <w:r w:rsidR="00245795">
        <w:rPr>
          <w:rFonts w:ascii="Times New Roman" w:eastAsia="Times New Roman" w:hAnsi="Times New Roman" w:cs="Times New Roman"/>
          <w:color w:val="000000"/>
          <w:shd w:val="clear" w:color="auto" w:fill="FFFFFF"/>
        </w:rPr>
        <w:t>)</w:t>
      </w:r>
      <w:r w:rsidR="00B56FC4">
        <w:rPr>
          <w:rFonts w:ascii="Times New Roman" w:eastAsia="Times New Roman" w:hAnsi="Times New Roman" w:cs="Times New Roman"/>
          <w:color w:val="000000"/>
          <w:shd w:val="clear" w:color="auto" w:fill="FFFFFF"/>
        </w:rPr>
        <w:t>. Th</w:t>
      </w:r>
      <w:r w:rsidR="00500D51">
        <w:rPr>
          <w:rFonts w:ascii="Times New Roman" w:eastAsia="Times New Roman" w:hAnsi="Times New Roman" w:cs="Times New Roman"/>
          <w:color w:val="000000"/>
          <w:shd w:val="clear" w:color="auto" w:fill="FFFFFF"/>
        </w:rPr>
        <w:t>is</w:t>
      </w:r>
      <w:r w:rsidR="00B56FC4">
        <w:rPr>
          <w:rFonts w:ascii="Times New Roman" w:eastAsia="Times New Roman" w:hAnsi="Times New Roman" w:cs="Times New Roman"/>
          <w:color w:val="000000"/>
          <w:shd w:val="clear" w:color="auto" w:fill="FFFFFF"/>
        </w:rPr>
        <w:t xml:space="preserve"> border </w:t>
      </w:r>
      <w:r w:rsidR="00500D51">
        <w:rPr>
          <w:rFonts w:ascii="Times New Roman" w:eastAsia="Times New Roman" w:hAnsi="Times New Roman" w:cs="Times New Roman"/>
          <w:color w:val="000000"/>
          <w:shd w:val="clear" w:color="auto" w:fill="FFFFFF"/>
        </w:rPr>
        <w:t>surveillance</w:t>
      </w:r>
      <w:r w:rsidR="00B56FC4">
        <w:rPr>
          <w:rFonts w:ascii="Times New Roman" w:eastAsia="Times New Roman" w:hAnsi="Times New Roman" w:cs="Times New Roman"/>
          <w:color w:val="000000"/>
          <w:shd w:val="clear" w:color="auto" w:fill="FFFFFF"/>
        </w:rPr>
        <w:t xml:space="preserve"> </w:t>
      </w:r>
      <w:r w:rsidR="00500D51">
        <w:rPr>
          <w:rFonts w:ascii="Times New Roman" w:eastAsia="Times New Roman" w:hAnsi="Times New Roman" w:cs="Times New Roman"/>
          <w:color w:val="000000"/>
          <w:shd w:val="clear" w:color="auto" w:fill="FFFFFF"/>
        </w:rPr>
        <w:t xml:space="preserve">infrastructure </w:t>
      </w:r>
      <w:r w:rsidR="009514A5">
        <w:rPr>
          <w:rFonts w:ascii="Times New Roman" w:eastAsia="Times New Roman" w:hAnsi="Times New Roman" w:cs="Times New Roman"/>
          <w:color w:val="000000"/>
          <w:shd w:val="clear" w:color="auto" w:fill="FFFFFF"/>
        </w:rPr>
        <w:t>is</w:t>
      </w:r>
      <w:r w:rsidR="00B56FC4">
        <w:rPr>
          <w:rFonts w:ascii="Times New Roman" w:eastAsia="Times New Roman" w:hAnsi="Times New Roman" w:cs="Times New Roman"/>
          <w:color w:val="000000"/>
          <w:shd w:val="clear" w:color="auto" w:fill="FFFFFF"/>
        </w:rPr>
        <w:t xml:space="preserve"> not only</w:t>
      </w:r>
      <w:r w:rsidR="00500D51">
        <w:rPr>
          <w:rFonts w:ascii="Times New Roman" w:eastAsia="Times New Roman" w:hAnsi="Times New Roman" w:cs="Times New Roman"/>
          <w:color w:val="000000"/>
          <w:shd w:val="clear" w:color="auto" w:fill="FFFFFF"/>
        </w:rPr>
        <w:t xml:space="preserve"> geographically</w:t>
      </w:r>
      <w:r w:rsidR="00B56FC4">
        <w:rPr>
          <w:rFonts w:ascii="Times New Roman" w:eastAsia="Times New Roman" w:hAnsi="Times New Roman" w:cs="Times New Roman"/>
          <w:color w:val="000000"/>
          <w:shd w:val="clear" w:color="auto" w:fill="FFFFFF"/>
        </w:rPr>
        <w:t xml:space="preserve"> transform</w:t>
      </w:r>
      <w:r w:rsidR="009514A5">
        <w:rPr>
          <w:rFonts w:ascii="Times New Roman" w:eastAsia="Times New Roman" w:hAnsi="Times New Roman" w:cs="Times New Roman"/>
          <w:color w:val="000000"/>
          <w:shd w:val="clear" w:color="auto" w:fill="FFFFFF"/>
        </w:rPr>
        <w:t xml:space="preserve">ing </w:t>
      </w:r>
      <w:r w:rsidR="00500D51">
        <w:rPr>
          <w:rFonts w:ascii="Times New Roman" w:eastAsia="Times New Roman" w:hAnsi="Times New Roman" w:cs="Times New Roman"/>
          <w:color w:val="000000"/>
          <w:shd w:val="clear" w:color="auto" w:fill="FFFFFF"/>
        </w:rPr>
        <w:t xml:space="preserve">US </w:t>
      </w:r>
      <w:r w:rsidR="00B56FC4">
        <w:rPr>
          <w:rFonts w:ascii="Times New Roman" w:eastAsia="Times New Roman" w:hAnsi="Times New Roman" w:cs="Times New Roman"/>
          <w:color w:val="000000"/>
          <w:shd w:val="clear" w:color="auto" w:fill="FFFFFF"/>
        </w:rPr>
        <w:t>border</w:t>
      </w:r>
      <w:r w:rsidR="00500D51">
        <w:rPr>
          <w:rFonts w:ascii="Times New Roman" w:eastAsia="Times New Roman" w:hAnsi="Times New Roman" w:cs="Times New Roman"/>
          <w:color w:val="000000"/>
          <w:shd w:val="clear" w:color="auto" w:fill="FFFFFF"/>
        </w:rPr>
        <w:t>s</w:t>
      </w:r>
      <w:r w:rsidR="00B56FC4">
        <w:rPr>
          <w:rFonts w:ascii="Times New Roman" w:eastAsia="Times New Roman" w:hAnsi="Times New Roman" w:cs="Times New Roman"/>
          <w:color w:val="000000"/>
          <w:shd w:val="clear" w:color="auto" w:fill="FFFFFF"/>
        </w:rPr>
        <w:t xml:space="preserve">, but </w:t>
      </w:r>
      <w:r w:rsidR="00500D51">
        <w:rPr>
          <w:rFonts w:ascii="Times New Roman" w:eastAsia="Times New Roman" w:hAnsi="Times New Roman" w:cs="Times New Roman"/>
          <w:color w:val="000000"/>
          <w:shd w:val="clear" w:color="auto" w:fill="FFFFFF"/>
        </w:rPr>
        <w:t>it</w:t>
      </w:r>
      <w:r w:rsidR="00B56FC4">
        <w:rPr>
          <w:rFonts w:ascii="Times New Roman" w:eastAsia="Times New Roman" w:hAnsi="Times New Roman" w:cs="Times New Roman"/>
          <w:color w:val="000000"/>
          <w:shd w:val="clear" w:color="auto" w:fill="FFFFFF"/>
        </w:rPr>
        <w:t xml:space="preserve"> also </w:t>
      </w:r>
      <w:r w:rsidR="00500D51">
        <w:rPr>
          <w:rFonts w:ascii="Times New Roman" w:eastAsia="Times New Roman" w:hAnsi="Times New Roman" w:cs="Times New Roman"/>
          <w:color w:val="000000"/>
          <w:shd w:val="clear" w:color="auto" w:fill="FFFFFF"/>
        </w:rPr>
        <w:t>changing the</w:t>
      </w:r>
      <w:r w:rsidR="00B56FC4">
        <w:rPr>
          <w:rFonts w:ascii="Times New Roman" w:eastAsia="Times New Roman" w:hAnsi="Times New Roman" w:cs="Times New Roman"/>
          <w:color w:val="000000"/>
          <w:shd w:val="clear" w:color="auto" w:fill="FFFFFF"/>
        </w:rPr>
        <w:t xml:space="preserve"> </w:t>
      </w:r>
      <w:r w:rsidR="00500D51">
        <w:rPr>
          <w:rFonts w:ascii="Times New Roman" w:eastAsia="Times New Roman" w:hAnsi="Times New Roman" w:cs="Times New Roman"/>
          <w:color w:val="000000"/>
          <w:shd w:val="clear" w:color="auto" w:fill="FFFFFF"/>
        </w:rPr>
        <w:t xml:space="preserve">legal, political, economic, and foundations which bolster the liberal nation state and its </w:t>
      </w:r>
      <w:proofErr w:type="spellStart"/>
      <w:r w:rsidR="00500D51">
        <w:rPr>
          <w:rFonts w:ascii="Times New Roman" w:eastAsia="Times New Roman" w:hAnsi="Times New Roman" w:cs="Times New Roman"/>
          <w:color w:val="000000"/>
          <w:shd w:val="clear" w:color="auto" w:fill="FFFFFF"/>
        </w:rPr>
        <w:t>subjects</w:t>
      </w:r>
      <w:r w:rsidR="00B56FC4">
        <w:rPr>
          <w:rFonts w:ascii="Times New Roman" w:eastAsia="Times New Roman" w:hAnsi="Times New Roman" w:cs="Times New Roman"/>
          <w:color w:val="000000"/>
          <w:shd w:val="clear" w:color="auto" w:fill="FFFFFF"/>
        </w:rPr>
        <w:t>.</w:t>
      </w:r>
      <w:r w:rsidR="0027474E">
        <w:rPr>
          <w:rFonts w:ascii="Times New Roman" w:hAnsi="Times New Roman" w:cs="Times New Roman"/>
        </w:rPr>
        <w:t>DHS</w:t>
      </w:r>
      <w:proofErr w:type="spellEnd"/>
      <w:r w:rsidR="0027474E">
        <w:rPr>
          <w:rFonts w:ascii="Times New Roman" w:hAnsi="Times New Roman" w:cs="Times New Roman"/>
        </w:rPr>
        <w:t xml:space="preserve">’ interest in </w:t>
      </w:r>
      <w:r w:rsidR="0027474E">
        <w:rPr>
          <w:rFonts w:ascii="Times New Roman" w:hAnsi="Times New Roman" w:cs="Times New Roman"/>
        </w:rPr>
        <w:t>information-based</w:t>
      </w:r>
      <w:r w:rsidR="0027474E">
        <w:rPr>
          <w:rFonts w:ascii="Times New Roman" w:hAnsi="Times New Roman" w:cs="Times New Roman"/>
        </w:rPr>
        <w:t xml:space="preserve"> integration is not limited in use to internal management of the </w:t>
      </w:r>
      <w:r w:rsidR="00F44399">
        <w:rPr>
          <w:rFonts w:ascii="Times New Roman" w:hAnsi="Times New Roman" w:cs="Times New Roman"/>
        </w:rPr>
        <w:t>state but</w:t>
      </w:r>
      <w:r w:rsidR="0027474E">
        <w:rPr>
          <w:rFonts w:ascii="Times New Roman" w:hAnsi="Times New Roman" w:cs="Times New Roman"/>
        </w:rPr>
        <w:t xml:space="preserve"> is also seeking to extend </w:t>
      </w:r>
      <w:r w:rsidR="00F44399">
        <w:rPr>
          <w:rFonts w:ascii="Times New Roman" w:hAnsi="Times New Roman" w:cs="Times New Roman"/>
        </w:rPr>
        <w:t>this</w:t>
      </w:r>
      <w:r w:rsidR="0027474E">
        <w:rPr>
          <w:rFonts w:ascii="Times New Roman" w:hAnsi="Times New Roman" w:cs="Times New Roman"/>
        </w:rPr>
        <w:t xml:space="preserve"> information infrastructure </w:t>
      </w:r>
      <w:r w:rsidR="00F44399">
        <w:rPr>
          <w:rFonts w:ascii="Times New Roman" w:hAnsi="Times New Roman" w:cs="Times New Roman"/>
        </w:rPr>
        <w:t>throughout the glob</w:t>
      </w:r>
      <w:r w:rsidR="009514A5">
        <w:rPr>
          <w:rFonts w:ascii="Times New Roman" w:hAnsi="Times New Roman" w:cs="Times New Roman"/>
        </w:rPr>
        <w:t>e</w:t>
      </w:r>
      <w:r w:rsidR="0027474E">
        <w:rPr>
          <w:rFonts w:ascii="Times New Roman" w:hAnsi="Times New Roman" w:cs="Times New Roman"/>
        </w:rPr>
        <w:t>.</w:t>
      </w:r>
      <w:r w:rsidR="009514A5">
        <w:rPr>
          <w:rFonts w:ascii="Times New Roman" w:hAnsi="Times New Roman" w:cs="Times New Roman"/>
        </w:rPr>
        <w:t xml:space="preserve"> </w:t>
      </w:r>
      <w:r w:rsidR="009514A5">
        <w:rPr>
          <w:rFonts w:ascii="Times New Roman" w:eastAsia="Times New Roman" w:hAnsi="Times New Roman" w:cs="Times New Roman"/>
          <w:color w:val="000000"/>
          <w:shd w:val="clear" w:color="auto" w:fill="FFFFFF"/>
        </w:rPr>
        <w:t>T</w:t>
      </w:r>
      <w:r w:rsidR="00500D51">
        <w:rPr>
          <w:rFonts w:ascii="Times New Roman" w:eastAsia="Times New Roman" w:hAnsi="Times New Roman" w:cs="Times New Roman"/>
          <w:color w:val="000000"/>
          <w:shd w:val="clear" w:color="auto" w:fill="FFFFFF"/>
        </w:rPr>
        <w:t xml:space="preserve">ake for example, </w:t>
      </w:r>
      <w:r w:rsidR="001C6FEC" w:rsidRPr="00EA26FF">
        <w:rPr>
          <w:rFonts w:ascii="Times New Roman" w:eastAsia="Times New Roman" w:hAnsi="Times New Roman" w:cs="Times New Roman"/>
          <w:color w:val="000000"/>
          <w:shd w:val="clear" w:color="auto" w:fill="FFFFFF"/>
        </w:rPr>
        <w:t>the US Department of Homeland Security’s Science and Technology web page</w:t>
      </w:r>
      <w:r w:rsidR="00500D51">
        <w:rPr>
          <w:rFonts w:ascii="Times New Roman" w:eastAsia="Times New Roman" w:hAnsi="Times New Roman" w:cs="Times New Roman"/>
          <w:color w:val="000000"/>
          <w:shd w:val="clear" w:color="auto" w:fill="FFFFFF"/>
        </w:rPr>
        <w:t>,</w:t>
      </w:r>
      <w:r w:rsidR="001C6FEC">
        <w:rPr>
          <w:rStyle w:val="FootnoteReference"/>
          <w:rFonts w:ascii="Times" w:eastAsia="Times New Roman" w:hAnsi="Times" w:cs="Times New Roman"/>
          <w:color w:val="000000"/>
          <w:sz w:val="27"/>
          <w:szCs w:val="27"/>
          <w:shd w:val="clear" w:color="auto" w:fill="FFFFFF"/>
        </w:rPr>
        <w:footnoteReference w:id="1"/>
      </w:r>
      <w:r w:rsidR="00500D51">
        <w:rPr>
          <w:rFonts w:ascii="Times New Roman" w:eastAsia="Times New Roman" w:hAnsi="Times New Roman" w:cs="Times New Roman"/>
          <w:color w:val="000000"/>
          <w:shd w:val="clear" w:color="auto" w:fill="FFFFFF"/>
        </w:rPr>
        <w:t xml:space="preserve"> which states: </w:t>
      </w:r>
    </w:p>
    <w:p w14:paraId="51DB9704" w14:textId="77777777" w:rsidR="001C6FEC" w:rsidRDefault="001C6FEC" w:rsidP="00365BC9">
      <w:pPr>
        <w:rPr>
          <w:rFonts w:ascii="Times" w:eastAsia="Times New Roman" w:hAnsi="Times" w:cs="Times New Roman"/>
          <w:color w:val="000000"/>
          <w:sz w:val="27"/>
          <w:szCs w:val="27"/>
          <w:shd w:val="clear" w:color="auto" w:fill="FFFFFF"/>
        </w:rPr>
      </w:pPr>
    </w:p>
    <w:p w14:paraId="7DA8B56F" w14:textId="75DB0AEE" w:rsidR="001C6FEC" w:rsidRPr="001C6FEC" w:rsidRDefault="001C6FEC" w:rsidP="00365BC9">
      <w:pPr>
        <w:ind w:left="720"/>
        <w:rPr>
          <w:rFonts w:ascii="Times New Roman" w:eastAsia="Times New Roman" w:hAnsi="Times New Roman" w:cs="Times New Roman"/>
          <w:color w:val="4472C4" w:themeColor="accent1"/>
          <w:shd w:val="clear" w:color="auto" w:fill="FFFFFF"/>
        </w:rPr>
      </w:pPr>
      <w:r w:rsidRPr="00365BC9">
        <w:rPr>
          <w:rFonts w:ascii="Times New Roman" w:eastAsia="Times New Roman" w:hAnsi="Times New Roman" w:cs="Times New Roman"/>
          <w:color w:val="4472C4" w:themeColor="accent1"/>
          <w:shd w:val="clear" w:color="auto" w:fill="FFFFFF"/>
        </w:rPr>
        <w:t>“</w:t>
      </w:r>
      <w:r w:rsidRPr="001C6FEC">
        <w:rPr>
          <w:rFonts w:ascii="Times New Roman" w:eastAsia="Times New Roman" w:hAnsi="Times New Roman" w:cs="Times New Roman"/>
          <w:color w:val="4472C4" w:themeColor="accent1"/>
          <w:shd w:val="clear" w:color="auto" w:fill="FFFFFF"/>
        </w:rPr>
        <w:t>Blockchain and Distributed Ledgers are innovative technologies that have many uses and applications across multiple sectors of the economy. From a government perspective, the technology holds the potential for enhanced transparency and auditing of public service operations, greater supply chain visibility to combat the distribution of counterfeit products, and automation of paper-based processes to improve delivery of services to organizations and citizens. Examples include ensuring the authenticity and integrity of videos and photos from cameras; sensors and Internet of Things devices; enhancing and facilitating international trade and customs processes; facilitating and securing passenger processing; and mitigating forgery and counterfeiting of official licenses and certificates.</w:t>
      </w:r>
      <w:r w:rsidRPr="00365BC9">
        <w:rPr>
          <w:rFonts w:ascii="Times New Roman" w:eastAsia="Times New Roman" w:hAnsi="Times New Roman" w:cs="Times New Roman"/>
          <w:color w:val="4472C4" w:themeColor="accent1"/>
          <w:shd w:val="clear" w:color="auto" w:fill="FFFFFF"/>
        </w:rPr>
        <w:t xml:space="preserve"> </w:t>
      </w:r>
    </w:p>
    <w:p w14:paraId="7FB40DD4" w14:textId="3B221223" w:rsidR="001C6F7B" w:rsidRPr="001C6F7B" w:rsidRDefault="001C6F7B" w:rsidP="00365BC9">
      <w:pPr>
        <w:spacing w:after="120" w:line="384" w:lineRule="atLeast"/>
        <w:ind w:firstLine="720"/>
        <w:outlineLvl w:val="2"/>
        <w:rPr>
          <w:rFonts w:ascii="Times New Roman" w:eastAsia="Times New Roman" w:hAnsi="Times New Roman" w:cs="Times New Roman"/>
          <w:color w:val="4472C4" w:themeColor="accent1"/>
        </w:rPr>
      </w:pPr>
      <w:r w:rsidRPr="001C6F7B">
        <w:rPr>
          <w:rFonts w:ascii="Times New Roman" w:eastAsia="Times New Roman" w:hAnsi="Times New Roman" w:cs="Times New Roman"/>
          <w:color w:val="4472C4" w:themeColor="accent1"/>
        </w:rPr>
        <w:t>DHS and Blockchain</w:t>
      </w:r>
    </w:p>
    <w:p w14:paraId="39837647" w14:textId="77777777" w:rsidR="001C6F7B" w:rsidRPr="001C6F7B" w:rsidRDefault="001C6F7B" w:rsidP="00365BC9">
      <w:pPr>
        <w:spacing w:after="240"/>
        <w:ind w:left="720"/>
        <w:rPr>
          <w:rFonts w:ascii="Times New Roman" w:eastAsia="Times New Roman" w:hAnsi="Times New Roman" w:cs="Times New Roman"/>
          <w:color w:val="4472C4" w:themeColor="accent1"/>
        </w:rPr>
      </w:pPr>
      <w:r w:rsidRPr="001C6F7B">
        <w:rPr>
          <w:rFonts w:ascii="Times New Roman" w:eastAsia="Times New Roman" w:hAnsi="Times New Roman" w:cs="Times New Roman"/>
          <w:color w:val="4472C4" w:themeColor="accent1"/>
        </w:rPr>
        <w:t>There are several Department of Homeland Security (DHS) use cases that could be enabled by blockchain technology, including:</w:t>
      </w:r>
    </w:p>
    <w:p w14:paraId="035D49CE" w14:textId="77777777" w:rsidR="001C6F7B" w:rsidRPr="001C6F7B" w:rsidRDefault="001C6F7B" w:rsidP="00365BC9">
      <w:pPr>
        <w:numPr>
          <w:ilvl w:val="0"/>
          <w:numId w:val="1"/>
        </w:numPr>
        <w:tabs>
          <w:tab w:val="clear" w:pos="720"/>
          <w:tab w:val="num" w:pos="1440"/>
        </w:tabs>
        <w:spacing w:after="72"/>
        <w:ind w:left="1080" w:right="300"/>
        <w:rPr>
          <w:rFonts w:ascii="Times New Roman" w:eastAsia="Times New Roman" w:hAnsi="Times New Roman" w:cs="Times New Roman"/>
          <w:color w:val="4472C4" w:themeColor="accent1"/>
        </w:rPr>
      </w:pPr>
      <w:r w:rsidRPr="001C6F7B">
        <w:rPr>
          <w:rFonts w:ascii="Times New Roman" w:eastAsia="Times New Roman" w:hAnsi="Times New Roman" w:cs="Times New Roman"/>
          <w:color w:val="4472C4" w:themeColor="accent1"/>
        </w:rPr>
        <w:t>Digital issuance of currently paper-based credentials to enhance their security, ensure their interoperability, and prevent their forgery and counterfeiting</w:t>
      </w:r>
    </w:p>
    <w:p w14:paraId="2CE5064E" w14:textId="77777777" w:rsidR="001C6F7B" w:rsidRPr="001C6F7B" w:rsidRDefault="001C6F7B" w:rsidP="00365BC9">
      <w:pPr>
        <w:numPr>
          <w:ilvl w:val="0"/>
          <w:numId w:val="1"/>
        </w:numPr>
        <w:tabs>
          <w:tab w:val="clear" w:pos="720"/>
          <w:tab w:val="num" w:pos="1440"/>
        </w:tabs>
        <w:spacing w:after="72"/>
        <w:ind w:left="1080" w:right="300"/>
        <w:rPr>
          <w:rFonts w:ascii="Times New Roman" w:eastAsia="Times New Roman" w:hAnsi="Times New Roman" w:cs="Times New Roman"/>
          <w:color w:val="4472C4" w:themeColor="accent1"/>
        </w:rPr>
      </w:pPr>
      <w:r w:rsidRPr="001C6F7B">
        <w:rPr>
          <w:rFonts w:ascii="Times New Roman" w:eastAsia="Times New Roman" w:hAnsi="Times New Roman" w:cs="Times New Roman"/>
          <w:color w:val="4472C4" w:themeColor="accent1"/>
        </w:rPr>
        <w:t>Creating immutable records and audit logs of data that cannot be spoofed and can be publicly verified without revealing personally identifiable information</w:t>
      </w:r>
    </w:p>
    <w:p w14:paraId="692FA717" w14:textId="77777777" w:rsidR="001C6F7B" w:rsidRPr="001C6F7B" w:rsidRDefault="001C6F7B" w:rsidP="00365BC9">
      <w:pPr>
        <w:numPr>
          <w:ilvl w:val="0"/>
          <w:numId w:val="1"/>
        </w:numPr>
        <w:tabs>
          <w:tab w:val="clear" w:pos="720"/>
          <w:tab w:val="num" w:pos="1440"/>
        </w:tabs>
        <w:spacing w:after="72"/>
        <w:ind w:left="1080" w:right="300"/>
        <w:rPr>
          <w:rFonts w:ascii="Times New Roman" w:eastAsia="Times New Roman" w:hAnsi="Times New Roman" w:cs="Times New Roman"/>
          <w:color w:val="4472C4" w:themeColor="accent1"/>
        </w:rPr>
      </w:pPr>
      <w:r w:rsidRPr="001C6F7B">
        <w:rPr>
          <w:rFonts w:ascii="Times New Roman" w:eastAsia="Times New Roman" w:hAnsi="Times New Roman" w:cs="Times New Roman"/>
          <w:color w:val="4472C4" w:themeColor="accent1"/>
        </w:rPr>
        <w:t>Improving traveler experience in airports by reducing redundant checks</w:t>
      </w:r>
    </w:p>
    <w:p w14:paraId="42CA1845" w14:textId="04751963" w:rsidR="00F44399" w:rsidRDefault="001C6F7B" w:rsidP="00F44399">
      <w:pPr>
        <w:numPr>
          <w:ilvl w:val="0"/>
          <w:numId w:val="1"/>
        </w:numPr>
        <w:tabs>
          <w:tab w:val="clear" w:pos="720"/>
          <w:tab w:val="num" w:pos="1440"/>
        </w:tabs>
        <w:spacing w:after="72"/>
        <w:ind w:left="1080" w:right="300"/>
        <w:rPr>
          <w:rFonts w:ascii="Times New Roman" w:eastAsia="Times New Roman" w:hAnsi="Times New Roman" w:cs="Times New Roman"/>
          <w:color w:val="4472C4" w:themeColor="accent1"/>
        </w:rPr>
      </w:pPr>
      <w:r w:rsidRPr="001C6F7B">
        <w:rPr>
          <w:rFonts w:ascii="Times New Roman" w:eastAsia="Times New Roman" w:hAnsi="Times New Roman" w:cs="Times New Roman"/>
          <w:color w:val="4472C4" w:themeColor="accent1"/>
        </w:rPr>
        <w:t>Reducing fraud in the transfer of goods across international boundaries that touch multiple entities who do not trust each other</w:t>
      </w:r>
      <w:r w:rsidR="00500D51" w:rsidRPr="00365BC9">
        <w:rPr>
          <w:rFonts w:ascii="Times New Roman" w:eastAsia="Times New Roman" w:hAnsi="Times New Roman" w:cs="Times New Roman"/>
          <w:color w:val="4472C4" w:themeColor="accent1"/>
        </w:rPr>
        <w:t>”</w:t>
      </w:r>
    </w:p>
    <w:p w14:paraId="1B5B9D9E" w14:textId="77777777" w:rsidR="00F44399" w:rsidRPr="00F44399" w:rsidRDefault="00F44399" w:rsidP="00F44399">
      <w:pPr>
        <w:numPr>
          <w:ilvl w:val="0"/>
          <w:numId w:val="1"/>
        </w:numPr>
        <w:tabs>
          <w:tab w:val="clear" w:pos="720"/>
          <w:tab w:val="num" w:pos="1440"/>
        </w:tabs>
        <w:spacing w:after="72"/>
        <w:ind w:left="1080" w:right="300"/>
        <w:rPr>
          <w:rFonts w:ascii="Times New Roman" w:eastAsia="Times New Roman" w:hAnsi="Times New Roman" w:cs="Times New Roman"/>
          <w:color w:val="4472C4" w:themeColor="accent1"/>
        </w:rPr>
      </w:pPr>
    </w:p>
    <w:p w14:paraId="6B1F087C" w14:textId="351B5A77" w:rsidR="00F44399" w:rsidRPr="00F44399" w:rsidRDefault="00F44399" w:rsidP="00F44399">
      <w:pPr>
        <w:spacing w:after="72"/>
        <w:ind w:right="30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My research follows DHS’ information infrastructure and look at places where theses border transformations materialize. In this </w:t>
      </w:r>
      <w:r w:rsidR="008A133F">
        <w:rPr>
          <w:rFonts w:ascii="Times New Roman" w:eastAsia="Times New Roman" w:hAnsi="Times New Roman" w:cs="Times New Roman"/>
          <w:color w:val="000000" w:themeColor="text1"/>
        </w:rPr>
        <w:t>reflection</w:t>
      </w:r>
      <w:r>
        <w:rPr>
          <w:rFonts w:ascii="Times New Roman" w:eastAsia="Times New Roman" w:hAnsi="Times New Roman" w:cs="Times New Roman"/>
          <w:color w:val="000000" w:themeColor="text1"/>
        </w:rPr>
        <w:t xml:space="preserve">, I will focus on a chapter of my </w:t>
      </w:r>
      <w:r w:rsidR="009514A5">
        <w:rPr>
          <w:rFonts w:ascii="Times New Roman" w:eastAsia="Times New Roman" w:hAnsi="Times New Roman" w:cs="Times New Roman"/>
          <w:color w:val="000000" w:themeColor="text1"/>
        </w:rPr>
        <w:t>dissertation (</w:t>
      </w:r>
      <w:r>
        <w:rPr>
          <w:rFonts w:ascii="Times New Roman" w:eastAsia="Times New Roman" w:hAnsi="Times New Roman" w:cs="Times New Roman"/>
          <w:color w:val="000000" w:themeColor="text1"/>
        </w:rPr>
        <w:t xml:space="preserve">currently in publication). </w:t>
      </w:r>
      <w:r w:rsidR="000125D9">
        <w:rPr>
          <w:rFonts w:ascii="Times New Roman" w:eastAsia="Times New Roman" w:hAnsi="Times New Roman" w:cs="Times New Roman"/>
          <w:color w:val="000000" w:themeColor="text1"/>
        </w:rPr>
        <w:t>Here is the abstract</w:t>
      </w:r>
      <w:r w:rsidR="009514A5">
        <w:rPr>
          <w:rFonts w:ascii="Times New Roman" w:eastAsia="Times New Roman" w:hAnsi="Times New Roman" w:cs="Times New Roman"/>
          <w:color w:val="000000" w:themeColor="text1"/>
        </w:rPr>
        <w:t>:</w:t>
      </w:r>
      <w:r w:rsidR="000125D9">
        <w:rPr>
          <w:rFonts w:ascii="Times New Roman" w:eastAsia="Times New Roman" w:hAnsi="Times New Roman" w:cs="Times New Roman"/>
          <w:color w:val="000000" w:themeColor="text1"/>
        </w:rPr>
        <w:t xml:space="preserve"> </w:t>
      </w:r>
    </w:p>
    <w:p w14:paraId="60DB7436" w14:textId="7423105B" w:rsidR="0029632B" w:rsidRPr="0029632B" w:rsidRDefault="0029632B" w:rsidP="0029632B">
      <w:pPr>
        <w:spacing w:before="100" w:beforeAutospacing="1" w:after="100" w:afterAutospacing="1"/>
        <w:rPr>
          <w:rFonts w:ascii="Times New Roman" w:eastAsia="Times New Roman" w:hAnsi="Times New Roman" w:cs="Times New Roman"/>
        </w:rPr>
      </w:pPr>
      <w:r w:rsidRPr="0029632B">
        <w:rPr>
          <w:rFonts w:ascii="TimesNewRomanPSMT" w:eastAsia="Times New Roman" w:hAnsi="TimesNewRomanPSMT" w:cs="Times New Roman"/>
        </w:rPr>
        <w:t>The Sanctuary City Movement</w:t>
      </w:r>
      <w:r w:rsidR="00247370">
        <w:rPr>
          <w:rStyle w:val="FootnoteReference"/>
          <w:rFonts w:ascii="TimesNewRomanPSMT" w:eastAsia="Times New Roman" w:hAnsi="TimesNewRomanPSMT" w:cs="Times New Roman"/>
        </w:rPr>
        <w:footnoteReference w:id="2"/>
      </w:r>
      <w:r w:rsidRPr="0029632B">
        <w:rPr>
          <w:rFonts w:ascii="TimesNewRomanPSMT" w:eastAsia="Times New Roman" w:hAnsi="TimesNewRomanPSMT" w:cs="Times New Roman"/>
        </w:rPr>
        <w:t>, which aims to combat racialized social exclusion against non-</w:t>
      </w:r>
      <w:proofErr w:type="spellStart"/>
      <w:r w:rsidRPr="0029632B">
        <w:rPr>
          <w:rFonts w:ascii="TimesNewRomanPSMT" w:eastAsia="Times New Roman" w:hAnsi="TimesNewRomanPSMT" w:cs="Times New Roman"/>
        </w:rPr>
        <w:t>citiz</w:t>
      </w:r>
      <w:r w:rsidR="00F44399">
        <w:rPr>
          <w:rFonts w:ascii="TimesNewRomanPSMT" w:eastAsia="Times New Roman" w:hAnsi="TimesNewRomanPSMT" w:cs="Times New Roman"/>
        </w:rPr>
        <w:t>s</w:t>
      </w:r>
      <w:r w:rsidRPr="0029632B">
        <w:rPr>
          <w:rFonts w:ascii="TimesNewRomanPSMT" w:eastAsia="Times New Roman" w:hAnsi="TimesNewRomanPSMT" w:cs="Times New Roman"/>
        </w:rPr>
        <w:t>ens</w:t>
      </w:r>
      <w:proofErr w:type="spellEnd"/>
      <w:r w:rsidRPr="0029632B">
        <w:rPr>
          <w:rFonts w:ascii="TimesNewRomanPSMT" w:eastAsia="Times New Roman" w:hAnsi="TimesNewRomanPSMT" w:cs="Times New Roman"/>
        </w:rPr>
        <w:t>, has reemerged at a time when all scales of governance produce, store, and utilize extensive quantities of data. Municipal policies, like those in San Francisco, rely on data interoperability—networks of integrated databases—to extend what I call “administrative sanctuary.” The inclusionary practices of administrative sanctuary grant non-citizens access to differential residency by cataloguing and inventorying personal data (e.g. municipal identification cards, driver’s licenses, and job training). In so doing, they document the “undocumented.” Acknowledging that non-citizens’ data may be at risk, the city of San Francisco has implemented safety measures. However, DHS</w:t>
      </w:r>
      <w:r w:rsidR="00F44399">
        <w:rPr>
          <w:rFonts w:ascii="TimesNewRomanPSMT" w:eastAsia="Times New Roman" w:hAnsi="TimesNewRomanPSMT" w:cs="Times New Roman"/>
        </w:rPr>
        <w:t>’</w:t>
      </w:r>
      <w:r w:rsidRPr="0029632B">
        <w:rPr>
          <w:rFonts w:ascii="TimesNewRomanPSMT" w:eastAsia="Times New Roman" w:hAnsi="TimesNewRomanPSMT" w:cs="Times New Roman"/>
        </w:rPr>
        <w:t xml:space="preserve"> concurrent investment in data interoperability renders the protections of administrative sanctuary limited at best. </w:t>
      </w:r>
    </w:p>
    <w:p w14:paraId="5E063214" w14:textId="7E195DB0" w:rsidR="0029632B" w:rsidRPr="0029632B" w:rsidRDefault="0029632B" w:rsidP="0029632B">
      <w:pPr>
        <w:spacing w:before="100" w:beforeAutospacing="1" w:after="100" w:afterAutospacing="1"/>
        <w:rPr>
          <w:rFonts w:ascii="Times New Roman" w:eastAsia="Times New Roman" w:hAnsi="Times New Roman" w:cs="Times New Roman"/>
        </w:rPr>
      </w:pPr>
      <w:r w:rsidRPr="0029632B">
        <w:rPr>
          <w:rFonts w:ascii="TimesNewRomanPSMT" w:eastAsia="Times New Roman" w:hAnsi="TimesNewRomanPSMT" w:cs="Times New Roman"/>
        </w:rPr>
        <w:t>US Borders can no longer be understood as walls, but rather all “management practices directed at ‘where the migrant is</w:t>
      </w:r>
      <w:r w:rsidR="00F44399">
        <w:rPr>
          <w:rFonts w:ascii="TimesNewRomanPSMT" w:eastAsia="Times New Roman" w:hAnsi="TimesNewRomanPSMT" w:cs="Times New Roman"/>
        </w:rPr>
        <w:t>.</w:t>
      </w:r>
      <w:r w:rsidRPr="0029632B">
        <w:rPr>
          <w:rFonts w:ascii="TimesNewRomanPSMT" w:eastAsia="Times New Roman" w:hAnsi="TimesNewRomanPSMT" w:cs="Times New Roman"/>
        </w:rPr>
        <w:t>” Indeed, sites such as detention centers, airports, and wallets are extensions of borders. If borders are a multitude of institutions and practices of migrant management, I then ask; how are these institutions and practices linked and coordinated? And what value is produced in their operation? I began by highlighting the Department of Homeland Security increased corporate-state partnership with the information technology industry. I argue that a database infrastructure, not a wall, is the backbone of the US border. I then follow, DHS’ database infrastructure to the city of San Francisco (SF), a self-proclaimed sanctuary city and innovator in smart city technologies. SF also relies a database infrastructure for administrative practices. In fact, similar to DHS, SF has implemented networks of integrated databases to facilitate “smart governance.” Although, SF sanctuary ordinance prohibits the use of municipal resources and employees to assist in border enforcement, the city, however, does cooperates with DHS in other capacities. For example, providing access to individual’s health and law enforcement data through disaster preparedness and urban securitization projects</w:t>
      </w:r>
      <w:r w:rsidR="00247370">
        <w:rPr>
          <w:rFonts w:ascii="TimesNewRomanPSMT" w:eastAsia="Times New Roman" w:hAnsi="TimesNewRomanPSMT" w:cs="Times New Roman"/>
        </w:rPr>
        <w:t xml:space="preserve"> such as the </w:t>
      </w:r>
      <w:r w:rsidR="00247370" w:rsidRPr="00247370">
        <w:rPr>
          <w:rFonts w:ascii="TimesNewRomanPSMT" w:eastAsia="Times New Roman" w:hAnsi="TimesNewRomanPSMT" w:cs="Times New Roman"/>
        </w:rPr>
        <w:t>Bay Area Urban Areas Security Initiative</w:t>
      </w:r>
      <w:r w:rsidR="00247370">
        <w:rPr>
          <w:rStyle w:val="FootnoteReference"/>
          <w:rFonts w:ascii="TimesNewRomanPSMT" w:eastAsia="Times New Roman" w:hAnsi="TimesNewRomanPSMT" w:cs="Times New Roman"/>
        </w:rPr>
        <w:footnoteReference w:id="3"/>
      </w:r>
      <w:r w:rsidRPr="0029632B">
        <w:rPr>
          <w:rFonts w:ascii="TimesNewRomanPSMT" w:eastAsia="Times New Roman" w:hAnsi="TimesNewRomanPSMT" w:cs="Times New Roman"/>
        </w:rPr>
        <w:t xml:space="preserve">. I suggest that DHS funded city and regional programs are integrated with border enforcement databases, and thus extensions of the border. Next, I argue, that through database integration, DHS’ border is just not a technology that encloses US territory from the territories of other nation-states, but it also operates to enclose migrants from citizenship. DHS’ </w:t>
      </w:r>
      <w:r w:rsidR="00F44399">
        <w:rPr>
          <w:rFonts w:ascii="TimesNewRomanPSMT" w:eastAsia="Times New Roman" w:hAnsi="TimesNewRomanPSMT" w:cs="Times New Roman"/>
        </w:rPr>
        <w:t xml:space="preserve">hi-tech </w:t>
      </w:r>
      <w:r w:rsidRPr="0029632B">
        <w:rPr>
          <w:rFonts w:ascii="TimesNewRomanPSMT" w:eastAsia="Times New Roman" w:hAnsi="TimesNewRomanPSMT" w:cs="Times New Roman"/>
        </w:rPr>
        <w:t xml:space="preserve">border ensures conditions for the transnational circulation of capital, labor, and resources, while also operating as ledger technology, or digital check- point that makes computational decisions, calculating migrant deportability based on their labor productivity and state cost of social reproduction. This US </w:t>
      </w:r>
      <w:proofErr w:type="gramStart"/>
      <w:r w:rsidRPr="0029632B">
        <w:rPr>
          <w:rFonts w:ascii="TimesNewRomanPSMT" w:eastAsia="Times New Roman" w:hAnsi="TimesNewRomanPSMT" w:cs="Times New Roman"/>
        </w:rPr>
        <w:t>corporate-state</w:t>
      </w:r>
      <w:proofErr w:type="gramEnd"/>
      <w:r w:rsidRPr="0029632B">
        <w:rPr>
          <w:rFonts w:ascii="TimesNewRomanPSMT" w:eastAsia="Times New Roman" w:hAnsi="TimesNewRomanPSMT" w:cs="Times New Roman"/>
        </w:rPr>
        <w:t xml:space="preserve"> led project is </w:t>
      </w:r>
      <w:r w:rsidRPr="0029632B">
        <w:rPr>
          <w:rFonts w:ascii="TimesNewRomanPSMT" w:eastAsia="Times New Roman" w:hAnsi="TimesNewRomanPSMT" w:cs="Times New Roman"/>
        </w:rPr>
        <w:lastRenderedPageBreak/>
        <w:t>intensifying group “differentiated premature death” (Gilmore, 2007)</w:t>
      </w:r>
      <w:r w:rsidR="000125D9">
        <w:rPr>
          <w:rStyle w:val="FootnoteReference"/>
          <w:rFonts w:ascii="TimesNewRomanPSMT" w:eastAsia="Times New Roman" w:hAnsi="TimesNewRomanPSMT" w:cs="Times New Roman"/>
        </w:rPr>
        <w:footnoteReference w:id="4"/>
      </w:r>
      <w:r w:rsidRPr="0029632B">
        <w:rPr>
          <w:rFonts w:ascii="TimesNewRomanPSMT" w:eastAsia="Times New Roman" w:hAnsi="TimesNewRomanPSMT" w:cs="Times New Roman"/>
        </w:rPr>
        <w:t xml:space="preserve"> through the management of what I call an “arch of enclosures” that continuously travels with people throughout the entire migration process. Lastly, I suggest that SF sanctuary city is not a beacon for migrant protection, but, rather, presents us the limits of liberal inclusion under racial capitalism</w:t>
      </w:r>
      <w:r w:rsidRPr="0029632B">
        <w:rPr>
          <w:rFonts w:ascii="TimesNewRomanPSMT" w:eastAsia="Times New Roman" w:hAnsi="TimesNewRomanPSMT" w:cs="Times New Roman"/>
          <w:sz w:val="22"/>
          <w:szCs w:val="22"/>
        </w:rPr>
        <w:t xml:space="preserve">. </w:t>
      </w:r>
    </w:p>
    <w:p w14:paraId="41F09A1D" w14:textId="77777777" w:rsidR="0029632B" w:rsidRPr="00EA26FF" w:rsidRDefault="0029632B" w:rsidP="00365BC9">
      <w:pPr>
        <w:rPr>
          <w:rFonts w:ascii="Times New Roman" w:hAnsi="Times New Roman" w:cs="Times New Roman"/>
        </w:rPr>
      </w:pPr>
    </w:p>
    <w:sectPr w:rsidR="0029632B" w:rsidRPr="00EA2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1B5B7" w14:textId="77777777" w:rsidR="00E41A80" w:rsidRDefault="00E41A80" w:rsidP="001C6FEC">
      <w:r>
        <w:separator/>
      </w:r>
    </w:p>
  </w:endnote>
  <w:endnote w:type="continuationSeparator" w:id="0">
    <w:p w14:paraId="350C8590" w14:textId="77777777" w:rsidR="00E41A80" w:rsidRDefault="00E41A80" w:rsidP="001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52F19" w14:textId="77777777" w:rsidR="00E41A80" w:rsidRDefault="00E41A80" w:rsidP="001C6FEC">
      <w:r>
        <w:separator/>
      </w:r>
    </w:p>
  </w:footnote>
  <w:footnote w:type="continuationSeparator" w:id="0">
    <w:p w14:paraId="7DB239A7" w14:textId="77777777" w:rsidR="00E41A80" w:rsidRDefault="00E41A80" w:rsidP="001C6FEC">
      <w:r>
        <w:continuationSeparator/>
      </w:r>
    </w:p>
  </w:footnote>
  <w:footnote w:id="1">
    <w:p w14:paraId="47DE18A9" w14:textId="50702608" w:rsidR="001C6FEC" w:rsidRDefault="001C6FEC">
      <w:pPr>
        <w:pStyle w:val="FootnoteText"/>
      </w:pPr>
      <w:r>
        <w:rPr>
          <w:rStyle w:val="FootnoteReference"/>
        </w:rPr>
        <w:footnoteRef/>
      </w:r>
      <w:r>
        <w:t xml:space="preserve"> </w:t>
      </w:r>
      <w:r w:rsidRPr="001C6FEC">
        <w:t>https://www.dhs.gov/science-and-technology/blockchain-portfolio</w:t>
      </w:r>
    </w:p>
  </w:footnote>
  <w:footnote w:id="2">
    <w:p w14:paraId="1B9DFDA3" w14:textId="04BECE30" w:rsidR="00247370" w:rsidRPr="00247370" w:rsidRDefault="00247370" w:rsidP="00247370">
      <w:pPr>
        <w:rPr>
          <w:rFonts w:ascii="Times New Roman" w:hAnsi="Times New Roman" w:cs="Times New Roman"/>
          <w:color w:val="000000" w:themeColor="text1"/>
        </w:rPr>
      </w:pPr>
      <w:r w:rsidRPr="00247370">
        <w:rPr>
          <w:rStyle w:val="FootnoteReference"/>
          <w:rFonts w:ascii="Times New Roman" w:hAnsi="Times New Roman" w:cs="Times New Roman"/>
          <w:color w:val="000000" w:themeColor="text1"/>
        </w:rPr>
        <w:footnoteRef/>
      </w:r>
      <w:r w:rsidRPr="00247370">
        <w:rPr>
          <w:rFonts w:ascii="Times New Roman" w:hAnsi="Times New Roman" w:cs="Times New Roman"/>
          <w:color w:val="000000" w:themeColor="text1"/>
        </w:rPr>
        <w:t xml:space="preserve"> See:</w:t>
      </w:r>
      <w:r w:rsidRPr="00247370">
        <w:rPr>
          <w:rFonts w:ascii="Times New Roman" w:hAnsi="Times New Roman" w:cs="Times New Roman"/>
          <w:color w:val="000000" w:themeColor="text1"/>
          <w:shd w:val="clear" w:color="auto" w:fill="FFFFFF"/>
        </w:rPr>
        <w:t xml:space="preserve"> </w:t>
      </w:r>
      <w:proofErr w:type="spellStart"/>
      <w:proofErr w:type="gramStart"/>
      <w:r w:rsidRPr="00247370">
        <w:rPr>
          <w:rFonts w:ascii="Times New Roman" w:eastAsia="Times New Roman" w:hAnsi="Times New Roman" w:cs="Times New Roman"/>
          <w:color w:val="000000" w:themeColor="text1"/>
          <w:shd w:val="clear" w:color="auto" w:fill="FFFFFF"/>
        </w:rPr>
        <w:t>Paik</w:t>
      </w:r>
      <w:r>
        <w:rPr>
          <w:rFonts w:ascii="Times New Roman" w:eastAsia="Times New Roman" w:hAnsi="Times New Roman" w:cs="Times New Roman"/>
          <w:color w:val="000000" w:themeColor="text1"/>
          <w:shd w:val="clear" w:color="auto" w:fill="FFFFFF"/>
        </w:rPr>
        <w:t>.</w:t>
      </w:r>
      <w:r w:rsidR="000125D9">
        <w:rPr>
          <w:rFonts w:ascii="Times New Roman" w:eastAsia="Times New Roman" w:hAnsi="Times New Roman" w:cs="Times New Roman"/>
          <w:color w:val="000000" w:themeColor="text1"/>
          <w:shd w:val="clear" w:color="auto" w:fill="FFFFFF"/>
        </w:rPr>
        <w:t>A.N</w:t>
      </w:r>
      <w:proofErr w:type="spellEnd"/>
      <w:proofErr w:type="gramEnd"/>
      <w:r>
        <w:rPr>
          <w:rFonts w:ascii="Times New Roman" w:eastAsia="Times New Roman" w:hAnsi="Times New Roman" w:cs="Times New Roman"/>
          <w:color w:val="000000" w:themeColor="text1"/>
          <w:shd w:val="clear" w:color="auto" w:fill="FFFFFF"/>
        </w:rPr>
        <w:t xml:space="preserve"> (2020). “</w:t>
      </w:r>
      <w:r w:rsidRPr="00247370">
        <w:rPr>
          <w:rFonts w:ascii="Times New Roman" w:hAnsi="Times New Roman" w:cs="Times New Roman"/>
          <w:color w:val="000000" w:themeColor="text1"/>
        </w:rPr>
        <w:t>Bans, Walls, Raids, Sanctuary</w:t>
      </w:r>
      <w:r w:rsidRPr="00247370">
        <w:rPr>
          <w:rFonts w:ascii="Times New Roman" w:hAnsi="Times New Roman" w:cs="Times New Roman"/>
          <w:color w:val="000000" w:themeColor="text1"/>
        </w:rPr>
        <w:t xml:space="preserve"> </w:t>
      </w:r>
      <w:r w:rsidRPr="00247370">
        <w:rPr>
          <w:rFonts w:ascii="Times New Roman" w:hAnsi="Times New Roman" w:cs="Times New Roman"/>
          <w:color w:val="000000" w:themeColor="text1"/>
        </w:rPr>
        <w:t>Understanding U.S. Immigration for the Twenty-First Century</w:t>
      </w:r>
      <w:r w:rsidR="000125D9">
        <w:rPr>
          <w:rFonts w:ascii="Times New Roman" w:hAnsi="Times New Roman" w:cs="Times New Roman"/>
          <w:color w:val="000000" w:themeColor="text1"/>
        </w:rPr>
        <w:t>.</w:t>
      </w:r>
      <w:r w:rsidRPr="00247370">
        <w:rPr>
          <w:rFonts w:ascii="Times New Roman" w:hAnsi="Times New Roman" w:cs="Times New Roman"/>
          <w:color w:val="000000" w:themeColor="text1"/>
        </w:rPr>
        <w:t>”</w:t>
      </w:r>
      <w:r w:rsidR="000125D9">
        <w:rPr>
          <w:rFonts w:ascii="Times New Roman" w:hAnsi="Times New Roman" w:cs="Times New Roman"/>
          <w:color w:val="000000" w:themeColor="text1"/>
        </w:rPr>
        <w:t xml:space="preserve"> University of California Press. </w:t>
      </w:r>
    </w:p>
    <w:p w14:paraId="00376D1F" w14:textId="05723ADB" w:rsidR="00247370" w:rsidRPr="000125D9" w:rsidRDefault="00247370" w:rsidP="000125D9">
      <w:pPr>
        <w:rPr>
          <w:rFonts w:ascii="Times New Roman" w:eastAsia="Times New Roman" w:hAnsi="Times New Roman" w:cs="Times New Roman"/>
        </w:rPr>
      </w:pPr>
      <w:proofErr w:type="spellStart"/>
      <w:r w:rsidRPr="00247370">
        <w:rPr>
          <w:rFonts w:ascii="Times New Roman" w:eastAsia="Times New Roman" w:hAnsi="Times New Roman" w:cs="Times New Roman"/>
        </w:rPr>
        <w:t>Cobarrubias</w:t>
      </w:r>
      <w:proofErr w:type="spellEnd"/>
      <w:r w:rsidRPr="00247370">
        <w:rPr>
          <w:rFonts w:ascii="Times New Roman" w:eastAsia="Times New Roman" w:hAnsi="Times New Roman" w:cs="Times New Roman"/>
        </w:rPr>
        <w:t xml:space="preserve">, S., et al. (2015). Externalization. </w:t>
      </w:r>
      <w:r w:rsidRPr="00247370">
        <w:rPr>
          <w:rFonts w:ascii="Times New Roman" w:eastAsia="Times New Roman" w:hAnsi="Times New Roman" w:cs="Times New Roman"/>
          <w:i/>
        </w:rPr>
        <w:t>Cultural Studies: New Keywords: Migration and Borders</w:t>
      </w:r>
      <w:r w:rsidRPr="00247370">
        <w:rPr>
          <w:rFonts w:ascii="Times New Roman" w:eastAsia="Times New Roman" w:hAnsi="Times New Roman" w:cs="Times New Roman"/>
        </w:rPr>
        <w:t xml:space="preserve"> 29(1), 73.</w:t>
      </w:r>
    </w:p>
  </w:footnote>
  <w:footnote w:id="3">
    <w:p w14:paraId="76EEBD1A" w14:textId="0364E14C" w:rsidR="00247370" w:rsidRPr="000125D9" w:rsidRDefault="00247370" w:rsidP="000125D9">
      <w:r w:rsidRPr="00247370">
        <w:rPr>
          <w:rStyle w:val="FootnoteReference"/>
          <w:rFonts w:ascii="Times New Roman" w:hAnsi="Times New Roman" w:cs="Times New Roman"/>
        </w:rPr>
        <w:footnoteRef/>
      </w:r>
      <w:r w:rsidRPr="00247370">
        <w:t xml:space="preserve"> See: </w:t>
      </w:r>
      <w:r w:rsidRPr="00247370">
        <w:t>http://www</w:t>
      </w:r>
      <w:r w:rsidRPr="000125D9">
        <w:t>.bayareauasi.org</w:t>
      </w:r>
    </w:p>
  </w:footnote>
  <w:footnote w:id="4">
    <w:p w14:paraId="6E197435" w14:textId="35FEE829" w:rsidR="000125D9" w:rsidRPr="000125D9" w:rsidRDefault="000125D9" w:rsidP="000125D9">
      <w:r w:rsidRPr="000125D9">
        <w:rPr>
          <w:rStyle w:val="FootnoteReference"/>
          <w:rFonts w:ascii="Times New Roman" w:hAnsi="Times New Roman" w:cs="Times New Roman"/>
          <w:color w:val="000000" w:themeColor="text1"/>
        </w:rPr>
        <w:footnoteRef/>
      </w:r>
      <w:r w:rsidRPr="000125D9">
        <w:t xml:space="preserve"> Wilson </w:t>
      </w:r>
      <w:proofErr w:type="spellStart"/>
      <w:r w:rsidRPr="000125D9">
        <w:t xml:space="preserve">Glimore. </w:t>
      </w:r>
      <w:proofErr w:type="spellEnd"/>
      <w:r w:rsidRPr="000125D9">
        <w:t>R. (2007) G</w:t>
      </w:r>
      <w:r w:rsidRPr="000125D9">
        <w:t>olden Gulag</w:t>
      </w:r>
      <w:r>
        <w:t xml:space="preserve">: </w:t>
      </w:r>
      <w:r w:rsidRPr="000125D9">
        <w:t>Prisons, Surplus, Crisis, and Opposition in Globalizing California</w:t>
      </w:r>
      <w:r w:rsidRPr="000125D9">
        <w:t xml:space="preserve">. </w:t>
      </w:r>
      <w:r w:rsidRPr="000125D9">
        <w:t>University of California Press.</w:t>
      </w:r>
    </w:p>
    <w:p w14:paraId="2E2C3727" w14:textId="618C0D4A" w:rsidR="000125D9" w:rsidRDefault="000125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B7392"/>
    <w:multiLevelType w:val="multilevel"/>
    <w:tmpl w:val="D70C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EC"/>
    <w:rsid w:val="000125D9"/>
    <w:rsid w:val="001C6F7B"/>
    <w:rsid w:val="001C6FEC"/>
    <w:rsid w:val="002125BC"/>
    <w:rsid w:val="00245795"/>
    <w:rsid w:val="00247370"/>
    <w:rsid w:val="0027474E"/>
    <w:rsid w:val="0029632B"/>
    <w:rsid w:val="00365BC9"/>
    <w:rsid w:val="003A50FA"/>
    <w:rsid w:val="00500D51"/>
    <w:rsid w:val="005B0B09"/>
    <w:rsid w:val="008A133F"/>
    <w:rsid w:val="008D3616"/>
    <w:rsid w:val="009514A5"/>
    <w:rsid w:val="00955733"/>
    <w:rsid w:val="00B56FC4"/>
    <w:rsid w:val="00CC7117"/>
    <w:rsid w:val="00E41A80"/>
    <w:rsid w:val="00EA26FF"/>
    <w:rsid w:val="00F4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31C6E"/>
  <w15:chartTrackingRefBased/>
  <w15:docId w15:val="{2FD77626-DC3A-3448-A2AC-78EBF722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3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C6F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6FEC"/>
    <w:rPr>
      <w:sz w:val="20"/>
      <w:szCs w:val="20"/>
    </w:rPr>
  </w:style>
  <w:style w:type="character" w:customStyle="1" w:styleId="FootnoteTextChar">
    <w:name w:val="Footnote Text Char"/>
    <w:basedOn w:val="DefaultParagraphFont"/>
    <w:link w:val="FootnoteText"/>
    <w:uiPriority w:val="99"/>
    <w:semiHidden/>
    <w:rsid w:val="001C6FEC"/>
    <w:rPr>
      <w:sz w:val="20"/>
      <w:szCs w:val="20"/>
    </w:rPr>
  </w:style>
  <w:style w:type="character" w:styleId="FootnoteReference">
    <w:name w:val="footnote reference"/>
    <w:basedOn w:val="DefaultParagraphFont"/>
    <w:uiPriority w:val="99"/>
    <w:semiHidden/>
    <w:unhideWhenUsed/>
    <w:rsid w:val="001C6FEC"/>
    <w:rPr>
      <w:vertAlign w:val="superscript"/>
    </w:rPr>
  </w:style>
  <w:style w:type="character" w:customStyle="1" w:styleId="Heading3Char">
    <w:name w:val="Heading 3 Char"/>
    <w:basedOn w:val="DefaultParagraphFont"/>
    <w:link w:val="Heading3"/>
    <w:uiPriority w:val="9"/>
    <w:rsid w:val="001C6F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F7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4737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51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12577">
      <w:bodyDiv w:val="1"/>
      <w:marLeft w:val="0"/>
      <w:marRight w:val="0"/>
      <w:marTop w:val="0"/>
      <w:marBottom w:val="0"/>
      <w:divBdr>
        <w:top w:val="none" w:sz="0" w:space="0" w:color="auto"/>
        <w:left w:val="none" w:sz="0" w:space="0" w:color="auto"/>
        <w:bottom w:val="none" w:sz="0" w:space="0" w:color="auto"/>
        <w:right w:val="none" w:sz="0" w:space="0" w:color="auto"/>
      </w:divBdr>
    </w:div>
    <w:div w:id="1002048192">
      <w:bodyDiv w:val="1"/>
      <w:marLeft w:val="0"/>
      <w:marRight w:val="0"/>
      <w:marTop w:val="0"/>
      <w:marBottom w:val="0"/>
      <w:divBdr>
        <w:top w:val="none" w:sz="0" w:space="0" w:color="auto"/>
        <w:left w:val="none" w:sz="0" w:space="0" w:color="auto"/>
        <w:bottom w:val="none" w:sz="0" w:space="0" w:color="auto"/>
        <w:right w:val="none" w:sz="0" w:space="0" w:color="auto"/>
      </w:divBdr>
    </w:div>
    <w:div w:id="1028144848">
      <w:bodyDiv w:val="1"/>
      <w:marLeft w:val="0"/>
      <w:marRight w:val="0"/>
      <w:marTop w:val="0"/>
      <w:marBottom w:val="0"/>
      <w:divBdr>
        <w:top w:val="none" w:sz="0" w:space="0" w:color="auto"/>
        <w:left w:val="none" w:sz="0" w:space="0" w:color="auto"/>
        <w:bottom w:val="none" w:sz="0" w:space="0" w:color="auto"/>
        <w:right w:val="none" w:sz="0" w:space="0" w:color="auto"/>
      </w:divBdr>
    </w:div>
    <w:div w:id="1129123974">
      <w:bodyDiv w:val="1"/>
      <w:marLeft w:val="0"/>
      <w:marRight w:val="0"/>
      <w:marTop w:val="0"/>
      <w:marBottom w:val="0"/>
      <w:divBdr>
        <w:top w:val="none" w:sz="0" w:space="0" w:color="auto"/>
        <w:left w:val="none" w:sz="0" w:space="0" w:color="auto"/>
        <w:bottom w:val="none" w:sz="0" w:space="0" w:color="auto"/>
        <w:right w:val="none" w:sz="0" w:space="0" w:color="auto"/>
      </w:divBdr>
      <w:divsChild>
        <w:div w:id="265122192">
          <w:marLeft w:val="0"/>
          <w:marRight w:val="0"/>
          <w:marTop w:val="0"/>
          <w:marBottom w:val="0"/>
          <w:divBdr>
            <w:top w:val="none" w:sz="0" w:space="0" w:color="auto"/>
            <w:left w:val="none" w:sz="0" w:space="0" w:color="auto"/>
            <w:bottom w:val="none" w:sz="0" w:space="0" w:color="auto"/>
            <w:right w:val="none" w:sz="0" w:space="0" w:color="auto"/>
          </w:divBdr>
          <w:divsChild>
            <w:div w:id="211381660">
              <w:marLeft w:val="0"/>
              <w:marRight w:val="0"/>
              <w:marTop w:val="0"/>
              <w:marBottom w:val="0"/>
              <w:divBdr>
                <w:top w:val="none" w:sz="0" w:space="0" w:color="auto"/>
                <w:left w:val="none" w:sz="0" w:space="0" w:color="auto"/>
                <w:bottom w:val="none" w:sz="0" w:space="0" w:color="auto"/>
                <w:right w:val="none" w:sz="0" w:space="0" w:color="auto"/>
              </w:divBdr>
              <w:divsChild>
                <w:div w:id="2856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77766">
      <w:bodyDiv w:val="1"/>
      <w:marLeft w:val="0"/>
      <w:marRight w:val="0"/>
      <w:marTop w:val="0"/>
      <w:marBottom w:val="0"/>
      <w:divBdr>
        <w:top w:val="none" w:sz="0" w:space="0" w:color="auto"/>
        <w:left w:val="none" w:sz="0" w:space="0" w:color="auto"/>
        <w:bottom w:val="none" w:sz="0" w:space="0" w:color="auto"/>
        <w:right w:val="none" w:sz="0" w:space="0" w:color="auto"/>
      </w:divBdr>
      <w:divsChild>
        <w:div w:id="799416004">
          <w:marLeft w:val="0"/>
          <w:marRight w:val="0"/>
          <w:marTop w:val="0"/>
          <w:marBottom w:val="0"/>
          <w:divBdr>
            <w:top w:val="none" w:sz="0" w:space="0" w:color="auto"/>
            <w:left w:val="none" w:sz="0" w:space="0" w:color="auto"/>
            <w:bottom w:val="none" w:sz="0" w:space="0" w:color="auto"/>
            <w:right w:val="none" w:sz="0" w:space="0" w:color="auto"/>
          </w:divBdr>
          <w:divsChild>
            <w:div w:id="358046571">
              <w:marLeft w:val="0"/>
              <w:marRight w:val="0"/>
              <w:marTop w:val="0"/>
              <w:marBottom w:val="0"/>
              <w:divBdr>
                <w:top w:val="none" w:sz="0" w:space="0" w:color="auto"/>
                <w:left w:val="none" w:sz="0" w:space="0" w:color="auto"/>
                <w:bottom w:val="none" w:sz="0" w:space="0" w:color="auto"/>
                <w:right w:val="none" w:sz="0" w:space="0" w:color="auto"/>
              </w:divBdr>
              <w:divsChild>
                <w:div w:id="201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076">
      <w:bodyDiv w:val="1"/>
      <w:marLeft w:val="0"/>
      <w:marRight w:val="0"/>
      <w:marTop w:val="0"/>
      <w:marBottom w:val="0"/>
      <w:divBdr>
        <w:top w:val="none" w:sz="0" w:space="0" w:color="auto"/>
        <w:left w:val="none" w:sz="0" w:space="0" w:color="auto"/>
        <w:bottom w:val="none" w:sz="0" w:space="0" w:color="auto"/>
        <w:right w:val="none" w:sz="0" w:space="0" w:color="auto"/>
      </w:divBdr>
      <w:divsChild>
        <w:div w:id="571354040">
          <w:marLeft w:val="0"/>
          <w:marRight w:val="0"/>
          <w:marTop w:val="0"/>
          <w:marBottom w:val="0"/>
          <w:divBdr>
            <w:top w:val="none" w:sz="0" w:space="0" w:color="auto"/>
            <w:left w:val="none" w:sz="0" w:space="0" w:color="auto"/>
            <w:bottom w:val="none" w:sz="0" w:space="0" w:color="auto"/>
            <w:right w:val="none" w:sz="0" w:space="0" w:color="auto"/>
          </w:divBdr>
          <w:divsChild>
            <w:div w:id="1367369779">
              <w:marLeft w:val="0"/>
              <w:marRight w:val="0"/>
              <w:marTop w:val="0"/>
              <w:marBottom w:val="0"/>
              <w:divBdr>
                <w:top w:val="none" w:sz="0" w:space="0" w:color="auto"/>
                <w:left w:val="none" w:sz="0" w:space="0" w:color="auto"/>
                <w:bottom w:val="none" w:sz="0" w:space="0" w:color="auto"/>
                <w:right w:val="none" w:sz="0" w:space="0" w:color="auto"/>
              </w:divBdr>
              <w:divsChild>
                <w:div w:id="8603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8404">
      <w:bodyDiv w:val="1"/>
      <w:marLeft w:val="0"/>
      <w:marRight w:val="0"/>
      <w:marTop w:val="0"/>
      <w:marBottom w:val="0"/>
      <w:divBdr>
        <w:top w:val="none" w:sz="0" w:space="0" w:color="auto"/>
        <w:left w:val="none" w:sz="0" w:space="0" w:color="auto"/>
        <w:bottom w:val="none" w:sz="0" w:space="0" w:color="auto"/>
        <w:right w:val="none" w:sz="0" w:space="0" w:color="auto"/>
      </w:divBdr>
    </w:div>
    <w:div w:id="1468082190">
      <w:bodyDiv w:val="1"/>
      <w:marLeft w:val="0"/>
      <w:marRight w:val="0"/>
      <w:marTop w:val="0"/>
      <w:marBottom w:val="0"/>
      <w:divBdr>
        <w:top w:val="none" w:sz="0" w:space="0" w:color="auto"/>
        <w:left w:val="none" w:sz="0" w:space="0" w:color="auto"/>
        <w:bottom w:val="none" w:sz="0" w:space="0" w:color="auto"/>
        <w:right w:val="none" w:sz="0" w:space="0" w:color="auto"/>
      </w:divBdr>
    </w:div>
    <w:div w:id="19029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AC02D4-247B-4E29-8575-10F1CD25FBF2}"/>
</file>

<file path=customXml/itemProps2.xml><?xml version="1.0" encoding="utf-8"?>
<ds:datastoreItem xmlns:ds="http://schemas.openxmlformats.org/officeDocument/2006/customXml" ds:itemID="{F776C561-9ACE-4335-97D5-EDDB2CB3BAD9}"/>
</file>

<file path=customXml/itemProps3.xml><?xml version="1.0" encoding="utf-8"?>
<ds:datastoreItem xmlns:ds="http://schemas.openxmlformats.org/officeDocument/2006/customXml" ds:itemID="{6A621804-29AF-4457-B403-9CDB2452994A}"/>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Daniel Alfred</dc:creator>
  <cp:keywords/>
  <dc:description/>
  <cp:lastModifiedBy>Gonzalez, Daniel Alfred</cp:lastModifiedBy>
  <cp:revision>2</cp:revision>
  <dcterms:created xsi:type="dcterms:W3CDTF">2020-06-16T00:55:00Z</dcterms:created>
  <dcterms:modified xsi:type="dcterms:W3CDTF">2020-06-16T00:55:00Z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