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C2" w:rsidRPr="009B4965" w:rsidRDefault="007C06C2" w:rsidP="0086609E">
      <w:pPr>
        <w:pStyle w:val="Default"/>
        <w:jc w:val="center"/>
        <w:rPr>
          <w:b/>
          <w:sz w:val="28"/>
          <w:szCs w:val="28"/>
          <w:u w:val="single"/>
          <w:lang w:val="en-US"/>
        </w:rPr>
      </w:pPr>
      <w:r w:rsidRPr="009B4965">
        <w:rPr>
          <w:b/>
          <w:sz w:val="28"/>
          <w:szCs w:val="28"/>
          <w:u w:val="single"/>
          <w:lang w:val="en-US"/>
        </w:rPr>
        <w:t>Contact details</w:t>
      </w:r>
    </w:p>
    <w:p w:rsidR="007C06C2" w:rsidRPr="007C06C2" w:rsidRDefault="007C06C2" w:rsidP="0086609E">
      <w:pPr>
        <w:pStyle w:val="Default"/>
        <w:jc w:val="both"/>
        <w:rPr>
          <w:sz w:val="28"/>
          <w:szCs w:val="28"/>
          <w:lang w:val="en-US"/>
        </w:rPr>
      </w:pPr>
      <w:r w:rsidRPr="007C06C2">
        <w:rPr>
          <w:sz w:val="28"/>
          <w:szCs w:val="28"/>
          <w:lang w:val="en-US"/>
        </w:rPr>
        <w:t xml:space="preserve">Name: </w:t>
      </w:r>
      <w:r w:rsidR="004278FA">
        <w:rPr>
          <w:sz w:val="28"/>
          <w:szCs w:val="28"/>
          <w:lang w:val="en-US"/>
        </w:rPr>
        <w:t xml:space="preserve">Andrei </w:t>
      </w:r>
      <w:proofErr w:type="spellStart"/>
      <w:r w:rsidR="004278FA">
        <w:rPr>
          <w:sz w:val="28"/>
          <w:szCs w:val="28"/>
          <w:lang w:val="en-US"/>
        </w:rPr>
        <w:t>Ilnitski</w:t>
      </w:r>
      <w:proofErr w:type="spellEnd"/>
      <w:r w:rsidR="004278FA">
        <w:rPr>
          <w:sz w:val="28"/>
          <w:szCs w:val="28"/>
          <w:lang w:val="en-US"/>
        </w:rPr>
        <w:t xml:space="preserve">, </w:t>
      </w:r>
      <w:proofErr w:type="spellStart"/>
      <w:r w:rsidR="005F5320" w:rsidRPr="004278FA">
        <w:rPr>
          <w:sz w:val="28"/>
          <w:szCs w:val="28"/>
          <w:lang w:val="en-US"/>
        </w:rPr>
        <w:t>Kiry</w:t>
      </w:r>
      <w:r w:rsidRPr="004278FA">
        <w:rPr>
          <w:sz w:val="28"/>
          <w:szCs w:val="28"/>
          <w:lang w:val="en-US"/>
        </w:rPr>
        <w:t>l</w:t>
      </w:r>
      <w:proofErr w:type="spellEnd"/>
      <w:r w:rsidRPr="004278FA">
        <w:rPr>
          <w:sz w:val="28"/>
          <w:szCs w:val="28"/>
          <w:lang w:val="en-US"/>
        </w:rPr>
        <w:t xml:space="preserve"> </w:t>
      </w:r>
      <w:proofErr w:type="spellStart"/>
      <w:r w:rsidRPr="004278FA">
        <w:rPr>
          <w:sz w:val="28"/>
          <w:szCs w:val="28"/>
          <w:lang w:val="en-US"/>
        </w:rPr>
        <w:t>Prashcha</w:t>
      </w:r>
      <w:r w:rsidR="005F5320" w:rsidRPr="004278FA">
        <w:rPr>
          <w:sz w:val="28"/>
          <w:szCs w:val="28"/>
          <w:lang w:val="en-US"/>
        </w:rPr>
        <w:t>y</w:t>
      </w:r>
      <w:r w:rsidRPr="004278FA">
        <w:rPr>
          <w:sz w:val="28"/>
          <w:szCs w:val="28"/>
          <w:lang w:val="en-US"/>
        </w:rPr>
        <w:t>eu</w:t>
      </w:r>
      <w:proofErr w:type="spellEnd"/>
    </w:p>
    <w:p w:rsidR="007C06C2" w:rsidRPr="007C06C2" w:rsidRDefault="007C06C2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6C2">
        <w:rPr>
          <w:rFonts w:ascii="Times New Roman" w:hAnsi="Times New Roman" w:cs="Times New Roman"/>
          <w:sz w:val="28"/>
          <w:szCs w:val="28"/>
          <w:lang w:val="en-US"/>
        </w:rPr>
        <w:t xml:space="preserve">State/ </w:t>
      </w:r>
      <w:proofErr w:type="spellStart"/>
      <w:r w:rsidRPr="007C06C2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7C06C2">
        <w:rPr>
          <w:rFonts w:ascii="Times New Roman" w:hAnsi="Times New Roman" w:cs="Times New Roman"/>
          <w:sz w:val="28"/>
          <w:szCs w:val="28"/>
          <w:lang w:val="en-US"/>
        </w:rPr>
        <w:t xml:space="preserve">: Republic of Belarus / </w:t>
      </w:r>
      <w:bookmarkStart w:id="0" w:name="_GoBack"/>
      <w:r w:rsidRPr="007C06C2">
        <w:rPr>
          <w:rFonts w:ascii="Times New Roman" w:hAnsi="Times New Roman" w:cs="Times New Roman"/>
          <w:sz w:val="28"/>
          <w:szCs w:val="28"/>
          <w:lang w:val="en-US"/>
        </w:rPr>
        <w:t>Belarusian republican gerontological public association</w:t>
      </w:r>
    </w:p>
    <w:bookmarkEnd w:id="0"/>
    <w:p w:rsidR="007C06C2" w:rsidRPr="007C06C2" w:rsidRDefault="007C06C2" w:rsidP="0086609E">
      <w:pPr>
        <w:pStyle w:val="Default"/>
        <w:jc w:val="both"/>
        <w:rPr>
          <w:sz w:val="28"/>
          <w:szCs w:val="28"/>
          <w:lang w:val="en-US"/>
        </w:rPr>
      </w:pPr>
      <w:r w:rsidRPr="007C06C2">
        <w:rPr>
          <w:sz w:val="28"/>
          <w:szCs w:val="28"/>
          <w:lang w:val="en-US"/>
        </w:rPr>
        <w:t xml:space="preserve">Email: </w:t>
      </w:r>
      <w:r w:rsidR="00E00131">
        <w:rPr>
          <w:sz w:val="28"/>
          <w:szCs w:val="28"/>
          <w:lang w:val="en-US"/>
        </w:rPr>
        <w:t>a-ilnitski@yandex.by</w:t>
      </w:r>
    </w:p>
    <w:p w:rsidR="007C06C2" w:rsidRPr="007C06C2" w:rsidRDefault="007C06C2" w:rsidP="0086609E">
      <w:pPr>
        <w:pStyle w:val="Default"/>
        <w:jc w:val="both"/>
        <w:rPr>
          <w:sz w:val="28"/>
          <w:szCs w:val="28"/>
          <w:lang w:val="en-US"/>
        </w:rPr>
      </w:pPr>
      <w:r w:rsidRPr="007C06C2">
        <w:rPr>
          <w:sz w:val="28"/>
          <w:szCs w:val="28"/>
          <w:lang w:val="en-US"/>
        </w:rPr>
        <w:t>Telephone: +375 29</w:t>
      </w:r>
      <w:r w:rsidR="00CA31DB">
        <w:rPr>
          <w:sz w:val="28"/>
          <w:szCs w:val="28"/>
          <w:lang w:val="en-US"/>
        </w:rPr>
        <w:t> 504 88 05.</w:t>
      </w:r>
    </w:p>
    <w:p w:rsidR="007C06C2" w:rsidRDefault="007C06C2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8FA">
        <w:rPr>
          <w:rFonts w:ascii="Times New Roman" w:hAnsi="Times New Roman" w:cs="Times New Roman"/>
          <w:sz w:val="28"/>
          <w:szCs w:val="28"/>
          <w:lang w:val="en-US"/>
        </w:rPr>
        <w:t>Webpage:</w:t>
      </w:r>
      <w:r w:rsidRPr="007C0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0C44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www.gerontolog.info</w:t>
        </w:r>
      </w:hyperlink>
    </w:p>
    <w:p w:rsidR="007C06C2" w:rsidRPr="009B4965" w:rsidRDefault="007C06C2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4965" w:rsidRPr="004278FA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sz w:val="28"/>
          <w:szCs w:val="28"/>
          <w:lang w:val="en-US"/>
        </w:rPr>
        <w:t xml:space="preserve">1. Name of the practice: </w:t>
      </w:r>
      <w:r w:rsidRPr="009B4965">
        <w:rPr>
          <w:bCs/>
          <w:sz w:val="28"/>
          <w:szCs w:val="28"/>
          <w:lang w:val="en-US"/>
        </w:rPr>
        <w:t>Creation of therapeutic environment in nursing houses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sz w:val="28"/>
          <w:szCs w:val="28"/>
          <w:lang w:val="en-US"/>
        </w:rPr>
        <w:t xml:space="preserve">2. Area concerned: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Discrimination (e.g. legal/institutional framework, access to facilities and services, etc.)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Violence and abuse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526909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Adequate standard of living (e.g. resource availability, housing, etc.)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526909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Independence and autonomy (e.g. legal guardianship, accessibility, etc.)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Participation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Social protection (e.g. social security, incl. pension)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Education, training and lifelong learning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441E98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Care (home, family or institutional care, long-term care, palliative care, geriatric services, quality of care and availability of services, care workers, etc.)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sz w:val="28"/>
          <w:szCs w:val="28"/>
          <w:lang w:val="en-US"/>
        </w:rPr>
        <w:t xml:space="preserve">3. Type of practice: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Legal (Constitution, law, etc.)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DD74A3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>Policy/</w:t>
      </w:r>
      <w:proofErr w:type="spellStart"/>
      <w:r w:rsidRPr="009B4965">
        <w:rPr>
          <w:sz w:val="28"/>
          <w:szCs w:val="28"/>
          <w:lang w:val="en-US"/>
        </w:rPr>
        <w:t>Programme</w:t>
      </w:r>
      <w:proofErr w:type="spellEnd"/>
      <w:r w:rsidRPr="009B4965">
        <w:rPr>
          <w:sz w:val="28"/>
          <w:szCs w:val="28"/>
          <w:lang w:val="en-US"/>
        </w:rPr>
        <w:t xml:space="preserve">/Strategy/Action Plan on Ageing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DD74A3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Institution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Regulation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Administrative practice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Case law/jurisprudence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Disaggregated statistical data by age/gender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Training </w:t>
      </w:r>
      <w:proofErr w:type="spellStart"/>
      <w:r w:rsidRPr="009B4965">
        <w:rPr>
          <w:sz w:val="28"/>
          <w:szCs w:val="28"/>
          <w:lang w:val="en-US"/>
        </w:rPr>
        <w:t>programme</w:t>
      </w:r>
      <w:proofErr w:type="spellEnd"/>
      <w:r w:rsidRPr="009B4965">
        <w:rPr>
          <w:sz w:val="28"/>
          <w:szCs w:val="28"/>
          <w:lang w:val="en-US"/>
        </w:rPr>
        <w:t xml:space="preserve">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Other (please specify):.................................... </w:t>
      </w:r>
    </w:p>
    <w:p w:rsidR="00526909" w:rsidRDefault="00526909" w:rsidP="0086609E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sz w:val="28"/>
          <w:szCs w:val="28"/>
          <w:lang w:val="en-US"/>
        </w:rPr>
        <w:t xml:space="preserve">4. Level of implementation: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National </w:t>
      </w:r>
    </w:p>
    <w:p w:rsidR="009B4965" w:rsidRPr="009B4965" w:rsidRDefault="009B4965" w:rsidP="0086609E">
      <w:pPr>
        <w:pStyle w:val="Default"/>
        <w:spacing w:after="9"/>
        <w:jc w:val="both"/>
        <w:rPr>
          <w:sz w:val="28"/>
          <w:szCs w:val="28"/>
          <w:lang w:val="en-US"/>
        </w:rPr>
      </w:pPr>
      <w:r w:rsidRPr="00526909">
        <w:rPr>
          <w:sz w:val="28"/>
          <w:szCs w:val="28"/>
          <w:highlight w:val="red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Local (Sub-national, community, urban/rural area)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sz w:val="28"/>
          <w:szCs w:val="28"/>
        </w:rPr>
        <w:t></w:t>
      </w:r>
      <w:r w:rsidRPr="004278FA">
        <w:rPr>
          <w:sz w:val="28"/>
          <w:szCs w:val="28"/>
          <w:lang w:val="en-US"/>
        </w:rPr>
        <w:t xml:space="preserve"> </w:t>
      </w:r>
      <w:r w:rsidRPr="009B4965">
        <w:rPr>
          <w:sz w:val="28"/>
          <w:szCs w:val="28"/>
          <w:lang w:val="en-US"/>
        </w:rPr>
        <w:t xml:space="preserve">Other (please specify):.................................... </w:t>
      </w: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</w:p>
    <w:p w:rsidR="009B4965" w:rsidRPr="009B4965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sz w:val="28"/>
          <w:szCs w:val="28"/>
          <w:lang w:val="en-US"/>
        </w:rPr>
        <w:lastRenderedPageBreak/>
        <w:t xml:space="preserve">5. Please describe the practice, including a) its purpose; b) when and how it was adopted; c) how long it has been used/implemented; and d) its geographic scope. </w:t>
      </w:r>
    </w:p>
    <w:p w:rsidR="002377E3" w:rsidRDefault="002377E3" w:rsidP="0086609E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2377E3" w:rsidRDefault="002377E3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06C2">
        <w:rPr>
          <w:rFonts w:ascii="Times New Roman" w:hAnsi="Times New Roman" w:cs="Times New Roman"/>
          <w:sz w:val="28"/>
          <w:szCs w:val="28"/>
          <w:lang w:val="en-US"/>
        </w:rPr>
        <w:t>Belarusian republican gerontological public association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A8E">
        <w:rPr>
          <w:rFonts w:ascii="Times New Roman" w:hAnsi="Times New Roman" w:cs="Times New Roman"/>
          <w:sz w:val="28"/>
          <w:szCs w:val="28"/>
          <w:lang w:val="en-US"/>
        </w:rPr>
        <w:t xml:space="preserve">worked out the </w:t>
      </w:r>
      <w:r w:rsidR="00CA31DB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C62A8E">
        <w:rPr>
          <w:rFonts w:ascii="Times New Roman" w:hAnsi="Times New Roman" w:cs="Times New Roman"/>
          <w:sz w:val="28"/>
          <w:szCs w:val="28"/>
          <w:lang w:val="en-US"/>
        </w:rPr>
        <w:t xml:space="preserve">recommendations </w:t>
      </w:r>
      <w:r w:rsidR="00BF1BFD">
        <w:rPr>
          <w:rFonts w:ascii="Times New Roman" w:hAnsi="Times New Roman" w:cs="Times New Roman"/>
          <w:sz w:val="28"/>
          <w:szCs w:val="28"/>
          <w:lang w:val="en-US"/>
        </w:rPr>
        <w:t xml:space="preserve">for nursing houses concerning the implementation the therapeutic environment which promotes independency and dignity of elders. </w:t>
      </w:r>
      <w:r w:rsidR="00BF1BFD" w:rsidRPr="00BF1BFD">
        <w:rPr>
          <w:rFonts w:ascii="Times New Roman" w:hAnsi="Times New Roman" w:cs="Times New Roman"/>
          <w:b/>
          <w:i/>
          <w:sz w:val="28"/>
          <w:szCs w:val="28"/>
          <w:lang w:val="en-US"/>
        </w:rPr>
        <w:t>Main purpose</w:t>
      </w:r>
      <w:r w:rsidR="00BF1BFD">
        <w:rPr>
          <w:rFonts w:ascii="Times New Roman" w:hAnsi="Times New Roman" w:cs="Times New Roman"/>
          <w:sz w:val="28"/>
          <w:szCs w:val="28"/>
          <w:lang w:val="en-US"/>
        </w:rPr>
        <w:t xml:space="preserve"> – to realize </w:t>
      </w:r>
      <w:r w:rsidR="006F7E0E" w:rsidRPr="006F7E0E">
        <w:rPr>
          <w:rFonts w:ascii="Times New Roman" w:hAnsi="Times New Roman" w:cs="Times New Roman"/>
          <w:sz w:val="28"/>
          <w:szCs w:val="28"/>
          <w:lang w:val="en-US"/>
        </w:rPr>
        <w:t xml:space="preserve">multidisciplinary holistic approach </w:t>
      </w:r>
      <w:r w:rsidR="006F7E0E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to elderly people with high risk of development 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or developed </w:t>
      </w:r>
      <w:r w:rsidR="006F7E0E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geriatric syndromes 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>with significant decreasing</w:t>
      </w:r>
      <w:r w:rsidR="006F7E0E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 of quality of life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 in nursing houses</w:t>
      </w:r>
      <w:r w:rsidR="006F7E0E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Project includes developing of evidence-based methods of maintenance of intrinsic capacity in different diseases in nursing houses </w:t>
      </w:r>
      <w:r w:rsidR="0089794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 the creation convenient surrounding environment for supporting the </w:t>
      </w:r>
      <w:r w:rsidR="00CE3721">
        <w:rPr>
          <w:rFonts w:ascii="Times New Roman" w:hAnsi="Times New Roman" w:cs="Times New Roman"/>
          <w:sz w:val="28"/>
          <w:szCs w:val="28"/>
          <w:lang w:val="en-US"/>
        </w:rPr>
        <w:t>individually possible</w:t>
      </w:r>
      <w:r w:rsidR="00BF1BFD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 level of functional ability. </w:t>
      </w:r>
    </w:p>
    <w:p w:rsidR="00812CA6" w:rsidRDefault="00BF1BFD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1BFD">
        <w:rPr>
          <w:rFonts w:ascii="Times New Roman" w:hAnsi="Times New Roman" w:cs="Times New Roman"/>
          <w:b/>
          <w:i/>
          <w:sz w:val="28"/>
          <w:szCs w:val="28"/>
          <w:lang w:val="en-US"/>
        </w:rPr>
        <w:t>When and how it was adopted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67944"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 w:rsidRPr="00F67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944" w:rsidRPr="00F67944">
        <w:rPr>
          <w:rFonts w:ascii="Times New Roman" w:hAnsi="Times New Roman" w:cs="Times New Roman"/>
          <w:sz w:val="28"/>
          <w:szCs w:val="28"/>
          <w:lang w:val="en-US"/>
        </w:rPr>
        <w:t>in 2014 – 2015 in nursing houses of Vitebsk region of the Republic of Belarus</w:t>
      </w:r>
      <w:r w:rsidR="00F679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67944">
        <w:rPr>
          <w:rFonts w:ascii="Times New Roman" w:hAnsi="Times New Roman" w:cs="Times New Roman"/>
          <w:sz w:val="28"/>
          <w:szCs w:val="28"/>
          <w:lang w:val="en-US"/>
        </w:rPr>
        <w:t xml:space="preserve"> The special instruction was worked out, </w:t>
      </w:r>
      <w:r w:rsidR="001333F7">
        <w:rPr>
          <w:rFonts w:ascii="Times New Roman" w:hAnsi="Times New Roman" w:cs="Times New Roman"/>
          <w:sz w:val="28"/>
          <w:szCs w:val="28"/>
          <w:lang w:val="en-US"/>
        </w:rPr>
        <w:t xml:space="preserve">which included the differentiation of all patients of nursing houses in 3 groups – fit, vulnerable with cognitive impairment/impairment of mobility, frail with partial/total decreasing of independency. For these groups it was created differentiated therapeutic environment - </w:t>
      </w:r>
      <w:r w:rsidR="00F67944">
        <w:rPr>
          <w:rFonts w:ascii="Times New Roman" w:hAnsi="Times New Roman" w:cs="Times New Roman"/>
          <w:sz w:val="28"/>
          <w:szCs w:val="28"/>
          <w:lang w:val="en-US"/>
        </w:rPr>
        <w:t>non-barrier environment in nursing houses,</w:t>
      </w:r>
      <w:r w:rsidR="001333F7">
        <w:rPr>
          <w:rFonts w:ascii="Times New Roman" w:hAnsi="Times New Roman" w:cs="Times New Roman"/>
          <w:sz w:val="28"/>
          <w:szCs w:val="28"/>
          <w:lang w:val="en-US"/>
        </w:rPr>
        <w:t xml:space="preserve"> organization of free time, ergotherapy,</w:t>
      </w:r>
      <w:r w:rsidR="008870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8BF">
        <w:rPr>
          <w:rFonts w:ascii="Times New Roman" w:hAnsi="Times New Roman" w:cs="Times New Roman"/>
          <w:sz w:val="28"/>
          <w:szCs w:val="28"/>
          <w:lang w:val="en-US"/>
        </w:rPr>
        <w:t xml:space="preserve">using of computer devices, </w:t>
      </w:r>
      <w:r w:rsidR="00E22D55">
        <w:rPr>
          <w:rFonts w:ascii="Times New Roman" w:hAnsi="Times New Roman" w:cs="Times New Roman"/>
          <w:sz w:val="28"/>
          <w:szCs w:val="28"/>
          <w:lang w:val="en-US"/>
        </w:rPr>
        <w:t xml:space="preserve">methods of moral supporting, education of patients, </w:t>
      </w:r>
      <w:r w:rsidR="00812CA6">
        <w:rPr>
          <w:rFonts w:ascii="Times New Roman" w:hAnsi="Times New Roman" w:cs="Times New Roman"/>
          <w:sz w:val="28"/>
          <w:szCs w:val="28"/>
          <w:lang w:val="en-US"/>
        </w:rPr>
        <w:t xml:space="preserve">supporting of communication, memory schools </w:t>
      </w:r>
      <w:proofErr w:type="spellStart"/>
      <w:r w:rsidR="00812CA6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="00812C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33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67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77E3" w:rsidRPr="00812CA6" w:rsidRDefault="00812CA6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CA6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812CA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ow long it has been used/implemented, geographic scope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– </w:t>
      </w:r>
      <w:r w:rsidRPr="00812CA6">
        <w:rPr>
          <w:rFonts w:ascii="Times New Roman" w:hAnsi="Times New Roman" w:cs="Times New Roman"/>
          <w:bCs/>
          <w:sz w:val="28"/>
          <w:szCs w:val="28"/>
          <w:lang w:val="en-US"/>
        </w:rPr>
        <w:t>it was used for one year (2015), ge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812CA6">
        <w:rPr>
          <w:rFonts w:ascii="Times New Roman" w:hAnsi="Times New Roman" w:cs="Times New Roman"/>
          <w:bCs/>
          <w:sz w:val="28"/>
          <w:szCs w:val="28"/>
          <w:lang w:val="en-US"/>
        </w:rPr>
        <w:t>graphic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12C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lly – in one administrative region (Vitebsk region) of the Republic of Belarus.  </w:t>
      </w:r>
    </w:p>
    <w:p w:rsidR="0086609E" w:rsidRDefault="00812CA6" w:rsidP="0086609E">
      <w:pPr>
        <w:pStyle w:val="Default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6. </w:t>
      </w:r>
      <w:r w:rsidR="009B4965" w:rsidRPr="009B4965">
        <w:rPr>
          <w:b/>
          <w:bCs/>
          <w:sz w:val="28"/>
          <w:szCs w:val="28"/>
          <w:lang w:val="en-US"/>
        </w:rPr>
        <w:t xml:space="preserve">Which actors are involved in the development and implementation of such practice? </w:t>
      </w:r>
      <w:r w:rsidRPr="00812CA6">
        <w:rPr>
          <w:bCs/>
          <w:sz w:val="28"/>
          <w:szCs w:val="28"/>
          <w:lang w:val="en-US"/>
        </w:rPr>
        <w:t>L</w:t>
      </w:r>
      <w:r w:rsidR="009B4965" w:rsidRPr="009B4965">
        <w:rPr>
          <w:sz w:val="28"/>
          <w:szCs w:val="28"/>
          <w:lang w:val="en-US"/>
        </w:rPr>
        <w:t>ocal authorities</w:t>
      </w:r>
      <w:r>
        <w:rPr>
          <w:sz w:val="28"/>
          <w:szCs w:val="28"/>
          <w:lang w:val="en-US"/>
        </w:rPr>
        <w:t xml:space="preserve"> (social ministry of Vitebsk region), administration of nursing houses of Vitebsk region, </w:t>
      </w:r>
      <w:r w:rsidR="009B4965" w:rsidRPr="009B4965">
        <w:rPr>
          <w:sz w:val="28"/>
          <w:szCs w:val="28"/>
          <w:lang w:val="en-US"/>
        </w:rPr>
        <w:t xml:space="preserve">regional </w:t>
      </w:r>
      <w:r>
        <w:rPr>
          <w:sz w:val="28"/>
          <w:szCs w:val="28"/>
          <w:lang w:val="en-US"/>
        </w:rPr>
        <w:t xml:space="preserve">brunch of  </w:t>
      </w:r>
      <w:r w:rsidRPr="007C06C2">
        <w:rPr>
          <w:sz w:val="28"/>
          <w:szCs w:val="28"/>
          <w:lang w:val="en-US"/>
        </w:rPr>
        <w:t>Belarusian republican gerontological public association</w:t>
      </w:r>
      <w:r>
        <w:rPr>
          <w:sz w:val="28"/>
          <w:szCs w:val="28"/>
          <w:lang w:val="en-US"/>
        </w:rPr>
        <w:t xml:space="preserve"> (IAGG member),</w:t>
      </w:r>
      <w:r w:rsidR="009B4965" w:rsidRPr="009B4965">
        <w:rPr>
          <w:sz w:val="28"/>
          <w:szCs w:val="28"/>
          <w:lang w:val="en-US"/>
        </w:rPr>
        <w:t xml:space="preserve"> older persons themselves, </w:t>
      </w:r>
      <w:r>
        <w:rPr>
          <w:sz w:val="28"/>
          <w:szCs w:val="28"/>
          <w:lang w:val="en-US"/>
        </w:rPr>
        <w:t xml:space="preserve">medical service of nursing houses, relatives of elders, </w:t>
      </w:r>
      <w:r w:rsidR="00283E20">
        <w:rPr>
          <w:sz w:val="28"/>
          <w:szCs w:val="28"/>
          <w:lang w:val="en-US"/>
        </w:rPr>
        <w:t xml:space="preserve">volunteers. </w:t>
      </w:r>
    </w:p>
    <w:p w:rsidR="003A5C0A" w:rsidRPr="00521A78" w:rsidRDefault="009B4965" w:rsidP="0086609E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9B4965">
        <w:rPr>
          <w:b/>
          <w:bCs/>
          <w:color w:val="auto"/>
          <w:sz w:val="28"/>
          <w:szCs w:val="28"/>
          <w:lang w:val="en-US"/>
        </w:rPr>
        <w:t xml:space="preserve">7. Which rights of older persons does the practice promote and protect? </w:t>
      </w:r>
      <w:r w:rsidR="00893A6D" w:rsidRPr="00893A6D">
        <w:rPr>
          <w:bCs/>
          <w:color w:val="auto"/>
          <w:sz w:val="28"/>
          <w:szCs w:val="28"/>
          <w:lang w:val="en-US"/>
        </w:rPr>
        <w:t>Healt</w:t>
      </w:r>
      <w:r w:rsidR="0089794C">
        <w:rPr>
          <w:bCs/>
          <w:color w:val="auto"/>
          <w:sz w:val="28"/>
          <w:szCs w:val="28"/>
          <w:lang w:val="en-US"/>
        </w:rPr>
        <w:t>h</w:t>
      </w:r>
      <w:r w:rsidR="00893A6D" w:rsidRPr="00893A6D">
        <w:rPr>
          <w:bCs/>
          <w:color w:val="auto"/>
          <w:sz w:val="28"/>
          <w:szCs w:val="28"/>
          <w:lang w:val="en-US"/>
        </w:rPr>
        <w:t>y aging, a</w:t>
      </w:r>
      <w:r w:rsidR="003A5C0A" w:rsidRPr="003A5C0A">
        <w:rPr>
          <w:bCs/>
          <w:color w:val="auto"/>
          <w:sz w:val="28"/>
          <w:szCs w:val="28"/>
          <w:lang w:val="en-US"/>
        </w:rPr>
        <w:t xml:space="preserve">utonomy, dignity, </w:t>
      </w:r>
      <w:r w:rsidR="003A5C0A">
        <w:rPr>
          <w:bCs/>
          <w:color w:val="auto"/>
          <w:sz w:val="28"/>
          <w:szCs w:val="28"/>
          <w:lang w:val="en-US"/>
        </w:rPr>
        <w:t>high level qual</w:t>
      </w:r>
      <w:r w:rsidR="003A5C0A" w:rsidRPr="00521A78">
        <w:rPr>
          <w:bCs/>
          <w:color w:val="auto"/>
          <w:sz w:val="28"/>
          <w:szCs w:val="28"/>
          <w:lang w:val="en-US"/>
        </w:rPr>
        <w:t>ity of life in nursing houses, high quality end-of-life planning.</w:t>
      </w:r>
    </w:p>
    <w:p w:rsidR="00F2193E" w:rsidRDefault="009B4965" w:rsidP="00866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A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How does the practice promote or protect such rights? </w:t>
      </w:r>
      <w:r w:rsidR="00F2193E" w:rsidRPr="00521A78">
        <w:rPr>
          <w:rFonts w:ascii="Times New Roman" w:hAnsi="Times New Roman" w:cs="Times New Roman"/>
          <w:bCs/>
          <w:sz w:val="28"/>
          <w:szCs w:val="28"/>
          <w:lang w:val="en-US"/>
        </w:rPr>
        <w:t>Healthy aging, autonomy, dignity, high level quality of life in nursing houses</w:t>
      </w:r>
      <w:r w:rsidR="00F2193E" w:rsidRPr="00521A78">
        <w:rPr>
          <w:rFonts w:ascii="Times New Roman" w:hAnsi="Times New Roman" w:cs="Times New Roman"/>
          <w:sz w:val="28"/>
          <w:szCs w:val="28"/>
          <w:lang w:val="en-US"/>
        </w:rPr>
        <w:t xml:space="preserve"> increased in elders with low intrinsic capacity by creation of convenient surrounding environment which supports individually possible level of functi</w:t>
      </w:r>
      <w:r w:rsidR="00F2193E" w:rsidRPr="00BF1BFD">
        <w:rPr>
          <w:rFonts w:ascii="Times New Roman" w:hAnsi="Times New Roman" w:cs="Times New Roman"/>
          <w:sz w:val="28"/>
          <w:szCs w:val="28"/>
          <w:lang w:val="en-US"/>
        </w:rPr>
        <w:t xml:space="preserve">onal ability. </w:t>
      </w:r>
    </w:p>
    <w:p w:rsidR="009B4965" w:rsidRPr="009B4965" w:rsidRDefault="009B4965" w:rsidP="0086609E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9B4965">
        <w:rPr>
          <w:b/>
          <w:bCs/>
          <w:color w:val="auto"/>
          <w:sz w:val="28"/>
          <w:szCs w:val="28"/>
          <w:lang w:val="en-US"/>
        </w:rPr>
        <w:t xml:space="preserve">9. What groups of older persons </w:t>
      </w:r>
      <w:r w:rsidRPr="009B4965">
        <w:rPr>
          <w:color w:val="auto"/>
          <w:sz w:val="28"/>
          <w:szCs w:val="28"/>
          <w:lang w:val="en-US"/>
        </w:rPr>
        <w:t xml:space="preserve">(for instance, older women, persons with disabilities, persons of African descent, individuals belonging to indigenous peoples, persons belonging to national or ethnic, religious and linguistic </w:t>
      </w:r>
      <w:r w:rsidRPr="009B4965">
        <w:rPr>
          <w:color w:val="auto"/>
          <w:sz w:val="28"/>
          <w:szCs w:val="28"/>
          <w:lang w:val="en-US"/>
        </w:rPr>
        <w:lastRenderedPageBreak/>
        <w:t xml:space="preserve">minorities, rural persons, persons living on the streets, and refugees, among other groups), </w:t>
      </w:r>
      <w:r w:rsidRPr="009B4965">
        <w:rPr>
          <w:b/>
          <w:bCs/>
          <w:color w:val="auto"/>
          <w:sz w:val="28"/>
          <w:szCs w:val="28"/>
          <w:lang w:val="en-US"/>
        </w:rPr>
        <w:t xml:space="preserve">if any, particularly benefit from the practice? </w:t>
      </w:r>
      <w:r w:rsidR="00F2193E" w:rsidRPr="00F2193E">
        <w:rPr>
          <w:bCs/>
          <w:color w:val="auto"/>
          <w:sz w:val="28"/>
          <w:szCs w:val="28"/>
          <w:lang w:val="en-US"/>
        </w:rPr>
        <w:t>Elders in nursing houses.</w:t>
      </w:r>
      <w:r w:rsidR="00F2193E">
        <w:rPr>
          <w:b/>
          <w:bCs/>
          <w:color w:val="auto"/>
          <w:sz w:val="28"/>
          <w:szCs w:val="28"/>
          <w:lang w:val="en-US"/>
        </w:rPr>
        <w:t xml:space="preserve"> </w:t>
      </w:r>
    </w:p>
    <w:p w:rsidR="008336FD" w:rsidRDefault="009B4965" w:rsidP="0086609E">
      <w:pPr>
        <w:pStyle w:val="Default"/>
        <w:jc w:val="both"/>
        <w:rPr>
          <w:sz w:val="28"/>
          <w:szCs w:val="28"/>
          <w:lang w:val="en-US"/>
        </w:rPr>
      </w:pPr>
      <w:r w:rsidRPr="009B4965">
        <w:rPr>
          <w:b/>
          <w:bCs/>
          <w:color w:val="auto"/>
          <w:sz w:val="28"/>
          <w:szCs w:val="28"/>
          <w:lang w:val="en-US"/>
        </w:rPr>
        <w:t xml:space="preserve">10. How has the practice been assessed and monitored? Please provide specific information on the impact of the practice, with data, indicators, among others, if any. </w:t>
      </w:r>
      <w:r w:rsidR="004F5088" w:rsidRPr="004F5088">
        <w:rPr>
          <w:bCs/>
          <w:color w:val="auto"/>
          <w:sz w:val="28"/>
          <w:szCs w:val="28"/>
          <w:lang w:val="en-US"/>
        </w:rPr>
        <w:t xml:space="preserve">It was </w:t>
      </w:r>
      <w:r w:rsidR="004F5088">
        <w:rPr>
          <w:bCs/>
          <w:color w:val="auto"/>
          <w:sz w:val="28"/>
          <w:szCs w:val="28"/>
          <w:lang w:val="en-US"/>
        </w:rPr>
        <w:t xml:space="preserve">used </w:t>
      </w:r>
      <w:r w:rsidR="008336FD">
        <w:rPr>
          <w:bCs/>
          <w:color w:val="auto"/>
          <w:sz w:val="28"/>
          <w:szCs w:val="28"/>
          <w:lang w:val="en-US"/>
        </w:rPr>
        <w:t>original c</w:t>
      </w:r>
      <w:r w:rsidR="008336FD" w:rsidRPr="008336FD">
        <w:rPr>
          <w:sz w:val="28"/>
          <w:szCs w:val="28"/>
          <w:lang w:val="en-US"/>
        </w:rPr>
        <w:t xml:space="preserve">omputer program </w:t>
      </w:r>
      <w:r w:rsidR="008336FD">
        <w:rPr>
          <w:sz w:val="28"/>
          <w:szCs w:val="28"/>
          <w:lang w:val="be-BY"/>
        </w:rPr>
        <w:t>“</w:t>
      </w:r>
      <w:r w:rsidR="008336FD" w:rsidRPr="008336FD">
        <w:rPr>
          <w:sz w:val="28"/>
          <w:szCs w:val="28"/>
          <w:lang w:val="en-US"/>
        </w:rPr>
        <w:t>Comprehensive Geriatric Assessment</w:t>
      </w:r>
      <w:r w:rsidR="008336FD">
        <w:rPr>
          <w:sz w:val="28"/>
          <w:szCs w:val="28"/>
          <w:lang w:val="be-BY"/>
        </w:rPr>
        <w:t xml:space="preserve">” </w:t>
      </w:r>
      <w:r w:rsidR="008336FD">
        <w:rPr>
          <w:sz w:val="28"/>
          <w:szCs w:val="28"/>
          <w:lang w:val="en-US"/>
        </w:rPr>
        <w:t xml:space="preserve">as an </w:t>
      </w:r>
      <w:r w:rsidR="008336FD" w:rsidRPr="0006040A">
        <w:rPr>
          <w:sz w:val="28"/>
          <w:szCs w:val="28"/>
          <w:lang w:val="en-US"/>
        </w:rPr>
        <w:t xml:space="preserve">important </w:t>
      </w:r>
      <w:r w:rsidR="008336FD">
        <w:rPr>
          <w:sz w:val="28"/>
          <w:szCs w:val="28"/>
          <w:lang w:val="en-US"/>
        </w:rPr>
        <w:t xml:space="preserve">diagnostic </w:t>
      </w:r>
      <w:r w:rsidR="008336FD" w:rsidRPr="0006040A">
        <w:rPr>
          <w:sz w:val="28"/>
          <w:szCs w:val="28"/>
          <w:lang w:val="en-US"/>
        </w:rPr>
        <w:t xml:space="preserve">instrument which </w:t>
      </w:r>
      <w:r w:rsidR="008336FD">
        <w:rPr>
          <w:sz w:val="28"/>
          <w:szCs w:val="28"/>
          <w:lang w:val="en-US"/>
        </w:rPr>
        <w:t>give</w:t>
      </w:r>
      <w:r w:rsidR="00532281">
        <w:rPr>
          <w:sz w:val="28"/>
          <w:szCs w:val="28"/>
          <w:lang w:val="en-US"/>
        </w:rPr>
        <w:t>s</w:t>
      </w:r>
      <w:r w:rsidR="008336FD">
        <w:rPr>
          <w:sz w:val="28"/>
          <w:szCs w:val="28"/>
          <w:lang w:val="en-US"/>
        </w:rPr>
        <w:t xml:space="preserve"> possibility to evaluate functional ability of elders according to their intrinsic capacity interacting with environment. It was evaluated that such health indicators as moral status, nutrition and cognitive status</w:t>
      </w:r>
      <w:r w:rsidR="00E77886">
        <w:rPr>
          <w:sz w:val="28"/>
          <w:szCs w:val="28"/>
          <w:lang w:val="en-US"/>
        </w:rPr>
        <w:t>, Barthel Index and Quality of life</w:t>
      </w:r>
      <w:r w:rsidR="008336FD">
        <w:rPr>
          <w:sz w:val="28"/>
          <w:szCs w:val="28"/>
          <w:lang w:val="en-US"/>
        </w:rPr>
        <w:t xml:space="preserve"> became better after implementation of therapeutic environment and better than in control group. </w:t>
      </w:r>
    </w:p>
    <w:p w:rsidR="009B4965" w:rsidRPr="008336FD" w:rsidRDefault="009B4965" w:rsidP="0086609E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9B4965">
        <w:rPr>
          <w:b/>
          <w:bCs/>
          <w:color w:val="auto"/>
          <w:sz w:val="28"/>
          <w:szCs w:val="28"/>
          <w:lang w:val="en-US"/>
        </w:rPr>
        <w:t xml:space="preserve">11. What lessons do you believe could be learnt from this practice? </w:t>
      </w:r>
      <w:r w:rsidRPr="008336FD">
        <w:rPr>
          <w:b/>
          <w:bCs/>
          <w:color w:val="auto"/>
          <w:sz w:val="28"/>
          <w:szCs w:val="28"/>
          <w:lang w:val="en-US"/>
        </w:rPr>
        <w:t xml:space="preserve">How could it be improved? </w:t>
      </w:r>
      <w:r w:rsidR="002357CA" w:rsidRPr="002357CA">
        <w:rPr>
          <w:bCs/>
          <w:color w:val="auto"/>
          <w:sz w:val="28"/>
          <w:szCs w:val="28"/>
          <w:lang w:val="en-US"/>
        </w:rPr>
        <w:t xml:space="preserve">Some nursing houses </w:t>
      </w:r>
      <w:r w:rsidR="002357CA">
        <w:rPr>
          <w:bCs/>
          <w:color w:val="auto"/>
          <w:sz w:val="28"/>
          <w:szCs w:val="28"/>
          <w:lang w:val="en-US"/>
        </w:rPr>
        <w:t xml:space="preserve">faced with problem of resources’ deficit, so it is necessary to make financial planning for creation of </w:t>
      </w:r>
      <w:r w:rsidR="002357CA">
        <w:rPr>
          <w:sz w:val="28"/>
          <w:szCs w:val="28"/>
          <w:lang w:val="en-US"/>
        </w:rPr>
        <w:t>therapeutic environment.</w:t>
      </w:r>
    </w:p>
    <w:p w:rsidR="007C06C2" w:rsidRPr="009B4965" w:rsidRDefault="009B4965" w:rsidP="008660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965">
        <w:rPr>
          <w:rFonts w:ascii="Times New Roman" w:hAnsi="Times New Roman" w:cs="Times New Roman"/>
          <w:b/>
          <w:bCs/>
          <w:sz w:val="28"/>
          <w:szCs w:val="28"/>
          <w:lang w:val="en-US"/>
        </w:rPr>
        <w:t>12. How could this practice be a model for other countries?</w:t>
      </w:r>
      <w:r w:rsidR="00E778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147EE" w:rsidRPr="004147EE">
        <w:rPr>
          <w:rFonts w:ascii="Times New Roman" w:hAnsi="Times New Roman" w:cs="Times New Roman"/>
          <w:bCs/>
          <w:sz w:val="28"/>
          <w:szCs w:val="28"/>
          <w:lang w:val="en-US"/>
        </w:rPr>
        <w:t>It may be</w:t>
      </w:r>
      <w:r w:rsidR="00414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147EE" w:rsidRPr="004147EE">
        <w:rPr>
          <w:rFonts w:ascii="Times New Roman" w:hAnsi="Times New Roman" w:cs="Times New Roman"/>
          <w:bCs/>
          <w:sz w:val="28"/>
          <w:szCs w:val="28"/>
          <w:lang w:val="en-US"/>
        </w:rPr>
        <w:t>model of healthy aging in nursing houses according to WHOs global strategy.</w:t>
      </w:r>
      <w:r w:rsidR="004147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C06C2" w:rsidRPr="009B4965" w:rsidRDefault="007C06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6C2" w:rsidRPr="009B4965" w:rsidRDefault="007C06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06C2" w:rsidRPr="009B4965" w:rsidSect="00B37A0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C2"/>
    <w:rsid w:val="000C4F09"/>
    <w:rsid w:val="001333F7"/>
    <w:rsid w:val="002357CA"/>
    <w:rsid w:val="002377E3"/>
    <w:rsid w:val="00283E20"/>
    <w:rsid w:val="003A5C0A"/>
    <w:rsid w:val="004147EE"/>
    <w:rsid w:val="004278FA"/>
    <w:rsid w:val="00441E98"/>
    <w:rsid w:val="004F5088"/>
    <w:rsid w:val="00521A78"/>
    <w:rsid w:val="00526909"/>
    <w:rsid w:val="00532281"/>
    <w:rsid w:val="005651EB"/>
    <w:rsid w:val="005F5320"/>
    <w:rsid w:val="006F7E0E"/>
    <w:rsid w:val="007C06C2"/>
    <w:rsid w:val="00812CA6"/>
    <w:rsid w:val="008218BF"/>
    <w:rsid w:val="00825AFB"/>
    <w:rsid w:val="008336FD"/>
    <w:rsid w:val="0086609E"/>
    <w:rsid w:val="0088708D"/>
    <w:rsid w:val="00893A6D"/>
    <w:rsid w:val="0089794C"/>
    <w:rsid w:val="009B4965"/>
    <w:rsid w:val="00A203BE"/>
    <w:rsid w:val="00B37A0B"/>
    <w:rsid w:val="00BF1BFD"/>
    <w:rsid w:val="00C62A8E"/>
    <w:rsid w:val="00CA31DB"/>
    <w:rsid w:val="00CE3721"/>
    <w:rsid w:val="00DD74A3"/>
    <w:rsid w:val="00E00131"/>
    <w:rsid w:val="00E22D55"/>
    <w:rsid w:val="00E77886"/>
    <w:rsid w:val="00F2193E"/>
    <w:rsid w:val="00F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6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rontolog.inf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0353-DDBB-4251-A98D-5A314F3EA107}"/>
</file>

<file path=customXml/itemProps2.xml><?xml version="1.0" encoding="utf-8"?>
<ds:datastoreItem xmlns:ds="http://schemas.openxmlformats.org/officeDocument/2006/customXml" ds:itemID="{D94B6F6E-12A4-46A8-BC8D-921C847F171D}"/>
</file>

<file path=customXml/itemProps3.xml><?xml version="1.0" encoding="utf-8"?>
<ds:datastoreItem xmlns:ds="http://schemas.openxmlformats.org/officeDocument/2006/customXml" ds:itemID="{834E4DC8-02DD-4B0D-B09F-38C1499ED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SPB Consultant4</cp:lastModifiedBy>
  <cp:revision>2</cp:revision>
  <cp:lastPrinted>2015-12-21T17:08:00Z</cp:lastPrinted>
  <dcterms:created xsi:type="dcterms:W3CDTF">2015-12-21T17:09:00Z</dcterms:created>
  <dcterms:modified xsi:type="dcterms:W3CDTF">2015-12-21T17:09:00Z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3284500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