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F61D1" w14:textId="77777777" w:rsidR="007436F6" w:rsidRDefault="007436F6"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p>
    <w:p w14:paraId="5BE50433" w14:textId="77777777" w:rsidR="007436F6" w:rsidRDefault="007436F6"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p>
    <w:p w14:paraId="4AC0D194" w14:textId="6A084FA9" w:rsidR="00755EF3" w:rsidRPr="00333D1E" w:rsidRDefault="00755EF3" w:rsidP="003E6B81">
      <w:pPr>
        <w:shd w:val="clear" w:color="auto" w:fill="FFFFFF"/>
        <w:spacing w:after="0" w:line="276" w:lineRule="auto"/>
        <w:ind w:left="-180" w:right="-342"/>
        <w:jc w:val="center"/>
        <w:rPr>
          <w:rFonts w:ascii="Bookman Old Style" w:eastAsia="Times New Roman" w:hAnsi="Bookman Old Style" w:cs="Times New Roman"/>
          <w:b/>
          <w:sz w:val="24"/>
          <w:szCs w:val="24"/>
          <w:lang w:val="es-419" w:eastAsia="es-HN"/>
        </w:rPr>
      </w:pPr>
      <w:r w:rsidRPr="00333D1E">
        <w:rPr>
          <w:rFonts w:ascii="Bookman Old Style" w:eastAsia="Times New Roman" w:hAnsi="Bookman Old Style" w:cs="Times New Roman"/>
          <w:b/>
          <w:sz w:val="24"/>
          <w:szCs w:val="24"/>
          <w:lang w:val="es-419" w:eastAsia="es-HN"/>
        </w:rPr>
        <w:t xml:space="preserve">CONTRIBUCIONES </w:t>
      </w:r>
      <w:r w:rsidR="000366E1" w:rsidRPr="00333D1E">
        <w:rPr>
          <w:rFonts w:ascii="Bookman Old Style" w:hAnsi="Bookman Old Style" w:cs="Times New Roman"/>
          <w:b/>
          <w:sz w:val="24"/>
          <w:szCs w:val="24"/>
        </w:rPr>
        <w:t>SOBRE</w:t>
      </w:r>
      <w:r w:rsidR="003A5B29">
        <w:rPr>
          <w:rFonts w:ascii="Bookman Old Style" w:hAnsi="Bookman Old Style" w:cs="Times New Roman"/>
          <w:b/>
          <w:sz w:val="24"/>
          <w:szCs w:val="24"/>
        </w:rPr>
        <w:t xml:space="preserve"> </w:t>
      </w:r>
      <w:r w:rsidR="000366E1" w:rsidRPr="00333D1E">
        <w:rPr>
          <w:rFonts w:ascii="Bookman Old Style" w:hAnsi="Bookman Old Style" w:cs="Times New Roman"/>
          <w:b/>
          <w:sz w:val="24"/>
          <w:szCs w:val="24"/>
        </w:rPr>
        <w:t>E</w:t>
      </w:r>
      <w:r w:rsidRPr="00333D1E">
        <w:rPr>
          <w:rFonts w:ascii="Bookman Old Style" w:eastAsia="Times New Roman" w:hAnsi="Bookman Old Style" w:cs="Times New Roman"/>
          <w:b/>
          <w:sz w:val="24"/>
          <w:szCs w:val="24"/>
          <w:lang w:val="es-419" w:eastAsia="es-HN"/>
        </w:rPr>
        <w:t>L EDADISMO Y DISCRIMINACI</w:t>
      </w:r>
      <w:r w:rsidR="00754EB9">
        <w:rPr>
          <w:rFonts w:ascii="Bookman Old Style" w:eastAsia="Times New Roman" w:hAnsi="Bookman Old Style" w:cs="Times New Roman"/>
          <w:b/>
          <w:sz w:val="24"/>
          <w:szCs w:val="24"/>
          <w:lang w:val="es-419" w:eastAsia="es-HN"/>
        </w:rPr>
        <w:t>Ó</w:t>
      </w:r>
      <w:r w:rsidRPr="00333D1E">
        <w:rPr>
          <w:rFonts w:ascii="Bookman Old Style" w:eastAsia="Times New Roman" w:hAnsi="Bookman Old Style" w:cs="Times New Roman"/>
          <w:b/>
          <w:sz w:val="24"/>
          <w:szCs w:val="24"/>
          <w:lang w:val="es-419" w:eastAsia="es-HN"/>
        </w:rPr>
        <w:t>N POR EDAD</w:t>
      </w:r>
      <w:r w:rsidR="000366E1" w:rsidRPr="00333D1E">
        <w:rPr>
          <w:rFonts w:ascii="Bookman Old Style" w:eastAsia="Times New Roman" w:hAnsi="Bookman Old Style" w:cs="Times New Roman"/>
          <w:b/>
          <w:sz w:val="24"/>
          <w:szCs w:val="24"/>
          <w:lang w:val="es-419" w:eastAsia="es-HN"/>
        </w:rPr>
        <w:t>, Y LOS DERECHOS HUMANOS DE LA MUJERES MAYORES</w:t>
      </w:r>
      <w:r w:rsidRPr="00333D1E">
        <w:rPr>
          <w:rFonts w:ascii="Bookman Old Style" w:eastAsia="Times New Roman" w:hAnsi="Bookman Old Style" w:cs="Times New Roman"/>
          <w:b/>
          <w:sz w:val="24"/>
          <w:szCs w:val="24"/>
          <w:lang w:val="es-419" w:eastAsia="es-HN"/>
        </w:rPr>
        <w:t>.</w:t>
      </w:r>
    </w:p>
    <w:p w14:paraId="6234ED1C" w14:textId="742FA97D" w:rsidR="00755EF3" w:rsidRPr="00754EB9" w:rsidRDefault="00755EF3"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D0D5D5B" w14:textId="34C35AF4"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458515E3" w14:textId="1DA577BD"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u w:val="single"/>
          <w:lang w:val="es-HN" w:eastAsia="es-HN"/>
        </w:rPr>
      </w:pPr>
    </w:p>
    <w:p w14:paraId="6FEF5211" w14:textId="4B2C5029"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E0C03A4" w14:textId="2DF4A71C"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DBBB2D1" w14:textId="44C7C701"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3F2A4B5A" w14:textId="54999B4E"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66D868E" w14:textId="6DAB0A04" w:rsidR="0022365E" w:rsidRPr="0022365E" w:rsidRDefault="0022365E" w:rsidP="005E72E6">
      <w:pPr>
        <w:pStyle w:val="TOC1"/>
        <w:ind w:left="-180" w:right="-342"/>
        <w:jc w:val="both"/>
        <w:rPr>
          <w:rFonts w:ascii="Bookman Old Style" w:eastAsiaTheme="minorEastAsia" w:hAnsi="Bookman Old Style"/>
          <w:sz w:val="24"/>
          <w:szCs w:val="24"/>
          <w:lang w:val="es-HN" w:eastAsia="es-HN"/>
        </w:rPr>
      </w:pPr>
      <w:r w:rsidRPr="0022365E">
        <w:rPr>
          <w:rFonts w:ascii="Bookman Old Style" w:eastAsia="Times New Roman" w:hAnsi="Bookman Old Style" w:cs="Times New Roman"/>
          <w:sz w:val="24"/>
          <w:szCs w:val="24"/>
          <w:lang w:val="es-HN" w:eastAsia="es-HN"/>
        </w:rPr>
        <w:fldChar w:fldCharType="begin"/>
      </w:r>
      <w:r w:rsidRPr="0022365E">
        <w:rPr>
          <w:rFonts w:ascii="Bookman Old Style" w:eastAsia="Times New Roman" w:hAnsi="Bookman Old Style" w:cs="Times New Roman"/>
          <w:sz w:val="24"/>
          <w:szCs w:val="24"/>
          <w:lang w:val="es-HN" w:eastAsia="es-HN"/>
        </w:rPr>
        <w:instrText xml:space="preserve"> TOC \o "1-3" \h \z \t "Subtítulo;4" </w:instrText>
      </w:r>
      <w:r w:rsidRPr="0022365E">
        <w:rPr>
          <w:rFonts w:ascii="Bookman Old Style" w:eastAsia="Times New Roman" w:hAnsi="Bookman Old Style" w:cs="Times New Roman"/>
          <w:sz w:val="24"/>
          <w:szCs w:val="24"/>
          <w:lang w:val="es-HN" w:eastAsia="es-HN"/>
        </w:rPr>
        <w:fldChar w:fldCharType="separate"/>
      </w:r>
    </w:p>
    <w:p w14:paraId="62CFDE39" w14:textId="7DBE69E5" w:rsidR="0022365E" w:rsidRPr="0022365E" w:rsidRDefault="001A441C" w:rsidP="003E6B81">
      <w:pPr>
        <w:pStyle w:val="TOC1"/>
        <w:ind w:left="-180" w:right="-342"/>
        <w:jc w:val="both"/>
        <w:rPr>
          <w:rFonts w:ascii="Bookman Old Style" w:eastAsiaTheme="minorEastAsia" w:hAnsi="Bookman Old Style"/>
          <w:sz w:val="24"/>
          <w:szCs w:val="24"/>
          <w:lang w:val="es-HN" w:eastAsia="es-HN"/>
        </w:rPr>
      </w:pPr>
      <w:hyperlink w:anchor="_Toc67049586" w:history="1">
        <w:r w:rsidR="0022365E" w:rsidRPr="0022365E">
          <w:rPr>
            <w:rStyle w:val="Hyperlink"/>
            <w:rFonts w:ascii="Bookman Old Style" w:hAnsi="Bookman Old Style"/>
            <w:sz w:val="24"/>
            <w:szCs w:val="24"/>
          </w:rPr>
          <w:t>Anexo II.</w:t>
        </w:r>
        <w:r w:rsidR="0022365E" w:rsidRPr="0022365E">
          <w:rPr>
            <w:rFonts w:ascii="Bookman Old Style" w:hAnsi="Bookman Old Style"/>
            <w:webHidden/>
            <w:sz w:val="24"/>
            <w:szCs w:val="24"/>
          </w:rPr>
          <w:tab/>
        </w:r>
        <w:r w:rsidR="0022365E" w:rsidRPr="0022365E">
          <w:rPr>
            <w:rFonts w:ascii="Bookman Old Style" w:hAnsi="Bookman Old Style"/>
            <w:webHidden/>
            <w:sz w:val="24"/>
            <w:szCs w:val="24"/>
          </w:rPr>
          <w:fldChar w:fldCharType="begin"/>
        </w:r>
        <w:r w:rsidR="0022365E" w:rsidRPr="0022365E">
          <w:rPr>
            <w:rFonts w:ascii="Bookman Old Style" w:hAnsi="Bookman Old Style"/>
            <w:webHidden/>
            <w:sz w:val="24"/>
            <w:szCs w:val="24"/>
          </w:rPr>
          <w:instrText xml:space="preserve"> PAGEREF _Toc67049586 \h </w:instrText>
        </w:r>
        <w:r w:rsidR="0022365E" w:rsidRPr="0022365E">
          <w:rPr>
            <w:rFonts w:ascii="Bookman Old Style" w:hAnsi="Bookman Old Style"/>
            <w:webHidden/>
            <w:sz w:val="24"/>
            <w:szCs w:val="24"/>
          </w:rPr>
        </w:r>
        <w:r w:rsidR="0022365E" w:rsidRPr="0022365E">
          <w:rPr>
            <w:rFonts w:ascii="Bookman Old Style" w:hAnsi="Bookman Old Style"/>
            <w:webHidden/>
            <w:sz w:val="24"/>
            <w:szCs w:val="24"/>
          </w:rPr>
          <w:fldChar w:fldCharType="separate"/>
        </w:r>
        <w:r w:rsidR="0022365E" w:rsidRPr="0022365E">
          <w:rPr>
            <w:rFonts w:ascii="Bookman Old Style" w:hAnsi="Bookman Old Style"/>
            <w:webHidden/>
            <w:sz w:val="24"/>
            <w:szCs w:val="24"/>
          </w:rPr>
          <w:t>18</w:t>
        </w:r>
        <w:r w:rsidR="0022365E" w:rsidRPr="0022365E">
          <w:rPr>
            <w:rFonts w:ascii="Bookman Old Style" w:hAnsi="Bookman Old Style"/>
            <w:webHidden/>
            <w:sz w:val="24"/>
            <w:szCs w:val="24"/>
          </w:rPr>
          <w:fldChar w:fldCharType="end"/>
        </w:r>
      </w:hyperlink>
    </w:p>
    <w:p w14:paraId="5B8D10D7" w14:textId="4B267134" w:rsidR="0022365E" w:rsidRPr="0022365E" w:rsidRDefault="001A441C" w:rsidP="003E6B81">
      <w:pPr>
        <w:pStyle w:val="TOC1"/>
        <w:ind w:left="-180" w:right="-342"/>
        <w:jc w:val="both"/>
        <w:rPr>
          <w:rFonts w:ascii="Bookman Old Style" w:eastAsiaTheme="minorEastAsia" w:hAnsi="Bookman Old Style"/>
          <w:sz w:val="24"/>
          <w:szCs w:val="24"/>
          <w:lang w:val="es-HN" w:eastAsia="es-HN"/>
        </w:rPr>
      </w:pPr>
      <w:hyperlink w:anchor="_Toc67049587" w:history="1">
        <w:r w:rsidR="0022365E" w:rsidRPr="0022365E">
          <w:rPr>
            <w:rStyle w:val="Hyperlink"/>
            <w:rFonts w:ascii="Bookman Old Style" w:hAnsi="Bookman Old Style"/>
            <w:sz w:val="24"/>
            <w:szCs w:val="24"/>
          </w:rPr>
          <w:t>Derechos humanos de las mujeres mayores.</w:t>
        </w:r>
        <w:r w:rsidR="0022365E" w:rsidRPr="0022365E">
          <w:rPr>
            <w:rFonts w:ascii="Bookman Old Style" w:hAnsi="Bookman Old Style"/>
            <w:webHidden/>
            <w:sz w:val="24"/>
            <w:szCs w:val="24"/>
          </w:rPr>
          <w:tab/>
        </w:r>
        <w:r w:rsidR="0022365E" w:rsidRPr="0022365E">
          <w:rPr>
            <w:rFonts w:ascii="Bookman Old Style" w:hAnsi="Bookman Old Style"/>
            <w:webHidden/>
            <w:sz w:val="24"/>
            <w:szCs w:val="24"/>
          </w:rPr>
          <w:fldChar w:fldCharType="begin"/>
        </w:r>
        <w:r w:rsidR="0022365E" w:rsidRPr="0022365E">
          <w:rPr>
            <w:rFonts w:ascii="Bookman Old Style" w:hAnsi="Bookman Old Style"/>
            <w:webHidden/>
            <w:sz w:val="24"/>
            <w:szCs w:val="24"/>
          </w:rPr>
          <w:instrText xml:space="preserve"> PAGEREF _Toc67049587 \h </w:instrText>
        </w:r>
        <w:r w:rsidR="0022365E" w:rsidRPr="0022365E">
          <w:rPr>
            <w:rFonts w:ascii="Bookman Old Style" w:hAnsi="Bookman Old Style"/>
            <w:webHidden/>
            <w:sz w:val="24"/>
            <w:szCs w:val="24"/>
          </w:rPr>
        </w:r>
        <w:r w:rsidR="0022365E" w:rsidRPr="0022365E">
          <w:rPr>
            <w:rFonts w:ascii="Bookman Old Style" w:hAnsi="Bookman Old Style"/>
            <w:webHidden/>
            <w:sz w:val="24"/>
            <w:szCs w:val="24"/>
          </w:rPr>
          <w:fldChar w:fldCharType="separate"/>
        </w:r>
        <w:r w:rsidR="0022365E" w:rsidRPr="0022365E">
          <w:rPr>
            <w:rFonts w:ascii="Bookman Old Style" w:hAnsi="Bookman Old Style"/>
            <w:webHidden/>
            <w:sz w:val="24"/>
            <w:szCs w:val="24"/>
          </w:rPr>
          <w:t>18</w:t>
        </w:r>
        <w:r w:rsidR="0022365E" w:rsidRPr="0022365E">
          <w:rPr>
            <w:rFonts w:ascii="Bookman Old Style" w:hAnsi="Bookman Old Style"/>
            <w:webHidden/>
            <w:sz w:val="24"/>
            <w:szCs w:val="24"/>
          </w:rPr>
          <w:fldChar w:fldCharType="end"/>
        </w:r>
      </w:hyperlink>
    </w:p>
    <w:p w14:paraId="4DCBE3AB" w14:textId="3A9E5D12" w:rsidR="0022365E" w:rsidRPr="0022365E" w:rsidRDefault="001A441C"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88" w:history="1">
        <w:r w:rsidR="0022365E" w:rsidRPr="0022365E">
          <w:rPr>
            <w:rStyle w:val="Hyperlink"/>
            <w:rFonts w:ascii="Bookman Old Style" w:hAnsi="Bookman Old Style"/>
            <w:noProof/>
            <w:sz w:val="24"/>
            <w:szCs w:val="24"/>
          </w:rPr>
          <w:t>Los derechos de las mujeres de edad en la legislación, las políticas y los programas internacionales, regionales y nacionales.</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_Toc67049588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18</w:t>
        </w:r>
        <w:r w:rsidR="0022365E" w:rsidRPr="0022365E">
          <w:rPr>
            <w:rFonts w:ascii="Bookman Old Style" w:hAnsi="Bookman Old Style"/>
            <w:noProof/>
            <w:webHidden/>
            <w:sz w:val="24"/>
            <w:szCs w:val="24"/>
          </w:rPr>
          <w:fldChar w:fldCharType="end"/>
        </w:r>
      </w:hyperlink>
    </w:p>
    <w:p w14:paraId="21E9EF9D" w14:textId="15C6ABAD" w:rsidR="0022365E" w:rsidRPr="0022365E" w:rsidRDefault="001A441C"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89" w:history="1">
        <w:r w:rsidR="0022365E" w:rsidRPr="0022365E">
          <w:rPr>
            <w:rStyle w:val="Hyperlink"/>
            <w:rFonts w:ascii="Bookman Old Style" w:hAnsi="Bookman Old Style"/>
            <w:i/>
            <w:iCs/>
            <w:noProof/>
            <w:sz w:val="24"/>
            <w:szCs w:val="24"/>
          </w:rPr>
          <w:t>Realidades económicas, sociales y culturales que viven las mujeres de edad.</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_Toc67049589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21</w:t>
        </w:r>
        <w:r w:rsidR="0022365E" w:rsidRPr="0022365E">
          <w:rPr>
            <w:rFonts w:ascii="Bookman Old Style" w:hAnsi="Bookman Old Style"/>
            <w:noProof/>
            <w:webHidden/>
            <w:sz w:val="24"/>
            <w:szCs w:val="24"/>
          </w:rPr>
          <w:fldChar w:fldCharType="end"/>
        </w:r>
      </w:hyperlink>
    </w:p>
    <w:p w14:paraId="269A215E" w14:textId="27349C52" w:rsidR="0022365E" w:rsidRPr="0022365E" w:rsidRDefault="001A441C" w:rsidP="003E6B81">
      <w:pPr>
        <w:pStyle w:val="TOC2"/>
        <w:tabs>
          <w:tab w:val="right" w:leader="dot" w:pos="8828"/>
        </w:tabs>
        <w:ind w:left="-180" w:right="-342"/>
        <w:jc w:val="both"/>
        <w:rPr>
          <w:rFonts w:ascii="Bookman Old Style" w:eastAsiaTheme="minorEastAsia" w:hAnsi="Bookman Old Style"/>
          <w:noProof/>
          <w:sz w:val="24"/>
          <w:szCs w:val="24"/>
          <w:lang w:val="es-HN" w:eastAsia="es-HN"/>
        </w:rPr>
      </w:pPr>
      <w:hyperlink w:anchor="_Toc67049590" w:history="1">
        <w:r w:rsidR="0022365E" w:rsidRPr="0022365E">
          <w:rPr>
            <w:rStyle w:val="Hyperlink"/>
            <w:rFonts w:ascii="Bookman Old Style" w:hAnsi="Bookman Old Style"/>
            <w:i/>
            <w:iCs/>
            <w:noProof/>
            <w:sz w:val="24"/>
            <w:szCs w:val="24"/>
          </w:rPr>
          <w:t>Formas de discriminación contra las mujeres de edad y abusos específicos de género.</w:t>
        </w:r>
        <w:r w:rsidR="0022365E" w:rsidRPr="0022365E">
          <w:rPr>
            <w:rFonts w:ascii="Bookman Old Style" w:hAnsi="Bookman Old Style"/>
            <w:noProof/>
            <w:webHidden/>
            <w:sz w:val="24"/>
            <w:szCs w:val="24"/>
          </w:rPr>
          <w:tab/>
        </w:r>
        <w:r w:rsidR="0022365E" w:rsidRPr="0022365E">
          <w:rPr>
            <w:rFonts w:ascii="Bookman Old Style" w:hAnsi="Bookman Old Style"/>
            <w:noProof/>
            <w:webHidden/>
            <w:sz w:val="24"/>
            <w:szCs w:val="24"/>
          </w:rPr>
          <w:fldChar w:fldCharType="begin"/>
        </w:r>
        <w:r w:rsidR="0022365E" w:rsidRPr="0022365E">
          <w:rPr>
            <w:rFonts w:ascii="Bookman Old Style" w:hAnsi="Bookman Old Style"/>
            <w:noProof/>
            <w:webHidden/>
            <w:sz w:val="24"/>
            <w:szCs w:val="24"/>
          </w:rPr>
          <w:instrText xml:space="preserve"> PAGEREF _Toc67049590 \h </w:instrText>
        </w:r>
        <w:r w:rsidR="0022365E" w:rsidRPr="0022365E">
          <w:rPr>
            <w:rFonts w:ascii="Bookman Old Style" w:hAnsi="Bookman Old Style"/>
            <w:noProof/>
            <w:webHidden/>
            <w:sz w:val="24"/>
            <w:szCs w:val="24"/>
          </w:rPr>
        </w:r>
        <w:r w:rsidR="0022365E" w:rsidRPr="0022365E">
          <w:rPr>
            <w:rFonts w:ascii="Bookman Old Style" w:hAnsi="Bookman Old Style"/>
            <w:noProof/>
            <w:webHidden/>
            <w:sz w:val="24"/>
            <w:szCs w:val="24"/>
          </w:rPr>
          <w:fldChar w:fldCharType="separate"/>
        </w:r>
        <w:r w:rsidR="0022365E" w:rsidRPr="0022365E">
          <w:rPr>
            <w:rFonts w:ascii="Bookman Old Style" w:hAnsi="Bookman Old Style"/>
            <w:noProof/>
            <w:webHidden/>
            <w:sz w:val="24"/>
            <w:szCs w:val="24"/>
          </w:rPr>
          <w:t>28</w:t>
        </w:r>
        <w:r w:rsidR="0022365E" w:rsidRPr="0022365E">
          <w:rPr>
            <w:rFonts w:ascii="Bookman Old Style" w:hAnsi="Bookman Old Style"/>
            <w:noProof/>
            <w:webHidden/>
            <w:sz w:val="24"/>
            <w:szCs w:val="24"/>
          </w:rPr>
          <w:fldChar w:fldCharType="end"/>
        </w:r>
      </w:hyperlink>
    </w:p>
    <w:p w14:paraId="23DF4EE4" w14:textId="01FEE9FF" w:rsidR="001F1142" w:rsidRPr="0022365E" w:rsidRDefault="0022365E"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r w:rsidRPr="0022365E">
        <w:rPr>
          <w:rFonts w:ascii="Bookman Old Style" w:eastAsia="Times New Roman" w:hAnsi="Bookman Old Style" w:cs="Times New Roman"/>
          <w:b/>
          <w:sz w:val="24"/>
          <w:szCs w:val="24"/>
          <w:lang w:val="es-HN" w:eastAsia="es-HN"/>
        </w:rPr>
        <w:fldChar w:fldCharType="end"/>
      </w:r>
    </w:p>
    <w:p w14:paraId="2C3C20A2" w14:textId="19BCBE85" w:rsidR="001F1142" w:rsidRPr="0022365E"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8E5BBB8" w14:textId="205F8605"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BA5312E" w14:textId="5B5C7080"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454C096" w14:textId="426CE50D"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69C0427" w14:textId="0A58439B"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7265950" w14:textId="2E26B80A" w:rsidR="001F1142"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E6F1E4B" w14:textId="77777777" w:rsidR="009D3F50" w:rsidRPr="00754EB9" w:rsidRDefault="009D3F50"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69FD49BB" w14:textId="35027316"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7B749370" w14:textId="42491D15" w:rsidR="001F1142"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55AC26D3" w14:textId="77777777" w:rsidR="005E72E6" w:rsidRPr="00754EB9" w:rsidRDefault="005E72E6"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09ED8FF7" w14:textId="79B8A854" w:rsidR="001F1142" w:rsidRPr="00754EB9" w:rsidRDefault="001F1142" w:rsidP="003E6B81">
      <w:pPr>
        <w:shd w:val="clear" w:color="auto" w:fill="FFFFFF"/>
        <w:spacing w:after="0" w:line="360" w:lineRule="auto"/>
        <w:ind w:left="-180" w:right="-342"/>
        <w:jc w:val="both"/>
        <w:rPr>
          <w:rFonts w:ascii="Bookman Old Style" w:eastAsia="Times New Roman" w:hAnsi="Bookman Old Style" w:cs="Times New Roman"/>
          <w:b/>
          <w:sz w:val="24"/>
          <w:szCs w:val="24"/>
          <w:lang w:val="es-HN" w:eastAsia="es-HN"/>
        </w:rPr>
      </w:pPr>
    </w:p>
    <w:p w14:paraId="1C9A4328" w14:textId="4F81F637" w:rsidR="001F1142" w:rsidRPr="001F1142" w:rsidRDefault="001F1142" w:rsidP="003E6B81">
      <w:pPr>
        <w:pStyle w:val="Title"/>
        <w:numPr>
          <w:ilvl w:val="0"/>
          <w:numId w:val="29"/>
        </w:numPr>
        <w:ind w:left="-180" w:right="-342" w:firstLine="0"/>
      </w:pPr>
      <w:r w:rsidRPr="001F1142">
        <w:lastRenderedPageBreak/>
        <w:t>Antecedente</w:t>
      </w:r>
      <w:r w:rsidR="00313DF0">
        <w:t>s</w:t>
      </w:r>
    </w:p>
    <w:p w14:paraId="59ACA96E" w14:textId="14FE9E12" w:rsidR="005B31D1" w:rsidRPr="005B31D1" w:rsidRDefault="005B31D1" w:rsidP="003E6B81">
      <w:pPr>
        <w:shd w:val="clear" w:color="auto" w:fill="FFFFFF"/>
        <w:spacing w:line="360" w:lineRule="auto"/>
        <w:ind w:left="-180" w:right="-342"/>
        <w:jc w:val="both"/>
        <w:rPr>
          <w:rFonts w:ascii="Bookman Old Style" w:eastAsia="Times New Roman" w:hAnsi="Bookman Old Style" w:cs="Times New Roman"/>
          <w:sz w:val="24"/>
          <w:szCs w:val="24"/>
          <w:lang w:val="es-419" w:eastAsia="es-HN"/>
        </w:rPr>
      </w:pPr>
      <w:r>
        <w:rPr>
          <w:rFonts w:ascii="Bookman Old Style" w:eastAsia="Times New Roman" w:hAnsi="Bookman Old Style" w:cs="Times New Roman"/>
          <w:sz w:val="24"/>
          <w:szCs w:val="24"/>
          <w:lang w:val="es-419" w:eastAsia="es-HN"/>
        </w:rPr>
        <w:t>D</w:t>
      </w:r>
      <w:r w:rsidRPr="005B31D1">
        <w:rPr>
          <w:rFonts w:ascii="Bookman Old Style" w:eastAsia="Times New Roman" w:hAnsi="Bookman Old Style" w:cs="Times New Roman"/>
          <w:sz w:val="24"/>
          <w:szCs w:val="24"/>
          <w:lang w:val="es-419" w:eastAsia="es-HN"/>
        </w:rPr>
        <w:t xml:space="preserve">e conformidad con las Resoluciones 33/5 y 42/12 del Consejo de Derechos Humanos, </w:t>
      </w:r>
      <w:r>
        <w:rPr>
          <w:rFonts w:ascii="Bookman Old Style" w:eastAsia="Times New Roman" w:hAnsi="Bookman Old Style" w:cs="Times New Roman"/>
          <w:sz w:val="24"/>
          <w:szCs w:val="24"/>
          <w:lang w:val="es-419" w:eastAsia="es-HN"/>
        </w:rPr>
        <w:t>la</w:t>
      </w:r>
      <w:r w:rsidRPr="00333D1E">
        <w:rPr>
          <w:rFonts w:ascii="Bookman Old Style" w:eastAsia="Times New Roman" w:hAnsi="Bookman Old Style" w:cs="Times New Roman"/>
          <w:sz w:val="24"/>
          <w:szCs w:val="24"/>
          <w:lang w:val="es-419" w:eastAsia="es-HN"/>
        </w:rPr>
        <w:t xml:space="preserve"> Experta Independiente sobre el disfrute de todos los derechos humanos por las personas mayores, Sra. Claudia Mahler</w:t>
      </w:r>
      <w:r>
        <w:rPr>
          <w:rFonts w:ascii="Bookman Old Style" w:eastAsia="Times New Roman" w:hAnsi="Bookman Old Style" w:cs="Times New Roman"/>
          <w:sz w:val="24"/>
          <w:szCs w:val="24"/>
          <w:lang w:val="es-419" w:eastAsia="es-HN"/>
        </w:rPr>
        <w:t>,</w:t>
      </w:r>
      <w:r w:rsidR="00957DED">
        <w:rPr>
          <w:rFonts w:ascii="Bookman Old Style" w:eastAsia="Times New Roman" w:hAnsi="Bookman Old Style" w:cs="Times New Roman"/>
          <w:sz w:val="24"/>
          <w:szCs w:val="24"/>
          <w:lang w:val="es-419" w:eastAsia="es-HN"/>
        </w:rPr>
        <w:t xml:space="preserve"> </w:t>
      </w:r>
      <w:r w:rsidR="006F6E2F">
        <w:rPr>
          <w:rFonts w:ascii="Bookman Old Style" w:eastAsia="Times New Roman" w:hAnsi="Bookman Old Style" w:cs="Times New Roman"/>
          <w:sz w:val="24"/>
          <w:szCs w:val="24"/>
          <w:lang w:val="es-419" w:eastAsia="es-HN"/>
        </w:rPr>
        <w:t xml:space="preserve">solicitó contribuciones </w:t>
      </w:r>
      <w:r w:rsidRPr="005B31D1">
        <w:rPr>
          <w:rFonts w:ascii="Bookman Old Style" w:eastAsia="Times New Roman" w:hAnsi="Bookman Old Style" w:cs="Times New Roman"/>
          <w:sz w:val="24"/>
          <w:szCs w:val="24"/>
          <w:lang w:val="es-419" w:eastAsia="es-HN"/>
        </w:rPr>
        <w:t>para la elaboración de sus dos próximos informes</w:t>
      </w:r>
      <w:r>
        <w:rPr>
          <w:rFonts w:ascii="Bookman Old Style" w:eastAsia="Times New Roman" w:hAnsi="Bookman Old Style" w:cs="Times New Roman"/>
          <w:sz w:val="24"/>
          <w:szCs w:val="24"/>
          <w:lang w:val="es-419" w:eastAsia="es-HN"/>
        </w:rPr>
        <w:t xml:space="preserve"> referentes a: </w:t>
      </w:r>
      <w:r w:rsidRPr="002F6CA4">
        <w:rPr>
          <w:rFonts w:ascii="Bookman Old Style" w:eastAsia="Times New Roman" w:hAnsi="Bookman Old Style" w:cs="Times New Roman"/>
          <w:i/>
          <w:iCs/>
          <w:sz w:val="24"/>
          <w:szCs w:val="24"/>
          <w:lang w:val="es-419" w:eastAsia="es-HN"/>
        </w:rPr>
        <w:t>i)</w:t>
      </w:r>
      <w:r>
        <w:rPr>
          <w:rFonts w:ascii="Bookman Old Style" w:eastAsia="Times New Roman" w:hAnsi="Bookman Old Style" w:cs="Times New Roman"/>
          <w:sz w:val="24"/>
          <w:szCs w:val="24"/>
          <w:lang w:val="es-419" w:eastAsia="es-HN"/>
        </w:rPr>
        <w:t xml:space="preserve"> </w:t>
      </w:r>
      <w:r w:rsidRPr="002F6CA4">
        <w:rPr>
          <w:rFonts w:ascii="Bookman Old Style" w:eastAsia="Times New Roman" w:hAnsi="Bookman Old Style" w:cs="Times New Roman"/>
          <w:i/>
          <w:iCs/>
          <w:sz w:val="24"/>
          <w:szCs w:val="24"/>
          <w:lang w:val="es-419" w:eastAsia="es-HN"/>
        </w:rPr>
        <w:t>efectos de la pandemia COVID-19 en los derechos de las personas de edad ii) intersección entre el envejecimiento y el género y las preocupaciones específicos en materia de derechos humanos a los que se enfrentan las mujeres de edad</w:t>
      </w:r>
      <w:r w:rsidR="006F6E2F">
        <w:rPr>
          <w:rFonts w:ascii="Bookman Old Style" w:eastAsia="Times New Roman" w:hAnsi="Bookman Old Style" w:cs="Times New Roman"/>
          <w:i/>
          <w:iCs/>
          <w:sz w:val="24"/>
          <w:szCs w:val="24"/>
          <w:lang w:val="es-419" w:eastAsia="es-HN"/>
        </w:rPr>
        <w:t xml:space="preserve">; </w:t>
      </w:r>
      <w:r w:rsidR="006F6E2F" w:rsidRPr="005B31D1">
        <w:rPr>
          <w:rFonts w:ascii="Bookman Old Style" w:eastAsia="Times New Roman" w:hAnsi="Bookman Old Style" w:cs="Times New Roman"/>
          <w:sz w:val="24"/>
          <w:szCs w:val="24"/>
          <w:lang w:val="es-419" w:eastAsia="es-HN"/>
        </w:rPr>
        <w:t>el Estado de Honduras tiene a bien proporcionar</w:t>
      </w:r>
      <w:r w:rsidR="00957DED">
        <w:rPr>
          <w:rFonts w:ascii="Bookman Old Style" w:eastAsia="Times New Roman" w:hAnsi="Bookman Old Style" w:cs="Times New Roman"/>
          <w:sz w:val="24"/>
          <w:szCs w:val="24"/>
          <w:lang w:val="es-419" w:eastAsia="es-HN"/>
        </w:rPr>
        <w:t xml:space="preserve"> las siguientes c</w:t>
      </w:r>
      <w:r w:rsidR="006F6E2F">
        <w:rPr>
          <w:rFonts w:ascii="Bookman Old Style" w:eastAsia="Times New Roman" w:hAnsi="Bookman Old Style" w:cs="Times New Roman"/>
          <w:sz w:val="24"/>
          <w:szCs w:val="24"/>
          <w:lang w:val="es-419" w:eastAsia="es-HN"/>
        </w:rPr>
        <w:t>ontribuciones</w:t>
      </w:r>
      <w:r w:rsidR="00957DED">
        <w:rPr>
          <w:rFonts w:ascii="Bookman Old Style" w:eastAsia="Times New Roman" w:hAnsi="Bookman Old Style" w:cs="Times New Roman"/>
          <w:sz w:val="24"/>
          <w:szCs w:val="24"/>
          <w:lang w:val="es-419" w:eastAsia="es-HN"/>
        </w:rPr>
        <w:t xml:space="preserve">: </w:t>
      </w:r>
    </w:p>
    <w:p w14:paraId="584B3540" w14:textId="77777777" w:rsidR="0006006E" w:rsidRPr="00333D1E" w:rsidRDefault="00C73BFB" w:rsidP="003E6B81">
      <w:pPr>
        <w:pStyle w:val="Heading1"/>
        <w:ind w:left="-180" w:right="-342"/>
        <w:jc w:val="center"/>
      </w:pPr>
      <w:bookmarkStart w:id="0" w:name="_Toc67048947"/>
      <w:bookmarkStart w:id="1" w:name="_Toc67049586"/>
      <w:bookmarkStart w:id="2" w:name="_GoBack"/>
      <w:bookmarkEnd w:id="2"/>
      <w:r w:rsidRPr="00333D1E">
        <w:t>Anexo II.</w:t>
      </w:r>
      <w:bookmarkEnd w:id="0"/>
      <w:bookmarkEnd w:id="1"/>
    </w:p>
    <w:p w14:paraId="5846C113" w14:textId="76ECC3A8" w:rsidR="00C73BFB" w:rsidRPr="00333D1E" w:rsidRDefault="00C73BFB" w:rsidP="003E6B81">
      <w:pPr>
        <w:pStyle w:val="Heading1"/>
        <w:ind w:left="-180" w:right="-342"/>
        <w:jc w:val="center"/>
      </w:pPr>
      <w:bookmarkStart w:id="3" w:name="_Toc67048948"/>
      <w:bookmarkStart w:id="4" w:name="_Toc67049587"/>
      <w:r w:rsidRPr="00333D1E">
        <w:t>Derechos humanos de las mujeres mayores.</w:t>
      </w:r>
      <w:bookmarkEnd w:id="3"/>
      <w:bookmarkEnd w:id="4"/>
    </w:p>
    <w:p w14:paraId="2D69D42A" w14:textId="77777777" w:rsidR="00C73BFB" w:rsidRPr="00333D1E" w:rsidRDefault="00C73BFB" w:rsidP="003E6B81">
      <w:pPr>
        <w:pStyle w:val="Heading2"/>
        <w:ind w:left="-180" w:right="-342"/>
      </w:pPr>
      <w:bookmarkStart w:id="5" w:name="_Toc67049588"/>
      <w:r w:rsidRPr="00333D1E">
        <w:t>Los derechos de las mujeres de edad en la legislación, las políticas y los programas internacionales, regionales y nacionales.</w:t>
      </w:r>
      <w:bookmarkEnd w:id="5"/>
    </w:p>
    <w:p w14:paraId="4FFD1610" w14:textId="26FA865E"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instrumentos jurídicos, políticas y programas existen para hacer frente a los problemas particulares que enfrentan las mujeres de edad</w:t>
      </w:r>
      <w:r w:rsidRPr="00333D1E">
        <w:rPr>
          <w:rFonts w:ascii="Bookman Old Style" w:hAnsi="Bookman Old Style" w:cs="Times New Roman"/>
          <w:b/>
          <w:bCs/>
          <w:sz w:val="24"/>
          <w:szCs w:val="24"/>
        </w:rPr>
        <w:t>, y cómo se aplican y monitorean?</w:t>
      </w:r>
      <w:r w:rsidR="00A26B28" w:rsidRPr="00333D1E">
        <w:rPr>
          <w:rFonts w:ascii="Bookman Old Style" w:hAnsi="Bookman Old Style" w:cs="Times New Roman"/>
          <w:b/>
          <w:bCs/>
          <w:sz w:val="24"/>
          <w:szCs w:val="24"/>
        </w:rPr>
        <w:t xml:space="preserve"> </w:t>
      </w:r>
    </w:p>
    <w:p w14:paraId="3B44569A" w14:textId="77777777" w:rsidR="002E23F4" w:rsidRPr="00333D1E" w:rsidRDefault="0019756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Honduras cuenta con un amplio marco normativo que respalda la incorporación de la perspectiva de género en las políticas públicas, y en específico en la política social. </w:t>
      </w:r>
    </w:p>
    <w:p w14:paraId="47BB3646" w14:textId="77777777" w:rsidR="007859DF" w:rsidRPr="00333D1E" w:rsidRDefault="00197565"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nacional, entre el cuerpo normativo más relevante se pueden mencionar los siguientes: </w:t>
      </w:r>
    </w:p>
    <w:p w14:paraId="741DFD95"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Constitución Política </w:t>
      </w:r>
      <w:r w:rsidRPr="00333D1E">
        <w:rPr>
          <w:rFonts w:ascii="Bookman Old Style" w:hAnsi="Bookman Old Style" w:cs="Times New Roman"/>
          <w:sz w:val="24"/>
          <w:szCs w:val="24"/>
        </w:rPr>
        <w:t>de la República de Honduras,</w:t>
      </w:r>
    </w:p>
    <w:p w14:paraId="3D963B62"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Ley del Instituto Nacional de la Mujer, </w:t>
      </w:r>
    </w:p>
    <w:p w14:paraId="4770FAFD"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 xml:space="preserve">Ley de Igualdad de Oportunidades para la Mujer y su respectivo Reglamento, </w:t>
      </w:r>
    </w:p>
    <w:p w14:paraId="54599453"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Ley Marco de las Políticas Públicas en Materia Socia</w:t>
      </w:r>
      <w:r w:rsidRPr="00333D1E">
        <w:rPr>
          <w:rFonts w:ascii="Bookman Old Style" w:hAnsi="Bookman Old Style" w:cs="Times New Roman"/>
          <w:sz w:val="24"/>
          <w:szCs w:val="24"/>
        </w:rPr>
        <w:t xml:space="preserve">l y Reducción de la Pobreza, </w:t>
      </w:r>
    </w:p>
    <w:p w14:paraId="0B9C1AE2" w14:textId="77777777" w:rsidR="007859DF" w:rsidRPr="00333D1E" w:rsidRDefault="007859DF" w:rsidP="003E6B81">
      <w:pPr>
        <w:pStyle w:val="ListParagraph"/>
        <w:numPr>
          <w:ilvl w:val="0"/>
          <w:numId w:val="20"/>
        </w:numPr>
        <w:spacing w:after="0"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lastRenderedPageBreak/>
        <w:t xml:space="preserve">La Política Nacional de la Mujer </w:t>
      </w:r>
      <w:r w:rsidR="00197565" w:rsidRPr="00333D1E">
        <w:rPr>
          <w:rFonts w:ascii="Bookman Old Style" w:hAnsi="Bookman Old Style" w:cs="Times New Roman"/>
          <w:sz w:val="24"/>
          <w:szCs w:val="24"/>
        </w:rPr>
        <w:t xml:space="preserve">II Plan de Igualdad </w:t>
      </w:r>
      <w:r w:rsidRPr="00333D1E">
        <w:rPr>
          <w:rFonts w:ascii="Bookman Old Style" w:hAnsi="Bookman Old Style" w:cs="Times New Roman"/>
          <w:sz w:val="24"/>
          <w:szCs w:val="24"/>
        </w:rPr>
        <w:t xml:space="preserve">y Equidad de Género de Honduras, y </w:t>
      </w:r>
    </w:p>
    <w:p w14:paraId="7EC004B3" w14:textId="27F09F7A" w:rsidR="007859DF" w:rsidRDefault="007859DF" w:rsidP="003E6B81">
      <w:pPr>
        <w:pStyle w:val="ListParagraph"/>
        <w:numPr>
          <w:ilvl w:val="0"/>
          <w:numId w:val="20"/>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Política de Protección Social, 2012.</w:t>
      </w:r>
    </w:p>
    <w:p w14:paraId="5522E0E3" w14:textId="77777777" w:rsidR="00F07CFF" w:rsidRPr="00333D1E" w:rsidRDefault="00F07CFF" w:rsidP="00F07CFF">
      <w:pPr>
        <w:pStyle w:val="ListParagraph"/>
        <w:spacing w:line="360" w:lineRule="auto"/>
        <w:ind w:left="-180" w:right="-342"/>
        <w:jc w:val="both"/>
        <w:rPr>
          <w:rFonts w:ascii="Bookman Old Style" w:hAnsi="Bookman Old Style" w:cs="Times New Roman"/>
          <w:sz w:val="24"/>
          <w:szCs w:val="24"/>
        </w:rPr>
      </w:pPr>
    </w:p>
    <w:p w14:paraId="108E6713" w14:textId="77777777" w:rsidR="00341884" w:rsidRDefault="00ED256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En el ámbito internacional,</w:t>
      </w:r>
      <w:r w:rsidR="00341884">
        <w:rPr>
          <w:rFonts w:ascii="Bookman Old Style" w:hAnsi="Bookman Old Style" w:cs="Times New Roman"/>
          <w:sz w:val="24"/>
          <w:szCs w:val="24"/>
        </w:rPr>
        <w:t xml:space="preserve"> se destaca:</w:t>
      </w:r>
    </w:p>
    <w:p w14:paraId="3B34C0F6" w14:textId="43C43BE1" w:rsidR="00341884" w:rsidRPr="00341884" w:rsidRDefault="00341884"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41884">
        <w:rPr>
          <w:rFonts w:ascii="Bookman Old Style" w:hAnsi="Bookman Old Style" w:cs="Times New Roman"/>
          <w:sz w:val="24"/>
          <w:szCs w:val="24"/>
        </w:rPr>
        <w:t>El Pacto Internacional de Derechos Económicos, Sociales y Culturales y su Protocolo Facultativo</w:t>
      </w:r>
      <w:r w:rsidRPr="00333D1E">
        <w:rPr>
          <w:rStyle w:val="FootnoteReference"/>
          <w:rFonts w:ascii="Bookman Old Style" w:hAnsi="Bookman Old Style" w:cs="Times New Roman"/>
          <w:sz w:val="24"/>
          <w:szCs w:val="24"/>
        </w:rPr>
        <w:footnoteReference w:id="1"/>
      </w:r>
      <w:r w:rsidRPr="00341884">
        <w:rPr>
          <w:rFonts w:ascii="Bookman Old Style" w:hAnsi="Bookman Old Style" w:cs="Times New Roman"/>
          <w:sz w:val="24"/>
          <w:szCs w:val="24"/>
        </w:rPr>
        <w:t xml:space="preserve">. </w:t>
      </w:r>
    </w:p>
    <w:p w14:paraId="4ABACEF4" w14:textId="42150384" w:rsidR="00ED2568" w:rsidRPr="00333D1E" w:rsidRDefault="00ED2568"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197565" w:rsidRPr="00333D1E">
        <w:rPr>
          <w:rFonts w:ascii="Bookman Old Style" w:hAnsi="Bookman Old Style" w:cs="Times New Roman"/>
          <w:sz w:val="24"/>
          <w:szCs w:val="24"/>
        </w:rPr>
        <w:t>Convención sobre la Eliminación de todas las formas de Discriminación contra la Mujer (CEDAW)</w:t>
      </w:r>
      <w:r w:rsidRPr="00333D1E">
        <w:rPr>
          <w:rStyle w:val="FootnoteReference"/>
          <w:rFonts w:ascii="Bookman Old Style" w:hAnsi="Bookman Old Style" w:cs="Times New Roman"/>
          <w:sz w:val="24"/>
          <w:szCs w:val="24"/>
        </w:rPr>
        <w:footnoteReference w:id="2"/>
      </w:r>
      <w:r w:rsidRPr="00333D1E">
        <w:rPr>
          <w:rFonts w:ascii="Bookman Old Style" w:hAnsi="Bookman Old Style" w:cs="Times New Roman"/>
          <w:sz w:val="24"/>
          <w:szCs w:val="24"/>
        </w:rPr>
        <w:t>.</w:t>
      </w:r>
    </w:p>
    <w:p w14:paraId="7BA230D1" w14:textId="7B1C4BBE" w:rsidR="007859DF" w:rsidRDefault="00197565"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Cuarta Conferencia Mundial sobre la Mujer, Beijing</w:t>
      </w:r>
      <w:r w:rsidR="007859DF" w:rsidRPr="00333D1E">
        <w:rPr>
          <w:rFonts w:ascii="Bookman Old Style" w:hAnsi="Bookman Old Style" w:cs="Times New Roman"/>
          <w:sz w:val="24"/>
          <w:szCs w:val="24"/>
        </w:rPr>
        <w:t xml:space="preserve"> 1995 y su Plataforma de Acción. </w:t>
      </w:r>
    </w:p>
    <w:p w14:paraId="0792BC80" w14:textId="34CDCD19" w:rsidR="00977B06" w:rsidRPr="00333D1E" w:rsidRDefault="00977B06"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977B06">
        <w:rPr>
          <w:rFonts w:ascii="Bookman Old Style" w:hAnsi="Bookman Old Style" w:cs="Times New Roman"/>
          <w:sz w:val="24"/>
          <w:szCs w:val="24"/>
        </w:rPr>
        <w:t>La Convención Interamericana para Prevenir, Sancionar y Erradicar la Violencia contra la Mujer</w:t>
      </w:r>
      <w:r>
        <w:rPr>
          <w:rFonts w:ascii="Bookman Old Style" w:hAnsi="Bookman Old Style" w:cs="Times New Roman"/>
          <w:sz w:val="24"/>
          <w:szCs w:val="24"/>
        </w:rPr>
        <w:t>.</w:t>
      </w:r>
    </w:p>
    <w:p w14:paraId="1837BB63" w14:textId="663785FE" w:rsidR="0006006E" w:rsidRPr="00333D1E" w:rsidRDefault="007859DF" w:rsidP="003E6B81">
      <w:pPr>
        <w:pStyle w:val="ListParagraph"/>
        <w:numPr>
          <w:ilvl w:val="0"/>
          <w:numId w:val="19"/>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 xml:space="preserve">Los </w:t>
      </w:r>
      <w:r w:rsidR="00197565" w:rsidRPr="00333D1E">
        <w:rPr>
          <w:rFonts w:ascii="Bookman Old Style" w:hAnsi="Bookman Old Style" w:cs="Times New Roman"/>
          <w:sz w:val="24"/>
          <w:szCs w:val="24"/>
        </w:rPr>
        <w:t>Objetivos de Desarrollo Sostenible</w:t>
      </w:r>
      <w:r w:rsidRPr="00333D1E">
        <w:rPr>
          <w:rFonts w:ascii="Bookman Old Style" w:hAnsi="Bookman Old Style" w:cs="Times New Roman"/>
          <w:sz w:val="24"/>
          <w:szCs w:val="24"/>
        </w:rPr>
        <w:t xml:space="preserve"> (ODS),</w:t>
      </w:r>
      <w:r w:rsidR="00197565" w:rsidRPr="00333D1E">
        <w:rPr>
          <w:rFonts w:ascii="Bookman Old Style" w:hAnsi="Bookman Old Style" w:cs="Times New Roman"/>
          <w:sz w:val="24"/>
          <w:szCs w:val="24"/>
        </w:rPr>
        <w:t xml:space="preserve"> adoptados en 2015.  </w:t>
      </w:r>
    </w:p>
    <w:p w14:paraId="2D1C8960"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tipo de </w:t>
      </w:r>
      <w:r w:rsidRPr="003645FC">
        <w:rPr>
          <w:rStyle w:val="SubtitleChar"/>
        </w:rPr>
        <w:t>datos estadísticos se reúnen sobre las mujeres de edad</w:t>
      </w:r>
      <w:r w:rsidRPr="00333D1E">
        <w:rPr>
          <w:rFonts w:ascii="Bookman Old Style" w:hAnsi="Bookman Old Style" w:cs="Times New Roman"/>
          <w:b/>
          <w:bCs/>
          <w:sz w:val="24"/>
          <w:szCs w:val="24"/>
        </w:rPr>
        <w:t>, de haberlos, y se desglosan por edad, género y otros factores pertinentes? ¿Cómo se definen las mujeres de edad a los efectos de la legislación, las políticas y la reunión de datos?</w:t>
      </w:r>
    </w:p>
    <w:p w14:paraId="3ACEFB7F" w14:textId="77777777" w:rsidR="00F33703" w:rsidRPr="00333D1E" w:rsidRDefault="00BD3CB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Respecto a los datos estadísticos que se reúnes sobre las mujeres, desglosados por edades, género u otros factores, la institución encargada </w:t>
      </w:r>
      <w:r w:rsidR="009D100A" w:rsidRPr="00333D1E">
        <w:rPr>
          <w:rFonts w:ascii="Bookman Old Style" w:hAnsi="Bookman Old Style" w:cs="Times New Roman"/>
          <w:sz w:val="24"/>
          <w:szCs w:val="24"/>
        </w:rPr>
        <w:t xml:space="preserve">de su recolección </w:t>
      </w:r>
      <w:r w:rsidRPr="00333D1E">
        <w:rPr>
          <w:rFonts w:ascii="Bookman Old Style" w:hAnsi="Bookman Old Style" w:cs="Times New Roman"/>
          <w:sz w:val="24"/>
          <w:szCs w:val="24"/>
        </w:rPr>
        <w:t xml:space="preserve">es el Instituto Nacional de Estadística (INE), </w:t>
      </w:r>
      <w:r w:rsidR="009D100A" w:rsidRPr="00333D1E">
        <w:rPr>
          <w:rFonts w:ascii="Bookman Old Style" w:hAnsi="Bookman Old Style" w:cs="Times New Roman"/>
          <w:sz w:val="24"/>
          <w:szCs w:val="24"/>
        </w:rPr>
        <w:t xml:space="preserve">a través de distintas encuestas como ser la Encuesta Permanente de Hogares </w:t>
      </w:r>
      <w:r w:rsidR="007859DF" w:rsidRPr="00333D1E">
        <w:rPr>
          <w:rFonts w:ascii="Bookman Old Style" w:hAnsi="Bookman Old Style" w:cs="Times New Roman"/>
          <w:sz w:val="24"/>
          <w:szCs w:val="24"/>
        </w:rPr>
        <w:t>de</w:t>
      </w:r>
      <w:r w:rsidR="009D100A" w:rsidRPr="00333D1E">
        <w:rPr>
          <w:rFonts w:ascii="Bookman Old Style" w:hAnsi="Bookman Old Style" w:cs="Times New Roman"/>
          <w:sz w:val="24"/>
          <w:szCs w:val="24"/>
        </w:rPr>
        <w:t xml:space="preserve"> propósitos Múltiples (EPHPM)</w:t>
      </w:r>
      <w:r w:rsidR="007859DF" w:rsidRPr="00333D1E">
        <w:rPr>
          <w:rStyle w:val="FootnoteReference"/>
          <w:rFonts w:ascii="Bookman Old Style" w:hAnsi="Bookman Old Style" w:cs="Times New Roman"/>
          <w:sz w:val="24"/>
          <w:szCs w:val="24"/>
        </w:rPr>
        <w:footnoteReference w:id="3"/>
      </w:r>
      <w:r w:rsidR="00F33703" w:rsidRPr="00333D1E">
        <w:rPr>
          <w:rFonts w:ascii="Bookman Old Style" w:hAnsi="Bookman Old Style" w:cs="Times New Roman"/>
          <w:sz w:val="24"/>
          <w:szCs w:val="24"/>
        </w:rPr>
        <w:t xml:space="preserve"> y la Encuesta Nacional de Demografía y</w:t>
      </w:r>
      <w:r w:rsidR="009D100A" w:rsidRPr="00333D1E">
        <w:rPr>
          <w:rFonts w:ascii="Bookman Old Style" w:hAnsi="Bookman Old Style" w:cs="Times New Roman"/>
          <w:sz w:val="24"/>
          <w:szCs w:val="24"/>
        </w:rPr>
        <w:t xml:space="preserve"> Salud (ENDESA</w:t>
      </w:r>
      <w:r w:rsidR="00F33703" w:rsidRPr="00333D1E">
        <w:rPr>
          <w:rFonts w:ascii="Bookman Old Style" w:hAnsi="Bookman Old Style" w:cs="Times New Roman"/>
          <w:sz w:val="24"/>
          <w:szCs w:val="24"/>
        </w:rPr>
        <w:t xml:space="preserve"> 2011-2012</w:t>
      </w:r>
      <w:r w:rsidR="009D100A" w:rsidRPr="00333D1E">
        <w:rPr>
          <w:rFonts w:ascii="Bookman Old Style" w:hAnsi="Bookman Old Style" w:cs="Times New Roman"/>
          <w:sz w:val="24"/>
          <w:szCs w:val="24"/>
        </w:rPr>
        <w:t>)</w:t>
      </w:r>
      <w:r w:rsidR="00F33703" w:rsidRPr="00333D1E">
        <w:rPr>
          <w:rStyle w:val="FootnoteReference"/>
          <w:rFonts w:ascii="Bookman Old Style" w:hAnsi="Bookman Old Style" w:cs="Times New Roman"/>
          <w:sz w:val="24"/>
          <w:szCs w:val="24"/>
        </w:rPr>
        <w:footnoteReference w:id="4"/>
      </w:r>
      <w:r w:rsidR="00F33703" w:rsidRPr="00333D1E">
        <w:rPr>
          <w:rFonts w:ascii="Bookman Old Style" w:hAnsi="Bookman Old Style" w:cs="Times New Roman"/>
          <w:sz w:val="24"/>
          <w:szCs w:val="24"/>
        </w:rPr>
        <w:t xml:space="preserve">. </w:t>
      </w:r>
    </w:p>
    <w:p w14:paraId="319305E3" w14:textId="77777777" w:rsidR="00D34978" w:rsidRPr="00333D1E" w:rsidRDefault="00F33703"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lastRenderedPageBreak/>
        <w:t>Estas encuestas</w:t>
      </w:r>
      <w:r w:rsidR="00BD3CB5" w:rsidRPr="00333D1E">
        <w:rPr>
          <w:rFonts w:ascii="Bookman Old Style" w:hAnsi="Bookman Old Style" w:cs="Times New Roman"/>
          <w:sz w:val="24"/>
          <w:szCs w:val="24"/>
        </w:rPr>
        <w:t xml:space="preserve"> registra</w:t>
      </w:r>
      <w:r w:rsidR="009D100A" w:rsidRPr="00333D1E">
        <w:rPr>
          <w:rFonts w:ascii="Bookman Old Style" w:hAnsi="Bookman Old Style" w:cs="Times New Roman"/>
          <w:sz w:val="24"/>
          <w:szCs w:val="24"/>
        </w:rPr>
        <w:t>n</w:t>
      </w:r>
      <w:r w:rsidR="00BD3CB5" w:rsidRPr="00333D1E">
        <w:rPr>
          <w:rFonts w:ascii="Bookman Old Style" w:hAnsi="Bookman Old Style" w:cs="Times New Roman"/>
          <w:sz w:val="24"/>
          <w:szCs w:val="24"/>
        </w:rPr>
        <w:t xml:space="preserve"> información respecto</w:t>
      </w:r>
      <w:r w:rsidR="009D100A" w:rsidRPr="00333D1E">
        <w:rPr>
          <w:rFonts w:ascii="Bookman Old Style" w:hAnsi="Bookman Old Style" w:cs="Times New Roman"/>
          <w:sz w:val="24"/>
          <w:szCs w:val="24"/>
        </w:rPr>
        <w:t xml:space="preserve"> al porcentaje de la población por género</w:t>
      </w:r>
      <w:r w:rsidR="00D34978" w:rsidRPr="00333D1E">
        <w:rPr>
          <w:rFonts w:ascii="Bookman Old Style" w:hAnsi="Bookman Old Style" w:cs="Times New Roman"/>
          <w:sz w:val="24"/>
          <w:szCs w:val="24"/>
        </w:rPr>
        <w:t xml:space="preserve"> y edad</w:t>
      </w:r>
      <w:r w:rsidR="009D100A" w:rsidRPr="00333D1E">
        <w:rPr>
          <w:rFonts w:ascii="Bookman Old Style" w:hAnsi="Bookman Old Style" w:cs="Times New Roman"/>
          <w:sz w:val="24"/>
          <w:szCs w:val="24"/>
        </w:rPr>
        <w:t>,</w:t>
      </w:r>
      <w:r w:rsidRPr="00333D1E">
        <w:rPr>
          <w:rFonts w:ascii="Bookman Old Style" w:hAnsi="Bookman Old Style" w:cs="Times New Roman"/>
          <w:sz w:val="24"/>
          <w:szCs w:val="24"/>
        </w:rPr>
        <w:t xml:space="preserve"> </w:t>
      </w:r>
      <w:r w:rsidR="00D34978" w:rsidRPr="00333D1E">
        <w:rPr>
          <w:rFonts w:ascii="Bookman Old Style" w:hAnsi="Bookman Old Style" w:cs="Times New Roman"/>
          <w:sz w:val="24"/>
          <w:szCs w:val="24"/>
        </w:rPr>
        <w:t xml:space="preserve">pertenecía a minorías étnicas, </w:t>
      </w:r>
      <w:r w:rsidRPr="00333D1E">
        <w:rPr>
          <w:rFonts w:ascii="Bookman Old Style" w:hAnsi="Bookman Old Style" w:cs="Times New Roman"/>
          <w:sz w:val="24"/>
          <w:szCs w:val="24"/>
        </w:rPr>
        <w:t>características de la población,</w:t>
      </w:r>
      <w:r w:rsidR="00BD3CB5" w:rsidRPr="00333D1E">
        <w:rPr>
          <w:rFonts w:ascii="Bookman Old Style" w:hAnsi="Bookman Old Style" w:cs="Times New Roman"/>
          <w:sz w:val="24"/>
          <w:szCs w:val="24"/>
        </w:rPr>
        <w:t xml:space="preserve"> esperanza de vida al nacer, </w:t>
      </w:r>
      <w:r w:rsidR="009D100A" w:rsidRPr="00333D1E">
        <w:rPr>
          <w:rFonts w:ascii="Bookman Old Style" w:hAnsi="Bookman Old Style" w:cs="Times New Roman"/>
          <w:sz w:val="24"/>
          <w:szCs w:val="24"/>
        </w:rPr>
        <w:t>datos sobre educación como las tasas de analfabetismo, años promedio de estudio, información sobre el mercado laboral</w:t>
      </w:r>
      <w:r w:rsidR="00BD3CB5" w:rsidRPr="00333D1E">
        <w:rPr>
          <w:rFonts w:ascii="Bookman Old Style" w:hAnsi="Bookman Old Style" w:cs="Times New Roman"/>
          <w:sz w:val="24"/>
          <w:szCs w:val="24"/>
        </w:rPr>
        <w:t xml:space="preserve"> </w:t>
      </w:r>
      <w:r w:rsidR="009D100A" w:rsidRPr="00333D1E">
        <w:rPr>
          <w:rFonts w:ascii="Bookman Old Style" w:hAnsi="Bookman Old Style" w:cs="Times New Roman"/>
          <w:sz w:val="24"/>
          <w:szCs w:val="24"/>
        </w:rPr>
        <w:t>como ser la tasa de ocupación y participación, los porcentajes de población asalariada y los ingresos promedios; registran información sobre</w:t>
      </w:r>
      <w:r w:rsidRPr="00333D1E">
        <w:rPr>
          <w:rFonts w:ascii="Bookman Old Style" w:hAnsi="Bookman Old Style" w:cs="Times New Roman"/>
          <w:sz w:val="24"/>
          <w:szCs w:val="24"/>
        </w:rPr>
        <w:t xml:space="preserve"> el nivel socioeconómico de los hogares,</w:t>
      </w:r>
      <w:r w:rsidR="00BD3CB5" w:rsidRPr="00333D1E">
        <w:rPr>
          <w:rFonts w:ascii="Bookman Old Style" w:hAnsi="Bookman Old Style" w:cs="Times New Roman"/>
          <w:sz w:val="24"/>
          <w:szCs w:val="24"/>
        </w:rPr>
        <w:t xml:space="preserve"> </w:t>
      </w:r>
      <w:r w:rsidRPr="00333D1E">
        <w:rPr>
          <w:rFonts w:ascii="Bookman Old Style" w:hAnsi="Bookman Old Style" w:cs="Times New Roman"/>
          <w:sz w:val="24"/>
          <w:szCs w:val="24"/>
        </w:rPr>
        <w:t xml:space="preserve">disponibilidad de servicios básicos, respecto a la salud cuenta con datos de fecundidad, mortalidad infantil, salud infantil, lactancia materna, salud sexual y reproductiva, violencia contra la mujer, situación de las mujeres e indicadores demográficos y de salud, etc. </w:t>
      </w:r>
    </w:p>
    <w:p w14:paraId="7055ABA1" w14:textId="45C630B6" w:rsidR="00D34978" w:rsidRPr="00333D1E" w:rsidRDefault="00D3497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Por su parte, SEDIS, a través de la Unidad de Equidad de Género, recopila los datos desagregación de los participantes de los programas y proyectos en términos de género, que se realizan en favor de la mujer y la mujer adulta mayor y demás grupos</w:t>
      </w:r>
      <w:r w:rsidR="00E6671B">
        <w:rPr>
          <w:rFonts w:ascii="Bookman Old Style" w:hAnsi="Bookman Old Style" w:cs="Times New Roman"/>
          <w:sz w:val="24"/>
          <w:szCs w:val="24"/>
        </w:rPr>
        <w:t xml:space="preserve"> en situación de vulnerabilidad</w:t>
      </w:r>
      <w:r w:rsidRPr="00333D1E">
        <w:rPr>
          <w:rFonts w:ascii="Bookman Old Style" w:hAnsi="Bookman Old Style" w:cs="Times New Roman"/>
          <w:sz w:val="24"/>
          <w:szCs w:val="24"/>
        </w:rPr>
        <w:t xml:space="preserve">, por parte de la </w:t>
      </w:r>
      <w:r w:rsidR="009C12E0" w:rsidRPr="00333D1E">
        <w:rPr>
          <w:rFonts w:ascii="Bookman Old Style" w:hAnsi="Bookman Old Style" w:cs="Times New Roman"/>
          <w:sz w:val="24"/>
          <w:szCs w:val="24"/>
        </w:rPr>
        <w:t>DIGAM</w:t>
      </w:r>
      <w:r w:rsidRPr="00333D1E">
        <w:rPr>
          <w:rFonts w:ascii="Bookman Old Style" w:hAnsi="Bookman Old Style" w:cs="Times New Roman"/>
          <w:sz w:val="24"/>
          <w:szCs w:val="24"/>
        </w:rPr>
        <w:t>.</w:t>
      </w:r>
    </w:p>
    <w:p w14:paraId="21A63B59" w14:textId="77777777" w:rsidR="00D34978" w:rsidRPr="00333D1E" w:rsidRDefault="00506789" w:rsidP="003E6B81">
      <w:pPr>
        <w:spacing w:line="360" w:lineRule="auto"/>
        <w:ind w:left="-180" w:right="-342"/>
        <w:jc w:val="both"/>
        <w:rPr>
          <w:rFonts w:ascii="Bookman Old Style" w:hAnsi="Bookman Old Style" w:cs="Times New Roman"/>
          <w:bCs/>
          <w:sz w:val="24"/>
          <w:szCs w:val="24"/>
        </w:rPr>
      </w:pPr>
      <w:r w:rsidRPr="00333D1E">
        <w:rPr>
          <w:rFonts w:ascii="Bookman Old Style" w:hAnsi="Bookman Old Style" w:cs="Times New Roman"/>
          <w:sz w:val="24"/>
          <w:szCs w:val="24"/>
        </w:rPr>
        <w:t xml:space="preserve">Para efectos de los programas, planes y políticas, </w:t>
      </w:r>
      <w:r w:rsidR="00075F08" w:rsidRPr="00333D1E">
        <w:rPr>
          <w:rFonts w:ascii="Bookman Old Style" w:hAnsi="Bookman Old Style" w:cs="Times New Roman"/>
          <w:sz w:val="24"/>
          <w:szCs w:val="24"/>
        </w:rPr>
        <w:t xml:space="preserve">la Ley </w:t>
      </w:r>
      <w:r w:rsidRPr="00333D1E">
        <w:rPr>
          <w:rFonts w:ascii="Bookman Old Style" w:hAnsi="Bookman Old Style" w:cs="Times New Roman"/>
          <w:sz w:val="24"/>
          <w:szCs w:val="24"/>
        </w:rPr>
        <w:t>en</w:t>
      </w:r>
      <w:r w:rsidR="00D34978" w:rsidRPr="00333D1E">
        <w:rPr>
          <w:rFonts w:ascii="Bookman Old Style" w:hAnsi="Bookman Old Style" w:cs="Times New Roman"/>
          <w:sz w:val="24"/>
          <w:szCs w:val="24"/>
        </w:rPr>
        <w:t xml:space="preserve"> Honduras </w:t>
      </w:r>
      <w:r w:rsidRPr="00333D1E">
        <w:rPr>
          <w:rFonts w:ascii="Bookman Old Style" w:hAnsi="Bookman Old Style" w:cs="Times New Roman"/>
          <w:sz w:val="24"/>
          <w:szCs w:val="24"/>
        </w:rPr>
        <w:t>considera </w:t>
      </w:r>
      <w:r w:rsidRPr="00333D1E">
        <w:rPr>
          <w:rFonts w:ascii="Bookman Old Style" w:hAnsi="Bookman Old Style" w:cs="Times New Roman"/>
          <w:bCs/>
          <w:sz w:val="24"/>
          <w:szCs w:val="24"/>
        </w:rPr>
        <w:t>Adulto Mayor</w:t>
      </w:r>
      <w:r w:rsidR="00075F08" w:rsidRPr="00333D1E">
        <w:rPr>
          <w:rFonts w:ascii="Bookman Old Style" w:hAnsi="Bookman Old Style" w:cs="Times New Roman"/>
          <w:bCs/>
          <w:sz w:val="24"/>
          <w:szCs w:val="24"/>
        </w:rPr>
        <w:t xml:space="preserve"> a</w:t>
      </w:r>
      <w:r w:rsidRPr="00333D1E">
        <w:rPr>
          <w:rFonts w:ascii="Bookman Old Style" w:hAnsi="Bookman Old Style" w:cs="Times New Roman"/>
          <w:bCs/>
          <w:sz w:val="24"/>
          <w:szCs w:val="24"/>
        </w:rPr>
        <w:t xml:space="preserve"> toda persona que haya cumplido 60 años, nacional o extranjera con la debida acreditación de su residencia, comprendiendo dentro de la misma a los jubilados y pensionados por invalidez por instituciones de previsión pública, privada o mixtas, con todos los derechos y deberes tipificados en la Ley</w:t>
      </w:r>
      <w:r w:rsidRPr="00333D1E">
        <w:rPr>
          <w:rStyle w:val="FootnoteReference"/>
          <w:rFonts w:ascii="Bookman Old Style" w:hAnsi="Bookman Old Style" w:cs="Times New Roman"/>
          <w:bCs/>
          <w:sz w:val="24"/>
          <w:szCs w:val="24"/>
        </w:rPr>
        <w:footnoteReference w:id="5"/>
      </w:r>
      <w:r w:rsidRPr="00333D1E">
        <w:rPr>
          <w:rFonts w:ascii="Bookman Old Style" w:hAnsi="Bookman Old Style" w:cs="Times New Roman"/>
          <w:bCs/>
          <w:sz w:val="24"/>
          <w:szCs w:val="24"/>
        </w:rPr>
        <w:t>.</w:t>
      </w:r>
    </w:p>
    <w:p w14:paraId="013F828D"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indicar cómo participan las mujeres de edad en los </w:t>
      </w:r>
      <w:r w:rsidRPr="003645FC">
        <w:rPr>
          <w:rStyle w:val="SubtitleChar"/>
        </w:rPr>
        <w:t>mecanismos de participación</w:t>
      </w:r>
      <w:r w:rsidRPr="00333D1E">
        <w:rPr>
          <w:rFonts w:ascii="Bookman Old Style" w:hAnsi="Bookman Old Style" w:cs="Times New Roman"/>
          <w:b/>
          <w:bCs/>
          <w:sz w:val="24"/>
          <w:szCs w:val="24"/>
        </w:rPr>
        <w:t>.</w:t>
      </w:r>
    </w:p>
    <w:p w14:paraId="5A0E0030" w14:textId="7807C84F" w:rsidR="00464FE5" w:rsidRDefault="0019756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La participación de las mujeres de edad puede ser en el aspecto social y política.</w:t>
      </w:r>
      <w:r w:rsidR="0009493B">
        <w:rPr>
          <w:rFonts w:ascii="Bookman Old Style" w:hAnsi="Bookman Old Style" w:cs="Times New Roman"/>
          <w:sz w:val="24"/>
          <w:szCs w:val="24"/>
        </w:rPr>
        <w:t xml:space="preserve"> </w:t>
      </w:r>
      <w:r w:rsidR="00464FE5" w:rsidRPr="00333D1E">
        <w:rPr>
          <w:rFonts w:ascii="Bookman Old Style" w:hAnsi="Bookman Old Style" w:cs="Times New Roman"/>
          <w:sz w:val="24"/>
          <w:szCs w:val="24"/>
        </w:rPr>
        <w:t xml:space="preserve">Por medio de la Política Nacional de Envejecimiento del Adulto Mayor, formulada de manera participativa, propone un cambio de enfoque en la atención al adulto mayor, transitando del asistencialismo y beneficencia, a un esquema de </w:t>
      </w:r>
      <w:r w:rsidR="00464FE5" w:rsidRPr="00333D1E">
        <w:rPr>
          <w:rFonts w:ascii="Bookman Old Style" w:hAnsi="Bookman Old Style" w:cs="Times New Roman"/>
          <w:sz w:val="24"/>
          <w:szCs w:val="24"/>
        </w:rPr>
        <w:lastRenderedPageBreak/>
        <w:t>envejecimiento activo y saludable, posicionando al adulto mayor en un rol participativo, solidario y con ejercicio de sus derechos, expresado por el Estado de Honduras como un compromiso hacia su población adulta mayor.</w:t>
      </w:r>
    </w:p>
    <w:p w14:paraId="5D9C6F2A" w14:textId="77777777" w:rsidR="00FE0FD1" w:rsidRPr="00333D1E" w:rsidRDefault="00FE0FD1" w:rsidP="003E6B81">
      <w:pPr>
        <w:spacing w:line="360" w:lineRule="auto"/>
        <w:ind w:left="-180" w:right="-342"/>
        <w:jc w:val="both"/>
        <w:rPr>
          <w:rFonts w:ascii="Bookman Old Style" w:hAnsi="Bookman Old Style" w:cs="Times New Roman"/>
          <w:sz w:val="24"/>
          <w:szCs w:val="24"/>
        </w:rPr>
      </w:pPr>
    </w:p>
    <w:p w14:paraId="662A159D" w14:textId="77777777" w:rsidR="00C73BFB" w:rsidRPr="0022365E" w:rsidRDefault="00C73BFB" w:rsidP="003E6B81">
      <w:pPr>
        <w:pStyle w:val="Heading2"/>
        <w:ind w:left="-180" w:right="-342"/>
        <w:rPr>
          <w:i/>
          <w:iCs/>
        </w:rPr>
      </w:pPr>
      <w:bookmarkStart w:id="6" w:name="_Toc67049589"/>
      <w:r w:rsidRPr="0022365E">
        <w:rPr>
          <w:i/>
          <w:iCs/>
        </w:rPr>
        <w:t>Realidades económicas, sociales y culturales que viven las mujeres de edad.</w:t>
      </w:r>
      <w:bookmarkEnd w:id="6"/>
    </w:p>
    <w:p w14:paraId="778C229D" w14:textId="77777777" w:rsidR="000D3BA1" w:rsidRPr="003E6B81" w:rsidRDefault="00C73BFB" w:rsidP="003E6B81">
      <w:pPr>
        <w:pStyle w:val="ListParagraph"/>
        <w:numPr>
          <w:ilvl w:val="0"/>
          <w:numId w:val="3"/>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b/>
          <w:bCs/>
          <w:sz w:val="24"/>
          <w:szCs w:val="24"/>
        </w:rPr>
        <w:t xml:space="preserve">¿Cuáles son los </w:t>
      </w:r>
      <w:r w:rsidRPr="003645FC">
        <w:rPr>
          <w:rStyle w:val="SubtitleChar"/>
        </w:rPr>
        <w:t>problemas y preocupaciones específicos que enfrentan las mujeres de edad</w:t>
      </w:r>
      <w:r w:rsidRPr="00333D1E">
        <w:rPr>
          <w:rFonts w:ascii="Bookman Old Style" w:hAnsi="Bookman Old Style" w:cs="Times New Roman"/>
          <w:b/>
          <w:bCs/>
          <w:sz w:val="24"/>
          <w:szCs w:val="24"/>
        </w:rPr>
        <w:t>,</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incluso sobre la base de su experi</w:t>
      </w:r>
      <w:r w:rsidRPr="003E6B81">
        <w:rPr>
          <w:rFonts w:ascii="Bookman Old Style" w:hAnsi="Bookman Old Style" w:cs="Times New Roman"/>
          <w:b/>
          <w:bCs/>
          <w:sz w:val="24"/>
          <w:szCs w:val="24"/>
        </w:rPr>
        <w:t>encia de vida acumulada en comparación con los hombres</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de edad, en el disfrute de sus derechos económicos, sociales y culturales (por ejemplo, en lo</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que respecta a la protección social, la salud, la educación, el trabajo, el nivel de vida adecuado</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y la propiedad de tierras y bienes)? Sírvase proporcionar datos y estadísticas, incluidos los</w:t>
      </w:r>
      <w:r w:rsidR="00D349C1" w:rsidRPr="003E6B81">
        <w:rPr>
          <w:rFonts w:ascii="Bookman Old Style" w:hAnsi="Bookman Old Style" w:cs="Times New Roman"/>
          <w:b/>
          <w:bCs/>
          <w:sz w:val="24"/>
          <w:szCs w:val="24"/>
        </w:rPr>
        <w:t xml:space="preserve"> </w:t>
      </w:r>
      <w:r w:rsidRPr="003E6B81">
        <w:rPr>
          <w:rFonts w:ascii="Bookman Old Style" w:hAnsi="Bookman Old Style" w:cs="Times New Roman"/>
          <w:b/>
          <w:bCs/>
          <w:sz w:val="24"/>
          <w:szCs w:val="24"/>
        </w:rPr>
        <w:t>datos desglosados, cuando se disponga de ellos.</w:t>
      </w:r>
      <w:r w:rsidR="00BA754E" w:rsidRPr="003E6B81">
        <w:rPr>
          <w:rFonts w:ascii="Bookman Old Style" w:hAnsi="Bookman Old Style" w:cs="Times New Roman"/>
          <w:b/>
          <w:bCs/>
          <w:sz w:val="24"/>
          <w:szCs w:val="24"/>
        </w:rPr>
        <w:t xml:space="preserve"> </w:t>
      </w:r>
    </w:p>
    <w:p w14:paraId="5618E788" w14:textId="77777777" w:rsidR="00C702C5" w:rsidRPr="003E6B81" w:rsidRDefault="002C7AEA"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L</w:t>
      </w:r>
      <w:r w:rsidR="00C702C5" w:rsidRPr="003E6B81">
        <w:rPr>
          <w:rFonts w:ascii="Bookman Old Style" w:hAnsi="Bookman Old Style" w:cs="Times New Roman"/>
          <w:sz w:val="24"/>
          <w:szCs w:val="24"/>
        </w:rPr>
        <w:t xml:space="preserve">as mujeres mayores </w:t>
      </w:r>
      <w:r w:rsidRPr="003E6B81">
        <w:rPr>
          <w:rFonts w:ascii="Bookman Old Style" w:hAnsi="Bookman Old Style" w:cs="Times New Roman"/>
          <w:sz w:val="24"/>
          <w:szCs w:val="24"/>
        </w:rPr>
        <w:t xml:space="preserve">enfrentan dificultades que </w:t>
      </w:r>
      <w:r w:rsidR="00C702C5" w:rsidRPr="003E6B81">
        <w:rPr>
          <w:rFonts w:ascii="Bookman Old Style" w:hAnsi="Bookman Old Style" w:cs="Times New Roman"/>
          <w:sz w:val="24"/>
          <w:szCs w:val="24"/>
        </w:rPr>
        <w:t xml:space="preserve">pueden </w:t>
      </w:r>
      <w:r w:rsidRPr="003E6B81">
        <w:rPr>
          <w:rFonts w:ascii="Bookman Old Style" w:hAnsi="Bookman Old Style" w:cs="Times New Roman"/>
          <w:sz w:val="24"/>
          <w:szCs w:val="24"/>
        </w:rPr>
        <w:t>ponerlas en situaciones</w:t>
      </w:r>
      <w:r w:rsidR="00C702C5" w:rsidRPr="003E6B81">
        <w:rPr>
          <w:rFonts w:ascii="Bookman Old Style" w:hAnsi="Bookman Old Style" w:cs="Times New Roman"/>
          <w:sz w:val="24"/>
          <w:szCs w:val="24"/>
        </w:rPr>
        <w:t xml:space="preserve"> particularmente vulnerables y llegar a perder sus medios de subsistencia a causa de su nivel económico bajo, la falta de conocimiento de sus derechos o costumbres locales que les impiden heredar.</w:t>
      </w:r>
    </w:p>
    <w:p w14:paraId="1477280C" w14:textId="42294324" w:rsidR="002C7AEA" w:rsidRPr="003E6B81" w:rsidRDefault="00197565"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En la sociedad hondureña la mujer tiene menos oportunidad de obtener empleos formales que le generen aportaciones a regímenes de pensiones contributivas, lo cual repercute </w:t>
      </w:r>
      <w:r w:rsidR="00FE0FD1" w:rsidRPr="003E6B81">
        <w:rPr>
          <w:rFonts w:ascii="Bookman Old Style" w:hAnsi="Bookman Old Style" w:cs="Times New Roman"/>
          <w:sz w:val="24"/>
          <w:szCs w:val="24"/>
        </w:rPr>
        <w:t>que,</w:t>
      </w:r>
      <w:r w:rsidRPr="003E6B81">
        <w:rPr>
          <w:rFonts w:ascii="Bookman Old Style" w:hAnsi="Bookman Old Style" w:cs="Times New Roman"/>
          <w:sz w:val="24"/>
          <w:szCs w:val="24"/>
        </w:rPr>
        <w:t xml:space="preserve"> en la etapa de envejecimiento, sea un común denominador la exclusión en los sistemas de pensiones y jubilaciones. Por otro </w:t>
      </w:r>
      <w:r w:rsidR="00E21B91" w:rsidRPr="003E6B81">
        <w:rPr>
          <w:rFonts w:ascii="Bookman Old Style" w:hAnsi="Bookman Old Style" w:cs="Times New Roman"/>
          <w:sz w:val="24"/>
          <w:szCs w:val="24"/>
        </w:rPr>
        <w:t>lado,</w:t>
      </w:r>
      <w:r w:rsidRPr="003E6B81">
        <w:rPr>
          <w:rFonts w:ascii="Bookman Old Style" w:hAnsi="Bookman Old Style" w:cs="Times New Roman"/>
          <w:sz w:val="24"/>
          <w:szCs w:val="24"/>
        </w:rPr>
        <w:t xml:space="preserve"> a la mujer </w:t>
      </w:r>
      <w:r w:rsidR="00FE0FD1" w:rsidRPr="003E6B81">
        <w:rPr>
          <w:rFonts w:ascii="Bookman Old Style" w:hAnsi="Bookman Old Style" w:cs="Times New Roman"/>
          <w:sz w:val="24"/>
          <w:szCs w:val="24"/>
        </w:rPr>
        <w:t>se le dificulta o</w:t>
      </w:r>
      <w:r w:rsidRPr="003E6B81">
        <w:rPr>
          <w:rFonts w:ascii="Bookman Old Style" w:hAnsi="Bookman Old Style" w:cs="Times New Roman"/>
          <w:sz w:val="24"/>
          <w:szCs w:val="24"/>
        </w:rPr>
        <w:t>btener cargos de mayor remuneración económica y altas posiciones</w:t>
      </w:r>
      <w:r w:rsidR="00E817CE" w:rsidRPr="003E6B81">
        <w:rPr>
          <w:rFonts w:ascii="Bookman Old Style" w:hAnsi="Bookman Old Style" w:cs="Times New Roman"/>
          <w:sz w:val="24"/>
          <w:szCs w:val="24"/>
        </w:rPr>
        <w:t>.</w:t>
      </w:r>
      <w:r w:rsidRPr="003E6B81">
        <w:rPr>
          <w:rFonts w:ascii="Bookman Old Style" w:hAnsi="Bookman Old Style" w:cs="Times New Roman"/>
          <w:sz w:val="24"/>
          <w:szCs w:val="24"/>
        </w:rPr>
        <w:t xml:space="preserve"> </w:t>
      </w:r>
    </w:p>
    <w:p w14:paraId="793904B6" w14:textId="690D9F23" w:rsidR="00197565" w:rsidRPr="003E6B81" w:rsidRDefault="00197565"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Por otro lado, la mujer que reside en </w:t>
      </w:r>
      <w:r w:rsidR="00E21B91" w:rsidRPr="003E6B81">
        <w:rPr>
          <w:rFonts w:ascii="Bookman Old Style" w:hAnsi="Bookman Old Style" w:cs="Times New Roman"/>
          <w:sz w:val="24"/>
          <w:szCs w:val="24"/>
        </w:rPr>
        <w:t>áreas</w:t>
      </w:r>
      <w:r w:rsidRPr="003E6B81">
        <w:rPr>
          <w:rFonts w:ascii="Bookman Old Style" w:hAnsi="Bookman Old Style" w:cs="Times New Roman"/>
          <w:sz w:val="24"/>
          <w:szCs w:val="24"/>
        </w:rPr>
        <w:t xml:space="preserve"> rurales en vista que normalmente se le exige cumplir con todas las labores domésticas</w:t>
      </w:r>
      <w:r w:rsidR="00C07D38" w:rsidRPr="003E6B81">
        <w:rPr>
          <w:rFonts w:ascii="Bookman Old Style" w:hAnsi="Bookman Old Style" w:cs="Times New Roman"/>
          <w:sz w:val="24"/>
          <w:szCs w:val="24"/>
        </w:rPr>
        <w:t>,</w:t>
      </w:r>
      <w:r w:rsidRPr="003E6B81">
        <w:rPr>
          <w:rFonts w:ascii="Bookman Old Style" w:hAnsi="Bookman Old Style" w:cs="Times New Roman"/>
          <w:sz w:val="24"/>
          <w:szCs w:val="24"/>
        </w:rPr>
        <w:t xml:space="preserve"> tiene menos oportunidad y acceso al sistema de educación formal</w:t>
      </w:r>
      <w:r w:rsidR="00AC1A59" w:rsidRPr="003E6B81">
        <w:rPr>
          <w:rFonts w:ascii="Bookman Old Style" w:hAnsi="Bookman Old Style" w:cs="Times New Roman"/>
          <w:sz w:val="24"/>
          <w:szCs w:val="24"/>
        </w:rPr>
        <w:t xml:space="preserve">. </w:t>
      </w:r>
    </w:p>
    <w:p w14:paraId="1B76B7B3" w14:textId="77777777" w:rsidR="008F5473" w:rsidRPr="003E6B81" w:rsidRDefault="008F5473" w:rsidP="003E6B81">
      <w:pPr>
        <w:spacing w:line="360" w:lineRule="auto"/>
        <w:ind w:left="-180" w:right="-342"/>
        <w:jc w:val="both"/>
        <w:rPr>
          <w:rFonts w:ascii="Bookman Old Style" w:hAnsi="Bookman Old Style" w:cs="Times New Roman"/>
          <w:bCs/>
          <w:sz w:val="24"/>
          <w:szCs w:val="24"/>
        </w:rPr>
      </w:pPr>
      <w:r w:rsidRPr="003E6B81">
        <w:rPr>
          <w:rFonts w:ascii="Bookman Old Style" w:hAnsi="Bookman Old Style" w:cs="Times New Roman"/>
          <w:bCs/>
          <w:sz w:val="24"/>
          <w:szCs w:val="24"/>
        </w:rPr>
        <w:lastRenderedPageBreak/>
        <w:t>Respecto a las mujeres adultas mayores, las condiciones de desigualdad y exclusión repercuten en las condiciones de vida, es por ello, que l</w:t>
      </w:r>
      <w:r w:rsidRPr="003E6B81">
        <w:rPr>
          <w:rFonts w:ascii="Bookman Old Style" w:hAnsi="Bookman Old Style" w:cs="Times New Roman"/>
          <w:sz w:val="24"/>
          <w:szCs w:val="24"/>
        </w:rPr>
        <w:t xml:space="preserve">a Política Nacional de Envejecimiento y Adulto Mayor promueve la atención preferencial al adulto mayor según </w:t>
      </w:r>
      <w:r w:rsidR="002C7AEA" w:rsidRPr="003E6B81">
        <w:rPr>
          <w:rFonts w:ascii="Bookman Old Style" w:hAnsi="Bookman Old Style" w:cs="Times New Roman"/>
          <w:sz w:val="24"/>
          <w:szCs w:val="24"/>
        </w:rPr>
        <w:t xml:space="preserve">el ciclo de vida y necesidades, </w:t>
      </w:r>
      <w:r w:rsidRPr="003E6B81">
        <w:rPr>
          <w:rFonts w:ascii="Bookman Old Style" w:hAnsi="Bookman Old Style" w:cs="Times New Roman"/>
          <w:sz w:val="24"/>
          <w:szCs w:val="24"/>
        </w:rPr>
        <w:t>incluyendo la implementación de medidas para el uso y acceso adecuado de los adultos mayores a estos servicios. También fomenta a que las instituciones públicas, organizaciones civiles y el sector privado, implementen programas pertinentes al envejecimiento activo y saludable.</w:t>
      </w:r>
    </w:p>
    <w:p w14:paraId="347211FD" w14:textId="77777777" w:rsidR="0006006E"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Respecto a los datos estadísticos</w:t>
      </w:r>
      <w:r w:rsidR="002C7AEA" w:rsidRPr="003E6B81">
        <w:rPr>
          <w:rFonts w:ascii="Bookman Old Style" w:hAnsi="Bookman Old Style" w:cs="Times New Roman"/>
          <w:sz w:val="24"/>
          <w:szCs w:val="24"/>
        </w:rPr>
        <w:t xml:space="preserve"> desglosados</w:t>
      </w:r>
      <w:r w:rsidR="006C18DB" w:rsidRPr="003E6B81">
        <w:rPr>
          <w:rFonts w:ascii="Bookman Old Style" w:hAnsi="Bookman Old Style" w:cs="Times New Roman"/>
          <w:sz w:val="24"/>
          <w:szCs w:val="24"/>
        </w:rPr>
        <w:t xml:space="preserve"> brindados por el INE</w:t>
      </w:r>
      <w:r w:rsidRPr="003E6B81">
        <w:rPr>
          <w:rFonts w:ascii="Bookman Old Style" w:hAnsi="Bookman Old Style" w:cs="Times New Roman"/>
          <w:sz w:val="24"/>
          <w:szCs w:val="24"/>
        </w:rPr>
        <w:t xml:space="preserve">, las mujeres representan el </w:t>
      </w:r>
      <w:r w:rsidR="006C18DB" w:rsidRPr="003E6B81">
        <w:rPr>
          <w:rFonts w:ascii="Bookman Old Style" w:hAnsi="Bookman Old Style" w:cs="Times New Roman"/>
          <w:sz w:val="24"/>
          <w:szCs w:val="24"/>
        </w:rPr>
        <w:t>51</w:t>
      </w:r>
      <w:r w:rsidRPr="003E6B81">
        <w:rPr>
          <w:rFonts w:ascii="Bookman Old Style" w:hAnsi="Bookman Old Style" w:cs="Times New Roman"/>
          <w:sz w:val="24"/>
          <w:szCs w:val="24"/>
        </w:rPr>
        <w:t>% de la población, su esperanza de vida al nacer es de 80.45 años, superior a la esperanza de vida promedio d</w:t>
      </w:r>
      <w:r w:rsidR="00257D61" w:rsidRPr="003E6B81">
        <w:rPr>
          <w:rFonts w:ascii="Bookman Old Style" w:hAnsi="Bookman Old Style" w:cs="Times New Roman"/>
          <w:sz w:val="24"/>
          <w:szCs w:val="24"/>
        </w:rPr>
        <w:t>e los hombres que es de 73 años, además, las mujeres son quienes experimentan en mayor medida la viudez.</w:t>
      </w:r>
      <w:r w:rsidRPr="003E6B81">
        <w:rPr>
          <w:rFonts w:ascii="Bookman Old Style" w:hAnsi="Bookman Old Style" w:cs="Times New Roman"/>
          <w:sz w:val="24"/>
          <w:szCs w:val="24"/>
        </w:rPr>
        <w:t xml:space="preserve"> </w:t>
      </w:r>
    </w:p>
    <w:p w14:paraId="1728E716" w14:textId="77777777" w:rsidR="005C78A9"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En cuanto a las mujeres mayores de 60 años, estas representan el 5.5% del total de la población, porcentaje mayor que la población de hombres adultos mayores que es de 4.7%. </w:t>
      </w:r>
    </w:p>
    <w:p w14:paraId="1735F81C" w14:textId="5B768022" w:rsidR="0058450A" w:rsidRPr="003E6B81" w:rsidRDefault="005C78A9"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A nivel nacional, la tasa </w:t>
      </w:r>
      <w:r w:rsidR="001D45D7" w:rsidRPr="003E6B81">
        <w:rPr>
          <w:rFonts w:ascii="Bookman Old Style" w:hAnsi="Bookman Old Style" w:cs="Times New Roman"/>
          <w:sz w:val="24"/>
          <w:szCs w:val="24"/>
        </w:rPr>
        <w:t xml:space="preserve">total </w:t>
      </w:r>
      <w:r w:rsidRPr="003E6B81">
        <w:rPr>
          <w:rFonts w:ascii="Bookman Old Style" w:hAnsi="Bookman Old Style" w:cs="Times New Roman"/>
          <w:sz w:val="24"/>
          <w:szCs w:val="24"/>
        </w:rPr>
        <w:t>de analfabetismo</w:t>
      </w:r>
      <w:r w:rsidR="00C07D38" w:rsidRPr="003E6B81">
        <w:rPr>
          <w:rFonts w:ascii="Bookman Old Style" w:hAnsi="Bookman Old Style" w:cs="Times New Roman"/>
          <w:sz w:val="24"/>
          <w:szCs w:val="24"/>
        </w:rPr>
        <w:t xml:space="preserve"> </w:t>
      </w:r>
      <w:r w:rsidRPr="003E6B81">
        <w:rPr>
          <w:rFonts w:ascii="Bookman Old Style" w:hAnsi="Bookman Old Style" w:cs="Times New Roman"/>
          <w:sz w:val="24"/>
          <w:szCs w:val="24"/>
        </w:rPr>
        <w:t xml:space="preserve">es de 11.5, </w:t>
      </w:r>
      <w:r w:rsidR="001D45D7" w:rsidRPr="003E6B81">
        <w:rPr>
          <w:rFonts w:ascii="Bookman Old Style" w:hAnsi="Bookman Old Style" w:cs="Times New Roman"/>
          <w:sz w:val="24"/>
          <w:szCs w:val="24"/>
        </w:rPr>
        <w:t xml:space="preserve">las mujeres en los diferentes grupos </w:t>
      </w:r>
      <w:r w:rsidR="00887069" w:rsidRPr="003E6B81">
        <w:rPr>
          <w:rFonts w:ascii="Bookman Old Style" w:hAnsi="Bookman Old Style" w:cs="Times New Roman"/>
          <w:sz w:val="24"/>
          <w:szCs w:val="24"/>
        </w:rPr>
        <w:t>etarios</w:t>
      </w:r>
      <w:r w:rsidR="001D45D7" w:rsidRPr="003E6B81">
        <w:rPr>
          <w:rFonts w:ascii="Bookman Old Style" w:hAnsi="Bookman Old Style" w:cs="Times New Roman"/>
          <w:sz w:val="24"/>
          <w:szCs w:val="24"/>
        </w:rPr>
        <w:t xml:space="preserve"> presentan una tasa de analfabetismo menor en comparación con los hombres del mismo grupo de edad</w:t>
      </w:r>
      <w:r w:rsidR="00594A40" w:rsidRPr="003E6B81">
        <w:rPr>
          <w:rFonts w:ascii="Bookman Old Style" w:hAnsi="Bookman Old Style" w:cs="Times New Roman"/>
          <w:sz w:val="24"/>
          <w:szCs w:val="24"/>
        </w:rPr>
        <w:t>. S</w:t>
      </w:r>
      <w:r w:rsidRPr="003E6B81">
        <w:rPr>
          <w:rFonts w:ascii="Bookman Old Style" w:hAnsi="Bookman Old Style" w:cs="Times New Roman"/>
          <w:sz w:val="24"/>
          <w:szCs w:val="24"/>
        </w:rPr>
        <w:t>in embargo</w:t>
      </w:r>
      <w:r w:rsidR="001D45D7" w:rsidRPr="003E6B81">
        <w:rPr>
          <w:rFonts w:ascii="Bookman Old Style" w:hAnsi="Bookman Old Style" w:cs="Times New Roman"/>
          <w:sz w:val="24"/>
          <w:szCs w:val="24"/>
        </w:rPr>
        <w:t>, a partir del grupo de 45-59 años y de 60 años y más, esta tendencia se revierte, registrando tasas mayores de analfabetismo</w:t>
      </w:r>
      <w:r w:rsidR="00CC12A3" w:rsidRPr="003E6B81">
        <w:rPr>
          <w:rFonts w:ascii="Bookman Old Style" w:hAnsi="Bookman Old Style" w:cs="Times New Roman"/>
          <w:sz w:val="24"/>
          <w:szCs w:val="24"/>
        </w:rPr>
        <w:t xml:space="preserve"> </w:t>
      </w:r>
      <w:r w:rsidR="001D45D7" w:rsidRPr="003E6B81">
        <w:rPr>
          <w:rFonts w:ascii="Bookman Old Style" w:hAnsi="Bookman Old Style" w:cs="Times New Roman"/>
          <w:sz w:val="24"/>
          <w:szCs w:val="24"/>
        </w:rPr>
        <w:t xml:space="preserve">en </w:t>
      </w:r>
      <w:r w:rsidR="00631B77" w:rsidRPr="003E6B81">
        <w:rPr>
          <w:rFonts w:ascii="Bookman Old Style" w:hAnsi="Bookman Old Style" w:cs="Times New Roman"/>
          <w:sz w:val="24"/>
          <w:szCs w:val="24"/>
        </w:rPr>
        <w:t xml:space="preserve">las mujeres, en </w:t>
      </w:r>
      <w:r w:rsidR="001D45D7" w:rsidRPr="003E6B81">
        <w:rPr>
          <w:rFonts w:ascii="Bookman Old Style" w:hAnsi="Bookman Old Style" w:cs="Times New Roman"/>
          <w:sz w:val="24"/>
          <w:szCs w:val="24"/>
        </w:rPr>
        <w:t>comparación a los hombres y al promedio total. En ese sentido, la tasa de analfabetismo de las mujeres</w:t>
      </w:r>
      <w:r w:rsidR="00631B77" w:rsidRPr="003E6B81">
        <w:rPr>
          <w:rFonts w:ascii="Bookman Old Style" w:hAnsi="Bookman Old Style" w:cs="Times New Roman"/>
          <w:sz w:val="24"/>
          <w:szCs w:val="24"/>
        </w:rPr>
        <w:t xml:space="preserve"> </w:t>
      </w:r>
      <w:r w:rsidR="001D45D7" w:rsidRPr="003E6B81">
        <w:rPr>
          <w:rFonts w:ascii="Bookman Old Style" w:hAnsi="Bookman Old Style" w:cs="Times New Roman"/>
          <w:sz w:val="24"/>
          <w:szCs w:val="24"/>
        </w:rPr>
        <w:t xml:space="preserve">de 45-59 años es de 15.8 y la de hombres de la misma edad es de 13.4; para el grupo de mujeres </w:t>
      </w:r>
      <w:r w:rsidR="00631B77" w:rsidRPr="003E6B81">
        <w:rPr>
          <w:rFonts w:ascii="Bookman Old Style" w:hAnsi="Bookman Old Style" w:cs="Times New Roman"/>
          <w:sz w:val="24"/>
          <w:szCs w:val="24"/>
        </w:rPr>
        <w:t xml:space="preserve">adultas </w:t>
      </w:r>
      <w:r w:rsidR="001D45D7" w:rsidRPr="003E6B81">
        <w:rPr>
          <w:rFonts w:ascii="Bookman Old Style" w:hAnsi="Bookman Old Style" w:cs="Times New Roman"/>
          <w:sz w:val="24"/>
          <w:szCs w:val="24"/>
        </w:rPr>
        <w:t>de 60 años y más</w:t>
      </w:r>
      <w:r w:rsidR="00257D61" w:rsidRPr="003E6B81">
        <w:rPr>
          <w:rFonts w:ascii="Bookman Old Style" w:hAnsi="Bookman Old Style" w:cs="Times New Roman"/>
          <w:sz w:val="24"/>
          <w:szCs w:val="24"/>
        </w:rPr>
        <w:t>,</w:t>
      </w:r>
      <w:r w:rsidR="001D45D7" w:rsidRPr="003E6B81">
        <w:rPr>
          <w:rFonts w:ascii="Bookman Old Style" w:hAnsi="Bookman Old Style" w:cs="Times New Roman"/>
          <w:sz w:val="24"/>
          <w:szCs w:val="24"/>
        </w:rPr>
        <w:t xml:space="preserve"> es de 30.2 y la de hombres es de 26.1. </w:t>
      </w:r>
    </w:p>
    <w:p w14:paraId="0C7BF7BB" w14:textId="77777777" w:rsidR="0058450A" w:rsidRPr="003E6B81" w:rsidRDefault="001D45D7"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 xml:space="preserve">Asimismo, </w:t>
      </w:r>
      <w:r w:rsidR="0058450A" w:rsidRPr="003E6B81">
        <w:rPr>
          <w:rFonts w:ascii="Bookman Old Style" w:hAnsi="Bookman Old Style" w:cs="Times New Roman"/>
          <w:sz w:val="24"/>
          <w:szCs w:val="24"/>
        </w:rPr>
        <w:t xml:space="preserve">las mujeres adultas mayores registran menos </w:t>
      </w:r>
      <w:r w:rsidRPr="003E6B81">
        <w:rPr>
          <w:rFonts w:ascii="Bookman Old Style" w:hAnsi="Bookman Old Style" w:cs="Times New Roman"/>
          <w:sz w:val="24"/>
          <w:szCs w:val="24"/>
        </w:rPr>
        <w:t xml:space="preserve">años de estudio promedio </w:t>
      </w:r>
      <w:r w:rsidR="0058450A" w:rsidRPr="003E6B81">
        <w:rPr>
          <w:rFonts w:ascii="Bookman Old Style" w:hAnsi="Bookman Old Style" w:cs="Times New Roman"/>
          <w:sz w:val="24"/>
          <w:szCs w:val="24"/>
        </w:rPr>
        <w:t xml:space="preserve">respecto al grupo de hombres de la misma edad y al promedio total, para el caso, los años promedio de estudio nacional del adulto mayor es de 6 </w:t>
      </w:r>
      <w:r w:rsidR="0058450A" w:rsidRPr="003E6B81">
        <w:rPr>
          <w:rFonts w:ascii="Bookman Old Style" w:hAnsi="Bookman Old Style" w:cs="Times New Roman"/>
          <w:sz w:val="24"/>
          <w:szCs w:val="24"/>
        </w:rPr>
        <w:lastRenderedPageBreak/>
        <w:t>años, para las mujeres adultas mayores, los años de estudio promedio es de 5.7 y la de los hombres es de 6.3. En el grupo de mujeres de</w:t>
      </w:r>
      <w:r w:rsidRPr="003E6B81">
        <w:rPr>
          <w:rFonts w:ascii="Bookman Old Style" w:hAnsi="Bookman Old Style" w:cs="Times New Roman"/>
          <w:sz w:val="24"/>
          <w:szCs w:val="24"/>
        </w:rPr>
        <w:t xml:space="preserve"> 60-64 años es de</w:t>
      </w:r>
      <w:r w:rsidR="0058450A" w:rsidRPr="003E6B81">
        <w:rPr>
          <w:rFonts w:ascii="Bookman Old Style" w:hAnsi="Bookman Old Style" w:cs="Times New Roman"/>
          <w:sz w:val="24"/>
          <w:szCs w:val="24"/>
        </w:rPr>
        <w:t xml:space="preserve"> 6.1 y la del grupo de hombres de la misma edad es de 6.8 años; el grupo de mujeres de 65 años y más es de 5.6, en cambio, el grupo de los hombres de la misma edad es de 6.1 años.</w:t>
      </w:r>
      <w:r w:rsidR="006C18DB" w:rsidRPr="003E6B81">
        <w:rPr>
          <w:rStyle w:val="FootnoteReference"/>
          <w:rFonts w:ascii="Bookman Old Style" w:hAnsi="Bookman Old Style" w:cs="Times New Roman"/>
          <w:sz w:val="24"/>
          <w:szCs w:val="24"/>
        </w:rPr>
        <w:footnoteReference w:id="6"/>
      </w:r>
      <w:r w:rsidRPr="003E6B81">
        <w:rPr>
          <w:rFonts w:ascii="Bookman Old Style" w:hAnsi="Bookman Old Style" w:cs="Times New Roman"/>
          <w:sz w:val="24"/>
          <w:szCs w:val="24"/>
        </w:rPr>
        <w:t xml:space="preserve"> </w:t>
      </w:r>
      <w:r w:rsidR="006C18DB" w:rsidRPr="003E6B81">
        <w:rPr>
          <w:rFonts w:ascii="Bookman Old Style" w:hAnsi="Bookman Old Style" w:cs="Times New Roman"/>
          <w:sz w:val="24"/>
          <w:szCs w:val="24"/>
        </w:rPr>
        <w:t xml:space="preserve"> </w:t>
      </w:r>
    </w:p>
    <w:p w14:paraId="0ADB8532" w14:textId="77777777" w:rsidR="00257D61" w:rsidRPr="00333D1E" w:rsidRDefault="00257D61" w:rsidP="003E6B81">
      <w:pPr>
        <w:spacing w:line="360" w:lineRule="auto"/>
        <w:ind w:left="-180" w:right="-342"/>
        <w:jc w:val="both"/>
        <w:rPr>
          <w:rFonts w:ascii="Bookman Old Style" w:hAnsi="Bookman Old Style" w:cs="Times New Roman"/>
          <w:sz w:val="24"/>
          <w:szCs w:val="24"/>
        </w:rPr>
      </w:pPr>
      <w:r w:rsidRPr="003E6B81">
        <w:rPr>
          <w:rFonts w:ascii="Bookman Old Style" w:hAnsi="Bookman Old Style" w:cs="Times New Roman"/>
          <w:sz w:val="24"/>
          <w:szCs w:val="24"/>
        </w:rPr>
        <w:t>Según datos de la CEPAL, en Honduras sólo 5.7% de las personas adultas mayores reciben pensión y el 49% mayor de 60 años, no recibe ingresos ni por jubilación o pensión ni por trabajo. De acuerdo con el INE para 2017, 98.5% de personas mayores de 60 años están ocupadas; mayoritariamente (77%) por cuenta propia, lo que indica una muy baja cobertura de la seguridad social. La proporción de adultos mayores de 65 años que se encuentran en relación de dependencia ha aumentado, pasando de 7.2% en 2010 a 9% en 2018. Y representan 7.4% de la población migrante interna, cuyos principales motivos son problemas de salud, familiares y de inseguridad ciudadana.</w:t>
      </w:r>
      <w:r w:rsidRPr="003E6B81">
        <w:rPr>
          <w:rStyle w:val="FootnoteReference"/>
          <w:rFonts w:ascii="Bookman Old Style" w:hAnsi="Bookman Old Style" w:cs="Times New Roman"/>
          <w:sz w:val="24"/>
          <w:szCs w:val="24"/>
        </w:rPr>
        <w:footnoteReference w:id="7"/>
      </w:r>
    </w:p>
    <w:p w14:paraId="229194D9" w14:textId="77777777" w:rsidR="000D3BA1"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Cs/>
          <w:sz w:val="24"/>
          <w:szCs w:val="24"/>
        </w:rPr>
      </w:pPr>
      <w:r w:rsidRPr="00333D1E">
        <w:rPr>
          <w:rFonts w:ascii="Bookman Old Style" w:hAnsi="Bookman Old Style" w:cs="Times New Roman"/>
          <w:b/>
          <w:bCs/>
          <w:sz w:val="24"/>
          <w:szCs w:val="24"/>
        </w:rPr>
        <w:t xml:space="preserve">¿Qué </w:t>
      </w:r>
      <w:r w:rsidRPr="003645FC">
        <w:rPr>
          <w:rStyle w:val="SubtitleChar"/>
        </w:rPr>
        <w:t>formas de discriminación y desigualdad basadas en el género que experimentan las</w:t>
      </w:r>
      <w:r w:rsidR="00D349C1" w:rsidRPr="003645FC">
        <w:rPr>
          <w:rStyle w:val="SubtitleChar"/>
        </w:rPr>
        <w:t xml:space="preserve"> </w:t>
      </w:r>
      <w:r w:rsidRPr="003645FC">
        <w:rPr>
          <w:rStyle w:val="SubtitleChar"/>
        </w:rPr>
        <w:t>mujeres</w:t>
      </w:r>
      <w:r w:rsidRPr="00333D1E">
        <w:rPr>
          <w:rFonts w:ascii="Bookman Old Style" w:hAnsi="Bookman Old Style" w:cs="Times New Roman"/>
          <w:b/>
          <w:bCs/>
          <w:sz w:val="24"/>
          <w:szCs w:val="24"/>
        </w:rPr>
        <w:t xml:space="preserve"> a lo largo del ciclo de vida repercuten especialmente en el disfrute de sus derechos</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humanos en la vejez?</w:t>
      </w:r>
      <w:r w:rsidR="0081589F" w:rsidRPr="00333D1E">
        <w:rPr>
          <w:rFonts w:ascii="Bookman Old Style" w:hAnsi="Bookman Old Style" w:cs="Times New Roman"/>
          <w:b/>
          <w:bCs/>
          <w:sz w:val="24"/>
          <w:szCs w:val="24"/>
        </w:rPr>
        <w:t xml:space="preserve"> </w:t>
      </w:r>
    </w:p>
    <w:p w14:paraId="628BD919" w14:textId="71ADE166" w:rsidR="00202187" w:rsidRPr="00333D1E" w:rsidRDefault="00575FA9" w:rsidP="003E6B81">
      <w:pPr>
        <w:spacing w:line="360" w:lineRule="auto"/>
        <w:ind w:left="-180" w:right="-342"/>
        <w:jc w:val="both"/>
        <w:rPr>
          <w:rFonts w:ascii="Bookman Old Style" w:hAnsi="Bookman Old Style" w:cs="Times New Roman"/>
          <w:bCs/>
          <w:sz w:val="24"/>
          <w:szCs w:val="24"/>
        </w:rPr>
      </w:pPr>
      <w:r>
        <w:rPr>
          <w:rFonts w:ascii="Bookman Old Style" w:hAnsi="Bookman Old Style" w:cs="Times New Roman"/>
          <w:bCs/>
          <w:sz w:val="24"/>
          <w:szCs w:val="24"/>
        </w:rPr>
        <w:t>Ver respuesta anterior, asimismo, l</w:t>
      </w:r>
      <w:r w:rsidR="00202187" w:rsidRPr="00333D1E">
        <w:rPr>
          <w:rFonts w:ascii="Bookman Old Style" w:hAnsi="Bookman Old Style" w:cs="Times New Roman"/>
          <w:bCs/>
          <w:sz w:val="24"/>
          <w:szCs w:val="24"/>
        </w:rPr>
        <w:t>a SEDIS en articulación con la Unidad de G</w:t>
      </w:r>
      <w:r w:rsidR="00737754">
        <w:rPr>
          <w:rFonts w:ascii="Bookman Old Style" w:hAnsi="Bookman Old Style" w:cs="Times New Roman"/>
          <w:bCs/>
          <w:sz w:val="24"/>
          <w:szCs w:val="24"/>
        </w:rPr>
        <w:t>é</w:t>
      </w:r>
      <w:r w:rsidR="00202187" w:rsidRPr="00333D1E">
        <w:rPr>
          <w:rFonts w:ascii="Bookman Old Style" w:hAnsi="Bookman Old Style" w:cs="Times New Roman"/>
          <w:bCs/>
          <w:sz w:val="24"/>
          <w:szCs w:val="24"/>
        </w:rPr>
        <w:t>nero y la DIGAM, trabaja para dar atención a la salud durante el envejecimiento, toma</w:t>
      </w:r>
      <w:r>
        <w:rPr>
          <w:rFonts w:ascii="Bookman Old Style" w:hAnsi="Bookman Old Style" w:cs="Times New Roman"/>
          <w:bCs/>
          <w:sz w:val="24"/>
          <w:szCs w:val="24"/>
        </w:rPr>
        <w:t>ndo</w:t>
      </w:r>
      <w:r w:rsidR="00202187" w:rsidRPr="00333D1E">
        <w:rPr>
          <w:rFonts w:ascii="Bookman Old Style" w:hAnsi="Bookman Old Style" w:cs="Times New Roman"/>
          <w:bCs/>
          <w:sz w:val="24"/>
          <w:szCs w:val="24"/>
        </w:rPr>
        <w:t xml:space="preserve"> en cuenta el género, </w:t>
      </w:r>
      <w:r>
        <w:rPr>
          <w:rFonts w:ascii="Bookman Old Style" w:hAnsi="Bookman Old Style" w:cs="Times New Roman"/>
          <w:bCs/>
          <w:sz w:val="24"/>
          <w:szCs w:val="24"/>
        </w:rPr>
        <w:t>con base en</w:t>
      </w:r>
      <w:r w:rsidR="00202187" w:rsidRPr="00333D1E">
        <w:rPr>
          <w:rFonts w:ascii="Bookman Old Style" w:hAnsi="Bookman Old Style" w:cs="Times New Roman"/>
          <w:bCs/>
          <w:sz w:val="24"/>
          <w:szCs w:val="24"/>
        </w:rPr>
        <w:t xml:space="preserve"> la Ley de Protección Adulto Mayor y Jubilados y la Política Nacional del Adulto Mayor.</w:t>
      </w:r>
    </w:p>
    <w:p w14:paraId="2A146FCC" w14:textId="0CE2A2AE" w:rsidR="0006006E"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¿Ha afectado la </w:t>
      </w:r>
      <w:r w:rsidRPr="003645FC">
        <w:rPr>
          <w:rStyle w:val="SubtitleChar"/>
        </w:rPr>
        <w:t>pandemia del virus COVID-19 a las mujeres de edad</w:t>
      </w:r>
      <w:r w:rsidRPr="00333D1E">
        <w:rPr>
          <w:rFonts w:ascii="Bookman Old Style" w:hAnsi="Bookman Old Style" w:cs="Times New Roman"/>
          <w:b/>
          <w:bCs/>
          <w:sz w:val="24"/>
          <w:szCs w:val="24"/>
        </w:rPr>
        <w:t xml:space="preserve"> de manera diferente que</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a los hombres de edad y de qué manera?</w:t>
      </w:r>
      <w:r w:rsidR="00D80D96" w:rsidRPr="00333D1E">
        <w:rPr>
          <w:rFonts w:ascii="Bookman Old Style" w:hAnsi="Bookman Old Style" w:cs="Times New Roman"/>
          <w:b/>
          <w:bCs/>
          <w:sz w:val="24"/>
          <w:szCs w:val="24"/>
        </w:rPr>
        <w:t xml:space="preserve"> </w:t>
      </w:r>
    </w:p>
    <w:p w14:paraId="6D11A52C" w14:textId="083B3C10" w:rsidR="00D63A00" w:rsidRPr="00333D1E" w:rsidRDefault="00D63A00" w:rsidP="003E6B81">
      <w:pPr>
        <w:spacing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lastRenderedPageBreak/>
        <w:t xml:space="preserve">En el marco de </w:t>
      </w:r>
      <w:r w:rsidR="00F6773A" w:rsidRPr="00333D1E">
        <w:rPr>
          <w:rFonts w:ascii="Bookman Old Style" w:hAnsi="Bookman Old Style" w:cs="Times New Roman"/>
          <w:bCs/>
          <w:sz w:val="24"/>
          <w:szCs w:val="24"/>
          <w:lang w:val="es-419"/>
        </w:rPr>
        <w:t>la</w:t>
      </w:r>
      <w:r w:rsidRPr="00333D1E">
        <w:rPr>
          <w:rFonts w:ascii="Bookman Old Style" w:hAnsi="Bookman Old Style" w:cs="Times New Roman"/>
          <w:bCs/>
          <w:sz w:val="24"/>
          <w:szCs w:val="24"/>
          <w:lang w:val="es-419"/>
        </w:rPr>
        <w:t xml:space="preserve"> emergencia sanitaria señalada por la Organización Mundial de la Salud (OMS)</w:t>
      </w:r>
      <w:r w:rsidR="00F6773A" w:rsidRPr="00333D1E">
        <w:rPr>
          <w:rFonts w:ascii="Bookman Old Style" w:hAnsi="Bookman Old Style" w:cs="Times New Roman"/>
          <w:bCs/>
          <w:sz w:val="24"/>
          <w:szCs w:val="24"/>
          <w:lang w:val="es-419"/>
        </w:rPr>
        <w:t xml:space="preserve">, </w:t>
      </w:r>
      <w:r w:rsidRPr="00333D1E">
        <w:rPr>
          <w:rFonts w:ascii="Bookman Old Style" w:hAnsi="Bookman Old Style" w:cs="Times New Roman"/>
          <w:bCs/>
          <w:sz w:val="24"/>
          <w:szCs w:val="24"/>
          <w:lang w:val="es-419"/>
        </w:rPr>
        <w:t xml:space="preserve">que declara pandemia global </w:t>
      </w:r>
      <w:r w:rsidR="00F6773A" w:rsidRPr="00333D1E">
        <w:rPr>
          <w:rFonts w:ascii="Bookman Old Style" w:hAnsi="Bookman Old Style" w:cs="Times New Roman"/>
          <w:bCs/>
          <w:sz w:val="24"/>
          <w:szCs w:val="24"/>
          <w:lang w:val="es-419"/>
        </w:rPr>
        <w:t xml:space="preserve">el COVID-19 </w:t>
      </w:r>
      <w:r w:rsidRPr="00333D1E">
        <w:rPr>
          <w:rFonts w:ascii="Bookman Old Style" w:hAnsi="Bookman Old Style" w:cs="Times New Roman"/>
          <w:bCs/>
          <w:sz w:val="24"/>
          <w:szCs w:val="24"/>
          <w:lang w:val="es-419"/>
        </w:rPr>
        <w:t xml:space="preserve">y emergencia de salud pública, el Estado de Honduras aprobó el Decreto Ejecutivo No. PCM 021-2020 de fecha 16 de marzo del 2020 que prioriza la atención a grupos </w:t>
      </w:r>
      <w:r w:rsidR="00B32950">
        <w:rPr>
          <w:rFonts w:ascii="Bookman Old Style" w:hAnsi="Bookman Old Style" w:cs="Times New Roman"/>
          <w:bCs/>
          <w:sz w:val="24"/>
          <w:szCs w:val="24"/>
          <w:lang w:val="es-419"/>
        </w:rPr>
        <w:t>en situación de vulnerabilidad</w:t>
      </w:r>
      <w:r w:rsidRPr="00333D1E">
        <w:rPr>
          <w:rFonts w:ascii="Bookman Old Style" w:hAnsi="Bookman Old Style" w:cs="Times New Roman"/>
          <w:bCs/>
          <w:sz w:val="24"/>
          <w:szCs w:val="24"/>
          <w:lang w:val="es-419"/>
        </w:rPr>
        <w:t xml:space="preserve"> como: adulto mayor, personas con discapacidad, iglesias, personas con VIH- SIDA y LGTB. </w:t>
      </w:r>
    </w:p>
    <w:p w14:paraId="58FA6E70" w14:textId="77777777" w:rsidR="00F6773A" w:rsidRPr="00333D1E" w:rsidRDefault="00D63A00" w:rsidP="003E6B81">
      <w:pPr>
        <w:spacing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Desde la detección del primer caso de COVID-19 en marzo de 2020, el país atraviesa una grave crisis, </w:t>
      </w:r>
      <w:r w:rsidR="00F6773A" w:rsidRPr="00333D1E">
        <w:rPr>
          <w:rFonts w:ascii="Bookman Old Style" w:hAnsi="Bookman Old Style" w:cs="Times New Roman"/>
          <w:bCs/>
          <w:sz w:val="24"/>
          <w:szCs w:val="24"/>
          <w:lang w:val="es-419"/>
        </w:rPr>
        <w:t xml:space="preserve">que </w:t>
      </w:r>
      <w:r w:rsidR="00F6773A" w:rsidRPr="00333D1E">
        <w:rPr>
          <w:rFonts w:ascii="Bookman Old Style" w:hAnsi="Bookman Old Style" w:cs="Times New Roman"/>
          <w:bCs/>
          <w:sz w:val="24"/>
          <w:szCs w:val="24"/>
        </w:rPr>
        <w:t>ha afectado de manera diferente a la población y las mujeres de edad avanzada no son la excepción,</w:t>
      </w:r>
      <w:r w:rsidR="00F6773A" w:rsidRPr="00333D1E">
        <w:rPr>
          <w:rFonts w:ascii="Bookman Old Style" w:hAnsi="Bookman Old Style" w:cs="Times New Roman"/>
          <w:bCs/>
          <w:sz w:val="24"/>
          <w:szCs w:val="24"/>
          <w:lang w:val="es-419"/>
        </w:rPr>
        <w:t xml:space="preserve"> a esto se suma</w:t>
      </w:r>
      <w:r w:rsidRPr="00333D1E">
        <w:rPr>
          <w:rFonts w:ascii="Bookman Old Style" w:hAnsi="Bookman Old Style" w:cs="Times New Roman"/>
          <w:bCs/>
          <w:sz w:val="24"/>
          <w:szCs w:val="24"/>
          <w:lang w:val="es-419"/>
        </w:rPr>
        <w:t xml:space="preserve"> los desastres naturales productos de las tormentas tropicales ETA e IOTA que afectaron severamente gran parte del territorio nacional, en noviembre de 2020. Ambos fenómenos tropicales afectaron a 4.5 millones de personas entre ellas personas adultas mayores</w:t>
      </w:r>
      <w:r w:rsidR="00F6773A" w:rsidRPr="00333D1E">
        <w:rPr>
          <w:rFonts w:ascii="Bookman Old Style" w:hAnsi="Bookman Old Style" w:cs="Times New Roman"/>
          <w:bCs/>
          <w:sz w:val="24"/>
          <w:szCs w:val="24"/>
          <w:lang w:val="es-419"/>
        </w:rPr>
        <w:t>.</w:t>
      </w:r>
    </w:p>
    <w:p w14:paraId="1A6B966E" w14:textId="77777777" w:rsidR="00F6773A" w:rsidRPr="00333D1E" w:rsidRDefault="00F6773A" w:rsidP="003E6B81">
      <w:pPr>
        <w:spacing w:after="0" w:line="360" w:lineRule="auto"/>
        <w:ind w:left="-180" w:right="-342"/>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P</w:t>
      </w:r>
      <w:r w:rsidR="00D63A00" w:rsidRPr="00333D1E">
        <w:rPr>
          <w:rFonts w:ascii="Bookman Old Style" w:hAnsi="Bookman Old Style" w:cs="Times New Roman"/>
          <w:bCs/>
          <w:sz w:val="24"/>
          <w:szCs w:val="24"/>
          <w:lang w:val="es-419"/>
        </w:rPr>
        <w:t xml:space="preserve">ara brindar atención y asistencia a las personas </w:t>
      </w:r>
      <w:r w:rsidRPr="00333D1E">
        <w:rPr>
          <w:rFonts w:ascii="Bookman Old Style" w:hAnsi="Bookman Old Style" w:cs="Times New Roman"/>
          <w:bCs/>
          <w:sz w:val="24"/>
          <w:szCs w:val="24"/>
          <w:lang w:val="es-419"/>
        </w:rPr>
        <w:t xml:space="preserve">más </w:t>
      </w:r>
      <w:r w:rsidR="00D63A00" w:rsidRPr="00333D1E">
        <w:rPr>
          <w:rFonts w:ascii="Bookman Old Style" w:hAnsi="Bookman Old Style" w:cs="Times New Roman"/>
          <w:bCs/>
          <w:sz w:val="24"/>
          <w:szCs w:val="24"/>
          <w:lang w:val="es-419"/>
        </w:rPr>
        <w:t>afectadas</w:t>
      </w:r>
      <w:r w:rsidRPr="00333D1E">
        <w:rPr>
          <w:rFonts w:ascii="Bookman Old Style" w:hAnsi="Bookman Old Style" w:cs="Times New Roman"/>
          <w:bCs/>
          <w:sz w:val="24"/>
          <w:szCs w:val="24"/>
          <w:lang w:val="es-419"/>
        </w:rPr>
        <w:t xml:space="preserve"> se implementaron las siguientes medidas:</w:t>
      </w:r>
    </w:p>
    <w:p w14:paraId="2C76C856" w14:textId="7777777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Se elaboró la Estrategia de Atención para la Prevención y Contención de la Pandemia del Coronavirus (COVI</w:t>
      </w:r>
      <w:r w:rsidR="009619AD" w:rsidRPr="00333D1E">
        <w:rPr>
          <w:rFonts w:ascii="Bookman Old Style" w:hAnsi="Bookman Old Style" w:cs="Times New Roman"/>
          <w:bCs/>
          <w:sz w:val="24"/>
          <w:szCs w:val="24"/>
          <w:lang w:val="es-419"/>
        </w:rPr>
        <w:t>D-19) en los Grupos Vulnerables</w:t>
      </w:r>
      <w:r w:rsidRPr="00333D1E">
        <w:rPr>
          <w:rFonts w:ascii="Bookman Old Style" w:hAnsi="Bookman Old Style" w:cs="Times New Roman"/>
          <w:bCs/>
          <w:sz w:val="24"/>
          <w:szCs w:val="24"/>
          <w:lang w:val="es-419"/>
        </w:rPr>
        <w:t>, plan iniciado el día 16 de marzo con la priorización a los centros de cuidados integral para el adulto mayor y personas con discapacidad a nivel nacional proporcionando servicios integrales como el abastecimiento de alimento, insumos, kit de intervención, técnica, logística y médica, así mismo la entrega periódica de ración de alimento solidario a los grupos priorizados como ser los adultos mayores, personas con discapacidad, vulnerables en situación de riesgo y comunidades de pueblos indígenas y afro hondureños</w:t>
      </w:r>
      <w:r w:rsidRPr="00333D1E">
        <w:rPr>
          <w:rStyle w:val="FootnoteReference"/>
          <w:rFonts w:ascii="Bookman Old Style" w:hAnsi="Bookman Old Style" w:cs="Times New Roman"/>
          <w:bCs/>
          <w:sz w:val="24"/>
          <w:szCs w:val="24"/>
          <w:lang w:val="es-419"/>
        </w:rPr>
        <w:footnoteReference w:id="8"/>
      </w:r>
      <w:r w:rsidR="009619AD" w:rsidRPr="00333D1E">
        <w:rPr>
          <w:rFonts w:ascii="Bookman Old Style" w:hAnsi="Bookman Old Style" w:cs="Times New Roman"/>
          <w:bCs/>
          <w:sz w:val="24"/>
          <w:szCs w:val="24"/>
          <w:lang w:val="es-419"/>
        </w:rPr>
        <w:t>.</w:t>
      </w:r>
    </w:p>
    <w:p w14:paraId="63F064EE" w14:textId="76739B5C" w:rsidR="009619AD" w:rsidRPr="00333D1E" w:rsidRDefault="009619AD"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Se elaboró el Manual de Abordaje Comunitario con Enfoque Domiciliar Visita Casa a Casa, es una estrategia de abordaje comunitario de apoyo a los adultos </w:t>
      </w:r>
      <w:r w:rsidRPr="00333D1E">
        <w:rPr>
          <w:rFonts w:ascii="Bookman Old Style" w:hAnsi="Bookman Old Style" w:cs="Times New Roman"/>
          <w:bCs/>
          <w:sz w:val="24"/>
          <w:szCs w:val="24"/>
          <w:lang w:val="es-419"/>
        </w:rPr>
        <w:lastRenderedPageBreak/>
        <w:t>mayores participantes de los progr</w:t>
      </w:r>
      <w:r w:rsidR="002E4643">
        <w:rPr>
          <w:rFonts w:ascii="Bookman Old Style" w:hAnsi="Bookman Old Style" w:cs="Times New Roman"/>
          <w:bCs/>
          <w:sz w:val="24"/>
          <w:szCs w:val="24"/>
          <w:lang w:val="es-419"/>
        </w:rPr>
        <w:t>amas y proyectos de la Secretarí</w:t>
      </w:r>
      <w:r w:rsidRPr="00333D1E">
        <w:rPr>
          <w:rFonts w:ascii="Bookman Old Style" w:hAnsi="Bookman Old Style" w:cs="Times New Roman"/>
          <w:bCs/>
          <w:sz w:val="24"/>
          <w:szCs w:val="24"/>
          <w:lang w:val="es-419"/>
        </w:rPr>
        <w:t xml:space="preserve">a de Desarrollo e </w:t>
      </w:r>
      <w:r w:rsidR="00914151">
        <w:rPr>
          <w:rFonts w:ascii="Bookman Old Style" w:hAnsi="Bookman Old Style" w:cs="Times New Roman"/>
          <w:bCs/>
          <w:sz w:val="24"/>
          <w:szCs w:val="24"/>
          <w:lang w:val="es-419"/>
        </w:rPr>
        <w:t>I</w:t>
      </w:r>
      <w:r w:rsidRPr="00333D1E">
        <w:rPr>
          <w:rFonts w:ascii="Bookman Old Style" w:hAnsi="Bookman Old Style" w:cs="Times New Roman"/>
          <w:bCs/>
          <w:sz w:val="24"/>
          <w:szCs w:val="24"/>
          <w:lang w:val="es-419"/>
        </w:rPr>
        <w:t xml:space="preserve">nclusión </w:t>
      </w:r>
      <w:r w:rsidR="00914151">
        <w:rPr>
          <w:rFonts w:ascii="Bookman Old Style" w:hAnsi="Bookman Old Style" w:cs="Times New Roman"/>
          <w:bCs/>
          <w:sz w:val="24"/>
          <w:szCs w:val="24"/>
          <w:lang w:val="es-419"/>
        </w:rPr>
        <w:t>S</w:t>
      </w:r>
      <w:r w:rsidRPr="00333D1E">
        <w:rPr>
          <w:rFonts w:ascii="Bookman Old Style" w:hAnsi="Bookman Old Style" w:cs="Times New Roman"/>
          <w:bCs/>
          <w:sz w:val="24"/>
          <w:szCs w:val="24"/>
          <w:lang w:val="es-419"/>
        </w:rPr>
        <w:t xml:space="preserve">ocial en torno a la pandemia causada por el </w:t>
      </w:r>
      <w:r w:rsidR="00914151">
        <w:rPr>
          <w:rFonts w:ascii="Bookman Old Style" w:hAnsi="Bookman Old Style" w:cs="Times New Roman"/>
          <w:bCs/>
          <w:sz w:val="24"/>
          <w:szCs w:val="24"/>
          <w:lang w:val="es-419"/>
        </w:rPr>
        <w:t>C</w:t>
      </w:r>
      <w:r w:rsidRPr="00333D1E">
        <w:rPr>
          <w:rFonts w:ascii="Bookman Old Style" w:hAnsi="Bookman Old Style" w:cs="Times New Roman"/>
          <w:bCs/>
          <w:sz w:val="24"/>
          <w:szCs w:val="24"/>
          <w:lang w:val="es-419"/>
        </w:rPr>
        <w:t>OVID–19 en Honduras. Este contempla 3 componentes: Monitoreo, Educativo, Salud Mental. El componente educativo tiene un enfoque preventivo del</w:t>
      </w:r>
      <w:r w:rsidR="00914151">
        <w:rPr>
          <w:rFonts w:ascii="Bookman Old Style" w:hAnsi="Bookman Old Style" w:cs="Times New Roman"/>
          <w:bCs/>
          <w:sz w:val="24"/>
          <w:szCs w:val="24"/>
          <w:lang w:val="es-419"/>
        </w:rPr>
        <w:t xml:space="preserve"> </w:t>
      </w:r>
      <w:r w:rsidRPr="00333D1E">
        <w:rPr>
          <w:rFonts w:ascii="Bookman Old Style" w:hAnsi="Bookman Old Style" w:cs="Times New Roman"/>
          <w:bCs/>
          <w:sz w:val="24"/>
          <w:szCs w:val="24"/>
          <w:lang w:val="es-419"/>
        </w:rPr>
        <w:t>COVID-19 y aborda el estigma social y la discriminación ya que afecta de manera negativa a las personas adultas mayores y sus derechos</w:t>
      </w:r>
      <w:r w:rsidRPr="00333D1E">
        <w:rPr>
          <w:rStyle w:val="FootnoteReference"/>
          <w:rFonts w:ascii="Bookman Old Style" w:hAnsi="Bookman Old Style" w:cs="Times New Roman"/>
          <w:bCs/>
          <w:sz w:val="24"/>
          <w:szCs w:val="24"/>
          <w:lang w:val="es-419"/>
        </w:rPr>
        <w:footnoteReference w:id="9"/>
      </w:r>
      <w:r w:rsidRPr="00333D1E">
        <w:rPr>
          <w:rFonts w:ascii="Bookman Old Style" w:hAnsi="Bookman Old Style" w:cs="Times New Roman"/>
          <w:bCs/>
          <w:sz w:val="24"/>
          <w:szCs w:val="24"/>
          <w:lang w:val="es-419"/>
        </w:rPr>
        <w:t>.</w:t>
      </w:r>
    </w:p>
    <w:p w14:paraId="185CE890" w14:textId="40CE54BE" w:rsidR="00032246"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SEDIS brindó la entrega masiva de sacos de alimentos a través del Programa </w:t>
      </w:r>
      <w:r w:rsidRPr="009F6CAB">
        <w:rPr>
          <w:rFonts w:ascii="Bookman Old Style" w:hAnsi="Bookman Old Style" w:cs="Times New Roman"/>
          <w:bCs/>
          <w:i/>
          <w:iCs/>
          <w:sz w:val="24"/>
          <w:szCs w:val="24"/>
          <w:lang w:val="es-419"/>
        </w:rPr>
        <w:t>“Honduras Solidaria COVID-19”</w:t>
      </w:r>
      <w:r w:rsidRPr="00333D1E">
        <w:rPr>
          <w:rFonts w:ascii="Bookman Old Style" w:hAnsi="Bookman Old Style" w:cs="Times New Roman"/>
          <w:bCs/>
          <w:sz w:val="24"/>
          <w:szCs w:val="24"/>
          <w:lang w:val="es-419"/>
        </w:rPr>
        <w:t xml:space="preserve"> a diferentes familias de extrema pobreza y pobreza relativa, grupos</w:t>
      </w:r>
      <w:r w:rsidR="009F6CAB">
        <w:rPr>
          <w:rFonts w:ascii="Bookman Old Style" w:hAnsi="Bookman Old Style" w:cs="Times New Roman"/>
          <w:bCs/>
          <w:sz w:val="24"/>
          <w:szCs w:val="24"/>
          <w:lang w:val="es-419"/>
        </w:rPr>
        <w:t xml:space="preserve"> en situación de vulnerabilidad</w:t>
      </w:r>
      <w:r w:rsidRPr="00333D1E">
        <w:rPr>
          <w:rFonts w:ascii="Bookman Old Style" w:hAnsi="Bookman Old Style" w:cs="Times New Roman"/>
          <w:bCs/>
          <w:sz w:val="24"/>
          <w:szCs w:val="24"/>
          <w:lang w:val="es-419"/>
        </w:rPr>
        <w:t xml:space="preserve"> del país durante el período de la Emergencia. </w:t>
      </w:r>
    </w:p>
    <w:p w14:paraId="3F529795" w14:textId="77777777" w:rsidR="00032246" w:rsidRPr="00333D1E" w:rsidRDefault="00032246"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eastAsia="Times New Roman" w:hAnsi="Bookman Old Style" w:cs="Times New Roman"/>
          <w:bCs/>
          <w:sz w:val="24"/>
          <w:szCs w:val="24"/>
          <w:lang w:val="es-419" w:eastAsia="es-HN"/>
        </w:rPr>
        <w:t>Se realizaron visitas domiciliarias a hogares de adultos mayores en situación de vulnerabilidad y se les hizo entrega de alimento solidario ya que a raíz de la situación de emergencia en que se encuentra el país a raíz del COVID-19 no es recomendable su movilización para adquirir alimentos con la actividad de entrega de alimento solidario se beneficiaron a 21,080 adultos mayores</w:t>
      </w:r>
      <w:r w:rsidRPr="00333D1E">
        <w:rPr>
          <w:rStyle w:val="FootnoteReference"/>
          <w:rFonts w:ascii="Bookman Old Style" w:hAnsi="Bookman Old Style" w:cs="Times New Roman"/>
          <w:bCs/>
          <w:sz w:val="24"/>
          <w:szCs w:val="24"/>
          <w:lang w:val="es-419"/>
        </w:rPr>
        <w:footnoteReference w:id="10"/>
      </w:r>
      <w:r w:rsidRPr="00333D1E">
        <w:rPr>
          <w:rFonts w:ascii="Bookman Old Style" w:eastAsia="Times New Roman" w:hAnsi="Bookman Old Style" w:cs="Times New Roman"/>
          <w:bCs/>
          <w:sz w:val="24"/>
          <w:szCs w:val="24"/>
          <w:lang w:val="es-419" w:eastAsia="es-HN"/>
        </w:rPr>
        <w:t>.</w:t>
      </w:r>
    </w:p>
    <w:p w14:paraId="5E8DFC9A" w14:textId="138E7703"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Por medio del Programas “Guías de Familia”, se realizó la entrega de mascarillas</w:t>
      </w:r>
      <w:r w:rsidR="00C5729B">
        <w:rPr>
          <w:rFonts w:ascii="Bookman Old Style" w:hAnsi="Bookman Old Style" w:cs="Times New Roman"/>
          <w:bCs/>
          <w:sz w:val="24"/>
          <w:szCs w:val="24"/>
          <w:lang w:val="es-419"/>
        </w:rPr>
        <w:t xml:space="preserve"> a personas con discapacidad,</w:t>
      </w:r>
      <w:r w:rsidRPr="00333D1E">
        <w:rPr>
          <w:rFonts w:ascii="Bookman Old Style" w:hAnsi="Bookman Old Style" w:cs="Times New Roman"/>
          <w:bCs/>
          <w:sz w:val="24"/>
          <w:szCs w:val="24"/>
          <w:lang w:val="es-419"/>
        </w:rPr>
        <w:t xml:space="preserve"> adulto mayor y población general.</w:t>
      </w:r>
      <w:r w:rsidR="00981832">
        <w:rPr>
          <w:rFonts w:ascii="Bookman Old Style" w:hAnsi="Bookman Old Style" w:cs="Times New Roman"/>
          <w:bCs/>
          <w:sz w:val="24"/>
          <w:szCs w:val="24"/>
          <w:lang w:val="es-419"/>
        </w:rPr>
        <w:t xml:space="preserve"> Durante </w:t>
      </w:r>
      <w:r w:rsidR="0022365E">
        <w:rPr>
          <w:rFonts w:ascii="Bookman Old Style" w:hAnsi="Bookman Old Style" w:cs="Times New Roman"/>
          <w:bCs/>
          <w:sz w:val="24"/>
          <w:szCs w:val="24"/>
          <w:lang w:val="es-419"/>
        </w:rPr>
        <w:t>la</w:t>
      </w:r>
      <w:r w:rsidR="0022365E" w:rsidRPr="00333D1E">
        <w:rPr>
          <w:rFonts w:ascii="Bookman Old Style" w:hAnsi="Bookman Old Style" w:cs="Times New Roman"/>
          <w:bCs/>
          <w:sz w:val="24"/>
          <w:szCs w:val="24"/>
          <w:lang w:val="es-419"/>
        </w:rPr>
        <w:t>s tormentas</w:t>
      </w:r>
      <w:r w:rsidR="00981832">
        <w:rPr>
          <w:rFonts w:ascii="Bookman Old Style" w:hAnsi="Bookman Old Style" w:cs="Times New Roman"/>
          <w:bCs/>
          <w:sz w:val="24"/>
          <w:szCs w:val="24"/>
          <w:lang w:val="es-419"/>
        </w:rPr>
        <w:t>,</w:t>
      </w:r>
      <w:r w:rsidRPr="00333D1E">
        <w:rPr>
          <w:rFonts w:ascii="Bookman Old Style" w:hAnsi="Bookman Old Style" w:cs="Times New Roman"/>
          <w:bCs/>
          <w:sz w:val="24"/>
          <w:szCs w:val="24"/>
          <w:lang w:val="es-419"/>
        </w:rPr>
        <w:t xml:space="preserve"> se implementó la Operación No Están Solos, mediante la cual se entregaron kits humanitarios a 60.000 familias afectadas (400.000 personas) que incluyen implementos de higiene y aseo, de bebé, de hogar y de cocina, con una inversión de 960 millones de lempiras</w:t>
      </w:r>
      <w:r w:rsidRPr="00333D1E">
        <w:rPr>
          <w:rFonts w:ascii="Bookman Old Style" w:hAnsi="Bookman Old Style"/>
          <w:vertAlign w:val="superscript"/>
          <w:lang w:val="es-419"/>
        </w:rPr>
        <w:footnoteReference w:id="11"/>
      </w:r>
      <w:r w:rsidRPr="00333D1E">
        <w:rPr>
          <w:rFonts w:ascii="Bookman Old Style" w:hAnsi="Bookman Old Style" w:cs="Times New Roman"/>
          <w:bCs/>
          <w:sz w:val="24"/>
          <w:szCs w:val="24"/>
          <w:lang w:val="es-419"/>
        </w:rPr>
        <w:t>.</w:t>
      </w:r>
    </w:p>
    <w:p w14:paraId="0820991C" w14:textId="72FAD0B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 xml:space="preserve">En el marco de la Operación Todos con Mascarilla, Guías de Familia de la SEDIS realizó la entrega de 1,186,015 a la población, </w:t>
      </w:r>
      <w:r w:rsidR="009619AD" w:rsidRPr="00333D1E">
        <w:rPr>
          <w:rFonts w:ascii="Bookman Old Style" w:hAnsi="Bookman Old Style" w:cs="Times New Roman"/>
          <w:bCs/>
          <w:sz w:val="24"/>
          <w:szCs w:val="24"/>
          <w:lang w:val="es-419"/>
        </w:rPr>
        <w:t>incluidos</w:t>
      </w:r>
      <w:r w:rsidR="00083227">
        <w:rPr>
          <w:rFonts w:ascii="Bookman Old Style" w:hAnsi="Bookman Old Style" w:cs="Times New Roman"/>
          <w:bCs/>
          <w:sz w:val="24"/>
          <w:szCs w:val="24"/>
          <w:lang w:val="es-419"/>
        </w:rPr>
        <w:t xml:space="preserve"> las</w:t>
      </w:r>
      <w:r w:rsidRPr="00333D1E">
        <w:rPr>
          <w:rFonts w:ascii="Bookman Old Style" w:hAnsi="Bookman Old Style" w:cs="Times New Roman"/>
          <w:bCs/>
          <w:sz w:val="24"/>
          <w:szCs w:val="24"/>
          <w:lang w:val="es-419"/>
        </w:rPr>
        <w:t xml:space="preserve"> </w:t>
      </w:r>
      <w:r w:rsidR="00083227">
        <w:rPr>
          <w:rFonts w:ascii="Bookman Old Style" w:hAnsi="Bookman Old Style" w:cs="Times New Roman"/>
          <w:bCs/>
          <w:sz w:val="24"/>
          <w:szCs w:val="24"/>
          <w:lang w:val="es-419"/>
        </w:rPr>
        <w:t xml:space="preserve">personas </w:t>
      </w:r>
      <w:r w:rsidRPr="00333D1E">
        <w:rPr>
          <w:rFonts w:ascii="Bookman Old Style" w:hAnsi="Bookman Old Style" w:cs="Times New Roman"/>
          <w:bCs/>
          <w:sz w:val="24"/>
          <w:szCs w:val="24"/>
          <w:lang w:val="es-419"/>
        </w:rPr>
        <w:t>mayores.  Además, se entregó material de biosegur</w:t>
      </w:r>
      <w:r w:rsidR="009619AD" w:rsidRPr="00333D1E">
        <w:rPr>
          <w:rFonts w:ascii="Bookman Old Style" w:hAnsi="Bookman Old Style" w:cs="Times New Roman"/>
          <w:bCs/>
          <w:sz w:val="24"/>
          <w:szCs w:val="24"/>
          <w:lang w:val="es-419"/>
        </w:rPr>
        <w:t>idad para prevenir la COVID-19.</w:t>
      </w:r>
    </w:p>
    <w:p w14:paraId="659E6FA2" w14:textId="6237A210"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lastRenderedPageBreak/>
        <w:t>De un remanente de la línea presupuestaria de Guías de Familia y Mejores Familias de año</w:t>
      </w:r>
      <w:r w:rsidR="00032246" w:rsidRPr="00333D1E">
        <w:rPr>
          <w:rFonts w:ascii="Bookman Old Style" w:hAnsi="Bookman Old Style" w:cs="Times New Roman"/>
          <w:bCs/>
          <w:sz w:val="24"/>
          <w:szCs w:val="24"/>
          <w:lang w:val="es-419"/>
        </w:rPr>
        <w:t>s anteriores</w:t>
      </w:r>
      <w:r w:rsidR="001F161F">
        <w:rPr>
          <w:rFonts w:ascii="Bookman Old Style" w:hAnsi="Bookman Old Style" w:cs="Times New Roman"/>
          <w:bCs/>
          <w:sz w:val="24"/>
          <w:szCs w:val="24"/>
          <w:lang w:val="es-419"/>
        </w:rPr>
        <w:t>,</w:t>
      </w:r>
      <w:r w:rsidR="00032246" w:rsidRPr="00333D1E">
        <w:rPr>
          <w:rFonts w:ascii="Bookman Old Style" w:hAnsi="Bookman Old Style" w:cs="Times New Roman"/>
          <w:bCs/>
          <w:sz w:val="24"/>
          <w:szCs w:val="24"/>
          <w:lang w:val="es-419"/>
        </w:rPr>
        <w:t xml:space="preserve"> se transfirió L 10 millones</w:t>
      </w:r>
      <w:r w:rsidRPr="00333D1E">
        <w:rPr>
          <w:rFonts w:ascii="Bookman Old Style" w:hAnsi="Bookman Old Style" w:cs="Times New Roman"/>
          <w:bCs/>
          <w:sz w:val="24"/>
          <w:szCs w:val="24"/>
          <w:lang w:val="es-419"/>
        </w:rPr>
        <w:t xml:space="preserve"> al programa de atenciones a grupos vulnerables para el proyecto de Comida Caliente además se trasfirieron L. 24,788,279.88 para a la línea Bolsa Solidaria Adulto Mayor</w:t>
      </w:r>
      <w:r w:rsidR="009619AD" w:rsidRPr="00333D1E">
        <w:rPr>
          <w:rStyle w:val="FootnoteReference"/>
          <w:rFonts w:ascii="Bookman Old Style" w:hAnsi="Bookman Old Style" w:cs="Times New Roman"/>
          <w:bCs/>
          <w:sz w:val="24"/>
          <w:szCs w:val="24"/>
          <w:lang w:val="es-419"/>
        </w:rPr>
        <w:footnoteReference w:id="12"/>
      </w:r>
      <w:r w:rsidR="009619AD" w:rsidRPr="00333D1E">
        <w:rPr>
          <w:rFonts w:ascii="Bookman Old Style" w:hAnsi="Bookman Old Style" w:cs="Times New Roman"/>
          <w:bCs/>
          <w:sz w:val="24"/>
          <w:szCs w:val="24"/>
          <w:lang w:val="es-419"/>
        </w:rPr>
        <w:t>.</w:t>
      </w:r>
    </w:p>
    <w:p w14:paraId="0A2D76FE" w14:textId="28DC4F18"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Durante</w:t>
      </w:r>
      <w:r w:rsidR="009619AD" w:rsidRPr="00333D1E">
        <w:rPr>
          <w:rFonts w:ascii="Bookman Old Style" w:hAnsi="Bookman Old Style" w:cs="Times New Roman"/>
          <w:bCs/>
          <w:sz w:val="24"/>
          <w:szCs w:val="24"/>
          <w:lang w:val="es-419"/>
        </w:rPr>
        <w:t xml:space="preserve"> el IV t</w:t>
      </w:r>
      <w:r w:rsidRPr="00333D1E">
        <w:rPr>
          <w:rFonts w:ascii="Bookman Old Style" w:hAnsi="Bookman Old Style" w:cs="Times New Roman"/>
          <w:bCs/>
          <w:sz w:val="24"/>
          <w:szCs w:val="24"/>
          <w:lang w:val="es-419"/>
        </w:rPr>
        <w:t>rimestre</w:t>
      </w:r>
      <w:r w:rsidR="009619AD" w:rsidRPr="00333D1E">
        <w:rPr>
          <w:rFonts w:ascii="Bookman Old Style" w:hAnsi="Bookman Old Style" w:cs="Times New Roman"/>
          <w:bCs/>
          <w:sz w:val="24"/>
          <w:szCs w:val="24"/>
          <w:lang w:val="es-419"/>
        </w:rPr>
        <w:t xml:space="preserve"> comprendido en los</w:t>
      </w:r>
      <w:r w:rsidRPr="00333D1E">
        <w:rPr>
          <w:rFonts w:ascii="Bookman Old Style" w:hAnsi="Bookman Old Style" w:cs="Times New Roman"/>
          <w:bCs/>
          <w:sz w:val="24"/>
          <w:szCs w:val="24"/>
          <w:lang w:val="es-419"/>
        </w:rPr>
        <w:t xml:space="preserve"> meses de octubre a diciembre del </w:t>
      </w:r>
      <w:r w:rsidR="009619AD" w:rsidRPr="00333D1E">
        <w:rPr>
          <w:rFonts w:ascii="Bookman Old Style" w:hAnsi="Bookman Old Style" w:cs="Times New Roman"/>
          <w:bCs/>
          <w:sz w:val="24"/>
          <w:szCs w:val="24"/>
          <w:lang w:val="es-419"/>
        </w:rPr>
        <w:t>2020,</w:t>
      </w:r>
      <w:r w:rsidRPr="00333D1E">
        <w:rPr>
          <w:rFonts w:ascii="Bookman Old Style" w:hAnsi="Bookman Old Style" w:cs="Times New Roman"/>
          <w:bCs/>
          <w:sz w:val="24"/>
          <w:szCs w:val="24"/>
          <w:lang w:val="es-419"/>
        </w:rPr>
        <w:t xml:space="preserve"> fue priorizado el grupo de personas en vulnerabilidad y riesgo social con la entrega de la ración de Alimento Solidario por su condición de afectadas por las tormentas tropicales ETA e IOTA, situación que provoc</w:t>
      </w:r>
      <w:r w:rsidR="00254A48">
        <w:rPr>
          <w:rFonts w:ascii="Bookman Old Style" w:hAnsi="Bookman Old Style" w:cs="Times New Roman"/>
          <w:bCs/>
          <w:sz w:val="24"/>
          <w:szCs w:val="24"/>
          <w:lang w:val="es-419"/>
        </w:rPr>
        <w:t xml:space="preserve">ó </w:t>
      </w:r>
      <w:r w:rsidRPr="00333D1E">
        <w:rPr>
          <w:rFonts w:ascii="Bookman Old Style" w:hAnsi="Bookman Old Style" w:cs="Times New Roman"/>
          <w:bCs/>
          <w:sz w:val="24"/>
          <w:szCs w:val="24"/>
          <w:lang w:val="es-419"/>
        </w:rPr>
        <w:t xml:space="preserve">el incremento el número de participantes beneficiados con al menos una ración de alimento solidario y se disminuyó la periodicidad de entrega a los demás grupos focalizados e identificados. </w:t>
      </w:r>
    </w:p>
    <w:p w14:paraId="0D3A9949" w14:textId="77777777" w:rsidR="009619AD" w:rsidRPr="00333D1E" w:rsidRDefault="00F6773A"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El Programa Alimento Solidario para Grupos Vulnerables al cierre del año 2020 benefició un total aproximado de 2</w:t>
      </w:r>
      <w:r w:rsidR="009619AD" w:rsidRPr="00333D1E">
        <w:rPr>
          <w:rFonts w:ascii="Bookman Old Style" w:hAnsi="Bookman Old Style" w:cs="Times New Roman"/>
          <w:bCs/>
          <w:sz w:val="24"/>
          <w:szCs w:val="24"/>
          <w:lang w:val="es-419"/>
        </w:rPr>
        <w:t>18,417 familias/ participantes</w:t>
      </w:r>
      <w:r w:rsidR="009619AD" w:rsidRPr="00333D1E">
        <w:rPr>
          <w:rStyle w:val="FootnoteReference"/>
          <w:rFonts w:ascii="Bookman Old Style" w:hAnsi="Bookman Old Style" w:cs="Times New Roman"/>
          <w:bCs/>
          <w:sz w:val="24"/>
          <w:szCs w:val="24"/>
          <w:lang w:val="es-419"/>
        </w:rPr>
        <w:footnoteReference w:id="13"/>
      </w:r>
      <w:r w:rsidR="009619AD" w:rsidRPr="00333D1E">
        <w:rPr>
          <w:rFonts w:ascii="Bookman Old Style" w:hAnsi="Bookman Old Style" w:cs="Times New Roman"/>
          <w:bCs/>
          <w:sz w:val="24"/>
          <w:szCs w:val="24"/>
          <w:lang w:val="es-419"/>
        </w:rPr>
        <w:t>.</w:t>
      </w:r>
    </w:p>
    <w:p w14:paraId="1C17430A" w14:textId="77777777" w:rsidR="009619AD" w:rsidRPr="006539A8" w:rsidRDefault="00D63A00" w:rsidP="003E6B81">
      <w:pPr>
        <w:pStyle w:val="ListParagraph"/>
        <w:numPr>
          <w:ilvl w:val="0"/>
          <w:numId w:val="24"/>
        </w:numPr>
        <w:spacing w:line="360" w:lineRule="auto"/>
        <w:ind w:left="-180" w:right="-342" w:firstLine="0"/>
        <w:jc w:val="both"/>
        <w:rPr>
          <w:rFonts w:ascii="Bookman Old Style" w:hAnsi="Bookman Old Style" w:cs="Times New Roman"/>
          <w:bCs/>
          <w:sz w:val="24"/>
          <w:szCs w:val="24"/>
          <w:lang w:val="es-419"/>
        </w:rPr>
      </w:pPr>
      <w:r w:rsidRPr="00333D1E">
        <w:rPr>
          <w:rFonts w:ascii="Bookman Old Style" w:hAnsi="Bookman Old Style" w:cs="Times New Roman"/>
          <w:bCs/>
          <w:sz w:val="24"/>
          <w:szCs w:val="24"/>
          <w:lang w:val="es-419"/>
        </w:rPr>
        <w:t>Adicionalmente, la Comisión de Contingencias COPECO, habilitó la plataforma para la búsqueda de personas desaparecidas a causa de la tormenta tropical ETA, para la reunificación familiar de las personas afectadas por ETA e IOTA</w:t>
      </w:r>
      <w:r w:rsidRPr="00333D1E">
        <w:rPr>
          <w:rFonts w:ascii="Bookman Old Style" w:hAnsi="Bookman Old Style"/>
          <w:vertAlign w:val="superscript"/>
          <w:lang w:val="es-419"/>
        </w:rPr>
        <w:footnoteReference w:id="14"/>
      </w:r>
      <w:r w:rsidR="006539A8">
        <w:rPr>
          <w:rFonts w:ascii="Bookman Old Style" w:hAnsi="Bookman Old Style" w:cs="Times New Roman"/>
          <w:bCs/>
          <w:sz w:val="24"/>
          <w:szCs w:val="24"/>
          <w:lang w:val="es-419"/>
        </w:rPr>
        <w:t>.</w:t>
      </w:r>
    </w:p>
    <w:p w14:paraId="43738EFB" w14:textId="77777777" w:rsidR="00C73BFB" w:rsidRPr="00333D1E" w:rsidRDefault="00C73BFB"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compartir ejemplos de la </w:t>
      </w:r>
      <w:r w:rsidRPr="003645FC">
        <w:rPr>
          <w:rStyle w:val="SubtitleChar"/>
        </w:rPr>
        <w:t>forma en que las mujeres de edad participan en la vida</w:t>
      </w:r>
      <w:r w:rsidR="00D349C1" w:rsidRPr="003645FC">
        <w:rPr>
          <w:rStyle w:val="SubtitleChar"/>
        </w:rPr>
        <w:t xml:space="preserve"> </w:t>
      </w:r>
      <w:r w:rsidRPr="003645FC">
        <w:rPr>
          <w:rStyle w:val="SubtitleChar"/>
        </w:rPr>
        <w:t>económica</w:t>
      </w:r>
      <w:r w:rsidRPr="00333D1E">
        <w:rPr>
          <w:rFonts w:ascii="Bookman Old Style" w:hAnsi="Bookman Old Style" w:cs="Times New Roman"/>
          <w:b/>
          <w:bCs/>
          <w:sz w:val="24"/>
          <w:szCs w:val="24"/>
        </w:rPr>
        <w:t>, social y cultural y contribuyen a ella, incluidas la solidaridad y el apoyo</w:t>
      </w:r>
      <w:r w:rsidR="00D349C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intergeneracionales.</w:t>
      </w:r>
      <w:r w:rsidR="007C6706" w:rsidRPr="00333D1E">
        <w:rPr>
          <w:rFonts w:ascii="Bookman Old Style" w:hAnsi="Bookman Old Style" w:cs="Times New Roman"/>
          <w:b/>
          <w:bCs/>
          <w:sz w:val="24"/>
          <w:szCs w:val="24"/>
        </w:rPr>
        <w:t xml:space="preserve"> </w:t>
      </w:r>
    </w:p>
    <w:p w14:paraId="011F1C52" w14:textId="77777777" w:rsidR="003F2101"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económico las mujeres adultas mayores ponen a la disposición en muchas ocasiones su pensión o jubilación y su patrimonio para la sostenibilidad de los hogares, además la mujer adulto mayor emprende a través de negocios no formales para dar sostenibilidad a los diferentes hogares a los que pertenece. </w:t>
      </w:r>
    </w:p>
    <w:p w14:paraId="4340FD70" w14:textId="6CBBF125" w:rsidR="00D77BD9" w:rsidRPr="00333D1E"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A nivel social es fundamental el rol protagónico de la mujer adulto mayor, para la transmisión y educación en valores a los niños y jóvenes transmitiéndoles de </w:t>
      </w:r>
      <w:r w:rsidRPr="00333D1E">
        <w:rPr>
          <w:rFonts w:ascii="Bookman Old Style" w:hAnsi="Bookman Old Style" w:cs="Times New Roman"/>
          <w:sz w:val="24"/>
          <w:szCs w:val="24"/>
        </w:rPr>
        <w:lastRenderedPageBreak/>
        <w:t xml:space="preserve">esta manera acciones de participación moral, social y espiritual. A nivel cultural es importante destacar que la mujer adulto mayor transmite cultura a través de la participación en las diferentes áreas de poesía, canto, arte culinario, costumbres, tradiciones y otras de alto valor que enriquecen las relaciones familiares a través de actividades de esparcimiento que se comparten en el núcleo familiar. </w:t>
      </w:r>
    </w:p>
    <w:p w14:paraId="2F478BC1" w14:textId="77777777" w:rsidR="00D349C1" w:rsidRPr="0022365E" w:rsidRDefault="00D349C1" w:rsidP="003E6B81">
      <w:pPr>
        <w:pStyle w:val="Heading2"/>
        <w:ind w:left="-180" w:right="-342"/>
        <w:rPr>
          <w:i/>
          <w:iCs/>
        </w:rPr>
      </w:pPr>
      <w:bookmarkStart w:id="7" w:name="_Toc67049590"/>
      <w:r w:rsidRPr="0022365E">
        <w:rPr>
          <w:i/>
          <w:iCs/>
        </w:rPr>
        <w:t>Formas de discriminación contra las mujeres de edad y abusos específicos de género.</w:t>
      </w:r>
      <w:bookmarkEnd w:id="7"/>
    </w:p>
    <w:p w14:paraId="66C92B53" w14:textId="77777777" w:rsidR="00D349C1"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formas de discriminación estructural y sistemática enfrentan las mujeres de edad</w:t>
      </w:r>
      <w:r w:rsidRPr="00333D1E">
        <w:rPr>
          <w:rFonts w:ascii="Bookman Old Style" w:hAnsi="Bookman Old Style" w:cs="Times New Roman"/>
          <w:b/>
          <w:bCs/>
          <w:sz w:val="24"/>
          <w:szCs w:val="24"/>
        </w:rPr>
        <w:t xml:space="preserve"> (por</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ejemplo, mediante leyes, políticas, prácticas tradicionales y consuetudinarias, etc.) y qué</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medidas se han adoptado para hacerles frente?</w:t>
      </w:r>
    </w:p>
    <w:p w14:paraId="4E90028B" w14:textId="3B58D60D" w:rsidR="009619AD" w:rsidRPr="00333D1E" w:rsidRDefault="009619AD" w:rsidP="003E6B81">
      <w:pPr>
        <w:spacing w:after="0"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Entre las medidas adoptadas para hacer frente a la discriminación estructural y </w:t>
      </w:r>
      <w:r w:rsidR="0076009F" w:rsidRPr="00333D1E">
        <w:rPr>
          <w:rFonts w:ascii="Bookman Old Style" w:hAnsi="Bookman Old Style" w:cs="Times New Roman"/>
          <w:sz w:val="24"/>
          <w:szCs w:val="24"/>
        </w:rPr>
        <w:t>sistem</w:t>
      </w:r>
      <w:r w:rsidR="0076009F">
        <w:rPr>
          <w:rFonts w:ascii="Bookman Old Style" w:hAnsi="Bookman Old Style" w:cs="Times New Roman"/>
          <w:sz w:val="24"/>
          <w:szCs w:val="24"/>
        </w:rPr>
        <w:t>ática</w:t>
      </w:r>
      <w:r w:rsidRPr="00333D1E">
        <w:rPr>
          <w:rFonts w:ascii="Bookman Old Style" w:hAnsi="Bookman Old Style" w:cs="Times New Roman"/>
          <w:sz w:val="24"/>
          <w:szCs w:val="24"/>
        </w:rPr>
        <w:t>, se informan las siguientes:</w:t>
      </w:r>
    </w:p>
    <w:p w14:paraId="05BE5DD9" w14:textId="4BF05BBF" w:rsidR="009619AD" w:rsidRPr="00333D1E"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La incorporación de la perspectiva de género en los programas de protección social vinculados al adulto mayor por l</w:t>
      </w:r>
      <w:r w:rsidR="00E21B91" w:rsidRPr="00333D1E">
        <w:rPr>
          <w:rFonts w:ascii="Bookman Old Style" w:hAnsi="Bookman Old Style" w:cs="Times New Roman"/>
          <w:sz w:val="24"/>
          <w:szCs w:val="24"/>
        </w:rPr>
        <w:t xml:space="preserve">a </w:t>
      </w:r>
      <w:r w:rsidR="00254A48">
        <w:rPr>
          <w:rFonts w:ascii="Bookman Old Style" w:hAnsi="Bookman Old Style" w:cs="Times New Roman"/>
          <w:sz w:val="24"/>
          <w:szCs w:val="24"/>
        </w:rPr>
        <w:t>U</w:t>
      </w:r>
      <w:r w:rsidR="00E21B91" w:rsidRPr="00333D1E">
        <w:rPr>
          <w:rFonts w:ascii="Bookman Old Style" w:hAnsi="Bookman Old Style" w:cs="Times New Roman"/>
          <w:sz w:val="24"/>
          <w:szCs w:val="24"/>
        </w:rPr>
        <w:t xml:space="preserve">nidad de </w:t>
      </w:r>
      <w:r w:rsidR="00254A48">
        <w:rPr>
          <w:rFonts w:ascii="Bookman Old Style" w:hAnsi="Bookman Old Style" w:cs="Times New Roman"/>
          <w:sz w:val="24"/>
          <w:szCs w:val="24"/>
        </w:rPr>
        <w:t>Gé</w:t>
      </w:r>
      <w:r w:rsidR="00E21B91" w:rsidRPr="00333D1E">
        <w:rPr>
          <w:rFonts w:ascii="Bookman Old Style" w:hAnsi="Bookman Old Style" w:cs="Times New Roman"/>
          <w:sz w:val="24"/>
          <w:szCs w:val="24"/>
        </w:rPr>
        <w:t>nero a través de la implementación de</w:t>
      </w:r>
      <w:r w:rsidR="003138FF" w:rsidRPr="00333D1E">
        <w:rPr>
          <w:rFonts w:ascii="Bookman Old Style" w:hAnsi="Bookman Old Style" w:cs="Times New Roman"/>
          <w:sz w:val="24"/>
          <w:szCs w:val="24"/>
        </w:rPr>
        <w:t xml:space="preserve"> la estrategia de g</w:t>
      </w:r>
      <w:r w:rsidR="00254A48">
        <w:rPr>
          <w:rFonts w:ascii="Bookman Old Style" w:hAnsi="Bookman Old Style" w:cs="Times New Roman"/>
          <w:sz w:val="24"/>
          <w:szCs w:val="24"/>
        </w:rPr>
        <w:t>é</w:t>
      </w:r>
      <w:r w:rsidR="003138FF" w:rsidRPr="00333D1E">
        <w:rPr>
          <w:rFonts w:ascii="Bookman Old Style" w:hAnsi="Bookman Old Style" w:cs="Times New Roman"/>
          <w:sz w:val="24"/>
          <w:szCs w:val="24"/>
        </w:rPr>
        <w:t>nero busca i</w:t>
      </w:r>
      <w:r w:rsidR="00E21B91" w:rsidRPr="00333D1E">
        <w:rPr>
          <w:rFonts w:ascii="Bookman Old Style" w:hAnsi="Bookman Old Style" w:cs="Times New Roman"/>
          <w:sz w:val="24"/>
          <w:szCs w:val="24"/>
        </w:rPr>
        <w:t xml:space="preserve">nstitucionalizar </w:t>
      </w:r>
      <w:r w:rsidRPr="00333D1E">
        <w:rPr>
          <w:rFonts w:ascii="Bookman Old Style" w:hAnsi="Bookman Old Style" w:cs="Times New Roman"/>
          <w:sz w:val="24"/>
          <w:szCs w:val="24"/>
        </w:rPr>
        <w:t xml:space="preserve">la perspectiva de género </w:t>
      </w:r>
      <w:r w:rsidR="00E21B91" w:rsidRPr="00333D1E">
        <w:rPr>
          <w:rFonts w:ascii="Bookman Old Style" w:hAnsi="Bookman Old Style" w:cs="Times New Roman"/>
          <w:sz w:val="24"/>
          <w:szCs w:val="24"/>
        </w:rPr>
        <w:t xml:space="preserve">a </w:t>
      </w:r>
      <w:r w:rsidR="000D5002" w:rsidRPr="00333D1E">
        <w:rPr>
          <w:rFonts w:ascii="Bookman Old Style" w:hAnsi="Bookman Old Style" w:cs="Times New Roman"/>
          <w:sz w:val="24"/>
          <w:szCs w:val="24"/>
        </w:rPr>
        <w:t>través</w:t>
      </w:r>
      <w:r w:rsidR="00E21B91" w:rsidRPr="00333D1E">
        <w:rPr>
          <w:rFonts w:ascii="Bookman Old Style" w:hAnsi="Bookman Old Style" w:cs="Times New Roman"/>
          <w:sz w:val="24"/>
          <w:szCs w:val="24"/>
        </w:rPr>
        <w:t xml:space="preserve"> de la siguiente línea de acción a que con ayuda de la cooperación se pudiera implementar en este programa de adulto mayor. </w:t>
      </w:r>
      <w:r w:rsidRPr="00333D1E">
        <w:rPr>
          <w:rFonts w:ascii="Bookman Old Style" w:hAnsi="Bookman Old Style" w:cs="Times New Roman"/>
          <w:sz w:val="24"/>
          <w:szCs w:val="24"/>
        </w:rPr>
        <w:t xml:space="preserve">La </w:t>
      </w:r>
      <w:r w:rsidR="00E21B91" w:rsidRPr="00333D1E">
        <w:rPr>
          <w:rFonts w:ascii="Bookman Old Style" w:hAnsi="Bookman Old Style" w:cs="Times New Roman"/>
          <w:sz w:val="24"/>
          <w:szCs w:val="24"/>
        </w:rPr>
        <w:t xml:space="preserve">Línea </w:t>
      </w:r>
      <w:r w:rsidR="000D5002" w:rsidRPr="00333D1E">
        <w:rPr>
          <w:rFonts w:ascii="Bookman Old Style" w:hAnsi="Bookman Old Style" w:cs="Times New Roman"/>
          <w:sz w:val="24"/>
          <w:szCs w:val="24"/>
        </w:rPr>
        <w:t>Estratégica</w:t>
      </w:r>
      <w:r w:rsidR="00E21B91" w:rsidRPr="00333D1E">
        <w:rPr>
          <w:rFonts w:ascii="Bookman Old Style" w:hAnsi="Bookman Old Style" w:cs="Times New Roman"/>
          <w:sz w:val="24"/>
          <w:szCs w:val="24"/>
        </w:rPr>
        <w:t xml:space="preserve"> N°4: Cuidados y corresponsabilidad y dentro de ella se pueden realizar las siguientes acciones (Recomendado por Programa de las Naciones Unidas Para </w:t>
      </w:r>
      <w:r w:rsidRPr="00333D1E">
        <w:rPr>
          <w:rFonts w:ascii="Bookman Old Style" w:hAnsi="Bookman Old Style" w:cs="Times New Roman"/>
          <w:sz w:val="24"/>
          <w:szCs w:val="24"/>
        </w:rPr>
        <w:t>el Desarrollo PNUD).</w:t>
      </w:r>
    </w:p>
    <w:p w14:paraId="73230F04" w14:textId="77777777" w:rsidR="009619AD" w:rsidRPr="00333D1E"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t>La e</w:t>
      </w:r>
      <w:r w:rsidR="00E21B91" w:rsidRPr="00333D1E">
        <w:rPr>
          <w:rFonts w:ascii="Bookman Old Style" w:hAnsi="Bookman Old Style" w:cs="Times New Roman"/>
          <w:sz w:val="24"/>
          <w:szCs w:val="24"/>
        </w:rPr>
        <w:t xml:space="preserve">laboración de un diagnóstico nacional sobre los servicios públicos, privados y comunitarios de cuidado de personas adultas mayores </w:t>
      </w:r>
      <w:r w:rsidRPr="00333D1E">
        <w:rPr>
          <w:rFonts w:ascii="Bookman Old Style" w:hAnsi="Bookman Old Style" w:cs="Times New Roman"/>
          <w:sz w:val="24"/>
          <w:szCs w:val="24"/>
        </w:rPr>
        <w:t>y de las personas cuidadoras. La p</w:t>
      </w:r>
      <w:r w:rsidR="00E21B91" w:rsidRPr="00333D1E">
        <w:rPr>
          <w:rFonts w:ascii="Bookman Old Style" w:hAnsi="Bookman Old Style" w:cs="Times New Roman"/>
          <w:sz w:val="24"/>
          <w:szCs w:val="24"/>
        </w:rPr>
        <w:t>romoción, con dependencias estatales y cooperación internacional, de la formalización de las trabajadoras domésticas remuneradas y de cuidados con el fin de su profesionalización y reconocimien</w:t>
      </w:r>
      <w:r w:rsidRPr="00333D1E">
        <w:rPr>
          <w:rFonts w:ascii="Bookman Old Style" w:hAnsi="Bookman Old Style" w:cs="Times New Roman"/>
          <w:sz w:val="24"/>
          <w:szCs w:val="24"/>
        </w:rPr>
        <w:t>to del trabajo no remunerado.</w:t>
      </w:r>
    </w:p>
    <w:p w14:paraId="23040DB5" w14:textId="44669BC7" w:rsidR="000D3BA1" w:rsidRPr="006539A8" w:rsidRDefault="009619AD" w:rsidP="003E6B81">
      <w:pPr>
        <w:pStyle w:val="ListParagraph"/>
        <w:numPr>
          <w:ilvl w:val="0"/>
          <w:numId w:val="25"/>
        </w:numPr>
        <w:spacing w:line="360" w:lineRule="auto"/>
        <w:ind w:left="-180" w:right="-342" w:firstLine="0"/>
        <w:jc w:val="both"/>
        <w:rPr>
          <w:rFonts w:ascii="Bookman Old Style" w:hAnsi="Bookman Old Style" w:cs="Times New Roman"/>
          <w:sz w:val="24"/>
          <w:szCs w:val="24"/>
        </w:rPr>
      </w:pPr>
      <w:r w:rsidRPr="00333D1E">
        <w:rPr>
          <w:rFonts w:ascii="Bookman Old Style" w:hAnsi="Bookman Old Style" w:cs="Times New Roman"/>
          <w:sz w:val="24"/>
          <w:szCs w:val="24"/>
        </w:rPr>
        <w:lastRenderedPageBreak/>
        <w:t>La v</w:t>
      </w:r>
      <w:r w:rsidR="00E21B91" w:rsidRPr="00333D1E">
        <w:rPr>
          <w:rFonts w:ascii="Bookman Old Style" w:hAnsi="Bookman Old Style" w:cs="Times New Roman"/>
          <w:sz w:val="24"/>
          <w:szCs w:val="24"/>
        </w:rPr>
        <w:t xml:space="preserve">inculación a las familias beneficiarias de los programas sociales a los servicios públicos o sociales de cuidado. </w:t>
      </w:r>
    </w:p>
    <w:p w14:paraId="128F2F20" w14:textId="66AAFC45" w:rsidR="00D77BD9" w:rsidRPr="00333D1E" w:rsidRDefault="00E21B91"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 </w:t>
      </w:r>
    </w:p>
    <w:p w14:paraId="1A0F879D" w14:textId="77777777" w:rsidR="00E8579A"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¿Qué </w:t>
      </w:r>
      <w:r w:rsidRPr="003645FC">
        <w:rPr>
          <w:rStyle w:val="SubtitleChar"/>
        </w:rPr>
        <w:t>formas adopta la violencia de género y el abuso contra las mujeres de edad</w:t>
      </w:r>
      <w:r w:rsidRPr="00333D1E">
        <w:rPr>
          <w:rFonts w:ascii="Bookman Old Style" w:hAnsi="Bookman Old Style" w:cs="Times New Roman"/>
          <w:b/>
          <w:bCs/>
          <w:sz w:val="24"/>
          <w:szCs w:val="24"/>
        </w:rPr>
        <w:t xml:space="preserve"> y cómo</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prevalece esa violencia? Sírvase compartir los datos y estadísticas disponibles, incluido en</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relación a los feminicidios.</w:t>
      </w:r>
    </w:p>
    <w:p w14:paraId="60D25339" w14:textId="41DE0DC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El </w:t>
      </w:r>
      <w:r w:rsidR="00FA7281">
        <w:rPr>
          <w:rFonts w:ascii="Bookman Old Style" w:hAnsi="Bookman Old Style" w:cs="Times New Roman"/>
          <w:sz w:val="24"/>
          <w:szCs w:val="24"/>
        </w:rPr>
        <w:t>C</w:t>
      </w:r>
      <w:r w:rsidRPr="00333D1E">
        <w:rPr>
          <w:rFonts w:ascii="Bookman Old Style" w:hAnsi="Bookman Old Style" w:cs="Times New Roman"/>
          <w:sz w:val="24"/>
          <w:szCs w:val="24"/>
        </w:rPr>
        <w:t>ódigo Penal vigente, reconoce las siguientes figuras delictivas de violencia contra la mujer y el trato degradante, en los artículos 209 y 212 respectivamente</w:t>
      </w:r>
      <w:r w:rsidRPr="00333D1E">
        <w:rPr>
          <w:rStyle w:val="FootnoteReference"/>
          <w:rFonts w:ascii="Bookman Old Style" w:hAnsi="Bookman Old Style" w:cs="Times New Roman"/>
          <w:sz w:val="24"/>
          <w:szCs w:val="24"/>
        </w:rPr>
        <w:footnoteReference w:id="15"/>
      </w:r>
      <w:r w:rsidRPr="00333D1E">
        <w:rPr>
          <w:rFonts w:ascii="Bookman Old Style" w:hAnsi="Bookman Old Style" w:cs="Times New Roman"/>
          <w:sz w:val="24"/>
          <w:szCs w:val="24"/>
        </w:rPr>
        <w:t>.</w:t>
      </w:r>
    </w:p>
    <w:p w14:paraId="7FCF8C97" w14:textId="7777777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La Violencia Contra la Mujer, en el marco de relaciones desiguales de poder entre hombres y mujeres basadas en género ejerce, violencia física o psíquica sobre una mujer será castigado con las penas de prisión de 1 a 4 años y multa de 100 a 300 días o prestación de servicios de utilidad pública o a las víctimas por el mismo tiempo. Agravando la en 1/3, cuando la víctima del maltrato sea especialmente vulnerable por su edad o ser una persona con discapacidad; entre otras.</w:t>
      </w:r>
    </w:p>
    <w:p w14:paraId="585189B8" w14:textId="77777777"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El Trato Degradante lo comete quien ocasiona a una persona un trato degradante mediante violencia física, psicológica o verbal, de modo que atenta gravemente contra su integridad moral, es castigado con penas de prisión de 1 a 2 años y prohibición de residencia por el doble del tiempo de la condena. Las penas se aumentarán en 1/3 si la víctima es persona vulnerable por razón de enfermedad, edad, discapacidad. </w:t>
      </w:r>
    </w:p>
    <w:p w14:paraId="4B1D4444" w14:textId="178BDABC" w:rsidR="003138FF" w:rsidRPr="00333D1E" w:rsidRDefault="003138FF"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Otra forma de violencia y explotación que sufren mujeres y niños que se encuentra tipifica</w:t>
      </w:r>
      <w:r w:rsidR="000C3D98">
        <w:rPr>
          <w:rFonts w:ascii="Bookman Old Style" w:hAnsi="Bookman Old Style" w:cs="Times New Roman"/>
          <w:sz w:val="24"/>
          <w:szCs w:val="24"/>
        </w:rPr>
        <w:t>da</w:t>
      </w:r>
      <w:r w:rsidRPr="00333D1E">
        <w:rPr>
          <w:rFonts w:ascii="Bookman Old Style" w:hAnsi="Bookman Old Style" w:cs="Times New Roman"/>
          <w:sz w:val="24"/>
          <w:szCs w:val="24"/>
        </w:rPr>
        <w:t xml:space="preserve"> en el Código Penal es </w:t>
      </w:r>
      <w:r w:rsidRPr="00333D1E">
        <w:rPr>
          <w:rFonts w:ascii="Bookman Old Style" w:hAnsi="Bookman Old Style" w:cs="Times New Roman"/>
          <w:iCs/>
          <w:sz w:val="24"/>
          <w:szCs w:val="24"/>
        </w:rPr>
        <w:t>Explotación de la Mendicidad</w:t>
      </w:r>
      <w:r w:rsidRPr="00333D1E">
        <w:rPr>
          <w:rFonts w:ascii="Bookman Old Style" w:hAnsi="Bookman Old Style" w:cs="Times New Roman"/>
          <w:i/>
          <w:iCs/>
          <w:sz w:val="24"/>
          <w:szCs w:val="24"/>
        </w:rPr>
        <w:t xml:space="preserve">, </w:t>
      </w:r>
      <w:r w:rsidRPr="00333D1E">
        <w:rPr>
          <w:rFonts w:ascii="Bookman Old Style" w:hAnsi="Bookman Old Style" w:cs="Times New Roman"/>
          <w:iCs/>
          <w:sz w:val="24"/>
          <w:szCs w:val="24"/>
        </w:rPr>
        <w:t xml:space="preserve">que </w:t>
      </w:r>
      <w:r w:rsidRPr="00333D1E">
        <w:rPr>
          <w:rFonts w:ascii="Bookman Old Style" w:hAnsi="Bookman Old Style" w:cs="Times New Roman"/>
          <w:iCs/>
          <w:sz w:val="24"/>
          <w:szCs w:val="24"/>
        </w:rPr>
        <w:lastRenderedPageBreak/>
        <w:t xml:space="preserve">comente </w:t>
      </w:r>
      <w:r w:rsidRPr="00333D1E">
        <w:rPr>
          <w:rFonts w:ascii="Bookman Old Style" w:hAnsi="Bookman Old Style" w:cs="Times New Roman"/>
          <w:sz w:val="24"/>
          <w:szCs w:val="24"/>
        </w:rPr>
        <w:t>quien utiliza a un menor de 18 años, persona de avanzada edad o con discapacidad en la mendicidad</w:t>
      </w:r>
      <w:r w:rsidRPr="00333D1E">
        <w:rPr>
          <w:rStyle w:val="FootnoteReference"/>
          <w:rFonts w:ascii="Bookman Old Style" w:hAnsi="Bookman Old Style" w:cs="Times New Roman"/>
          <w:sz w:val="24"/>
          <w:szCs w:val="24"/>
        </w:rPr>
        <w:footnoteReference w:id="16"/>
      </w:r>
      <w:r w:rsidRPr="00333D1E">
        <w:rPr>
          <w:rFonts w:ascii="Bookman Old Style" w:hAnsi="Bookman Old Style" w:cs="Times New Roman"/>
          <w:sz w:val="24"/>
          <w:szCs w:val="24"/>
        </w:rPr>
        <w:t>.</w:t>
      </w:r>
    </w:p>
    <w:p w14:paraId="3CD0B82C"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 xml:space="preserve">El delito de </w:t>
      </w:r>
      <w:proofErr w:type="spellStart"/>
      <w:r w:rsidRPr="00333D1E">
        <w:rPr>
          <w:rFonts w:ascii="Bookman Old Style" w:hAnsi="Bookman Old Style" w:cs="Times New Roman"/>
          <w:sz w:val="24"/>
          <w:szCs w:val="24"/>
          <w:lang w:val="es-ES"/>
        </w:rPr>
        <w:t>femicidio</w:t>
      </w:r>
      <w:proofErr w:type="spellEnd"/>
      <w:r w:rsidRPr="00333D1E">
        <w:rPr>
          <w:rFonts w:ascii="Bookman Old Style" w:hAnsi="Bookman Old Style" w:cs="Times New Roman"/>
          <w:sz w:val="24"/>
          <w:szCs w:val="24"/>
          <w:lang w:val="es-ES"/>
        </w:rPr>
        <w:t>, lo tipifica Código Penal en el Artículo 208, el cual se ajusta a las normas internacionales, enmarcándolo en las relaciones desiguales de poder entre hombres y mujeres basadas en el género, y lo sanciona con pena de prisión de 20 a 25 pudiéndose agravar a 30 años, cuando concurra alguna circunstancia que se establece expresamente como agravantes, en aplicación de otros preceptos que se contemplan en el mismo Código.</w:t>
      </w:r>
    </w:p>
    <w:p w14:paraId="2E365729"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 xml:space="preserve">De acuerdo a la nueva normativa, el delito de </w:t>
      </w:r>
      <w:proofErr w:type="spellStart"/>
      <w:r w:rsidRPr="00333D1E">
        <w:rPr>
          <w:rFonts w:ascii="Bookman Old Style" w:hAnsi="Bookman Old Style" w:cs="Times New Roman"/>
          <w:sz w:val="24"/>
          <w:szCs w:val="24"/>
          <w:lang w:val="es-ES"/>
        </w:rPr>
        <w:t>femicidio</w:t>
      </w:r>
      <w:proofErr w:type="spellEnd"/>
      <w:r w:rsidRPr="00333D1E">
        <w:rPr>
          <w:rFonts w:ascii="Bookman Old Style" w:hAnsi="Bookman Old Style" w:cs="Times New Roman"/>
          <w:sz w:val="24"/>
          <w:szCs w:val="24"/>
          <w:lang w:val="es-ES"/>
        </w:rPr>
        <w:t xml:space="preserve"> se castigará sin perjuicio de las penas que correspondan por los delitos cometidos contra la integridad moral, libertad ambulatoria, libertad sexual, trata de personas y formas degradantes de explotación humana o en el cadáver de la mujer o contra cualquiera de los bienes jurídicos protegidos.</w:t>
      </w:r>
    </w:p>
    <w:p w14:paraId="75BA9E4D" w14:textId="77777777" w:rsidR="00202187" w:rsidRPr="00333D1E" w:rsidRDefault="00202187"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Respecto a la investigación pronta y efectiva de los casos de violencia contra la mujer por motivos de género, el enjuiciamiento y castigo de los responsables, la Fiscalía Especial de Delitos Contra la Vida (FEDCV) del Ministerio Público, de 2016 a octubre de 2020 registra 1,066 levantamientos cadavéricos por casos de muerte violentas de mujeres a nivel nacional y de acuerdo al tipo de delito reporta lo siguiente</w:t>
      </w:r>
      <w:r w:rsidR="000D3BA1" w:rsidRPr="00333D1E">
        <w:rPr>
          <w:rStyle w:val="FootnoteReference"/>
          <w:rFonts w:ascii="Bookman Old Style" w:hAnsi="Bookman Old Style" w:cs="Times New Roman"/>
          <w:sz w:val="24"/>
          <w:szCs w:val="24"/>
          <w:lang w:val="es-ES"/>
        </w:rPr>
        <w:footnoteReference w:id="17"/>
      </w:r>
      <w:r w:rsidRPr="00333D1E">
        <w:rPr>
          <w:rFonts w:ascii="Bookman Old Style" w:hAnsi="Bookman Old Style" w:cs="Times New Roman"/>
          <w:sz w:val="24"/>
          <w:szCs w:val="24"/>
          <w:lang w:val="es-ES"/>
        </w:rPr>
        <w:t xml:space="preserve">: </w:t>
      </w:r>
    </w:p>
    <w:tbl>
      <w:tblPr>
        <w:tblW w:w="8217" w:type="dxa"/>
        <w:jc w:val="right"/>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4"/>
        <w:gridCol w:w="2054"/>
        <w:gridCol w:w="2054"/>
        <w:gridCol w:w="2055"/>
      </w:tblGrid>
      <w:tr w:rsidR="00202187" w:rsidRPr="007C49B9" w14:paraId="6174998C"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357EB15"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Descripción</w:t>
            </w:r>
          </w:p>
        </w:tc>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2EE248E4"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Requerimientos fiscales</w:t>
            </w:r>
          </w:p>
        </w:tc>
        <w:tc>
          <w:tcPr>
            <w:tcW w:w="205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A131883"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Total de Imputados</w:t>
            </w:r>
          </w:p>
        </w:tc>
        <w:tc>
          <w:tcPr>
            <w:tcW w:w="205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9A03096" w14:textId="77777777" w:rsidR="00202187" w:rsidRPr="007C49B9" w:rsidRDefault="00202187" w:rsidP="003E6B81">
            <w:pPr>
              <w:spacing w:after="0" w:line="360" w:lineRule="auto"/>
              <w:ind w:left="-180" w:right="-342"/>
              <w:jc w:val="center"/>
              <w:rPr>
                <w:rFonts w:ascii="Bookman Old Style" w:hAnsi="Bookman Old Style" w:cs="Times New Roman"/>
                <w:b/>
                <w:sz w:val="18"/>
                <w:szCs w:val="18"/>
                <w:lang w:val="es-ES"/>
              </w:rPr>
            </w:pPr>
            <w:r w:rsidRPr="007C49B9">
              <w:rPr>
                <w:rFonts w:ascii="Bookman Old Style" w:hAnsi="Bookman Old Style" w:cs="Times New Roman"/>
                <w:b/>
                <w:sz w:val="18"/>
                <w:szCs w:val="18"/>
                <w:lang w:val="es-ES"/>
              </w:rPr>
              <w:t>Sentencias a condenatorias</w:t>
            </w:r>
          </w:p>
        </w:tc>
      </w:tr>
      <w:tr w:rsidR="00202187" w:rsidRPr="007C49B9" w14:paraId="6152E81E"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1336C65"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proofErr w:type="spellStart"/>
            <w:r w:rsidRPr="007C49B9">
              <w:rPr>
                <w:rFonts w:ascii="Bookman Old Style" w:hAnsi="Bookman Old Style" w:cs="Times New Roman"/>
                <w:i/>
                <w:sz w:val="18"/>
                <w:szCs w:val="18"/>
                <w:lang w:val="es-ES"/>
              </w:rPr>
              <w:t>Femicidio</w:t>
            </w:r>
            <w:proofErr w:type="spellEnd"/>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2450B"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123</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957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66B66"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94</w:t>
            </w:r>
          </w:p>
        </w:tc>
      </w:tr>
      <w:tr w:rsidR="00202187" w:rsidRPr="007C49B9" w14:paraId="11D4FA45"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49FAC5A"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Asesinato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3D04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7</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A6751"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A96B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44</w:t>
            </w:r>
          </w:p>
        </w:tc>
      </w:tr>
      <w:tr w:rsidR="00202187" w:rsidRPr="007C49B9" w14:paraId="00DA198F"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91F259"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Parricidio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B0C89"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CB331"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34D52"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w:t>
            </w:r>
          </w:p>
        </w:tc>
      </w:tr>
      <w:tr w:rsidR="00202187" w:rsidRPr="007C49B9" w14:paraId="7A714429"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134376"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Homicidio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EEC4"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116</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7C5E5"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148</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FC33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8</w:t>
            </w:r>
          </w:p>
        </w:tc>
      </w:tr>
      <w:tr w:rsidR="00202187" w:rsidRPr="007C49B9" w14:paraId="5F87221A" w14:textId="77777777" w:rsidTr="001A7CA5">
        <w:trPr>
          <w:jc w:val="right"/>
        </w:trPr>
        <w:tc>
          <w:tcPr>
            <w:tcW w:w="20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50CCA9" w14:textId="77777777" w:rsidR="00202187" w:rsidRPr="007C49B9" w:rsidRDefault="00202187" w:rsidP="003E6B81">
            <w:pPr>
              <w:spacing w:after="0" w:line="360" w:lineRule="auto"/>
              <w:ind w:left="-180" w:right="-342"/>
              <w:jc w:val="center"/>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Total</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523A"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249</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744F3"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307</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FBDD" w14:textId="77777777" w:rsidR="00202187" w:rsidRPr="007C49B9" w:rsidRDefault="00202187" w:rsidP="003E6B81">
            <w:pPr>
              <w:spacing w:after="0" w:line="360" w:lineRule="auto"/>
              <w:ind w:left="-180" w:right="-342"/>
              <w:jc w:val="center"/>
              <w:rPr>
                <w:rFonts w:ascii="Bookman Old Style" w:hAnsi="Bookman Old Style" w:cs="Times New Roman"/>
                <w:sz w:val="18"/>
                <w:szCs w:val="18"/>
                <w:lang w:val="es-ES"/>
              </w:rPr>
            </w:pPr>
            <w:r w:rsidRPr="007C49B9">
              <w:rPr>
                <w:rFonts w:ascii="Bookman Old Style" w:hAnsi="Bookman Old Style" w:cs="Times New Roman"/>
                <w:sz w:val="18"/>
                <w:szCs w:val="18"/>
                <w:lang w:val="es-ES"/>
              </w:rPr>
              <w:t>149</w:t>
            </w:r>
          </w:p>
        </w:tc>
      </w:tr>
      <w:tr w:rsidR="00202187" w:rsidRPr="007C49B9" w14:paraId="13472E54" w14:textId="77777777" w:rsidTr="00032246">
        <w:trPr>
          <w:jc w:val="right"/>
        </w:trPr>
        <w:tc>
          <w:tcPr>
            <w:tcW w:w="8217" w:type="dxa"/>
            <w:gridSpan w:val="4"/>
            <w:tcBorders>
              <w:top w:val="single" w:sz="4" w:space="0" w:color="auto"/>
              <w:left w:val="nil"/>
              <w:bottom w:val="nil"/>
              <w:right w:val="nil"/>
            </w:tcBorders>
            <w:shd w:val="clear" w:color="auto" w:fill="auto"/>
          </w:tcPr>
          <w:p w14:paraId="5E3430F6" w14:textId="77777777" w:rsidR="00202187" w:rsidRPr="007C49B9" w:rsidRDefault="00202187" w:rsidP="003E6B81">
            <w:pPr>
              <w:spacing w:line="360" w:lineRule="auto"/>
              <w:ind w:left="-180" w:right="-342"/>
              <w:jc w:val="both"/>
              <w:rPr>
                <w:rFonts w:ascii="Bookman Old Style" w:hAnsi="Bookman Old Style" w:cs="Times New Roman"/>
                <w:i/>
                <w:sz w:val="18"/>
                <w:szCs w:val="18"/>
                <w:lang w:val="es-ES"/>
              </w:rPr>
            </w:pPr>
            <w:r w:rsidRPr="007C49B9">
              <w:rPr>
                <w:rFonts w:ascii="Bookman Old Style" w:hAnsi="Bookman Old Style" w:cs="Times New Roman"/>
                <w:i/>
                <w:sz w:val="18"/>
                <w:szCs w:val="18"/>
                <w:lang w:val="es-ES"/>
              </w:rPr>
              <w:t>Fuente: FEDCV</w:t>
            </w:r>
          </w:p>
        </w:tc>
      </w:tr>
    </w:tbl>
    <w:p w14:paraId="2CC901A4" w14:textId="77777777" w:rsidR="00202187"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lastRenderedPageBreak/>
        <w:t xml:space="preserve">Para garantizar </w:t>
      </w:r>
      <w:r w:rsidR="00202187" w:rsidRPr="00333D1E">
        <w:rPr>
          <w:rFonts w:ascii="Bookman Old Style" w:hAnsi="Bookman Old Style" w:cs="Times New Roman"/>
          <w:sz w:val="24"/>
          <w:szCs w:val="24"/>
          <w:lang w:val="es-ES"/>
        </w:rPr>
        <w:t xml:space="preserve">la investigación </w:t>
      </w:r>
      <w:r w:rsidRPr="00333D1E">
        <w:rPr>
          <w:rFonts w:ascii="Bookman Old Style" w:hAnsi="Bookman Old Style" w:cs="Times New Roman"/>
          <w:sz w:val="24"/>
          <w:szCs w:val="24"/>
          <w:lang w:val="es-ES"/>
        </w:rPr>
        <w:t xml:space="preserve">efectiva </w:t>
      </w:r>
      <w:r w:rsidR="00202187" w:rsidRPr="00333D1E">
        <w:rPr>
          <w:rFonts w:ascii="Bookman Old Style" w:hAnsi="Bookman Old Style" w:cs="Times New Roman"/>
          <w:sz w:val="24"/>
          <w:szCs w:val="24"/>
          <w:lang w:val="es-ES"/>
        </w:rPr>
        <w:t xml:space="preserve">de las muertes de mujeres y </w:t>
      </w:r>
      <w:proofErr w:type="spellStart"/>
      <w:r w:rsidR="00202187" w:rsidRPr="00333D1E">
        <w:rPr>
          <w:rFonts w:ascii="Bookman Old Style" w:hAnsi="Bookman Old Style" w:cs="Times New Roman"/>
          <w:sz w:val="24"/>
          <w:szCs w:val="24"/>
          <w:lang w:val="es-ES"/>
        </w:rPr>
        <w:t>femicidios</w:t>
      </w:r>
      <w:proofErr w:type="spellEnd"/>
      <w:r w:rsidR="00202187" w:rsidRPr="00333D1E">
        <w:rPr>
          <w:rFonts w:ascii="Bookman Old Style" w:hAnsi="Bookman Old Style" w:cs="Times New Roman"/>
          <w:sz w:val="24"/>
          <w:szCs w:val="24"/>
          <w:lang w:val="es-ES"/>
        </w:rPr>
        <w:t xml:space="preserve">, en 2016 se crearon: la Unidad de Investigación de Muertes Violentas de Mujeres y </w:t>
      </w:r>
      <w:proofErr w:type="spellStart"/>
      <w:r w:rsidR="00202187" w:rsidRPr="00333D1E">
        <w:rPr>
          <w:rFonts w:ascii="Bookman Old Style" w:hAnsi="Bookman Old Style" w:cs="Times New Roman"/>
          <w:sz w:val="24"/>
          <w:szCs w:val="24"/>
          <w:lang w:val="es-ES"/>
        </w:rPr>
        <w:t>Femicidios</w:t>
      </w:r>
      <w:proofErr w:type="spellEnd"/>
      <w:r w:rsidR="00202187" w:rsidRPr="00333D1E">
        <w:rPr>
          <w:rFonts w:ascii="Bookman Old Style" w:hAnsi="Bookman Old Style" w:cs="Times New Roman"/>
          <w:sz w:val="24"/>
          <w:szCs w:val="24"/>
          <w:lang w:val="es-ES"/>
        </w:rPr>
        <w:t xml:space="preserve">, adscrita a la Agencia Técnica de Investigación Criminal (ATIC); y la Comisión Interinstitucional de Seguimiento a las Investigaciones de las Muertes Violentas de Mujeres y </w:t>
      </w:r>
      <w:proofErr w:type="spellStart"/>
      <w:r w:rsidR="00202187" w:rsidRPr="00333D1E">
        <w:rPr>
          <w:rFonts w:ascii="Bookman Old Style" w:hAnsi="Bookman Old Style" w:cs="Times New Roman"/>
          <w:sz w:val="24"/>
          <w:szCs w:val="24"/>
          <w:lang w:val="es-ES"/>
        </w:rPr>
        <w:t>Femicidios</w:t>
      </w:r>
      <w:proofErr w:type="spellEnd"/>
      <w:r w:rsidRPr="00333D1E">
        <w:rPr>
          <w:rFonts w:ascii="Bookman Old Style" w:hAnsi="Bookman Old Style" w:cs="Times New Roman"/>
          <w:sz w:val="24"/>
          <w:szCs w:val="24"/>
          <w:lang w:val="es-ES"/>
        </w:rPr>
        <w:t>.</w:t>
      </w:r>
    </w:p>
    <w:p w14:paraId="3650C21A" w14:textId="77777777" w:rsidR="001A7CA5" w:rsidRPr="00333D1E" w:rsidRDefault="001A7CA5" w:rsidP="003E6B81">
      <w:pPr>
        <w:spacing w:line="360" w:lineRule="auto"/>
        <w:ind w:left="-180" w:right="-342"/>
        <w:jc w:val="both"/>
        <w:rPr>
          <w:rFonts w:ascii="Bookman Old Style" w:hAnsi="Bookman Old Style" w:cs="Times New Roman"/>
          <w:sz w:val="24"/>
          <w:szCs w:val="24"/>
          <w:lang w:val="es-ES"/>
        </w:rPr>
      </w:pPr>
      <w:r w:rsidRPr="00333D1E">
        <w:rPr>
          <w:rFonts w:ascii="Bookman Old Style" w:hAnsi="Bookman Old Style" w:cs="Times New Roman"/>
          <w:sz w:val="24"/>
          <w:szCs w:val="24"/>
          <w:lang w:val="es-ES"/>
        </w:rPr>
        <w:t>En respuesta al incremento de la violencia en el hogar durante el confinamiento por la pandemia del COVID-19, se aprobaron las Medidas Especiales de Difusión, Prevención, y Atención de la Violencia Contra la Mujer y Acciones para Garantizar la Igualdad de Género, durante la Vigencia de la Emergencia Nacional Declarada a raíz de la Pandemia COVID-19</w:t>
      </w:r>
      <w:r w:rsidRPr="00333D1E">
        <w:rPr>
          <w:rFonts w:ascii="Bookman Old Style" w:hAnsi="Bookman Old Style" w:cs="Times New Roman"/>
          <w:sz w:val="24"/>
          <w:szCs w:val="24"/>
          <w:vertAlign w:val="superscript"/>
          <w:lang w:val="es-ES"/>
        </w:rPr>
        <w:footnoteReference w:id="18"/>
      </w:r>
      <w:r w:rsidRPr="00333D1E">
        <w:rPr>
          <w:rFonts w:ascii="Bookman Old Style" w:hAnsi="Bookman Old Style" w:cs="Times New Roman"/>
          <w:sz w:val="24"/>
          <w:szCs w:val="24"/>
          <w:lang w:val="es-ES"/>
        </w:rPr>
        <w:t>.</w:t>
      </w:r>
    </w:p>
    <w:p w14:paraId="53332AE6" w14:textId="77777777" w:rsidR="001B7416"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dar ejemplos de la forma en que la </w:t>
      </w:r>
      <w:r w:rsidRPr="003645FC">
        <w:rPr>
          <w:rStyle w:val="SubtitleChar"/>
        </w:rPr>
        <w:t>perspectiva del ciclo vital</w:t>
      </w:r>
      <w:r w:rsidRPr="00333D1E">
        <w:rPr>
          <w:rFonts w:ascii="Bookman Old Style" w:hAnsi="Bookman Old Style" w:cs="Times New Roman"/>
          <w:b/>
          <w:bCs/>
          <w:sz w:val="24"/>
          <w:szCs w:val="24"/>
        </w:rPr>
        <w:t xml:space="preserve"> se integra en las políticas</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y programas para prevenir y abordar la violencia de género contra las mujeres y las niñas.</w:t>
      </w:r>
    </w:p>
    <w:p w14:paraId="6D019005" w14:textId="7653DF3E" w:rsidR="00D77BD9" w:rsidRPr="00333D1E" w:rsidRDefault="00466CF8"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La </w:t>
      </w:r>
      <w:r w:rsidR="009C12E0" w:rsidRPr="00333D1E">
        <w:rPr>
          <w:rFonts w:ascii="Bookman Old Style" w:hAnsi="Bookman Old Style" w:cs="Times New Roman"/>
          <w:sz w:val="24"/>
          <w:szCs w:val="24"/>
        </w:rPr>
        <w:t>DIGAM</w:t>
      </w:r>
      <w:r w:rsidRPr="00333D1E">
        <w:rPr>
          <w:rFonts w:ascii="Bookman Old Style" w:hAnsi="Bookman Old Style" w:cs="Times New Roman"/>
          <w:sz w:val="24"/>
          <w:szCs w:val="24"/>
        </w:rPr>
        <w:t xml:space="preserve">, a través de campañas como “Trato Digno”, en alianza con diferentes instituciones como ser las concernientes al Gobierno Central, la seguridad ciudadana, alcaldías municipales, patronatos, medios de comunicación y otras, han abordado estrategias de prevención a la violencia contra las mujeres adultos mayores, mediante el empoderamiento de los derechos, participación social de las personas mayores y las vías jurídicas ante la discriminación o maltrato en cualquiera de sus rostros. </w:t>
      </w:r>
    </w:p>
    <w:p w14:paraId="6FFF012E" w14:textId="77777777" w:rsidR="00D349C1" w:rsidRPr="00333D1E" w:rsidRDefault="00D349C1" w:rsidP="003E6B81">
      <w:pPr>
        <w:pStyle w:val="ListParagraph"/>
        <w:numPr>
          <w:ilvl w:val="0"/>
          <w:numId w:val="3"/>
        </w:numPr>
        <w:spacing w:line="360" w:lineRule="auto"/>
        <w:ind w:left="-180" w:right="-342" w:firstLine="0"/>
        <w:jc w:val="both"/>
        <w:rPr>
          <w:rFonts w:ascii="Bookman Old Style" w:hAnsi="Bookman Old Style" w:cs="Times New Roman"/>
          <w:b/>
          <w:bCs/>
          <w:sz w:val="24"/>
          <w:szCs w:val="24"/>
        </w:rPr>
      </w:pPr>
      <w:r w:rsidRPr="00333D1E">
        <w:rPr>
          <w:rFonts w:ascii="Bookman Old Style" w:hAnsi="Bookman Old Style" w:cs="Times New Roman"/>
          <w:b/>
          <w:bCs/>
          <w:sz w:val="24"/>
          <w:szCs w:val="24"/>
        </w:rPr>
        <w:t xml:space="preserve">Sírvase compartir información sobre los </w:t>
      </w:r>
      <w:r w:rsidRPr="003645FC">
        <w:rPr>
          <w:rStyle w:val="SubtitleChar"/>
        </w:rPr>
        <w:t>mecanismos de denuncia, rendición de cuentas,</w:t>
      </w:r>
      <w:r w:rsidR="00312321" w:rsidRPr="003645FC">
        <w:rPr>
          <w:rStyle w:val="SubtitleChar"/>
        </w:rPr>
        <w:t xml:space="preserve"> </w:t>
      </w:r>
      <w:r w:rsidRPr="003645FC">
        <w:rPr>
          <w:rStyle w:val="SubtitleChar"/>
        </w:rPr>
        <w:t>reparación y protección disponibles y destinados a las mujeres de edad</w:t>
      </w:r>
      <w:r w:rsidRPr="00333D1E">
        <w:rPr>
          <w:rFonts w:ascii="Bookman Old Style" w:hAnsi="Bookman Old Style" w:cs="Times New Roman"/>
          <w:b/>
          <w:bCs/>
          <w:sz w:val="24"/>
          <w:szCs w:val="24"/>
        </w:rPr>
        <w:t xml:space="preserve"> víctimas de la violencia</w:t>
      </w:r>
      <w:r w:rsidR="00312321" w:rsidRPr="00333D1E">
        <w:rPr>
          <w:rFonts w:ascii="Bookman Old Style" w:hAnsi="Bookman Old Style" w:cs="Times New Roman"/>
          <w:b/>
          <w:bCs/>
          <w:sz w:val="24"/>
          <w:szCs w:val="24"/>
        </w:rPr>
        <w:t xml:space="preserve"> </w:t>
      </w:r>
      <w:r w:rsidRPr="00333D1E">
        <w:rPr>
          <w:rFonts w:ascii="Bookman Old Style" w:hAnsi="Bookman Old Style" w:cs="Times New Roman"/>
          <w:b/>
          <w:bCs/>
          <w:sz w:val="24"/>
          <w:szCs w:val="24"/>
        </w:rPr>
        <w:t>y la discriminación por motivos de género.</w:t>
      </w:r>
    </w:p>
    <w:p w14:paraId="24DD3B2C" w14:textId="52BE6D50" w:rsidR="00D77BD9" w:rsidRPr="00333D1E" w:rsidRDefault="006B4829"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Las instituciones que se cuentan actualmente para interponer </w:t>
      </w:r>
      <w:r w:rsidR="000E11B4" w:rsidRPr="00333D1E">
        <w:rPr>
          <w:rFonts w:ascii="Bookman Old Style" w:hAnsi="Bookman Old Style" w:cs="Times New Roman"/>
          <w:sz w:val="24"/>
          <w:szCs w:val="24"/>
        </w:rPr>
        <w:t xml:space="preserve">denuncias y brindar protección a las mujeres adultas mayores víctimas de violencia y la </w:t>
      </w:r>
      <w:r w:rsidR="000E11B4" w:rsidRPr="00333D1E">
        <w:rPr>
          <w:rFonts w:ascii="Bookman Old Style" w:hAnsi="Bookman Old Style" w:cs="Times New Roman"/>
          <w:sz w:val="24"/>
          <w:szCs w:val="24"/>
        </w:rPr>
        <w:lastRenderedPageBreak/>
        <w:t>discriminación que necesiten interponer o abrir un proceso legal, son</w:t>
      </w:r>
      <w:r w:rsidRPr="00333D1E">
        <w:rPr>
          <w:rFonts w:ascii="Bookman Old Style" w:hAnsi="Bookman Old Style" w:cs="Times New Roman"/>
          <w:sz w:val="24"/>
          <w:szCs w:val="24"/>
        </w:rPr>
        <w:t xml:space="preserve"> </w:t>
      </w:r>
      <w:r w:rsidR="00C27578">
        <w:rPr>
          <w:rFonts w:ascii="Bookman Old Style" w:hAnsi="Bookman Old Style" w:cs="Times New Roman"/>
          <w:sz w:val="24"/>
          <w:szCs w:val="24"/>
        </w:rPr>
        <w:t>el Ministerio Pú</w:t>
      </w:r>
      <w:r w:rsidR="00466CF8" w:rsidRPr="00333D1E">
        <w:rPr>
          <w:rFonts w:ascii="Bookman Old Style" w:hAnsi="Bookman Old Style" w:cs="Times New Roman"/>
          <w:sz w:val="24"/>
          <w:szCs w:val="24"/>
        </w:rPr>
        <w:t>blico en</w:t>
      </w:r>
      <w:r w:rsidR="000E11B4" w:rsidRPr="00333D1E">
        <w:rPr>
          <w:rFonts w:ascii="Bookman Old Style" w:hAnsi="Bookman Old Style" w:cs="Times New Roman"/>
          <w:sz w:val="24"/>
          <w:szCs w:val="24"/>
        </w:rPr>
        <w:t xml:space="preserve"> su Fiscalía</w:t>
      </w:r>
      <w:r w:rsidR="00A074A2">
        <w:rPr>
          <w:rFonts w:ascii="Bookman Old Style" w:hAnsi="Bookman Old Style" w:cs="Times New Roman"/>
          <w:sz w:val="24"/>
          <w:szCs w:val="24"/>
        </w:rPr>
        <w:t xml:space="preserve"> </w:t>
      </w:r>
      <w:r w:rsidR="00A074A2" w:rsidRPr="00A074A2">
        <w:rPr>
          <w:rFonts w:ascii="Bookman Old Style" w:hAnsi="Bookman Old Style" w:cs="Times New Roman"/>
          <w:sz w:val="24"/>
          <w:szCs w:val="24"/>
        </w:rPr>
        <w:t xml:space="preserve">Especial de Protección al Consumidor y Adulto Mayor (FEP-CAM) </w:t>
      </w:r>
      <w:r w:rsidR="00A074A2">
        <w:rPr>
          <w:rFonts w:ascii="Bookman Old Style" w:hAnsi="Bookman Old Style" w:cs="Times New Roman"/>
          <w:sz w:val="24"/>
          <w:szCs w:val="24"/>
        </w:rPr>
        <w:t xml:space="preserve">y </w:t>
      </w:r>
      <w:r w:rsidR="00466CF8" w:rsidRPr="00333D1E">
        <w:rPr>
          <w:rFonts w:ascii="Bookman Old Style" w:hAnsi="Bookman Old Style" w:cs="Times New Roman"/>
          <w:sz w:val="24"/>
          <w:szCs w:val="24"/>
        </w:rPr>
        <w:t xml:space="preserve">la Fiscalía de la Mujer, </w:t>
      </w:r>
      <w:r w:rsidR="000E11B4" w:rsidRPr="00333D1E">
        <w:rPr>
          <w:rFonts w:ascii="Bookman Old Style" w:hAnsi="Bookman Old Style" w:cs="Times New Roman"/>
          <w:sz w:val="24"/>
          <w:szCs w:val="24"/>
        </w:rPr>
        <w:t xml:space="preserve">el CONADEH, las Oficinas Municipales de la Mujer, </w:t>
      </w:r>
      <w:r w:rsidR="00466CF8" w:rsidRPr="00333D1E">
        <w:rPr>
          <w:rFonts w:ascii="Bookman Old Style" w:hAnsi="Bookman Old Style" w:cs="Times New Roman"/>
          <w:sz w:val="24"/>
          <w:szCs w:val="24"/>
        </w:rPr>
        <w:t>las oficinas de jueces de policía</w:t>
      </w:r>
      <w:r w:rsidR="000E11B4" w:rsidRPr="00333D1E">
        <w:rPr>
          <w:rFonts w:ascii="Bookman Old Style" w:hAnsi="Bookman Old Style" w:cs="Times New Roman"/>
          <w:sz w:val="24"/>
          <w:szCs w:val="24"/>
        </w:rPr>
        <w:t>, los</w:t>
      </w:r>
      <w:r w:rsidR="00466CF8" w:rsidRPr="00333D1E">
        <w:rPr>
          <w:rFonts w:ascii="Bookman Old Style" w:hAnsi="Bookman Old Style" w:cs="Times New Roman"/>
          <w:sz w:val="24"/>
          <w:szCs w:val="24"/>
        </w:rPr>
        <w:t xml:space="preserve"> juzgados de paz, </w:t>
      </w:r>
      <w:r w:rsidR="000E11B4" w:rsidRPr="00333D1E">
        <w:rPr>
          <w:rFonts w:ascii="Bookman Old Style" w:hAnsi="Bookman Old Style" w:cs="Times New Roman"/>
          <w:sz w:val="24"/>
          <w:szCs w:val="24"/>
        </w:rPr>
        <w:t xml:space="preserve">que </w:t>
      </w:r>
      <w:r w:rsidR="00466CF8" w:rsidRPr="00333D1E">
        <w:rPr>
          <w:rFonts w:ascii="Bookman Old Style" w:hAnsi="Bookman Old Style" w:cs="Times New Roman"/>
          <w:sz w:val="24"/>
          <w:szCs w:val="24"/>
        </w:rPr>
        <w:t>pueden recibir y derivar las denuncias recibidas, por violencia y\o discriminación de las mujeres adultos mayores</w:t>
      </w:r>
      <w:r w:rsidR="000E11B4" w:rsidRPr="00333D1E">
        <w:rPr>
          <w:rFonts w:ascii="Bookman Old Style" w:hAnsi="Bookman Old Style" w:cs="Times New Roman"/>
          <w:sz w:val="24"/>
          <w:szCs w:val="24"/>
        </w:rPr>
        <w:t xml:space="preserve"> y en SEDIS a través de la DIGAM, en caso de ser necesario. </w:t>
      </w:r>
    </w:p>
    <w:p w14:paraId="1C0EB550" w14:textId="25F5B749" w:rsidR="00C702C5" w:rsidRPr="00333D1E" w:rsidRDefault="00BE6945" w:rsidP="003E6B81">
      <w:pPr>
        <w:spacing w:line="360" w:lineRule="auto"/>
        <w:ind w:left="-180" w:right="-342"/>
        <w:jc w:val="both"/>
        <w:rPr>
          <w:rFonts w:ascii="Bookman Old Style" w:hAnsi="Bookman Old Style" w:cs="Times New Roman"/>
          <w:sz w:val="24"/>
          <w:szCs w:val="24"/>
        </w:rPr>
      </w:pPr>
      <w:r w:rsidRPr="00333D1E">
        <w:rPr>
          <w:rFonts w:ascii="Bookman Old Style" w:hAnsi="Bookman Old Style" w:cs="Times New Roman"/>
          <w:sz w:val="24"/>
          <w:szCs w:val="24"/>
        </w:rPr>
        <w:t xml:space="preserve"> </w:t>
      </w:r>
    </w:p>
    <w:sectPr w:rsidR="00C702C5" w:rsidRPr="00333D1E" w:rsidSect="006539A8">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2407F" w14:textId="77777777" w:rsidR="00E12F0A" w:rsidRDefault="00E12F0A" w:rsidP="00163220">
      <w:pPr>
        <w:spacing w:after="0" w:line="240" w:lineRule="auto"/>
      </w:pPr>
      <w:r>
        <w:separator/>
      </w:r>
    </w:p>
  </w:endnote>
  <w:endnote w:type="continuationSeparator" w:id="0">
    <w:p w14:paraId="79CAD7B5" w14:textId="77777777" w:rsidR="00E12F0A" w:rsidRDefault="00E12F0A" w:rsidP="00163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9783" w14:textId="77777777" w:rsidR="001A441C" w:rsidRDefault="001A4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man Old Style" w:hAnsi="Bookman Old Style"/>
        <w:sz w:val="20"/>
        <w:szCs w:val="20"/>
      </w:rPr>
      <w:id w:val="-1201855933"/>
      <w:docPartObj>
        <w:docPartGallery w:val="Page Numbers (Bottom of Page)"/>
        <w:docPartUnique/>
      </w:docPartObj>
    </w:sdtPr>
    <w:sdtEndPr/>
    <w:sdtContent>
      <w:p w14:paraId="0E58370F" w14:textId="49E17BD5" w:rsidR="0080621E" w:rsidRPr="009D3F50" w:rsidRDefault="0080621E" w:rsidP="009D3F50">
        <w:pPr>
          <w:pStyle w:val="Footer"/>
          <w:jc w:val="right"/>
          <w:rPr>
            <w:rFonts w:ascii="Bookman Old Style" w:hAnsi="Bookman Old Style"/>
            <w:sz w:val="20"/>
            <w:szCs w:val="20"/>
          </w:rPr>
        </w:pPr>
        <w:r w:rsidRPr="009D3F50">
          <w:rPr>
            <w:rFonts w:ascii="Bookman Old Style" w:hAnsi="Bookman Old Style"/>
            <w:sz w:val="20"/>
            <w:szCs w:val="20"/>
          </w:rPr>
          <w:t>Oficio No. SEDH-</w:t>
        </w:r>
        <w:r w:rsidR="00CD01DA">
          <w:rPr>
            <w:rFonts w:ascii="Bookman Old Style" w:hAnsi="Bookman Old Style"/>
            <w:sz w:val="20"/>
            <w:szCs w:val="20"/>
          </w:rPr>
          <w:t>128</w:t>
        </w:r>
        <w:r w:rsidRPr="009D3F50">
          <w:rPr>
            <w:rFonts w:ascii="Bookman Old Style" w:hAnsi="Bookman Old Style"/>
            <w:sz w:val="20"/>
            <w:szCs w:val="20"/>
          </w:rPr>
          <w:t xml:space="preserve">-2021 pág. </w:t>
        </w:r>
        <w:r w:rsidRPr="009D3F50">
          <w:rPr>
            <w:rFonts w:ascii="Bookman Old Style" w:hAnsi="Bookman Old Style"/>
            <w:sz w:val="20"/>
            <w:szCs w:val="20"/>
          </w:rPr>
          <w:fldChar w:fldCharType="begin"/>
        </w:r>
        <w:r w:rsidRPr="009D3F50">
          <w:rPr>
            <w:rFonts w:ascii="Bookman Old Style" w:hAnsi="Bookman Old Style"/>
            <w:sz w:val="20"/>
            <w:szCs w:val="20"/>
          </w:rPr>
          <w:instrText>PAGE   \* MERGEFORMAT</w:instrText>
        </w:r>
        <w:r w:rsidRPr="009D3F50">
          <w:rPr>
            <w:rFonts w:ascii="Bookman Old Style" w:hAnsi="Bookman Old Style"/>
            <w:sz w:val="20"/>
            <w:szCs w:val="20"/>
          </w:rPr>
          <w:fldChar w:fldCharType="separate"/>
        </w:r>
        <w:r w:rsidR="001A441C" w:rsidRPr="001A441C">
          <w:rPr>
            <w:rFonts w:ascii="Bookman Old Style" w:hAnsi="Bookman Old Style"/>
            <w:noProof/>
            <w:sz w:val="20"/>
            <w:szCs w:val="20"/>
            <w:lang w:val="es-ES"/>
          </w:rPr>
          <w:t>9</w:t>
        </w:r>
        <w:r w:rsidRPr="009D3F50">
          <w:rPr>
            <w:rFonts w:ascii="Bookman Old Style" w:hAnsi="Bookman Old Style"/>
            <w:sz w:val="20"/>
            <w:szCs w:val="20"/>
          </w:rPr>
          <w:fldChar w:fldCharType="end"/>
        </w:r>
        <w:r w:rsidR="00271764" w:rsidRPr="009D3F50">
          <w:rPr>
            <w:rFonts w:ascii="Bookman Old Style" w:hAnsi="Bookman Old Style"/>
            <w:sz w:val="20"/>
            <w:szCs w:val="20"/>
          </w:rPr>
          <w:t>/</w:t>
        </w:r>
        <w:r w:rsidR="00CD01DA">
          <w:rPr>
            <w:rFonts w:ascii="Bookman Old Style" w:hAnsi="Bookman Old Style"/>
            <w:sz w:val="20"/>
            <w:szCs w:val="20"/>
          </w:rPr>
          <w:t>30</w:t>
        </w:r>
      </w:p>
    </w:sdtContent>
  </w:sdt>
  <w:p w14:paraId="6944FE42" w14:textId="77777777" w:rsidR="0080621E" w:rsidRPr="009D3F50" w:rsidRDefault="0080621E" w:rsidP="009D3F50">
    <w:pPr>
      <w:pStyle w:val="Footer"/>
      <w:jc w:val="righ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1EFA" w14:textId="77777777" w:rsidR="001A441C" w:rsidRDefault="001A4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1D205" w14:textId="77777777" w:rsidR="00E12F0A" w:rsidRDefault="00E12F0A" w:rsidP="00163220">
      <w:pPr>
        <w:spacing w:after="0" w:line="240" w:lineRule="auto"/>
      </w:pPr>
      <w:r>
        <w:separator/>
      </w:r>
    </w:p>
  </w:footnote>
  <w:footnote w:type="continuationSeparator" w:id="0">
    <w:p w14:paraId="2DE6BE3D" w14:textId="77777777" w:rsidR="00E12F0A" w:rsidRDefault="00E12F0A" w:rsidP="00163220">
      <w:pPr>
        <w:spacing w:after="0" w:line="240" w:lineRule="auto"/>
      </w:pPr>
      <w:r>
        <w:continuationSeparator/>
      </w:r>
    </w:p>
  </w:footnote>
  <w:footnote w:id="1">
    <w:p w14:paraId="18B8D5DE" w14:textId="77777777" w:rsidR="00341884" w:rsidRPr="009D3F50" w:rsidRDefault="00341884"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Ratificados el 17 de febrero de 1981</w:t>
      </w:r>
      <w:r w:rsidRPr="009D3F50">
        <w:rPr>
          <w:rFonts w:ascii="Bookman Old Style" w:hAnsi="Bookman Old Style" w:cs="Times New Roman"/>
          <w:color w:val="385623" w:themeColor="accent6" w:themeShade="80"/>
        </w:rPr>
        <w:t xml:space="preserve"> </w:t>
      </w:r>
      <w:r w:rsidRPr="009D3F50">
        <w:rPr>
          <w:rFonts w:ascii="Bookman Old Style" w:hAnsi="Bookman Old Style"/>
        </w:rPr>
        <w:t>y el 16 de enero de 2018 respectivamente.</w:t>
      </w:r>
    </w:p>
  </w:footnote>
  <w:footnote w:id="2">
    <w:p w14:paraId="7BD99497"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Ratificada el 3 de marzo de 1983.</w:t>
      </w:r>
    </w:p>
  </w:footnote>
  <w:footnote w:id="3">
    <w:p w14:paraId="65266A60"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1" w:history="1">
        <w:r w:rsidRPr="009D3F50">
          <w:rPr>
            <w:rStyle w:val="Hyperlink"/>
            <w:rFonts w:ascii="Bookman Old Style" w:hAnsi="Bookman Old Style"/>
          </w:rPr>
          <w:t>https://www.ine.gob.hn/V3/ephpm/</w:t>
        </w:r>
      </w:hyperlink>
      <w:r w:rsidRPr="009D3F50">
        <w:rPr>
          <w:rFonts w:ascii="Bookman Old Style" w:hAnsi="Bookman Old Style"/>
        </w:rPr>
        <w:t xml:space="preserve"> el 15 de marzo de 2021.</w:t>
      </w:r>
    </w:p>
  </w:footnote>
  <w:footnote w:id="4">
    <w:p w14:paraId="0DCBD918"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2" w:history="1">
        <w:r w:rsidRPr="009D3F50">
          <w:rPr>
            <w:rStyle w:val="Hyperlink"/>
            <w:rFonts w:ascii="Bookman Old Style" w:hAnsi="Bookman Old Style"/>
          </w:rPr>
          <w:t>https://www.ine.gob.hn/publicaciones/endesa/Honduras-ENDESA-2011-2012.pdf</w:t>
        </w:r>
      </w:hyperlink>
      <w:r w:rsidRPr="009D3F50">
        <w:rPr>
          <w:rFonts w:ascii="Bookman Old Style" w:hAnsi="Bookman Old Style"/>
        </w:rPr>
        <w:t xml:space="preserve"> el 15 de marzo de 2021.</w:t>
      </w:r>
    </w:p>
  </w:footnote>
  <w:footnote w:id="5">
    <w:p w14:paraId="605416A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Ley de Protección Adulto Mayor y Jubilados. Decreto No. 199-2006, publicada el 21 de julio de 2017.</w:t>
      </w:r>
    </w:p>
  </w:footnote>
  <w:footnote w:id="6">
    <w:p w14:paraId="14F4FF13" w14:textId="3923924B"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estadísticos INE.</w:t>
      </w:r>
    </w:p>
  </w:footnote>
  <w:footnote w:id="7">
    <w:p w14:paraId="15EA348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Adultez Mayor: Una larga vida sin seguridad social Honduras es un país catalogado como de envejecimiento incipiente (</w:t>
      </w:r>
      <w:proofErr w:type="spellStart"/>
      <w:r w:rsidRPr="009D3F50">
        <w:rPr>
          <w:rFonts w:ascii="Bookman Old Style" w:hAnsi="Bookman Old Style"/>
        </w:rPr>
        <w:t>Cecchini</w:t>
      </w:r>
      <w:proofErr w:type="spellEnd"/>
      <w:r w:rsidRPr="009D3F50">
        <w:rPr>
          <w:rFonts w:ascii="Bookman Old Style" w:hAnsi="Bookman Old Style"/>
        </w:rPr>
        <w:t xml:space="preserve"> </w:t>
      </w:r>
      <w:proofErr w:type="spellStart"/>
      <w:r w:rsidRPr="009D3F50">
        <w:rPr>
          <w:rFonts w:ascii="Bookman Old Style" w:hAnsi="Bookman Old Style"/>
        </w:rPr>
        <w:t>Filgueira</w:t>
      </w:r>
      <w:proofErr w:type="spellEnd"/>
      <w:r w:rsidRPr="009D3F50">
        <w:rPr>
          <w:rFonts w:ascii="Bookman Old Style" w:hAnsi="Bookman Old Style"/>
        </w:rPr>
        <w:t xml:space="preserve">, Martínez &amp; </w:t>
      </w:r>
      <w:proofErr w:type="spellStart"/>
      <w:r w:rsidRPr="009D3F50">
        <w:rPr>
          <w:rFonts w:ascii="Bookman Old Style" w:hAnsi="Bookman Old Style"/>
        </w:rPr>
        <w:t>Rossel</w:t>
      </w:r>
      <w:proofErr w:type="spellEnd"/>
      <w:r w:rsidRPr="009D3F50">
        <w:rPr>
          <w:rFonts w:ascii="Bookman Old Style" w:hAnsi="Bookman Old Style"/>
        </w:rPr>
        <w:t>, 2015:228)</w:t>
      </w:r>
    </w:p>
  </w:footnote>
  <w:footnote w:id="8">
    <w:p w14:paraId="54EEC4FC"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lang w:val="es-419"/>
        </w:rPr>
        <w:t xml:space="preserve">Consultado en el Link: </w:t>
      </w:r>
      <w:hyperlink r:id="rId3" w:history="1">
        <w:r w:rsidRPr="009D3F50">
          <w:rPr>
            <w:rStyle w:val="Hyperlink"/>
            <w:rFonts w:ascii="Bookman Old Style" w:hAnsi="Bookman Old Style"/>
            <w:bCs/>
            <w:lang w:val="es-419"/>
          </w:rPr>
          <w:t>https://portalunico.iaip.gob.hn/portal/ver_documento.php?uid=OTc2ODAzODkzNDc2MzQ4NzEyNDYxOTg3MjM0Mg</w:t>
        </w:r>
      </w:hyperlink>
      <w:r w:rsidRPr="009D3F50">
        <w:rPr>
          <w:rFonts w:ascii="Bookman Old Style" w:hAnsi="Bookman Old Style"/>
          <w:bCs/>
          <w:lang w:val="es-419"/>
        </w:rPr>
        <w:t>==</w:t>
      </w:r>
      <w:r w:rsidR="000D3BA1" w:rsidRPr="009D3F50">
        <w:rPr>
          <w:rFonts w:ascii="Bookman Old Style" w:hAnsi="Bookman Old Style"/>
          <w:bCs/>
          <w:lang w:val="es-419"/>
        </w:rPr>
        <w:t xml:space="preserve"> en 15 de marzo de 2021.</w:t>
      </w:r>
    </w:p>
  </w:footnote>
  <w:footnote w:id="9">
    <w:p w14:paraId="6707E77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4" w:history="1">
        <w:r w:rsidRPr="009D3F50">
          <w:rPr>
            <w:rStyle w:val="Hyperlink"/>
            <w:rFonts w:ascii="Bookman Old Style" w:hAnsi="Bookman Old Style"/>
          </w:rPr>
          <w:t>https://sedis.gob.hn/sites/default/files/2020-10/Abordaje%20comunitario%20con%20enfoque%20domiciliar.pdf</w:t>
        </w:r>
      </w:hyperlink>
      <w:r w:rsidR="000D3BA1" w:rsidRPr="009D3F50">
        <w:rPr>
          <w:rFonts w:ascii="Bookman Old Style" w:hAnsi="Bookman Old Style"/>
        </w:rPr>
        <w:t xml:space="preserve"> en 15 de marzo de 2021.</w:t>
      </w:r>
    </w:p>
  </w:footnote>
  <w:footnote w:id="10">
    <w:p w14:paraId="35488E7D"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11">
    <w:p w14:paraId="3B8F105A" w14:textId="77777777" w:rsidR="00032246" w:rsidRPr="009D3F50" w:rsidRDefault="00032246" w:rsidP="009D3F50">
      <w:pPr>
        <w:pStyle w:val="FootnoteText"/>
        <w:jc w:val="both"/>
        <w:rPr>
          <w:rFonts w:ascii="Bookman Old Style" w:hAnsi="Bookman Old Style"/>
          <w:lang w:val="es-419"/>
        </w:rPr>
      </w:pPr>
      <w:r w:rsidRPr="009D3F50">
        <w:rPr>
          <w:rStyle w:val="FootnoteReference"/>
          <w:rFonts w:ascii="Bookman Old Style" w:hAnsi="Bookman Old Style"/>
        </w:rPr>
        <w:footnoteRef/>
      </w:r>
      <w:r w:rsidR="000D3BA1" w:rsidRPr="009D3F50">
        <w:rPr>
          <w:rFonts w:ascii="Bookman Old Style" w:hAnsi="Bookman Old Style"/>
        </w:rPr>
        <w:t xml:space="preserve"> </w:t>
      </w:r>
      <w:r w:rsidRPr="009D3F50">
        <w:rPr>
          <w:rFonts w:ascii="Bookman Old Style" w:hAnsi="Bookman Old Style"/>
        </w:rPr>
        <w:t xml:space="preserve">Consultado en el Link: </w:t>
      </w:r>
      <w:hyperlink r:id="rId5" w:history="1">
        <w:r w:rsidRPr="009D3F50">
          <w:rPr>
            <w:rStyle w:val="Hyperlink"/>
            <w:rFonts w:ascii="Bookman Old Style" w:hAnsi="Bookman Old Style"/>
          </w:rPr>
          <w:t>http://www.sedis.gob.hn/node/6097</w:t>
        </w:r>
      </w:hyperlink>
      <w:r w:rsidRPr="009D3F50">
        <w:rPr>
          <w:rFonts w:ascii="Bookman Old Style" w:hAnsi="Bookman Old Style"/>
        </w:rPr>
        <w:t xml:space="preserve"> </w:t>
      </w:r>
      <w:r w:rsidR="000D3BA1" w:rsidRPr="009D3F50">
        <w:rPr>
          <w:rFonts w:ascii="Bookman Old Style" w:hAnsi="Bookman Old Style"/>
        </w:rPr>
        <w:t>el 20 de febrero de 2021.</w:t>
      </w:r>
    </w:p>
  </w:footnote>
  <w:footnote w:id="12">
    <w:p w14:paraId="7A731659"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13">
    <w:p w14:paraId="2C2D4361"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Datos de SEDIS 2020.</w:t>
      </w:r>
    </w:p>
  </w:footnote>
  <w:footnote w:id="14">
    <w:p w14:paraId="5F7E9B35"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Consultado en el Link: </w:t>
      </w:r>
      <w:hyperlink r:id="rId6" w:history="1">
        <w:r w:rsidRPr="009D3F50">
          <w:rPr>
            <w:rStyle w:val="Hyperlink"/>
            <w:rFonts w:ascii="Bookman Old Style" w:hAnsi="Bookman Old Style"/>
          </w:rPr>
          <w:t>http://www.copeco.gob.hn/?q=emergencia-eta</w:t>
        </w:r>
      </w:hyperlink>
      <w:r w:rsidRPr="009D3F50">
        <w:rPr>
          <w:rFonts w:ascii="Bookman Old Style" w:hAnsi="Bookman Old Style"/>
        </w:rPr>
        <w:t xml:space="preserve"> el 20 de febrero de 2021.</w:t>
      </w:r>
    </w:p>
  </w:footnote>
  <w:footnote w:id="15">
    <w:p w14:paraId="17151839"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Decreto Legislativo No. 130-2017, publicado en Diario Oficial La Gaceta No. 34,940 del 10 de mayo de 2019.</w:t>
      </w:r>
    </w:p>
  </w:footnote>
  <w:footnote w:id="16">
    <w:p w14:paraId="1F4EFFA0" w14:textId="77777777" w:rsidR="00032246" w:rsidRPr="009D3F50" w:rsidRDefault="00032246" w:rsidP="009D3F50">
      <w:pPr>
        <w:pStyle w:val="FootnoteText"/>
        <w:jc w:val="both"/>
        <w:rPr>
          <w:rFonts w:ascii="Bookman Old Style" w:hAnsi="Bookman Old Style"/>
        </w:rPr>
      </w:pPr>
      <w:r w:rsidRPr="009D3F50">
        <w:rPr>
          <w:rStyle w:val="FootnoteReference"/>
          <w:rFonts w:ascii="Bookman Old Style" w:hAnsi="Bookman Old Style"/>
        </w:rPr>
        <w:footnoteRef/>
      </w:r>
      <w:r w:rsidRPr="009D3F50">
        <w:rPr>
          <w:rFonts w:ascii="Bookman Old Style" w:hAnsi="Bookman Old Style"/>
        </w:rPr>
        <w:t xml:space="preserve"> Artículo 222 del Código Penal. Decreto Legislativo No. 130-2017.</w:t>
      </w:r>
    </w:p>
  </w:footnote>
  <w:footnote w:id="17">
    <w:p w14:paraId="34B16A74" w14:textId="77777777" w:rsidR="000D3BA1" w:rsidRPr="009D3F50" w:rsidRDefault="000D3BA1" w:rsidP="009D3F50">
      <w:pPr>
        <w:pStyle w:val="FootnoteText"/>
        <w:jc w:val="both"/>
        <w:rPr>
          <w:rFonts w:ascii="Bookman Old Style" w:hAnsi="Bookman Old Style"/>
          <w:bCs/>
          <w:lang w:val="es-HN"/>
        </w:rPr>
      </w:pPr>
      <w:r w:rsidRPr="009D3F50">
        <w:rPr>
          <w:rStyle w:val="FootnoteReference"/>
          <w:rFonts w:ascii="Bookman Old Style" w:hAnsi="Bookman Old Style"/>
        </w:rPr>
        <w:footnoteRef/>
      </w:r>
      <w:r w:rsidRPr="009D3F50">
        <w:rPr>
          <w:rFonts w:ascii="Bookman Old Style" w:hAnsi="Bookman Old Style"/>
        </w:rPr>
        <w:t xml:space="preserve"> </w:t>
      </w:r>
      <w:r w:rsidRPr="009D3F50">
        <w:rPr>
          <w:rFonts w:ascii="Bookman Old Style" w:hAnsi="Bookman Old Style"/>
          <w:bCs/>
          <w:lang w:val="es-HN"/>
        </w:rPr>
        <w:t>Noveno Informe Periódico del Estado de Honduras Relativo a la Convención sobre la Eliminación de Todas las Formas de Discriminación Contra la Mujer.</w:t>
      </w:r>
      <w:r w:rsidRPr="009D3F50">
        <w:rPr>
          <w:rFonts w:ascii="Bookman Old Style" w:hAnsi="Bookman Old Style"/>
        </w:rPr>
        <w:t xml:space="preserve"> </w:t>
      </w:r>
    </w:p>
  </w:footnote>
  <w:footnote w:id="18">
    <w:p w14:paraId="154DA901" w14:textId="77777777" w:rsidR="00032246" w:rsidRPr="009D3F50" w:rsidRDefault="00032246" w:rsidP="009D3F50">
      <w:pPr>
        <w:pBdr>
          <w:top w:val="nil"/>
          <w:left w:val="nil"/>
          <w:bottom w:val="nil"/>
          <w:right w:val="nil"/>
          <w:between w:val="nil"/>
        </w:pBdr>
        <w:jc w:val="both"/>
        <w:rPr>
          <w:rFonts w:ascii="Bookman Old Style" w:hAnsi="Bookman Old Style"/>
          <w:color w:val="000000"/>
          <w:sz w:val="20"/>
          <w:szCs w:val="20"/>
          <w:lang w:val="es-HN"/>
        </w:rPr>
      </w:pPr>
      <w:r w:rsidRPr="009D3F50">
        <w:rPr>
          <w:rFonts w:ascii="Bookman Old Style" w:hAnsi="Bookman Old Style"/>
          <w:sz w:val="20"/>
          <w:szCs w:val="20"/>
          <w:vertAlign w:val="superscript"/>
        </w:rPr>
        <w:footnoteRef/>
      </w:r>
      <w:r w:rsidRPr="009D3F50">
        <w:rPr>
          <w:rFonts w:ascii="Bookman Old Style" w:hAnsi="Bookman Old Style"/>
          <w:color w:val="000000"/>
          <w:sz w:val="20"/>
          <w:szCs w:val="20"/>
          <w:lang w:val="es-HN"/>
        </w:rPr>
        <w:t xml:space="preserve"> Decreto Legislativo 99-20, </w:t>
      </w:r>
      <w:r w:rsidR="000D3BA1" w:rsidRPr="009D3F50">
        <w:rPr>
          <w:rFonts w:ascii="Bookman Old Style" w:hAnsi="Bookman Old Style"/>
          <w:color w:val="000000"/>
          <w:sz w:val="20"/>
          <w:szCs w:val="20"/>
          <w:lang w:val="es-HN"/>
        </w:rPr>
        <w:t xml:space="preserve">publicado en el Diario Oficial La </w:t>
      </w:r>
      <w:r w:rsidRPr="009D3F50">
        <w:rPr>
          <w:rFonts w:ascii="Bookman Old Style" w:hAnsi="Bookman Old Style"/>
          <w:color w:val="000000"/>
          <w:sz w:val="20"/>
          <w:szCs w:val="20"/>
          <w:lang w:val="es-HN"/>
        </w:rPr>
        <w:t xml:space="preserve">Gaceta </w:t>
      </w:r>
      <w:r w:rsidR="000D3BA1" w:rsidRPr="009D3F50">
        <w:rPr>
          <w:rFonts w:ascii="Bookman Old Style" w:hAnsi="Bookman Old Style"/>
          <w:color w:val="000000"/>
          <w:sz w:val="20"/>
          <w:szCs w:val="20"/>
          <w:lang w:val="es-HN"/>
        </w:rPr>
        <w:t xml:space="preserve">No. </w:t>
      </w:r>
      <w:r w:rsidRPr="009D3F50">
        <w:rPr>
          <w:rFonts w:ascii="Bookman Old Style" w:hAnsi="Bookman Old Style"/>
          <w:color w:val="000000"/>
          <w:sz w:val="20"/>
          <w:szCs w:val="20"/>
          <w:lang w:val="es-HN"/>
        </w:rPr>
        <w:t>35,353.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72189" w14:textId="77777777" w:rsidR="001A441C" w:rsidRDefault="001A4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FD4B" w14:textId="06EC01A4" w:rsidR="006539A8" w:rsidRDefault="006539A8" w:rsidP="009D3F50">
    <w:pPr>
      <w:pStyle w:val="Header"/>
      <w:tabs>
        <w:tab w:val="clear" w:pos="4419"/>
        <w:tab w:val="clear" w:pos="8838"/>
        <w:tab w:val="left" w:pos="3090"/>
      </w:tabs>
    </w:pPr>
    <w:r>
      <w:rPr>
        <w:noProof/>
        <w:lang w:val="en-GB" w:eastAsia="en-GB"/>
      </w:rPr>
      <w:drawing>
        <wp:anchor distT="0" distB="0" distL="114300" distR="114300" simplePos="0" relativeHeight="251659264" behindDoc="1" locked="0" layoutInCell="1" allowOverlap="1" wp14:anchorId="43BA556F" wp14:editId="5E6C4EC7">
          <wp:simplePos x="0" y="0"/>
          <wp:positionH relativeFrom="page">
            <wp:align>left</wp:align>
          </wp:positionH>
          <wp:positionV relativeFrom="paragraph">
            <wp:posOffset>-688340</wp:posOffset>
          </wp:positionV>
          <wp:extent cx="7791778" cy="1008311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apel Membretado Tamaño Carta-SEDH-01.jpg"/>
                  <pic:cNvPicPr/>
                </pic:nvPicPr>
                <pic:blipFill>
                  <a:blip r:embed="rId1">
                    <a:extLst>
                      <a:ext uri="{28A0092B-C50C-407E-A947-70E740481C1C}">
                        <a14:useLocalDpi xmlns:a14="http://schemas.microsoft.com/office/drawing/2010/main" val="0"/>
                      </a:ext>
                    </a:extLst>
                  </a:blip>
                  <a:stretch>
                    <a:fillRect/>
                  </a:stretch>
                </pic:blipFill>
                <pic:spPr>
                  <a:xfrm>
                    <a:off x="0" y="0"/>
                    <a:ext cx="7791778" cy="10083114"/>
                  </a:xfrm>
                  <a:prstGeom prst="rect">
                    <a:avLst/>
                  </a:prstGeom>
                </pic:spPr>
              </pic:pic>
            </a:graphicData>
          </a:graphic>
          <wp14:sizeRelH relativeFrom="margin">
            <wp14:pctWidth>0</wp14:pctWidth>
          </wp14:sizeRelH>
          <wp14:sizeRelV relativeFrom="margin">
            <wp14:pctHeight>0</wp14:pctHeight>
          </wp14:sizeRelV>
        </wp:anchor>
      </w:drawing>
    </w:r>
    <w:r w:rsidR="009D3F50">
      <w:tab/>
    </w:r>
  </w:p>
  <w:p w14:paraId="251E3210" w14:textId="77777777" w:rsidR="006539A8" w:rsidRDefault="006539A8">
    <w:pPr>
      <w:pStyle w:val="Header"/>
    </w:pPr>
  </w:p>
  <w:p w14:paraId="1273678E" w14:textId="77777777" w:rsidR="006539A8" w:rsidRDefault="006539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73C9" w14:textId="77777777" w:rsidR="001A441C" w:rsidRDefault="001A44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36D44"/>
    <w:multiLevelType w:val="hybridMultilevel"/>
    <w:tmpl w:val="A32660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0FD10980"/>
    <w:multiLevelType w:val="hybridMultilevel"/>
    <w:tmpl w:val="386C16F0"/>
    <w:lvl w:ilvl="0" w:tplc="0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109B2C4C"/>
    <w:multiLevelType w:val="hybridMultilevel"/>
    <w:tmpl w:val="3E54B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91A3B"/>
    <w:multiLevelType w:val="hybridMultilevel"/>
    <w:tmpl w:val="5F62C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CB474A"/>
    <w:multiLevelType w:val="hybridMultilevel"/>
    <w:tmpl w:val="2E584A5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
    <w:nsid w:val="238606DB"/>
    <w:multiLevelType w:val="hybridMultilevel"/>
    <w:tmpl w:val="90B285E6"/>
    <w:lvl w:ilvl="0" w:tplc="65FCD87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35DE2"/>
    <w:multiLevelType w:val="hybridMultilevel"/>
    <w:tmpl w:val="0212BC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EC91383"/>
    <w:multiLevelType w:val="hybridMultilevel"/>
    <w:tmpl w:val="B94E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B90629"/>
    <w:multiLevelType w:val="hybridMultilevel"/>
    <w:tmpl w:val="B8263134"/>
    <w:lvl w:ilvl="0" w:tplc="2990D67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5F3E2F"/>
    <w:multiLevelType w:val="hybridMultilevel"/>
    <w:tmpl w:val="55FAC73E"/>
    <w:lvl w:ilvl="0" w:tplc="3466B9B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CE3234"/>
    <w:multiLevelType w:val="hybridMultilevel"/>
    <w:tmpl w:val="3F2CF34E"/>
    <w:lvl w:ilvl="0" w:tplc="080A0011">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nsid w:val="445F32AE"/>
    <w:multiLevelType w:val="hybridMultilevel"/>
    <w:tmpl w:val="D586EE02"/>
    <w:lvl w:ilvl="0" w:tplc="DCE4AD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E7B74"/>
    <w:multiLevelType w:val="hybridMultilevel"/>
    <w:tmpl w:val="6A9C3C4C"/>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4C941A8F"/>
    <w:multiLevelType w:val="hybridMultilevel"/>
    <w:tmpl w:val="98CEC13C"/>
    <w:lvl w:ilvl="0" w:tplc="9F3E81B2">
      <w:start w:val="1"/>
      <w:numFmt w:val="decimal"/>
      <w:lvlText w:val="%1."/>
      <w:lvlJc w:val="left"/>
      <w:pPr>
        <w:ind w:left="1070" w:hanging="360"/>
      </w:pPr>
      <w:rPr>
        <w:rFonts w:hint="default"/>
        <w:b/>
        <w:bCs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6922D9"/>
    <w:multiLevelType w:val="multilevel"/>
    <w:tmpl w:val="51D49406"/>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3616E1D"/>
    <w:multiLevelType w:val="hybridMultilevel"/>
    <w:tmpl w:val="1DB8604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6">
    <w:nsid w:val="57EC4020"/>
    <w:multiLevelType w:val="hybridMultilevel"/>
    <w:tmpl w:val="7D5CB60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nsid w:val="59C11714"/>
    <w:multiLevelType w:val="hybridMultilevel"/>
    <w:tmpl w:val="FB8A6B2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nsid w:val="608A46E4"/>
    <w:multiLevelType w:val="hybridMultilevel"/>
    <w:tmpl w:val="C194CF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613B4FFF"/>
    <w:multiLevelType w:val="hybridMultilevel"/>
    <w:tmpl w:val="ED8CA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4B3334"/>
    <w:multiLevelType w:val="hybridMultilevel"/>
    <w:tmpl w:val="E490F68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660469A6"/>
    <w:multiLevelType w:val="hybridMultilevel"/>
    <w:tmpl w:val="B0565B76"/>
    <w:lvl w:ilvl="0" w:tplc="AEDE1180">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nsid w:val="674C1F8C"/>
    <w:multiLevelType w:val="hybridMultilevel"/>
    <w:tmpl w:val="05F02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9F77F0E"/>
    <w:multiLevelType w:val="hybridMultilevel"/>
    <w:tmpl w:val="2112048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nsid w:val="6A672DF1"/>
    <w:multiLevelType w:val="hybridMultilevel"/>
    <w:tmpl w:val="4CC0C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0B3685"/>
    <w:multiLevelType w:val="hybridMultilevel"/>
    <w:tmpl w:val="ABFC6A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6FA1493B"/>
    <w:multiLevelType w:val="hybridMultilevel"/>
    <w:tmpl w:val="62D4D2A0"/>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7">
    <w:nsid w:val="778B591E"/>
    <w:multiLevelType w:val="hybridMultilevel"/>
    <w:tmpl w:val="38A6A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A306303"/>
    <w:multiLevelType w:val="hybridMultilevel"/>
    <w:tmpl w:val="7704350C"/>
    <w:lvl w:ilvl="0" w:tplc="65829E6C">
      <w:start w:val="1"/>
      <w:numFmt w:val="lowerLetter"/>
      <w:lvlText w:val="%1)"/>
      <w:lvlJc w:val="left"/>
      <w:pPr>
        <w:ind w:left="720" w:hanging="360"/>
      </w:pPr>
      <w:rPr>
        <w:rFonts w:hint="default"/>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19"/>
  </w:num>
  <w:num w:numId="5">
    <w:abstractNumId w:val="1"/>
  </w:num>
  <w:num w:numId="6">
    <w:abstractNumId w:val="20"/>
  </w:num>
  <w:num w:numId="7">
    <w:abstractNumId w:val="21"/>
  </w:num>
  <w:num w:numId="8">
    <w:abstractNumId w:val="0"/>
  </w:num>
  <w:num w:numId="9">
    <w:abstractNumId w:val="18"/>
  </w:num>
  <w:num w:numId="10">
    <w:abstractNumId w:val="25"/>
  </w:num>
  <w:num w:numId="11">
    <w:abstractNumId w:val="16"/>
  </w:num>
  <w:num w:numId="12">
    <w:abstractNumId w:val="15"/>
  </w:num>
  <w:num w:numId="13">
    <w:abstractNumId w:val="10"/>
  </w:num>
  <w:num w:numId="14">
    <w:abstractNumId w:val="17"/>
  </w:num>
  <w:num w:numId="15">
    <w:abstractNumId w:val="27"/>
  </w:num>
  <w:num w:numId="16">
    <w:abstractNumId w:val="26"/>
  </w:num>
  <w:num w:numId="17">
    <w:abstractNumId w:val="22"/>
  </w:num>
  <w:num w:numId="18">
    <w:abstractNumId w:val="4"/>
  </w:num>
  <w:num w:numId="19">
    <w:abstractNumId w:val="2"/>
  </w:num>
  <w:num w:numId="20">
    <w:abstractNumId w:val="24"/>
  </w:num>
  <w:num w:numId="21">
    <w:abstractNumId w:val="3"/>
  </w:num>
  <w:num w:numId="22">
    <w:abstractNumId w:val="14"/>
  </w:num>
  <w:num w:numId="23">
    <w:abstractNumId w:val="28"/>
  </w:num>
  <w:num w:numId="24">
    <w:abstractNumId w:val="23"/>
  </w:num>
  <w:num w:numId="25">
    <w:abstractNumId w:val="6"/>
  </w:num>
  <w:num w:numId="26">
    <w:abstractNumId w:val="13"/>
  </w:num>
  <w:num w:numId="27">
    <w:abstractNumId w:val="7"/>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01E"/>
    <w:rsid w:val="000116E4"/>
    <w:rsid w:val="00015D4B"/>
    <w:rsid w:val="000270D5"/>
    <w:rsid w:val="00032246"/>
    <w:rsid w:val="00032633"/>
    <w:rsid w:val="000327D8"/>
    <w:rsid w:val="000366E1"/>
    <w:rsid w:val="0004344A"/>
    <w:rsid w:val="00046488"/>
    <w:rsid w:val="00046879"/>
    <w:rsid w:val="00053102"/>
    <w:rsid w:val="00054AF3"/>
    <w:rsid w:val="0006006E"/>
    <w:rsid w:val="00075F08"/>
    <w:rsid w:val="000803DB"/>
    <w:rsid w:val="00083227"/>
    <w:rsid w:val="0009493B"/>
    <w:rsid w:val="00094A18"/>
    <w:rsid w:val="000A59CB"/>
    <w:rsid w:val="000B34F6"/>
    <w:rsid w:val="000C3D98"/>
    <w:rsid w:val="000C51C4"/>
    <w:rsid w:val="000C5326"/>
    <w:rsid w:val="000D3BA1"/>
    <w:rsid w:val="000D5002"/>
    <w:rsid w:val="000D6522"/>
    <w:rsid w:val="000E11B4"/>
    <w:rsid w:val="000F1C31"/>
    <w:rsid w:val="000F3410"/>
    <w:rsid w:val="000F441D"/>
    <w:rsid w:val="000F6AE7"/>
    <w:rsid w:val="00111F75"/>
    <w:rsid w:val="001234E7"/>
    <w:rsid w:val="00123D37"/>
    <w:rsid w:val="00125DC4"/>
    <w:rsid w:val="00136CC9"/>
    <w:rsid w:val="00143A4D"/>
    <w:rsid w:val="001462EF"/>
    <w:rsid w:val="00155E5C"/>
    <w:rsid w:val="00163220"/>
    <w:rsid w:val="0016551D"/>
    <w:rsid w:val="00173D52"/>
    <w:rsid w:val="0017449D"/>
    <w:rsid w:val="0019741F"/>
    <w:rsid w:val="00197565"/>
    <w:rsid w:val="001A305D"/>
    <w:rsid w:val="001A441C"/>
    <w:rsid w:val="001A4AAE"/>
    <w:rsid w:val="001A7CA5"/>
    <w:rsid w:val="001B7416"/>
    <w:rsid w:val="001D1DEA"/>
    <w:rsid w:val="001D45D7"/>
    <w:rsid w:val="001F1142"/>
    <w:rsid w:val="001F161F"/>
    <w:rsid w:val="002017A5"/>
    <w:rsid w:val="00202187"/>
    <w:rsid w:val="00202463"/>
    <w:rsid w:val="0022365E"/>
    <w:rsid w:val="00223F19"/>
    <w:rsid w:val="00254A48"/>
    <w:rsid w:val="00257D61"/>
    <w:rsid w:val="0026778D"/>
    <w:rsid w:val="00271764"/>
    <w:rsid w:val="002A17A5"/>
    <w:rsid w:val="002C3C8E"/>
    <w:rsid w:val="002C495A"/>
    <w:rsid w:val="002C7AEA"/>
    <w:rsid w:val="002D6099"/>
    <w:rsid w:val="002E12E2"/>
    <w:rsid w:val="002E23F4"/>
    <w:rsid w:val="002E409E"/>
    <w:rsid w:val="002E4643"/>
    <w:rsid w:val="002F2B60"/>
    <w:rsid w:val="002F6CA4"/>
    <w:rsid w:val="0030620F"/>
    <w:rsid w:val="00312321"/>
    <w:rsid w:val="003138FF"/>
    <w:rsid w:val="00313DF0"/>
    <w:rsid w:val="00322950"/>
    <w:rsid w:val="00324993"/>
    <w:rsid w:val="00333D1E"/>
    <w:rsid w:val="00341884"/>
    <w:rsid w:val="0034551C"/>
    <w:rsid w:val="003461FE"/>
    <w:rsid w:val="003541D2"/>
    <w:rsid w:val="003645FC"/>
    <w:rsid w:val="0039306D"/>
    <w:rsid w:val="003A4B02"/>
    <w:rsid w:val="003A5B29"/>
    <w:rsid w:val="003A7DB3"/>
    <w:rsid w:val="003B019E"/>
    <w:rsid w:val="003B183C"/>
    <w:rsid w:val="003B596E"/>
    <w:rsid w:val="003C747C"/>
    <w:rsid w:val="003D6905"/>
    <w:rsid w:val="003E6B81"/>
    <w:rsid w:val="003F2101"/>
    <w:rsid w:val="003F2191"/>
    <w:rsid w:val="003F5A13"/>
    <w:rsid w:val="00412B68"/>
    <w:rsid w:val="004266B8"/>
    <w:rsid w:val="0042698C"/>
    <w:rsid w:val="004345BE"/>
    <w:rsid w:val="00437708"/>
    <w:rsid w:val="00443DBE"/>
    <w:rsid w:val="0045573C"/>
    <w:rsid w:val="00461545"/>
    <w:rsid w:val="00464FE5"/>
    <w:rsid w:val="00466CF8"/>
    <w:rsid w:val="00481C0D"/>
    <w:rsid w:val="0049376E"/>
    <w:rsid w:val="004967DF"/>
    <w:rsid w:val="004B518A"/>
    <w:rsid w:val="004B798C"/>
    <w:rsid w:val="004C4215"/>
    <w:rsid w:val="004C7B56"/>
    <w:rsid w:val="004D1F27"/>
    <w:rsid w:val="004F455E"/>
    <w:rsid w:val="005005E6"/>
    <w:rsid w:val="005037A6"/>
    <w:rsid w:val="00504CB5"/>
    <w:rsid w:val="00506789"/>
    <w:rsid w:val="00511760"/>
    <w:rsid w:val="00515B7C"/>
    <w:rsid w:val="00521953"/>
    <w:rsid w:val="0052706B"/>
    <w:rsid w:val="00537274"/>
    <w:rsid w:val="005377F1"/>
    <w:rsid w:val="00547DF6"/>
    <w:rsid w:val="0055346B"/>
    <w:rsid w:val="005537FF"/>
    <w:rsid w:val="00561F7F"/>
    <w:rsid w:val="00575FA9"/>
    <w:rsid w:val="00577F7E"/>
    <w:rsid w:val="0058450A"/>
    <w:rsid w:val="0059002E"/>
    <w:rsid w:val="00594A40"/>
    <w:rsid w:val="005A0185"/>
    <w:rsid w:val="005A0439"/>
    <w:rsid w:val="005A3658"/>
    <w:rsid w:val="005B31D1"/>
    <w:rsid w:val="005C4ABD"/>
    <w:rsid w:val="005C78A9"/>
    <w:rsid w:val="005D17BA"/>
    <w:rsid w:val="005E72E6"/>
    <w:rsid w:val="005F17A1"/>
    <w:rsid w:val="005F5098"/>
    <w:rsid w:val="00603230"/>
    <w:rsid w:val="006276EA"/>
    <w:rsid w:val="0063085E"/>
    <w:rsid w:val="00631B77"/>
    <w:rsid w:val="00634BFC"/>
    <w:rsid w:val="00642186"/>
    <w:rsid w:val="00644380"/>
    <w:rsid w:val="006539A8"/>
    <w:rsid w:val="006556BA"/>
    <w:rsid w:val="0065751E"/>
    <w:rsid w:val="00673AC3"/>
    <w:rsid w:val="00695A3C"/>
    <w:rsid w:val="006B0373"/>
    <w:rsid w:val="006B4829"/>
    <w:rsid w:val="006B7814"/>
    <w:rsid w:val="006C18DB"/>
    <w:rsid w:val="006E667A"/>
    <w:rsid w:val="006F6E2F"/>
    <w:rsid w:val="00710193"/>
    <w:rsid w:val="00723D36"/>
    <w:rsid w:val="00725335"/>
    <w:rsid w:val="0073713A"/>
    <w:rsid w:val="00737754"/>
    <w:rsid w:val="00743168"/>
    <w:rsid w:val="007436F6"/>
    <w:rsid w:val="00751E50"/>
    <w:rsid w:val="00754107"/>
    <w:rsid w:val="00754EB9"/>
    <w:rsid w:val="00755EF3"/>
    <w:rsid w:val="0076009F"/>
    <w:rsid w:val="00774772"/>
    <w:rsid w:val="00776366"/>
    <w:rsid w:val="007773BF"/>
    <w:rsid w:val="00777820"/>
    <w:rsid w:val="0078301E"/>
    <w:rsid w:val="007859DF"/>
    <w:rsid w:val="00790992"/>
    <w:rsid w:val="00792602"/>
    <w:rsid w:val="00796084"/>
    <w:rsid w:val="007A3E1D"/>
    <w:rsid w:val="007C49B9"/>
    <w:rsid w:val="007C6706"/>
    <w:rsid w:val="0080621E"/>
    <w:rsid w:val="0080633A"/>
    <w:rsid w:val="0081589F"/>
    <w:rsid w:val="008166A9"/>
    <w:rsid w:val="00816C19"/>
    <w:rsid w:val="008200A3"/>
    <w:rsid w:val="00820F04"/>
    <w:rsid w:val="00821742"/>
    <w:rsid w:val="008221C0"/>
    <w:rsid w:val="00823851"/>
    <w:rsid w:val="00862095"/>
    <w:rsid w:val="00874350"/>
    <w:rsid w:val="00877689"/>
    <w:rsid w:val="00887069"/>
    <w:rsid w:val="00893F76"/>
    <w:rsid w:val="00897FDC"/>
    <w:rsid w:val="008B7EDF"/>
    <w:rsid w:val="008C23AE"/>
    <w:rsid w:val="008F2293"/>
    <w:rsid w:val="008F5473"/>
    <w:rsid w:val="009079E9"/>
    <w:rsid w:val="00914151"/>
    <w:rsid w:val="00957DED"/>
    <w:rsid w:val="009619AD"/>
    <w:rsid w:val="00965902"/>
    <w:rsid w:val="00977B06"/>
    <w:rsid w:val="00981832"/>
    <w:rsid w:val="009B3E90"/>
    <w:rsid w:val="009B4892"/>
    <w:rsid w:val="009C12E0"/>
    <w:rsid w:val="009C39C2"/>
    <w:rsid w:val="009D100A"/>
    <w:rsid w:val="009D3F50"/>
    <w:rsid w:val="009D5F8C"/>
    <w:rsid w:val="009F0421"/>
    <w:rsid w:val="009F6CAB"/>
    <w:rsid w:val="00A0259A"/>
    <w:rsid w:val="00A073D6"/>
    <w:rsid w:val="00A074A2"/>
    <w:rsid w:val="00A26B28"/>
    <w:rsid w:val="00A31B63"/>
    <w:rsid w:val="00A41E4A"/>
    <w:rsid w:val="00A64BE2"/>
    <w:rsid w:val="00AA5746"/>
    <w:rsid w:val="00AC1A59"/>
    <w:rsid w:val="00AC4E99"/>
    <w:rsid w:val="00AD7D31"/>
    <w:rsid w:val="00AF3240"/>
    <w:rsid w:val="00B2571B"/>
    <w:rsid w:val="00B3126B"/>
    <w:rsid w:val="00B32950"/>
    <w:rsid w:val="00B3379F"/>
    <w:rsid w:val="00B43BB4"/>
    <w:rsid w:val="00B5140A"/>
    <w:rsid w:val="00B53403"/>
    <w:rsid w:val="00B6316F"/>
    <w:rsid w:val="00B80027"/>
    <w:rsid w:val="00B85971"/>
    <w:rsid w:val="00B970F4"/>
    <w:rsid w:val="00BA48B2"/>
    <w:rsid w:val="00BA754E"/>
    <w:rsid w:val="00BB78C1"/>
    <w:rsid w:val="00BC06F9"/>
    <w:rsid w:val="00BC1DE8"/>
    <w:rsid w:val="00BC5090"/>
    <w:rsid w:val="00BD04C5"/>
    <w:rsid w:val="00BD294A"/>
    <w:rsid w:val="00BD3CB5"/>
    <w:rsid w:val="00BE391A"/>
    <w:rsid w:val="00BE64B0"/>
    <w:rsid w:val="00BE6945"/>
    <w:rsid w:val="00C07D38"/>
    <w:rsid w:val="00C07DB8"/>
    <w:rsid w:val="00C2052E"/>
    <w:rsid w:val="00C21CC6"/>
    <w:rsid w:val="00C27578"/>
    <w:rsid w:val="00C464BD"/>
    <w:rsid w:val="00C5729B"/>
    <w:rsid w:val="00C702C5"/>
    <w:rsid w:val="00C73BFB"/>
    <w:rsid w:val="00C74F71"/>
    <w:rsid w:val="00C83060"/>
    <w:rsid w:val="00CA6EAB"/>
    <w:rsid w:val="00CB569D"/>
    <w:rsid w:val="00CC12A3"/>
    <w:rsid w:val="00CC1312"/>
    <w:rsid w:val="00CC330F"/>
    <w:rsid w:val="00CD01DA"/>
    <w:rsid w:val="00CE2AD0"/>
    <w:rsid w:val="00CF53BD"/>
    <w:rsid w:val="00CF74A5"/>
    <w:rsid w:val="00D26843"/>
    <w:rsid w:val="00D30F85"/>
    <w:rsid w:val="00D34978"/>
    <w:rsid w:val="00D349C1"/>
    <w:rsid w:val="00D37B61"/>
    <w:rsid w:val="00D41CB8"/>
    <w:rsid w:val="00D471FD"/>
    <w:rsid w:val="00D63A00"/>
    <w:rsid w:val="00D74A6C"/>
    <w:rsid w:val="00D7782D"/>
    <w:rsid w:val="00D77BD9"/>
    <w:rsid w:val="00D80D96"/>
    <w:rsid w:val="00D86E67"/>
    <w:rsid w:val="00D905A5"/>
    <w:rsid w:val="00D909A3"/>
    <w:rsid w:val="00DA4B5A"/>
    <w:rsid w:val="00DB1793"/>
    <w:rsid w:val="00DC19CD"/>
    <w:rsid w:val="00DD6BA1"/>
    <w:rsid w:val="00DE0DE7"/>
    <w:rsid w:val="00DF4C27"/>
    <w:rsid w:val="00E00897"/>
    <w:rsid w:val="00E02E54"/>
    <w:rsid w:val="00E12F0A"/>
    <w:rsid w:val="00E21B91"/>
    <w:rsid w:val="00E3152B"/>
    <w:rsid w:val="00E360CF"/>
    <w:rsid w:val="00E41240"/>
    <w:rsid w:val="00E42B29"/>
    <w:rsid w:val="00E52E6A"/>
    <w:rsid w:val="00E53452"/>
    <w:rsid w:val="00E53DC3"/>
    <w:rsid w:val="00E6671B"/>
    <w:rsid w:val="00E75F8A"/>
    <w:rsid w:val="00E77770"/>
    <w:rsid w:val="00E817CE"/>
    <w:rsid w:val="00E83E0A"/>
    <w:rsid w:val="00E8579A"/>
    <w:rsid w:val="00E8780A"/>
    <w:rsid w:val="00E90BAA"/>
    <w:rsid w:val="00E93EF4"/>
    <w:rsid w:val="00E96C8F"/>
    <w:rsid w:val="00EB64AF"/>
    <w:rsid w:val="00ED2568"/>
    <w:rsid w:val="00ED5411"/>
    <w:rsid w:val="00EE1FD8"/>
    <w:rsid w:val="00EF4E03"/>
    <w:rsid w:val="00F07CFF"/>
    <w:rsid w:val="00F137BC"/>
    <w:rsid w:val="00F31A9B"/>
    <w:rsid w:val="00F33703"/>
    <w:rsid w:val="00F6773A"/>
    <w:rsid w:val="00F84AD4"/>
    <w:rsid w:val="00F8738C"/>
    <w:rsid w:val="00F9623D"/>
    <w:rsid w:val="00FA28FE"/>
    <w:rsid w:val="00FA7281"/>
    <w:rsid w:val="00FB3479"/>
    <w:rsid w:val="00FC2461"/>
    <w:rsid w:val="00FC3719"/>
    <w:rsid w:val="00FE0FD1"/>
    <w:rsid w:val="00FF6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99FC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1E"/>
  </w:style>
  <w:style w:type="paragraph" w:styleId="Heading1">
    <w:name w:val="heading 1"/>
    <w:basedOn w:val="Normal"/>
    <w:next w:val="Normal"/>
    <w:link w:val="Heading1Char"/>
    <w:uiPriority w:val="9"/>
    <w:qFormat/>
    <w:rsid w:val="003645FC"/>
    <w:pPr>
      <w:keepNext/>
      <w:keepLines/>
      <w:spacing w:before="240" w:after="0" w:line="480" w:lineRule="auto"/>
      <w:jc w:val="both"/>
      <w:outlineLvl w:val="0"/>
    </w:pPr>
    <w:rPr>
      <w:rFonts w:ascii="Bookman Old Style" w:eastAsiaTheme="majorEastAsia" w:hAnsi="Bookman Old Style" w:cstheme="majorBidi"/>
      <w:i/>
      <w:color w:val="000000" w:themeColor="text1"/>
      <w:sz w:val="24"/>
      <w:szCs w:val="32"/>
    </w:rPr>
  </w:style>
  <w:style w:type="paragraph" w:styleId="Heading2">
    <w:name w:val="heading 2"/>
    <w:basedOn w:val="Normal"/>
    <w:next w:val="Normal"/>
    <w:link w:val="Heading2Char"/>
    <w:uiPriority w:val="9"/>
    <w:unhideWhenUsed/>
    <w:qFormat/>
    <w:rsid w:val="00792602"/>
    <w:pPr>
      <w:keepNext/>
      <w:keepLines/>
      <w:spacing w:before="40" w:after="0" w:line="360" w:lineRule="auto"/>
      <w:jc w:val="both"/>
      <w:outlineLvl w:val="1"/>
    </w:pPr>
    <w:rPr>
      <w:rFonts w:ascii="Bookman Old Style" w:eastAsiaTheme="majorEastAsia" w:hAnsi="Bookman Old Style" w:cstheme="majorBidi"/>
      <w:color w:val="000000" w:themeColor="text1"/>
      <w:sz w:val="24"/>
      <w:szCs w:val="26"/>
    </w:rPr>
  </w:style>
  <w:style w:type="paragraph" w:styleId="Heading3">
    <w:name w:val="heading 3"/>
    <w:basedOn w:val="Normal"/>
    <w:next w:val="Normal"/>
    <w:link w:val="Heading3Char"/>
    <w:uiPriority w:val="9"/>
    <w:unhideWhenUsed/>
    <w:qFormat/>
    <w:rsid w:val="0022365E"/>
    <w:pPr>
      <w:keepNext/>
      <w:keepLines/>
      <w:spacing w:before="40" w:after="0"/>
      <w:jc w:val="both"/>
      <w:outlineLvl w:val="2"/>
    </w:pPr>
    <w:rPr>
      <w:rFonts w:ascii="Bookman Old Style" w:eastAsiaTheme="majorEastAsia" w:hAnsi="Bookman Old Style" w:cstheme="majorBidi"/>
      <w:b/>
      <w:color w:val="000000" w:themeColor="text1"/>
      <w:sz w:val="24"/>
      <w:szCs w:val="24"/>
    </w:rPr>
  </w:style>
  <w:style w:type="paragraph" w:styleId="Heading4">
    <w:name w:val="heading 4"/>
    <w:basedOn w:val="Normal"/>
    <w:next w:val="Normal"/>
    <w:link w:val="Heading4Char"/>
    <w:uiPriority w:val="9"/>
    <w:semiHidden/>
    <w:unhideWhenUsed/>
    <w:qFormat/>
    <w:rsid w:val="00792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01E"/>
    <w:rPr>
      <w:color w:val="0563C1" w:themeColor="hyperlink"/>
      <w:u w:val="single"/>
    </w:rPr>
  </w:style>
  <w:style w:type="character" w:customStyle="1" w:styleId="UnresolvedMention1">
    <w:name w:val="Unresolved Mention1"/>
    <w:basedOn w:val="DefaultParagraphFont"/>
    <w:uiPriority w:val="99"/>
    <w:semiHidden/>
    <w:unhideWhenUsed/>
    <w:rsid w:val="0078301E"/>
    <w:rPr>
      <w:color w:val="605E5C"/>
      <w:shd w:val="clear" w:color="auto" w:fill="E1DFDD"/>
    </w:rPr>
  </w:style>
  <w:style w:type="paragraph" w:styleId="ListParagraph">
    <w:name w:val="List Paragraph"/>
    <w:basedOn w:val="Normal"/>
    <w:uiPriority w:val="34"/>
    <w:qFormat/>
    <w:rsid w:val="0078301E"/>
    <w:pPr>
      <w:ind w:left="720"/>
      <w:contextualSpacing/>
    </w:pPr>
  </w:style>
  <w:style w:type="paragraph" w:styleId="FootnoteText">
    <w:name w:val="footnote text"/>
    <w:basedOn w:val="Normal"/>
    <w:link w:val="FootnoteTextChar"/>
    <w:uiPriority w:val="99"/>
    <w:unhideWhenUsed/>
    <w:rsid w:val="00163220"/>
    <w:pPr>
      <w:spacing w:after="0" w:line="240" w:lineRule="auto"/>
    </w:pPr>
    <w:rPr>
      <w:sz w:val="20"/>
      <w:szCs w:val="20"/>
    </w:rPr>
  </w:style>
  <w:style w:type="character" w:customStyle="1" w:styleId="FootnoteTextChar">
    <w:name w:val="Footnote Text Char"/>
    <w:basedOn w:val="DefaultParagraphFont"/>
    <w:link w:val="FootnoteText"/>
    <w:uiPriority w:val="99"/>
    <w:rsid w:val="00163220"/>
    <w:rPr>
      <w:sz w:val="20"/>
      <w:szCs w:val="20"/>
    </w:rPr>
  </w:style>
  <w:style w:type="character" w:styleId="FootnoteReference">
    <w:name w:val="footnote reference"/>
    <w:basedOn w:val="DefaultParagraphFont"/>
    <w:uiPriority w:val="99"/>
    <w:unhideWhenUsed/>
    <w:rsid w:val="00163220"/>
    <w:rPr>
      <w:vertAlign w:val="superscript"/>
    </w:rPr>
  </w:style>
  <w:style w:type="paragraph" w:styleId="Header">
    <w:name w:val="header"/>
    <w:basedOn w:val="Normal"/>
    <w:link w:val="HeaderChar"/>
    <w:uiPriority w:val="99"/>
    <w:unhideWhenUsed/>
    <w:rsid w:val="005C78A9"/>
    <w:pPr>
      <w:tabs>
        <w:tab w:val="center" w:pos="4419"/>
        <w:tab w:val="right" w:pos="8838"/>
      </w:tabs>
      <w:spacing w:after="0" w:line="240" w:lineRule="auto"/>
    </w:pPr>
  </w:style>
  <w:style w:type="character" w:customStyle="1" w:styleId="HeaderChar">
    <w:name w:val="Header Char"/>
    <w:basedOn w:val="DefaultParagraphFont"/>
    <w:link w:val="Header"/>
    <w:uiPriority w:val="99"/>
    <w:rsid w:val="005C78A9"/>
  </w:style>
  <w:style w:type="paragraph" w:styleId="Footer">
    <w:name w:val="footer"/>
    <w:basedOn w:val="Normal"/>
    <w:link w:val="FooterChar"/>
    <w:uiPriority w:val="99"/>
    <w:unhideWhenUsed/>
    <w:rsid w:val="005C78A9"/>
    <w:pPr>
      <w:tabs>
        <w:tab w:val="center" w:pos="4419"/>
        <w:tab w:val="right" w:pos="8838"/>
      </w:tabs>
      <w:spacing w:after="0" w:line="240" w:lineRule="auto"/>
    </w:pPr>
  </w:style>
  <w:style w:type="character" w:customStyle="1" w:styleId="FooterChar">
    <w:name w:val="Footer Char"/>
    <w:basedOn w:val="DefaultParagraphFont"/>
    <w:link w:val="Footer"/>
    <w:uiPriority w:val="99"/>
    <w:rsid w:val="005C78A9"/>
  </w:style>
  <w:style w:type="character" w:styleId="CommentReference">
    <w:name w:val="annotation reference"/>
    <w:basedOn w:val="DefaultParagraphFont"/>
    <w:uiPriority w:val="99"/>
    <w:semiHidden/>
    <w:unhideWhenUsed/>
    <w:rsid w:val="00A64BE2"/>
    <w:rPr>
      <w:sz w:val="16"/>
      <w:szCs w:val="16"/>
    </w:rPr>
  </w:style>
  <w:style w:type="paragraph" w:styleId="CommentText">
    <w:name w:val="annotation text"/>
    <w:basedOn w:val="Normal"/>
    <w:link w:val="CommentTextChar"/>
    <w:uiPriority w:val="99"/>
    <w:semiHidden/>
    <w:unhideWhenUsed/>
    <w:rsid w:val="00A64BE2"/>
    <w:pPr>
      <w:spacing w:line="240" w:lineRule="auto"/>
    </w:pPr>
    <w:rPr>
      <w:sz w:val="20"/>
      <w:szCs w:val="20"/>
    </w:rPr>
  </w:style>
  <w:style w:type="character" w:customStyle="1" w:styleId="CommentTextChar">
    <w:name w:val="Comment Text Char"/>
    <w:basedOn w:val="DefaultParagraphFont"/>
    <w:link w:val="CommentText"/>
    <w:uiPriority w:val="99"/>
    <w:semiHidden/>
    <w:rsid w:val="00A64BE2"/>
    <w:rPr>
      <w:sz w:val="20"/>
      <w:szCs w:val="20"/>
    </w:rPr>
  </w:style>
  <w:style w:type="paragraph" w:styleId="CommentSubject">
    <w:name w:val="annotation subject"/>
    <w:basedOn w:val="CommentText"/>
    <w:next w:val="CommentText"/>
    <w:link w:val="CommentSubjectChar"/>
    <w:uiPriority w:val="99"/>
    <w:semiHidden/>
    <w:unhideWhenUsed/>
    <w:rsid w:val="00A64BE2"/>
    <w:rPr>
      <w:b/>
      <w:bCs/>
    </w:rPr>
  </w:style>
  <w:style w:type="character" w:customStyle="1" w:styleId="CommentSubjectChar">
    <w:name w:val="Comment Subject Char"/>
    <w:basedOn w:val="CommentTextChar"/>
    <w:link w:val="CommentSubject"/>
    <w:uiPriority w:val="99"/>
    <w:semiHidden/>
    <w:rsid w:val="00A64BE2"/>
    <w:rPr>
      <w:b/>
      <w:bCs/>
      <w:sz w:val="20"/>
      <w:szCs w:val="20"/>
    </w:rPr>
  </w:style>
  <w:style w:type="paragraph" w:styleId="BalloonText">
    <w:name w:val="Balloon Text"/>
    <w:basedOn w:val="Normal"/>
    <w:link w:val="BalloonTextChar"/>
    <w:uiPriority w:val="99"/>
    <w:semiHidden/>
    <w:unhideWhenUsed/>
    <w:rsid w:val="00A64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E2"/>
    <w:rPr>
      <w:rFonts w:ascii="Segoe UI" w:hAnsi="Segoe UI" w:cs="Segoe UI"/>
      <w:sz w:val="18"/>
      <w:szCs w:val="18"/>
    </w:rPr>
  </w:style>
  <w:style w:type="paragraph" w:styleId="Title">
    <w:name w:val="Title"/>
    <w:basedOn w:val="Normal"/>
    <w:next w:val="Normal"/>
    <w:link w:val="TitleChar"/>
    <w:uiPriority w:val="10"/>
    <w:qFormat/>
    <w:rsid w:val="002E409E"/>
    <w:pPr>
      <w:spacing w:after="0" w:line="480" w:lineRule="auto"/>
      <w:contextualSpacing/>
      <w:jc w:val="both"/>
    </w:pPr>
    <w:rPr>
      <w:rFonts w:ascii="Bookman Old Style" w:eastAsiaTheme="majorEastAsia" w:hAnsi="Bookman Old Style" w:cstheme="majorBidi"/>
      <w:b/>
      <w:spacing w:val="-10"/>
      <w:kern w:val="28"/>
      <w:sz w:val="24"/>
      <w:szCs w:val="56"/>
    </w:rPr>
  </w:style>
  <w:style w:type="character" w:customStyle="1" w:styleId="TitleChar">
    <w:name w:val="Title Char"/>
    <w:basedOn w:val="DefaultParagraphFont"/>
    <w:link w:val="Title"/>
    <w:uiPriority w:val="10"/>
    <w:rsid w:val="002E409E"/>
    <w:rPr>
      <w:rFonts w:ascii="Bookman Old Style" w:eastAsiaTheme="majorEastAsia" w:hAnsi="Bookman Old Style" w:cstheme="majorBidi"/>
      <w:b/>
      <w:spacing w:val="-10"/>
      <w:kern w:val="28"/>
      <w:sz w:val="24"/>
      <w:szCs w:val="56"/>
    </w:rPr>
  </w:style>
  <w:style w:type="character" w:customStyle="1" w:styleId="UnresolvedMention2">
    <w:name w:val="Unresolved Mention2"/>
    <w:basedOn w:val="DefaultParagraphFont"/>
    <w:uiPriority w:val="99"/>
    <w:semiHidden/>
    <w:unhideWhenUsed/>
    <w:rsid w:val="00B80027"/>
    <w:rPr>
      <w:color w:val="605E5C"/>
      <w:shd w:val="clear" w:color="auto" w:fill="E1DFDD"/>
    </w:rPr>
  </w:style>
  <w:style w:type="character" w:customStyle="1" w:styleId="Heading1Char">
    <w:name w:val="Heading 1 Char"/>
    <w:basedOn w:val="DefaultParagraphFont"/>
    <w:link w:val="Heading1"/>
    <w:uiPriority w:val="9"/>
    <w:rsid w:val="003645FC"/>
    <w:rPr>
      <w:rFonts w:ascii="Bookman Old Style" w:eastAsiaTheme="majorEastAsia" w:hAnsi="Bookman Old Style" w:cstheme="majorBidi"/>
      <w:i/>
      <w:color w:val="000000" w:themeColor="text1"/>
      <w:sz w:val="24"/>
      <w:szCs w:val="32"/>
    </w:rPr>
  </w:style>
  <w:style w:type="paragraph" w:styleId="Subtitle">
    <w:name w:val="Subtitle"/>
    <w:basedOn w:val="Normal"/>
    <w:next w:val="Normal"/>
    <w:link w:val="SubtitleChar"/>
    <w:uiPriority w:val="11"/>
    <w:qFormat/>
    <w:rsid w:val="003645FC"/>
    <w:pPr>
      <w:numPr>
        <w:ilvl w:val="1"/>
      </w:numPr>
    </w:pPr>
    <w:rPr>
      <w:rFonts w:ascii="Bookman Old Style" w:eastAsiaTheme="minorEastAsia" w:hAnsi="Bookman Old Style"/>
      <w:b/>
      <w:color w:val="000000" w:themeColor="text1"/>
      <w:spacing w:val="15"/>
      <w:sz w:val="24"/>
    </w:rPr>
  </w:style>
  <w:style w:type="character" w:customStyle="1" w:styleId="SubtitleChar">
    <w:name w:val="Subtitle Char"/>
    <w:basedOn w:val="DefaultParagraphFont"/>
    <w:link w:val="Subtitle"/>
    <w:uiPriority w:val="11"/>
    <w:rsid w:val="003645FC"/>
    <w:rPr>
      <w:rFonts w:ascii="Bookman Old Style" w:eastAsiaTheme="minorEastAsia" w:hAnsi="Bookman Old Style"/>
      <w:b/>
      <w:color w:val="000000" w:themeColor="text1"/>
      <w:spacing w:val="15"/>
      <w:sz w:val="24"/>
    </w:rPr>
  </w:style>
  <w:style w:type="character" w:customStyle="1" w:styleId="Heading4Char">
    <w:name w:val="Heading 4 Char"/>
    <w:basedOn w:val="DefaultParagraphFont"/>
    <w:link w:val="Heading4"/>
    <w:uiPriority w:val="9"/>
    <w:semiHidden/>
    <w:rsid w:val="00792602"/>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2365E"/>
    <w:pPr>
      <w:tabs>
        <w:tab w:val="right" w:leader="dot" w:pos="8828"/>
      </w:tabs>
      <w:spacing w:after="100"/>
    </w:pPr>
    <w:rPr>
      <w:b/>
      <w:bCs/>
      <w:noProof/>
    </w:rPr>
  </w:style>
  <w:style w:type="character" w:customStyle="1" w:styleId="Heading2Char">
    <w:name w:val="Heading 2 Char"/>
    <w:basedOn w:val="DefaultParagraphFont"/>
    <w:link w:val="Heading2"/>
    <w:uiPriority w:val="9"/>
    <w:rsid w:val="00792602"/>
    <w:rPr>
      <w:rFonts w:ascii="Bookman Old Style" w:eastAsiaTheme="majorEastAsia" w:hAnsi="Bookman Old Style" w:cstheme="majorBidi"/>
      <w:color w:val="000000" w:themeColor="text1"/>
      <w:sz w:val="24"/>
      <w:szCs w:val="26"/>
    </w:rPr>
  </w:style>
  <w:style w:type="character" w:customStyle="1" w:styleId="Heading3Char">
    <w:name w:val="Heading 3 Char"/>
    <w:basedOn w:val="DefaultParagraphFont"/>
    <w:link w:val="Heading3"/>
    <w:uiPriority w:val="9"/>
    <w:rsid w:val="0022365E"/>
    <w:rPr>
      <w:rFonts w:ascii="Bookman Old Style" w:eastAsiaTheme="majorEastAsia" w:hAnsi="Bookman Old Style" w:cstheme="majorBidi"/>
      <w:b/>
      <w:color w:val="000000" w:themeColor="text1"/>
      <w:sz w:val="24"/>
      <w:szCs w:val="24"/>
    </w:rPr>
  </w:style>
  <w:style w:type="paragraph" w:styleId="TOC2">
    <w:name w:val="toc 2"/>
    <w:basedOn w:val="Normal"/>
    <w:next w:val="Normal"/>
    <w:autoRedefine/>
    <w:uiPriority w:val="39"/>
    <w:unhideWhenUsed/>
    <w:rsid w:val="00792602"/>
    <w:pPr>
      <w:spacing w:after="100"/>
      <w:ind w:left="220"/>
    </w:pPr>
  </w:style>
  <w:style w:type="paragraph" w:styleId="TOC3">
    <w:name w:val="toc 3"/>
    <w:basedOn w:val="Normal"/>
    <w:next w:val="Normal"/>
    <w:autoRedefine/>
    <w:uiPriority w:val="39"/>
    <w:unhideWhenUsed/>
    <w:rsid w:val="002236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6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portalunico.iaip.gob.hn/portal/ver_documento.php?uid=OTc2ODAzODkzNDc2MzQ4NzEyNDYxOTg3MjM0Mg" TargetMode="External"/><Relationship Id="rId2" Type="http://schemas.openxmlformats.org/officeDocument/2006/relationships/hyperlink" Target="https://www.ine.gob.hn/publicaciones/endesa/Honduras-ENDESA-2011-2012.pdf" TargetMode="External"/><Relationship Id="rId1" Type="http://schemas.openxmlformats.org/officeDocument/2006/relationships/hyperlink" Target="https://www.ine.gob.hn/V3/ephpm/" TargetMode="External"/><Relationship Id="rId6" Type="http://schemas.openxmlformats.org/officeDocument/2006/relationships/hyperlink" Target="http://www.copeco.gob.hn/?q=emergencia-eta" TargetMode="External"/><Relationship Id="rId5" Type="http://schemas.openxmlformats.org/officeDocument/2006/relationships/hyperlink" Target="http://www.sedis.gob.hn/node/6097" TargetMode="External"/><Relationship Id="rId4" Type="http://schemas.openxmlformats.org/officeDocument/2006/relationships/hyperlink" Target="https://sedis.gob.hn/sites/default/files/2020-10/Abordaje%20comunitario%20con%20enfoque%20domicilia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33F011A-CADC-4313-A0F1-D6D96390F9F7}">
  <ds:schemaRefs>
    <ds:schemaRef ds:uri="http://schemas.openxmlformats.org/officeDocument/2006/bibliography"/>
  </ds:schemaRefs>
</ds:datastoreItem>
</file>

<file path=customXml/itemProps2.xml><?xml version="1.0" encoding="utf-8"?>
<ds:datastoreItem xmlns:ds="http://schemas.openxmlformats.org/officeDocument/2006/customXml" ds:itemID="{01AF91DC-7C30-4C8F-9BDB-CD8EDDFCB3D5}"/>
</file>

<file path=customXml/itemProps3.xml><?xml version="1.0" encoding="utf-8"?>
<ds:datastoreItem xmlns:ds="http://schemas.openxmlformats.org/officeDocument/2006/customXml" ds:itemID="{2B7C9278-B461-4AF5-9BB5-0447B9CB3C81}"/>
</file>

<file path=customXml/itemProps4.xml><?xml version="1.0" encoding="utf-8"?>
<ds:datastoreItem xmlns:ds="http://schemas.openxmlformats.org/officeDocument/2006/customXml" ds:itemID="{F3F586B2-6A6C-461A-874E-B85965BB7F68}"/>
</file>

<file path=docProps/app.xml><?xml version="1.0" encoding="utf-8"?>
<Properties xmlns="http://schemas.openxmlformats.org/officeDocument/2006/extended-properties" xmlns:vt="http://schemas.openxmlformats.org/officeDocument/2006/docPropsVTypes">
  <Template>Normal.dotm</Template>
  <TotalTime>0</TotalTime>
  <Pages>15</Pages>
  <Words>3443</Words>
  <Characters>19626</Characters>
  <Application>Microsoft Office Word</Application>
  <DocSecurity>0</DocSecurity>
  <Lines>163</Lines>
  <Paragraphs>46</Paragraphs>
  <ScaleCrop>false</ScaleCrop>
  <Company/>
  <LinksUpToDate>false</LinksUpToDate>
  <CharactersWithSpaces>23023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2021-04-26T13:28:00Z</dcterms:created>
  <dcterms:modified xsi:type="dcterms:W3CDTF">2021-04-26T13:28:00Z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