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4869A" w14:textId="77777777" w:rsidR="00E25552" w:rsidRPr="0079788F" w:rsidRDefault="00E25552" w:rsidP="008C198A">
      <w:pPr>
        <w:rPr>
          <w:sz w:val="24"/>
          <w:szCs w:val="24"/>
        </w:rPr>
        <w:sectPr w:rsidR="00E25552" w:rsidRPr="0079788F"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bookmarkStart w:id="0" w:name="_GoBack"/>
      <w:bookmarkEnd w:id="0"/>
    </w:p>
    <w:p w14:paraId="07A4A683" w14:textId="054F17CF" w:rsidR="00C652FE" w:rsidRDefault="00C652FE" w:rsidP="00C652FE">
      <w:pPr>
        <w:pStyle w:val="Heading2"/>
        <w:rPr>
          <w:lang w:val="en-US"/>
        </w:rPr>
      </w:pPr>
      <w:r w:rsidRPr="00A71B0E">
        <w:rPr>
          <w:lang w:val="en-US"/>
        </w:rPr>
        <w:lastRenderedPageBreak/>
        <w:t>Call for contributions: The Human Rights of Older Women</w:t>
      </w:r>
    </w:p>
    <w:p w14:paraId="465102BE" w14:textId="77777777" w:rsidR="00C652FE" w:rsidRPr="00C652FE" w:rsidRDefault="00C652FE" w:rsidP="00C652FE">
      <w:pPr>
        <w:rPr>
          <w:lang w:val="en-US"/>
        </w:rPr>
      </w:pPr>
    </w:p>
    <w:p w14:paraId="1985A2F9" w14:textId="2BB74710" w:rsidR="00C652FE" w:rsidRDefault="00C652FE" w:rsidP="00C652FE">
      <w:pPr>
        <w:pStyle w:val="Heading3"/>
        <w:rPr>
          <w:lang w:val="en-US"/>
        </w:rPr>
      </w:pPr>
      <w:r w:rsidRPr="00961A80">
        <w:rPr>
          <w:lang w:val="en-US"/>
        </w:rPr>
        <w:t>The rights of older women in international, regional, and national law, policies and</w:t>
      </w:r>
      <w:r>
        <w:rPr>
          <w:lang w:val="en-US"/>
        </w:rPr>
        <w:t xml:space="preserve"> </w:t>
      </w:r>
      <w:proofErr w:type="spellStart"/>
      <w:r w:rsidRPr="00961A80">
        <w:rPr>
          <w:lang w:val="en-US"/>
        </w:rPr>
        <w:t>programmes</w:t>
      </w:r>
      <w:proofErr w:type="spellEnd"/>
    </w:p>
    <w:p w14:paraId="6C244B65" w14:textId="77777777" w:rsidR="00C652FE" w:rsidRPr="00C652FE" w:rsidRDefault="00C652FE" w:rsidP="00C652FE">
      <w:pPr>
        <w:rPr>
          <w:lang w:val="en-US"/>
        </w:rPr>
      </w:pPr>
    </w:p>
    <w:p w14:paraId="7AA43C5D" w14:textId="6D384C41" w:rsidR="00C652FE" w:rsidRPr="00C652FE" w:rsidRDefault="00C652FE" w:rsidP="00E4511C">
      <w:pPr>
        <w:pStyle w:val="ListParagraph"/>
        <w:numPr>
          <w:ilvl w:val="0"/>
          <w:numId w:val="6"/>
        </w:numPr>
        <w:rPr>
          <w:i/>
          <w:iCs/>
          <w:lang w:val="en-US"/>
        </w:rPr>
      </w:pPr>
      <w:r w:rsidRPr="00C652FE">
        <w:rPr>
          <w:i/>
          <w:iCs/>
          <w:lang w:val="en-US"/>
        </w:rPr>
        <w:t xml:space="preserve">What legal instruments, policies and </w:t>
      </w:r>
      <w:proofErr w:type="spellStart"/>
      <w:r w:rsidRPr="00C652FE">
        <w:rPr>
          <w:i/>
          <w:iCs/>
          <w:lang w:val="en-US"/>
        </w:rPr>
        <w:t>programmes</w:t>
      </w:r>
      <w:proofErr w:type="spellEnd"/>
      <w:r w:rsidRPr="00C652FE">
        <w:rPr>
          <w:i/>
          <w:iCs/>
          <w:lang w:val="en-US"/>
        </w:rPr>
        <w:t xml:space="preserve"> exist to address the particular challenges faced by older women, and how are they implemented and monitored?</w:t>
      </w:r>
    </w:p>
    <w:p w14:paraId="09ACA5BD" w14:textId="0EC1EA1C" w:rsidR="00C652FE" w:rsidRPr="00C652FE" w:rsidRDefault="00C652FE" w:rsidP="00C652FE">
      <w:pPr>
        <w:rPr>
          <w:sz w:val="20"/>
          <w:szCs w:val="20"/>
          <w:lang w:val="en-US"/>
        </w:rPr>
      </w:pPr>
      <w:r w:rsidRPr="00C652FE">
        <w:rPr>
          <w:sz w:val="20"/>
          <w:szCs w:val="20"/>
          <w:lang w:val="en-US"/>
        </w:rPr>
        <w:t xml:space="preserve">There are no specific instrument, policies or </w:t>
      </w:r>
      <w:proofErr w:type="spellStart"/>
      <w:r w:rsidRPr="00C652FE">
        <w:rPr>
          <w:sz w:val="20"/>
          <w:szCs w:val="20"/>
          <w:lang w:val="en-US"/>
        </w:rPr>
        <w:t>programmes</w:t>
      </w:r>
      <w:proofErr w:type="spellEnd"/>
      <w:r w:rsidRPr="00C652FE">
        <w:rPr>
          <w:sz w:val="20"/>
          <w:szCs w:val="20"/>
          <w:lang w:val="en-US"/>
        </w:rPr>
        <w:t xml:space="preserve"> in Finland aimed especially to address the particular challenges faced by older women.</w:t>
      </w:r>
    </w:p>
    <w:p w14:paraId="403EE806" w14:textId="77777777" w:rsidR="00C652FE" w:rsidRDefault="00C652FE" w:rsidP="00C652FE">
      <w:pPr>
        <w:rPr>
          <w:lang w:val="en-US"/>
        </w:rPr>
      </w:pPr>
    </w:p>
    <w:p w14:paraId="4FF5571A" w14:textId="1117D1B4" w:rsidR="00C652FE" w:rsidRPr="00C652FE" w:rsidRDefault="00C652FE" w:rsidP="00F00A82">
      <w:pPr>
        <w:pStyle w:val="ListParagraph"/>
        <w:numPr>
          <w:ilvl w:val="0"/>
          <w:numId w:val="6"/>
        </w:numPr>
        <w:rPr>
          <w:i/>
          <w:iCs/>
          <w:lang w:val="en-US"/>
        </w:rPr>
      </w:pPr>
      <w:r w:rsidRPr="00C652FE">
        <w:rPr>
          <w:i/>
          <w:iCs/>
          <w:lang w:val="en-US"/>
        </w:rPr>
        <w:t>What type of statistical data are collected on older women, if any, and is it disaggregated by age, gender, and other relevant factors? How are older women defined for the purposes of law, policy and data collection?</w:t>
      </w:r>
    </w:p>
    <w:p w14:paraId="121B5711" w14:textId="59D49AFD" w:rsidR="00C652FE" w:rsidRPr="00C652FE" w:rsidRDefault="00C652FE" w:rsidP="00C652FE">
      <w:pPr>
        <w:rPr>
          <w:sz w:val="20"/>
          <w:szCs w:val="20"/>
          <w:lang w:val="en-US"/>
        </w:rPr>
      </w:pPr>
      <w:r w:rsidRPr="00C652FE">
        <w:rPr>
          <w:sz w:val="20"/>
          <w:szCs w:val="20"/>
          <w:lang w:val="en-US"/>
        </w:rPr>
        <w:t xml:space="preserve">There is no systematic policy of data collection on older women and thus no clear definition </w:t>
      </w:r>
      <w:proofErr w:type="gramStart"/>
      <w:r w:rsidRPr="00C652FE">
        <w:rPr>
          <w:sz w:val="20"/>
          <w:szCs w:val="20"/>
          <w:lang w:val="en-US"/>
        </w:rPr>
        <w:t>of</w:t>
      </w:r>
      <w:proofErr w:type="gramEnd"/>
      <w:r w:rsidRPr="00C652FE">
        <w:rPr>
          <w:sz w:val="20"/>
          <w:szCs w:val="20"/>
          <w:lang w:val="en-US"/>
        </w:rPr>
        <w:t xml:space="preserve"> them. However, in most of the statistics collected systematically in Finland it is possible to disaggregate the information by sex and age. Therefore, there is information available for example on income, education level and perceived health of older women. </w:t>
      </w:r>
    </w:p>
    <w:p w14:paraId="4C4AC961" w14:textId="77777777" w:rsidR="00C652FE" w:rsidRPr="00C652FE" w:rsidRDefault="00C652FE" w:rsidP="00C652FE">
      <w:pPr>
        <w:rPr>
          <w:i/>
          <w:iCs/>
          <w:lang w:val="en-US"/>
        </w:rPr>
      </w:pPr>
    </w:p>
    <w:p w14:paraId="3DE7D9C1" w14:textId="1B52C26D" w:rsidR="00C652FE" w:rsidRDefault="00C652FE" w:rsidP="00C652FE">
      <w:pPr>
        <w:pStyle w:val="ListParagraph"/>
        <w:numPr>
          <w:ilvl w:val="0"/>
          <w:numId w:val="6"/>
        </w:numPr>
        <w:rPr>
          <w:i/>
          <w:iCs/>
          <w:lang w:val="en-US"/>
        </w:rPr>
      </w:pPr>
      <w:r w:rsidRPr="00C652FE">
        <w:rPr>
          <w:i/>
          <w:iCs/>
          <w:lang w:val="en-US"/>
        </w:rPr>
        <w:t>Please indicate how older women take part in participatory mechanisms?</w:t>
      </w:r>
    </w:p>
    <w:p w14:paraId="50F98B64" w14:textId="3433697B" w:rsidR="00C652FE" w:rsidRPr="00C652FE" w:rsidRDefault="00C652FE" w:rsidP="00C652FE">
      <w:pPr>
        <w:pStyle w:val="ListParagraph"/>
        <w:rPr>
          <w:i/>
          <w:iCs/>
          <w:lang w:val="en-US"/>
        </w:rPr>
      </w:pPr>
      <w:r>
        <w:rPr>
          <w:i/>
          <w:iCs/>
          <w:lang w:val="en-US"/>
        </w:rPr>
        <w:t>-</w:t>
      </w:r>
    </w:p>
    <w:p w14:paraId="02998BE5" w14:textId="77777777" w:rsidR="00C652FE" w:rsidRDefault="00C652FE" w:rsidP="00C652FE">
      <w:pPr>
        <w:rPr>
          <w:b/>
          <w:bCs/>
          <w:lang w:val="en-US"/>
        </w:rPr>
      </w:pPr>
    </w:p>
    <w:p w14:paraId="57988E4E" w14:textId="312DF107" w:rsidR="00C652FE" w:rsidRDefault="00C652FE" w:rsidP="00C652FE">
      <w:pPr>
        <w:pStyle w:val="Heading2"/>
        <w:rPr>
          <w:b w:val="0"/>
          <w:bCs/>
          <w:lang w:val="en-US"/>
        </w:rPr>
      </w:pPr>
      <w:r w:rsidRPr="00C652FE">
        <w:rPr>
          <w:b w:val="0"/>
          <w:bCs/>
          <w:lang w:val="en-US"/>
        </w:rPr>
        <w:t>Economic, social and cultural realities lived by older women</w:t>
      </w:r>
    </w:p>
    <w:p w14:paraId="4A846692" w14:textId="77777777" w:rsidR="00C652FE" w:rsidRPr="00C652FE" w:rsidRDefault="00C652FE" w:rsidP="00C652FE">
      <w:pPr>
        <w:rPr>
          <w:lang w:val="en-US"/>
        </w:rPr>
      </w:pPr>
    </w:p>
    <w:p w14:paraId="7CB99925" w14:textId="7646813B" w:rsidR="00C652FE" w:rsidRPr="00C652FE" w:rsidRDefault="00C652FE" w:rsidP="00BA0443">
      <w:pPr>
        <w:pStyle w:val="ListParagraph"/>
        <w:numPr>
          <w:ilvl w:val="0"/>
          <w:numId w:val="6"/>
        </w:numPr>
        <w:rPr>
          <w:i/>
          <w:iCs/>
          <w:lang w:val="en-US"/>
        </w:rPr>
      </w:pPr>
      <w:r w:rsidRPr="00C652FE">
        <w:rPr>
          <w:i/>
          <w:iCs/>
          <w:lang w:val="en-US"/>
        </w:rPr>
        <w:t>What are the specific challenges and concerns faced by older women, including on the basis of their accumulated life experience as compared to older men, in enjoying their economic, social and cultural rights (for example in terms of social protection, health, education, work, adequate standard of living, land and property ownership)? Please provide related data and statistics, including disaggregated data, where available.</w:t>
      </w:r>
    </w:p>
    <w:p w14:paraId="77351A0C" w14:textId="09D8B191" w:rsidR="00C652FE" w:rsidRPr="00C652FE" w:rsidRDefault="00C652FE" w:rsidP="00C652FE">
      <w:pPr>
        <w:rPr>
          <w:sz w:val="20"/>
          <w:szCs w:val="20"/>
          <w:lang w:val="en-US"/>
        </w:rPr>
      </w:pPr>
      <w:r w:rsidRPr="00C652FE">
        <w:rPr>
          <w:sz w:val="20"/>
          <w:szCs w:val="20"/>
          <w:lang w:val="en-US"/>
        </w:rPr>
        <w:t xml:space="preserve">In a study conducted by </w:t>
      </w:r>
      <w:proofErr w:type="spellStart"/>
      <w:r w:rsidRPr="00C652FE">
        <w:rPr>
          <w:sz w:val="20"/>
          <w:szCs w:val="20"/>
          <w:lang w:val="en-US"/>
        </w:rPr>
        <w:t>Akava</w:t>
      </w:r>
      <w:proofErr w:type="spellEnd"/>
      <w:r w:rsidRPr="00C652FE">
        <w:rPr>
          <w:sz w:val="20"/>
          <w:szCs w:val="20"/>
          <w:lang w:val="en-US"/>
        </w:rPr>
        <w:t xml:space="preserve"> Works in 2020 it was revealed that among university-educated employees in the age group of 55+, age discrimination in working life was more frequent among women than it was among men. In fact, age didn’t seem to correlate with experiences of discrimination among men at all.</w:t>
      </w:r>
    </w:p>
    <w:p w14:paraId="5920C856" w14:textId="77777777" w:rsidR="00C652FE" w:rsidRPr="00C652FE" w:rsidRDefault="00C652FE" w:rsidP="00C652FE">
      <w:pPr>
        <w:rPr>
          <w:lang w:val="en-US"/>
        </w:rPr>
      </w:pPr>
    </w:p>
    <w:p w14:paraId="4B353712" w14:textId="59B28214" w:rsidR="00C652FE" w:rsidRPr="00C652FE" w:rsidRDefault="00C652FE" w:rsidP="00C652FE">
      <w:pPr>
        <w:rPr>
          <w:rStyle w:val="Hyperlink"/>
          <w:sz w:val="20"/>
          <w:szCs w:val="20"/>
        </w:rPr>
      </w:pPr>
      <w:r w:rsidRPr="00C652FE">
        <w:rPr>
          <w:sz w:val="20"/>
          <w:szCs w:val="20"/>
          <w:lang w:val="en-US"/>
        </w:rPr>
        <w:t xml:space="preserve">Most of informal </w:t>
      </w:r>
      <w:proofErr w:type="spellStart"/>
      <w:r w:rsidRPr="00C652FE">
        <w:rPr>
          <w:sz w:val="20"/>
          <w:szCs w:val="20"/>
          <w:lang w:val="en-US"/>
        </w:rPr>
        <w:t>carers</w:t>
      </w:r>
      <w:proofErr w:type="spellEnd"/>
      <w:r w:rsidRPr="00C652FE">
        <w:rPr>
          <w:sz w:val="20"/>
          <w:szCs w:val="20"/>
          <w:lang w:val="en-US"/>
        </w:rPr>
        <w:t xml:space="preserve"> are women, which affects their health and their living conditions and possibilities. </w:t>
      </w:r>
      <w:hyperlink r:id="rId14" w:history="1">
        <w:r w:rsidRPr="00C652FE">
          <w:rPr>
            <w:rStyle w:val="Hyperlink"/>
            <w:sz w:val="20"/>
            <w:szCs w:val="20"/>
          </w:rPr>
          <w:t>https://thl.fi/en/web/ageing/older-people-services-undergoing-a-change/informal-care-and-family-care</w:t>
        </w:r>
      </w:hyperlink>
      <w:r w:rsidRPr="00C652FE">
        <w:rPr>
          <w:rStyle w:val="Hyperlink"/>
          <w:sz w:val="20"/>
          <w:szCs w:val="20"/>
        </w:rPr>
        <w:t xml:space="preserve"> </w:t>
      </w:r>
    </w:p>
    <w:p w14:paraId="30351641" w14:textId="77777777" w:rsidR="00C652FE" w:rsidRPr="00C652FE" w:rsidRDefault="00C652FE" w:rsidP="00C652FE">
      <w:pPr>
        <w:rPr>
          <w:rStyle w:val="Hyperlink"/>
          <w:sz w:val="20"/>
          <w:szCs w:val="20"/>
        </w:rPr>
      </w:pPr>
    </w:p>
    <w:p w14:paraId="538E78FE" w14:textId="77777777" w:rsidR="00C652FE" w:rsidRPr="00C652FE" w:rsidRDefault="00C652FE" w:rsidP="00C652FE">
      <w:pPr>
        <w:rPr>
          <w:sz w:val="20"/>
          <w:szCs w:val="20"/>
          <w:lang w:val="en-US"/>
        </w:rPr>
      </w:pPr>
      <w:r w:rsidRPr="00C652FE">
        <w:rPr>
          <w:sz w:val="20"/>
          <w:szCs w:val="20"/>
          <w:lang w:val="en-US"/>
        </w:rPr>
        <w:t xml:space="preserve">Older women living in Helsinki run a risk to poverty higher than the average. The explaining factors are among others the fact that women have in general lower </w:t>
      </w:r>
      <w:r w:rsidRPr="00C652FE">
        <w:rPr>
          <w:sz w:val="20"/>
          <w:szCs w:val="20"/>
          <w:lang w:val="en-US"/>
        </w:rPr>
        <w:lastRenderedPageBreak/>
        <w:t>employment pensions than men and that they live alone more often than men, mostly because of widowhood. (</w:t>
      </w:r>
      <w:proofErr w:type="spellStart"/>
      <w:r w:rsidRPr="00C652FE">
        <w:rPr>
          <w:sz w:val="20"/>
          <w:szCs w:val="20"/>
          <w:lang w:val="en-US"/>
        </w:rPr>
        <w:t>Vaalavuo</w:t>
      </w:r>
      <w:proofErr w:type="spellEnd"/>
      <w:r w:rsidRPr="00C652FE">
        <w:rPr>
          <w:sz w:val="20"/>
          <w:szCs w:val="20"/>
          <w:lang w:val="en-US"/>
        </w:rPr>
        <w:t xml:space="preserve"> and </w:t>
      </w:r>
      <w:proofErr w:type="spellStart"/>
      <w:r w:rsidRPr="00C652FE">
        <w:rPr>
          <w:sz w:val="20"/>
          <w:szCs w:val="20"/>
          <w:lang w:val="en-US"/>
        </w:rPr>
        <w:t>Moisio</w:t>
      </w:r>
      <w:proofErr w:type="spellEnd"/>
      <w:r w:rsidRPr="00C652FE">
        <w:rPr>
          <w:sz w:val="20"/>
          <w:szCs w:val="20"/>
          <w:lang w:val="en-US"/>
        </w:rPr>
        <w:t>, 2014)</w:t>
      </w:r>
    </w:p>
    <w:p w14:paraId="1BC47EBE" w14:textId="77777777" w:rsidR="00C652FE" w:rsidRPr="00C652FE" w:rsidRDefault="00C652FE" w:rsidP="00C652FE">
      <w:pPr>
        <w:rPr>
          <w:sz w:val="20"/>
          <w:szCs w:val="20"/>
          <w:lang w:val="en-US"/>
        </w:rPr>
      </w:pPr>
    </w:p>
    <w:p w14:paraId="7970818F" w14:textId="76A41F3F" w:rsidR="00C652FE" w:rsidRPr="00C652FE" w:rsidRDefault="00C652FE" w:rsidP="00960FB4">
      <w:pPr>
        <w:pStyle w:val="ListParagraph"/>
        <w:numPr>
          <w:ilvl w:val="0"/>
          <w:numId w:val="6"/>
        </w:numPr>
        <w:rPr>
          <w:rFonts w:cs="Calibri"/>
          <w:i/>
          <w:iCs/>
          <w:color w:val="000000"/>
          <w:shd w:val="clear" w:color="auto" w:fill="FFFFFF"/>
          <w:lang w:val="en-US"/>
        </w:rPr>
      </w:pPr>
      <w:r w:rsidRPr="00C652FE">
        <w:rPr>
          <w:i/>
          <w:iCs/>
          <w:lang w:val="en-US"/>
        </w:rPr>
        <w:t>What forms of gender-based discrimination and inequality experienced by women throughout the life cycle have a particular impact on the enjoyment of their human rights in older age?</w:t>
      </w:r>
      <w:r w:rsidRPr="00C652FE">
        <w:rPr>
          <w:rFonts w:cs="Calibri"/>
          <w:i/>
          <w:iCs/>
          <w:color w:val="000000"/>
          <w:shd w:val="clear" w:color="auto" w:fill="FFFFFF"/>
          <w:lang w:val="en-US"/>
        </w:rPr>
        <w:t xml:space="preserve"> </w:t>
      </w:r>
    </w:p>
    <w:p w14:paraId="316BF815" w14:textId="77777777" w:rsidR="00C652FE" w:rsidRDefault="00C652FE" w:rsidP="00C652FE">
      <w:pPr>
        <w:rPr>
          <w:rFonts w:cs="Arial"/>
          <w:sz w:val="20"/>
          <w:szCs w:val="20"/>
          <w:shd w:val="clear" w:color="auto" w:fill="FFFFFF"/>
          <w:lang w:val="en-US"/>
        </w:rPr>
      </w:pPr>
      <w:r w:rsidRPr="00C652FE">
        <w:rPr>
          <w:rFonts w:cs="Arial"/>
          <w:sz w:val="20"/>
          <w:szCs w:val="20"/>
          <w:shd w:val="clear" w:color="auto" w:fill="FFFFFF"/>
          <w:lang w:val="en-US"/>
        </w:rPr>
        <w:t xml:space="preserve">Women's pensions are on average one fifth lower than men's pensions. Even though the gap has narrowed somewhat, it is still significant and above the EU average. Today, there is not much difference in the average employment rate, length of working careers or retirement of women and men, but the difference in earnings is significant even by international standards (16%). </w:t>
      </w:r>
    </w:p>
    <w:p w14:paraId="5ACE91F7" w14:textId="77777777" w:rsidR="00C652FE" w:rsidRDefault="00C652FE" w:rsidP="00C652FE">
      <w:pPr>
        <w:rPr>
          <w:rFonts w:cs="Arial"/>
          <w:sz w:val="20"/>
          <w:szCs w:val="20"/>
          <w:shd w:val="clear" w:color="auto" w:fill="FFFFFF"/>
          <w:lang w:val="en-US"/>
        </w:rPr>
      </w:pPr>
    </w:p>
    <w:p w14:paraId="5F8CF1BC" w14:textId="77777777" w:rsidR="00C652FE" w:rsidRDefault="00C652FE" w:rsidP="00C652FE">
      <w:pPr>
        <w:rPr>
          <w:rFonts w:cs="Arial"/>
          <w:sz w:val="20"/>
          <w:szCs w:val="20"/>
          <w:shd w:val="clear" w:color="auto" w:fill="FFFFFF"/>
          <w:lang w:val="en-US"/>
        </w:rPr>
      </w:pPr>
      <w:r w:rsidRPr="00C652FE">
        <w:rPr>
          <w:rFonts w:cs="Arial"/>
          <w:sz w:val="20"/>
          <w:szCs w:val="20"/>
          <w:shd w:val="clear" w:color="auto" w:fill="FFFFFF"/>
          <w:lang w:val="en-US"/>
        </w:rPr>
        <w:t xml:space="preserve">The gender pay gap has a key impact on the gender pension gap. The unequal sharing of family leave between women and men and particularly the long periods of supported home care increase the gap between earnings and pensions. </w:t>
      </w:r>
    </w:p>
    <w:p w14:paraId="756D351D" w14:textId="77777777" w:rsidR="00C652FE" w:rsidRDefault="00C652FE" w:rsidP="00C652FE">
      <w:pPr>
        <w:rPr>
          <w:rFonts w:cs="Arial"/>
          <w:sz w:val="20"/>
          <w:szCs w:val="20"/>
          <w:shd w:val="clear" w:color="auto" w:fill="FFFFFF"/>
          <w:lang w:val="en-US"/>
        </w:rPr>
      </w:pPr>
    </w:p>
    <w:p w14:paraId="5EA5792A" w14:textId="77777777" w:rsidR="00C652FE" w:rsidRDefault="00C652FE" w:rsidP="00C652FE">
      <w:pPr>
        <w:rPr>
          <w:rFonts w:cs="Arial"/>
          <w:sz w:val="20"/>
          <w:szCs w:val="20"/>
          <w:shd w:val="clear" w:color="auto" w:fill="FFFFFF"/>
          <w:lang w:val="en-US"/>
        </w:rPr>
      </w:pPr>
      <w:r w:rsidRPr="00C652FE">
        <w:rPr>
          <w:rFonts w:cs="Arial"/>
          <w:sz w:val="20"/>
          <w:szCs w:val="20"/>
          <w:shd w:val="clear" w:color="auto" w:fill="FFFFFF"/>
          <w:lang w:val="en-US"/>
        </w:rPr>
        <w:t xml:space="preserve">The rules of the Finnish pension systems are the same for women and men, and the recent pension reforms are thought not to have had a significant effect on the gender pension gap. It is estimated that in 2085, the median pension for women will still be 15 percentage points lower than for men. The effects of changes in the labour market and earnings level as well as reforms in the employment pension system will not be visible until years, even decades, later. </w:t>
      </w:r>
    </w:p>
    <w:p w14:paraId="0DA0D645" w14:textId="77777777" w:rsidR="00C652FE" w:rsidRDefault="00C652FE" w:rsidP="00C652FE">
      <w:pPr>
        <w:rPr>
          <w:rFonts w:cs="Arial"/>
          <w:sz w:val="20"/>
          <w:szCs w:val="20"/>
          <w:shd w:val="clear" w:color="auto" w:fill="FFFFFF"/>
          <w:lang w:val="en-US"/>
        </w:rPr>
      </w:pPr>
    </w:p>
    <w:p w14:paraId="6C27550A" w14:textId="6E48C9E3" w:rsidR="00C652FE" w:rsidRDefault="00C652FE" w:rsidP="00C652FE">
      <w:pPr>
        <w:rPr>
          <w:rFonts w:cs="Arial"/>
          <w:sz w:val="20"/>
          <w:szCs w:val="20"/>
          <w:shd w:val="clear" w:color="auto" w:fill="FFFFFF"/>
          <w:lang w:val="en-US"/>
        </w:rPr>
      </w:pPr>
      <w:r w:rsidRPr="00C652FE">
        <w:rPr>
          <w:rFonts w:cs="Arial"/>
          <w:sz w:val="20"/>
          <w:szCs w:val="20"/>
          <w:shd w:val="clear" w:color="auto" w:fill="FFFFFF"/>
          <w:lang w:val="en-US"/>
        </w:rPr>
        <w:t>The national pension and guarantee pension are still of greater importance to women, as women get them more often, and therefore the changes made to them also affect women in particular. (Pension differences between women and men. Overview of research and statistics. Ministry of Social Affairs and Health, 2019.)</w:t>
      </w:r>
    </w:p>
    <w:p w14:paraId="79760BD6" w14:textId="77777777" w:rsidR="00C652FE" w:rsidRPr="00C652FE" w:rsidRDefault="00C652FE" w:rsidP="00C652FE">
      <w:pPr>
        <w:rPr>
          <w:rFonts w:cs="Arial"/>
          <w:sz w:val="20"/>
          <w:szCs w:val="20"/>
          <w:shd w:val="clear" w:color="auto" w:fill="FFFFFF"/>
          <w:lang w:val="en-US"/>
        </w:rPr>
      </w:pPr>
    </w:p>
    <w:p w14:paraId="3BF657D8" w14:textId="48A1F9B1" w:rsidR="00C652FE" w:rsidRPr="00C652FE" w:rsidRDefault="00C652FE" w:rsidP="00C652FE">
      <w:pPr>
        <w:pStyle w:val="ListParagraph"/>
        <w:numPr>
          <w:ilvl w:val="0"/>
          <w:numId w:val="6"/>
        </w:numPr>
        <w:rPr>
          <w:rFonts w:cs="Arial"/>
          <w:i/>
          <w:iCs/>
          <w:lang w:val="en-US"/>
        </w:rPr>
      </w:pPr>
      <w:r w:rsidRPr="00C652FE">
        <w:rPr>
          <w:rFonts w:cs="Arial"/>
          <w:i/>
          <w:iCs/>
          <w:lang w:val="en-US"/>
        </w:rPr>
        <w:t>Has the COVID-19 pandemic affected older women differently than older men and how?</w:t>
      </w:r>
    </w:p>
    <w:p w14:paraId="6434620A" w14:textId="77777777" w:rsidR="00C652FE" w:rsidRPr="00C652FE" w:rsidRDefault="00C652FE" w:rsidP="00C652FE">
      <w:pPr>
        <w:pStyle w:val="ListParagraph"/>
        <w:rPr>
          <w:rFonts w:cs="Arial"/>
          <w:lang w:val="en-US"/>
        </w:rPr>
      </w:pPr>
    </w:p>
    <w:p w14:paraId="7494D301" w14:textId="63EE14A8" w:rsidR="00C652FE" w:rsidRDefault="00C652FE" w:rsidP="00C652FE">
      <w:pPr>
        <w:rPr>
          <w:i/>
          <w:iCs/>
          <w:sz w:val="20"/>
          <w:szCs w:val="20"/>
          <w:lang w:val="en-US"/>
        </w:rPr>
      </w:pPr>
      <w:r w:rsidRPr="009A796F">
        <w:rPr>
          <w:i/>
          <w:iCs/>
          <w:sz w:val="20"/>
          <w:szCs w:val="20"/>
          <w:lang w:val="en-US"/>
        </w:rPr>
        <w:t>A substantial part of informal care-givers are older women, and their situation has been very difficult during the pandemic due to lack of usual services and loneliness. (</w:t>
      </w:r>
      <w:proofErr w:type="spellStart"/>
      <w:r w:rsidRPr="009A796F">
        <w:rPr>
          <w:i/>
          <w:iCs/>
          <w:sz w:val="20"/>
          <w:szCs w:val="20"/>
          <w:lang w:val="en-US"/>
        </w:rPr>
        <w:t>Kestilä</w:t>
      </w:r>
      <w:proofErr w:type="spellEnd"/>
      <w:r w:rsidRPr="009A796F">
        <w:rPr>
          <w:i/>
          <w:iCs/>
          <w:sz w:val="20"/>
          <w:szCs w:val="20"/>
          <w:lang w:val="en-US"/>
        </w:rPr>
        <w:t xml:space="preserve">, </w:t>
      </w:r>
      <w:proofErr w:type="spellStart"/>
      <w:r w:rsidRPr="009A796F">
        <w:rPr>
          <w:i/>
          <w:iCs/>
          <w:sz w:val="20"/>
          <w:szCs w:val="20"/>
          <w:lang w:val="en-US"/>
        </w:rPr>
        <w:t>Härmä</w:t>
      </w:r>
      <w:proofErr w:type="spellEnd"/>
      <w:r w:rsidRPr="009A796F">
        <w:rPr>
          <w:i/>
          <w:iCs/>
          <w:sz w:val="20"/>
          <w:szCs w:val="20"/>
          <w:lang w:val="en-US"/>
        </w:rPr>
        <w:t xml:space="preserve">, </w:t>
      </w:r>
      <w:proofErr w:type="spellStart"/>
      <w:r w:rsidRPr="009A796F">
        <w:rPr>
          <w:i/>
          <w:iCs/>
          <w:sz w:val="20"/>
          <w:szCs w:val="20"/>
          <w:lang w:val="en-US"/>
        </w:rPr>
        <w:t>Rissanen</w:t>
      </w:r>
      <w:proofErr w:type="spellEnd"/>
      <w:r w:rsidRPr="009A796F">
        <w:rPr>
          <w:i/>
          <w:iCs/>
          <w:sz w:val="20"/>
          <w:szCs w:val="20"/>
          <w:lang w:val="en-US"/>
        </w:rPr>
        <w:t xml:space="preserve"> 2020)</w:t>
      </w:r>
    </w:p>
    <w:p w14:paraId="3F9B5F40" w14:textId="77777777" w:rsidR="009A796F" w:rsidRPr="00C652FE" w:rsidRDefault="009A796F" w:rsidP="00C652FE">
      <w:pPr>
        <w:rPr>
          <w:i/>
          <w:iCs/>
          <w:sz w:val="20"/>
          <w:szCs w:val="20"/>
          <w:lang w:val="en-US"/>
        </w:rPr>
      </w:pPr>
    </w:p>
    <w:p w14:paraId="3887217D" w14:textId="30ABEB27" w:rsidR="00C652FE" w:rsidRDefault="00C652FE" w:rsidP="005C0A79">
      <w:pPr>
        <w:pStyle w:val="ListParagraph"/>
        <w:numPr>
          <w:ilvl w:val="0"/>
          <w:numId w:val="6"/>
        </w:numPr>
        <w:rPr>
          <w:i/>
          <w:iCs/>
          <w:lang w:val="en-US"/>
        </w:rPr>
      </w:pPr>
      <w:r w:rsidRPr="009A796F">
        <w:rPr>
          <w:i/>
          <w:iCs/>
          <w:lang w:val="en-US"/>
        </w:rPr>
        <w:t>Please share examples of how older women participate in and contribute to economic, social</w:t>
      </w:r>
      <w:r w:rsidR="009A796F" w:rsidRPr="009A796F">
        <w:rPr>
          <w:i/>
          <w:iCs/>
          <w:lang w:val="en-US"/>
        </w:rPr>
        <w:t xml:space="preserve"> </w:t>
      </w:r>
      <w:r w:rsidRPr="009A796F">
        <w:rPr>
          <w:i/>
          <w:iCs/>
          <w:lang w:val="en-US"/>
        </w:rPr>
        <w:t>and cultural life, including inter-generational solidarity and support.</w:t>
      </w:r>
    </w:p>
    <w:p w14:paraId="4E6905FE" w14:textId="2E17BE69" w:rsidR="009A796F" w:rsidRPr="009A796F" w:rsidRDefault="009A796F" w:rsidP="009A796F">
      <w:pPr>
        <w:pStyle w:val="ListParagraph"/>
        <w:rPr>
          <w:i/>
          <w:iCs/>
          <w:lang w:val="en-US"/>
        </w:rPr>
      </w:pPr>
      <w:r>
        <w:rPr>
          <w:i/>
          <w:iCs/>
          <w:lang w:val="en-US"/>
        </w:rPr>
        <w:t>-</w:t>
      </w:r>
    </w:p>
    <w:p w14:paraId="331C9313" w14:textId="77777777" w:rsidR="00C652FE" w:rsidRDefault="00C652FE" w:rsidP="00C652FE">
      <w:pPr>
        <w:rPr>
          <w:lang w:val="en-US"/>
        </w:rPr>
      </w:pPr>
    </w:p>
    <w:p w14:paraId="6A43117F" w14:textId="2E5619B4" w:rsidR="00C652FE" w:rsidRDefault="00C652FE" w:rsidP="009A796F">
      <w:pPr>
        <w:pStyle w:val="Heading3"/>
        <w:rPr>
          <w:lang w:val="en-US"/>
        </w:rPr>
      </w:pPr>
      <w:r w:rsidRPr="00A71B0E">
        <w:rPr>
          <w:lang w:val="en-US"/>
        </w:rPr>
        <w:t>Forms of discrimination against older women and gender-specific abuses</w:t>
      </w:r>
    </w:p>
    <w:p w14:paraId="3824E5AF" w14:textId="77777777" w:rsidR="009A796F" w:rsidRPr="009A796F" w:rsidRDefault="009A796F" w:rsidP="009A796F">
      <w:pPr>
        <w:rPr>
          <w:lang w:val="en-US"/>
        </w:rPr>
      </w:pPr>
    </w:p>
    <w:p w14:paraId="0A68B603" w14:textId="3DBB623A" w:rsidR="00C652FE" w:rsidRPr="009A796F" w:rsidRDefault="00C652FE" w:rsidP="00635B36">
      <w:pPr>
        <w:pStyle w:val="ListParagraph"/>
        <w:numPr>
          <w:ilvl w:val="0"/>
          <w:numId w:val="6"/>
        </w:numPr>
        <w:rPr>
          <w:i/>
          <w:iCs/>
          <w:lang w:val="en-US"/>
        </w:rPr>
      </w:pPr>
      <w:r w:rsidRPr="009A796F">
        <w:rPr>
          <w:i/>
          <w:iCs/>
          <w:lang w:val="en-US"/>
        </w:rPr>
        <w:t>What forms of structural and systematic discrimination do older women face (for example</w:t>
      </w:r>
      <w:r w:rsidR="009A796F" w:rsidRPr="009A796F">
        <w:rPr>
          <w:i/>
          <w:iCs/>
          <w:lang w:val="en-US"/>
        </w:rPr>
        <w:t xml:space="preserve"> </w:t>
      </w:r>
      <w:r w:rsidRPr="009A796F">
        <w:rPr>
          <w:i/>
          <w:iCs/>
          <w:lang w:val="en-US"/>
        </w:rPr>
        <w:t>through laws, policies, traditional and customary practices, etc.) and what measures have been</w:t>
      </w:r>
      <w:r w:rsidR="009A796F" w:rsidRPr="009A796F">
        <w:rPr>
          <w:i/>
          <w:iCs/>
          <w:lang w:val="en-US"/>
        </w:rPr>
        <w:t xml:space="preserve"> </w:t>
      </w:r>
      <w:r w:rsidRPr="009A796F">
        <w:rPr>
          <w:i/>
          <w:iCs/>
          <w:lang w:val="en-US"/>
        </w:rPr>
        <w:t>taken to address them?</w:t>
      </w:r>
    </w:p>
    <w:p w14:paraId="46C27D84" w14:textId="77777777" w:rsidR="009A796F" w:rsidRDefault="009A796F" w:rsidP="009A796F">
      <w:pPr>
        <w:pStyle w:val="ListParagraph"/>
        <w:rPr>
          <w:lang w:val="en-US"/>
        </w:rPr>
      </w:pPr>
    </w:p>
    <w:p w14:paraId="58B41207" w14:textId="63A4DD16" w:rsidR="009A796F" w:rsidRPr="009A796F" w:rsidRDefault="009A796F" w:rsidP="009A796F">
      <w:pPr>
        <w:pStyle w:val="ListParagraph"/>
        <w:rPr>
          <w:lang w:val="en-US"/>
        </w:rPr>
      </w:pPr>
      <w:r>
        <w:rPr>
          <w:lang w:val="en-US"/>
        </w:rPr>
        <w:t>See answer to question 5.</w:t>
      </w:r>
    </w:p>
    <w:p w14:paraId="6E1B3A39" w14:textId="77777777" w:rsidR="00C652FE" w:rsidRPr="00A71B0E" w:rsidRDefault="00C652FE" w:rsidP="00C652FE">
      <w:pPr>
        <w:rPr>
          <w:lang w:val="en-US"/>
        </w:rPr>
      </w:pPr>
    </w:p>
    <w:p w14:paraId="52A69E73" w14:textId="785401E8" w:rsidR="00C652FE" w:rsidRPr="009A796F" w:rsidRDefault="00C652FE" w:rsidP="00E75981">
      <w:pPr>
        <w:pStyle w:val="ListParagraph"/>
        <w:numPr>
          <w:ilvl w:val="0"/>
          <w:numId w:val="6"/>
        </w:numPr>
        <w:rPr>
          <w:i/>
          <w:iCs/>
          <w:lang w:val="en-US"/>
        </w:rPr>
      </w:pPr>
      <w:r w:rsidRPr="009A796F">
        <w:rPr>
          <w:i/>
          <w:iCs/>
          <w:lang w:val="en-US"/>
        </w:rPr>
        <w:lastRenderedPageBreak/>
        <w:t>How do intersectional factors exacerbate the combined effect of ageism and sexism, including</w:t>
      </w:r>
      <w:r w:rsidR="009A796F" w:rsidRPr="009A796F">
        <w:rPr>
          <w:i/>
          <w:iCs/>
          <w:lang w:val="en-US"/>
        </w:rPr>
        <w:t xml:space="preserve"> </w:t>
      </w:r>
      <w:r w:rsidRPr="009A796F">
        <w:rPr>
          <w:i/>
          <w:iCs/>
          <w:lang w:val="en-US"/>
        </w:rPr>
        <w:t>the perspective of older LGBTI women, older women with disabilities, older migrant women,</w:t>
      </w:r>
      <w:r w:rsidR="009A796F" w:rsidRPr="009A796F">
        <w:rPr>
          <w:i/>
          <w:iCs/>
          <w:lang w:val="en-US"/>
        </w:rPr>
        <w:t xml:space="preserve"> </w:t>
      </w:r>
      <w:r w:rsidRPr="009A796F">
        <w:rPr>
          <w:i/>
          <w:iCs/>
          <w:lang w:val="en-US"/>
        </w:rPr>
        <w:t>older women belonging to indigenous and minority groups, etc.?</w:t>
      </w:r>
    </w:p>
    <w:p w14:paraId="5D19874E" w14:textId="77777777" w:rsidR="00C652FE" w:rsidRPr="009A796F" w:rsidRDefault="00C652FE" w:rsidP="00C652FE">
      <w:pPr>
        <w:rPr>
          <w:i/>
          <w:iCs/>
          <w:lang w:val="en-US"/>
        </w:rPr>
      </w:pPr>
    </w:p>
    <w:p w14:paraId="5DFAF551" w14:textId="236B2AF4" w:rsidR="00C652FE" w:rsidRDefault="00C652FE" w:rsidP="00CB2ACD">
      <w:pPr>
        <w:pStyle w:val="ListParagraph"/>
        <w:numPr>
          <w:ilvl w:val="0"/>
          <w:numId w:val="6"/>
        </w:numPr>
        <w:rPr>
          <w:lang w:val="en-US"/>
        </w:rPr>
      </w:pPr>
      <w:r w:rsidRPr="009A796F">
        <w:rPr>
          <w:lang w:val="en-US"/>
        </w:rPr>
        <w:t>What forms does gender-based violence and abuse against older women take and how is such</w:t>
      </w:r>
      <w:r w:rsidR="009A796F" w:rsidRPr="009A796F">
        <w:rPr>
          <w:lang w:val="en-US"/>
        </w:rPr>
        <w:t xml:space="preserve"> </w:t>
      </w:r>
      <w:r w:rsidRPr="009A796F">
        <w:rPr>
          <w:lang w:val="en-US"/>
        </w:rPr>
        <w:t>violence prevalent? Please share available data and statistics, including in relation to</w:t>
      </w:r>
      <w:r w:rsidR="009A796F" w:rsidRPr="009A796F">
        <w:rPr>
          <w:lang w:val="en-US"/>
        </w:rPr>
        <w:t xml:space="preserve"> </w:t>
      </w:r>
      <w:proofErr w:type="spellStart"/>
      <w:r w:rsidRPr="009A796F">
        <w:rPr>
          <w:lang w:val="en-US"/>
        </w:rPr>
        <w:t>femicides</w:t>
      </w:r>
      <w:proofErr w:type="spellEnd"/>
      <w:r w:rsidRPr="009A796F">
        <w:rPr>
          <w:lang w:val="en-US"/>
        </w:rPr>
        <w:t>.</w:t>
      </w:r>
    </w:p>
    <w:p w14:paraId="111DA897" w14:textId="6A51F1EF" w:rsidR="009A796F" w:rsidRPr="009A796F" w:rsidRDefault="00575FE0" w:rsidP="009A796F">
      <w:pPr>
        <w:pStyle w:val="ListParagraph"/>
        <w:rPr>
          <w:lang w:val="en-US"/>
        </w:rPr>
      </w:pPr>
      <w:r>
        <w:rPr>
          <w:lang w:val="en-US"/>
        </w:rPr>
        <w:t>-</w:t>
      </w:r>
    </w:p>
    <w:p w14:paraId="615B92DA" w14:textId="77777777" w:rsidR="009A796F" w:rsidRPr="009A796F" w:rsidRDefault="009A796F" w:rsidP="009A796F">
      <w:pPr>
        <w:pStyle w:val="ListParagraph"/>
        <w:rPr>
          <w:lang w:val="en-US"/>
        </w:rPr>
      </w:pPr>
    </w:p>
    <w:p w14:paraId="067033B0" w14:textId="07771CF9" w:rsidR="00C652FE" w:rsidRPr="00575FE0" w:rsidRDefault="00C652FE" w:rsidP="00036BB5">
      <w:pPr>
        <w:pStyle w:val="ListParagraph"/>
        <w:numPr>
          <w:ilvl w:val="0"/>
          <w:numId w:val="6"/>
        </w:numPr>
        <w:rPr>
          <w:lang w:val="en-US"/>
        </w:rPr>
      </w:pPr>
      <w:r w:rsidRPr="00575FE0">
        <w:rPr>
          <w:lang w:val="en-US"/>
        </w:rPr>
        <w:t>Please provide examples of how the life cycle perspective is integrated into policies and</w:t>
      </w:r>
      <w:r w:rsidR="00575FE0" w:rsidRPr="00575FE0">
        <w:rPr>
          <w:lang w:val="en-US"/>
        </w:rPr>
        <w:t xml:space="preserve"> </w:t>
      </w:r>
      <w:proofErr w:type="spellStart"/>
      <w:r w:rsidRPr="00575FE0">
        <w:rPr>
          <w:lang w:val="en-US"/>
        </w:rPr>
        <w:t>programmes</w:t>
      </w:r>
      <w:proofErr w:type="spellEnd"/>
      <w:r w:rsidRPr="00575FE0">
        <w:rPr>
          <w:lang w:val="en-US"/>
        </w:rPr>
        <w:t xml:space="preserve"> to prevent and address gender-based violence against women and girls.</w:t>
      </w:r>
    </w:p>
    <w:p w14:paraId="197B92EC" w14:textId="7B0B29BD" w:rsidR="00C652FE" w:rsidRPr="00A71B0E" w:rsidRDefault="00575FE0" w:rsidP="00575FE0">
      <w:pPr>
        <w:ind w:left="927"/>
        <w:rPr>
          <w:lang w:val="en-US"/>
        </w:rPr>
      </w:pPr>
      <w:r>
        <w:rPr>
          <w:lang w:val="en-US"/>
        </w:rPr>
        <w:t>-</w:t>
      </w:r>
    </w:p>
    <w:p w14:paraId="4C75AF09" w14:textId="3C069448" w:rsidR="00C652FE" w:rsidRDefault="00C652FE" w:rsidP="00661493">
      <w:pPr>
        <w:pStyle w:val="ListParagraph"/>
        <w:numPr>
          <w:ilvl w:val="0"/>
          <w:numId w:val="6"/>
        </w:numPr>
        <w:rPr>
          <w:lang w:val="en-US"/>
        </w:rPr>
      </w:pPr>
      <w:r w:rsidRPr="00575FE0">
        <w:rPr>
          <w:lang w:val="en-US"/>
        </w:rPr>
        <w:t>Please share information about reporting, accountability, remedy and protective mechanisms</w:t>
      </w:r>
      <w:r w:rsidR="00575FE0" w:rsidRPr="00575FE0">
        <w:rPr>
          <w:lang w:val="en-US"/>
        </w:rPr>
        <w:t xml:space="preserve"> </w:t>
      </w:r>
      <w:r w:rsidRPr="00575FE0">
        <w:rPr>
          <w:lang w:val="en-US"/>
        </w:rPr>
        <w:t>available and targeted to older women victims of gender-based violence and discrimination.</w:t>
      </w:r>
    </w:p>
    <w:p w14:paraId="6373740F" w14:textId="5F383E7C" w:rsidR="00575FE0" w:rsidRPr="00575FE0" w:rsidRDefault="00575FE0" w:rsidP="00575FE0">
      <w:pPr>
        <w:pStyle w:val="ListParagraph"/>
        <w:ind w:left="927"/>
        <w:rPr>
          <w:lang w:val="en-US"/>
        </w:rPr>
      </w:pPr>
      <w:r>
        <w:rPr>
          <w:lang w:val="en-US"/>
        </w:rPr>
        <w:t>-</w:t>
      </w:r>
    </w:p>
    <w:p w14:paraId="6E9AF2BA" w14:textId="2737B66F" w:rsidR="008872AA" w:rsidRPr="00C652FE" w:rsidRDefault="008872AA" w:rsidP="00D91703">
      <w:pPr>
        <w:pStyle w:val="Heading1"/>
        <w:rPr>
          <w:lang w:val="en-US"/>
        </w:rPr>
      </w:pPr>
    </w:p>
    <w:sectPr w:rsidR="008872AA" w:rsidRPr="00C652FE" w:rsidSect="002D0257">
      <w:headerReference w:type="even" r:id="rId15"/>
      <w:headerReference w:type="default" r:id="rId16"/>
      <w:footerReference w:type="even" r:id="rId17"/>
      <w:footerReference w:type="default" r:id="rId18"/>
      <w:headerReference w:type="first" r:id="rId19"/>
      <w:footerReference w:type="first" r:id="rId20"/>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FA6C0" w14:textId="77777777" w:rsidR="005B6E45" w:rsidRDefault="005B6E45" w:rsidP="0063085E">
      <w:pPr>
        <w:spacing w:line="240" w:lineRule="auto"/>
      </w:pPr>
      <w:r>
        <w:separator/>
      </w:r>
    </w:p>
  </w:endnote>
  <w:endnote w:type="continuationSeparator" w:id="0">
    <w:p w14:paraId="7BE7ECD5" w14:textId="77777777" w:rsidR="005B6E45" w:rsidRDefault="005B6E4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25A0" w14:textId="77777777" w:rsidR="00E25552" w:rsidRDefault="00E25552" w:rsidP="00250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1487C" w14:textId="77777777" w:rsidR="00E25552" w:rsidRDefault="00E25552" w:rsidP="006308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823666"/>
      <w:docPartObj>
        <w:docPartGallery w:val="Page Numbers (Bottom of Page)"/>
        <w:docPartUnique/>
      </w:docPartObj>
    </w:sdtPr>
    <w:sdtEndPr/>
    <w:sdtContent>
      <w:p w14:paraId="3A247EAB" w14:textId="77777777" w:rsidR="00E25552" w:rsidRDefault="00E25552">
        <w:pPr>
          <w:pStyle w:val="Footer"/>
          <w:jc w:val="right"/>
        </w:pPr>
        <w:r>
          <w:fldChar w:fldCharType="begin"/>
        </w:r>
        <w:r>
          <w:instrText>PAGE   \* MERGEFORMAT</w:instrText>
        </w:r>
        <w:r>
          <w:fldChar w:fldCharType="separate"/>
        </w:r>
        <w:r>
          <w:rPr>
            <w:noProof/>
          </w:rPr>
          <w:t>2</w:t>
        </w:r>
        <w:r>
          <w:fldChar w:fldCharType="end"/>
        </w:r>
      </w:p>
    </w:sdtContent>
  </w:sdt>
  <w:p w14:paraId="251C45F5" w14:textId="77777777" w:rsidR="00E25552" w:rsidRDefault="00E25552" w:rsidP="009103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CE0D" w14:textId="12133B0A" w:rsidR="00E25552" w:rsidRDefault="00885751">
    <w:pPr>
      <w:pStyle w:val="Footer"/>
    </w:pPr>
    <w:r>
      <w:rPr>
        <w:noProof/>
        <w:lang w:val="en-GB" w:eastAsia="en-GB"/>
      </w:rPr>
      <w:drawing>
        <wp:anchor distT="0" distB="0" distL="114300" distR="114300" simplePos="0" relativeHeight="251658240" behindDoc="1" locked="0" layoutInCell="1" allowOverlap="1" wp14:anchorId="3BA67CDC" wp14:editId="52D6B60F">
          <wp:simplePos x="0" y="0"/>
          <wp:positionH relativeFrom="column">
            <wp:posOffset>-1004570</wp:posOffset>
          </wp:positionH>
          <wp:positionV relativeFrom="paragraph">
            <wp:posOffset>-339090</wp:posOffset>
          </wp:positionV>
          <wp:extent cx="5105400" cy="790575"/>
          <wp:effectExtent l="0" t="0" r="0" b="0"/>
          <wp:wrapNone/>
          <wp:docPr id="3" name="Picture 3" descr="iok tiedo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k tiedot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B918" w14:textId="77777777" w:rsidR="00EE2440" w:rsidRDefault="00EE24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8F41F" w14:textId="77777777" w:rsidR="00545B33" w:rsidRPr="0063085E" w:rsidRDefault="00545B33" w:rsidP="0063085E">
    <w:pPr>
      <w:pStyle w:val="Footer"/>
      <w:framePr w:w="329" w:wrap="around" w:vAnchor="text" w:hAnchor="page" w:x="11193" w:y="365"/>
      <w:jc w:val="right"/>
      <w:rPr>
        <w:rStyle w:val="PageNumber"/>
        <w:rFonts w:cs="Arial"/>
        <w:sz w:val="16"/>
        <w:szCs w:val="16"/>
      </w:rPr>
    </w:pPr>
    <w:r w:rsidRPr="0063085E">
      <w:rPr>
        <w:rStyle w:val="PageNumber"/>
        <w:rFonts w:cs="Arial"/>
        <w:sz w:val="16"/>
        <w:szCs w:val="16"/>
      </w:rPr>
      <w:fldChar w:fldCharType="begin"/>
    </w:r>
    <w:r w:rsidRPr="0063085E">
      <w:rPr>
        <w:rStyle w:val="PageNumber"/>
        <w:rFonts w:cs="Arial"/>
        <w:sz w:val="16"/>
        <w:szCs w:val="16"/>
      </w:rPr>
      <w:instrText xml:space="preserve">PAGE  </w:instrText>
    </w:r>
    <w:r w:rsidRPr="0063085E">
      <w:rPr>
        <w:rStyle w:val="PageNumber"/>
        <w:rFonts w:cs="Arial"/>
        <w:sz w:val="16"/>
        <w:szCs w:val="16"/>
      </w:rPr>
      <w:fldChar w:fldCharType="separate"/>
    </w:r>
    <w:r w:rsidR="000378B9">
      <w:rPr>
        <w:rStyle w:val="PageNumber"/>
        <w:rFonts w:cs="Arial"/>
        <w:noProof/>
        <w:sz w:val="16"/>
        <w:szCs w:val="16"/>
      </w:rPr>
      <w:t>2</w:t>
    </w:r>
    <w:r w:rsidRPr="0063085E">
      <w:rPr>
        <w:rStyle w:val="PageNumber"/>
        <w:rFonts w:cs="Arial"/>
        <w:sz w:val="16"/>
        <w:szCs w:val="16"/>
      </w:rPr>
      <w:fldChar w:fldCharType="end"/>
    </w:r>
  </w:p>
  <w:p w14:paraId="23EA1CE2" w14:textId="77777777" w:rsidR="00545B33" w:rsidRDefault="00545B33" w:rsidP="0091031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4994C" w14:textId="77777777" w:rsidR="00EE2440" w:rsidRDefault="00EE2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CE4BF" w14:textId="77777777" w:rsidR="005B6E45" w:rsidRDefault="005B6E45" w:rsidP="0063085E">
      <w:pPr>
        <w:spacing w:line="240" w:lineRule="auto"/>
      </w:pPr>
      <w:r>
        <w:separator/>
      </w:r>
    </w:p>
  </w:footnote>
  <w:footnote w:type="continuationSeparator" w:id="0">
    <w:p w14:paraId="6B4E5338" w14:textId="77777777" w:rsidR="005B6E45" w:rsidRDefault="005B6E45" w:rsidP="006308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827A" w14:textId="77777777" w:rsidR="000378B9" w:rsidRDefault="00037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DFEC" w14:textId="77777777" w:rsidR="000378B9" w:rsidRDefault="00037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67A46" w14:textId="77777777" w:rsidR="00E25552" w:rsidRDefault="00E25552">
    <w:pPr>
      <w:pStyle w:val="Header"/>
    </w:pPr>
    <w:r>
      <w:rPr>
        <w:noProof/>
        <w:lang w:val="en-GB" w:eastAsia="en-GB"/>
      </w:rPr>
      <w:drawing>
        <wp:anchor distT="0" distB="0" distL="114300" distR="114300" simplePos="0" relativeHeight="251657216" behindDoc="1" locked="0" layoutInCell="1" allowOverlap="1" wp14:anchorId="6DE503EB" wp14:editId="05D446A3">
          <wp:simplePos x="0" y="0"/>
          <wp:positionH relativeFrom="column">
            <wp:posOffset>-1733266</wp:posOffset>
          </wp:positionH>
          <wp:positionV relativeFrom="paragraph">
            <wp:posOffset>-436728</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7339F" w14:textId="77777777" w:rsidR="00EE2440" w:rsidRDefault="00EE24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5DF6" w14:textId="77777777" w:rsidR="00545B33" w:rsidRDefault="00545B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F95D" w14:textId="77777777" w:rsidR="00EE2440" w:rsidRDefault="00EE2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6CC1"/>
    <w:multiLevelType w:val="hybridMultilevel"/>
    <w:tmpl w:val="C89205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A161496"/>
    <w:multiLevelType w:val="hybridMultilevel"/>
    <w:tmpl w:val="7A548DF8"/>
    <w:lvl w:ilvl="0" w:tplc="040B000F">
      <w:start w:val="1"/>
      <w:numFmt w:val="decimal"/>
      <w:lvlText w:val="%1."/>
      <w:lvlJc w:val="left"/>
      <w:pPr>
        <w:ind w:left="927" w:hanging="360"/>
      </w:pPr>
      <w:rPr>
        <w:rFonts w:hint="default"/>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EDC237A"/>
    <w:multiLevelType w:val="multilevel"/>
    <w:tmpl w:val="5AE68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748F3"/>
    <w:multiLevelType w:val="multilevel"/>
    <w:tmpl w:val="9228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D"/>
    <w:rsid w:val="00027BDA"/>
    <w:rsid w:val="000357B1"/>
    <w:rsid w:val="000358C2"/>
    <w:rsid w:val="000378B9"/>
    <w:rsid w:val="00055C8C"/>
    <w:rsid w:val="00076B3F"/>
    <w:rsid w:val="000C329D"/>
    <w:rsid w:val="000C3AE5"/>
    <w:rsid w:val="00111720"/>
    <w:rsid w:val="0012620A"/>
    <w:rsid w:val="001616DC"/>
    <w:rsid w:val="00161D6B"/>
    <w:rsid w:val="0025096A"/>
    <w:rsid w:val="002533C8"/>
    <w:rsid w:val="00284B4F"/>
    <w:rsid w:val="002B0354"/>
    <w:rsid w:val="002D0257"/>
    <w:rsid w:val="00364B13"/>
    <w:rsid w:val="003B4325"/>
    <w:rsid w:val="003F7D3C"/>
    <w:rsid w:val="0042316A"/>
    <w:rsid w:val="00457749"/>
    <w:rsid w:val="004F47D0"/>
    <w:rsid w:val="0054423B"/>
    <w:rsid w:val="00545B33"/>
    <w:rsid w:val="00561763"/>
    <w:rsid w:val="00575FE0"/>
    <w:rsid w:val="005B6E45"/>
    <w:rsid w:val="0060660B"/>
    <w:rsid w:val="00620E1F"/>
    <w:rsid w:val="00623004"/>
    <w:rsid w:val="0062639C"/>
    <w:rsid w:val="0063085E"/>
    <w:rsid w:val="00647FB9"/>
    <w:rsid w:val="00657415"/>
    <w:rsid w:val="006746DF"/>
    <w:rsid w:val="006944B8"/>
    <w:rsid w:val="00694AE8"/>
    <w:rsid w:val="006B79E5"/>
    <w:rsid w:val="006D13A3"/>
    <w:rsid w:val="006F3863"/>
    <w:rsid w:val="00741E09"/>
    <w:rsid w:val="0079788F"/>
    <w:rsid w:val="007A5AC0"/>
    <w:rsid w:val="007C391E"/>
    <w:rsid w:val="007D64D3"/>
    <w:rsid w:val="00885751"/>
    <w:rsid w:val="008872AA"/>
    <w:rsid w:val="0089204C"/>
    <w:rsid w:val="00892796"/>
    <w:rsid w:val="008A4F49"/>
    <w:rsid w:val="008C198A"/>
    <w:rsid w:val="0090222A"/>
    <w:rsid w:val="00910316"/>
    <w:rsid w:val="0092696C"/>
    <w:rsid w:val="00935B0A"/>
    <w:rsid w:val="009A0275"/>
    <w:rsid w:val="009A796F"/>
    <w:rsid w:val="009E4D8D"/>
    <w:rsid w:val="00A20382"/>
    <w:rsid w:val="00A22934"/>
    <w:rsid w:val="00A24839"/>
    <w:rsid w:val="00A2656C"/>
    <w:rsid w:val="00B012C4"/>
    <w:rsid w:val="00B33D6A"/>
    <w:rsid w:val="00B539AE"/>
    <w:rsid w:val="00C3746C"/>
    <w:rsid w:val="00C42CAC"/>
    <w:rsid w:val="00C53BA5"/>
    <w:rsid w:val="00C652FE"/>
    <w:rsid w:val="00C809BF"/>
    <w:rsid w:val="00D16CBC"/>
    <w:rsid w:val="00D2249C"/>
    <w:rsid w:val="00D23430"/>
    <w:rsid w:val="00D914F7"/>
    <w:rsid w:val="00D91703"/>
    <w:rsid w:val="00DE46B1"/>
    <w:rsid w:val="00E15BB2"/>
    <w:rsid w:val="00E25552"/>
    <w:rsid w:val="00E25895"/>
    <w:rsid w:val="00E3289C"/>
    <w:rsid w:val="00E813C7"/>
    <w:rsid w:val="00EA3FD7"/>
    <w:rsid w:val="00ED7497"/>
    <w:rsid w:val="00EE2440"/>
    <w:rsid w:val="00F04319"/>
    <w:rsid w:val="00F2636A"/>
    <w:rsid w:val="00F409C4"/>
    <w:rsid w:val="00F74ADA"/>
    <w:rsid w:val="00F9025D"/>
    <w:rsid w:val="00FA0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8B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096A"/>
    <w:pPr>
      <w:widowControl w:val="0"/>
      <w:spacing w:line="240" w:lineRule="exact"/>
    </w:pPr>
    <w:rPr>
      <w:color w:val="000000"/>
      <w:sz w:val="18"/>
      <w:szCs w:val="22"/>
      <w:lang w:eastAsia="en-US"/>
    </w:rPr>
  </w:style>
  <w:style w:type="paragraph" w:styleId="Heading1">
    <w:name w:val="heading 1"/>
    <w:basedOn w:val="Normal"/>
    <w:next w:val="Normal"/>
    <w:link w:val="Heading1Char"/>
    <w:uiPriority w:val="9"/>
    <w:qFormat/>
    <w:rsid w:val="00457749"/>
    <w:pPr>
      <w:keepNext/>
      <w:keepLines/>
      <w:spacing w:before="240" w:line="480" w:lineRule="exact"/>
      <w:outlineLvl w:val="0"/>
    </w:pPr>
    <w:rPr>
      <w:rFonts w:eastAsia="MS PGothic"/>
      <w:b/>
      <w:bCs/>
      <w:color w:val="DC5034"/>
      <w:sz w:val="36"/>
      <w:szCs w:val="32"/>
    </w:rPr>
  </w:style>
  <w:style w:type="paragraph" w:styleId="Heading2">
    <w:name w:val="heading 2"/>
    <w:basedOn w:val="Heading1"/>
    <w:next w:val="Normal"/>
    <w:link w:val="Heading2Char"/>
    <w:uiPriority w:val="9"/>
    <w:qFormat/>
    <w:rsid w:val="00620E1F"/>
    <w:pPr>
      <w:spacing w:before="120" w:line="360" w:lineRule="exact"/>
      <w:outlineLvl w:val="1"/>
    </w:pPr>
    <w:rPr>
      <w:bCs w:val="0"/>
      <w:sz w:val="26"/>
      <w:szCs w:val="26"/>
    </w:rPr>
  </w:style>
  <w:style w:type="paragraph" w:styleId="Heading3">
    <w:name w:val="heading 3"/>
    <w:basedOn w:val="Heading2"/>
    <w:next w:val="Normal"/>
    <w:link w:val="Heading3Char"/>
    <w:uiPriority w:val="9"/>
    <w:qFormat/>
    <w:rsid w:val="00620E1F"/>
    <w:p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81"/>
    </w:pPr>
    <w:rPr>
      <w:sz w:val="20"/>
      <w:szCs w:val="20"/>
    </w:rPr>
  </w:style>
  <w:style w:type="paragraph" w:customStyle="1" w:styleId="Vriksluettelo-korostus11">
    <w:name w:val="Värikäs luettelo - korostus 11"/>
    <w:basedOn w:val="Normal"/>
    <w:uiPriority w:val="1"/>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85E"/>
    <w:pPr>
      <w:tabs>
        <w:tab w:val="center" w:pos="4320"/>
        <w:tab w:val="right" w:pos="8640"/>
      </w:tabs>
    </w:pPr>
  </w:style>
  <w:style w:type="character" w:customStyle="1" w:styleId="HeaderChar">
    <w:name w:val="Header Char"/>
    <w:basedOn w:val="DefaultParagraphFont"/>
    <w:link w:val="Header"/>
    <w:uiPriority w:val="99"/>
    <w:rsid w:val="0063085E"/>
  </w:style>
  <w:style w:type="paragraph" w:styleId="Footer">
    <w:name w:val="footer"/>
    <w:basedOn w:val="Normal"/>
    <w:link w:val="FooterChar"/>
    <w:uiPriority w:val="99"/>
    <w:unhideWhenUsed/>
    <w:rsid w:val="0063085E"/>
    <w:pPr>
      <w:tabs>
        <w:tab w:val="center" w:pos="4320"/>
        <w:tab w:val="right" w:pos="8640"/>
      </w:tabs>
    </w:pPr>
  </w:style>
  <w:style w:type="character" w:customStyle="1" w:styleId="FooterChar">
    <w:name w:val="Footer Char"/>
    <w:basedOn w:val="DefaultParagraphFont"/>
    <w:link w:val="Footer"/>
    <w:uiPriority w:val="99"/>
    <w:rsid w:val="0063085E"/>
  </w:style>
  <w:style w:type="paragraph" w:styleId="BalloonText">
    <w:name w:val="Balloon Text"/>
    <w:basedOn w:val="Normal"/>
    <w:link w:val="BalloonTextChar"/>
    <w:uiPriority w:val="99"/>
    <w:semiHidden/>
    <w:unhideWhenUsed/>
    <w:rsid w:val="0063085E"/>
    <w:rPr>
      <w:rFonts w:ascii="Lucida Grande" w:hAnsi="Lucida Grande" w:cs="Lucida Grande"/>
      <w:szCs w:val="18"/>
    </w:rPr>
  </w:style>
  <w:style w:type="character" w:customStyle="1" w:styleId="BalloonTextChar">
    <w:name w:val="Balloon Text Char"/>
    <w:link w:val="BalloonText"/>
    <w:uiPriority w:val="99"/>
    <w:semiHidden/>
    <w:rsid w:val="0063085E"/>
    <w:rPr>
      <w:rFonts w:ascii="Lucida Grande" w:hAnsi="Lucida Grande" w:cs="Lucida Grande"/>
      <w:sz w:val="18"/>
      <w:szCs w:val="18"/>
    </w:rPr>
  </w:style>
  <w:style w:type="character" w:styleId="PageNumber">
    <w:name w:val="page number"/>
    <w:basedOn w:val="DefaultParagraphFont"/>
    <w:uiPriority w:val="99"/>
    <w:semiHidden/>
    <w:unhideWhenUsed/>
    <w:rsid w:val="0063085E"/>
  </w:style>
  <w:style w:type="character" w:customStyle="1" w:styleId="Heading1Char">
    <w:name w:val="Heading 1 Char"/>
    <w:link w:val="Heading1"/>
    <w:uiPriority w:val="9"/>
    <w:rsid w:val="00457749"/>
    <w:rPr>
      <w:rFonts w:ascii="Arial" w:eastAsia="MS PGothic" w:hAnsi="Arial" w:cs="Times New Roman"/>
      <w:b/>
      <w:bCs/>
      <w:color w:val="DC5034"/>
      <w:sz w:val="36"/>
      <w:szCs w:val="32"/>
      <w:lang w:val="fi-FI"/>
    </w:rPr>
  </w:style>
  <w:style w:type="paragraph" w:styleId="Title">
    <w:name w:val="Title"/>
    <w:basedOn w:val="Normal"/>
    <w:next w:val="Normal"/>
    <w:link w:val="Title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TitleChar">
    <w:name w:val="Title Char"/>
    <w:link w:val="Title"/>
    <w:uiPriority w:val="10"/>
    <w:rsid w:val="0025096A"/>
    <w:rPr>
      <w:rFonts w:ascii="Arial" w:eastAsia="MS PGothic" w:hAnsi="Arial" w:cs="Times New Roman"/>
      <w:color w:val="AD351E"/>
      <w:spacing w:val="5"/>
      <w:kern w:val="28"/>
      <w:sz w:val="52"/>
      <w:szCs w:val="52"/>
    </w:rPr>
  </w:style>
  <w:style w:type="character" w:customStyle="1" w:styleId="Heading2Char">
    <w:name w:val="Heading 2 Char"/>
    <w:link w:val="Heading2"/>
    <w:uiPriority w:val="9"/>
    <w:rsid w:val="00620E1F"/>
    <w:rPr>
      <w:rFonts w:ascii="Arial" w:eastAsia="MS PGothic" w:hAnsi="Arial" w:cs="Times New Roman"/>
      <w:b/>
      <w:color w:val="DC5034"/>
      <w:sz w:val="26"/>
      <w:szCs w:val="26"/>
      <w:lang w:val="fi-FI"/>
    </w:rPr>
  </w:style>
  <w:style w:type="character" w:customStyle="1" w:styleId="Heading3Char">
    <w:name w:val="Heading 3 Char"/>
    <w:link w:val="Heading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l"/>
    <w:uiPriority w:val="1"/>
    <w:qFormat/>
    <w:rsid w:val="0042316A"/>
    <w:pPr>
      <w:spacing w:line="280" w:lineRule="exact"/>
    </w:pPr>
    <w:rPr>
      <w:sz w:val="22"/>
      <w:lang w:val="en-US"/>
    </w:rPr>
  </w:style>
  <w:style w:type="paragraph" w:styleId="ListParagraph">
    <w:name w:val="List Paragraph"/>
    <w:basedOn w:val="Normal"/>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Hyperlink">
    <w:name w:val="Hyperlink"/>
    <w:basedOn w:val="DefaultParagraphFont"/>
    <w:uiPriority w:val="99"/>
    <w:semiHidden/>
    <w:unhideWhenUsed/>
    <w:rsid w:val="008872AA"/>
    <w:rPr>
      <w:color w:val="0000FF"/>
      <w:u w:val="single"/>
    </w:rPr>
  </w:style>
  <w:style w:type="character" w:customStyle="1" w:styleId="hyphenate">
    <w:name w:val="hyphenate"/>
    <w:basedOn w:val="DefaultParagraphFont"/>
    <w:rsid w:val="008872AA"/>
  </w:style>
  <w:style w:type="paragraph" w:customStyle="1" w:styleId="question">
    <w:name w:val="question"/>
    <w:basedOn w:val="Normal"/>
    <w:rsid w:val="008872AA"/>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CommentReference">
    <w:name w:val="annotation reference"/>
    <w:basedOn w:val="DefaultParagraphFont"/>
    <w:uiPriority w:val="99"/>
    <w:semiHidden/>
    <w:unhideWhenUsed/>
    <w:rsid w:val="008872AA"/>
    <w:rPr>
      <w:sz w:val="16"/>
      <w:szCs w:val="16"/>
    </w:rPr>
  </w:style>
  <w:style w:type="paragraph" w:styleId="CommentText">
    <w:name w:val="annotation text"/>
    <w:basedOn w:val="Normal"/>
    <w:link w:val="CommentTextChar"/>
    <w:uiPriority w:val="99"/>
    <w:semiHidden/>
    <w:unhideWhenUsed/>
    <w:rsid w:val="008872AA"/>
    <w:pPr>
      <w:spacing w:line="240" w:lineRule="auto"/>
    </w:pPr>
    <w:rPr>
      <w:sz w:val="20"/>
      <w:szCs w:val="20"/>
    </w:rPr>
  </w:style>
  <w:style w:type="character" w:customStyle="1" w:styleId="CommentTextChar">
    <w:name w:val="Comment Text Char"/>
    <w:basedOn w:val="DefaultParagraphFont"/>
    <w:link w:val="CommentText"/>
    <w:uiPriority w:val="99"/>
    <w:semiHidden/>
    <w:rsid w:val="008872AA"/>
    <w:rPr>
      <w:color w:val="000000"/>
      <w:lang w:eastAsia="en-US"/>
    </w:rPr>
  </w:style>
  <w:style w:type="paragraph" w:styleId="CommentSubject">
    <w:name w:val="annotation subject"/>
    <w:basedOn w:val="CommentText"/>
    <w:next w:val="CommentText"/>
    <w:link w:val="CommentSubjectChar"/>
    <w:uiPriority w:val="99"/>
    <w:semiHidden/>
    <w:unhideWhenUsed/>
    <w:rsid w:val="008872AA"/>
    <w:rPr>
      <w:b/>
      <w:bCs/>
    </w:rPr>
  </w:style>
  <w:style w:type="character" w:customStyle="1" w:styleId="CommentSubjectChar">
    <w:name w:val="Comment Subject Char"/>
    <w:basedOn w:val="CommentTextChar"/>
    <w:link w:val="CommentSubject"/>
    <w:uiPriority w:val="99"/>
    <w:semiHidden/>
    <w:rsid w:val="008872AA"/>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382172">
      <w:bodyDiv w:val="1"/>
      <w:marLeft w:val="0"/>
      <w:marRight w:val="0"/>
      <w:marTop w:val="0"/>
      <w:marBottom w:val="0"/>
      <w:divBdr>
        <w:top w:val="none" w:sz="0" w:space="0" w:color="auto"/>
        <w:left w:val="none" w:sz="0" w:space="0" w:color="auto"/>
        <w:bottom w:val="none" w:sz="0" w:space="0" w:color="auto"/>
        <w:right w:val="none" w:sz="0" w:space="0" w:color="auto"/>
      </w:divBdr>
      <w:divsChild>
        <w:div w:id="1563911124">
          <w:marLeft w:val="0"/>
          <w:marRight w:val="0"/>
          <w:marTop w:val="0"/>
          <w:marBottom w:val="0"/>
          <w:divBdr>
            <w:top w:val="single" w:sz="6" w:space="0" w:color="CDCDCD"/>
            <w:left w:val="single" w:sz="6" w:space="0" w:color="CDCDCD"/>
            <w:bottom w:val="single" w:sz="6" w:space="0" w:color="CDCDCD"/>
            <w:right w:val="single" w:sz="6" w:space="0" w:color="CDCDCD"/>
          </w:divBdr>
        </w:div>
        <w:div w:id="278336098">
          <w:marLeft w:val="0"/>
          <w:marRight w:val="0"/>
          <w:marTop w:val="0"/>
          <w:marBottom w:val="0"/>
          <w:divBdr>
            <w:top w:val="none" w:sz="0" w:space="0" w:color="auto"/>
            <w:left w:val="none" w:sz="0" w:space="0" w:color="auto"/>
            <w:bottom w:val="none" w:sz="0" w:space="0" w:color="auto"/>
            <w:right w:val="none" w:sz="0" w:space="0" w:color="auto"/>
          </w:divBdr>
          <w:divsChild>
            <w:div w:id="1553730741">
              <w:marLeft w:val="0"/>
              <w:marRight w:val="0"/>
              <w:marTop w:val="0"/>
              <w:marBottom w:val="0"/>
              <w:divBdr>
                <w:top w:val="none" w:sz="0" w:space="0" w:color="auto"/>
                <w:left w:val="none" w:sz="0" w:space="0" w:color="auto"/>
                <w:bottom w:val="none" w:sz="0" w:space="0" w:color="auto"/>
                <w:right w:val="none" w:sz="0" w:space="0" w:color="auto"/>
              </w:divBdr>
              <w:divsChild>
                <w:div w:id="15025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hl.fi/en/web/ageing/older-people-services-undergoing-a-change/informal-care-and-family-car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BFFAEE-2306-4853-A8FC-847F5B2CCC75}">
  <ds:schemaRefs>
    <ds:schemaRef ds:uri="http://schemas.openxmlformats.org/officeDocument/2006/bibliography"/>
  </ds:schemaRefs>
</ds:datastoreItem>
</file>

<file path=customXml/itemProps2.xml><?xml version="1.0" encoding="utf-8"?>
<ds:datastoreItem xmlns:ds="http://schemas.openxmlformats.org/officeDocument/2006/customXml" ds:itemID="{ED872134-AFA4-4CE8-9E95-907991B81EA9}"/>
</file>

<file path=customXml/itemProps3.xml><?xml version="1.0" encoding="utf-8"?>
<ds:datastoreItem xmlns:ds="http://schemas.openxmlformats.org/officeDocument/2006/customXml" ds:itemID="{B5798248-7BD4-4B0C-B2BD-9C11BA00857C}"/>
</file>

<file path=customXml/itemProps4.xml><?xml version="1.0" encoding="utf-8"?>
<ds:datastoreItem xmlns:ds="http://schemas.openxmlformats.org/officeDocument/2006/customXml" ds:itemID="{C6C64602-CF41-43D8-B24B-22CC724A0CCD}"/>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2021-04-26T14:43:00Z</dcterms:created>
  <dcterms:modified xsi:type="dcterms:W3CDTF">2021-04-26T14:43:00Z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