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B7BD" w14:textId="77777777" w:rsidR="00887A7B" w:rsidRPr="00154C14" w:rsidRDefault="00887A7B" w:rsidP="003D7448">
      <w:pPr>
        <w:spacing w:after="120" w:line="276" w:lineRule="auto"/>
        <w:jc w:val="center"/>
        <w:rPr>
          <w:b/>
          <w:bCs/>
          <w:sz w:val="24"/>
          <w:szCs w:val="24"/>
          <w:lang w:val="es-419"/>
        </w:rPr>
      </w:pPr>
      <w:r w:rsidRPr="00154C14">
        <w:rPr>
          <w:b/>
          <w:bCs/>
          <w:sz w:val="24"/>
          <w:szCs w:val="24"/>
          <w:lang w:val="es-419"/>
        </w:rPr>
        <w:t>Encuesta sobre marcos referentes a la nacionalidad (ciudadanía) e igualdad en temas de nacionalidad.</w:t>
      </w:r>
    </w:p>
    <w:p w14:paraId="0BA5A6A7" w14:textId="2883C382" w:rsidR="00887A7B" w:rsidRPr="00154C14" w:rsidRDefault="00887A7B" w:rsidP="003D7448">
      <w:pPr>
        <w:spacing w:after="120" w:line="276" w:lineRule="auto"/>
        <w:jc w:val="both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La Oficina de la Alta Comisionada de las Naciones Unidas para los Derechos Humanos (OACNUDH) y el Alto Comisionado de las Naciones Unidas para los Refugiados (ACNUR) organizarán una Mesa Redonda Virtual sobre la Importancia de la Igualdad y No Discriminación en Temas de Nacionalidad para Erradicar la Apatridia. </w:t>
      </w:r>
    </w:p>
    <w:p w14:paraId="2A352DA4" w14:textId="1FE731C9" w:rsidR="00887A7B" w:rsidRPr="00154C14" w:rsidRDefault="00887A7B" w:rsidP="003D7448">
      <w:pPr>
        <w:spacing w:after="120" w:line="276" w:lineRule="auto"/>
        <w:jc w:val="both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La Mesa Redonda Virtual reunirá a </w:t>
      </w:r>
      <w:r w:rsidR="00154C14" w:rsidRPr="00154C14">
        <w:rPr>
          <w:sz w:val="24"/>
          <w:szCs w:val="24"/>
          <w:lang w:val="es-419"/>
        </w:rPr>
        <w:t>representantes</w:t>
      </w:r>
      <w:r w:rsidRPr="00154C14">
        <w:rPr>
          <w:sz w:val="24"/>
          <w:szCs w:val="24"/>
          <w:lang w:val="es-419"/>
        </w:rPr>
        <w:t xml:space="preserve"> de Estados, a los mecanismos de derechos </w:t>
      </w:r>
      <w:r w:rsidR="00154C14" w:rsidRPr="00154C14">
        <w:rPr>
          <w:sz w:val="24"/>
          <w:szCs w:val="24"/>
          <w:lang w:val="es-419"/>
        </w:rPr>
        <w:t>humanos</w:t>
      </w:r>
      <w:r w:rsidRPr="00154C14">
        <w:rPr>
          <w:sz w:val="24"/>
          <w:szCs w:val="24"/>
          <w:lang w:val="es-419"/>
        </w:rPr>
        <w:t xml:space="preserve"> de las Naciones Unidas, organizaciones de Sociedad civil y personas apátridas para discutir la </w:t>
      </w:r>
      <w:r w:rsidRPr="00154C14">
        <w:rPr>
          <w:sz w:val="24"/>
          <w:szCs w:val="24"/>
          <w:u w:val="single"/>
          <w:lang w:val="es-419"/>
        </w:rPr>
        <w:t>apatridia, los derechos humanos y la no discriminación en temas de nacionalidad.</w:t>
      </w:r>
      <w:r w:rsidRPr="00154C14">
        <w:rPr>
          <w:sz w:val="24"/>
          <w:szCs w:val="24"/>
          <w:lang w:val="es-419"/>
        </w:rPr>
        <w:t xml:space="preserve"> Los hallazgos y recomendaciones que emanen de la Mesa Redonda Virtual informarán el Foro 2021 sobre las Minorías, y serán compartidos ampliamente, lo cual incluirá a Estados, Organizaciones Nacionales de Derechos Humanos, entidades de la ONU, organizaciones de sociedad civil y personas defensoras de derechos humanos. </w:t>
      </w:r>
    </w:p>
    <w:p w14:paraId="14966C6D" w14:textId="7717378F" w:rsidR="00887A7B" w:rsidRPr="00154C14" w:rsidRDefault="00887A7B" w:rsidP="003D7448">
      <w:pPr>
        <w:spacing w:line="276" w:lineRule="auto"/>
        <w:jc w:val="both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En preparación de la Mesa Redonda Virtual, OACNUDH y ACNUR están realizando un monitoreo acerca de las leyes, políticas y prácticas en estas temáticas.  Apreciaríamos sus respuestas a </w:t>
      </w:r>
      <w:r w:rsidR="00E4627F" w:rsidRPr="00154C14">
        <w:rPr>
          <w:sz w:val="24"/>
          <w:szCs w:val="24"/>
          <w:lang w:val="es-419"/>
        </w:rPr>
        <w:t xml:space="preserve">la </w:t>
      </w:r>
      <w:r w:rsidRPr="00154C14">
        <w:rPr>
          <w:sz w:val="24"/>
          <w:szCs w:val="24"/>
          <w:lang w:val="es-419"/>
        </w:rPr>
        <w:t>corta encuesta</w:t>
      </w:r>
      <w:r w:rsidR="00E4627F" w:rsidRPr="00154C14">
        <w:rPr>
          <w:sz w:val="24"/>
          <w:szCs w:val="24"/>
          <w:lang w:val="es-419"/>
        </w:rPr>
        <w:t xml:space="preserve"> que sigue</w:t>
      </w:r>
      <w:r w:rsidRPr="00154C14">
        <w:rPr>
          <w:sz w:val="24"/>
          <w:szCs w:val="24"/>
          <w:lang w:val="es-419"/>
        </w:rPr>
        <w:t xml:space="preserve">. </w:t>
      </w:r>
      <w:r w:rsidR="00E4627F" w:rsidRPr="00154C14">
        <w:rPr>
          <w:sz w:val="24"/>
          <w:szCs w:val="24"/>
          <w:lang w:val="es-419"/>
        </w:rPr>
        <w:t xml:space="preserve">Los resultados de esta encuesta buscan informar las discusiones durante la mesa redonda y las recomendaciones que de estas emanen. </w:t>
      </w:r>
    </w:p>
    <w:p w14:paraId="50BB60FC" w14:textId="63370D9F" w:rsidR="00E4627F" w:rsidRPr="00154C14" w:rsidRDefault="00E4627F" w:rsidP="003D7448">
      <w:pPr>
        <w:spacing w:line="276" w:lineRule="auto"/>
        <w:jc w:val="both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Por favor remítanse las respuestas hasta el </w:t>
      </w:r>
      <w:r w:rsidRPr="00154C14">
        <w:rPr>
          <w:sz w:val="24"/>
          <w:szCs w:val="24"/>
          <w:u w:val="single"/>
          <w:lang w:val="es-419"/>
        </w:rPr>
        <w:t>10 de septiembre de 2021</w:t>
      </w:r>
      <w:r w:rsidRPr="00154C14">
        <w:rPr>
          <w:sz w:val="24"/>
          <w:szCs w:val="24"/>
          <w:lang w:val="es-419"/>
        </w:rPr>
        <w:t xml:space="preserve"> a: </w:t>
      </w:r>
      <w:hyperlink r:id="rId7" w:history="1">
        <w:r w:rsidRPr="00154C14">
          <w:rPr>
            <w:rStyle w:val="Hyperlink"/>
            <w:sz w:val="24"/>
            <w:szCs w:val="24"/>
            <w:lang w:val="es-419"/>
          </w:rPr>
          <w:t>minorities@ohchr.org</w:t>
        </w:r>
      </w:hyperlink>
      <w:r w:rsidRPr="00154C14">
        <w:rPr>
          <w:sz w:val="24"/>
          <w:szCs w:val="24"/>
          <w:lang w:val="es-419"/>
        </w:rPr>
        <w:t xml:space="preserve">. </w:t>
      </w:r>
    </w:p>
    <w:p w14:paraId="3F3D9ED8" w14:textId="77777777" w:rsidR="00887A7B" w:rsidRPr="00154C14" w:rsidRDefault="00887A7B" w:rsidP="003D7448">
      <w:pPr>
        <w:spacing w:line="276" w:lineRule="auto"/>
        <w:jc w:val="center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***</w:t>
      </w:r>
    </w:p>
    <w:p w14:paraId="7424DD17" w14:textId="2942957F" w:rsidR="00E4627F" w:rsidRPr="00154C14" w:rsidRDefault="00E4627F" w:rsidP="003D7448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sz w:val="24"/>
          <w:szCs w:val="24"/>
          <w:lang w:val="es-419"/>
        </w:rPr>
      </w:pPr>
      <w:bookmarkStart w:id="0" w:name="_Hlk76041011"/>
      <w:r w:rsidRPr="00154C14">
        <w:rPr>
          <w:sz w:val="24"/>
          <w:szCs w:val="24"/>
          <w:lang w:val="es-419"/>
        </w:rPr>
        <w:t xml:space="preserve">¿Las normas legales y regulaciones a nivel de Estado, relativas a la adquisición, otorgamiento, cambio o retención de la nacionalidad (ciudadanía), son las mismas para toda persona, indistintamente de su </w:t>
      </w:r>
      <w:r w:rsidRPr="00154C14">
        <w:rPr>
          <w:b/>
          <w:bCs/>
          <w:sz w:val="24"/>
          <w:szCs w:val="24"/>
          <w:lang w:val="es-419"/>
        </w:rPr>
        <w:t>origen racial</w:t>
      </w:r>
      <w:r w:rsidRPr="00154C14">
        <w:rPr>
          <w:sz w:val="24"/>
          <w:szCs w:val="24"/>
          <w:lang w:val="es-419"/>
        </w:rPr>
        <w:t xml:space="preserve"> o </w:t>
      </w:r>
      <w:r w:rsidRPr="00154C14">
        <w:rPr>
          <w:b/>
          <w:bCs/>
          <w:sz w:val="24"/>
          <w:szCs w:val="24"/>
          <w:lang w:val="es-419"/>
        </w:rPr>
        <w:t>étnico</w:t>
      </w:r>
      <w:r w:rsidRPr="00154C14">
        <w:rPr>
          <w:sz w:val="24"/>
          <w:szCs w:val="24"/>
          <w:lang w:val="es-419"/>
        </w:rPr>
        <w:t>? Contrariamente ¿restringen (en ley o en práctica) la adquisición o el otorgamiento de la nacionalidad a ciertos grupos, o su protección contra la privación de la nacionalidad?</w:t>
      </w:r>
    </w:p>
    <w:p w14:paraId="4542B018" w14:textId="795CBD20" w:rsidR="00E4627F" w:rsidRPr="00154C14" w:rsidRDefault="00E4627F" w:rsidP="003D744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Sí, son las mismas y no restringen a grupos específicos, protegidos por la prohibición contra la discriminación racial del derecho internacional, del igual acceso a la nacionalidad/ciudadanía. </w:t>
      </w:r>
    </w:p>
    <w:p w14:paraId="567C0C35" w14:textId="77777777" w:rsidR="003D7448" w:rsidRPr="00154C14" w:rsidRDefault="00E4627F" w:rsidP="003D7448">
      <w:pPr>
        <w:pStyle w:val="ListParagraph"/>
        <w:numPr>
          <w:ilvl w:val="1"/>
          <w:numId w:val="12"/>
        </w:numPr>
        <w:spacing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No; por favor explique:</w:t>
      </w:r>
    </w:p>
    <w:p w14:paraId="4F0ABA6C" w14:textId="67FDF6D0" w:rsidR="00E4627F" w:rsidRPr="00154C14" w:rsidRDefault="00E4627F" w:rsidP="003D7448">
      <w:pPr>
        <w:pStyle w:val="ListParagraph"/>
        <w:numPr>
          <w:ilvl w:val="0"/>
          <w:numId w:val="12"/>
        </w:numPr>
        <w:spacing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¿Las normas legales y regulaciones a nivel de Estado, relativas a la adquisición, otorgamiento, cambio o retención de la nacionalidad</w:t>
      </w:r>
      <w:r w:rsidR="00550239">
        <w:rPr>
          <w:sz w:val="24"/>
          <w:szCs w:val="24"/>
          <w:lang w:val="es-419"/>
        </w:rPr>
        <w:t xml:space="preserve">, </w:t>
      </w:r>
      <w:r w:rsidRPr="00154C14">
        <w:rPr>
          <w:sz w:val="24"/>
          <w:szCs w:val="24"/>
          <w:lang w:val="es-419"/>
        </w:rPr>
        <w:t xml:space="preserve">son las mismas para toda persona, indistintamente de su </w:t>
      </w:r>
      <w:r w:rsidRPr="00154C14">
        <w:rPr>
          <w:b/>
          <w:bCs/>
          <w:sz w:val="24"/>
          <w:szCs w:val="24"/>
          <w:lang w:val="es-419"/>
        </w:rPr>
        <w:t>afiliación religiosa, o creencias religiosas o espirituales</w:t>
      </w:r>
      <w:r w:rsidRPr="00154C14">
        <w:rPr>
          <w:sz w:val="24"/>
          <w:szCs w:val="24"/>
          <w:lang w:val="es-419"/>
        </w:rPr>
        <w:t>? Contrariamente ¿restringen (en ley o en práctica) la adquisición o el otorgamiento de la nacionalidad a los miembros de ciertas minorías religiosas o de creencias, o su protección contra la privación de la nacionalidad?</w:t>
      </w:r>
    </w:p>
    <w:p w14:paraId="699E9C6B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Sí, son las mismas y no restringen a minorías religiosas o de creencias específicas. </w:t>
      </w:r>
    </w:p>
    <w:p w14:paraId="04E3B740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lastRenderedPageBreak/>
        <w:t xml:space="preserve">No; por favor explique: </w:t>
      </w:r>
    </w:p>
    <w:bookmarkEnd w:id="0"/>
    <w:p w14:paraId="1FD36D90" w14:textId="52375FF4" w:rsidR="00E4627F" w:rsidRPr="00154C14" w:rsidRDefault="00E4627F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¿Los miembros de cualquier minoría</w:t>
      </w:r>
      <w:r w:rsidRPr="00154C14">
        <w:rPr>
          <w:rStyle w:val="FootnoteReference"/>
          <w:sz w:val="24"/>
          <w:szCs w:val="24"/>
          <w:lang w:val="es-419"/>
        </w:rPr>
        <w:footnoteReference w:id="1"/>
      </w:r>
      <w:r w:rsidRPr="00154C14">
        <w:rPr>
          <w:sz w:val="24"/>
          <w:szCs w:val="24"/>
          <w:lang w:val="es-419"/>
        </w:rPr>
        <w:t xml:space="preserve"> encuentran desafíos particulares u obstáculos relativos a la adquisición, otorgamiento, cambio o retención de la nacionalidad (ciudadanía)?</w:t>
      </w:r>
    </w:p>
    <w:p w14:paraId="0D1F02CF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No. </w:t>
      </w:r>
    </w:p>
    <w:p w14:paraId="79BB7C56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Sí; por favor explique:</w:t>
      </w:r>
    </w:p>
    <w:p w14:paraId="7E34F4EA" w14:textId="128B3D04" w:rsidR="00E4627F" w:rsidRPr="00154C14" w:rsidRDefault="00E4627F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¿Las normas legales y regulaciones a nivel de Estado, relativas a la adquisición, otorgamiento, cambio o retención de la nacionalidad son las mismas para toda persona, indistintamente de su </w:t>
      </w:r>
      <w:r w:rsidRPr="00154C14">
        <w:rPr>
          <w:b/>
          <w:bCs/>
          <w:sz w:val="24"/>
          <w:szCs w:val="24"/>
          <w:lang w:val="es-419"/>
        </w:rPr>
        <w:t xml:space="preserve">sexo </w:t>
      </w:r>
      <w:r w:rsidRPr="00154C14">
        <w:rPr>
          <w:sz w:val="24"/>
          <w:szCs w:val="24"/>
          <w:lang w:val="es-419"/>
        </w:rPr>
        <w:t>(i.e., son idénticas tanto para mujeres como para hombres)? Contrariamente ¿restringen (en ley o en práctica) la adquisición o el otorgamiento de la nacionalidad a las mujeres, o su protección contra la privación de la nacionalidad?</w:t>
      </w:r>
    </w:p>
    <w:p w14:paraId="50A4B4A6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Sí, son las mismas y no restringen a cualquiera de los sexos. </w:t>
      </w:r>
    </w:p>
    <w:p w14:paraId="59B31B4C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No; por favor explique:</w:t>
      </w:r>
    </w:p>
    <w:p w14:paraId="72DDB921" w14:textId="17805365" w:rsidR="00E4627F" w:rsidRPr="00154C14" w:rsidRDefault="00E4627F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¿Las normas legales y regulaciones a nivel de Estado, relativas a la adquisición, otorgamiento, cambio o retención de la nacionalidad, son las mismas para toda persona, indistintamente de su </w:t>
      </w:r>
      <w:r w:rsidRPr="00154C14">
        <w:rPr>
          <w:b/>
          <w:bCs/>
          <w:sz w:val="24"/>
          <w:szCs w:val="24"/>
          <w:lang w:val="es-419"/>
        </w:rPr>
        <w:t>orientación sexual, identidad y/o expresión de género, y características sexuales</w:t>
      </w:r>
      <w:r w:rsidRPr="00154C14">
        <w:rPr>
          <w:sz w:val="24"/>
          <w:szCs w:val="24"/>
          <w:lang w:val="es-419"/>
        </w:rPr>
        <w:t>? Contrariamente ¿restringen (en ley o en práctica) la adquisición o el otorgamiento de la nacionalidad a las personas con orientación sexual, identidad o expresión de género, o características sexuales diversas, o su protección contra la privación de la nacionalidad?</w:t>
      </w:r>
    </w:p>
    <w:p w14:paraId="3F140AA5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Sí, son las mismas y no restringen a las personas con orientación sexual, identidad o expresión de género, o características sexuales diversas.</w:t>
      </w:r>
    </w:p>
    <w:p w14:paraId="7EE925E4" w14:textId="77777777" w:rsidR="00E4627F" w:rsidRPr="00154C14" w:rsidRDefault="00E4627F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No; por favor explique: </w:t>
      </w:r>
    </w:p>
    <w:p w14:paraId="731B7E36" w14:textId="692DC52E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¿Las normas legales y regulaciones a nivel de Estado, relativas a la adquisición, otorgamiento, cambio o retención de la nacionalidad, son las mismas para toda persona, indistintamente de su </w:t>
      </w:r>
      <w:r w:rsidRPr="00154C14">
        <w:rPr>
          <w:b/>
          <w:bCs/>
          <w:sz w:val="24"/>
          <w:szCs w:val="24"/>
          <w:lang w:val="es-419"/>
        </w:rPr>
        <w:t>edad</w:t>
      </w:r>
      <w:r w:rsidRPr="00154C14">
        <w:rPr>
          <w:sz w:val="24"/>
          <w:szCs w:val="24"/>
          <w:lang w:val="es-419"/>
        </w:rPr>
        <w:t>? Contrariamente ¿restringen (en ley o en práctica) la adquisición o el otorgamiento de la nacionalidad a las personas de ciertos grupos etarios, o su protección contra la privación de la nacionalidad?</w:t>
      </w:r>
    </w:p>
    <w:p w14:paraId="47280CC3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Sí, son las mimas y no restringen a grupos etarios específicos. </w:t>
      </w:r>
    </w:p>
    <w:p w14:paraId="35DEDB0A" w14:textId="21898F6C" w:rsidR="00E4627F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No; por favor explique</w:t>
      </w:r>
    </w:p>
    <w:p w14:paraId="714AA881" w14:textId="42609AEF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¿Las normas legales y regulaciones a nivel de Estado, relativas a la adquisición, otorgamiento, cambio o retención de la nacionalidad, son las mismas para toda persona, indistintamente de su condición de </w:t>
      </w:r>
      <w:r w:rsidRPr="00154C14">
        <w:rPr>
          <w:b/>
          <w:bCs/>
          <w:sz w:val="24"/>
          <w:szCs w:val="24"/>
          <w:lang w:val="es-419"/>
        </w:rPr>
        <w:t>discapacidad</w:t>
      </w:r>
      <w:r w:rsidRPr="00154C14">
        <w:rPr>
          <w:sz w:val="24"/>
          <w:szCs w:val="24"/>
          <w:lang w:val="es-419"/>
        </w:rPr>
        <w:t xml:space="preserve">? Contrariamente </w:t>
      </w:r>
      <w:r w:rsidRPr="00154C14">
        <w:rPr>
          <w:sz w:val="24"/>
          <w:szCs w:val="24"/>
          <w:lang w:val="es-419"/>
        </w:rPr>
        <w:lastRenderedPageBreak/>
        <w:t>¿restringen (en ley o en práctica) la adquisición o el otorgamiento de la nacionalidad a las personas con limitantes físicas, mentales, psicosociales, intelectuales o sensoriales, o su protección contra la privación de la nacionalidad?</w:t>
      </w:r>
    </w:p>
    <w:p w14:paraId="582F569F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Sí, son las mismas y no restringen a personas con limitantes físicas, mentales, psicosociales, intelectuales o sensoriales.</w:t>
      </w:r>
    </w:p>
    <w:p w14:paraId="2B1AF20C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No; por favor explique: </w:t>
      </w:r>
    </w:p>
    <w:p w14:paraId="0EB4FCC9" w14:textId="73A48D7A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¿Dependen la adquisición, otorgamiento, cambio o no retención de </w:t>
      </w:r>
      <w:proofErr w:type="gramStart"/>
      <w:r w:rsidRPr="00154C14">
        <w:rPr>
          <w:sz w:val="24"/>
          <w:szCs w:val="24"/>
          <w:lang w:val="es-419"/>
        </w:rPr>
        <w:t>las nacionalidad</w:t>
      </w:r>
      <w:proofErr w:type="gramEnd"/>
      <w:r w:rsidRPr="00154C14">
        <w:rPr>
          <w:sz w:val="24"/>
          <w:szCs w:val="24"/>
          <w:lang w:val="es-419"/>
        </w:rPr>
        <w:t xml:space="preserve"> de la habilidad de las personas para ser autosuficientes (i.e., de que puedan «contribuir» a la sociedad y no serle una «carga»)?</w:t>
      </w:r>
    </w:p>
    <w:p w14:paraId="5052574D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No. </w:t>
      </w:r>
    </w:p>
    <w:p w14:paraId="0F820AA3" w14:textId="27BE65EC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Sí; por favor explique. </w:t>
      </w:r>
    </w:p>
    <w:p w14:paraId="38E58FB7" w14:textId="2EF5AFE6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¿Dependen la adquisición, otorgamiento, cambio o no retención de la nacionalidad de la habilidad de las personas para ser hablar una lengua específica (i.e., requisitos lingüísticos)?</w:t>
      </w:r>
    </w:p>
    <w:p w14:paraId="59C7295C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No. </w:t>
      </w:r>
    </w:p>
    <w:p w14:paraId="488A8C02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Sí; por favor explique: </w:t>
      </w:r>
    </w:p>
    <w:p w14:paraId="279EF5C1" w14:textId="32E02CF7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¿Depende el otorgamiento de la nacionalidad a hijas e hijos de nacionales de la habilidad de comprobarse una relación biológica con la niña o niño?</w:t>
      </w:r>
    </w:p>
    <w:p w14:paraId="1846B6D9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No. </w:t>
      </w:r>
    </w:p>
    <w:p w14:paraId="6BE1579E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Sí; por favor explique. </w:t>
      </w:r>
    </w:p>
    <w:p w14:paraId="61C078C9" w14:textId="77777777" w:rsidR="003D7448" w:rsidRPr="00154C14" w:rsidRDefault="003D7448" w:rsidP="003D7448">
      <w:pPr>
        <w:pStyle w:val="ListParagraph"/>
        <w:numPr>
          <w:ilvl w:val="0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¿En las leyes, reglas, procedimientos, guías, políticas o prácticas relativas a la nacionalidad/ciudadanía, existen otras limitantes basadas en criterios</w:t>
      </w:r>
      <w:r w:rsidRPr="00154C14">
        <w:rPr>
          <w:rStyle w:val="FootnoteReference"/>
          <w:sz w:val="24"/>
          <w:szCs w:val="24"/>
          <w:lang w:val="es-419"/>
        </w:rPr>
        <w:footnoteReference w:id="2"/>
      </w:r>
      <w:r w:rsidRPr="00154C14">
        <w:rPr>
          <w:sz w:val="24"/>
          <w:szCs w:val="24"/>
          <w:lang w:val="es-419"/>
        </w:rPr>
        <w:t>?</w:t>
      </w:r>
    </w:p>
    <w:p w14:paraId="2FE6AEC2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>No.</w:t>
      </w:r>
    </w:p>
    <w:p w14:paraId="3FCB05FE" w14:textId="77777777" w:rsidR="003D7448" w:rsidRPr="00154C14" w:rsidRDefault="003D7448" w:rsidP="003D7448">
      <w:pPr>
        <w:pStyle w:val="ListParagraph"/>
        <w:numPr>
          <w:ilvl w:val="1"/>
          <w:numId w:val="12"/>
        </w:numPr>
        <w:spacing w:after="120" w:line="276" w:lineRule="auto"/>
        <w:contextualSpacing w:val="0"/>
        <w:rPr>
          <w:sz w:val="24"/>
          <w:szCs w:val="24"/>
          <w:lang w:val="es-419"/>
        </w:rPr>
      </w:pPr>
      <w:r w:rsidRPr="00154C14">
        <w:rPr>
          <w:sz w:val="24"/>
          <w:szCs w:val="24"/>
          <w:lang w:val="es-419"/>
        </w:rPr>
        <w:t xml:space="preserve">Sí; por favor explique: </w:t>
      </w:r>
    </w:p>
    <w:p w14:paraId="1DF77298" w14:textId="77777777" w:rsidR="006F5CD7" w:rsidRDefault="0079621E" w:rsidP="003D7448">
      <w:pPr>
        <w:spacing w:line="276" w:lineRule="auto"/>
      </w:pPr>
    </w:p>
    <w:sectPr w:rsidR="006F5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FE95" w14:textId="77777777" w:rsidR="0079621E" w:rsidRDefault="0079621E" w:rsidP="00887A7B">
      <w:pPr>
        <w:spacing w:after="0" w:line="240" w:lineRule="auto"/>
      </w:pPr>
      <w:r>
        <w:separator/>
      </w:r>
    </w:p>
  </w:endnote>
  <w:endnote w:type="continuationSeparator" w:id="0">
    <w:p w14:paraId="5DA7635B" w14:textId="77777777" w:rsidR="0079621E" w:rsidRDefault="0079621E" w:rsidP="0088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39D0" w14:textId="77777777" w:rsidR="0079621E" w:rsidRDefault="0079621E" w:rsidP="00887A7B">
      <w:pPr>
        <w:spacing w:after="0" w:line="240" w:lineRule="auto"/>
      </w:pPr>
      <w:r>
        <w:separator/>
      </w:r>
    </w:p>
  </w:footnote>
  <w:footnote w:type="continuationSeparator" w:id="0">
    <w:p w14:paraId="5B8DE5D3" w14:textId="77777777" w:rsidR="0079621E" w:rsidRDefault="0079621E" w:rsidP="00887A7B">
      <w:pPr>
        <w:spacing w:after="0" w:line="240" w:lineRule="auto"/>
      </w:pPr>
      <w:r>
        <w:continuationSeparator/>
      </w:r>
    </w:p>
  </w:footnote>
  <w:footnote w:id="1">
    <w:p w14:paraId="289DF7D7" w14:textId="77777777" w:rsidR="00E4627F" w:rsidRPr="00D07CBC" w:rsidRDefault="00E4627F" w:rsidP="00E4627F">
      <w:pPr>
        <w:pStyle w:val="FootnoteText"/>
        <w:rPr>
          <w:lang w:val="es-419"/>
        </w:rPr>
      </w:pPr>
      <w:r w:rsidRPr="00D07CBC">
        <w:rPr>
          <w:rStyle w:val="FootnoteReference"/>
          <w:lang w:val="es-419"/>
        </w:rPr>
        <w:footnoteRef/>
      </w:r>
      <w:r w:rsidRPr="00D07CBC">
        <w:rPr>
          <w:lang w:val="es-419"/>
        </w:rPr>
        <w:t xml:space="preserve"> </w:t>
      </w:r>
      <w:r w:rsidRPr="00D07CBC">
        <w:rPr>
          <w:sz w:val="16"/>
          <w:szCs w:val="16"/>
          <w:lang w:val="es-419"/>
        </w:rPr>
        <w:t>Entendidas en el sentido de la Declaración de las Naciones Unidas Declaración sobre los derechos de las personas pertenecientes a minorías nacionales o étnicas, religiosas y lingüísticas, adoptada por resolución de la Asamblea General No. 47/135 del 18 de diciembre de 1992.</w:t>
      </w:r>
      <w:r w:rsidRPr="00D07CBC">
        <w:rPr>
          <w:lang w:val="es-419"/>
        </w:rPr>
        <w:t xml:space="preserve"> </w:t>
      </w:r>
    </w:p>
  </w:footnote>
  <w:footnote w:id="2">
    <w:p w14:paraId="6AB1BFFB" w14:textId="21D58D61" w:rsidR="003D7448" w:rsidRPr="001869A8" w:rsidRDefault="003D7448" w:rsidP="003D7448">
      <w:pPr>
        <w:pStyle w:val="FootnoteText"/>
        <w:rPr>
          <w:lang w:val="es-CO"/>
        </w:rPr>
      </w:pPr>
      <w:r>
        <w:rPr>
          <w:rStyle w:val="FootnoteReference"/>
        </w:rPr>
        <w:footnoteRef/>
      </w:r>
      <w:r w:rsidRPr="001869A8">
        <w:rPr>
          <w:lang w:val="es-CO"/>
        </w:rPr>
        <w:t xml:space="preserve"> </w:t>
      </w:r>
      <w:r w:rsidRPr="001869A8">
        <w:rPr>
          <w:rFonts w:ascii="Calibri" w:hAnsi="Calibri" w:cs="Calibri"/>
          <w:sz w:val="16"/>
          <w:szCs w:val="16"/>
          <w:lang w:val="es-CO"/>
        </w:rPr>
        <w:t xml:space="preserve">Los Órganos </w:t>
      </w:r>
      <w:r w:rsidRPr="00D07CBC">
        <w:rPr>
          <w:rFonts w:ascii="Calibri" w:hAnsi="Calibri" w:cs="Calibri"/>
          <w:sz w:val="16"/>
          <w:szCs w:val="16"/>
          <w:lang w:val="es-419"/>
        </w:rPr>
        <w:t xml:space="preserve">de Tratado cubren los siguientes criterios de discriminación bajo el derecho internacional de los derechos humanos: edad, albinismo, estado de filiación o de cuidado, color, ascendencia, incapacidad, estatus económico, etnicidad, expresión de género, identidad de género, predisposiciones genéticas o de otra índole a las enfermedades, estado de salud, origen indígena, lenguaje, estado marital, estado de parentesco, estado migratorio, estatus de minoría, origen nacional, nacionalidad, lugar de residencia, opinión política o de otra índole, embarazo, propiedad, raza, estado de refugiado(a) o de asilo, religión o creencia, sexo, características sexuales, orientación sexual, origen social, situación social (véase </w:t>
      </w:r>
      <w:r w:rsidRPr="007129E3">
        <w:rPr>
          <w:rFonts w:ascii="Calibri" w:hAnsi="Calibri" w:cs="Calibri"/>
          <w:sz w:val="16"/>
          <w:szCs w:val="16"/>
          <w:lang w:val="es-419"/>
        </w:rPr>
        <w:t>particularmente</w:t>
      </w:r>
      <w:r w:rsidRPr="00D07CBC">
        <w:rPr>
          <w:rFonts w:ascii="Calibri" w:hAnsi="Calibri" w:cs="Calibri"/>
          <w:sz w:val="16"/>
          <w:szCs w:val="16"/>
          <w:lang w:val="es-419"/>
        </w:rPr>
        <w:t xml:space="preserve"> </w:t>
      </w:r>
      <w:hyperlink r:id="rId1" w:history="1">
        <w:r w:rsidRPr="00D07CBC">
          <w:rPr>
            <w:rStyle w:val="Hyperlink"/>
            <w:rFonts w:ascii="Calibri" w:hAnsi="Calibri" w:cs="Calibri"/>
            <w:spacing w:val="-4"/>
            <w:sz w:val="16"/>
            <w:szCs w:val="16"/>
            <w:lang w:val="es-419"/>
          </w:rPr>
          <w:t>Comité de Derechos Económicos, Sociales y Culturales, Observación General No. 20 (E/C.12/GC/20);</w:t>
        </w:r>
      </w:hyperlink>
      <w:r w:rsidRPr="00D07CBC">
        <w:rPr>
          <w:rFonts w:ascii="Calibri" w:hAnsi="Calibri" w:cs="Calibri"/>
          <w:spacing w:val="-4"/>
          <w:sz w:val="16"/>
          <w:szCs w:val="16"/>
          <w:lang w:val="es-419"/>
        </w:rPr>
        <w:t xml:space="preserve"> </w:t>
      </w:r>
      <w:hyperlink r:id="rId2" w:history="1">
        <w:r w:rsidRPr="00D07CBC">
          <w:rPr>
            <w:rStyle w:val="Hyperlink"/>
            <w:rFonts w:ascii="Calibri" w:hAnsi="Calibri" w:cs="Calibri"/>
            <w:spacing w:val="-4"/>
            <w:sz w:val="16"/>
            <w:szCs w:val="16"/>
            <w:lang w:val="es-419"/>
          </w:rPr>
          <w:t>Comité de Derechos Humanos, Observación General No. 18</w:t>
        </w:r>
      </w:hyperlink>
      <w:r w:rsidRPr="00D07CBC">
        <w:rPr>
          <w:rFonts w:ascii="Calibri" w:hAnsi="Calibri" w:cs="Calibri"/>
          <w:spacing w:val="-4"/>
          <w:sz w:val="16"/>
          <w:szCs w:val="16"/>
          <w:lang w:val="es-419"/>
        </w:rPr>
        <w:t xml:space="preserve">; y </w:t>
      </w:r>
      <w:hyperlink r:id="rId3" w:history="1">
        <w:r w:rsidRPr="00D07CBC">
          <w:rPr>
            <w:rStyle w:val="Hyperlink"/>
            <w:rFonts w:ascii="Calibri" w:hAnsi="Calibri" w:cs="Calibri"/>
            <w:sz w:val="16"/>
            <w:szCs w:val="16"/>
            <w:lang w:val="es-419"/>
          </w:rPr>
          <w:t>Comité sobre los Derechos de las Personas con Discapacidad, Observación General No. 6 (CRPD/C/GC/6)</w:t>
        </w:r>
      </w:hyperlink>
      <w:r w:rsidRPr="00D07CBC">
        <w:rPr>
          <w:rFonts w:ascii="Calibri" w:hAnsi="Calibri" w:cs="Calibri"/>
          <w:sz w:val="16"/>
          <w:szCs w:val="16"/>
          <w:lang w:val="es-419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BA3"/>
    <w:multiLevelType w:val="hybridMultilevel"/>
    <w:tmpl w:val="EB9EB1E0"/>
    <w:lvl w:ilvl="0" w:tplc="E354D0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D10E58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B6"/>
    <w:multiLevelType w:val="hybridMultilevel"/>
    <w:tmpl w:val="20B2CDF2"/>
    <w:lvl w:ilvl="0" w:tplc="2000000F">
      <w:start w:val="1"/>
      <w:numFmt w:val="decimal"/>
      <w:lvlText w:val="%1."/>
      <w:lvlJc w:val="left"/>
      <w:pPr>
        <w:ind w:left="54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BB2"/>
    <w:multiLevelType w:val="hybridMultilevel"/>
    <w:tmpl w:val="6270D33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9E1"/>
    <w:multiLevelType w:val="hybridMultilevel"/>
    <w:tmpl w:val="C6DC9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4D39"/>
    <w:multiLevelType w:val="hybridMultilevel"/>
    <w:tmpl w:val="AABC7ED8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101"/>
    <w:multiLevelType w:val="hybridMultilevel"/>
    <w:tmpl w:val="1ACC4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E7342"/>
    <w:multiLevelType w:val="hybridMultilevel"/>
    <w:tmpl w:val="E518541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64502"/>
    <w:multiLevelType w:val="hybridMultilevel"/>
    <w:tmpl w:val="2CB471F6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2ECF"/>
    <w:multiLevelType w:val="hybridMultilevel"/>
    <w:tmpl w:val="F028C5E0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3B0"/>
    <w:multiLevelType w:val="hybridMultilevel"/>
    <w:tmpl w:val="EE805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21FBE"/>
    <w:multiLevelType w:val="hybridMultilevel"/>
    <w:tmpl w:val="E48EAB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7B"/>
    <w:rsid w:val="00103D1B"/>
    <w:rsid w:val="00154C14"/>
    <w:rsid w:val="00294C0C"/>
    <w:rsid w:val="002B0979"/>
    <w:rsid w:val="003D15D5"/>
    <w:rsid w:val="003D7448"/>
    <w:rsid w:val="003F7178"/>
    <w:rsid w:val="004D4B35"/>
    <w:rsid w:val="00550239"/>
    <w:rsid w:val="006B3455"/>
    <w:rsid w:val="0070388B"/>
    <w:rsid w:val="0079621E"/>
    <w:rsid w:val="00887A7B"/>
    <w:rsid w:val="008B57F4"/>
    <w:rsid w:val="00AC6C9C"/>
    <w:rsid w:val="00E4627F"/>
    <w:rsid w:val="00E962A5"/>
    <w:rsid w:val="00F9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44E4"/>
  <w15:chartTrackingRefBased/>
  <w15:docId w15:val="{7CC006A7-5857-4EC0-A08A-72FC45CF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7B"/>
    <w:pPr>
      <w:spacing w:line="25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87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87A7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7A7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A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A7B"/>
    <w:rPr>
      <w:sz w:val="20"/>
      <w:szCs w:val="20"/>
      <w:lang w:val="en-US"/>
    </w:rPr>
  </w:style>
  <w:style w:type="paragraph" w:styleId="Revision">
    <w:name w:val="Revision"/>
    <w:uiPriority w:val="99"/>
    <w:semiHidden/>
    <w:rsid w:val="00887A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7A7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87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orities@ohchr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15/treatybodyexternal/Download.aspx?symbolno=CRPD/C/GC/6&amp;Lang=en" TargetMode="External"/><Relationship Id="rId2" Type="http://schemas.openxmlformats.org/officeDocument/2006/relationships/hyperlink" Target="https://tbinternet.ohchr.org/_layouts/15/treatybodyexternal/Download.aspx?symbolno=INT%2fCCPR%2fGEC%2f6622&amp;Lang=en" TargetMode="External"/><Relationship Id="rId1" Type="http://schemas.openxmlformats.org/officeDocument/2006/relationships/hyperlink" Target="https://tbinternet.ohchr.org/_layouts/15/treatybodyexternal/Download.aspx?symbolno=E%2fC.12%2fGC%2f20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38A371-A291-4D86-8F82-02111F1B3FD2}"/>
</file>

<file path=customXml/itemProps2.xml><?xml version="1.0" encoding="utf-8"?>
<ds:datastoreItem xmlns:ds="http://schemas.openxmlformats.org/officeDocument/2006/customXml" ds:itemID="{A850E764-80BD-4FF3-9BFC-5BA455C554C0}"/>
</file>

<file path=customXml/itemProps3.xml><?xml version="1.0" encoding="utf-8"?>
<ds:datastoreItem xmlns:ds="http://schemas.openxmlformats.org/officeDocument/2006/customXml" ds:itemID="{331117AE-3271-4141-AD32-D25EED2BF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5200</Characters>
  <Application>Microsoft Office Word</Application>
  <DocSecurity>0</DocSecurity>
  <Lines>216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Rivera Mendoza</dc:creator>
  <cp:keywords/>
  <dc:description/>
  <cp:lastModifiedBy>Leonardo Rivera Mendoza</cp:lastModifiedBy>
  <cp:revision>2</cp:revision>
  <dcterms:created xsi:type="dcterms:W3CDTF">2021-07-27T13:12:00Z</dcterms:created>
  <dcterms:modified xsi:type="dcterms:W3CDTF">2021-07-27T13:12:00Z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