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14643" w14:textId="26E19BB4" w:rsidR="00A27A86" w:rsidRDefault="00E72B69" w:rsidP="00A7742A">
      <w:pPr>
        <w:spacing w:after="0" w:line="240" w:lineRule="auto"/>
        <w:jc w:val="center"/>
        <w:rPr>
          <w:rStyle w:val="LineNumber"/>
          <w:rFonts w:ascii="Cambria" w:hAnsi="Cambria"/>
          <w:b/>
        </w:rPr>
      </w:pPr>
      <w:r>
        <w:rPr>
          <w:rStyle w:val="LineNumber"/>
          <w:rFonts w:ascii="Cambria" w:hAnsi="Cambria"/>
          <w:b/>
        </w:rPr>
        <w:t>SOLICITUD DE INFORMACION PROTECCION DE LOS DERECHOS HUMANOS DE LOS MIGRANTES: MIGRANTES EN TRÁNSITO</w:t>
      </w:r>
    </w:p>
    <w:p w14:paraId="6C615373" w14:textId="77777777" w:rsidR="00A27A86" w:rsidRDefault="00A27A86" w:rsidP="00A7742A">
      <w:pPr>
        <w:spacing w:after="0" w:line="240" w:lineRule="auto"/>
        <w:jc w:val="center"/>
        <w:rPr>
          <w:rStyle w:val="LineNumber"/>
          <w:rFonts w:ascii="Cambria" w:hAnsi="Cambria"/>
          <w:b/>
        </w:rPr>
      </w:pPr>
    </w:p>
    <w:p w14:paraId="55D04D89" w14:textId="71773CA4" w:rsidR="00A7742A" w:rsidRPr="00C87A73" w:rsidRDefault="00A7742A" w:rsidP="00A7742A">
      <w:pPr>
        <w:spacing w:after="0" w:line="240" w:lineRule="auto"/>
        <w:jc w:val="center"/>
        <w:rPr>
          <w:rStyle w:val="LineNumber"/>
          <w:rFonts w:ascii="Cambria" w:hAnsi="Cambria"/>
          <w:b/>
        </w:rPr>
      </w:pPr>
      <w:r>
        <w:rPr>
          <w:rStyle w:val="LineNumber"/>
          <w:rFonts w:ascii="Cambria" w:hAnsi="Cambria"/>
          <w:b/>
        </w:rPr>
        <w:t>INFORME Nº 00</w:t>
      </w:r>
      <w:r w:rsidR="005304D8">
        <w:rPr>
          <w:rStyle w:val="LineNumber"/>
          <w:rFonts w:ascii="Cambria" w:hAnsi="Cambria"/>
          <w:b/>
        </w:rPr>
        <w:t>3</w:t>
      </w:r>
      <w:r w:rsidR="00A27A86">
        <w:rPr>
          <w:rStyle w:val="LineNumber"/>
          <w:rFonts w:ascii="Cambria" w:hAnsi="Cambria"/>
          <w:b/>
        </w:rPr>
        <w:t xml:space="preserve"> </w:t>
      </w:r>
      <w:r>
        <w:rPr>
          <w:rStyle w:val="LineNumber"/>
          <w:rFonts w:ascii="Cambria" w:hAnsi="Cambria"/>
          <w:b/>
        </w:rPr>
        <w:t>–2016</w:t>
      </w:r>
      <w:r w:rsidRPr="00C87A73">
        <w:rPr>
          <w:rStyle w:val="LineNumber"/>
          <w:rFonts w:ascii="Cambria" w:hAnsi="Cambria"/>
          <w:b/>
        </w:rPr>
        <w:t>–JUS–DGDH</w:t>
      </w:r>
      <w:r>
        <w:rPr>
          <w:rStyle w:val="LineNumber"/>
          <w:rFonts w:ascii="Cambria" w:hAnsi="Cambria"/>
          <w:b/>
        </w:rPr>
        <w:t>/DAIPAN-MLBP</w:t>
      </w:r>
    </w:p>
    <w:p w14:paraId="3038E5C8" w14:textId="77777777" w:rsidR="00A7742A" w:rsidRPr="00C87A73" w:rsidRDefault="00A7742A" w:rsidP="00A7742A">
      <w:pPr>
        <w:pBdr>
          <w:bottom w:val="single" w:sz="12" w:space="0" w:color="auto"/>
        </w:pBdr>
        <w:spacing w:after="0" w:line="240" w:lineRule="auto"/>
        <w:jc w:val="both"/>
        <w:rPr>
          <w:rStyle w:val="LineNumber"/>
          <w:rFonts w:ascii="Cambria" w:hAnsi="Cambria"/>
        </w:rPr>
      </w:pPr>
    </w:p>
    <w:p w14:paraId="11D3ED3F" w14:textId="77777777" w:rsidR="00A7742A" w:rsidRPr="00C87A73" w:rsidRDefault="00A7742A" w:rsidP="00A7742A">
      <w:pPr>
        <w:spacing w:after="0" w:line="240" w:lineRule="auto"/>
        <w:jc w:val="both"/>
        <w:rPr>
          <w:rStyle w:val="LineNumber"/>
          <w:rFonts w:ascii="Cambria" w:hAnsi="Cambria"/>
        </w:rPr>
      </w:pPr>
    </w:p>
    <w:p w14:paraId="0A413739" w14:textId="7E7CB644" w:rsidR="00A7742A" w:rsidRDefault="00A7742A" w:rsidP="00B5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Tengo el agrado de dirigirme a usted para saludarlo cordialmente y, a la vez, remitirle </w:t>
      </w:r>
      <w:r w:rsidR="00B52931" w:rsidRPr="00B52931">
        <w:rPr>
          <w:rFonts w:ascii="Times New Roman" w:hAnsi="Times New Roman" w:cs="Times New Roman"/>
          <w:sz w:val="24"/>
          <w:szCs w:val="24"/>
        </w:rPr>
        <w:t xml:space="preserve">información sobre la </w:t>
      </w:r>
      <w:r w:rsidR="008F39B1">
        <w:rPr>
          <w:rFonts w:ascii="Times New Roman" w:hAnsi="Times New Roman" w:cs="Times New Roman"/>
          <w:sz w:val="24"/>
          <w:szCs w:val="24"/>
        </w:rPr>
        <w:t>protección de los Derechos Humanos d</w:t>
      </w:r>
      <w:r w:rsidR="00B52931" w:rsidRPr="00B52931">
        <w:rPr>
          <w:rFonts w:ascii="Times New Roman" w:hAnsi="Times New Roman" w:cs="Times New Roman"/>
          <w:sz w:val="24"/>
          <w:szCs w:val="24"/>
        </w:rPr>
        <w:t xml:space="preserve">e los migrantes en tránsito, solicitada por la Oficina del Alto Comisionado de las Naciones Unidas para los Derechos Humanos (OACNUDH), respecto a la Resolución del Consejo de Derechos Humanos (A/HRC/RES/29/2) sobre “Protección de los derechos humanos de los migrantes en tránsito”.  </w:t>
      </w:r>
    </w:p>
    <w:p w14:paraId="02F03511" w14:textId="77777777" w:rsidR="00A7742A" w:rsidRDefault="00A7742A" w:rsidP="00A7742A">
      <w:pPr>
        <w:spacing w:after="0" w:line="240" w:lineRule="auto"/>
        <w:jc w:val="both"/>
        <w:rPr>
          <w:rFonts w:ascii="Times New Roman" w:hAnsi="Times New Roman" w:cs="Times New Roman"/>
          <w:sz w:val="24"/>
          <w:szCs w:val="24"/>
        </w:rPr>
      </w:pPr>
    </w:p>
    <w:p w14:paraId="34D3C5D8" w14:textId="1B0B50A5" w:rsidR="00B52931" w:rsidRPr="00B52931" w:rsidRDefault="00A7742A" w:rsidP="00B5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Cabe resaltar que l</w:t>
      </w:r>
      <w:r w:rsidR="00B52931">
        <w:rPr>
          <w:rFonts w:ascii="Times New Roman" w:hAnsi="Times New Roman" w:cs="Times New Roman"/>
          <w:sz w:val="24"/>
          <w:szCs w:val="24"/>
        </w:rPr>
        <w:t>a información remitida</w:t>
      </w:r>
      <w:r w:rsidRPr="00C74062">
        <w:rPr>
          <w:rFonts w:ascii="Times New Roman" w:hAnsi="Times New Roman" w:cs="Times New Roman"/>
          <w:sz w:val="24"/>
          <w:szCs w:val="24"/>
        </w:rPr>
        <w:t xml:space="preserve"> es </w:t>
      </w:r>
      <w:bookmarkStart w:id="0" w:name="_GoBack"/>
      <w:bookmarkEnd w:id="0"/>
      <w:r w:rsidRPr="00C74062">
        <w:rPr>
          <w:rFonts w:ascii="Times New Roman" w:hAnsi="Times New Roman" w:cs="Times New Roman"/>
          <w:sz w:val="24"/>
          <w:szCs w:val="24"/>
        </w:rPr>
        <w:t xml:space="preserve">el resultado de un proceso de consultas </w:t>
      </w:r>
      <w:r>
        <w:rPr>
          <w:rFonts w:ascii="Times New Roman" w:hAnsi="Times New Roman" w:cs="Times New Roman"/>
          <w:sz w:val="24"/>
          <w:szCs w:val="24"/>
        </w:rPr>
        <w:t>liderado</w:t>
      </w:r>
      <w:r w:rsidRPr="00C74062">
        <w:rPr>
          <w:rFonts w:ascii="Times New Roman" w:hAnsi="Times New Roman" w:cs="Times New Roman"/>
          <w:sz w:val="24"/>
          <w:szCs w:val="24"/>
        </w:rPr>
        <w:t xml:space="preserve"> por el Ministerio de Justicia y Derechos Humanos,</w:t>
      </w:r>
      <w:r>
        <w:rPr>
          <w:rFonts w:ascii="Times New Roman" w:hAnsi="Times New Roman" w:cs="Times New Roman"/>
          <w:sz w:val="24"/>
          <w:szCs w:val="24"/>
        </w:rPr>
        <w:t xml:space="preserve"> específicamente de l</w:t>
      </w:r>
      <w:r w:rsidRPr="00C74062">
        <w:rPr>
          <w:rFonts w:ascii="Times New Roman" w:hAnsi="Times New Roman" w:cs="Times New Roman"/>
          <w:sz w:val="24"/>
          <w:szCs w:val="24"/>
        </w:rPr>
        <w:t>a Dirección General de Derechos Humanos (DGDH)</w:t>
      </w:r>
      <w:r>
        <w:rPr>
          <w:rFonts w:ascii="Times New Roman" w:hAnsi="Times New Roman" w:cs="Times New Roman"/>
          <w:sz w:val="24"/>
          <w:szCs w:val="24"/>
        </w:rPr>
        <w:t>,</w:t>
      </w:r>
      <w:r w:rsidRPr="00C74062">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C74062">
        <w:rPr>
          <w:rFonts w:ascii="Times New Roman" w:hAnsi="Times New Roman" w:cs="Times New Roman"/>
          <w:sz w:val="24"/>
          <w:szCs w:val="24"/>
        </w:rPr>
        <w:t>solicitó información</w:t>
      </w:r>
      <w:r w:rsidR="00B52931" w:rsidRPr="00B52931">
        <w:t xml:space="preserve"> </w:t>
      </w:r>
      <w:r w:rsidR="00B52931">
        <w:t>m</w:t>
      </w:r>
      <w:r w:rsidR="00B52931" w:rsidRPr="00B52931">
        <w:rPr>
          <w:rFonts w:ascii="Times New Roman" w:hAnsi="Times New Roman" w:cs="Times New Roman"/>
          <w:sz w:val="24"/>
          <w:szCs w:val="24"/>
        </w:rPr>
        <w:t xml:space="preserve">ediante Oficio Múltiple N° 042-2015-JUS/DGDH-DAIPAN al Ministerio del Interior y la Superintendencia Nacional de Migraciones. </w:t>
      </w:r>
    </w:p>
    <w:p w14:paraId="3B59C9E8" w14:textId="77777777" w:rsidR="00B52931" w:rsidRPr="00B52931" w:rsidRDefault="00B52931" w:rsidP="00B52931">
      <w:pPr>
        <w:spacing w:after="0" w:line="240" w:lineRule="auto"/>
        <w:jc w:val="both"/>
        <w:rPr>
          <w:rFonts w:ascii="Times New Roman" w:hAnsi="Times New Roman" w:cs="Times New Roman"/>
          <w:sz w:val="24"/>
          <w:szCs w:val="24"/>
        </w:rPr>
      </w:pPr>
    </w:p>
    <w:p w14:paraId="26B610C6" w14:textId="04B163D5" w:rsidR="00B52931" w:rsidRDefault="00B52931" w:rsidP="00B52931">
      <w:pPr>
        <w:spacing w:after="0" w:line="240" w:lineRule="auto"/>
        <w:jc w:val="both"/>
        <w:rPr>
          <w:rFonts w:ascii="Times New Roman" w:hAnsi="Times New Roman" w:cs="Times New Roman"/>
          <w:sz w:val="24"/>
          <w:szCs w:val="24"/>
        </w:rPr>
      </w:pPr>
      <w:r w:rsidRPr="00B52931">
        <w:rPr>
          <w:rFonts w:ascii="Times New Roman" w:hAnsi="Times New Roman" w:cs="Times New Roman"/>
          <w:sz w:val="24"/>
          <w:szCs w:val="24"/>
        </w:rPr>
        <w:t>Los sectores enviaron la información solicitada a t</w:t>
      </w:r>
      <w:r>
        <w:rPr>
          <w:rFonts w:ascii="Times New Roman" w:hAnsi="Times New Roman" w:cs="Times New Roman"/>
          <w:sz w:val="24"/>
          <w:szCs w:val="24"/>
        </w:rPr>
        <w:t>ravés del</w:t>
      </w:r>
      <w:r w:rsidRPr="00B52931">
        <w:rPr>
          <w:rFonts w:ascii="Times New Roman" w:hAnsi="Times New Roman" w:cs="Times New Roman"/>
          <w:sz w:val="24"/>
          <w:szCs w:val="24"/>
        </w:rPr>
        <w:t xml:space="preserve"> Oficio N° 001804-2015/IN/DGSD y </w:t>
      </w:r>
      <w:r>
        <w:rPr>
          <w:rFonts w:ascii="Times New Roman" w:hAnsi="Times New Roman" w:cs="Times New Roman"/>
          <w:sz w:val="24"/>
          <w:szCs w:val="24"/>
        </w:rPr>
        <w:t xml:space="preserve">del </w:t>
      </w:r>
      <w:r w:rsidRPr="00B52931">
        <w:rPr>
          <w:rFonts w:ascii="Times New Roman" w:hAnsi="Times New Roman" w:cs="Times New Roman"/>
          <w:sz w:val="24"/>
          <w:szCs w:val="24"/>
        </w:rPr>
        <w:t>Oficio N° 359-2015-MIGRACIONES. La totalidad de la información se consolido para dar respuesta a las interrogantes planteadas por la OACNUDH.</w:t>
      </w:r>
    </w:p>
    <w:p w14:paraId="244FA66A" w14:textId="77777777" w:rsidR="00A27A86" w:rsidRDefault="00A27A86" w:rsidP="00B52931">
      <w:pPr>
        <w:spacing w:after="0" w:line="240" w:lineRule="auto"/>
        <w:jc w:val="both"/>
        <w:rPr>
          <w:rFonts w:ascii="Times New Roman" w:hAnsi="Times New Roman" w:cs="Times New Roman"/>
          <w:sz w:val="24"/>
          <w:szCs w:val="24"/>
        </w:rPr>
      </w:pPr>
    </w:p>
    <w:p w14:paraId="1EB007A7" w14:textId="6C81FE4C" w:rsidR="00A27A86" w:rsidRDefault="00A27A86" w:rsidP="00B5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Cabe señalar que los sectores consultados manifestaron expresamente su autorización para que la OACNUDH publique en la página Web la información proporcionada, de acuerdo con lo señalado en la comunicación de la Oficina de Naciones Unidas.  </w:t>
      </w:r>
    </w:p>
    <w:p w14:paraId="59E36C73" w14:textId="77777777" w:rsidR="000D7D8B" w:rsidRDefault="000D7D8B" w:rsidP="00B52931">
      <w:pPr>
        <w:spacing w:after="0" w:line="240" w:lineRule="auto"/>
        <w:rPr>
          <w:rFonts w:ascii="Cambria" w:hAnsi="Cambria" w:cs="Times New Roman"/>
          <w:b/>
          <w:sz w:val="24"/>
          <w:szCs w:val="24"/>
        </w:rPr>
      </w:pPr>
    </w:p>
    <w:p w14:paraId="6CCB5E2F" w14:textId="77777777" w:rsidR="00A27A86" w:rsidRDefault="00A27A86" w:rsidP="00B52931">
      <w:pPr>
        <w:spacing w:after="0" w:line="240" w:lineRule="auto"/>
        <w:rPr>
          <w:rFonts w:ascii="Cambria" w:hAnsi="Cambria" w:cs="Times New Roman"/>
          <w:b/>
          <w:sz w:val="24"/>
          <w:szCs w:val="24"/>
        </w:rPr>
      </w:pPr>
    </w:p>
    <w:p w14:paraId="50E91135" w14:textId="77777777" w:rsidR="00A27A86" w:rsidRDefault="00A27A86" w:rsidP="00B52931">
      <w:pPr>
        <w:spacing w:after="0" w:line="240" w:lineRule="auto"/>
        <w:rPr>
          <w:rFonts w:ascii="Cambria" w:hAnsi="Cambria" w:cs="Times New Roman"/>
          <w:b/>
          <w:sz w:val="24"/>
          <w:szCs w:val="24"/>
        </w:rPr>
      </w:pPr>
    </w:p>
    <w:p w14:paraId="77710233" w14:textId="77777777" w:rsidR="00B52931" w:rsidRDefault="00B52931" w:rsidP="00B52931">
      <w:pPr>
        <w:spacing w:after="0" w:line="240" w:lineRule="auto"/>
        <w:rPr>
          <w:rFonts w:ascii="Cambria" w:hAnsi="Cambria" w:cs="Times New Roman"/>
          <w:b/>
          <w:sz w:val="24"/>
          <w:szCs w:val="24"/>
        </w:rPr>
      </w:pPr>
    </w:p>
    <w:p w14:paraId="6A5A5CD0" w14:textId="52392D38" w:rsidR="00343929" w:rsidRDefault="003C187A" w:rsidP="00B029BA">
      <w:pPr>
        <w:spacing w:after="0" w:line="240" w:lineRule="auto"/>
        <w:jc w:val="center"/>
        <w:rPr>
          <w:rFonts w:ascii="Cambria" w:hAnsi="Cambria" w:cs="Times New Roman"/>
          <w:b/>
          <w:sz w:val="24"/>
          <w:szCs w:val="24"/>
        </w:rPr>
      </w:pPr>
      <w:r>
        <w:rPr>
          <w:rFonts w:ascii="Cambria" w:hAnsi="Cambria" w:cs="Times New Roman"/>
          <w:b/>
          <w:sz w:val="24"/>
          <w:szCs w:val="24"/>
        </w:rPr>
        <w:t>SITUACIÓN DE LOS MIGRANTES EN TRÁNSITO</w:t>
      </w:r>
    </w:p>
    <w:p w14:paraId="7DE7A8D0" w14:textId="4FE46996" w:rsidR="00023E9C" w:rsidRPr="00B029BA" w:rsidRDefault="00023E9C" w:rsidP="00B029BA">
      <w:pPr>
        <w:spacing w:after="0" w:line="240" w:lineRule="auto"/>
        <w:jc w:val="center"/>
        <w:rPr>
          <w:rFonts w:ascii="Cambria" w:hAnsi="Cambria" w:cs="Times New Roman"/>
          <w:b/>
          <w:sz w:val="24"/>
          <w:szCs w:val="24"/>
        </w:rPr>
      </w:pPr>
      <w:r w:rsidRPr="00023E9C">
        <w:rPr>
          <w:rFonts w:ascii="Cambria" w:hAnsi="Cambria" w:cs="Times New Roman"/>
          <w:b/>
          <w:sz w:val="24"/>
          <w:szCs w:val="24"/>
        </w:rPr>
        <w:t>Resolución del Consejo de Derechos Humanos (A/HRC/RES/29/2) sobre “Protección de los derechos humanos de los migrantes en tránsito</w:t>
      </w:r>
      <w:r>
        <w:rPr>
          <w:rFonts w:ascii="Cambria" w:hAnsi="Cambria" w:cs="Times New Roman"/>
          <w:b/>
          <w:sz w:val="24"/>
          <w:szCs w:val="24"/>
        </w:rPr>
        <w:t>: migrantes en tránsito</w:t>
      </w:r>
      <w:r w:rsidRPr="00023E9C">
        <w:rPr>
          <w:rFonts w:ascii="Cambria" w:hAnsi="Cambria" w:cs="Times New Roman"/>
          <w:b/>
          <w:sz w:val="24"/>
          <w:szCs w:val="24"/>
        </w:rPr>
        <w:t>”</w:t>
      </w:r>
    </w:p>
    <w:p w14:paraId="5BF0D8A8" w14:textId="77777777" w:rsidR="004359A8" w:rsidRDefault="004359A8" w:rsidP="00C74062">
      <w:pPr>
        <w:spacing w:after="0" w:line="240" w:lineRule="auto"/>
        <w:jc w:val="both"/>
        <w:rPr>
          <w:rFonts w:ascii="Cambria" w:hAnsi="Cambria" w:cs="Times New Roman"/>
          <w:sz w:val="24"/>
          <w:szCs w:val="24"/>
        </w:rPr>
      </w:pPr>
    </w:p>
    <w:p w14:paraId="41B4895C" w14:textId="6E0D57F5" w:rsidR="004359A8" w:rsidRPr="00023E9C" w:rsidRDefault="00023E9C" w:rsidP="00C74062">
      <w:pPr>
        <w:spacing w:after="0" w:line="240" w:lineRule="auto"/>
        <w:jc w:val="both"/>
        <w:rPr>
          <w:rFonts w:ascii="Cambria" w:hAnsi="Cambria" w:cs="Times New Roman"/>
          <w:b/>
          <w:sz w:val="24"/>
          <w:szCs w:val="24"/>
        </w:rPr>
      </w:pPr>
      <w:r w:rsidRPr="00023E9C">
        <w:rPr>
          <w:rFonts w:ascii="Cambria" w:hAnsi="Cambria" w:cs="Times New Roman"/>
          <w:b/>
          <w:sz w:val="24"/>
          <w:szCs w:val="24"/>
        </w:rPr>
        <w:t>A. ¿Se han adoptado en su país leyes, políticas públicas, programas, planes de acción u otras medidas para garantizar la protección de los derechos  humanos de todos los migrantes en tránsito?</w:t>
      </w:r>
    </w:p>
    <w:p w14:paraId="7DE5A58F" w14:textId="77777777" w:rsidR="00023E9C" w:rsidRDefault="00023E9C" w:rsidP="00C74062">
      <w:pPr>
        <w:spacing w:after="0" w:line="240" w:lineRule="auto"/>
        <w:jc w:val="both"/>
        <w:rPr>
          <w:rFonts w:ascii="Cambria" w:hAnsi="Cambria" w:cs="Times New Roman"/>
          <w:sz w:val="24"/>
          <w:szCs w:val="24"/>
        </w:rPr>
      </w:pPr>
    </w:p>
    <w:p w14:paraId="6C898975" w14:textId="311A9734" w:rsidR="00023E9C" w:rsidRDefault="00023E9C" w:rsidP="00023E9C">
      <w:pPr>
        <w:spacing w:after="0" w:line="240" w:lineRule="auto"/>
        <w:jc w:val="both"/>
        <w:rPr>
          <w:rFonts w:ascii="Cambria" w:hAnsi="Cambria" w:cs="Times New Roman"/>
          <w:sz w:val="24"/>
          <w:szCs w:val="24"/>
        </w:rPr>
      </w:pPr>
      <w:r>
        <w:rPr>
          <w:rFonts w:ascii="Cambria" w:hAnsi="Cambria" w:cs="Times New Roman"/>
          <w:sz w:val="24"/>
          <w:szCs w:val="24"/>
        </w:rPr>
        <w:t>M</w:t>
      </w:r>
      <w:r w:rsidRPr="00023E9C">
        <w:rPr>
          <w:rFonts w:ascii="Cambria" w:hAnsi="Cambria" w:cs="Times New Roman"/>
          <w:sz w:val="24"/>
          <w:szCs w:val="24"/>
        </w:rPr>
        <w:t>ediante el Decreto Legislativo</w:t>
      </w:r>
      <w:r>
        <w:rPr>
          <w:rFonts w:ascii="Cambria" w:hAnsi="Cambria" w:cs="Times New Roman"/>
          <w:sz w:val="24"/>
          <w:szCs w:val="24"/>
        </w:rPr>
        <w:t xml:space="preserve"> N° </w:t>
      </w:r>
      <w:r w:rsidRPr="00023E9C">
        <w:rPr>
          <w:rFonts w:ascii="Cambria" w:hAnsi="Cambria" w:cs="Times New Roman"/>
          <w:sz w:val="24"/>
          <w:szCs w:val="24"/>
        </w:rPr>
        <w:t>1236</w:t>
      </w:r>
      <w:r w:rsidR="000F6028">
        <w:rPr>
          <w:rFonts w:ascii="Cambria" w:hAnsi="Cambria" w:cs="Times New Roman"/>
          <w:sz w:val="24"/>
          <w:szCs w:val="24"/>
        </w:rPr>
        <w:t xml:space="preserve"> del 25 de septiembre de 2015</w:t>
      </w:r>
      <w:r w:rsidRPr="00023E9C">
        <w:rPr>
          <w:rFonts w:ascii="Cambria" w:hAnsi="Cambria" w:cs="Times New Roman"/>
          <w:sz w:val="24"/>
          <w:szCs w:val="24"/>
        </w:rPr>
        <w:t>,</w:t>
      </w:r>
      <w:r w:rsidR="000F6028">
        <w:rPr>
          <w:rFonts w:ascii="Cambria" w:hAnsi="Cambria" w:cs="Times New Roman"/>
          <w:sz w:val="24"/>
          <w:szCs w:val="24"/>
        </w:rPr>
        <w:t xml:space="preserve"> se promulgó la nueva Ley de Extranjería, </w:t>
      </w:r>
      <w:r w:rsidRPr="00023E9C">
        <w:rPr>
          <w:rFonts w:ascii="Cambria" w:hAnsi="Cambria" w:cs="Times New Roman"/>
          <w:sz w:val="24"/>
          <w:szCs w:val="24"/>
        </w:rPr>
        <w:t>en el marco de las facultades otorgadas a</w:t>
      </w:r>
      <w:r w:rsidR="000F6028">
        <w:rPr>
          <w:rFonts w:ascii="Cambria" w:hAnsi="Cambria" w:cs="Times New Roman"/>
          <w:sz w:val="24"/>
          <w:szCs w:val="24"/>
        </w:rPr>
        <w:t xml:space="preserve">l Poder Ejecutivo, reemplazando al Decreto Legislativo N° 703 de 1991. </w:t>
      </w:r>
      <w:r w:rsidR="00217E06">
        <w:rPr>
          <w:rFonts w:ascii="Cambria" w:hAnsi="Cambria" w:cs="Times New Roman"/>
          <w:sz w:val="24"/>
          <w:szCs w:val="24"/>
        </w:rPr>
        <w:t>En este contexto, s</w:t>
      </w:r>
      <w:r w:rsidR="000F6028">
        <w:rPr>
          <w:rFonts w:ascii="Cambria" w:hAnsi="Cambria" w:cs="Times New Roman"/>
          <w:sz w:val="24"/>
          <w:szCs w:val="24"/>
        </w:rPr>
        <w:t>e a</w:t>
      </w:r>
      <w:r w:rsidR="00217E06">
        <w:rPr>
          <w:rFonts w:ascii="Cambria" w:hAnsi="Cambria" w:cs="Times New Roman"/>
          <w:sz w:val="24"/>
          <w:szCs w:val="24"/>
        </w:rPr>
        <w:t>ctualizó la legislación interna</w:t>
      </w:r>
      <w:r w:rsidR="000F6028">
        <w:rPr>
          <w:rFonts w:ascii="Cambria" w:hAnsi="Cambria" w:cs="Times New Roman"/>
          <w:sz w:val="24"/>
          <w:szCs w:val="24"/>
        </w:rPr>
        <w:t xml:space="preserve"> </w:t>
      </w:r>
      <w:r w:rsidR="006E6E82">
        <w:rPr>
          <w:rFonts w:ascii="Cambria" w:hAnsi="Cambria" w:cs="Times New Roman"/>
          <w:sz w:val="24"/>
          <w:szCs w:val="24"/>
        </w:rPr>
        <w:t xml:space="preserve">con el fin de garantizar los derechos humanos de los migrantes en tránsito, residentes y, en general, de todas las personas extranjeras en el Perú. Teniendo en cuenta que </w:t>
      </w:r>
      <w:r w:rsidRPr="00023E9C">
        <w:rPr>
          <w:rFonts w:ascii="Cambria" w:hAnsi="Cambria" w:cs="Times New Roman"/>
          <w:sz w:val="24"/>
          <w:szCs w:val="24"/>
        </w:rPr>
        <w:t>el Perú ha experimentado</w:t>
      </w:r>
      <w:r w:rsidR="006E6E82">
        <w:rPr>
          <w:rFonts w:ascii="Cambria" w:hAnsi="Cambria" w:cs="Times New Roman"/>
          <w:sz w:val="24"/>
          <w:szCs w:val="24"/>
        </w:rPr>
        <w:t xml:space="preserve"> </w:t>
      </w:r>
      <w:r w:rsidR="006E6E82">
        <w:rPr>
          <w:rFonts w:ascii="Cambria" w:hAnsi="Cambria" w:cs="Times New Roman"/>
          <w:sz w:val="24"/>
          <w:szCs w:val="24"/>
        </w:rPr>
        <w:lastRenderedPageBreak/>
        <w:t>en los últimos años</w:t>
      </w:r>
      <w:r w:rsidR="00A27A86">
        <w:rPr>
          <w:rFonts w:ascii="Cambria" w:hAnsi="Cambria" w:cs="Times New Roman"/>
          <w:sz w:val="24"/>
          <w:szCs w:val="24"/>
        </w:rPr>
        <w:t xml:space="preserve"> un crecimiento considerable</w:t>
      </w:r>
      <w:r w:rsidRPr="00023E9C">
        <w:rPr>
          <w:rFonts w:ascii="Cambria" w:hAnsi="Cambria" w:cs="Times New Roman"/>
          <w:sz w:val="24"/>
          <w:szCs w:val="24"/>
        </w:rPr>
        <w:t xml:space="preserve"> del flujo de personas que ingresan, transitan</w:t>
      </w:r>
      <w:r w:rsidR="000F6028">
        <w:rPr>
          <w:rFonts w:ascii="Cambria" w:hAnsi="Cambria" w:cs="Times New Roman"/>
          <w:sz w:val="24"/>
          <w:szCs w:val="24"/>
        </w:rPr>
        <w:t>,</w:t>
      </w:r>
      <w:r w:rsidRPr="00023E9C">
        <w:rPr>
          <w:rFonts w:ascii="Cambria" w:hAnsi="Cambria" w:cs="Times New Roman"/>
          <w:sz w:val="24"/>
          <w:szCs w:val="24"/>
        </w:rPr>
        <w:t xml:space="preserve"> permanecen y salen del país.</w:t>
      </w:r>
    </w:p>
    <w:p w14:paraId="1E5D13C3" w14:textId="77777777" w:rsidR="000F6028" w:rsidRPr="00023E9C" w:rsidRDefault="000F6028" w:rsidP="00023E9C">
      <w:pPr>
        <w:spacing w:after="0" w:line="240" w:lineRule="auto"/>
        <w:jc w:val="both"/>
        <w:rPr>
          <w:rFonts w:ascii="Cambria" w:hAnsi="Cambria" w:cs="Times New Roman"/>
          <w:sz w:val="24"/>
          <w:szCs w:val="24"/>
        </w:rPr>
      </w:pPr>
    </w:p>
    <w:p w14:paraId="736B308E" w14:textId="26A97A9C" w:rsidR="00023E9C" w:rsidRDefault="00797544" w:rsidP="00023E9C">
      <w:pPr>
        <w:spacing w:after="0" w:line="240" w:lineRule="auto"/>
        <w:jc w:val="both"/>
        <w:rPr>
          <w:rFonts w:ascii="Cambria" w:hAnsi="Cambria" w:cs="Times New Roman"/>
          <w:sz w:val="24"/>
          <w:szCs w:val="24"/>
        </w:rPr>
      </w:pPr>
      <w:r>
        <w:rPr>
          <w:rFonts w:ascii="Cambria" w:hAnsi="Cambria" w:cs="Times New Roman"/>
          <w:sz w:val="24"/>
          <w:szCs w:val="24"/>
        </w:rPr>
        <w:t xml:space="preserve">El actual </w:t>
      </w:r>
      <w:r w:rsidR="000F6028">
        <w:rPr>
          <w:rFonts w:ascii="Cambria" w:hAnsi="Cambria" w:cs="Times New Roman"/>
          <w:sz w:val="24"/>
          <w:szCs w:val="24"/>
        </w:rPr>
        <w:t>Decreto Legislativo de Migraciones,</w:t>
      </w:r>
      <w:r w:rsidR="006E6E82">
        <w:rPr>
          <w:rFonts w:ascii="Cambria" w:hAnsi="Cambria" w:cs="Times New Roman"/>
          <w:sz w:val="24"/>
          <w:szCs w:val="24"/>
        </w:rPr>
        <w:t xml:space="preserve"> </w:t>
      </w:r>
      <w:r w:rsidR="00023E9C" w:rsidRPr="00023E9C">
        <w:rPr>
          <w:rFonts w:ascii="Cambria" w:hAnsi="Cambria" w:cs="Times New Roman"/>
          <w:sz w:val="24"/>
          <w:szCs w:val="24"/>
        </w:rPr>
        <w:t xml:space="preserve">reconoce de manera explícita </w:t>
      </w:r>
      <w:r>
        <w:rPr>
          <w:rFonts w:ascii="Cambria" w:hAnsi="Cambria" w:cs="Times New Roman"/>
          <w:sz w:val="24"/>
          <w:szCs w:val="24"/>
        </w:rPr>
        <w:t xml:space="preserve">en el Título Preliminar </w:t>
      </w:r>
      <w:r w:rsidR="00023E9C" w:rsidRPr="00023E9C">
        <w:rPr>
          <w:rFonts w:ascii="Cambria" w:hAnsi="Cambria" w:cs="Times New Roman"/>
          <w:sz w:val="24"/>
          <w:szCs w:val="24"/>
        </w:rPr>
        <w:t>el</w:t>
      </w:r>
      <w:r>
        <w:rPr>
          <w:rFonts w:ascii="Cambria" w:hAnsi="Cambria" w:cs="Times New Roman"/>
          <w:sz w:val="24"/>
          <w:szCs w:val="24"/>
        </w:rPr>
        <w:t xml:space="preserve"> p</w:t>
      </w:r>
      <w:r w:rsidR="006E6E82">
        <w:rPr>
          <w:rFonts w:ascii="Cambria" w:hAnsi="Cambria" w:cs="Times New Roman"/>
          <w:sz w:val="24"/>
          <w:szCs w:val="24"/>
        </w:rPr>
        <w:t>rincipio del interés superior</w:t>
      </w:r>
      <w:r w:rsidR="00023E9C" w:rsidRPr="00023E9C">
        <w:rPr>
          <w:rFonts w:ascii="Cambria" w:hAnsi="Cambria" w:cs="Times New Roman"/>
          <w:sz w:val="24"/>
          <w:szCs w:val="24"/>
        </w:rPr>
        <w:t xml:space="preserve"> del niño y adolescente, el principio de unidad familiar</w:t>
      </w:r>
      <w:r>
        <w:rPr>
          <w:rFonts w:ascii="Cambria" w:hAnsi="Cambria" w:cs="Times New Roman"/>
          <w:sz w:val="24"/>
          <w:szCs w:val="24"/>
        </w:rPr>
        <w:t>, el</w:t>
      </w:r>
      <w:r w:rsidR="00023E9C" w:rsidRPr="00023E9C">
        <w:rPr>
          <w:rFonts w:ascii="Cambria" w:hAnsi="Cambria" w:cs="Times New Roman"/>
          <w:sz w:val="24"/>
          <w:szCs w:val="24"/>
        </w:rPr>
        <w:t xml:space="preserve"> principio de no criminalización de migración irregular y el principio de formalización migratoria.</w:t>
      </w:r>
      <w:r>
        <w:rPr>
          <w:rFonts w:ascii="Cambria" w:hAnsi="Cambria" w:cs="Times New Roman"/>
          <w:sz w:val="24"/>
          <w:szCs w:val="24"/>
        </w:rPr>
        <w:t xml:space="preserve"> Señalando:</w:t>
      </w:r>
    </w:p>
    <w:p w14:paraId="7EF989E2" w14:textId="77777777" w:rsidR="00797544" w:rsidRDefault="00797544" w:rsidP="00023E9C">
      <w:pPr>
        <w:spacing w:after="0" w:line="240" w:lineRule="auto"/>
        <w:jc w:val="both"/>
        <w:rPr>
          <w:rFonts w:ascii="Cambria" w:hAnsi="Cambria" w:cs="Times New Roman"/>
          <w:sz w:val="24"/>
          <w:szCs w:val="24"/>
        </w:rPr>
      </w:pPr>
    </w:p>
    <w:p w14:paraId="462BACE5" w14:textId="0E1FD972" w:rsidR="00797544" w:rsidRPr="00797544" w:rsidRDefault="00797544" w:rsidP="005304D8">
      <w:pPr>
        <w:spacing w:after="0" w:line="240" w:lineRule="auto"/>
        <w:ind w:left="708"/>
        <w:jc w:val="both"/>
        <w:rPr>
          <w:rFonts w:ascii="Cambria" w:hAnsi="Cambria" w:cs="Times New Roman"/>
        </w:rPr>
      </w:pPr>
      <w:r w:rsidRPr="00797544">
        <w:rPr>
          <w:rFonts w:ascii="Cambria" w:hAnsi="Cambria" w:cs="Times New Roman"/>
          <w:b/>
        </w:rPr>
        <w:t>Artículo V.- Principio de No Criminalización de la Migración Irregular</w:t>
      </w:r>
      <w:r w:rsidRPr="00797544">
        <w:rPr>
          <w:rFonts w:ascii="Cambria" w:hAnsi="Cambria" w:cs="Times New Roman"/>
        </w:rPr>
        <w:t>. El Estado formula y ejecuta su Política Migratoria bajo el Principio de No Criminalización de la Migración Irregular.</w:t>
      </w:r>
    </w:p>
    <w:p w14:paraId="4008D82D" w14:textId="3B5884D1" w:rsidR="00797544" w:rsidRDefault="00797544" w:rsidP="005304D8">
      <w:pPr>
        <w:spacing w:after="0" w:line="240" w:lineRule="auto"/>
        <w:ind w:left="708"/>
        <w:jc w:val="both"/>
        <w:rPr>
          <w:rFonts w:ascii="Cambria" w:hAnsi="Cambria" w:cs="Times New Roman"/>
        </w:rPr>
      </w:pPr>
      <w:r>
        <w:rPr>
          <w:rFonts w:ascii="Cambria" w:hAnsi="Cambria" w:cs="Times New Roman"/>
        </w:rPr>
        <w:t>[…]</w:t>
      </w:r>
    </w:p>
    <w:p w14:paraId="3A67CE0C" w14:textId="77777777" w:rsidR="00797544" w:rsidRPr="00797544" w:rsidRDefault="00797544" w:rsidP="005304D8">
      <w:pPr>
        <w:spacing w:after="0" w:line="240" w:lineRule="auto"/>
        <w:ind w:left="708"/>
        <w:jc w:val="both"/>
        <w:rPr>
          <w:rFonts w:ascii="Cambria" w:hAnsi="Cambria" w:cs="Times New Roman"/>
        </w:rPr>
      </w:pPr>
    </w:p>
    <w:p w14:paraId="72BD1186" w14:textId="14A594E8" w:rsidR="00797544" w:rsidRPr="00797544" w:rsidRDefault="00797544" w:rsidP="005304D8">
      <w:pPr>
        <w:spacing w:after="0" w:line="240" w:lineRule="auto"/>
        <w:ind w:left="708"/>
        <w:jc w:val="both"/>
        <w:rPr>
          <w:rFonts w:ascii="Cambria" w:hAnsi="Cambria" w:cs="Times New Roman"/>
        </w:rPr>
      </w:pPr>
      <w:r w:rsidRPr="00797544">
        <w:rPr>
          <w:rFonts w:ascii="Cambria" w:hAnsi="Cambria" w:cs="Times New Roman"/>
          <w:b/>
        </w:rPr>
        <w:t>Articulo IX.- Principio de interés superior del niño y adolescente.</w:t>
      </w:r>
      <w:r w:rsidRPr="00797544">
        <w:rPr>
          <w:rFonts w:ascii="Cambria" w:hAnsi="Cambria" w:cs="Times New Roman"/>
        </w:rPr>
        <w:t xml:space="preserve"> En toda medida concerniente al niño y adolescente que adopte el Estado a través de todas sus instituciones, así como en la acción de la sociedad, se considerará el principio del interés superior del niño y adolescente y el respeto a sus derechos. </w:t>
      </w:r>
    </w:p>
    <w:p w14:paraId="39137978" w14:textId="77777777" w:rsidR="00797544" w:rsidRPr="00797544" w:rsidRDefault="00797544" w:rsidP="005304D8">
      <w:pPr>
        <w:spacing w:after="0" w:line="240" w:lineRule="auto"/>
        <w:ind w:left="708"/>
        <w:jc w:val="both"/>
        <w:rPr>
          <w:rFonts w:ascii="Cambria" w:hAnsi="Cambria" w:cs="Times New Roman"/>
        </w:rPr>
      </w:pPr>
    </w:p>
    <w:p w14:paraId="3B27C1AB" w14:textId="2F4E51B6" w:rsidR="00797544" w:rsidRPr="00797544" w:rsidRDefault="00797544" w:rsidP="005304D8">
      <w:pPr>
        <w:spacing w:after="0" w:line="240" w:lineRule="auto"/>
        <w:ind w:left="708"/>
        <w:jc w:val="both"/>
        <w:rPr>
          <w:rFonts w:ascii="Cambria" w:hAnsi="Cambria" w:cs="Times New Roman"/>
        </w:rPr>
      </w:pPr>
      <w:r w:rsidRPr="00797544">
        <w:rPr>
          <w:rFonts w:ascii="Cambria" w:hAnsi="Cambria" w:cs="Times New Roman"/>
          <w:b/>
        </w:rPr>
        <w:t>Articulo X.- Principio de Unidad migratoria familiar.</w:t>
      </w:r>
      <w:r w:rsidRPr="00797544">
        <w:rPr>
          <w:rFonts w:ascii="Cambria" w:hAnsi="Cambria" w:cs="Times New Roman"/>
        </w:rPr>
        <w:t xml:space="preserve"> El Estado garantiza, promueve y vela por la unidad familiar de los extranjeros y nacionales. </w:t>
      </w:r>
    </w:p>
    <w:p w14:paraId="76290BD1" w14:textId="77777777" w:rsidR="00797544" w:rsidRPr="00797544" w:rsidRDefault="00797544" w:rsidP="005304D8">
      <w:pPr>
        <w:spacing w:after="0" w:line="240" w:lineRule="auto"/>
        <w:ind w:left="708"/>
        <w:jc w:val="both"/>
        <w:rPr>
          <w:rFonts w:ascii="Cambria" w:hAnsi="Cambria" w:cs="Times New Roman"/>
        </w:rPr>
      </w:pPr>
    </w:p>
    <w:p w14:paraId="2E5A0E2A" w14:textId="6AA18D41" w:rsidR="00797544" w:rsidRPr="00797544" w:rsidRDefault="00797544" w:rsidP="005304D8">
      <w:pPr>
        <w:spacing w:after="0" w:line="240" w:lineRule="auto"/>
        <w:ind w:left="708"/>
        <w:jc w:val="both"/>
        <w:rPr>
          <w:rFonts w:ascii="Cambria" w:hAnsi="Cambria" w:cs="Times New Roman"/>
        </w:rPr>
      </w:pPr>
      <w:r w:rsidRPr="00797544">
        <w:rPr>
          <w:rFonts w:ascii="Cambria" w:hAnsi="Cambria" w:cs="Times New Roman"/>
          <w:b/>
        </w:rPr>
        <w:t>Artículo XI.- Principio de Formalización migratoria.</w:t>
      </w:r>
      <w:r w:rsidRPr="00797544">
        <w:rPr>
          <w:rFonts w:ascii="Cambria" w:hAnsi="Cambria" w:cs="Times New Roman"/>
        </w:rPr>
        <w:t xml:space="preserve"> El Estado promueve las medidas necesarias para la formalización de los extranjeros que deseen ingresar y permanecer en el territorio nacional. Asimismo, favorece la regularización migratoria como acción permanente que facilite la protección de la persona humana y prevenga o corrija situaciones de vulneración o afectación a la dignidad humana así como de sus derechos y libertades.</w:t>
      </w:r>
    </w:p>
    <w:p w14:paraId="28346BD2" w14:textId="77777777" w:rsidR="006E6E82" w:rsidRPr="00023E9C" w:rsidRDefault="006E6E82" w:rsidP="00023E9C">
      <w:pPr>
        <w:spacing w:after="0" w:line="240" w:lineRule="auto"/>
        <w:jc w:val="both"/>
        <w:rPr>
          <w:rFonts w:ascii="Cambria" w:hAnsi="Cambria" w:cs="Times New Roman"/>
          <w:sz w:val="24"/>
          <w:szCs w:val="24"/>
        </w:rPr>
      </w:pPr>
    </w:p>
    <w:p w14:paraId="6FD1B5CB" w14:textId="77777777" w:rsidR="0073659A" w:rsidRDefault="00797544" w:rsidP="00023E9C">
      <w:pPr>
        <w:spacing w:after="0" w:line="240" w:lineRule="auto"/>
        <w:jc w:val="both"/>
        <w:rPr>
          <w:rFonts w:ascii="Cambria" w:hAnsi="Cambria" w:cs="Times New Roman"/>
          <w:sz w:val="24"/>
          <w:szCs w:val="24"/>
        </w:rPr>
      </w:pPr>
      <w:r>
        <w:rPr>
          <w:rFonts w:ascii="Cambria" w:hAnsi="Cambria" w:cs="Times New Roman"/>
          <w:sz w:val="24"/>
          <w:szCs w:val="24"/>
        </w:rPr>
        <w:t>Además,</w:t>
      </w:r>
      <w:r w:rsidR="00023E9C" w:rsidRPr="00023E9C">
        <w:rPr>
          <w:rFonts w:ascii="Cambria" w:hAnsi="Cambria" w:cs="Times New Roman"/>
          <w:sz w:val="24"/>
          <w:szCs w:val="24"/>
        </w:rPr>
        <w:t xml:space="preserve"> </w:t>
      </w:r>
      <w:r>
        <w:rPr>
          <w:rFonts w:ascii="Cambria" w:hAnsi="Cambria" w:cs="Times New Roman"/>
          <w:sz w:val="24"/>
          <w:szCs w:val="24"/>
        </w:rPr>
        <w:t>e</w:t>
      </w:r>
      <w:r w:rsidR="00023E9C" w:rsidRPr="00023E9C">
        <w:rPr>
          <w:rFonts w:ascii="Cambria" w:hAnsi="Cambria" w:cs="Times New Roman"/>
          <w:sz w:val="24"/>
          <w:szCs w:val="24"/>
        </w:rPr>
        <w:t>l artículo 59°</w:t>
      </w:r>
      <w:r>
        <w:rPr>
          <w:rFonts w:ascii="Cambria" w:hAnsi="Cambria" w:cs="Times New Roman"/>
          <w:sz w:val="24"/>
          <w:szCs w:val="24"/>
        </w:rPr>
        <w:t xml:space="preserve"> del Decreto Legislativo</w:t>
      </w:r>
      <w:r w:rsidR="0073659A">
        <w:rPr>
          <w:rFonts w:ascii="Cambria" w:hAnsi="Cambria" w:cs="Times New Roman"/>
          <w:sz w:val="24"/>
          <w:szCs w:val="24"/>
        </w:rPr>
        <w:t xml:space="preserve"> N° 1236,</w:t>
      </w:r>
      <w:r w:rsidR="00023E9C" w:rsidRPr="00023E9C">
        <w:rPr>
          <w:rFonts w:ascii="Cambria" w:hAnsi="Cambria" w:cs="Times New Roman"/>
          <w:sz w:val="24"/>
          <w:szCs w:val="24"/>
        </w:rPr>
        <w:t xml:space="preserve"> </w:t>
      </w:r>
      <w:r w:rsidR="0073659A">
        <w:rPr>
          <w:rFonts w:ascii="Cambria" w:hAnsi="Cambria" w:cs="Times New Roman"/>
          <w:sz w:val="24"/>
          <w:szCs w:val="24"/>
        </w:rPr>
        <w:t xml:space="preserve">establece una clasificación de las categorías y calidades migratorias en el Perú, contemplando la </w:t>
      </w:r>
      <w:r w:rsidR="0073659A" w:rsidRPr="00FA68EB">
        <w:rPr>
          <w:rFonts w:ascii="Cambria" w:hAnsi="Cambria" w:cs="Times New Roman"/>
          <w:sz w:val="24"/>
          <w:szCs w:val="24"/>
          <w:u w:val="single"/>
        </w:rPr>
        <w:t>calidad m</w:t>
      </w:r>
      <w:r w:rsidR="00023E9C" w:rsidRPr="00FA68EB">
        <w:rPr>
          <w:rFonts w:ascii="Cambria" w:hAnsi="Cambria" w:cs="Times New Roman"/>
          <w:sz w:val="24"/>
          <w:szCs w:val="24"/>
          <w:u w:val="single"/>
        </w:rPr>
        <w:t xml:space="preserve">igratoria de Tránsito </w:t>
      </w:r>
      <w:r w:rsidR="0073659A" w:rsidRPr="00FA68EB">
        <w:rPr>
          <w:rFonts w:ascii="Cambria" w:hAnsi="Cambria" w:cs="Times New Roman"/>
          <w:sz w:val="24"/>
          <w:szCs w:val="24"/>
          <w:u w:val="single"/>
        </w:rPr>
        <w:t>(V3)</w:t>
      </w:r>
      <w:r w:rsidR="0073659A">
        <w:rPr>
          <w:rFonts w:ascii="Cambria" w:hAnsi="Cambria" w:cs="Times New Roman"/>
          <w:sz w:val="24"/>
          <w:szCs w:val="24"/>
        </w:rPr>
        <w:t xml:space="preserve"> </w:t>
      </w:r>
      <w:r w:rsidR="00023E9C" w:rsidRPr="00023E9C">
        <w:rPr>
          <w:rFonts w:ascii="Cambria" w:hAnsi="Cambria" w:cs="Times New Roman"/>
          <w:sz w:val="24"/>
          <w:szCs w:val="24"/>
        </w:rPr>
        <w:t xml:space="preserve">para los extranjeros de países determinados  por el Estado peruano que utilicen al Perú como país de tránsito </w:t>
      </w:r>
      <w:r w:rsidR="0073659A">
        <w:rPr>
          <w:rFonts w:ascii="Cambria" w:hAnsi="Cambria" w:cs="Times New Roman"/>
          <w:sz w:val="24"/>
          <w:szCs w:val="24"/>
        </w:rPr>
        <w:t xml:space="preserve"> hacia su destino final, la competencia</w:t>
      </w:r>
      <w:r w:rsidR="00023E9C" w:rsidRPr="00023E9C">
        <w:rPr>
          <w:rFonts w:ascii="Cambria" w:hAnsi="Cambria" w:cs="Times New Roman"/>
          <w:sz w:val="24"/>
          <w:szCs w:val="24"/>
        </w:rPr>
        <w:t xml:space="preserve"> está a cargo del Ministerio de Relaciones Exterio</w:t>
      </w:r>
      <w:r w:rsidR="0073659A">
        <w:rPr>
          <w:rFonts w:ascii="Cambria" w:hAnsi="Cambria" w:cs="Times New Roman"/>
          <w:sz w:val="24"/>
          <w:szCs w:val="24"/>
        </w:rPr>
        <w:t xml:space="preserve">res y el </w:t>
      </w:r>
      <w:r>
        <w:rPr>
          <w:rFonts w:ascii="Cambria" w:hAnsi="Cambria" w:cs="Times New Roman"/>
          <w:sz w:val="24"/>
          <w:szCs w:val="24"/>
        </w:rPr>
        <w:t>plazo de permanencia</w:t>
      </w:r>
      <w:r w:rsidR="00023E9C" w:rsidRPr="00023E9C">
        <w:rPr>
          <w:rFonts w:ascii="Cambria" w:hAnsi="Cambria" w:cs="Times New Roman"/>
          <w:sz w:val="24"/>
          <w:szCs w:val="24"/>
        </w:rPr>
        <w:t xml:space="preserve"> es</w:t>
      </w:r>
      <w:r>
        <w:rPr>
          <w:rFonts w:ascii="Cambria" w:hAnsi="Cambria" w:cs="Times New Roman"/>
          <w:sz w:val="24"/>
          <w:szCs w:val="24"/>
        </w:rPr>
        <w:t xml:space="preserve"> de  hasta 30 días</w:t>
      </w:r>
      <w:r w:rsidR="00023E9C" w:rsidRPr="00023E9C">
        <w:rPr>
          <w:rFonts w:ascii="Cambria" w:hAnsi="Cambria" w:cs="Times New Roman"/>
          <w:sz w:val="24"/>
          <w:szCs w:val="24"/>
        </w:rPr>
        <w:t>.</w:t>
      </w:r>
      <w:r>
        <w:rPr>
          <w:rFonts w:ascii="Cambria" w:hAnsi="Cambria" w:cs="Times New Roman"/>
          <w:sz w:val="24"/>
          <w:szCs w:val="24"/>
        </w:rPr>
        <w:t xml:space="preserve"> </w:t>
      </w:r>
    </w:p>
    <w:p w14:paraId="11474450" w14:textId="77777777" w:rsidR="0073659A" w:rsidRDefault="0073659A" w:rsidP="00023E9C">
      <w:pPr>
        <w:spacing w:after="0" w:line="240" w:lineRule="auto"/>
        <w:jc w:val="both"/>
        <w:rPr>
          <w:rFonts w:ascii="Cambria" w:hAnsi="Cambria" w:cs="Times New Roman"/>
          <w:sz w:val="24"/>
          <w:szCs w:val="24"/>
        </w:rPr>
      </w:pPr>
    </w:p>
    <w:p w14:paraId="3814161D" w14:textId="126618AA" w:rsidR="00FA68EB" w:rsidRDefault="0073659A" w:rsidP="00023E9C">
      <w:pPr>
        <w:spacing w:after="0" w:line="240" w:lineRule="auto"/>
        <w:jc w:val="both"/>
        <w:rPr>
          <w:rFonts w:ascii="Cambria" w:hAnsi="Cambria" w:cs="Times New Roman"/>
          <w:sz w:val="24"/>
          <w:szCs w:val="24"/>
        </w:rPr>
      </w:pPr>
      <w:r>
        <w:rPr>
          <w:rFonts w:ascii="Cambria" w:hAnsi="Cambria" w:cs="Times New Roman"/>
          <w:sz w:val="24"/>
          <w:szCs w:val="24"/>
        </w:rPr>
        <w:t>Asimismo, se contempla</w:t>
      </w:r>
      <w:r w:rsidR="00023E9C" w:rsidRPr="00023E9C">
        <w:rPr>
          <w:rFonts w:ascii="Cambria" w:hAnsi="Cambria" w:cs="Times New Roman"/>
          <w:sz w:val="24"/>
          <w:szCs w:val="24"/>
        </w:rPr>
        <w:t xml:space="preserve"> la </w:t>
      </w:r>
      <w:r w:rsidR="00023E9C" w:rsidRPr="00FA68EB">
        <w:rPr>
          <w:rFonts w:ascii="Cambria" w:hAnsi="Cambria" w:cs="Times New Roman"/>
          <w:sz w:val="24"/>
          <w:szCs w:val="24"/>
          <w:u w:val="single"/>
        </w:rPr>
        <w:t>calidad migrato</w:t>
      </w:r>
      <w:r w:rsidR="00797544" w:rsidRPr="00FA68EB">
        <w:rPr>
          <w:rFonts w:ascii="Cambria" w:hAnsi="Cambria" w:cs="Times New Roman"/>
          <w:sz w:val="24"/>
          <w:szCs w:val="24"/>
          <w:u w:val="single"/>
        </w:rPr>
        <w:t>ria</w:t>
      </w:r>
      <w:r w:rsidRPr="00FA68EB">
        <w:rPr>
          <w:rFonts w:ascii="Cambria" w:hAnsi="Cambria" w:cs="Times New Roman"/>
          <w:sz w:val="24"/>
          <w:szCs w:val="24"/>
          <w:u w:val="single"/>
        </w:rPr>
        <w:t xml:space="preserve"> Humanitaria (T7)</w:t>
      </w:r>
      <w:r w:rsidR="00023E9C" w:rsidRPr="00023E9C">
        <w:rPr>
          <w:rFonts w:ascii="Cambria" w:hAnsi="Cambria" w:cs="Times New Roman"/>
          <w:sz w:val="24"/>
          <w:szCs w:val="24"/>
        </w:rPr>
        <w:t>,</w:t>
      </w:r>
      <w:r>
        <w:t xml:space="preserve"> en la cual e</w:t>
      </w:r>
      <w:r w:rsidRPr="0073659A">
        <w:rPr>
          <w:rFonts w:ascii="Cambria" w:hAnsi="Cambria" w:cs="Times New Roman"/>
          <w:sz w:val="24"/>
          <w:szCs w:val="24"/>
        </w:rPr>
        <w:t>l Estado peruano tiene la potestad para otorgar esta calidad migratoria al extranjero, que encontrándose en territorio nacional y sin reunir los requisitos para acceder a la condición de asilado o refugiado se encuentre en situación de gran vulnerabilidad o peligro de vida en caso de abandono del territorio peruano o para quien requiere protección en atención a una grave amenaza o acto de violación o afectació</w:t>
      </w:r>
      <w:r>
        <w:rPr>
          <w:rFonts w:ascii="Cambria" w:hAnsi="Cambria" w:cs="Times New Roman"/>
          <w:sz w:val="24"/>
          <w:szCs w:val="24"/>
        </w:rPr>
        <w:t>n de sus derechos fundamentales.</w:t>
      </w:r>
      <w:r w:rsidRPr="0073659A">
        <w:rPr>
          <w:rFonts w:ascii="Cambria" w:hAnsi="Cambria" w:cs="Times New Roman"/>
          <w:sz w:val="24"/>
          <w:szCs w:val="24"/>
        </w:rPr>
        <w:t xml:space="preserve"> Del mismo modo será aplicable para los solicitantes de refugio y asilo o para quienes hayan migrado por motivos de desastres naturales y medioambientales; o para quienes han sido víctima de trata o tráfico de personas; o para las niñas, niños y adolescentes no acompañados o para apátridas</w:t>
      </w:r>
      <w:r w:rsidR="00FA68EB">
        <w:rPr>
          <w:rFonts w:ascii="Cambria" w:hAnsi="Cambria" w:cs="Times New Roman"/>
          <w:sz w:val="24"/>
          <w:szCs w:val="24"/>
        </w:rPr>
        <w:t>.</w:t>
      </w:r>
      <w:r w:rsidRPr="0073659A">
        <w:rPr>
          <w:rFonts w:ascii="Cambria" w:hAnsi="Cambria" w:cs="Times New Roman"/>
          <w:sz w:val="24"/>
          <w:szCs w:val="24"/>
        </w:rPr>
        <w:t xml:space="preserve"> </w:t>
      </w:r>
    </w:p>
    <w:p w14:paraId="442B6026" w14:textId="77777777" w:rsidR="00FA68EB" w:rsidRDefault="00FA68EB" w:rsidP="00023E9C">
      <w:pPr>
        <w:spacing w:after="0" w:line="240" w:lineRule="auto"/>
        <w:jc w:val="both"/>
        <w:rPr>
          <w:rFonts w:ascii="Cambria" w:hAnsi="Cambria" w:cs="Times New Roman"/>
          <w:sz w:val="24"/>
          <w:szCs w:val="24"/>
        </w:rPr>
      </w:pPr>
    </w:p>
    <w:p w14:paraId="2FEC584A" w14:textId="75A132EB" w:rsidR="0073659A" w:rsidRDefault="0073659A" w:rsidP="00023E9C">
      <w:pPr>
        <w:spacing w:after="0" w:line="240" w:lineRule="auto"/>
        <w:jc w:val="both"/>
        <w:rPr>
          <w:rFonts w:ascii="Cambria" w:hAnsi="Cambria" w:cs="Times New Roman"/>
          <w:sz w:val="24"/>
          <w:szCs w:val="24"/>
        </w:rPr>
      </w:pPr>
      <w:r w:rsidRPr="0073659A">
        <w:rPr>
          <w:rFonts w:ascii="Cambria" w:hAnsi="Cambria" w:cs="Times New Roman"/>
          <w:sz w:val="24"/>
          <w:szCs w:val="24"/>
        </w:rPr>
        <w:lastRenderedPageBreak/>
        <w:t>También se aplica para personas que se encuentren fuera del territorio nacional en situaciones excepcionales de crisis humanitaria reconocida internacionalmente, que soliciten venir al Perú y obtener protección. Permite realizar actividades lucrativas de manera subordinada, autónoma o por cuenta propia.</w:t>
      </w:r>
      <w:r>
        <w:rPr>
          <w:rFonts w:ascii="Cambria" w:hAnsi="Cambria" w:cs="Times New Roman"/>
          <w:sz w:val="24"/>
          <w:szCs w:val="24"/>
        </w:rPr>
        <w:t xml:space="preserve"> Su expedición está a cargo del Ministerio de Relaciones Exteriores, por un plazo de permanencia de 183 días, que puede prorrogarse </w:t>
      </w:r>
      <w:r w:rsidRPr="0073659A">
        <w:rPr>
          <w:rFonts w:ascii="Cambria" w:hAnsi="Cambria" w:cs="Times New Roman"/>
          <w:sz w:val="24"/>
          <w:szCs w:val="24"/>
        </w:rPr>
        <w:t>hasta que las condiciones que dieron lugar a esta calidad sigan siendo aplicables</w:t>
      </w:r>
      <w:r>
        <w:rPr>
          <w:rFonts w:ascii="Cambria" w:hAnsi="Cambria" w:cs="Times New Roman"/>
          <w:sz w:val="24"/>
          <w:szCs w:val="24"/>
        </w:rPr>
        <w:t>.</w:t>
      </w:r>
    </w:p>
    <w:p w14:paraId="1A8046E0" w14:textId="77777777" w:rsidR="00FA68EB" w:rsidRDefault="00FA68EB" w:rsidP="00023E9C">
      <w:pPr>
        <w:spacing w:after="0" w:line="240" w:lineRule="auto"/>
        <w:jc w:val="both"/>
        <w:rPr>
          <w:rFonts w:ascii="Cambria" w:hAnsi="Cambria" w:cs="Times New Roman"/>
          <w:sz w:val="24"/>
          <w:szCs w:val="24"/>
        </w:rPr>
      </w:pPr>
    </w:p>
    <w:p w14:paraId="4A3A244C" w14:textId="286B654B" w:rsidR="00FA68EB" w:rsidRDefault="00FA68EB" w:rsidP="00FA68EB">
      <w:pPr>
        <w:spacing w:after="0" w:line="240" w:lineRule="auto"/>
        <w:jc w:val="both"/>
        <w:rPr>
          <w:rFonts w:ascii="Cambria" w:hAnsi="Cambria" w:cs="Times New Roman"/>
          <w:sz w:val="24"/>
          <w:szCs w:val="24"/>
        </w:rPr>
      </w:pPr>
      <w:r>
        <w:rPr>
          <w:rFonts w:ascii="Cambria" w:hAnsi="Cambria" w:cs="Times New Roman"/>
          <w:sz w:val="24"/>
          <w:szCs w:val="24"/>
        </w:rPr>
        <w:t>Cabe señalar que</w:t>
      </w:r>
      <w:r w:rsidRPr="00FA68EB">
        <w:t xml:space="preserve"> </w:t>
      </w:r>
      <w:r>
        <w:rPr>
          <w:rFonts w:ascii="Cambria" w:hAnsi="Cambria" w:cs="Times New Roman"/>
          <w:sz w:val="24"/>
          <w:szCs w:val="24"/>
        </w:rPr>
        <w:t>el DL N° 1236</w:t>
      </w:r>
      <w:r w:rsidR="00464AF5">
        <w:rPr>
          <w:rFonts w:ascii="Cambria" w:hAnsi="Cambria" w:cs="Times New Roman"/>
          <w:sz w:val="24"/>
          <w:szCs w:val="24"/>
        </w:rPr>
        <w:t xml:space="preserve"> entrará</w:t>
      </w:r>
      <w:r w:rsidRPr="00FA68EB">
        <w:rPr>
          <w:rFonts w:ascii="Cambria" w:hAnsi="Cambria" w:cs="Times New Roman"/>
          <w:sz w:val="24"/>
          <w:szCs w:val="24"/>
        </w:rPr>
        <w:t xml:space="preserve"> en vigencia a los noventa días hábiles de la publicación del Reglamento de la Ley en el Diario Oficial "El Perua</w:t>
      </w:r>
      <w:r>
        <w:rPr>
          <w:rFonts w:ascii="Cambria" w:hAnsi="Cambria" w:cs="Times New Roman"/>
          <w:sz w:val="24"/>
          <w:szCs w:val="24"/>
        </w:rPr>
        <w:t>no", para lo cual</w:t>
      </w:r>
      <w:r w:rsidRPr="00FA68EB">
        <w:rPr>
          <w:rFonts w:ascii="Cambria" w:hAnsi="Cambria" w:cs="Times New Roman"/>
          <w:sz w:val="24"/>
          <w:szCs w:val="24"/>
        </w:rPr>
        <w:t>,</w:t>
      </w:r>
      <w:r>
        <w:rPr>
          <w:rFonts w:ascii="Cambria" w:hAnsi="Cambria" w:cs="Times New Roman"/>
          <w:sz w:val="24"/>
          <w:szCs w:val="24"/>
        </w:rPr>
        <w:t xml:space="preserve"> </w:t>
      </w:r>
      <w:r w:rsidRPr="00FA68EB">
        <w:rPr>
          <w:rFonts w:ascii="Cambria" w:hAnsi="Cambria" w:cs="Times New Roman"/>
          <w:sz w:val="24"/>
          <w:szCs w:val="24"/>
        </w:rPr>
        <w:t>conforme a la Segunda Disposición Complementaria Final, el Poder Ejecutivo, en un plazo de</w:t>
      </w:r>
      <w:r>
        <w:rPr>
          <w:rFonts w:ascii="Cambria" w:hAnsi="Cambria" w:cs="Times New Roman"/>
          <w:sz w:val="24"/>
          <w:szCs w:val="24"/>
        </w:rPr>
        <w:t xml:space="preserve"> ciento ochenta días hábiles dic</w:t>
      </w:r>
      <w:r w:rsidRPr="00FA68EB">
        <w:rPr>
          <w:rFonts w:ascii="Cambria" w:hAnsi="Cambria" w:cs="Times New Roman"/>
          <w:sz w:val="24"/>
          <w:szCs w:val="24"/>
        </w:rPr>
        <w:t xml:space="preserve">tara el Reglamento del </w:t>
      </w:r>
      <w:r>
        <w:rPr>
          <w:rFonts w:ascii="Cambria" w:hAnsi="Cambria" w:cs="Times New Roman"/>
          <w:sz w:val="24"/>
          <w:szCs w:val="24"/>
        </w:rPr>
        <w:t xml:space="preserve">mencionado </w:t>
      </w:r>
      <w:r w:rsidRPr="00FA68EB">
        <w:rPr>
          <w:rFonts w:ascii="Cambria" w:hAnsi="Cambria" w:cs="Times New Roman"/>
          <w:sz w:val="24"/>
          <w:szCs w:val="24"/>
        </w:rPr>
        <w:t>Decreto Legislativo.</w:t>
      </w:r>
      <w:r w:rsidR="00EF571C">
        <w:rPr>
          <w:rFonts w:ascii="Cambria" w:hAnsi="Cambria" w:cs="Times New Roman"/>
          <w:sz w:val="24"/>
          <w:szCs w:val="24"/>
        </w:rPr>
        <w:t xml:space="preserve"> Mediante Resolución Suprema N° 015-2016-PCM</w:t>
      </w:r>
      <w:r w:rsidR="00464AF5">
        <w:rPr>
          <w:rFonts w:ascii="Cambria" w:hAnsi="Cambria" w:cs="Times New Roman"/>
          <w:sz w:val="24"/>
          <w:szCs w:val="24"/>
        </w:rPr>
        <w:t xml:space="preserve"> se creó la Comisión</w:t>
      </w:r>
      <w:r w:rsidR="00EF571C">
        <w:rPr>
          <w:rFonts w:ascii="Cambria" w:hAnsi="Cambria" w:cs="Times New Roman"/>
          <w:sz w:val="24"/>
          <w:szCs w:val="24"/>
        </w:rPr>
        <w:t xml:space="preserve"> Multisectorial de naturaleza temporal encargada de elabora</w:t>
      </w:r>
      <w:r w:rsidR="009D5CA5">
        <w:rPr>
          <w:rFonts w:ascii="Cambria" w:hAnsi="Cambria" w:cs="Times New Roman"/>
          <w:sz w:val="24"/>
          <w:szCs w:val="24"/>
        </w:rPr>
        <w:t>r el Reglamento del DL N° 1236.</w:t>
      </w:r>
    </w:p>
    <w:p w14:paraId="50E0BFC4" w14:textId="77777777" w:rsidR="00FA68EB" w:rsidRDefault="00FA68EB" w:rsidP="00FA68EB">
      <w:pPr>
        <w:spacing w:after="0" w:line="240" w:lineRule="auto"/>
        <w:jc w:val="both"/>
        <w:rPr>
          <w:rFonts w:ascii="Cambria" w:hAnsi="Cambria" w:cs="Times New Roman"/>
          <w:sz w:val="24"/>
          <w:szCs w:val="24"/>
        </w:rPr>
      </w:pPr>
    </w:p>
    <w:p w14:paraId="32BF99CD" w14:textId="6A58F2D8" w:rsidR="00EF571C" w:rsidRPr="004F3CF5" w:rsidRDefault="004F3CF5" w:rsidP="000F156E">
      <w:pPr>
        <w:pStyle w:val="ListParagraph"/>
        <w:numPr>
          <w:ilvl w:val="0"/>
          <w:numId w:val="4"/>
        </w:numPr>
        <w:spacing w:after="0" w:line="240" w:lineRule="auto"/>
        <w:jc w:val="both"/>
        <w:rPr>
          <w:rFonts w:ascii="Cambria" w:hAnsi="Cambria" w:cs="Times New Roman"/>
          <w:b/>
          <w:sz w:val="24"/>
          <w:szCs w:val="24"/>
        </w:rPr>
      </w:pPr>
      <w:r w:rsidRPr="004F3CF5">
        <w:rPr>
          <w:rFonts w:ascii="Cambria" w:hAnsi="Cambria" w:cs="Times New Roman"/>
          <w:b/>
          <w:sz w:val="24"/>
          <w:szCs w:val="24"/>
        </w:rPr>
        <w:t>Acceso a los servicios de salud:</w:t>
      </w:r>
    </w:p>
    <w:p w14:paraId="621C14DB" w14:textId="77777777" w:rsidR="004F3CF5" w:rsidRDefault="004F3CF5" w:rsidP="004F3CF5">
      <w:pPr>
        <w:spacing w:after="0" w:line="240" w:lineRule="auto"/>
        <w:jc w:val="both"/>
        <w:rPr>
          <w:rFonts w:ascii="Cambria" w:hAnsi="Cambria" w:cs="Times New Roman"/>
          <w:sz w:val="24"/>
          <w:szCs w:val="24"/>
        </w:rPr>
      </w:pPr>
    </w:p>
    <w:p w14:paraId="57280C02" w14:textId="4BA2B266" w:rsidR="004F3CF5" w:rsidRDefault="004F3CF5" w:rsidP="004F3CF5">
      <w:pPr>
        <w:spacing w:after="0" w:line="240" w:lineRule="auto"/>
        <w:jc w:val="both"/>
        <w:rPr>
          <w:rFonts w:ascii="Cambria" w:hAnsi="Cambria" w:cs="Times New Roman"/>
          <w:sz w:val="24"/>
          <w:szCs w:val="24"/>
        </w:rPr>
      </w:pPr>
      <w:r>
        <w:rPr>
          <w:rFonts w:ascii="Cambria" w:hAnsi="Cambria" w:cs="Times New Roman"/>
          <w:sz w:val="24"/>
          <w:szCs w:val="24"/>
        </w:rPr>
        <w:t xml:space="preserve">De acuerdo con la </w:t>
      </w:r>
      <w:r w:rsidRPr="004F3CF5">
        <w:rPr>
          <w:rFonts w:ascii="Cambria" w:hAnsi="Cambria" w:cs="Times New Roman"/>
          <w:sz w:val="24"/>
          <w:szCs w:val="24"/>
        </w:rPr>
        <w:t>Ley del Aseguramie</w:t>
      </w:r>
      <w:r>
        <w:rPr>
          <w:rFonts w:ascii="Cambria" w:hAnsi="Cambria" w:cs="Times New Roman"/>
          <w:sz w:val="24"/>
          <w:szCs w:val="24"/>
        </w:rPr>
        <w:t>nto Universal en Salud N° 29344, el país cuenta con un</w:t>
      </w:r>
      <w:r w:rsidRPr="004F3CF5">
        <w:rPr>
          <w:rFonts w:ascii="Cambria" w:hAnsi="Cambria" w:cs="Times New Roman"/>
          <w:sz w:val="24"/>
          <w:szCs w:val="24"/>
        </w:rPr>
        <w:t xml:space="preserve"> marco normativo del aseguramiento universal en salud, a fin de garantizar el derecho pleno y progresivo de toda persona</w:t>
      </w:r>
      <w:r w:rsidR="003E532A">
        <w:rPr>
          <w:rFonts w:ascii="Cambria" w:hAnsi="Cambria" w:cs="Times New Roman"/>
          <w:sz w:val="24"/>
          <w:szCs w:val="24"/>
        </w:rPr>
        <w:t xml:space="preserve"> a la seguridad social en salud. </w:t>
      </w:r>
    </w:p>
    <w:p w14:paraId="27DCDE8F" w14:textId="77777777" w:rsidR="004F3CF5" w:rsidRPr="004F3CF5" w:rsidRDefault="004F3CF5" w:rsidP="004F3CF5">
      <w:pPr>
        <w:spacing w:after="0" w:line="240" w:lineRule="auto"/>
        <w:jc w:val="both"/>
        <w:rPr>
          <w:rFonts w:ascii="Cambria" w:hAnsi="Cambria" w:cs="Times New Roman"/>
          <w:sz w:val="24"/>
          <w:szCs w:val="24"/>
        </w:rPr>
      </w:pPr>
    </w:p>
    <w:p w14:paraId="5353C5D4" w14:textId="29C0A922" w:rsidR="003E532A" w:rsidRDefault="004F3CF5" w:rsidP="004F3CF5">
      <w:pPr>
        <w:spacing w:after="0" w:line="240" w:lineRule="auto"/>
        <w:jc w:val="both"/>
        <w:rPr>
          <w:rFonts w:ascii="Cambria" w:hAnsi="Cambria" w:cs="Times New Roman"/>
          <w:sz w:val="24"/>
          <w:szCs w:val="24"/>
        </w:rPr>
      </w:pPr>
      <w:r w:rsidRPr="004F3CF5">
        <w:rPr>
          <w:rFonts w:ascii="Cambria" w:hAnsi="Cambria" w:cs="Times New Roman"/>
          <w:sz w:val="24"/>
          <w:szCs w:val="24"/>
        </w:rPr>
        <w:t>El seguro Integral de Salud</w:t>
      </w:r>
      <w:r>
        <w:rPr>
          <w:rFonts w:ascii="Cambria" w:hAnsi="Cambria" w:cs="Times New Roman"/>
          <w:sz w:val="24"/>
          <w:szCs w:val="24"/>
        </w:rPr>
        <w:t xml:space="preserve"> - SIS</w:t>
      </w:r>
      <w:r w:rsidRPr="004F3CF5">
        <w:rPr>
          <w:rFonts w:ascii="Cambria" w:hAnsi="Cambria" w:cs="Times New Roman"/>
          <w:sz w:val="24"/>
          <w:szCs w:val="24"/>
        </w:rPr>
        <w:t>, brinda acceso a los servicio</w:t>
      </w:r>
      <w:r w:rsidR="00CA6742">
        <w:rPr>
          <w:rFonts w:ascii="Cambria" w:hAnsi="Cambria" w:cs="Times New Roman"/>
          <w:sz w:val="24"/>
          <w:szCs w:val="24"/>
        </w:rPr>
        <w:t>s de salud</w:t>
      </w:r>
      <w:r>
        <w:rPr>
          <w:rFonts w:ascii="Cambria" w:hAnsi="Cambria" w:cs="Times New Roman"/>
          <w:sz w:val="24"/>
          <w:szCs w:val="24"/>
        </w:rPr>
        <w:t xml:space="preserve"> a los trabajadores m</w:t>
      </w:r>
      <w:r w:rsidRPr="004F3CF5">
        <w:rPr>
          <w:rFonts w:ascii="Cambria" w:hAnsi="Cambria" w:cs="Times New Roman"/>
          <w:sz w:val="24"/>
          <w:szCs w:val="24"/>
        </w:rPr>
        <w:t>igratorios y sus familiares a través de seguro independiente y el seguro subsidiado; este último siempre que reúnan los requisitos de focalización</w:t>
      </w:r>
      <w:r>
        <w:rPr>
          <w:rFonts w:ascii="Cambria" w:hAnsi="Cambria" w:cs="Times New Roman"/>
          <w:sz w:val="24"/>
          <w:szCs w:val="24"/>
        </w:rPr>
        <w:t xml:space="preserve"> socioeconómica (pobreza y extrema pobreza)</w:t>
      </w:r>
      <w:r w:rsidRPr="004F3CF5">
        <w:rPr>
          <w:rFonts w:ascii="Cambria" w:hAnsi="Cambria" w:cs="Times New Roman"/>
          <w:sz w:val="24"/>
          <w:szCs w:val="24"/>
        </w:rPr>
        <w:t xml:space="preserve"> que establece el Seg</w:t>
      </w:r>
      <w:r>
        <w:rPr>
          <w:rFonts w:ascii="Cambria" w:hAnsi="Cambria" w:cs="Times New Roman"/>
          <w:sz w:val="24"/>
          <w:szCs w:val="24"/>
        </w:rPr>
        <w:t>uro Integral de Salud,</w:t>
      </w:r>
      <w:r w:rsidR="00CA6742">
        <w:rPr>
          <w:rFonts w:ascii="Cambria" w:hAnsi="Cambria" w:cs="Times New Roman"/>
          <w:sz w:val="24"/>
          <w:szCs w:val="24"/>
        </w:rPr>
        <w:t xml:space="preserve"> con la presentación del carné</w:t>
      </w:r>
      <w:r w:rsidRPr="004F3CF5">
        <w:rPr>
          <w:rFonts w:ascii="Cambria" w:hAnsi="Cambria" w:cs="Times New Roman"/>
          <w:sz w:val="24"/>
          <w:szCs w:val="24"/>
        </w:rPr>
        <w:t xml:space="preserve"> de extranjería</w:t>
      </w:r>
      <w:r w:rsidR="003E532A">
        <w:rPr>
          <w:rFonts w:ascii="Cambria" w:hAnsi="Cambria" w:cs="Times New Roman"/>
          <w:sz w:val="24"/>
          <w:szCs w:val="24"/>
        </w:rPr>
        <w:t xml:space="preserve"> o pasaporte</w:t>
      </w:r>
      <w:r w:rsidRPr="004F3CF5">
        <w:rPr>
          <w:rFonts w:ascii="Cambria" w:hAnsi="Cambria" w:cs="Times New Roman"/>
          <w:sz w:val="24"/>
          <w:szCs w:val="24"/>
        </w:rPr>
        <w:t xml:space="preserve">. </w:t>
      </w:r>
    </w:p>
    <w:p w14:paraId="5BF0A081" w14:textId="77777777" w:rsidR="003E532A" w:rsidRDefault="003E532A" w:rsidP="004F3CF5">
      <w:pPr>
        <w:spacing w:after="0" w:line="240" w:lineRule="auto"/>
        <w:jc w:val="both"/>
        <w:rPr>
          <w:rFonts w:ascii="Cambria" w:hAnsi="Cambria" w:cs="Times New Roman"/>
          <w:sz w:val="24"/>
          <w:szCs w:val="24"/>
        </w:rPr>
      </w:pPr>
    </w:p>
    <w:p w14:paraId="021F63EC" w14:textId="354FB2D4" w:rsidR="00497196" w:rsidRPr="00497196" w:rsidRDefault="003E532A" w:rsidP="00497196">
      <w:pPr>
        <w:spacing w:after="0" w:line="240" w:lineRule="auto"/>
        <w:jc w:val="both"/>
        <w:rPr>
          <w:rFonts w:ascii="Cambria" w:hAnsi="Cambria" w:cs="Times New Roman"/>
          <w:sz w:val="24"/>
          <w:szCs w:val="24"/>
        </w:rPr>
      </w:pPr>
      <w:r>
        <w:rPr>
          <w:rFonts w:ascii="Cambria" w:hAnsi="Cambria" w:cs="Times New Roman"/>
          <w:sz w:val="24"/>
          <w:szCs w:val="24"/>
        </w:rPr>
        <w:t>Además, e</w:t>
      </w:r>
      <w:r w:rsidR="004F3CF5" w:rsidRPr="004F3CF5">
        <w:rPr>
          <w:rFonts w:ascii="Cambria" w:hAnsi="Cambria" w:cs="Times New Roman"/>
          <w:sz w:val="24"/>
          <w:szCs w:val="24"/>
        </w:rPr>
        <w:t>n cumplimiento de</w:t>
      </w:r>
      <w:r w:rsidR="00497196">
        <w:rPr>
          <w:rFonts w:ascii="Cambria" w:hAnsi="Cambria" w:cs="Times New Roman"/>
          <w:sz w:val="24"/>
          <w:szCs w:val="24"/>
        </w:rPr>
        <w:t>l artículo 3° de</w:t>
      </w:r>
      <w:r w:rsidR="004F3CF5" w:rsidRPr="004F3CF5">
        <w:rPr>
          <w:rFonts w:ascii="Cambria" w:hAnsi="Cambria" w:cs="Times New Roman"/>
          <w:sz w:val="24"/>
          <w:szCs w:val="24"/>
        </w:rPr>
        <w:t xml:space="preserve"> la Ley N° 26842</w:t>
      </w:r>
      <w:r w:rsidR="00497196">
        <w:rPr>
          <w:rFonts w:ascii="Cambria" w:hAnsi="Cambria" w:cs="Times New Roman"/>
          <w:sz w:val="24"/>
          <w:szCs w:val="24"/>
        </w:rPr>
        <w:t xml:space="preserve"> que indica expresamente que todos los e</w:t>
      </w:r>
      <w:r w:rsidR="00497196" w:rsidRPr="00497196">
        <w:rPr>
          <w:rFonts w:ascii="Cambria" w:hAnsi="Cambria" w:cs="Times New Roman"/>
          <w:sz w:val="24"/>
          <w:szCs w:val="24"/>
        </w:rPr>
        <w:t>stablecimientos de salud</w:t>
      </w:r>
      <w:r w:rsidR="00497196">
        <w:rPr>
          <w:rFonts w:ascii="Cambria" w:hAnsi="Cambria" w:cs="Times New Roman"/>
          <w:sz w:val="24"/>
          <w:szCs w:val="24"/>
        </w:rPr>
        <w:t xml:space="preserve"> tienen la obligación de prestar </w:t>
      </w:r>
      <w:r w:rsidR="00497196" w:rsidRPr="00497196">
        <w:rPr>
          <w:rFonts w:ascii="Cambria" w:hAnsi="Cambria" w:cs="Times New Roman"/>
          <w:sz w:val="24"/>
          <w:szCs w:val="24"/>
        </w:rPr>
        <w:t>atención médica en casos de emergencias y partos,</w:t>
      </w:r>
      <w:r w:rsidR="00497196">
        <w:rPr>
          <w:rFonts w:ascii="Cambria" w:hAnsi="Cambria" w:cs="Times New Roman"/>
          <w:sz w:val="24"/>
          <w:szCs w:val="24"/>
        </w:rPr>
        <w:t xml:space="preserve"> en aquellos casos en que está en riesgo l</w:t>
      </w:r>
      <w:r w:rsidR="00CA6742">
        <w:rPr>
          <w:rFonts w:ascii="Cambria" w:hAnsi="Cambria" w:cs="Times New Roman"/>
          <w:sz w:val="24"/>
          <w:szCs w:val="24"/>
        </w:rPr>
        <w:t>a vida y salud. Por lo tanto,</w:t>
      </w:r>
      <w:r w:rsidR="00497196">
        <w:rPr>
          <w:rFonts w:ascii="Cambria" w:hAnsi="Cambria" w:cs="Times New Roman"/>
          <w:sz w:val="24"/>
          <w:szCs w:val="24"/>
        </w:rPr>
        <w:t xml:space="preserve"> los trabajadores migrantes pueden acceder a estos servicios de emergencia</w:t>
      </w:r>
      <w:r w:rsidR="00497196" w:rsidRPr="00497196">
        <w:rPr>
          <w:rFonts w:ascii="Cambria" w:hAnsi="Cambria" w:cs="Times New Roman"/>
          <w:sz w:val="24"/>
          <w:szCs w:val="24"/>
        </w:rPr>
        <w:t xml:space="preserve"> independientemente de su condición migratoria.</w:t>
      </w:r>
    </w:p>
    <w:p w14:paraId="09490B36" w14:textId="77777777" w:rsidR="00497196" w:rsidRPr="00497196" w:rsidRDefault="00497196" w:rsidP="00497196">
      <w:pPr>
        <w:spacing w:after="0" w:line="240" w:lineRule="auto"/>
        <w:jc w:val="both"/>
        <w:rPr>
          <w:rFonts w:ascii="Cambria" w:hAnsi="Cambria" w:cs="Times New Roman"/>
          <w:sz w:val="24"/>
          <w:szCs w:val="24"/>
        </w:rPr>
      </w:pPr>
    </w:p>
    <w:p w14:paraId="0B20651F" w14:textId="47C60AE3" w:rsidR="00497196" w:rsidRDefault="00CA6742" w:rsidP="00497196">
      <w:pPr>
        <w:spacing w:after="0" w:line="240" w:lineRule="auto"/>
        <w:jc w:val="both"/>
        <w:rPr>
          <w:rFonts w:ascii="Cambria" w:hAnsi="Cambria" w:cs="Times New Roman"/>
          <w:sz w:val="24"/>
          <w:szCs w:val="24"/>
        </w:rPr>
      </w:pPr>
      <w:r>
        <w:rPr>
          <w:rFonts w:ascii="Cambria" w:hAnsi="Cambria" w:cs="Times New Roman"/>
          <w:sz w:val="24"/>
          <w:szCs w:val="24"/>
        </w:rPr>
        <w:t>Además, c</w:t>
      </w:r>
      <w:r w:rsidR="00346277">
        <w:rPr>
          <w:rFonts w:ascii="Cambria" w:hAnsi="Cambria" w:cs="Times New Roman"/>
          <w:sz w:val="24"/>
          <w:szCs w:val="24"/>
        </w:rPr>
        <w:t>abe señalar que se realizan f</w:t>
      </w:r>
      <w:r w:rsidR="00497196" w:rsidRPr="00497196">
        <w:rPr>
          <w:rFonts w:ascii="Cambria" w:hAnsi="Cambria" w:cs="Times New Roman"/>
          <w:sz w:val="24"/>
          <w:szCs w:val="24"/>
        </w:rPr>
        <w:t xml:space="preserve">erias informativas, campañas de salud, </w:t>
      </w:r>
      <w:r w:rsidR="00346277">
        <w:rPr>
          <w:rFonts w:ascii="Cambria" w:hAnsi="Cambria" w:cs="Times New Roman"/>
          <w:sz w:val="24"/>
          <w:szCs w:val="24"/>
        </w:rPr>
        <w:t>consejerías, charlas en los establecimientos de salud</w:t>
      </w:r>
      <w:r w:rsidR="00497196" w:rsidRPr="00497196">
        <w:rPr>
          <w:rFonts w:ascii="Cambria" w:hAnsi="Cambria" w:cs="Times New Roman"/>
          <w:sz w:val="24"/>
          <w:szCs w:val="24"/>
        </w:rPr>
        <w:t>,</w:t>
      </w:r>
      <w:r w:rsidR="00346277">
        <w:rPr>
          <w:rFonts w:ascii="Cambria" w:hAnsi="Cambria" w:cs="Times New Roman"/>
          <w:sz w:val="24"/>
          <w:szCs w:val="24"/>
        </w:rPr>
        <w:t xml:space="preserve"> difusión en redes sociales, con el fin de informar a las nacionales y extranjeros que residen o transitan por el territorio nacional.</w:t>
      </w:r>
      <w:r w:rsidR="00497196">
        <w:rPr>
          <w:rFonts w:ascii="Cambria" w:hAnsi="Cambria" w:cs="Times New Roman"/>
          <w:sz w:val="24"/>
          <w:szCs w:val="24"/>
        </w:rPr>
        <w:t xml:space="preserve"> </w:t>
      </w:r>
    </w:p>
    <w:p w14:paraId="4C386314" w14:textId="77777777" w:rsidR="00346277" w:rsidRDefault="00346277" w:rsidP="00497196">
      <w:pPr>
        <w:spacing w:after="0" w:line="240" w:lineRule="auto"/>
        <w:jc w:val="both"/>
        <w:rPr>
          <w:rFonts w:ascii="Cambria" w:hAnsi="Cambria" w:cs="Times New Roman"/>
          <w:sz w:val="24"/>
          <w:szCs w:val="24"/>
        </w:rPr>
      </w:pPr>
    </w:p>
    <w:p w14:paraId="2A3DE383" w14:textId="1C9921B2" w:rsidR="00346277" w:rsidRPr="00346277" w:rsidRDefault="00346277" w:rsidP="000F156E">
      <w:pPr>
        <w:pStyle w:val="ListParagraph"/>
        <w:numPr>
          <w:ilvl w:val="0"/>
          <w:numId w:val="4"/>
        </w:numPr>
        <w:spacing w:after="0" w:line="240" w:lineRule="auto"/>
        <w:jc w:val="both"/>
        <w:rPr>
          <w:rFonts w:ascii="Cambria" w:hAnsi="Cambria" w:cs="Times New Roman"/>
          <w:b/>
          <w:sz w:val="24"/>
          <w:szCs w:val="24"/>
        </w:rPr>
      </w:pPr>
      <w:r w:rsidRPr="00346277">
        <w:rPr>
          <w:rFonts w:ascii="Cambria" w:hAnsi="Cambria" w:cs="Times New Roman"/>
          <w:b/>
          <w:sz w:val="24"/>
          <w:szCs w:val="24"/>
        </w:rPr>
        <w:t>Acciones estatales para prevenir y sancionar la trata de personas:</w:t>
      </w:r>
    </w:p>
    <w:p w14:paraId="040DDA47" w14:textId="77777777" w:rsidR="00497196" w:rsidRDefault="00497196" w:rsidP="00497196">
      <w:pPr>
        <w:spacing w:after="0" w:line="240" w:lineRule="auto"/>
        <w:jc w:val="both"/>
        <w:rPr>
          <w:rFonts w:ascii="Cambria" w:hAnsi="Cambria" w:cs="Times New Roman"/>
          <w:sz w:val="24"/>
          <w:szCs w:val="24"/>
        </w:rPr>
      </w:pPr>
    </w:p>
    <w:p w14:paraId="227B8BAB" w14:textId="1EEDD6C8" w:rsidR="00497196" w:rsidRDefault="009D5091" w:rsidP="00497196">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MX"/>
        </w:rPr>
        <w:t>La implementación del Plan Nacional de Acción contra la Trata de Personas 2011-2016</w:t>
      </w:r>
      <w:r w:rsidR="001B4688">
        <w:rPr>
          <w:rFonts w:ascii="Cambria" w:hAnsi="Cambria" w:cs="Times New Roman"/>
          <w:sz w:val="24"/>
          <w:szCs w:val="24"/>
          <w:lang w:val="es-MX"/>
        </w:rPr>
        <w:t xml:space="preserve"> (PNAT)</w:t>
      </w:r>
      <w:r w:rsidRPr="009D5091">
        <w:rPr>
          <w:rFonts w:ascii="Cambria" w:hAnsi="Cambria" w:cs="Times New Roman"/>
          <w:sz w:val="24"/>
          <w:szCs w:val="24"/>
          <w:lang w:val="es-MX"/>
        </w:rPr>
        <w:t xml:space="preserve">, se ha desarrollado bajo una estrategia multisectorial y descentralizada. A través del trabajo conjunto de las instituciones que conforman </w:t>
      </w:r>
      <w:r w:rsidRPr="009D5091">
        <w:rPr>
          <w:rFonts w:ascii="Cambria" w:hAnsi="Cambria" w:cs="Times New Roman"/>
          <w:sz w:val="24"/>
          <w:szCs w:val="24"/>
          <w:lang w:val="es-MX"/>
        </w:rPr>
        <w:lastRenderedPageBreak/>
        <w:t>el Grupo de Trabajo Multisectorial Permanente contra la Trata de Personas, así como de la Secretaria Técnica, a cargo del Ministerio del Interior, se ha logrado implementar 23 redes, mesas y comisiones regionales.</w:t>
      </w:r>
    </w:p>
    <w:p w14:paraId="0C7A6FC1" w14:textId="77777777" w:rsidR="009D5091" w:rsidRPr="009D5091" w:rsidRDefault="009D5091" w:rsidP="009D5091">
      <w:pPr>
        <w:spacing w:after="0" w:line="240" w:lineRule="auto"/>
        <w:jc w:val="both"/>
        <w:rPr>
          <w:rFonts w:ascii="Cambria" w:hAnsi="Cambria" w:cs="Times New Roman"/>
          <w:sz w:val="24"/>
          <w:szCs w:val="24"/>
          <w:lang w:val="es-MX"/>
        </w:rPr>
      </w:pPr>
    </w:p>
    <w:p w14:paraId="501E0911" w14:textId="21A4CCC2" w:rsidR="009D5091" w:rsidRPr="009D5091" w:rsidRDefault="00862735" w:rsidP="009D5091">
      <w:pPr>
        <w:spacing w:after="0" w:line="240" w:lineRule="auto"/>
        <w:jc w:val="both"/>
        <w:rPr>
          <w:rFonts w:ascii="Cambria" w:hAnsi="Cambria" w:cs="Times New Roman"/>
          <w:sz w:val="24"/>
          <w:szCs w:val="24"/>
          <w:lang w:val="es-MX"/>
        </w:rPr>
      </w:pPr>
      <w:r>
        <w:rPr>
          <w:rFonts w:ascii="Cambria" w:hAnsi="Cambria" w:cs="Times New Roman"/>
          <w:sz w:val="24"/>
          <w:szCs w:val="24"/>
          <w:lang w:val="es-MX"/>
        </w:rPr>
        <w:t>El Ministerio del Interior</w:t>
      </w:r>
      <w:r w:rsidR="009D5091" w:rsidRPr="009D5091">
        <w:rPr>
          <w:rFonts w:ascii="Cambria" w:hAnsi="Cambria" w:cs="Times New Roman"/>
          <w:sz w:val="24"/>
          <w:szCs w:val="24"/>
          <w:lang w:val="es-MX"/>
        </w:rPr>
        <w:t xml:space="preserve"> en el marco del cumplimiento de los objetivos estratégicos del PNAT 2011-2016, ha fortalecido la Línea gratuita contra la Trata de Personas, facilitando su acceso a la comunidad en general a través de un </w:t>
      </w:r>
      <w:r>
        <w:rPr>
          <w:rFonts w:ascii="Cambria" w:hAnsi="Cambria" w:cs="Times New Roman"/>
          <w:sz w:val="24"/>
          <w:szCs w:val="24"/>
          <w:lang w:val="es-MX"/>
        </w:rPr>
        <w:t>número corto, de cuatro dígitos</w:t>
      </w:r>
      <w:r w:rsidR="009D5091" w:rsidRPr="009D5091">
        <w:rPr>
          <w:rFonts w:ascii="Cambria" w:hAnsi="Cambria" w:cs="Times New Roman"/>
          <w:sz w:val="24"/>
          <w:szCs w:val="24"/>
          <w:lang w:val="es-MX"/>
        </w:rPr>
        <w:t xml:space="preserve"> que permite recordarlo fácilmente. En la actualidad, la Línea gratuita contra la Trata de Personas, Línea 1818 Opción 1 (antes 0800-2-3232), se ha puesto a disposición de la ciudadanía las 24 horas del día, todos los días del año.</w:t>
      </w:r>
    </w:p>
    <w:p w14:paraId="2B4EB5BB" w14:textId="77777777" w:rsidR="009D5091" w:rsidRPr="009D5091" w:rsidRDefault="009D5091" w:rsidP="009D5091">
      <w:pPr>
        <w:spacing w:after="0" w:line="240" w:lineRule="auto"/>
        <w:jc w:val="both"/>
        <w:rPr>
          <w:rFonts w:ascii="Cambria" w:hAnsi="Cambria" w:cs="Times New Roman"/>
          <w:sz w:val="24"/>
          <w:szCs w:val="24"/>
          <w:lang w:val="es-MX"/>
        </w:rPr>
      </w:pPr>
    </w:p>
    <w:p w14:paraId="059E97A3" w14:textId="79E06E2A" w:rsidR="009D5091" w:rsidRPr="009D5091" w:rsidRDefault="00862735" w:rsidP="009D5091">
      <w:pPr>
        <w:spacing w:after="0" w:line="240" w:lineRule="auto"/>
        <w:jc w:val="both"/>
        <w:rPr>
          <w:rFonts w:ascii="Cambria" w:hAnsi="Cambria" w:cs="Times New Roman"/>
          <w:sz w:val="24"/>
          <w:szCs w:val="24"/>
          <w:lang w:val="es-MX"/>
        </w:rPr>
      </w:pPr>
      <w:r>
        <w:rPr>
          <w:rFonts w:ascii="Cambria" w:hAnsi="Cambria" w:cs="Times New Roman"/>
          <w:sz w:val="24"/>
          <w:szCs w:val="24"/>
          <w:lang w:val="es-MX"/>
        </w:rPr>
        <w:t>El Estado peruano cuenta</w:t>
      </w:r>
      <w:r w:rsidR="009D5091" w:rsidRPr="009D5091">
        <w:rPr>
          <w:rFonts w:ascii="Cambria" w:hAnsi="Cambria" w:cs="Times New Roman"/>
          <w:sz w:val="24"/>
          <w:szCs w:val="24"/>
          <w:lang w:val="es-MX"/>
        </w:rPr>
        <w:t xml:space="preserve"> con instrumentos claves de registro de casos que permiten orientar las acciones de prevención; a saber, el Sistema de Registro y Estadística del delito de Trata de Personas y Afines – RETA </w:t>
      </w:r>
      <w:r w:rsidR="001B4688">
        <w:rPr>
          <w:rFonts w:ascii="Cambria" w:hAnsi="Cambria" w:cs="Times New Roman"/>
          <w:sz w:val="24"/>
          <w:szCs w:val="24"/>
          <w:lang w:val="es-MX"/>
        </w:rPr>
        <w:t xml:space="preserve">de la </w:t>
      </w:r>
      <w:r w:rsidR="009D5091" w:rsidRPr="009D5091">
        <w:rPr>
          <w:rFonts w:ascii="Cambria" w:hAnsi="Cambria" w:cs="Times New Roman"/>
          <w:sz w:val="24"/>
          <w:szCs w:val="24"/>
          <w:lang w:val="es-MX"/>
        </w:rPr>
        <w:t>P</w:t>
      </w:r>
      <w:r w:rsidR="001B4688">
        <w:rPr>
          <w:rFonts w:ascii="Cambria" w:hAnsi="Cambria" w:cs="Times New Roman"/>
          <w:sz w:val="24"/>
          <w:szCs w:val="24"/>
          <w:lang w:val="es-MX"/>
        </w:rPr>
        <w:t xml:space="preserve">olicía </w:t>
      </w:r>
      <w:r w:rsidR="009D5091" w:rsidRPr="009D5091">
        <w:rPr>
          <w:rFonts w:ascii="Cambria" w:hAnsi="Cambria" w:cs="Times New Roman"/>
          <w:sz w:val="24"/>
          <w:szCs w:val="24"/>
          <w:lang w:val="es-MX"/>
        </w:rPr>
        <w:t>N</w:t>
      </w:r>
      <w:r w:rsidR="001B4688">
        <w:rPr>
          <w:rFonts w:ascii="Cambria" w:hAnsi="Cambria" w:cs="Times New Roman"/>
          <w:sz w:val="24"/>
          <w:szCs w:val="24"/>
          <w:lang w:val="es-MX"/>
        </w:rPr>
        <w:t xml:space="preserve">acional del </w:t>
      </w:r>
      <w:r w:rsidR="009D5091" w:rsidRPr="009D5091">
        <w:rPr>
          <w:rFonts w:ascii="Cambria" w:hAnsi="Cambria" w:cs="Times New Roman"/>
          <w:sz w:val="24"/>
          <w:szCs w:val="24"/>
          <w:lang w:val="es-MX"/>
        </w:rPr>
        <w:t>P</w:t>
      </w:r>
      <w:r w:rsidR="001B4688">
        <w:rPr>
          <w:rFonts w:ascii="Cambria" w:hAnsi="Cambria" w:cs="Times New Roman"/>
          <w:sz w:val="24"/>
          <w:szCs w:val="24"/>
          <w:lang w:val="es-MX"/>
        </w:rPr>
        <w:t>erú</w:t>
      </w:r>
      <w:r w:rsidR="009D5091" w:rsidRPr="009D5091">
        <w:rPr>
          <w:rFonts w:ascii="Cambria" w:hAnsi="Cambria" w:cs="Times New Roman"/>
          <w:sz w:val="24"/>
          <w:szCs w:val="24"/>
          <w:lang w:val="es-MX"/>
        </w:rPr>
        <w:t xml:space="preserve"> y el Sistema Estratégico sobre Trata de Personas – SISTRA del Ministerio Público</w:t>
      </w:r>
      <w:r w:rsidR="001B4688">
        <w:rPr>
          <w:rFonts w:ascii="Cambria" w:hAnsi="Cambria" w:cs="Times New Roman"/>
          <w:sz w:val="24"/>
          <w:szCs w:val="24"/>
          <w:lang w:val="es-MX"/>
        </w:rPr>
        <w:t>- Fiscalía de la Nación</w:t>
      </w:r>
      <w:r w:rsidR="009D5091" w:rsidRPr="009D5091">
        <w:rPr>
          <w:rFonts w:ascii="Cambria" w:hAnsi="Cambria" w:cs="Times New Roman"/>
          <w:sz w:val="24"/>
          <w:szCs w:val="24"/>
          <w:lang w:val="es-MX"/>
        </w:rPr>
        <w:t>. El Inst</w:t>
      </w:r>
      <w:r w:rsidR="001B4688">
        <w:rPr>
          <w:rFonts w:ascii="Cambria" w:hAnsi="Cambria" w:cs="Times New Roman"/>
          <w:sz w:val="24"/>
          <w:szCs w:val="24"/>
          <w:lang w:val="es-MX"/>
        </w:rPr>
        <w:t>ituto Nacional de Estadística (</w:t>
      </w:r>
      <w:r w:rsidR="009D5091" w:rsidRPr="009D5091">
        <w:rPr>
          <w:rFonts w:ascii="Cambria" w:hAnsi="Cambria" w:cs="Times New Roman"/>
          <w:sz w:val="24"/>
          <w:szCs w:val="24"/>
          <w:lang w:val="es-MX"/>
        </w:rPr>
        <w:t>INEI</w:t>
      </w:r>
      <w:r w:rsidR="001B4688">
        <w:rPr>
          <w:rFonts w:ascii="Cambria" w:hAnsi="Cambria" w:cs="Times New Roman"/>
          <w:sz w:val="24"/>
          <w:szCs w:val="24"/>
          <w:lang w:val="es-MX"/>
        </w:rPr>
        <w:t>)</w:t>
      </w:r>
      <w:r w:rsidR="009D5091" w:rsidRPr="009D5091">
        <w:rPr>
          <w:rFonts w:ascii="Cambria" w:hAnsi="Cambria" w:cs="Times New Roman"/>
          <w:sz w:val="24"/>
          <w:szCs w:val="24"/>
          <w:lang w:val="es-MX"/>
        </w:rPr>
        <w:t>, en  su calidad de responsable del Sistema Estadístico Nacional, procesa trimestralmente información sobre el número de casos registrados en estos sistemas, consolidándolo en su página web institucional en el acápite referido a Seguridad Ciudadana. Asimismo, la lucha contra la trata se nutre también de las investigaciones y aportes  de la sociedad civil.</w:t>
      </w:r>
    </w:p>
    <w:p w14:paraId="302BED61" w14:textId="77777777" w:rsidR="009D5091" w:rsidRPr="009D5091" w:rsidRDefault="009D5091" w:rsidP="009D5091">
      <w:pPr>
        <w:spacing w:after="0" w:line="240" w:lineRule="auto"/>
        <w:jc w:val="both"/>
        <w:rPr>
          <w:rFonts w:ascii="Cambria" w:hAnsi="Cambria" w:cs="Times New Roman"/>
          <w:sz w:val="24"/>
          <w:szCs w:val="24"/>
          <w:lang w:val="es-MX"/>
        </w:rPr>
      </w:pPr>
    </w:p>
    <w:p w14:paraId="203E7FAD" w14:textId="77777777" w:rsidR="009D5091" w:rsidRPr="009D5091"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MX"/>
        </w:rPr>
        <w:t>Una vez incorporados los temas en los sectores, se han desarrollado acciones diversas para implementar el Eje de Prevención en el marco del Plan Nacional Contra la Trata de Personas durante el periodo 2014-2015. Las acciones de prevención fueron enfocadas en cuatro niveles:</w:t>
      </w:r>
    </w:p>
    <w:p w14:paraId="18B4D6BC" w14:textId="77777777" w:rsidR="009D5091" w:rsidRPr="009D5091" w:rsidRDefault="009D5091" w:rsidP="009D5091">
      <w:pPr>
        <w:spacing w:after="0" w:line="240" w:lineRule="auto"/>
        <w:jc w:val="both"/>
        <w:rPr>
          <w:rFonts w:ascii="Cambria" w:hAnsi="Cambria" w:cs="Times New Roman"/>
          <w:sz w:val="24"/>
          <w:szCs w:val="24"/>
          <w:lang w:val="es-MX"/>
        </w:rPr>
      </w:pPr>
    </w:p>
    <w:p w14:paraId="6C9E9754" w14:textId="6D6ADF70" w:rsidR="009D5091" w:rsidRPr="009D5091" w:rsidRDefault="00B33822" w:rsidP="000F156E">
      <w:pPr>
        <w:numPr>
          <w:ilvl w:val="0"/>
          <w:numId w:val="5"/>
        </w:numPr>
        <w:spacing w:after="0" w:line="240" w:lineRule="auto"/>
        <w:jc w:val="both"/>
        <w:rPr>
          <w:rFonts w:ascii="Cambria" w:hAnsi="Cambria" w:cs="Times New Roman"/>
          <w:b/>
          <w:sz w:val="24"/>
          <w:szCs w:val="24"/>
          <w:lang w:val="es-MX"/>
        </w:rPr>
      </w:pPr>
      <w:r>
        <w:rPr>
          <w:rFonts w:ascii="Cambria" w:hAnsi="Cambria" w:cs="Times New Roman"/>
          <w:b/>
          <w:sz w:val="24"/>
          <w:szCs w:val="24"/>
          <w:lang w:val="es-MX"/>
        </w:rPr>
        <w:t>Eje de Prevención:</w:t>
      </w:r>
    </w:p>
    <w:p w14:paraId="7C0807D5" w14:textId="77777777" w:rsidR="001B4688" w:rsidRDefault="001B4688" w:rsidP="009D5091">
      <w:pPr>
        <w:spacing w:after="0" w:line="240" w:lineRule="auto"/>
        <w:jc w:val="both"/>
        <w:rPr>
          <w:rFonts w:ascii="Cambria" w:hAnsi="Cambria" w:cs="Times New Roman"/>
          <w:sz w:val="24"/>
          <w:szCs w:val="24"/>
          <w:lang w:val="es-MX"/>
        </w:rPr>
      </w:pPr>
    </w:p>
    <w:p w14:paraId="1B2051BA" w14:textId="603A9421" w:rsidR="009D5091" w:rsidRPr="009D5091" w:rsidRDefault="001B4688" w:rsidP="009D5091">
      <w:pPr>
        <w:spacing w:after="0" w:line="240" w:lineRule="auto"/>
        <w:jc w:val="both"/>
        <w:rPr>
          <w:rFonts w:ascii="Cambria" w:hAnsi="Cambria" w:cs="Times New Roman"/>
          <w:sz w:val="24"/>
          <w:szCs w:val="24"/>
          <w:lang w:val="es-MX"/>
        </w:rPr>
      </w:pPr>
      <w:r>
        <w:rPr>
          <w:rFonts w:ascii="Cambria" w:hAnsi="Cambria" w:cs="Times New Roman"/>
          <w:sz w:val="24"/>
          <w:szCs w:val="24"/>
          <w:lang w:val="es-MX"/>
        </w:rPr>
        <w:t>Se cuenta</w:t>
      </w:r>
      <w:r w:rsidR="009D5091" w:rsidRPr="009D5091">
        <w:rPr>
          <w:rFonts w:ascii="Cambria" w:hAnsi="Cambria" w:cs="Times New Roman"/>
          <w:sz w:val="24"/>
          <w:szCs w:val="24"/>
          <w:lang w:val="es-MX"/>
        </w:rPr>
        <w:t xml:space="preserve"> con los sistemas de registro e información de la Policía Nacional del Perú y del Ministerio Publico, el Registro de Estadísticas del Delito de Trata de Personas y Afines (RETA)</w:t>
      </w:r>
      <w:r>
        <w:rPr>
          <w:rStyle w:val="FootnoteReference"/>
          <w:rFonts w:ascii="Cambria" w:hAnsi="Cambria" w:cs="Times New Roman"/>
          <w:sz w:val="24"/>
          <w:szCs w:val="24"/>
          <w:lang w:val="es-MX"/>
        </w:rPr>
        <w:footnoteReference w:id="1"/>
      </w:r>
      <w:r w:rsidR="009D5091" w:rsidRPr="009D5091">
        <w:rPr>
          <w:rFonts w:ascii="Cambria" w:hAnsi="Cambria" w:cs="Times New Roman"/>
          <w:sz w:val="24"/>
          <w:szCs w:val="24"/>
          <w:lang w:val="es-MX"/>
        </w:rPr>
        <w:t xml:space="preserve"> y el Sistema Estratégico sobre Trata de Personas (SISTRA)</w:t>
      </w:r>
      <w:r>
        <w:rPr>
          <w:rStyle w:val="FootnoteReference"/>
          <w:rFonts w:ascii="Cambria" w:hAnsi="Cambria" w:cs="Times New Roman"/>
          <w:sz w:val="24"/>
          <w:szCs w:val="24"/>
          <w:lang w:val="es-MX"/>
        </w:rPr>
        <w:footnoteReference w:id="2"/>
      </w:r>
      <w:r w:rsidR="009D5091" w:rsidRPr="009D5091">
        <w:rPr>
          <w:rFonts w:ascii="Cambria" w:hAnsi="Cambria" w:cs="Times New Roman"/>
          <w:sz w:val="24"/>
          <w:szCs w:val="24"/>
          <w:lang w:val="es-MX"/>
        </w:rPr>
        <w:t xml:space="preserve">, respectivamente. Estos aplicativos generan información sobre el perfil de las víctimas, victimarios, dinámicas del delito, rutas, entre otras y permitirán diseñar </w:t>
      </w:r>
      <w:r w:rsidR="009D5091" w:rsidRPr="009D5091">
        <w:rPr>
          <w:rFonts w:ascii="Cambria" w:hAnsi="Cambria" w:cs="Times New Roman"/>
          <w:sz w:val="24"/>
          <w:szCs w:val="24"/>
          <w:lang w:val="es-MX"/>
        </w:rPr>
        <w:lastRenderedPageBreak/>
        <w:t>políticas en el ámbito de la prevención, protección de víctimas y persecución del delito.</w:t>
      </w:r>
    </w:p>
    <w:p w14:paraId="41EC08BD" w14:textId="77777777" w:rsidR="009D5091" w:rsidRPr="009D5091" w:rsidRDefault="009D5091" w:rsidP="009D5091">
      <w:pPr>
        <w:spacing w:after="0" w:line="240" w:lineRule="auto"/>
        <w:jc w:val="both"/>
        <w:rPr>
          <w:rFonts w:ascii="Cambria" w:hAnsi="Cambria" w:cs="Times New Roman"/>
          <w:sz w:val="24"/>
          <w:szCs w:val="24"/>
          <w:lang w:val="es-MX"/>
        </w:rPr>
      </w:pPr>
    </w:p>
    <w:p w14:paraId="032CFA11" w14:textId="46F54BCF" w:rsidR="001B4688" w:rsidRPr="00A7742A"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MX"/>
        </w:rPr>
        <w:t>En marco del Convenio de Cooperación Interinstitucional entre el Ministerio del Interior y Ministerio Público se realizará la interconexión entre el SISTRA y el Sistema RETA, para contar con un código único de casos de trata de personas, desde la investigación (incluyendo las medidas de protección dictadas a favor de las víctimas y testigos), hasta su judicialización. Esto permitirá fortalecer la estrategia de lucha frontal contra este delito.</w:t>
      </w:r>
    </w:p>
    <w:p w14:paraId="3FE46268" w14:textId="77777777" w:rsidR="009D5091" w:rsidRPr="009D5091" w:rsidRDefault="009D5091" w:rsidP="009D5091">
      <w:pPr>
        <w:spacing w:after="0" w:line="240" w:lineRule="auto"/>
        <w:jc w:val="both"/>
        <w:rPr>
          <w:rFonts w:ascii="Cambria" w:hAnsi="Cambria" w:cs="Times New Roman"/>
          <w:sz w:val="24"/>
          <w:szCs w:val="24"/>
          <w:lang w:val="es-MX"/>
        </w:rPr>
      </w:pPr>
    </w:p>
    <w:p w14:paraId="37A00D71" w14:textId="3C8F8D09" w:rsidR="009D5091" w:rsidRPr="009D5091" w:rsidRDefault="00B33822" w:rsidP="000F156E">
      <w:pPr>
        <w:numPr>
          <w:ilvl w:val="0"/>
          <w:numId w:val="5"/>
        </w:numPr>
        <w:spacing w:after="0" w:line="240" w:lineRule="auto"/>
        <w:jc w:val="both"/>
        <w:rPr>
          <w:rFonts w:ascii="Cambria" w:hAnsi="Cambria" w:cs="Times New Roman"/>
          <w:sz w:val="24"/>
          <w:szCs w:val="24"/>
          <w:lang w:val="es-MX"/>
        </w:rPr>
      </w:pPr>
      <w:r>
        <w:rPr>
          <w:rFonts w:ascii="Cambria" w:hAnsi="Cambria" w:cs="Times New Roman"/>
          <w:b/>
          <w:sz w:val="24"/>
          <w:szCs w:val="24"/>
          <w:lang w:val="es-MX"/>
        </w:rPr>
        <w:t xml:space="preserve">Eje de Persecución </w:t>
      </w:r>
    </w:p>
    <w:p w14:paraId="09D329C0" w14:textId="77777777" w:rsidR="00E1146F" w:rsidRDefault="00E1146F" w:rsidP="009D5091">
      <w:pPr>
        <w:spacing w:after="0" w:line="240" w:lineRule="auto"/>
        <w:jc w:val="both"/>
        <w:rPr>
          <w:rFonts w:ascii="Cambria" w:hAnsi="Cambria" w:cs="Times New Roman"/>
          <w:sz w:val="24"/>
          <w:szCs w:val="24"/>
        </w:rPr>
      </w:pPr>
    </w:p>
    <w:p w14:paraId="123083D7" w14:textId="43A6527E" w:rsidR="009D5091" w:rsidRPr="009D5091"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rPr>
        <w:t>Durante el año 2</w:t>
      </w:r>
      <w:r w:rsidR="00862735">
        <w:rPr>
          <w:rFonts w:ascii="Cambria" w:hAnsi="Cambria" w:cs="Times New Roman"/>
          <w:sz w:val="24"/>
          <w:szCs w:val="24"/>
        </w:rPr>
        <w:t>014, el Ministerio del Interior</w:t>
      </w:r>
      <w:r w:rsidRPr="009D5091">
        <w:rPr>
          <w:rFonts w:ascii="Cambria" w:hAnsi="Cambria" w:cs="Times New Roman"/>
          <w:sz w:val="24"/>
          <w:szCs w:val="24"/>
        </w:rPr>
        <w:t xml:space="preserve"> </w:t>
      </w:r>
      <w:r w:rsidRPr="009D5091">
        <w:rPr>
          <w:rFonts w:ascii="Cambria" w:hAnsi="Cambria" w:cs="Times New Roman"/>
          <w:sz w:val="24"/>
          <w:szCs w:val="24"/>
          <w:lang w:val="es-MX"/>
        </w:rPr>
        <w:t>aprobó el Plan Comunicacional del Plan Nacional de Acción contra la Trata de Personas 2011-2016, el cual tiene como objetivo coordinar y concertar acciones preventiv</w:t>
      </w:r>
      <w:r w:rsidR="00E1146F">
        <w:rPr>
          <w:rFonts w:ascii="Cambria" w:hAnsi="Cambria" w:cs="Times New Roman"/>
          <w:sz w:val="24"/>
          <w:szCs w:val="24"/>
          <w:lang w:val="es-MX"/>
        </w:rPr>
        <w:t xml:space="preserve">as para informar y educar sobre </w:t>
      </w:r>
      <w:r w:rsidRPr="009D5091">
        <w:rPr>
          <w:rFonts w:ascii="Cambria" w:hAnsi="Cambria" w:cs="Times New Roman"/>
          <w:sz w:val="24"/>
          <w:szCs w:val="24"/>
          <w:lang w:val="es-MX"/>
        </w:rPr>
        <w:t>la trata de personas a través de acciones comunicaciona</w:t>
      </w:r>
      <w:r w:rsidR="00E1146F">
        <w:rPr>
          <w:rFonts w:ascii="Cambria" w:hAnsi="Cambria" w:cs="Times New Roman"/>
          <w:sz w:val="24"/>
          <w:szCs w:val="24"/>
          <w:lang w:val="es-MX"/>
        </w:rPr>
        <w:t xml:space="preserve">les desarrolladas por los </w:t>
      </w:r>
      <w:r w:rsidRPr="009D5091">
        <w:rPr>
          <w:rFonts w:ascii="Cambria" w:hAnsi="Cambria" w:cs="Times New Roman"/>
          <w:sz w:val="24"/>
          <w:szCs w:val="24"/>
          <w:lang w:val="es-MX"/>
        </w:rPr>
        <w:t xml:space="preserve">integrantes del citado Grupo de Trabajo Multisectorial Permanente contra la Trata de Personas. Además, </w:t>
      </w:r>
      <w:r w:rsidR="00E1146F">
        <w:rPr>
          <w:rFonts w:ascii="Cambria" w:hAnsi="Cambria" w:cs="Times New Roman"/>
          <w:sz w:val="24"/>
          <w:szCs w:val="24"/>
          <w:lang w:val="es-MX"/>
        </w:rPr>
        <w:t xml:space="preserve">se </w:t>
      </w:r>
      <w:r w:rsidRPr="009D5091">
        <w:rPr>
          <w:rFonts w:ascii="Cambria" w:hAnsi="Cambria" w:cs="Times New Roman"/>
          <w:sz w:val="24"/>
          <w:szCs w:val="24"/>
          <w:lang w:val="es-MX"/>
        </w:rPr>
        <w:t>aprobó una Guía para el adecuado tratamiento de la información de este delito por parte de periodistas y comunicadores de medios de comunicación.</w:t>
      </w:r>
    </w:p>
    <w:p w14:paraId="6A3E9623" w14:textId="77777777" w:rsidR="009D5091" w:rsidRPr="009D5091" w:rsidRDefault="009D5091" w:rsidP="009D5091">
      <w:pPr>
        <w:spacing w:after="0" w:line="240" w:lineRule="auto"/>
        <w:jc w:val="both"/>
        <w:rPr>
          <w:rFonts w:ascii="Cambria" w:hAnsi="Cambria" w:cs="Times New Roman"/>
          <w:sz w:val="24"/>
          <w:szCs w:val="24"/>
          <w:lang w:val="es-MX"/>
        </w:rPr>
      </w:pPr>
    </w:p>
    <w:p w14:paraId="7E129E0B" w14:textId="19F6FD6F" w:rsidR="009D5091" w:rsidRPr="009D5091" w:rsidRDefault="00862735" w:rsidP="009D5091">
      <w:pPr>
        <w:spacing w:after="0" w:line="240" w:lineRule="auto"/>
        <w:jc w:val="both"/>
        <w:rPr>
          <w:rFonts w:ascii="Cambria" w:hAnsi="Cambria" w:cs="Times New Roman"/>
          <w:sz w:val="24"/>
          <w:szCs w:val="24"/>
        </w:rPr>
      </w:pPr>
      <w:r>
        <w:rPr>
          <w:rFonts w:ascii="Cambria" w:hAnsi="Cambria" w:cs="Times New Roman"/>
          <w:sz w:val="24"/>
          <w:szCs w:val="24"/>
        </w:rPr>
        <w:t xml:space="preserve">Además, </w:t>
      </w:r>
      <w:r w:rsidR="009D5091" w:rsidRPr="009D5091">
        <w:rPr>
          <w:rFonts w:ascii="Cambria" w:hAnsi="Cambria" w:cs="Times New Roman"/>
          <w:sz w:val="24"/>
          <w:szCs w:val="24"/>
        </w:rPr>
        <w:t xml:space="preserve">el </w:t>
      </w:r>
      <w:r>
        <w:rPr>
          <w:rFonts w:ascii="Cambria" w:hAnsi="Cambria" w:cs="Times New Roman"/>
          <w:sz w:val="24"/>
          <w:szCs w:val="24"/>
        </w:rPr>
        <w:t xml:space="preserve">país </w:t>
      </w:r>
      <w:r w:rsidR="009D5091" w:rsidRPr="009D5091">
        <w:rPr>
          <w:rFonts w:ascii="Cambria" w:hAnsi="Cambria" w:cs="Times New Roman"/>
          <w:sz w:val="24"/>
          <w:szCs w:val="24"/>
        </w:rPr>
        <w:t xml:space="preserve">se ha adherido a la campaña internacional “Corazón Azul Perú contra la Trata de Personas”, la cual busca despertar el interés y sensibilidad de la población a nivel nacional sobre la problemática de la trata de personas por medio de su participación activa. La campaña incluyó dentro de </w:t>
      </w:r>
      <w:r>
        <w:rPr>
          <w:rFonts w:ascii="Cambria" w:hAnsi="Cambria" w:cs="Times New Roman"/>
          <w:sz w:val="24"/>
          <w:szCs w:val="24"/>
        </w:rPr>
        <w:t>sus actividades más importantes</w:t>
      </w:r>
      <w:r w:rsidR="009D5091" w:rsidRPr="009D5091">
        <w:rPr>
          <w:rFonts w:ascii="Cambria" w:hAnsi="Cambria" w:cs="Times New Roman"/>
          <w:sz w:val="24"/>
          <w:szCs w:val="24"/>
        </w:rPr>
        <w:t xml:space="preserve"> la conferencia de prensa de</w:t>
      </w:r>
      <w:r w:rsidR="00830499">
        <w:rPr>
          <w:rFonts w:ascii="Cambria" w:hAnsi="Cambria" w:cs="Times New Roman"/>
          <w:sz w:val="24"/>
          <w:szCs w:val="24"/>
        </w:rPr>
        <w:t>l</w:t>
      </w:r>
      <w:r w:rsidR="009D5091" w:rsidRPr="009D5091">
        <w:rPr>
          <w:rFonts w:ascii="Cambria" w:hAnsi="Cambria" w:cs="Times New Roman"/>
          <w:sz w:val="24"/>
          <w:szCs w:val="24"/>
        </w:rPr>
        <w:t xml:space="preserve"> lanzamiento de campaña, la feria informativa multisectorial, la participación en la maratón RPP, la difusión a través de diversos medios masivos de publicidad, etc. En el año 2015, se desarrolló una nueva edición de la campaña, iniciando con la conferencia de prensa de lanzamiento, que precede las actividades programadas a lo largo del mes de se</w:t>
      </w:r>
      <w:r w:rsidR="00E1146F">
        <w:rPr>
          <w:rFonts w:ascii="Cambria" w:hAnsi="Cambria" w:cs="Times New Roman"/>
          <w:sz w:val="24"/>
          <w:szCs w:val="24"/>
        </w:rPr>
        <w:t>p</w:t>
      </w:r>
      <w:r w:rsidR="009D5091" w:rsidRPr="009D5091">
        <w:rPr>
          <w:rFonts w:ascii="Cambria" w:hAnsi="Cambria" w:cs="Times New Roman"/>
          <w:sz w:val="24"/>
          <w:szCs w:val="24"/>
        </w:rPr>
        <w:t>tiembre, mes contra la trata de personas.</w:t>
      </w:r>
    </w:p>
    <w:p w14:paraId="2B460A54" w14:textId="77777777" w:rsidR="009D5091" w:rsidRPr="009D5091" w:rsidRDefault="009D5091" w:rsidP="009D5091">
      <w:pPr>
        <w:spacing w:after="0" w:line="240" w:lineRule="auto"/>
        <w:jc w:val="both"/>
        <w:rPr>
          <w:rFonts w:ascii="Cambria" w:hAnsi="Cambria" w:cs="Times New Roman"/>
          <w:sz w:val="24"/>
          <w:szCs w:val="24"/>
        </w:rPr>
      </w:pPr>
    </w:p>
    <w:p w14:paraId="3906F595"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En relación a la tarea de informar a los grupos de riesgo y a la ciudadanía en general se realizaron diversas capacitaciones. Existe un balance positivo en estas acciones, teniendo una considerable participación de los ocho sectores del Poder  Ejecutivo,  el Ministerio Público, el Poder Judicial, Gobiernos Regionales en coordinación con Organizaciones de la Sociedad Civil y Cooperación Internacional, quienes han desarrollado campañas de sensibilización, talleres, seminarios y charlas, en las que se difundió información preventiva sobre trata de personas.</w:t>
      </w:r>
    </w:p>
    <w:p w14:paraId="5B083064" w14:textId="77777777" w:rsidR="009D5091" w:rsidRPr="009D5091" w:rsidRDefault="009D5091" w:rsidP="009D5091">
      <w:pPr>
        <w:spacing w:after="0" w:line="240" w:lineRule="auto"/>
        <w:jc w:val="both"/>
        <w:rPr>
          <w:rFonts w:ascii="Cambria" w:hAnsi="Cambria" w:cs="Times New Roman"/>
          <w:sz w:val="24"/>
          <w:szCs w:val="24"/>
        </w:rPr>
      </w:pPr>
    </w:p>
    <w:p w14:paraId="64354F4E" w14:textId="336541A6"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Dentro de las acciones sectoriales para el fortalecimiento de capacidades el </w:t>
      </w:r>
      <w:r w:rsidRPr="009D5091">
        <w:rPr>
          <w:rFonts w:ascii="Cambria" w:hAnsi="Cambria" w:cs="Times New Roman"/>
          <w:bCs/>
          <w:sz w:val="24"/>
          <w:szCs w:val="24"/>
        </w:rPr>
        <w:t>Ministerio de Educación</w:t>
      </w:r>
      <w:r w:rsidRPr="009D5091">
        <w:rPr>
          <w:rFonts w:ascii="Cambria" w:hAnsi="Cambria" w:cs="Times New Roman"/>
          <w:b/>
          <w:bCs/>
          <w:sz w:val="24"/>
          <w:szCs w:val="24"/>
        </w:rPr>
        <w:t xml:space="preserve"> </w:t>
      </w:r>
      <w:r w:rsidRPr="009D5091">
        <w:rPr>
          <w:rFonts w:ascii="Cambria" w:hAnsi="Cambria" w:cs="Times New Roman"/>
          <w:sz w:val="24"/>
          <w:szCs w:val="24"/>
        </w:rPr>
        <w:t xml:space="preserve">ha insertado contenidos en las normas de orientación  a directores y docentes de educación básica regular y ha venido capacitándolos. </w:t>
      </w:r>
    </w:p>
    <w:p w14:paraId="6C306183" w14:textId="77777777" w:rsidR="009D5091" w:rsidRPr="009D5091" w:rsidRDefault="009D5091" w:rsidP="009D5091">
      <w:pPr>
        <w:spacing w:after="0" w:line="240" w:lineRule="auto"/>
        <w:jc w:val="both"/>
        <w:rPr>
          <w:rFonts w:ascii="Cambria" w:hAnsi="Cambria" w:cs="Times New Roman"/>
          <w:sz w:val="24"/>
          <w:szCs w:val="24"/>
        </w:rPr>
      </w:pPr>
    </w:p>
    <w:p w14:paraId="1719DA4D"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lastRenderedPageBreak/>
        <w:t>En el trabajo preventivo, cabe recalcar el apoyo constante de las organizaciones civiles tales como Capital Humano y Social Alternativo CHS y Movimiento el Pozo, así como de la Organización Internacional para las Migraciones.</w:t>
      </w:r>
    </w:p>
    <w:p w14:paraId="3988E270" w14:textId="77777777" w:rsidR="00E1146F" w:rsidRDefault="00E1146F" w:rsidP="00E1146F">
      <w:pPr>
        <w:spacing w:after="0" w:line="240" w:lineRule="auto"/>
        <w:jc w:val="both"/>
        <w:rPr>
          <w:rFonts w:ascii="Cambria" w:hAnsi="Cambria" w:cs="Times New Roman"/>
          <w:sz w:val="24"/>
          <w:szCs w:val="24"/>
        </w:rPr>
      </w:pPr>
    </w:p>
    <w:p w14:paraId="4460DC62" w14:textId="215AAEE7" w:rsidR="00E1146F" w:rsidRPr="00E1146F" w:rsidRDefault="00E1146F" w:rsidP="000F156E">
      <w:pPr>
        <w:pStyle w:val="ListParagraph"/>
        <w:numPr>
          <w:ilvl w:val="0"/>
          <w:numId w:val="6"/>
        </w:numPr>
        <w:spacing w:after="0" w:line="240" w:lineRule="auto"/>
        <w:jc w:val="both"/>
        <w:rPr>
          <w:rFonts w:ascii="Cambria" w:hAnsi="Cambria" w:cs="Times New Roman"/>
          <w:b/>
          <w:sz w:val="24"/>
          <w:szCs w:val="24"/>
          <w:lang w:val="es-MX"/>
        </w:rPr>
      </w:pPr>
      <w:r>
        <w:rPr>
          <w:rFonts w:ascii="Cambria" w:hAnsi="Cambria" w:cs="Times New Roman"/>
          <w:b/>
          <w:sz w:val="24"/>
          <w:szCs w:val="24"/>
          <w:lang w:val="es-MX"/>
        </w:rPr>
        <w:t>Capacitación de Funcionarios:</w:t>
      </w:r>
    </w:p>
    <w:p w14:paraId="272BFBC5" w14:textId="77777777" w:rsidR="00E1146F" w:rsidRPr="009D5091" w:rsidRDefault="00E1146F" w:rsidP="00E1146F">
      <w:pPr>
        <w:spacing w:after="0" w:line="240" w:lineRule="auto"/>
        <w:jc w:val="both"/>
        <w:rPr>
          <w:rFonts w:ascii="Cambria" w:hAnsi="Cambria" w:cs="Times New Roman"/>
          <w:b/>
          <w:sz w:val="24"/>
          <w:szCs w:val="24"/>
          <w:lang w:val="es-MX"/>
        </w:rPr>
      </w:pPr>
    </w:p>
    <w:p w14:paraId="2190B57E" w14:textId="2A16ECAD"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El Ministerio del Interior, a través del Grupo de Trabajo Sectorial para la implementación del </w:t>
      </w:r>
      <w:r w:rsidR="00E1146F">
        <w:rPr>
          <w:rFonts w:ascii="Cambria" w:hAnsi="Cambria" w:cs="Times New Roman"/>
          <w:sz w:val="24"/>
          <w:szCs w:val="24"/>
        </w:rPr>
        <w:t xml:space="preserve">PNAT </w:t>
      </w:r>
      <w:r w:rsidRPr="009D5091">
        <w:rPr>
          <w:rFonts w:ascii="Cambria" w:hAnsi="Cambria" w:cs="Times New Roman"/>
          <w:sz w:val="24"/>
          <w:szCs w:val="24"/>
        </w:rPr>
        <w:t>viene gestionando ante el área académica de la Policía Nacional del Perú la creación de una asignatura especifica de Trata de Personas en la malla curricular de las Escuelas de Oficiales y las Escuelas de Educación Superior Técnico Profesional de la PNP, ya que actualmente la temática forma parte de la asignatura de Derechos Humanos. Asimismo, organizó, coordinó y ejecutó el I, II y III Curso de Instructores en materia de Trata de Personas, capacit</w:t>
      </w:r>
      <w:r w:rsidR="00830499">
        <w:rPr>
          <w:rFonts w:ascii="Cambria" w:hAnsi="Cambria" w:cs="Times New Roman"/>
          <w:sz w:val="24"/>
          <w:szCs w:val="24"/>
        </w:rPr>
        <w:t>ando a 144 efectivos policiales</w:t>
      </w:r>
      <w:r w:rsidRPr="009D5091">
        <w:rPr>
          <w:rFonts w:ascii="Cambria" w:hAnsi="Cambria" w:cs="Times New Roman"/>
          <w:sz w:val="24"/>
          <w:szCs w:val="24"/>
        </w:rPr>
        <w:t xml:space="preserve"> en coordinación con la Dirección de Investigación de Delitos de Trata de Personas y la Dirección Ejecutiva de Educación y Doctrina de la PNP.</w:t>
      </w:r>
    </w:p>
    <w:p w14:paraId="478F73EC" w14:textId="77777777" w:rsidR="009D5091" w:rsidRPr="009D5091" w:rsidRDefault="009D5091" w:rsidP="009D5091">
      <w:pPr>
        <w:spacing w:after="0" w:line="240" w:lineRule="auto"/>
        <w:jc w:val="both"/>
        <w:rPr>
          <w:rFonts w:ascii="Cambria" w:hAnsi="Cambria" w:cs="Times New Roman"/>
          <w:sz w:val="24"/>
          <w:szCs w:val="24"/>
        </w:rPr>
      </w:pPr>
    </w:p>
    <w:p w14:paraId="655EF3B5" w14:textId="46410715" w:rsidR="009D5091" w:rsidRPr="009D5091"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ES"/>
        </w:rPr>
        <w:t>También, entre el año 2014 y el primer semestre del 2015, en coordinación con los miembros integrantes del Grupo de Trabajo Multisectorial Permanente contra la Trata de Personas, se capacitó a un total de 27,215 efectivos policiales a nivel nacional, en los diversos aspectos que abarca la probl</w:t>
      </w:r>
      <w:r w:rsidR="00830499">
        <w:rPr>
          <w:rFonts w:ascii="Cambria" w:hAnsi="Cambria" w:cs="Times New Roman"/>
          <w:sz w:val="24"/>
          <w:szCs w:val="24"/>
          <w:lang w:val="es-ES"/>
        </w:rPr>
        <w:t>emática de la Trata de Personas,</w:t>
      </w:r>
      <w:r w:rsidRPr="009D5091">
        <w:rPr>
          <w:rFonts w:ascii="Cambria" w:hAnsi="Cambria" w:cs="Times New Roman"/>
          <w:sz w:val="24"/>
          <w:szCs w:val="24"/>
          <w:lang w:val="es-ES"/>
        </w:rPr>
        <w:t xml:space="preserve"> el marco conceptual del delito, la Ley N° 28950, procedimientos de investigación, manejo del sistema RETA y otros.</w:t>
      </w:r>
    </w:p>
    <w:p w14:paraId="06B851D5" w14:textId="77777777" w:rsidR="009D5091" w:rsidRPr="009D5091" w:rsidRDefault="009D5091" w:rsidP="009D5091">
      <w:pPr>
        <w:spacing w:after="0" w:line="240" w:lineRule="auto"/>
        <w:jc w:val="both"/>
        <w:rPr>
          <w:rFonts w:ascii="Cambria" w:hAnsi="Cambria" w:cs="Times New Roman"/>
          <w:sz w:val="24"/>
          <w:szCs w:val="24"/>
          <w:lang w:val="es-MX"/>
        </w:rPr>
      </w:pPr>
    </w:p>
    <w:p w14:paraId="6827FB25" w14:textId="77FDF6DA" w:rsidR="009D5091" w:rsidRPr="009D5091"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MX"/>
        </w:rPr>
        <w:t>La Superintendencia Nacional de Migraciones</w:t>
      </w:r>
      <w:r w:rsidRPr="009D5091">
        <w:rPr>
          <w:rFonts w:ascii="Cambria" w:hAnsi="Cambria" w:cs="Times New Roman"/>
          <w:b/>
          <w:sz w:val="24"/>
          <w:szCs w:val="24"/>
          <w:lang w:val="es-MX"/>
        </w:rPr>
        <w:t xml:space="preserve">, </w:t>
      </w:r>
      <w:r w:rsidRPr="009D5091">
        <w:rPr>
          <w:rFonts w:ascii="Cambria" w:hAnsi="Cambria" w:cs="Times New Roman"/>
          <w:sz w:val="24"/>
          <w:szCs w:val="24"/>
          <w:lang w:val="es-MX"/>
        </w:rPr>
        <w:t>el 2014 realizó eventos de capacitación dirigidos a personal de las Jefaturas zonales de Moquegua (</w:t>
      </w:r>
      <w:proofErr w:type="spellStart"/>
      <w:r w:rsidRPr="009D5091">
        <w:rPr>
          <w:rFonts w:ascii="Cambria" w:hAnsi="Cambria" w:cs="Times New Roman"/>
          <w:sz w:val="24"/>
          <w:szCs w:val="24"/>
          <w:lang w:val="es-MX"/>
        </w:rPr>
        <w:t>Ilo</w:t>
      </w:r>
      <w:proofErr w:type="spellEnd"/>
      <w:r w:rsidRPr="009D5091">
        <w:rPr>
          <w:rFonts w:ascii="Cambria" w:hAnsi="Cambria" w:cs="Times New Roman"/>
          <w:sz w:val="24"/>
          <w:szCs w:val="24"/>
          <w:lang w:val="es-MX"/>
        </w:rPr>
        <w:t>), Piura, Ucayali (Pucallpa), Madre de Dios (Puerto Maldonado), La Libertad (Trujillo), Lambayeque (Chiclayo), Cusco y Arequipa. Además, llevó a cabo la “Conferencia para la identificación de documentos de viaje fraudulentos, visas y la problemática de la trata de personas y el tráfico de migrantes”, impartida por la Oficina Regional de Seguridad de la Embajada de los Estados Unidos de América en Lima, la cual estuvo dirigida a</w:t>
      </w:r>
      <w:r w:rsidR="00E1146F">
        <w:rPr>
          <w:rFonts w:ascii="Cambria" w:hAnsi="Cambria" w:cs="Times New Roman"/>
          <w:sz w:val="24"/>
          <w:szCs w:val="24"/>
          <w:lang w:val="es-MX"/>
        </w:rPr>
        <w:t>l</w:t>
      </w:r>
      <w:r w:rsidRPr="009D5091">
        <w:rPr>
          <w:rFonts w:ascii="Cambria" w:hAnsi="Cambria" w:cs="Times New Roman"/>
          <w:sz w:val="24"/>
          <w:szCs w:val="24"/>
          <w:lang w:val="es-MX"/>
        </w:rPr>
        <w:t xml:space="preserve"> personal de la jefatura zonal de Iquitos. Asimismo, capacitó a 66 (35 mujeres y 31 varones) nuevos técnicos de migraciones. </w:t>
      </w:r>
    </w:p>
    <w:p w14:paraId="60DA9F12" w14:textId="77777777" w:rsidR="009D5091" w:rsidRPr="009D5091" w:rsidRDefault="009D5091" w:rsidP="009D5091">
      <w:pPr>
        <w:spacing w:after="0" w:line="240" w:lineRule="auto"/>
        <w:jc w:val="both"/>
        <w:rPr>
          <w:rFonts w:ascii="Cambria" w:hAnsi="Cambria" w:cs="Times New Roman"/>
          <w:sz w:val="24"/>
          <w:szCs w:val="24"/>
          <w:lang w:val="es-MX"/>
        </w:rPr>
      </w:pPr>
    </w:p>
    <w:p w14:paraId="3E154D35" w14:textId="4FE4ABC6" w:rsidR="009D5091" w:rsidRPr="009D5091" w:rsidRDefault="009D5091" w:rsidP="009D5091">
      <w:pPr>
        <w:spacing w:after="0" w:line="240" w:lineRule="auto"/>
        <w:jc w:val="both"/>
        <w:rPr>
          <w:rFonts w:ascii="Cambria" w:hAnsi="Cambria" w:cs="Times New Roman"/>
          <w:sz w:val="24"/>
          <w:szCs w:val="24"/>
          <w:lang w:val="es-MX"/>
        </w:rPr>
      </w:pPr>
      <w:r w:rsidRPr="009D5091">
        <w:rPr>
          <w:rFonts w:ascii="Cambria" w:hAnsi="Cambria" w:cs="Times New Roman"/>
          <w:sz w:val="24"/>
          <w:szCs w:val="24"/>
          <w:lang w:val="es-MX"/>
        </w:rPr>
        <w:t xml:space="preserve">En el 2015, realizó </w:t>
      </w:r>
      <w:r w:rsidR="00830499">
        <w:rPr>
          <w:rFonts w:ascii="Cambria" w:hAnsi="Cambria" w:cs="Times New Roman"/>
          <w:sz w:val="24"/>
          <w:szCs w:val="24"/>
          <w:lang w:val="es-MX"/>
        </w:rPr>
        <w:t>cuatro</w:t>
      </w:r>
      <w:r w:rsidRPr="009D5091">
        <w:rPr>
          <w:rFonts w:ascii="Cambria" w:hAnsi="Cambria" w:cs="Times New Roman"/>
          <w:sz w:val="24"/>
          <w:szCs w:val="24"/>
          <w:lang w:val="es-MX"/>
        </w:rPr>
        <w:t xml:space="preserve"> eventos académicos</w:t>
      </w:r>
      <w:r w:rsidR="00830499">
        <w:rPr>
          <w:rFonts w:ascii="Cambria" w:hAnsi="Cambria" w:cs="Times New Roman"/>
          <w:sz w:val="24"/>
          <w:szCs w:val="24"/>
          <w:lang w:val="es-MX"/>
        </w:rPr>
        <w:t>, un taller y un seminario</w:t>
      </w:r>
      <w:r w:rsidRPr="009D5091">
        <w:rPr>
          <w:rFonts w:ascii="Cambria" w:hAnsi="Cambria" w:cs="Times New Roman"/>
          <w:sz w:val="24"/>
          <w:szCs w:val="24"/>
          <w:lang w:val="es-MX"/>
        </w:rPr>
        <w:t xml:space="preserve"> para capacitar a los nuevos Técnicos  e Inspectores de Migraciones, en cuyo temario se incorporó la temática de trata de personas, capacitando a un total de 289 personas (149 mujeres y 240 varones).</w:t>
      </w:r>
    </w:p>
    <w:p w14:paraId="523FB1A9" w14:textId="77777777" w:rsidR="009D5091" w:rsidRPr="009D5091" w:rsidRDefault="009D5091" w:rsidP="009D5091">
      <w:pPr>
        <w:spacing w:after="0" w:line="240" w:lineRule="auto"/>
        <w:jc w:val="both"/>
        <w:rPr>
          <w:rFonts w:ascii="Cambria" w:hAnsi="Cambria" w:cs="Times New Roman"/>
          <w:sz w:val="24"/>
          <w:szCs w:val="24"/>
          <w:lang w:val="es-MX"/>
        </w:rPr>
      </w:pPr>
    </w:p>
    <w:p w14:paraId="708F7E34" w14:textId="6BBF2441" w:rsidR="009D5091" w:rsidRPr="009D5091" w:rsidRDefault="00E1146F" w:rsidP="009D5091">
      <w:pPr>
        <w:spacing w:after="0" w:line="240" w:lineRule="auto"/>
        <w:jc w:val="both"/>
        <w:rPr>
          <w:rFonts w:ascii="Cambria" w:hAnsi="Cambria" w:cs="Times New Roman"/>
          <w:bCs/>
          <w:sz w:val="24"/>
          <w:szCs w:val="24"/>
        </w:rPr>
      </w:pPr>
      <w:r>
        <w:rPr>
          <w:rFonts w:ascii="Cambria" w:hAnsi="Cambria" w:cs="Times New Roman"/>
          <w:bCs/>
          <w:sz w:val="24"/>
          <w:szCs w:val="24"/>
        </w:rPr>
        <w:t>El Ministerio Público</w:t>
      </w:r>
      <w:r w:rsidR="009D5091" w:rsidRPr="009D5091">
        <w:rPr>
          <w:rFonts w:ascii="Cambria" w:hAnsi="Cambria" w:cs="Times New Roman"/>
          <w:bCs/>
          <w:sz w:val="24"/>
          <w:szCs w:val="24"/>
        </w:rPr>
        <w:t xml:space="preserve"> en el 2014, a través del </w:t>
      </w:r>
      <w:r w:rsidR="009D5091" w:rsidRPr="009D5091">
        <w:rPr>
          <w:rFonts w:ascii="Cambria" w:hAnsi="Cambria" w:cs="Times New Roman"/>
          <w:sz w:val="24"/>
          <w:szCs w:val="24"/>
        </w:rPr>
        <w:t>Proyecto de Fortalecimiento para la Función Fiscal frente al delito de Trata de Personas en coordinación con la Escuela d</w:t>
      </w:r>
      <w:r w:rsidR="00830499">
        <w:rPr>
          <w:rFonts w:ascii="Cambria" w:hAnsi="Cambria" w:cs="Times New Roman"/>
          <w:sz w:val="24"/>
          <w:szCs w:val="24"/>
        </w:rPr>
        <w:t>el Ministerio Público, realizó seis</w:t>
      </w:r>
      <w:r w:rsidR="009D5091" w:rsidRPr="009D5091">
        <w:rPr>
          <w:rFonts w:ascii="Cambria" w:hAnsi="Cambria" w:cs="Times New Roman"/>
          <w:sz w:val="24"/>
          <w:szCs w:val="24"/>
        </w:rPr>
        <w:t xml:space="preserve"> eventos de capacitación logrando capacitar aproximadamente a 354 operadores del sistema de justicia, principalmente fiscales, jueces y efectivos policiales a nivel nacional, así como personal administrativo y profesionales del Programa de Protección y Asistencia a Víctimas y Testigos.</w:t>
      </w:r>
      <w:r w:rsidR="009D5091" w:rsidRPr="009D5091">
        <w:rPr>
          <w:rFonts w:ascii="Cambria" w:hAnsi="Cambria" w:cs="Times New Roman"/>
          <w:bCs/>
          <w:sz w:val="24"/>
          <w:szCs w:val="24"/>
        </w:rPr>
        <w:t xml:space="preserve"> </w:t>
      </w:r>
    </w:p>
    <w:p w14:paraId="4BE97A9D" w14:textId="77777777" w:rsidR="009D5091" w:rsidRPr="009D5091" w:rsidRDefault="009D5091" w:rsidP="009D5091">
      <w:pPr>
        <w:spacing w:after="0" w:line="240" w:lineRule="auto"/>
        <w:jc w:val="both"/>
        <w:rPr>
          <w:rFonts w:ascii="Cambria" w:hAnsi="Cambria" w:cs="Times New Roman"/>
          <w:bCs/>
          <w:sz w:val="24"/>
          <w:szCs w:val="24"/>
        </w:rPr>
      </w:pPr>
    </w:p>
    <w:p w14:paraId="5711BE4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lastRenderedPageBreak/>
        <w:t>Asimismo, la Escuela del Ministerio Público, durante el 2015 ha realizado eventos de capacitación en materia de trata de personas, dirigida a fiscales y asistentes de función fiscal en la Región Lima, logrando capacitar a 264 profesionales (169 mujeres y 95 varones). Por otro lado, en el 2015 incluida la realización de un curso virtual a nivel nacional, ha capacitado a un total de 482 profesionales (269 mujeres y 213 varones).</w:t>
      </w:r>
    </w:p>
    <w:p w14:paraId="5EBCF963" w14:textId="77777777" w:rsidR="009D5091" w:rsidRPr="009D5091" w:rsidRDefault="009D5091" w:rsidP="009D5091">
      <w:pPr>
        <w:spacing w:after="0" w:line="240" w:lineRule="auto"/>
        <w:jc w:val="both"/>
        <w:rPr>
          <w:rFonts w:ascii="Cambria" w:hAnsi="Cambria" w:cs="Times New Roman"/>
          <w:bCs/>
          <w:sz w:val="24"/>
          <w:szCs w:val="24"/>
        </w:rPr>
      </w:pPr>
    </w:p>
    <w:p w14:paraId="12B83E22"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El Poder Judicial ha desarrollado seminarios de capacitación “La trata de personas en el Perú: Análisis y perspectivas” dirigido a 508 magistrados, así como a auxiliares jurisdiccionales, de las Cortes Superiores de Justicia de Lima Este, Lima Sur, Lima Norte, Lima, Ventanilla, Apurímac, Ica, Loreto y Madre de Dios.</w:t>
      </w:r>
    </w:p>
    <w:p w14:paraId="413458CC" w14:textId="77777777" w:rsidR="009D5091" w:rsidRPr="009D5091" w:rsidRDefault="009D5091" w:rsidP="009D5091">
      <w:pPr>
        <w:spacing w:after="0" w:line="240" w:lineRule="auto"/>
        <w:jc w:val="both"/>
        <w:rPr>
          <w:rFonts w:ascii="Cambria" w:hAnsi="Cambria" w:cs="Times New Roman"/>
          <w:sz w:val="24"/>
          <w:szCs w:val="24"/>
        </w:rPr>
      </w:pPr>
    </w:p>
    <w:p w14:paraId="103F57AA" w14:textId="51F9B239" w:rsidR="009D5091" w:rsidRPr="009D5091" w:rsidRDefault="009D5091" w:rsidP="009D5091">
      <w:pPr>
        <w:spacing w:after="0" w:line="240" w:lineRule="auto"/>
        <w:jc w:val="both"/>
        <w:rPr>
          <w:rFonts w:ascii="Cambria" w:hAnsi="Cambria" w:cs="Times New Roman"/>
          <w:sz w:val="24"/>
          <w:szCs w:val="24"/>
          <w:lang w:val="es-ES"/>
        </w:rPr>
      </w:pPr>
      <w:r w:rsidRPr="009D5091">
        <w:rPr>
          <w:rFonts w:ascii="Cambria" w:hAnsi="Cambria" w:cs="Times New Roman"/>
          <w:sz w:val="24"/>
          <w:szCs w:val="24"/>
          <w:lang w:val="es-ES"/>
        </w:rPr>
        <w:t>La Embajad</w:t>
      </w:r>
      <w:r w:rsidR="00830499">
        <w:rPr>
          <w:rFonts w:ascii="Cambria" w:hAnsi="Cambria" w:cs="Times New Roman"/>
          <w:sz w:val="24"/>
          <w:szCs w:val="24"/>
          <w:lang w:val="es-ES"/>
        </w:rPr>
        <w:t>a de los Estados Unidos en Perú</w:t>
      </w:r>
      <w:r w:rsidRPr="009D5091">
        <w:rPr>
          <w:rFonts w:ascii="Cambria" w:hAnsi="Cambria" w:cs="Times New Roman"/>
          <w:sz w:val="24"/>
          <w:szCs w:val="24"/>
          <w:lang w:val="es-ES"/>
        </w:rPr>
        <w:t xml:space="preserve"> realizó </w:t>
      </w:r>
      <w:r w:rsidR="00E1146F">
        <w:rPr>
          <w:rFonts w:ascii="Cambria" w:hAnsi="Cambria" w:cs="Times New Roman"/>
          <w:sz w:val="24"/>
          <w:szCs w:val="24"/>
          <w:lang w:val="es-ES"/>
        </w:rPr>
        <w:t>el</w:t>
      </w:r>
      <w:r w:rsidRPr="009D5091">
        <w:rPr>
          <w:rFonts w:ascii="Cambria" w:hAnsi="Cambria" w:cs="Times New Roman"/>
          <w:sz w:val="24"/>
          <w:szCs w:val="24"/>
          <w:lang w:val="es-ES"/>
        </w:rPr>
        <w:t xml:space="preserve"> seminario sobre </w:t>
      </w:r>
      <w:r w:rsidR="00E1146F">
        <w:rPr>
          <w:rFonts w:ascii="Cambria" w:hAnsi="Cambria" w:cs="Times New Roman"/>
          <w:sz w:val="24"/>
          <w:szCs w:val="24"/>
          <w:lang w:val="es-ES"/>
        </w:rPr>
        <w:t xml:space="preserve">las </w:t>
      </w:r>
      <w:r w:rsidRPr="009D5091">
        <w:rPr>
          <w:rFonts w:ascii="Cambria" w:hAnsi="Cambria" w:cs="Times New Roman"/>
          <w:sz w:val="24"/>
          <w:szCs w:val="24"/>
          <w:lang w:val="es-ES"/>
        </w:rPr>
        <w:t xml:space="preserve">mejores prácticas y cooperación conjunta para combatir la trata de personas, con la participación </w:t>
      </w:r>
      <w:r w:rsidR="00830499">
        <w:rPr>
          <w:rFonts w:ascii="Cambria" w:hAnsi="Cambria" w:cs="Times New Roman"/>
          <w:sz w:val="24"/>
          <w:szCs w:val="24"/>
          <w:lang w:val="es-ES"/>
        </w:rPr>
        <w:t xml:space="preserve">de </w:t>
      </w:r>
      <w:r w:rsidRPr="009D5091">
        <w:rPr>
          <w:rFonts w:ascii="Cambria" w:hAnsi="Cambria" w:cs="Times New Roman"/>
          <w:sz w:val="24"/>
          <w:szCs w:val="24"/>
          <w:lang w:val="es-ES"/>
        </w:rPr>
        <w:t>expertos en investigación criminal de los Estados Unidos, donde se capacitaron a 51 (27 mujeres y 24 varones) funcionarios de la Policía Nacional del Perú, Ministerio del Interior, Migraciones, Ministerio Público y el Poder Judicial, que permite conocer los nuevos procedimientos de investigación, persecución y el abordaje de la asistencia a las víctimas del delito de trata de personas.</w:t>
      </w:r>
    </w:p>
    <w:p w14:paraId="6912C828" w14:textId="77777777" w:rsidR="009D5091" w:rsidRPr="009D5091" w:rsidRDefault="009D5091" w:rsidP="009D5091">
      <w:pPr>
        <w:spacing w:after="0" w:line="240" w:lineRule="auto"/>
        <w:jc w:val="both"/>
        <w:rPr>
          <w:rFonts w:ascii="Cambria" w:hAnsi="Cambria" w:cs="Times New Roman"/>
          <w:sz w:val="24"/>
          <w:szCs w:val="24"/>
          <w:lang w:val="es-ES"/>
        </w:rPr>
      </w:pPr>
    </w:p>
    <w:p w14:paraId="1095979A" w14:textId="63C46AD8" w:rsidR="009D5091" w:rsidRPr="002E59E4" w:rsidRDefault="009D5091" w:rsidP="000F156E">
      <w:pPr>
        <w:pStyle w:val="ListParagraph"/>
        <w:numPr>
          <w:ilvl w:val="0"/>
          <w:numId w:val="6"/>
        </w:numPr>
        <w:spacing w:after="0" w:line="240" w:lineRule="auto"/>
        <w:jc w:val="both"/>
        <w:rPr>
          <w:rFonts w:ascii="Cambria" w:hAnsi="Cambria" w:cs="Times New Roman"/>
          <w:sz w:val="24"/>
          <w:szCs w:val="24"/>
          <w:lang w:val="es-MX"/>
        </w:rPr>
      </w:pPr>
      <w:r w:rsidRPr="002E59E4">
        <w:rPr>
          <w:rFonts w:ascii="Cambria" w:hAnsi="Cambria" w:cs="Times New Roman"/>
          <w:b/>
          <w:sz w:val="24"/>
          <w:szCs w:val="24"/>
        </w:rPr>
        <w:t>Fortalecimiento de Servicios de la P</w:t>
      </w:r>
      <w:r w:rsidR="002E59E4">
        <w:rPr>
          <w:rFonts w:ascii="Cambria" w:hAnsi="Cambria" w:cs="Times New Roman"/>
          <w:b/>
          <w:sz w:val="24"/>
          <w:szCs w:val="24"/>
        </w:rPr>
        <w:t xml:space="preserve">olicía </w:t>
      </w:r>
      <w:r w:rsidRPr="002E59E4">
        <w:rPr>
          <w:rFonts w:ascii="Cambria" w:hAnsi="Cambria" w:cs="Times New Roman"/>
          <w:b/>
          <w:sz w:val="24"/>
          <w:szCs w:val="24"/>
        </w:rPr>
        <w:t>N</w:t>
      </w:r>
      <w:r w:rsidR="002E59E4">
        <w:rPr>
          <w:rFonts w:ascii="Cambria" w:hAnsi="Cambria" w:cs="Times New Roman"/>
          <w:b/>
          <w:sz w:val="24"/>
          <w:szCs w:val="24"/>
        </w:rPr>
        <w:t xml:space="preserve">acional del </w:t>
      </w:r>
      <w:r w:rsidRPr="002E59E4">
        <w:rPr>
          <w:rFonts w:ascii="Cambria" w:hAnsi="Cambria" w:cs="Times New Roman"/>
          <w:b/>
          <w:sz w:val="24"/>
          <w:szCs w:val="24"/>
        </w:rPr>
        <w:t>P</w:t>
      </w:r>
      <w:r w:rsidR="002E59E4">
        <w:rPr>
          <w:rFonts w:ascii="Cambria" w:hAnsi="Cambria" w:cs="Times New Roman"/>
          <w:b/>
          <w:sz w:val="24"/>
          <w:szCs w:val="24"/>
        </w:rPr>
        <w:t>erú</w:t>
      </w:r>
      <w:r w:rsidRPr="002E59E4">
        <w:rPr>
          <w:rFonts w:ascii="Cambria" w:hAnsi="Cambria" w:cs="Times New Roman"/>
          <w:b/>
          <w:sz w:val="24"/>
          <w:szCs w:val="24"/>
        </w:rPr>
        <w:t>, M</w:t>
      </w:r>
      <w:r w:rsidR="002E59E4">
        <w:rPr>
          <w:rFonts w:ascii="Cambria" w:hAnsi="Cambria" w:cs="Times New Roman"/>
          <w:b/>
          <w:sz w:val="24"/>
          <w:szCs w:val="24"/>
        </w:rPr>
        <w:t xml:space="preserve">inisterio </w:t>
      </w:r>
      <w:r w:rsidRPr="002E59E4">
        <w:rPr>
          <w:rFonts w:ascii="Cambria" w:hAnsi="Cambria" w:cs="Times New Roman"/>
          <w:b/>
          <w:sz w:val="24"/>
          <w:szCs w:val="24"/>
        </w:rPr>
        <w:t>P</w:t>
      </w:r>
      <w:r w:rsidR="002E59E4">
        <w:rPr>
          <w:rFonts w:ascii="Cambria" w:hAnsi="Cambria" w:cs="Times New Roman"/>
          <w:b/>
          <w:sz w:val="24"/>
          <w:szCs w:val="24"/>
        </w:rPr>
        <w:t>úblico</w:t>
      </w:r>
      <w:r w:rsidRPr="002E59E4">
        <w:rPr>
          <w:rFonts w:ascii="Cambria" w:hAnsi="Cambria" w:cs="Times New Roman"/>
          <w:b/>
          <w:sz w:val="24"/>
          <w:szCs w:val="24"/>
        </w:rPr>
        <w:t xml:space="preserve"> y P</w:t>
      </w:r>
      <w:r w:rsidR="002E59E4">
        <w:rPr>
          <w:rFonts w:ascii="Cambria" w:hAnsi="Cambria" w:cs="Times New Roman"/>
          <w:b/>
          <w:sz w:val="24"/>
          <w:szCs w:val="24"/>
        </w:rPr>
        <w:t xml:space="preserve">oder </w:t>
      </w:r>
      <w:r w:rsidRPr="002E59E4">
        <w:rPr>
          <w:rFonts w:ascii="Cambria" w:hAnsi="Cambria" w:cs="Times New Roman"/>
          <w:b/>
          <w:sz w:val="24"/>
          <w:szCs w:val="24"/>
        </w:rPr>
        <w:t>J</w:t>
      </w:r>
      <w:r w:rsidR="002E59E4">
        <w:rPr>
          <w:rFonts w:ascii="Cambria" w:hAnsi="Cambria" w:cs="Times New Roman"/>
          <w:b/>
          <w:sz w:val="24"/>
          <w:szCs w:val="24"/>
        </w:rPr>
        <w:t>udicial</w:t>
      </w:r>
      <w:r w:rsidRPr="002E59E4">
        <w:rPr>
          <w:rFonts w:ascii="Cambria" w:hAnsi="Cambria" w:cs="Times New Roman"/>
          <w:b/>
          <w:sz w:val="24"/>
          <w:szCs w:val="24"/>
        </w:rPr>
        <w:t>.</w:t>
      </w:r>
    </w:p>
    <w:p w14:paraId="5442C839" w14:textId="77777777" w:rsidR="002E59E4" w:rsidRPr="009D5091" w:rsidRDefault="002E59E4" w:rsidP="002E59E4">
      <w:pPr>
        <w:spacing w:after="0" w:line="240" w:lineRule="auto"/>
        <w:ind w:left="1428"/>
        <w:jc w:val="both"/>
        <w:rPr>
          <w:rFonts w:ascii="Cambria" w:hAnsi="Cambria" w:cs="Times New Roman"/>
          <w:sz w:val="24"/>
          <w:szCs w:val="24"/>
          <w:lang w:val="es-MX"/>
        </w:rPr>
      </w:pPr>
    </w:p>
    <w:p w14:paraId="55E5A617" w14:textId="77777777" w:rsid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El Ministerio del Interior, a través de la Policía Nacional del Perú, mediante R.D. N° 665-2014-DIRGEN/EMG-PNP del 17 de Julio de 2014, ha elevado de categoría a la División de Investigación de Delitos contra la Trata de Personas y Tráfico Ilícito de Migrantes de la DIRINCRI PNP (DIVINTRAP) a Dirección. Esta medida fortalece el trabajo de la Unidad Policial, pues le concede competencias funcionales a nivel nacional para investigar, denunciar y combatir los delitos de trata de personas y tráfico ilícito de migrantes y delitos conexos. </w:t>
      </w:r>
    </w:p>
    <w:p w14:paraId="0143D416" w14:textId="77777777" w:rsidR="002E59E4" w:rsidRPr="009D5091" w:rsidRDefault="002E59E4" w:rsidP="009D5091">
      <w:pPr>
        <w:spacing w:after="0" w:line="240" w:lineRule="auto"/>
        <w:jc w:val="both"/>
        <w:rPr>
          <w:rFonts w:ascii="Cambria" w:hAnsi="Cambria" w:cs="Times New Roman"/>
          <w:sz w:val="24"/>
          <w:szCs w:val="24"/>
          <w:lang w:val="es-MX"/>
        </w:rPr>
      </w:pPr>
    </w:p>
    <w:p w14:paraId="6621B491"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Así también, durante el año 2014 y 2015 se han creado 23 Departamentos Desconcentrados de la PNP contra la Trata de Personas a nivel nacional siendo estas:</w:t>
      </w:r>
    </w:p>
    <w:p w14:paraId="36191450" w14:textId="77777777" w:rsidR="009D5091" w:rsidRPr="009D5091" w:rsidRDefault="009D5091" w:rsidP="009D5091">
      <w:pPr>
        <w:spacing w:after="0" w:line="240" w:lineRule="auto"/>
        <w:jc w:val="both"/>
        <w:rPr>
          <w:rFonts w:ascii="Cambria" w:hAnsi="Cambria" w:cs="Times New Roman"/>
          <w:sz w:val="24"/>
          <w:szCs w:val="24"/>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417"/>
        <w:gridCol w:w="567"/>
        <w:gridCol w:w="709"/>
      </w:tblGrid>
      <w:tr w:rsidR="009D5091" w:rsidRPr="009D5091" w14:paraId="22E5ED80" w14:textId="77777777" w:rsidTr="00E1146F">
        <w:trPr>
          <w:trHeight w:val="552"/>
        </w:trPr>
        <w:tc>
          <w:tcPr>
            <w:tcW w:w="709" w:type="dxa"/>
            <w:vMerge w:val="restart"/>
            <w:shd w:val="clear" w:color="auto" w:fill="C9C9C9" w:themeFill="accent3" w:themeFillTint="99"/>
            <w:vAlign w:val="center"/>
          </w:tcPr>
          <w:p w14:paraId="7B2D21A4"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N°</w:t>
            </w:r>
          </w:p>
        </w:tc>
        <w:tc>
          <w:tcPr>
            <w:tcW w:w="5245" w:type="dxa"/>
            <w:vMerge w:val="restart"/>
            <w:shd w:val="clear" w:color="auto" w:fill="C9C9C9" w:themeFill="accent3" w:themeFillTint="99"/>
            <w:vAlign w:val="center"/>
            <w:hideMark/>
          </w:tcPr>
          <w:p w14:paraId="0D7095F4" w14:textId="77777777" w:rsidR="009D5091" w:rsidRPr="009D5091" w:rsidRDefault="009D5091" w:rsidP="009D5091">
            <w:pPr>
              <w:spacing w:after="0" w:line="240" w:lineRule="auto"/>
              <w:jc w:val="both"/>
              <w:rPr>
                <w:rFonts w:ascii="Cambria" w:hAnsi="Cambria" w:cs="Times New Roman"/>
                <w:b/>
                <w:bCs/>
                <w:sz w:val="24"/>
                <w:szCs w:val="24"/>
              </w:rPr>
            </w:pPr>
            <w:r w:rsidRPr="009D5091">
              <w:rPr>
                <w:rFonts w:ascii="Cambria" w:hAnsi="Cambria" w:cs="Times New Roman"/>
                <w:b/>
                <w:bCs/>
                <w:sz w:val="24"/>
                <w:szCs w:val="24"/>
              </w:rPr>
              <w:t>Unidad Especializada de la PNP</w:t>
            </w:r>
          </w:p>
        </w:tc>
        <w:tc>
          <w:tcPr>
            <w:tcW w:w="1417" w:type="dxa"/>
            <w:vMerge w:val="restart"/>
            <w:shd w:val="clear" w:color="auto" w:fill="C9C9C9" w:themeFill="accent3" w:themeFillTint="99"/>
            <w:vAlign w:val="center"/>
            <w:hideMark/>
          </w:tcPr>
          <w:p w14:paraId="33357168" w14:textId="77777777" w:rsidR="009D5091" w:rsidRPr="009D5091" w:rsidRDefault="009D5091" w:rsidP="009D5091">
            <w:pPr>
              <w:spacing w:after="0" w:line="240" w:lineRule="auto"/>
              <w:jc w:val="both"/>
              <w:rPr>
                <w:rFonts w:ascii="Cambria" w:hAnsi="Cambria" w:cs="Times New Roman"/>
                <w:b/>
                <w:bCs/>
                <w:sz w:val="24"/>
                <w:szCs w:val="24"/>
              </w:rPr>
            </w:pPr>
            <w:r w:rsidRPr="009D5091">
              <w:rPr>
                <w:rFonts w:ascii="Cambria" w:hAnsi="Cambria" w:cs="Times New Roman"/>
                <w:b/>
                <w:bCs/>
                <w:sz w:val="24"/>
                <w:szCs w:val="24"/>
              </w:rPr>
              <w:t>Fecha de Creación</w:t>
            </w:r>
          </w:p>
        </w:tc>
        <w:tc>
          <w:tcPr>
            <w:tcW w:w="1276" w:type="dxa"/>
            <w:gridSpan w:val="2"/>
            <w:shd w:val="clear" w:color="auto" w:fill="C9C9C9" w:themeFill="accent3" w:themeFillTint="99"/>
            <w:vAlign w:val="center"/>
            <w:hideMark/>
          </w:tcPr>
          <w:p w14:paraId="244C6C5D" w14:textId="77777777" w:rsidR="009D5091" w:rsidRPr="009D5091" w:rsidRDefault="009D5091" w:rsidP="009D5091">
            <w:pPr>
              <w:spacing w:after="0" w:line="240" w:lineRule="auto"/>
              <w:jc w:val="both"/>
              <w:rPr>
                <w:rFonts w:ascii="Cambria" w:hAnsi="Cambria" w:cs="Times New Roman"/>
                <w:b/>
                <w:bCs/>
                <w:sz w:val="24"/>
                <w:szCs w:val="24"/>
              </w:rPr>
            </w:pPr>
            <w:r w:rsidRPr="009D5091">
              <w:rPr>
                <w:rFonts w:ascii="Cambria" w:hAnsi="Cambria" w:cs="Times New Roman"/>
                <w:b/>
                <w:bCs/>
                <w:sz w:val="24"/>
                <w:szCs w:val="24"/>
              </w:rPr>
              <w:t>Personal Asignado</w:t>
            </w:r>
          </w:p>
        </w:tc>
      </w:tr>
      <w:tr w:rsidR="009D5091" w:rsidRPr="009D5091" w14:paraId="14E1E323" w14:textId="77777777" w:rsidTr="00E1146F">
        <w:trPr>
          <w:trHeight w:val="74"/>
        </w:trPr>
        <w:tc>
          <w:tcPr>
            <w:tcW w:w="709" w:type="dxa"/>
            <w:vMerge/>
            <w:tcBorders>
              <w:bottom w:val="single" w:sz="4" w:space="0" w:color="auto"/>
            </w:tcBorders>
            <w:shd w:val="clear" w:color="auto" w:fill="C9C9C9" w:themeFill="accent3" w:themeFillTint="99"/>
            <w:vAlign w:val="center"/>
          </w:tcPr>
          <w:p w14:paraId="69D50670" w14:textId="77777777" w:rsidR="009D5091" w:rsidRPr="009D5091" w:rsidRDefault="009D5091" w:rsidP="009D5091">
            <w:pPr>
              <w:spacing w:after="0" w:line="240" w:lineRule="auto"/>
              <w:jc w:val="both"/>
              <w:rPr>
                <w:rFonts w:ascii="Cambria" w:hAnsi="Cambria" w:cs="Times New Roman"/>
                <w:b/>
                <w:bCs/>
                <w:sz w:val="24"/>
                <w:szCs w:val="24"/>
              </w:rPr>
            </w:pPr>
          </w:p>
        </w:tc>
        <w:tc>
          <w:tcPr>
            <w:tcW w:w="5245" w:type="dxa"/>
            <w:vMerge/>
            <w:tcBorders>
              <w:bottom w:val="single" w:sz="4" w:space="0" w:color="auto"/>
            </w:tcBorders>
            <w:shd w:val="clear" w:color="auto" w:fill="C9C9C9" w:themeFill="accent3" w:themeFillTint="99"/>
            <w:vAlign w:val="center"/>
            <w:hideMark/>
          </w:tcPr>
          <w:p w14:paraId="2C64E6B5" w14:textId="77777777" w:rsidR="009D5091" w:rsidRPr="009D5091" w:rsidRDefault="009D5091" w:rsidP="009D5091">
            <w:pPr>
              <w:spacing w:after="0" w:line="240" w:lineRule="auto"/>
              <w:jc w:val="both"/>
              <w:rPr>
                <w:rFonts w:ascii="Cambria" w:hAnsi="Cambria" w:cs="Times New Roman"/>
                <w:b/>
                <w:bCs/>
                <w:sz w:val="24"/>
                <w:szCs w:val="24"/>
              </w:rPr>
            </w:pPr>
          </w:p>
        </w:tc>
        <w:tc>
          <w:tcPr>
            <w:tcW w:w="1417" w:type="dxa"/>
            <w:vMerge/>
            <w:tcBorders>
              <w:bottom w:val="single" w:sz="4" w:space="0" w:color="auto"/>
            </w:tcBorders>
            <w:shd w:val="clear" w:color="auto" w:fill="C9C9C9" w:themeFill="accent3" w:themeFillTint="99"/>
            <w:vAlign w:val="center"/>
            <w:hideMark/>
          </w:tcPr>
          <w:p w14:paraId="35F3766F" w14:textId="77777777" w:rsidR="009D5091" w:rsidRPr="009D5091" w:rsidRDefault="009D5091" w:rsidP="009D5091">
            <w:pPr>
              <w:spacing w:after="0" w:line="240" w:lineRule="auto"/>
              <w:jc w:val="both"/>
              <w:rPr>
                <w:rFonts w:ascii="Cambria" w:hAnsi="Cambria" w:cs="Times New Roman"/>
                <w:b/>
                <w:bCs/>
                <w:sz w:val="24"/>
                <w:szCs w:val="24"/>
              </w:rPr>
            </w:pPr>
          </w:p>
        </w:tc>
        <w:tc>
          <w:tcPr>
            <w:tcW w:w="567" w:type="dxa"/>
            <w:tcBorders>
              <w:bottom w:val="single" w:sz="4" w:space="0" w:color="auto"/>
            </w:tcBorders>
            <w:shd w:val="clear" w:color="auto" w:fill="C9C9C9" w:themeFill="accent3" w:themeFillTint="99"/>
            <w:vAlign w:val="center"/>
            <w:hideMark/>
          </w:tcPr>
          <w:p w14:paraId="58136181" w14:textId="77777777" w:rsidR="009D5091" w:rsidRPr="009D5091" w:rsidRDefault="009D5091" w:rsidP="009D5091">
            <w:pPr>
              <w:spacing w:after="0" w:line="240" w:lineRule="auto"/>
              <w:jc w:val="both"/>
              <w:rPr>
                <w:rFonts w:ascii="Cambria" w:hAnsi="Cambria" w:cs="Times New Roman"/>
                <w:b/>
                <w:bCs/>
                <w:sz w:val="24"/>
                <w:szCs w:val="24"/>
              </w:rPr>
            </w:pPr>
            <w:r w:rsidRPr="009D5091">
              <w:rPr>
                <w:rFonts w:ascii="Cambria" w:hAnsi="Cambria" w:cs="Times New Roman"/>
                <w:b/>
                <w:bCs/>
                <w:sz w:val="24"/>
                <w:szCs w:val="24"/>
              </w:rPr>
              <w:t>F</w:t>
            </w:r>
          </w:p>
        </w:tc>
        <w:tc>
          <w:tcPr>
            <w:tcW w:w="709" w:type="dxa"/>
            <w:tcBorders>
              <w:bottom w:val="single" w:sz="4" w:space="0" w:color="auto"/>
            </w:tcBorders>
            <w:shd w:val="clear" w:color="auto" w:fill="C9C9C9" w:themeFill="accent3" w:themeFillTint="99"/>
            <w:vAlign w:val="center"/>
            <w:hideMark/>
          </w:tcPr>
          <w:p w14:paraId="7A908241" w14:textId="77777777" w:rsidR="009D5091" w:rsidRPr="009D5091" w:rsidRDefault="009D5091" w:rsidP="009D5091">
            <w:pPr>
              <w:spacing w:after="0" w:line="240" w:lineRule="auto"/>
              <w:jc w:val="both"/>
              <w:rPr>
                <w:rFonts w:ascii="Cambria" w:hAnsi="Cambria" w:cs="Times New Roman"/>
                <w:b/>
                <w:bCs/>
                <w:sz w:val="24"/>
                <w:szCs w:val="24"/>
              </w:rPr>
            </w:pPr>
            <w:r w:rsidRPr="009D5091">
              <w:rPr>
                <w:rFonts w:ascii="Cambria" w:hAnsi="Cambria" w:cs="Times New Roman"/>
                <w:b/>
                <w:bCs/>
                <w:sz w:val="24"/>
                <w:szCs w:val="24"/>
              </w:rPr>
              <w:t>M</w:t>
            </w:r>
          </w:p>
        </w:tc>
      </w:tr>
      <w:tr w:rsidR="009D5091" w:rsidRPr="009D5091" w14:paraId="30DA2402" w14:textId="77777777" w:rsidTr="00E1146F">
        <w:trPr>
          <w:trHeight w:hRule="exact" w:val="283"/>
        </w:trPr>
        <w:tc>
          <w:tcPr>
            <w:tcW w:w="709" w:type="dxa"/>
            <w:shd w:val="clear" w:color="auto" w:fill="FFFFFF"/>
            <w:vAlign w:val="center"/>
          </w:tcPr>
          <w:p w14:paraId="38D3825E"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01</w:t>
            </w:r>
          </w:p>
        </w:tc>
        <w:tc>
          <w:tcPr>
            <w:tcW w:w="5245" w:type="dxa"/>
            <w:shd w:val="clear" w:color="auto" w:fill="auto"/>
            <w:vAlign w:val="center"/>
          </w:tcPr>
          <w:p w14:paraId="253D230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La Libertad</w:t>
            </w:r>
          </w:p>
        </w:tc>
        <w:tc>
          <w:tcPr>
            <w:tcW w:w="1417" w:type="dxa"/>
            <w:shd w:val="clear" w:color="auto" w:fill="auto"/>
            <w:vAlign w:val="center"/>
          </w:tcPr>
          <w:p w14:paraId="35754C9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06/2014</w:t>
            </w:r>
          </w:p>
        </w:tc>
        <w:tc>
          <w:tcPr>
            <w:tcW w:w="567" w:type="dxa"/>
            <w:shd w:val="clear" w:color="auto" w:fill="auto"/>
            <w:vAlign w:val="center"/>
          </w:tcPr>
          <w:p w14:paraId="7008D5A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4</w:t>
            </w:r>
          </w:p>
        </w:tc>
        <w:tc>
          <w:tcPr>
            <w:tcW w:w="709" w:type="dxa"/>
            <w:shd w:val="clear" w:color="auto" w:fill="auto"/>
            <w:vAlign w:val="center"/>
          </w:tcPr>
          <w:p w14:paraId="1DFA92B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8</w:t>
            </w:r>
          </w:p>
        </w:tc>
      </w:tr>
      <w:tr w:rsidR="009D5091" w:rsidRPr="009D5091" w14:paraId="383A1531" w14:textId="77777777" w:rsidTr="00E1146F">
        <w:trPr>
          <w:trHeight w:hRule="exact" w:val="283"/>
        </w:trPr>
        <w:tc>
          <w:tcPr>
            <w:tcW w:w="709" w:type="dxa"/>
            <w:shd w:val="clear" w:color="auto" w:fill="FFFFFF"/>
            <w:vAlign w:val="center"/>
          </w:tcPr>
          <w:p w14:paraId="3BA431C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02</w:t>
            </w:r>
          </w:p>
        </w:tc>
        <w:tc>
          <w:tcPr>
            <w:tcW w:w="5245" w:type="dxa"/>
            <w:shd w:val="clear" w:color="auto" w:fill="auto"/>
            <w:vAlign w:val="center"/>
          </w:tcPr>
          <w:p w14:paraId="25174D7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Tacna</w:t>
            </w:r>
          </w:p>
        </w:tc>
        <w:tc>
          <w:tcPr>
            <w:tcW w:w="1417" w:type="dxa"/>
            <w:shd w:val="clear" w:color="auto" w:fill="auto"/>
            <w:vAlign w:val="center"/>
          </w:tcPr>
          <w:p w14:paraId="0A04308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26/08/2014</w:t>
            </w:r>
          </w:p>
        </w:tc>
        <w:tc>
          <w:tcPr>
            <w:tcW w:w="567" w:type="dxa"/>
            <w:shd w:val="clear" w:color="auto" w:fill="auto"/>
            <w:vAlign w:val="center"/>
          </w:tcPr>
          <w:p w14:paraId="5DC600B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7</w:t>
            </w:r>
          </w:p>
        </w:tc>
        <w:tc>
          <w:tcPr>
            <w:tcW w:w="709" w:type="dxa"/>
            <w:shd w:val="clear" w:color="auto" w:fill="auto"/>
            <w:vAlign w:val="center"/>
          </w:tcPr>
          <w:p w14:paraId="101607E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5</w:t>
            </w:r>
          </w:p>
        </w:tc>
      </w:tr>
      <w:tr w:rsidR="009D5091" w:rsidRPr="009D5091" w14:paraId="18759331" w14:textId="77777777" w:rsidTr="00E1146F">
        <w:trPr>
          <w:trHeight w:hRule="exact" w:val="283"/>
        </w:trPr>
        <w:tc>
          <w:tcPr>
            <w:tcW w:w="709" w:type="dxa"/>
            <w:shd w:val="clear" w:color="auto" w:fill="FFFFFF"/>
            <w:vAlign w:val="center"/>
          </w:tcPr>
          <w:p w14:paraId="274BBE56"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03</w:t>
            </w:r>
          </w:p>
        </w:tc>
        <w:tc>
          <w:tcPr>
            <w:tcW w:w="5245" w:type="dxa"/>
            <w:shd w:val="clear" w:color="auto" w:fill="auto"/>
            <w:vAlign w:val="center"/>
          </w:tcPr>
          <w:p w14:paraId="1FD1B24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Lambayeque</w:t>
            </w:r>
          </w:p>
        </w:tc>
        <w:tc>
          <w:tcPr>
            <w:tcW w:w="1417" w:type="dxa"/>
            <w:shd w:val="clear" w:color="auto" w:fill="auto"/>
            <w:vAlign w:val="center"/>
          </w:tcPr>
          <w:p w14:paraId="4AB1EB4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03/11/2014</w:t>
            </w:r>
          </w:p>
        </w:tc>
        <w:tc>
          <w:tcPr>
            <w:tcW w:w="567" w:type="dxa"/>
            <w:shd w:val="clear" w:color="auto" w:fill="auto"/>
            <w:vAlign w:val="center"/>
          </w:tcPr>
          <w:p w14:paraId="269B91D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c>
          <w:tcPr>
            <w:tcW w:w="709" w:type="dxa"/>
            <w:shd w:val="clear" w:color="auto" w:fill="auto"/>
            <w:vAlign w:val="center"/>
          </w:tcPr>
          <w:p w14:paraId="3937459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13AFAC5B" w14:textId="77777777" w:rsidTr="00E1146F">
        <w:trPr>
          <w:trHeight w:hRule="exact" w:val="283"/>
        </w:trPr>
        <w:tc>
          <w:tcPr>
            <w:tcW w:w="709" w:type="dxa"/>
            <w:shd w:val="clear" w:color="auto" w:fill="FFFFFF"/>
            <w:vAlign w:val="center"/>
          </w:tcPr>
          <w:p w14:paraId="719C706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04</w:t>
            </w:r>
          </w:p>
        </w:tc>
        <w:tc>
          <w:tcPr>
            <w:tcW w:w="5245" w:type="dxa"/>
            <w:shd w:val="clear" w:color="auto" w:fill="auto"/>
            <w:vAlign w:val="center"/>
          </w:tcPr>
          <w:p w14:paraId="199102B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Iquitos</w:t>
            </w:r>
          </w:p>
        </w:tc>
        <w:tc>
          <w:tcPr>
            <w:tcW w:w="1417" w:type="dxa"/>
            <w:shd w:val="clear" w:color="auto" w:fill="auto"/>
            <w:vAlign w:val="center"/>
          </w:tcPr>
          <w:p w14:paraId="6B215A6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05/11/2014</w:t>
            </w:r>
          </w:p>
        </w:tc>
        <w:tc>
          <w:tcPr>
            <w:tcW w:w="567" w:type="dxa"/>
            <w:shd w:val="clear" w:color="auto" w:fill="auto"/>
            <w:vAlign w:val="center"/>
          </w:tcPr>
          <w:p w14:paraId="7996F9C9"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c>
          <w:tcPr>
            <w:tcW w:w="709" w:type="dxa"/>
            <w:shd w:val="clear" w:color="auto" w:fill="auto"/>
            <w:vAlign w:val="center"/>
          </w:tcPr>
          <w:p w14:paraId="2FF98D5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0D198850" w14:textId="77777777" w:rsidTr="00E1146F">
        <w:trPr>
          <w:trHeight w:hRule="exact" w:val="283"/>
        </w:trPr>
        <w:tc>
          <w:tcPr>
            <w:tcW w:w="709" w:type="dxa"/>
            <w:shd w:val="clear" w:color="auto" w:fill="FFFFFF"/>
            <w:vAlign w:val="center"/>
          </w:tcPr>
          <w:p w14:paraId="5573D48E"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05</w:t>
            </w:r>
          </w:p>
        </w:tc>
        <w:tc>
          <w:tcPr>
            <w:tcW w:w="5245" w:type="dxa"/>
            <w:shd w:val="clear" w:color="auto" w:fill="auto"/>
            <w:vAlign w:val="center"/>
          </w:tcPr>
          <w:p w14:paraId="57AE3FF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Madre de Dios</w:t>
            </w:r>
          </w:p>
        </w:tc>
        <w:tc>
          <w:tcPr>
            <w:tcW w:w="1417" w:type="dxa"/>
            <w:shd w:val="clear" w:color="auto" w:fill="auto"/>
            <w:vAlign w:val="center"/>
          </w:tcPr>
          <w:p w14:paraId="52D82A7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18/11/2014</w:t>
            </w:r>
          </w:p>
        </w:tc>
        <w:tc>
          <w:tcPr>
            <w:tcW w:w="567" w:type="dxa"/>
            <w:shd w:val="clear" w:color="auto" w:fill="auto"/>
            <w:vAlign w:val="center"/>
          </w:tcPr>
          <w:p w14:paraId="49E2D5C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c>
          <w:tcPr>
            <w:tcW w:w="709" w:type="dxa"/>
            <w:shd w:val="clear" w:color="auto" w:fill="auto"/>
            <w:vAlign w:val="center"/>
          </w:tcPr>
          <w:p w14:paraId="1E2F068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3</w:t>
            </w:r>
          </w:p>
        </w:tc>
      </w:tr>
      <w:tr w:rsidR="009D5091" w:rsidRPr="009D5091" w14:paraId="79502FB7" w14:textId="77777777" w:rsidTr="00E1146F">
        <w:trPr>
          <w:trHeight w:hRule="exact" w:val="283"/>
        </w:trPr>
        <w:tc>
          <w:tcPr>
            <w:tcW w:w="709" w:type="dxa"/>
            <w:shd w:val="clear" w:color="auto" w:fill="FFFFFF"/>
            <w:vAlign w:val="center"/>
          </w:tcPr>
          <w:p w14:paraId="278F2BC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06</w:t>
            </w:r>
          </w:p>
        </w:tc>
        <w:tc>
          <w:tcPr>
            <w:tcW w:w="5245" w:type="dxa"/>
            <w:shd w:val="clear" w:color="auto" w:fill="auto"/>
            <w:vAlign w:val="center"/>
          </w:tcPr>
          <w:p w14:paraId="3A8FF692"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Ancash</w:t>
            </w:r>
          </w:p>
        </w:tc>
        <w:tc>
          <w:tcPr>
            <w:tcW w:w="1417" w:type="dxa"/>
            <w:shd w:val="clear" w:color="auto" w:fill="auto"/>
            <w:vAlign w:val="center"/>
          </w:tcPr>
          <w:p w14:paraId="3FF3012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14/12/2014</w:t>
            </w:r>
          </w:p>
        </w:tc>
        <w:tc>
          <w:tcPr>
            <w:tcW w:w="567" w:type="dxa"/>
            <w:shd w:val="clear" w:color="auto" w:fill="auto"/>
            <w:vAlign w:val="center"/>
          </w:tcPr>
          <w:p w14:paraId="687F0A6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6CBF1331"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8</w:t>
            </w:r>
          </w:p>
        </w:tc>
      </w:tr>
      <w:tr w:rsidR="009D5091" w:rsidRPr="009D5091" w14:paraId="5669CDE4" w14:textId="77777777" w:rsidTr="00E1146F">
        <w:trPr>
          <w:trHeight w:hRule="exact" w:val="283"/>
        </w:trPr>
        <w:tc>
          <w:tcPr>
            <w:tcW w:w="709" w:type="dxa"/>
            <w:shd w:val="clear" w:color="auto" w:fill="FFFFFF"/>
            <w:vAlign w:val="center"/>
          </w:tcPr>
          <w:p w14:paraId="1443757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07</w:t>
            </w:r>
          </w:p>
        </w:tc>
        <w:tc>
          <w:tcPr>
            <w:tcW w:w="5245" w:type="dxa"/>
            <w:shd w:val="clear" w:color="auto" w:fill="auto"/>
            <w:vAlign w:val="center"/>
          </w:tcPr>
          <w:p w14:paraId="7AFF3FE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Huacho</w:t>
            </w:r>
          </w:p>
        </w:tc>
        <w:tc>
          <w:tcPr>
            <w:tcW w:w="1417" w:type="dxa"/>
            <w:shd w:val="clear" w:color="auto" w:fill="auto"/>
            <w:vAlign w:val="center"/>
          </w:tcPr>
          <w:p w14:paraId="2D439F0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15/12/2014</w:t>
            </w:r>
          </w:p>
        </w:tc>
        <w:tc>
          <w:tcPr>
            <w:tcW w:w="567" w:type="dxa"/>
            <w:shd w:val="clear" w:color="auto" w:fill="auto"/>
            <w:vAlign w:val="center"/>
          </w:tcPr>
          <w:p w14:paraId="1638407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070E9B5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3BA14619" w14:textId="77777777" w:rsidTr="00E1146F">
        <w:trPr>
          <w:trHeight w:hRule="exact" w:val="283"/>
        </w:trPr>
        <w:tc>
          <w:tcPr>
            <w:tcW w:w="709" w:type="dxa"/>
            <w:shd w:val="clear" w:color="auto" w:fill="FFFFFF"/>
            <w:vAlign w:val="center"/>
          </w:tcPr>
          <w:p w14:paraId="340C7EA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lastRenderedPageBreak/>
              <w:t>08</w:t>
            </w:r>
          </w:p>
        </w:tc>
        <w:tc>
          <w:tcPr>
            <w:tcW w:w="5245" w:type="dxa"/>
            <w:shd w:val="clear" w:color="auto" w:fill="auto"/>
            <w:vAlign w:val="center"/>
          </w:tcPr>
          <w:p w14:paraId="5E63391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San Martín</w:t>
            </w:r>
          </w:p>
        </w:tc>
        <w:tc>
          <w:tcPr>
            <w:tcW w:w="1417" w:type="dxa"/>
            <w:shd w:val="clear" w:color="auto" w:fill="auto"/>
            <w:noWrap/>
            <w:vAlign w:val="center"/>
          </w:tcPr>
          <w:p w14:paraId="1F92D7B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16/12/2014</w:t>
            </w:r>
          </w:p>
        </w:tc>
        <w:tc>
          <w:tcPr>
            <w:tcW w:w="567" w:type="dxa"/>
            <w:shd w:val="clear" w:color="auto" w:fill="auto"/>
            <w:vAlign w:val="center"/>
          </w:tcPr>
          <w:p w14:paraId="5F6A5A9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0E21A41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5</w:t>
            </w:r>
          </w:p>
        </w:tc>
      </w:tr>
      <w:tr w:rsidR="009D5091" w:rsidRPr="009D5091" w14:paraId="685AD77C" w14:textId="77777777" w:rsidTr="00E1146F">
        <w:trPr>
          <w:trHeight w:hRule="exact" w:val="283"/>
        </w:trPr>
        <w:tc>
          <w:tcPr>
            <w:tcW w:w="709" w:type="dxa"/>
            <w:shd w:val="clear" w:color="auto" w:fill="FFFFFF"/>
            <w:vAlign w:val="center"/>
          </w:tcPr>
          <w:p w14:paraId="350AFFF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09</w:t>
            </w:r>
          </w:p>
        </w:tc>
        <w:tc>
          <w:tcPr>
            <w:tcW w:w="5245" w:type="dxa"/>
            <w:shd w:val="clear" w:color="auto" w:fill="auto"/>
            <w:vAlign w:val="center"/>
          </w:tcPr>
          <w:p w14:paraId="020A097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Huaraz</w:t>
            </w:r>
          </w:p>
        </w:tc>
        <w:tc>
          <w:tcPr>
            <w:tcW w:w="1417" w:type="dxa"/>
            <w:shd w:val="clear" w:color="auto" w:fill="auto"/>
            <w:noWrap/>
            <w:vAlign w:val="center"/>
          </w:tcPr>
          <w:p w14:paraId="5618C05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18/12/2014</w:t>
            </w:r>
          </w:p>
        </w:tc>
        <w:tc>
          <w:tcPr>
            <w:tcW w:w="567" w:type="dxa"/>
            <w:shd w:val="clear" w:color="auto" w:fill="auto"/>
            <w:vAlign w:val="center"/>
          </w:tcPr>
          <w:p w14:paraId="0E979B5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692FC30E"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3</w:t>
            </w:r>
          </w:p>
        </w:tc>
      </w:tr>
      <w:tr w:rsidR="009D5091" w:rsidRPr="009D5091" w14:paraId="6C2E56F3" w14:textId="77777777" w:rsidTr="00E1146F">
        <w:trPr>
          <w:trHeight w:hRule="exact" w:val="283"/>
        </w:trPr>
        <w:tc>
          <w:tcPr>
            <w:tcW w:w="709" w:type="dxa"/>
            <w:shd w:val="clear" w:color="auto" w:fill="FFFFFF"/>
            <w:vAlign w:val="center"/>
          </w:tcPr>
          <w:p w14:paraId="0009A35E"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10</w:t>
            </w:r>
          </w:p>
        </w:tc>
        <w:tc>
          <w:tcPr>
            <w:tcW w:w="5245" w:type="dxa"/>
            <w:shd w:val="clear" w:color="auto" w:fill="auto"/>
            <w:vAlign w:val="center"/>
          </w:tcPr>
          <w:p w14:paraId="0CCCEF2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Huancayo</w:t>
            </w:r>
          </w:p>
        </w:tc>
        <w:tc>
          <w:tcPr>
            <w:tcW w:w="1417" w:type="dxa"/>
            <w:shd w:val="clear" w:color="auto" w:fill="auto"/>
            <w:noWrap/>
            <w:vAlign w:val="center"/>
          </w:tcPr>
          <w:p w14:paraId="2D0009E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30/01/2015</w:t>
            </w:r>
          </w:p>
        </w:tc>
        <w:tc>
          <w:tcPr>
            <w:tcW w:w="567" w:type="dxa"/>
            <w:shd w:val="clear" w:color="auto" w:fill="auto"/>
            <w:vAlign w:val="center"/>
          </w:tcPr>
          <w:p w14:paraId="7589D7A1"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c>
          <w:tcPr>
            <w:tcW w:w="709" w:type="dxa"/>
            <w:shd w:val="clear" w:color="auto" w:fill="auto"/>
            <w:vAlign w:val="center"/>
          </w:tcPr>
          <w:p w14:paraId="44221FE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7</w:t>
            </w:r>
          </w:p>
        </w:tc>
      </w:tr>
      <w:tr w:rsidR="009D5091" w:rsidRPr="009D5091" w14:paraId="7834C630" w14:textId="77777777" w:rsidTr="00E1146F">
        <w:trPr>
          <w:trHeight w:hRule="exact" w:val="283"/>
        </w:trPr>
        <w:tc>
          <w:tcPr>
            <w:tcW w:w="709" w:type="dxa"/>
            <w:shd w:val="clear" w:color="auto" w:fill="FFFFFF"/>
            <w:vAlign w:val="center"/>
          </w:tcPr>
          <w:p w14:paraId="48CAA269"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11</w:t>
            </w:r>
          </w:p>
        </w:tc>
        <w:tc>
          <w:tcPr>
            <w:tcW w:w="5245" w:type="dxa"/>
            <w:shd w:val="clear" w:color="auto" w:fill="auto"/>
            <w:vAlign w:val="center"/>
          </w:tcPr>
          <w:p w14:paraId="20C572F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Abancay</w:t>
            </w:r>
          </w:p>
        </w:tc>
        <w:tc>
          <w:tcPr>
            <w:tcW w:w="1417" w:type="dxa"/>
            <w:shd w:val="clear" w:color="auto" w:fill="auto"/>
            <w:noWrap/>
            <w:vAlign w:val="center"/>
          </w:tcPr>
          <w:p w14:paraId="51D8E30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09/02/2015</w:t>
            </w:r>
          </w:p>
        </w:tc>
        <w:tc>
          <w:tcPr>
            <w:tcW w:w="567" w:type="dxa"/>
            <w:shd w:val="clear" w:color="auto" w:fill="auto"/>
            <w:vAlign w:val="center"/>
          </w:tcPr>
          <w:p w14:paraId="088B115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c>
          <w:tcPr>
            <w:tcW w:w="709" w:type="dxa"/>
            <w:shd w:val="clear" w:color="auto" w:fill="auto"/>
            <w:vAlign w:val="center"/>
          </w:tcPr>
          <w:p w14:paraId="5A25D3A2"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09442078" w14:textId="77777777" w:rsidTr="00E1146F">
        <w:trPr>
          <w:trHeight w:hRule="exact" w:val="283"/>
        </w:trPr>
        <w:tc>
          <w:tcPr>
            <w:tcW w:w="709" w:type="dxa"/>
            <w:shd w:val="clear" w:color="auto" w:fill="FFFFFF"/>
            <w:vAlign w:val="center"/>
          </w:tcPr>
          <w:p w14:paraId="1BA4259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12</w:t>
            </w:r>
          </w:p>
        </w:tc>
        <w:tc>
          <w:tcPr>
            <w:tcW w:w="5245" w:type="dxa"/>
            <w:shd w:val="clear" w:color="auto" w:fill="auto"/>
            <w:vAlign w:val="center"/>
          </w:tcPr>
          <w:p w14:paraId="0341BE3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Moquegua</w:t>
            </w:r>
          </w:p>
        </w:tc>
        <w:tc>
          <w:tcPr>
            <w:tcW w:w="1417" w:type="dxa"/>
            <w:shd w:val="clear" w:color="auto" w:fill="auto"/>
            <w:vAlign w:val="center"/>
          </w:tcPr>
          <w:p w14:paraId="0C29E5B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10/02/2015</w:t>
            </w:r>
          </w:p>
        </w:tc>
        <w:tc>
          <w:tcPr>
            <w:tcW w:w="567" w:type="dxa"/>
            <w:shd w:val="clear" w:color="auto" w:fill="auto"/>
            <w:vAlign w:val="center"/>
          </w:tcPr>
          <w:p w14:paraId="3E5F8D9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72C84D2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54B66D8D" w14:textId="77777777" w:rsidTr="00E1146F">
        <w:trPr>
          <w:trHeight w:hRule="exact" w:val="283"/>
        </w:trPr>
        <w:tc>
          <w:tcPr>
            <w:tcW w:w="709" w:type="dxa"/>
            <w:shd w:val="clear" w:color="auto" w:fill="FFFFFF"/>
            <w:vAlign w:val="center"/>
          </w:tcPr>
          <w:p w14:paraId="159E4CA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13</w:t>
            </w:r>
          </w:p>
        </w:tc>
        <w:tc>
          <w:tcPr>
            <w:tcW w:w="5245" w:type="dxa"/>
            <w:shd w:val="clear" w:color="auto" w:fill="auto"/>
            <w:vAlign w:val="center"/>
          </w:tcPr>
          <w:p w14:paraId="74F03B59"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Puno</w:t>
            </w:r>
          </w:p>
        </w:tc>
        <w:tc>
          <w:tcPr>
            <w:tcW w:w="1417" w:type="dxa"/>
            <w:shd w:val="clear" w:color="auto" w:fill="auto"/>
            <w:noWrap/>
            <w:vAlign w:val="center"/>
          </w:tcPr>
          <w:p w14:paraId="3F21AF81"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05/2015</w:t>
            </w:r>
          </w:p>
        </w:tc>
        <w:tc>
          <w:tcPr>
            <w:tcW w:w="567" w:type="dxa"/>
            <w:shd w:val="clear" w:color="auto" w:fill="auto"/>
            <w:vAlign w:val="center"/>
          </w:tcPr>
          <w:p w14:paraId="0A56D08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3F8B0E7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20C48E6B" w14:textId="77777777" w:rsidTr="00E1146F">
        <w:trPr>
          <w:trHeight w:hRule="exact" w:val="283"/>
        </w:trPr>
        <w:tc>
          <w:tcPr>
            <w:tcW w:w="709" w:type="dxa"/>
            <w:shd w:val="clear" w:color="auto" w:fill="FFFFFF"/>
            <w:vAlign w:val="center"/>
          </w:tcPr>
          <w:p w14:paraId="7595AC4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14</w:t>
            </w:r>
          </w:p>
        </w:tc>
        <w:tc>
          <w:tcPr>
            <w:tcW w:w="5245" w:type="dxa"/>
            <w:shd w:val="clear" w:color="auto" w:fill="auto"/>
            <w:vAlign w:val="center"/>
          </w:tcPr>
          <w:p w14:paraId="09FE71B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Cusco</w:t>
            </w:r>
          </w:p>
        </w:tc>
        <w:tc>
          <w:tcPr>
            <w:tcW w:w="1417" w:type="dxa"/>
            <w:shd w:val="clear" w:color="auto" w:fill="auto"/>
            <w:noWrap/>
            <w:vAlign w:val="center"/>
          </w:tcPr>
          <w:p w14:paraId="015D383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15/05/2015</w:t>
            </w:r>
          </w:p>
        </w:tc>
        <w:tc>
          <w:tcPr>
            <w:tcW w:w="567" w:type="dxa"/>
            <w:shd w:val="clear" w:color="auto" w:fill="auto"/>
            <w:vAlign w:val="center"/>
          </w:tcPr>
          <w:p w14:paraId="7041B146"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c>
          <w:tcPr>
            <w:tcW w:w="709" w:type="dxa"/>
            <w:shd w:val="clear" w:color="auto" w:fill="auto"/>
            <w:vAlign w:val="center"/>
          </w:tcPr>
          <w:p w14:paraId="233AC5D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6</w:t>
            </w:r>
          </w:p>
        </w:tc>
      </w:tr>
      <w:tr w:rsidR="009D5091" w:rsidRPr="009D5091" w14:paraId="6A625FED" w14:textId="77777777" w:rsidTr="00E1146F">
        <w:trPr>
          <w:trHeight w:hRule="exact" w:val="283"/>
        </w:trPr>
        <w:tc>
          <w:tcPr>
            <w:tcW w:w="709" w:type="dxa"/>
            <w:shd w:val="clear" w:color="auto" w:fill="FFFFFF"/>
            <w:vAlign w:val="center"/>
          </w:tcPr>
          <w:p w14:paraId="2F985306"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15</w:t>
            </w:r>
          </w:p>
        </w:tc>
        <w:tc>
          <w:tcPr>
            <w:tcW w:w="5245" w:type="dxa"/>
            <w:shd w:val="clear" w:color="auto" w:fill="auto"/>
            <w:vAlign w:val="center"/>
          </w:tcPr>
          <w:p w14:paraId="01B5D0D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 xml:space="preserve">Departamento Desconcentrado PNP Tingo María </w:t>
            </w:r>
          </w:p>
        </w:tc>
        <w:tc>
          <w:tcPr>
            <w:tcW w:w="1417" w:type="dxa"/>
            <w:shd w:val="clear" w:color="auto" w:fill="auto"/>
            <w:noWrap/>
            <w:vAlign w:val="center"/>
          </w:tcPr>
          <w:p w14:paraId="3719A2C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08/06/2015</w:t>
            </w:r>
          </w:p>
        </w:tc>
        <w:tc>
          <w:tcPr>
            <w:tcW w:w="567" w:type="dxa"/>
            <w:shd w:val="clear" w:color="auto" w:fill="auto"/>
            <w:vAlign w:val="center"/>
          </w:tcPr>
          <w:p w14:paraId="6D86312A"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c>
          <w:tcPr>
            <w:tcW w:w="709" w:type="dxa"/>
            <w:shd w:val="clear" w:color="auto" w:fill="auto"/>
            <w:vAlign w:val="center"/>
          </w:tcPr>
          <w:p w14:paraId="501901AE"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2403009E" w14:textId="77777777" w:rsidTr="00E1146F">
        <w:trPr>
          <w:trHeight w:hRule="exact" w:val="283"/>
        </w:trPr>
        <w:tc>
          <w:tcPr>
            <w:tcW w:w="709" w:type="dxa"/>
            <w:shd w:val="clear" w:color="auto" w:fill="FFFFFF"/>
            <w:vAlign w:val="center"/>
          </w:tcPr>
          <w:p w14:paraId="5B0700A1"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16</w:t>
            </w:r>
          </w:p>
        </w:tc>
        <w:tc>
          <w:tcPr>
            <w:tcW w:w="5245" w:type="dxa"/>
            <w:shd w:val="clear" w:color="auto" w:fill="auto"/>
            <w:vAlign w:val="center"/>
          </w:tcPr>
          <w:p w14:paraId="36B0122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Cajamarca</w:t>
            </w:r>
          </w:p>
        </w:tc>
        <w:tc>
          <w:tcPr>
            <w:tcW w:w="1417" w:type="dxa"/>
            <w:shd w:val="clear" w:color="auto" w:fill="auto"/>
            <w:noWrap/>
            <w:vAlign w:val="center"/>
          </w:tcPr>
          <w:p w14:paraId="1BB5511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15/06/2015</w:t>
            </w:r>
          </w:p>
        </w:tc>
        <w:tc>
          <w:tcPr>
            <w:tcW w:w="567" w:type="dxa"/>
            <w:shd w:val="clear" w:color="auto" w:fill="auto"/>
            <w:vAlign w:val="center"/>
          </w:tcPr>
          <w:p w14:paraId="15F3A61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shd w:val="clear" w:color="auto" w:fill="auto"/>
            <w:vAlign w:val="center"/>
          </w:tcPr>
          <w:p w14:paraId="3F365FB9"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4</w:t>
            </w:r>
          </w:p>
        </w:tc>
      </w:tr>
      <w:tr w:rsidR="009D5091" w:rsidRPr="009D5091" w14:paraId="351750E1" w14:textId="77777777" w:rsidTr="00E1146F">
        <w:trPr>
          <w:trHeight w:hRule="exact" w:val="283"/>
        </w:trPr>
        <w:tc>
          <w:tcPr>
            <w:tcW w:w="709" w:type="dxa"/>
            <w:shd w:val="clear" w:color="auto" w:fill="FFFFFF"/>
            <w:vAlign w:val="center"/>
          </w:tcPr>
          <w:p w14:paraId="223B810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17</w:t>
            </w:r>
          </w:p>
        </w:tc>
        <w:tc>
          <w:tcPr>
            <w:tcW w:w="5245" w:type="dxa"/>
            <w:shd w:val="clear" w:color="auto" w:fill="auto"/>
            <w:vAlign w:val="center"/>
          </w:tcPr>
          <w:p w14:paraId="5FD16B9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Ayacucho</w:t>
            </w:r>
          </w:p>
        </w:tc>
        <w:tc>
          <w:tcPr>
            <w:tcW w:w="1417" w:type="dxa"/>
            <w:shd w:val="clear" w:color="auto" w:fill="auto"/>
            <w:vAlign w:val="center"/>
          </w:tcPr>
          <w:p w14:paraId="00186FD9"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22/06/2015</w:t>
            </w:r>
          </w:p>
        </w:tc>
        <w:tc>
          <w:tcPr>
            <w:tcW w:w="567" w:type="dxa"/>
            <w:shd w:val="clear" w:color="auto" w:fill="auto"/>
            <w:vAlign w:val="center"/>
          </w:tcPr>
          <w:p w14:paraId="448786F6"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3</w:t>
            </w:r>
          </w:p>
        </w:tc>
        <w:tc>
          <w:tcPr>
            <w:tcW w:w="709" w:type="dxa"/>
            <w:shd w:val="clear" w:color="auto" w:fill="auto"/>
            <w:vAlign w:val="center"/>
          </w:tcPr>
          <w:p w14:paraId="1E516EE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4</w:t>
            </w:r>
          </w:p>
        </w:tc>
      </w:tr>
      <w:tr w:rsidR="009D5091" w:rsidRPr="009D5091" w14:paraId="3C8C68BA" w14:textId="77777777" w:rsidTr="00E1146F">
        <w:trPr>
          <w:trHeight w:hRule="exact" w:val="283"/>
        </w:trPr>
        <w:tc>
          <w:tcPr>
            <w:tcW w:w="709" w:type="dxa"/>
            <w:tcBorders>
              <w:bottom w:val="single" w:sz="4" w:space="0" w:color="auto"/>
            </w:tcBorders>
            <w:shd w:val="clear" w:color="auto" w:fill="FFFFFF"/>
            <w:vAlign w:val="center"/>
          </w:tcPr>
          <w:p w14:paraId="5A86A8D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18</w:t>
            </w:r>
          </w:p>
        </w:tc>
        <w:tc>
          <w:tcPr>
            <w:tcW w:w="5245" w:type="dxa"/>
            <w:tcBorders>
              <w:bottom w:val="single" w:sz="4" w:space="0" w:color="auto"/>
            </w:tcBorders>
            <w:shd w:val="clear" w:color="auto" w:fill="auto"/>
            <w:vAlign w:val="center"/>
          </w:tcPr>
          <w:p w14:paraId="7B084FE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Arequipa</w:t>
            </w:r>
          </w:p>
        </w:tc>
        <w:tc>
          <w:tcPr>
            <w:tcW w:w="1417" w:type="dxa"/>
            <w:tcBorders>
              <w:bottom w:val="single" w:sz="4" w:space="0" w:color="auto"/>
            </w:tcBorders>
            <w:shd w:val="clear" w:color="auto" w:fill="auto"/>
            <w:vAlign w:val="center"/>
          </w:tcPr>
          <w:p w14:paraId="08EDCD7A"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22/07/2015</w:t>
            </w:r>
          </w:p>
        </w:tc>
        <w:tc>
          <w:tcPr>
            <w:tcW w:w="567" w:type="dxa"/>
            <w:tcBorders>
              <w:bottom w:val="single" w:sz="4" w:space="0" w:color="auto"/>
            </w:tcBorders>
            <w:shd w:val="clear" w:color="auto" w:fill="auto"/>
            <w:vAlign w:val="center"/>
          </w:tcPr>
          <w:p w14:paraId="25F0675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7</w:t>
            </w:r>
          </w:p>
        </w:tc>
        <w:tc>
          <w:tcPr>
            <w:tcW w:w="709" w:type="dxa"/>
            <w:tcBorders>
              <w:bottom w:val="single" w:sz="4" w:space="0" w:color="auto"/>
            </w:tcBorders>
            <w:shd w:val="clear" w:color="auto" w:fill="auto"/>
            <w:vAlign w:val="center"/>
          </w:tcPr>
          <w:p w14:paraId="12B81F10"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15</w:t>
            </w:r>
          </w:p>
        </w:tc>
      </w:tr>
      <w:tr w:rsidR="009D5091" w:rsidRPr="009D5091" w14:paraId="5DB71563" w14:textId="77777777" w:rsidTr="00E1146F">
        <w:trPr>
          <w:trHeight w:hRule="exact" w:val="283"/>
        </w:trPr>
        <w:tc>
          <w:tcPr>
            <w:tcW w:w="709" w:type="dxa"/>
            <w:tcBorders>
              <w:bottom w:val="single" w:sz="4" w:space="0" w:color="auto"/>
            </w:tcBorders>
            <w:shd w:val="clear" w:color="auto" w:fill="FFFFFF"/>
            <w:vAlign w:val="center"/>
          </w:tcPr>
          <w:p w14:paraId="719A7F1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19</w:t>
            </w:r>
          </w:p>
        </w:tc>
        <w:tc>
          <w:tcPr>
            <w:tcW w:w="5245" w:type="dxa"/>
            <w:tcBorders>
              <w:bottom w:val="single" w:sz="4" w:space="0" w:color="auto"/>
            </w:tcBorders>
            <w:shd w:val="clear" w:color="auto" w:fill="auto"/>
            <w:vAlign w:val="center"/>
          </w:tcPr>
          <w:p w14:paraId="4F0A4ED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Chachapoyas</w:t>
            </w:r>
          </w:p>
        </w:tc>
        <w:tc>
          <w:tcPr>
            <w:tcW w:w="1417" w:type="dxa"/>
            <w:tcBorders>
              <w:bottom w:val="single" w:sz="4" w:space="0" w:color="auto"/>
            </w:tcBorders>
            <w:shd w:val="clear" w:color="auto" w:fill="auto"/>
            <w:vAlign w:val="center"/>
          </w:tcPr>
          <w:p w14:paraId="597EDAC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08/2015</w:t>
            </w:r>
          </w:p>
        </w:tc>
        <w:tc>
          <w:tcPr>
            <w:tcW w:w="567" w:type="dxa"/>
            <w:tcBorders>
              <w:bottom w:val="single" w:sz="4" w:space="0" w:color="auto"/>
            </w:tcBorders>
            <w:shd w:val="clear" w:color="auto" w:fill="auto"/>
            <w:vAlign w:val="center"/>
          </w:tcPr>
          <w:p w14:paraId="729BF43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tcBorders>
              <w:bottom w:val="single" w:sz="4" w:space="0" w:color="auto"/>
            </w:tcBorders>
            <w:shd w:val="clear" w:color="auto" w:fill="auto"/>
            <w:vAlign w:val="center"/>
          </w:tcPr>
          <w:p w14:paraId="63F589D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r>
      <w:tr w:rsidR="009D5091" w:rsidRPr="009D5091" w14:paraId="480169F9" w14:textId="77777777" w:rsidTr="00E1146F">
        <w:trPr>
          <w:trHeight w:hRule="exact" w:val="283"/>
        </w:trPr>
        <w:tc>
          <w:tcPr>
            <w:tcW w:w="709" w:type="dxa"/>
            <w:tcBorders>
              <w:bottom w:val="single" w:sz="4" w:space="0" w:color="auto"/>
            </w:tcBorders>
            <w:shd w:val="clear" w:color="auto" w:fill="FFFFFF"/>
            <w:vAlign w:val="center"/>
          </w:tcPr>
          <w:p w14:paraId="53BC6DF3"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20</w:t>
            </w:r>
          </w:p>
        </w:tc>
        <w:tc>
          <w:tcPr>
            <w:tcW w:w="5245" w:type="dxa"/>
            <w:tcBorders>
              <w:bottom w:val="single" w:sz="4" w:space="0" w:color="auto"/>
            </w:tcBorders>
            <w:shd w:val="clear" w:color="auto" w:fill="auto"/>
            <w:vAlign w:val="center"/>
          </w:tcPr>
          <w:p w14:paraId="7ED2EE32"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Ica</w:t>
            </w:r>
          </w:p>
        </w:tc>
        <w:tc>
          <w:tcPr>
            <w:tcW w:w="1417" w:type="dxa"/>
            <w:tcBorders>
              <w:bottom w:val="single" w:sz="4" w:space="0" w:color="auto"/>
            </w:tcBorders>
            <w:shd w:val="clear" w:color="auto" w:fill="auto"/>
            <w:vAlign w:val="center"/>
          </w:tcPr>
          <w:p w14:paraId="7D08FC1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12/02/2015</w:t>
            </w:r>
          </w:p>
        </w:tc>
        <w:tc>
          <w:tcPr>
            <w:tcW w:w="567" w:type="dxa"/>
            <w:tcBorders>
              <w:bottom w:val="single" w:sz="4" w:space="0" w:color="auto"/>
            </w:tcBorders>
            <w:shd w:val="clear" w:color="auto" w:fill="auto"/>
            <w:vAlign w:val="center"/>
          </w:tcPr>
          <w:p w14:paraId="5CBB9EA6"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4</w:t>
            </w:r>
          </w:p>
        </w:tc>
        <w:tc>
          <w:tcPr>
            <w:tcW w:w="709" w:type="dxa"/>
            <w:tcBorders>
              <w:bottom w:val="single" w:sz="4" w:space="0" w:color="auto"/>
            </w:tcBorders>
            <w:shd w:val="clear" w:color="auto" w:fill="auto"/>
            <w:vAlign w:val="center"/>
          </w:tcPr>
          <w:p w14:paraId="24C22B3C"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2A583410" w14:textId="77777777" w:rsidTr="00E1146F">
        <w:trPr>
          <w:trHeight w:hRule="exact" w:val="283"/>
        </w:trPr>
        <w:tc>
          <w:tcPr>
            <w:tcW w:w="709" w:type="dxa"/>
            <w:tcBorders>
              <w:bottom w:val="single" w:sz="4" w:space="0" w:color="auto"/>
            </w:tcBorders>
            <w:shd w:val="clear" w:color="auto" w:fill="FFFFFF"/>
            <w:vAlign w:val="center"/>
          </w:tcPr>
          <w:p w14:paraId="794B52B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21</w:t>
            </w:r>
          </w:p>
        </w:tc>
        <w:tc>
          <w:tcPr>
            <w:tcW w:w="5245" w:type="dxa"/>
            <w:tcBorders>
              <w:bottom w:val="single" w:sz="4" w:space="0" w:color="auto"/>
            </w:tcBorders>
            <w:shd w:val="clear" w:color="auto" w:fill="auto"/>
            <w:vAlign w:val="center"/>
          </w:tcPr>
          <w:p w14:paraId="59B2225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 xml:space="preserve">Departamento Desconcentrado PNP </w:t>
            </w:r>
            <w:proofErr w:type="spellStart"/>
            <w:r w:rsidRPr="009D5091">
              <w:rPr>
                <w:rFonts w:ascii="Cambria" w:hAnsi="Cambria" w:cs="Times New Roman"/>
                <w:bCs/>
                <w:sz w:val="24"/>
                <w:szCs w:val="24"/>
              </w:rPr>
              <w:t>Kimbiri</w:t>
            </w:r>
            <w:proofErr w:type="spellEnd"/>
            <w:r w:rsidRPr="009D5091">
              <w:rPr>
                <w:rFonts w:ascii="Cambria" w:hAnsi="Cambria" w:cs="Times New Roman"/>
                <w:bCs/>
                <w:sz w:val="24"/>
                <w:szCs w:val="24"/>
              </w:rPr>
              <w:t xml:space="preserve"> -VRAE</w:t>
            </w:r>
          </w:p>
        </w:tc>
        <w:tc>
          <w:tcPr>
            <w:tcW w:w="1417" w:type="dxa"/>
            <w:tcBorders>
              <w:bottom w:val="single" w:sz="4" w:space="0" w:color="auto"/>
            </w:tcBorders>
            <w:shd w:val="clear" w:color="auto" w:fill="auto"/>
            <w:vAlign w:val="center"/>
          </w:tcPr>
          <w:p w14:paraId="21DBF285"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08/2015</w:t>
            </w:r>
          </w:p>
        </w:tc>
        <w:tc>
          <w:tcPr>
            <w:tcW w:w="567" w:type="dxa"/>
            <w:tcBorders>
              <w:bottom w:val="single" w:sz="4" w:space="0" w:color="auto"/>
            </w:tcBorders>
            <w:shd w:val="clear" w:color="auto" w:fill="auto"/>
            <w:vAlign w:val="center"/>
          </w:tcPr>
          <w:p w14:paraId="0DF3916A"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c>
          <w:tcPr>
            <w:tcW w:w="709" w:type="dxa"/>
            <w:tcBorders>
              <w:bottom w:val="single" w:sz="4" w:space="0" w:color="auto"/>
            </w:tcBorders>
            <w:shd w:val="clear" w:color="auto" w:fill="auto"/>
            <w:vAlign w:val="center"/>
          </w:tcPr>
          <w:p w14:paraId="541E52B8"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r>
      <w:tr w:rsidR="009D5091" w:rsidRPr="009D5091" w14:paraId="03F349EF" w14:textId="77777777" w:rsidTr="00E1146F">
        <w:trPr>
          <w:trHeight w:hRule="exact" w:val="283"/>
        </w:trPr>
        <w:tc>
          <w:tcPr>
            <w:tcW w:w="709" w:type="dxa"/>
            <w:tcBorders>
              <w:bottom w:val="single" w:sz="4" w:space="0" w:color="auto"/>
            </w:tcBorders>
            <w:shd w:val="clear" w:color="auto" w:fill="FFFFFF"/>
            <w:vAlign w:val="center"/>
          </w:tcPr>
          <w:p w14:paraId="14D20DC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22</w:t>
            </w:r>
          </w:p>
        </w:tc>
        <w:tc>
          <w:tcPr>
            <w:tcW w:w="5245" w:type="dxa"/>
            <w:tcBorders>
              <w:bottom w:val="single" w:sz="4" w:space="0" w:color="auto"/>
            </w:tcBorders>
            <w:shd w:val="clear" w:color="auto" w:fill="auto"/>
            <w:vAlign w:val="center"/>
          </w:tcPr>
          <w:p w14:paraId="5967351A"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 xml:space="preserve">Departamento Desconcentrado PNP </w:t>
            </w:r>
            <w:proofErr w:type="spellStart"/>
            <w:r w:rsidRPr="009D5091">
              <w:rPr>
                <w:rFonts w:ascii="Cambria" w:hAnsi="Cambria" w:cs="Times New Roman"/>
                <w:bCs/>
                <w:sz w:val="24"/>
                <w:szCs w:val="24"/>
              </w:rPr>
              <w:t>Sicuani</w:t>
            </w:r>
            <w:proofErr w:type="spellEnd"/>
          </w:p>
        </w:tc>
        <w:tc>
          <w:tcPr>
            <w:tcW w:w="1417" w:type="dxa"/>
            <w:tcBorders>
              <w:bottom w:val="single" w:sz="4" w:space="0" w:color="auto"/>
            </w:tcBorders>
            <w:shd w:val="clear" w:color="auto" w:fill="auto"/>
            <w:vAlign w:val="center"/>
          </w:tcPr>
          <w:p w14:paraId="676D0DE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09/08/15</w:t>
            </w:r>
          </w:p>
        </w:tc>
        <w:tc>
          <w:tcPr>
            <w:tcW w:w="567" w:type="dxa"/>
            <w:tcBorders>
              <w:bottom w:val="single" w:sz="4" w:space="0" w:color="auto"/>
            </w:tcBorders>
            <w:shd w:val="clear" w:color="auto" w:fill="auto"/>
            <w:vAlign w:val="center"/>
          </w:tcPr>
          <w:p w14:paraId="5DBBEAA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0</w:t>
            </w:r>
          </w:p>
        </w:tc>
        <w:tc>
          <w:tcPr>
            <w:tcW w:w="709" w:type="dxa"/>
            <w:tcBorders>
              <w:bottom w:val="single" w:sz="4" w:space="0" w:color="auto"/>
            </w:tcBorders>
            <w:shd w:val="clear" w:color="auto" w:fill="auto"/>
            <w:vAlign w:val="center"/>
          </w:tcPr>
          <w:p w14:paraId="0D25F34B"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w:t>
            </w:r>
          </w:p>
        </w:tc>
      </w:tr>
      <w:tr w:rsidR="009D5091" w:rsidRPr="009D5091" w14:paraId="5FA92ED8" w14:textId="77777777" w:rsidTr="00E1146F">
        <w:trPr>
          <w:trHeight w:hRule="exact" w:val="283"/>
        </w:trPr>
        <w:tc>
          <w:tcPr>
            <w:tcW w:w="709" w:type="dxa"/>
            <w:tcBorders>
              <w:bottom w:val="single" w:sz="4" w:space="0" w:color="auto"/>
            </w:tcBorders>
            <w:shd w:val="clear" w:color="auto" w:fill="FFFFFF"/>
            <w:vAlign w:val="center"/>
          </w:tcPr>
          <w:p w14:paraId="27680674"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23</w:t>
            </w:r>
          </w:p>
        </w:tc>
        <w:tc>
          <w:tcPr>
            <w:tcW w:w="5245" w:type="dxa"/>
            <w:tcBorders>
              <w:bottom w:val="single" w:sz="4" w:space="0" w:color="auto"/>
            </w:tcBorders>
            <w:shd w:val="clear" w:color="auto" w:fill="auto"/>
            <w:vAlign w:val="center"/>
          </w:tcPr>
          <w:p w14:paraId="5CCC658F"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Departamento Desconcentrado PNP Huánuco</w:t>
            </w:r>
          </w:p>
        </w:tc>
        <w:tc>
          <w:tcPr>
            <w:tcW w:w="1417" w:type="dxa"/>
            <w:tcBorders>
              <w:bottom w:val="single" w:sz="4" w:space="0" w:color="auto"/>
            </w:tcBorders>
            <w:shd w:val="clear" w:color="auto" w:fill="auto"/>
            <w:vAlign w:val="center"/>
          </w:tcPr>
          <w:p w14:paraId="2860FB7D"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18/08/15</w:t>
            </w:r>
          </w:p>
        </w:tc>
        <w:tc>
          <w:tcPr>
            <w:tcW w:w="567" w:type="dxa"/>
            <w:tcBorders>
              <w:bottom w:val="single" w:sz="4" w:space="0" w:color="auto"/>
            </w:tcBorders>
            <w:shd w:val="clear" w:color="auto" w:fill="auto"/>
            <w:vAlign w:val="center"/>
          </w:tcPr>
          <w:p w14:paraId="2B9CAA67"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2</w:t>
            </w:r>
          </w:p>
        </w:tc>
        <w:tc>
          <w:tcPr>
            <w:tcW w:w="709" w:type="dxa"/>
            <w:tcBorders>
              <w:bottom w:val="single" w:sz="4" w:space="0" w:color="auto"/>
            </w:tcBorders>
            <w:shd w:val="clear" w:color="auto" w:fill="auto"/>
            <w:vAlign w:val="center"/>
          </w:tcPr>
          <w:p w14:paraId="3441E98A" w14:textId="77777777" w:rsidR="009D5091" w:rsidRPr="009D5091" w:rsidRDefault="009D5091" w:rsidP="009D5091">
            <w:pPr>
              <w:spacing w:after="0" w:line="240" w:lineRule="auto"/>
              <w:jc w:val="both"/>
              <w:rPr>
                <w:rFonts w:ascii="Cambria" w:hAnsi="Cambria" w:cs="Times New Roman"/>
                <w:bCs/>
                <w:sz w:val="24"/>
                <w:szCs w:val="24"/>
              </w:rPr>
            </w:pPr>
            <w:r w:rsidRPr="009D5091">
              <w:rPr>
                <w:rFonts w:ascii="Cambria" w:hAnsi="Cambria" w:cs="Times New Roman"/>
                <w:bCs/>
                <w:sz w:val="24"/>
                <w:szCs w:val="24"/>
              </w:rPr>
              <w:t>4</w:t>
            </w:r>
          </w:p>
        </w:tc>
      </w:tr>
      <w:tr w:rsidR="009D5091" w:rsidRPr="009D5091" w14:paraId="62C8D01D" w14:textId="77777777" w:rsidTr="002E59E4">
        <w:tblPrEx>
          <w:tblCellMar>
            <w:left w:w="70" w:type="dxa"/>
            <w:right w:w="70" w:type="dxa"/>
          </w:tblCellMar>
          <w:tblLook w:val="0000" w:firstRow="0" w:lastRow="0" w:firstColumn="0" w:lastColumn="0" w:noHBand="0" w:noVBand="0"/>
        </w:tblPrEx>
        <w:trPr>
          <w:trHeight w:hRule="exact" w:val="283"/>
        </w:trPr>
        <w:tc>
          <w:tcPr>
            <w:tcW w:w="5954" w:type="dxa"/>
            <w:gridSpan w:val="2"/>
            <w:shd w:val="clear" w:color="auto" w:fill="C9C9C9" w:themeFill="accent3" w:themeFillTint="99"/>
            <w:vAlign w:val="center"/>
          </w:tcPr>
          <w:p w14:paraId="7876FAE5" w14:textId="77777777" w:rsidR="009D5091" w:rsidRPr="009D5091" w:rsidRDefault="009D5091" w:rsidP="009D5091">
            <w:pPr>
              <w:spacing w:after="0" w:line="240" w:lineRule="auto"/>
              <w:jc w:val="both"/>
              <w:rPr>
                <w:rFonts w:ascii="Cambria" w:hAnsi="Cambria" w:cs="Times New Roman"/>
                <w:b/>
                <w:sz w:val="24"/>
                <w:szCs w:val="24"/>
              </w:rPr>
            </w:pPr>
            <w:r w:rsidRPr="009D5091">
              <w:rPr>
                <w:rFonts w:ascii="Cambria" w:hAnsi="Cambria" w:cs="Times New Roman"/>
                <w:b/>
                <w:sz w:val="24"/>
                <w:szCs w:val="24"/>
              </w:rPr>
              <w:t>Total</w:t>
            </w:r>
          </w:p>
        </w:tc>
        <w:tc>
          <w:tcPr>
            <w:tcW w:w="1417" w:type="dxa"/>
            <w:shd w:val="clear" w:color="auto" w:fill="C9C9C9" w:themeFill="accent3" w:themeFillTint="99"/>
            <w:vAlign w:val="center"/>
          </w:tcPr>
          <w:p w14:paraId="078408A6" w14:textId="77777777" w:rsidR="009D5091" w:rsidRPr="009D5091" w:rsidRDefault="009D5091" w:rsidP="009D5091">
            <w:pPr>
              <w:spacing w:after="0" w:line="240" w:lineRule="auto"/>
              <w:jc w:val="both"/>
              <w:rPr>
                <w:rFonts w:ascii="Cambria" w:hAnsi="Cambria" w:cs="Times New Roman"/>
                <w:b/>
                <w:sz w:val="24"/>
                <w:szCs w:val="24"/>
              </w:rPr>
            </w:pPr>
            <w:r w:rsidRPr="009D5091">
              <w:rPr>
                <w:rFonts w:ascii="Cambria" w:hAnsi="Cambria" w:cs="Times New Roman"/>
                <w:b/>
                <w:sz w:val="24"/>
                <w:szCs w:val="24"/>
              </w:rPr>
              <w:t>130</w:t>
            </w:r>
          </w:p>
        </w:tc>
        <w:tc>
          <w:tcPr>
            <w:tcW w:w="567" w:type="dxa"/>
            <w:shd w:val="clear" w:color="auto" w:fill="C9C9C9" w:themeFill="accent3" w:themeFillTint="99"/>
            <w:vAlign w:val="center"/>
          </w:tcPr>
          <w:p w14:paraId="6F4C79AE"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38</w:t>
            </w:r>
          </w:p>
        </w:tc>
        <w:tc>
          <w:tcPr>
            <w:tcW w:w="709" w:type="dxa"/>
            <w:shd w:val="clear" w:color="auto" w:fill="C9C9C9" w:themeFill="accent3" w:themeFillTint="99"/>
            <w:vAlign w:val="center"/>
          </w:tcPr>
          <w:p w14:paraId="63E4FCF3"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92</w:t>
            </w:r>
          </w:p>
        </w:tc>
      </w:tr>
    </w:tbl>
    <w:p w14:paraId="4CE4E092" w14:textId="77777777" w:rsidR="009D5091" w:rsidRPr="009D5091" w:rsidRDefault="009D5091" w:rsidP="009D5091">
      <w:pPr>
        <w:spacing w:after="0" w:line="240" w:lineRule="auto"/>
        <w:jc w:val="both"/>
        <w:rPr>
          <w:rFonts w:ascii="Cambria" w:hAnsi="Cambria" w:cs="Times New Roman"/>
          <w:sz w:val="24"/>
          <w:szCs w:val="24"/>
        </w:rPr>
      </w:pPr>
    </w:p>
    <w:p w14:paraId="03881A6F"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El Ministerio Público creó la Primera Fiscalía Provincial Especializada en Delitos de Trata de Personas (Resolución N° 4050-2014-MP-FN), competencia en los Distritos Fiscales de Lima, Lima Norte, Lima Este y Lima Sur, y la Fiscalía Superior Especializada en Delitos de Trata de Personas. (Resolución N°4126-MP-FN). </w:t>
      </w:r>
      <w:r w:rsidRPr="009D5091">
        <w:rPr>
          <w:rFonts w:ascii="Cambria" w:hAnsi="Cambria" w:cs="Times New Roman"/>
          <w:bCs/>
          <w:sz w:val="24"/>
          <w:szCs w:val="24"/>
        </w:rPr>
        <w:t xml:space="preserve">Asimismo, creó la Fiscalía Superior Especializada en Delitos de Trata de Personas, mediante Resolución </w:t>
      </w:r>
      <w:r w:rsidRPr="009D5091">
        <w:rPr>
          <w:rFonts w:ascii="Cambria" w:hAnsi="Cambria" w:cs="Times New Roman"/>
          <w:sz w:val="24"/>
          <w:szCs w:val="24"/>
        </w:rPr>
        <w:t>N°4126-MP-FN del 01 de octubre de 2014.</w:t>
      </w:r>
    </w:p>
    <w:p w14:paraId="176ABC30" w14:textId="77777777" w:rsidR="009D5091" w:rsidRPr="009D5091" w:rsidRDefault="009D5091" w:rsidP="009D5091">
      <w:pPr>
        <w:spacing w:after="0" w:line="240" w:lineRule="auto"/>
        <w:jc w:val="both"/>
        <w:rPr>
          <w:rFonts w:ascii="Cambria" w:hAnsi="Cambria" w:cs="Times New Roman"/>
          <w:sz w:val="24"/>
          <w:szCs w:val="24"/>
        </w:rPr>
      </w:pPr>
    </w:p>
    <w:p w14:paraId="74C24930"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Finalmente, en agosto del presente año, mediante Resolución de Junta de Fiscales Supremos N° 124-2015-MP-FN-JFS, se crearon las fiscalías provinciales especializadas en delitos de trata de personas de los Distritos Fiscales del Callao, Cusco, Puno, Tacna y Tumbes, así como la Fiscalía Provincial Corporativa Especializada en Delitos de Trata de Personas de Lima.</w:t>
      </w:r>
    </w:p>
    <w:p w14:paraId="5C7EA8C7" w14:textId="77777777" w:rsidR="009D5091" w:rsidRPr="009D5091" w:rsidRDefault="009D5091" w:rsidP="009D5091">
      <w:pPr>
        <w:spacing w:after="0" w:line="240" w:lineRule="auto"/>
        <w:jc w:val="both"/>
        <w:rPr>
          <w:rFonts w:ascii="Cambria" w:hAnsi="Cambria" w:cs="Times New Roman"/>
          <w:sz w:val="24"/>
          <w:szCs w:val="24"/>
        </w:rPr>
      </w:pPr>
    </w:p>
    <w:p w14:paraId="021DBB54" w14:textId="77777777" w:rsid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El Poder Judicial</w:t>
      </w:r>
      <w:r w:rsidRPr="009D5091">
        <w:rPr>
          <w:rFonts w:ascii="Cambria" w:hAnsi="Cambria" w:cs="Times New Roman"/>
          <w:b/>
          <w:sz w:val="24"/>
          <w:szCs w:val="24"/>
        </w:rPr>
        <w:t>,</w:t>
      </w:r>
      <w:r w:rsidRPr="009D5091">
        <w:rPr>
          <w:rFonts w:ascii="Cambria" w:hAnsi="Cambria" w:cs="Times New Roman"/>
          <w:sz w:val="24"/>
          <w:szCs w:val="24"/>
        </w:rPr>
        <w:t xml:space="preserve"> a través de la Gerencia de Informática del Poder Judicial ha realizado la modificación del aplicativo informático: “Sistema Integrado Judicial (SIJ)”, a fin de incluir nuevas categorías en el registro de los casos de Trata de Personas.</w:t>
      </w:r>
    </w:p>
    <w:p w14:paraId="12F3A8EF" w14:textId="77777777" w:rsidR="003E4BB2" w:rsidRDefault="003E4BB2" w:rsidP="009D5091">
      <w:pPr>
        <w:spacing w:after="0" w:line="240" w:lineRule="auto"/>
        <w:jc w:val="both"/>
        <w:rPr>
          <w:rFonts w:ascii="Cambria" w:hAnsi="Cambria" w:cs="Times New Roman"/>
          <w:sz w:val="24"/>
          <w:szCs w:val="24"/>
        </w:rPr>
      </w:pPr>
    </w:p>
    <w:p w14:paraId="36DACCE7" w14:textId="77777777" w:rsidR="003E4BB2" w:rsidRPr="009D5091" w:rsidRDefault="003E4BB2" w:rsidP="003E4BB2">
      <w:pPr>
        <w:spacing w:after="0" w:line="240" w:lineRule="auto"/>
        <w:jc w:val="both"/>
        <w:rPr>
          <w:rFonts w:ascii="Cambria" w:hAnsi="Cambria" w:cs="Times New Roman"/>
          <w:sz w:val="24"/>
          <w:szCs w:val="24"/>
        </w:rPr>
      </w:pPr>
      <w:r w:rsidRPr="009D5091">
        <w:rPr>
          <w:rFonts w:ascii="Cambria" w:hAnsi="Cambria" w:cs="Times New Roman"/>
          <w:sz w:val="24"/>
          <w:szCs w:val="24"/>
        </w:rPr>
        <w:t>El Ministerio Público ha efectuado, durante el año 2014 el “Encuentro Nacional de Capacitación de las Unidades de Asistencia a Víctimas y Testigos, en su rol por combatir el Crimen Organizado”, donde se abordó la problemática de la trata de personas. En este encuentro se logró capacitar a 25 abogados de diversas regiones del país.</w:t>
      </w:r>
    </w:p>
    <w:p w14:paraId="49A8419C" w14:textId="77777777" w:rsidR="009D5091" w:rsidRPr="009D5091" w:rsidRDefault="009D5091" w:rsidP="009D5091">
      <w:pPr>
        <w:spacing w:after="0" w:line="240" w:lineRule="auto"/>
        <w:jc w:val="both"/>
        <w:rPr>
          <w:rFonts w:ascii="Cambria" w:hAnsi="Cambria" w:cs="Times New Roman"/>
          <w:sz w:val="24"/>
          <w:szCs w:val="24"/>
        </w:rPr>
      </w:pPr>
    </w:p>
    <w:p w14:paraId="56E9CB13" w14:textId="3BA44CE1" w:rsidR="009D5091" w:rsidRPr="00B33822" w:rsidRDefault="00B33822" w:rsidP="000F156E">
      <w:pPr>
        <w:pStyle w:val="ListParagraph"/>
        <w:numPr>
          <w:ilvl w:val="0"/>
          <w:numId w:val="6"/>
        </w:numPr>
        <w:spacing w:after="0" w:line="240" w:lineRule="auto"/>
        <w:jc w:val="both"/>
        <w:rPr>
          <w:rFonts w:ascii="Cambria" w:hAnsi="Cambria" w:cs="Times New Roman"/>
          <w:sz w:val="24"/>
          <w:szCs w:val="24"/>
        </w:rPr>
      </w:pPr>
      <w:r w:rsidRPr="00B33822">
        <w:rPr>
          <w:rFonts w:ascii="Cambria" w:hAnsi="Cambria" w:cs="Times New Roman"/>
          <w:b/>
          <w:sz w:val="24"/>
          <w:szCs w:val="24"/>
        </w:rPr>
        <w:t>O</w:t>
      </w:r>
      <w:r w:rsidR="009D5091" w:rsidRPr="00B33822">
        <w:rPr>
          <w:rFonts w:ascii="Cambria" w:hAnsi="Cambria" w:cs="Times New Roman"/>
          <w:b/>
          <w:sz w:val="24"/>
          <w:szCs w:val="24"/>
        </w:rPr>
        <w:t xml:space="preserve">perativos </w:t>
      </w:r>
    </w:p>
    <w:p w14:paraId="73A497C4" w14:textId="77777777" w:rsidR="00B33822" w:rsidRPr="00B33822" w:rsidRDefault="00B33822" w:rsidP="00B33822">
      <w:pPr>
        <w:pStyle w:val="ListParagraph"/>
        <w:spacing w:after="0" w:line="240" w:lineRule="auto"/>
        <w:ind w:left="770"/>
        <w:jc w:val="both"/>
        <w:rPr>
          <w:rFonts w:ascii="Cambria" w:hAnsi="Cambria" w:cs="Times New Roman"/>
          <w:sz w:val="24"/>
          <w:szCs w:val="24"/>
        </w:rPr>
      </w:pPr>
    </w:p>
    <w:p w14:paraId="62207ABB" w14:textId="3BE33E71"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La Dirección de Investigación de Delitos contra la Trata de Personas (DIVINTRAP-PNP), durante el año 2014, ejecutó 210 operativos por el delito </w:t>
      </w:r>
      <w:r w:rsidR="00B33822">
        <w:rPr>
          <w:rFonts w:ascii="Cambria" w:hAnsi="Cambria" w:cs="Times New Roman"/>
          <w:sz w:val="24"/>
          <w:szCs w:val="24"/>
        </w:rPr>
        <w:t xml:space="preserve">de trata de </w:t>
      </w:r>
      <w:r w:rsidR="00B33822">
        <w:rPr>
          <w:rFonts w:ascii="Cambria" w:hAnsi="Cambria" w:cs="Times New Roman"/>
          <w:sz w:val="24"/>
          <w:szCs w:val="24"/>
        </w:rPr>
        <w:lastRenderedPageBreak/>
        <w:t>personas y afines,</w:t>
      </w:r>
      <w:r w:rsidRPr="009D5091">
        <w:rPr>
          <w:rFonts w:ascii="Cambria" w:hAnsi="Cambria" w:cs="Times New Roman"/>
          <w:sz w:val="24"/>
          <w:szCs w:val="24"/>
        </w:rPr>
        <w:t xml:space="preserve"> elaboró 174 atestados por ambas modalidades. En estos operativos se detuvo a 386 presuntos tratantes y se rescataron a 1,155 víctimas, siendo 1,119 (96.88%) víctimas mujeres y 36 (3.12 %) varones. De estas víctimas 72 eran menores de edad.</w:t>
      </w:r>
    </w:p>
    <w:p w14:paraId="190AC3F0" w14:textId="7EF1BB15" w:rsidR="009D5091" w:rsidRPr="009D5091" w:rsidRDefault="009D5091" w:rsidP="009D5091">
      <w:pPr>
        <w:spacing w:after="0" w:line="240" w:lineRule="auto"/>
        <w:jc w:val="both"/>
        <w:rPr>
          <w:rFonts w:ascii="Cambria" w:hAnsi="Cambria" w:cs="Times New Roman"/>
          <w:sz w:val="24"/>
          <w:szCs w:val="24"/>
        </w:rPr>
      </w:pPr>
    </w:p>
    <w:p w14:paraId="31645E10" w14:textId="1AA30852" w:rsidR="009D5091" w:rsidRPr="00BD67A4" w:rsidRDefault="00BD67A4" w:rsidP="009D5091">
      <w:pPr>
        <w:spacing w:after="0" w:line="240" w:lineRule="auto"/>
        <w:jc w:val="both"/>
        <w:rPr>
          <w:rFonts w:ascii="Cambria" w:hAnsi="Cambria" w:cs="Times New Roman"/>
          <w:sz w:val="24"/>
          <w:szCs w:val="24"/>
        </w:rPr>
      </w:pPr>
      <w:r w:rsidRPr="00BD67A4">
        <w:rPr>
          <w:rFonts w:ascii="Cambria" w:hAnsi="Cambria" w:cs="Times New Roman"/>
          <w:sz w:val="24"/>
          <w:szCs w:val="24"/>
        </w:rPr>
        <w:t>Durante el periodo de enero a junio de 2015, se ejecutaron 164 operativos y elaboraron 155 atestados, en las cuales se detuvieron a 394 presunt</w:t>
      </w:r>
      <w:r>
        <w:rPr>
          <w:rFonts w:ascii="Cambria" w:hAnsi="Cambria" w:cs="Times New Roman"/>
          <w:sz w:val="24"/>
          <w:szCs w:val="24"/>
        </w:rPr>
        <w:t>os tratantes. Se rescataron a 11</w:t>
      </w:r>
      <w:r w:rsidRPr="00BD67A4">
        <w:rPr>
          <w:rFonts w:ascii="Cambria" w:hAnsi="Cambria" w:cs="Times New Roman"/>
          <w:sz w:val="24"/>
          <w:szCs w:val="24"/>
        </w:rPr>
        <w:t>37 víctimas, siendo 1070 (94.1%) víctimas mujeres y 67 (5.9%) varones. De estas víctimas 38 eran menores de edad.</w:t>
      </w:r>
    </w:p>
    <w:p w14:paraId="4F4F746F" w14:textId="77777777" w:rsidR="009D5091" w:rsidRPr="009D5091" w:rsidRDefault="009D5091" w:rsidP="009D5091">
      <w:pPr>
        <w:spacing w:after="0" w:line="240" w:lineRule="auto"/>
        <w:jc w:val="both"/>
        <w:rPr>
          <w:rFonts w:ascii="Cambria" w:hAnsi="Cambria" w:cs="Times New Roman"/>
          <w:b/>
          <w:sz w:val="24"/>
          <w:szCs w:val="24"/>
          <w:u w:val="single"/>
          <w:lang w:val="es-MX"/>
        </w:rPr>
      </w:pPr>
    </w:p>
    <w:p w14:paraId="52143BF3" w14:textId="2AC3736C" w:rsidR="009D5091" w:rsidRPr="009D5091" w:rsidRDefault="00825788" w:rsidP="00FB38A1">
      <w:pPr>
        <w:spacing w:after="0" w:line="240" w:lineRule="auto"/>
        <w:ind w:left="708"/>
        <w:jc w:val="both"/>
        <w:rPr>
          <w:rFonts w:ascii="Cambria" w:hAnsi="Cambria" w:cs="Times New Roman"/>
          <w:b/>
          <w:sz w:val="24"/>
          <w:szCs w:val="24"/>
          <w:lang w:val="es-MX"/>
        </w:rPr>
      </w:pPr>
      <w:r>
        <w:rPr>
          <w:rFonts w:ascii="Cambria" w:hAnsi="Cambria" w:cs="Times New Roman"/>
          <w:b/>
          <w:sz w:val="24"/>
          <w:szCs w:val="24"/>
          <w:lang w:val="es-MX"/>
        </w:rPr>
        <w:t xml:space="preserve">c) </w:t>
      </w:r>
      <w:r w:rsidR="009D5091" w:rsidRPr="009D5091">
        <w:rPr>
          <w:rFonts w:ascii="Cambria" w:hAnsi="Cambria" w:cs="Times New Roman"/>
          <w:b/>
          <w:sz w:val="24"/>
          <w:szCs w:val="24"/>
          <w:lang w:val="es-MX"/>
        </w:rPr>
        <w:t>Eje de Asistencia y Protección</w:t>
      </w:r>
      <w:r w:rsidR="00804836">
        <w:rPr>
          <w:rFonts w:ascii="Cambria" w:hAnsi="Cambria" w:cs="Times New Roman"/>
          <w:b/>
          <w:sz w:val="24"/>
          <w:szCs w:val="24"/>
          <w:lang w:val="es-MX"/>
        </w:rPr>
        <w:t xml:space="preserve"> a las ví</w:t>
      </w:r>
      <w:r w:rsidR="00FB38A1">
        <w:rPr>
          <w:rFonts w:ascii="Cambria" w:hAnsi="Cambria" w:cs="Times New Roman"/>
          <w:b/>
          <w:sz w:val="24"/>
          <w:szCs w:val="24"/>
          <w:lang w:val="es-MX"/>
        </w:rPr>
        <w:t>ctimas</w:t>
      </w:r>
    </w:p>
    <w:p w14:paraId="6337B0CB" w14:textId="77777777" w:rsidR="00825788" w:rsidRPr="00FB38A1" w:rsidRDefault="00825788" w:rsidP="00FB38A1">
      <w:pPr>
        <w:spacing w:after="0" w:line="240" w:lineRule="auto"/>
        <w:jc w:val="both"/>
        <w:rPr>
          <w:rFonts w:ascii="Cambria" w:hAnsi="Cambria" w:cs="Times New Roman"/>
          <w:sz w:val="24"/>
          <w:szCs w:val="24"/>
          <w:lang w:val="es-MX"/>
        </w:rPr>
      </w:pPr>
    </w:p>
    <w:p w14:paraId="35ED1020" w14:textId="7337080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lang w:val="es-MX"/>
        </w:rPr>
        <w:t xml:space="preserve">La cámara </w:t>
      </w:r>
      <w:proofErr w:type="spellStart"/>
      <w:r w:rsidRPr="009D5091">
        <w:rPr>
          <w:rFonts w:ascii="Cambria" w:hAnsi="Cambria" w:cs="Times New Roman"/>
          <w:sz w:val="24"/>
          <w:szCs w:val="24"/>
          <w:lang w:val="es-MX"/>
        </w:rPr>
        <w:t>Gesell</w:t>
      </w:r>
      <w:proofErr w:type="spellEnd"/>
      <w:r w:rsidRPr="009D5091">
        <w:rPr>
          <w:rFonts w:ascii="Cambria" w:hAnsi="Cambria" w:cs="Times New Roman"/>
          <w:sz w:val="24"/>
          <w:szCs w:val="24"/>
          <w:lang w:val="es-MX"/>
        </w:rPr>
        <w:t xml:space="preserve">, herramienta de uso forense y legal que facilita la realización de la entrevista única, constituye un espacio fundamental para evitar la </w:t>
      </w:r>
      <w:proofErr w:type="spellStart"/>
      <w:r w:rsidRPr="009D5091">
        <w:rPr>
          <w:rFonts w:ascii="Cambria" w:hAnsi="Cambria" w:cs="Times New Roman"/>
          <w:sz w:val="24"/>
          <w:szCs w:val="24"/>
          <w:lang w:val="es-MX"/>
        </w:rPr>
        <w:t>revictimización</w:t>
      </w:r>
      <w:proofErr w:type="spellEnd"/>
      <w:r w:rsidRPr="009D5091">
        <w:rPr>
          <w:rFonts w:ascii="Cambria" w:hAnsi="Cambria" w:cs="Times New Roman"/>
          <w:sz w:val="24"/>
          <w:szCs w:val="24"/>
          <w:lang w:val="es-MX"/>
        </w:rPr>
        <w:t xml:space="preserve">. El </w:t>
      </w:r>
      <w:r w:rsidRPr="009D5091">
        <w:rPr>
          <w:rFonts w:ascii="Cambria" w:hAnsi="Cambria" w:cs="Times New Roman"/>
          <w:sz w:val="24"/>
          <w:szCs w:val="24"/>
        </w:rPr>
        <w:t>Ministerio Público</w:t>
      </w:r>
      <w:r w:rsidRPr="009D5091">
        <w:rPr>
          <w:rFonts w:ascii="Cambria" w:hAnsi="Cambria" w:cs="Times New Roman"/>
          <w:b/>
          <w:sz w:val="24"/>
          <w:szCs w:val="24"/>
        </w:rPr>
        <w:t xml:space="preserve"> </w:t>
      </w:r>
      <w:r w:rsidRPr="009D5091">
        <w:rPr>
          <w:rFonts w:ascii="Cambria" w:hAnsi="Cambria" w:cs="Times New Roman"/>
          <w:sz w:val="24"/>
          <w:szCs w:val="24"/>
        </w:rPr>
        <w:t xml:space="preserve">ha implementado 40 cámaras </w:t>
      </w:r>
      <w:proofErr w:type="spellStart"/>
      <w:r w:rsidRPr="009D5091">
        <w:rPr>
          <w:rFonts w:ascii="Cambria" w:hAnsi="Cambria" w:cs="Times New Roman"/>
          <w:sz w:val="24"/>
          <w:szCs w:val="24"/>
        </w:rPr>
        <w:t>Gesell</w:t>
      </w:r>
      <w:proofErr w:type="spellEnd"/>
      <w:r w:rsidRPr="009D5091">
        <w:rPr>
          <w:rFonts w:ascii="Cambria" w:hAnsi="Cambria" w:cs="Times New Roman"/>
          <w:sz w:val="24"/>
          <w:szCs w:val="24"/>
        </w:rPr>
        <w:t xml:space="preserve"> en 25 de los 32 distritos fiscales de todo el país. Respecto a la implementación de la Salas de Entrevista Única, espacio supletorio a la cámara </w:t>
      </w:r>
      <w:proofErr w:type="spellStart"/>
      <w:r w:rsidRPr="009D5091">
        <w:rPr>
          <w:rFonts w:ascii="Cambria" w:hAnsi="Cambria" w:cs="Times New Roman"/>
          <w:sz w:val="24"/>
          <w:szCs w:val="24"/>
        </w:rPr>
        <w:t>Gesell</w:t>
      </w:r>
      <w:proofErr w:type="spellEnd"/>
      <w:r w:rsidRPr="009D5091">
        <w:rPr>
          <w:rFonts w:ascii="Cambria" w:hAnsi="Cambria" w:cs="Times New Roman"/>
          <w:sz w:val="24"/>
          <w:szCs w:val="24"/>
        </w:rPr>
        <w:t>, se cuenta con un total de 20</w:t>
      </w:r>
      <w:r w:rsidR="00830499">
        <w:rPr>
          <w:rFonts w:ascii="Cambria" w:hAnsi="Cambria" w:cs="Times New Roman"/>
          <w:sz w:val="24"/>
          <w:szCs w:val="24"/>
        </w:rPr>
        <w:t xml:space="preserve"> salas</w:t>
      </w:r>
      <w:r w:rsidRPr="009D5091">
        <w:rPr>
          <w:rFonts w:ascii="Cambria" w:hAnsi="Cambria" w:cs="Times New Roman"/>
          <w:sz w:val="24"/>
          <w:szCs w:val="24"/>
        </w:rPr>
        <w:t>, ubicadas en 7 distritos judiciales del país.</w:t>
      </w:r>
    </w:p>
    <w:p w14:paraId="62907E27" w14:textId="77777777" w:rsidR="009D5091" w:rsidRPr="009D5091" w:rsidRDefault="009D5091" w:rsidP="009D5091">
      <w:pPr>
        <w:spacing w:after="0" w:line="240" w:lineRule="auto"/>
        <w:jc w:val="both"/>
        <w:rPr>
          <w:rFonts w:ascii="Cambria" w:hAnsi="Cambria" w:cs="Times New Roman"/>
          <w:sz w:val="24"/>
          <w:szCs w:val="24"/>
        </w:rPr>
      </w:pPr>
    </w:p>
    <w:p w14:paraId="5C4498E6"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El Ministerio Público, también, cuenta con siete salas de acogida transitorias para víctimas de Trata de Personas en el país, con el objetivo de poder concretar las diligencias Fiscales y proporcionar un ambiente adecuado a la víctima, cada sala cuenta con una capacidad total para albergar a 11 personas.</w:t>
      </w:r>
    </w:p>
    <w:p w14:paraId="6CE02D2D" w14:textId="77777777" w:rsidR="009D5091" w:rsidRPr="009D5091" w:rsidRDefault="009D5091" w:rsidP="009D5091">
      <w:pPr>
        <w:spacing w:after="0" w:line="240" w:lineRule="auto"/>
        <w:jc w:val="both"/>
        <w:rPr>
          <w:rFonts w:ascii="Cambria" w:hAnsi="Cambria" w:cs="Times New Roman"/>
          <w:sz w:val="24"/>
          <w:szCs w:val="24"/>
        </w:rPr>
      </w:pPr>
    </w:p>
    <w:p w14:paraId="6F3208A3" w14:textId="469440EA"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El Grupo de Trabajo Multisectorial Permane</w:t>
      </w:r>
      <w:r w:rsidR="00830499">
        <w:rPr>
          <w:rFonts w:ascii="Cambria" w:hAnsi="Cambria" w:cs="Times New Roman"/>
          <w:sz w:val="24"/>
          <w:szCs w:val="24"/>
        </w:rPr>
        <w:t>nte contra la Trata de Personas</w:t>
      </w:r>
      <w:r w:rsidRPr="009D5091">
        <w:rPr>
          <w:rFonts w:ascii="Cambria" w:hAnsi="Cambria" w:cs="Times New Roman"/>
          <w:sz w:val="24"/>
          <w:szCs w:val="24"/>
        </w:rPr>
        <w:t xml:space="preserve"> inició d</w:t>
      </w:r>
      <w:r w:rsidR="00830499">
        <w:rPr>
          <w:rFonts w:ascii="Cambria" w:hAnsi="Cambria" w:cs="Times New Roman"/>
          <w:sz w:val="24"/>
          <w:szCs w:val="24"/>
        </w:rPr>
        <w:t>urante el mes de agosto de 2014</w:t>
      </w:r>
      <w:r w:rsidRPr="009D5091">
        <w:rPr>
          <w:rFonts w:ascii="Cambria" w:hAnsi="Cambria" w:cs="Times New Roman"/>
          <w:sz w:val="24"/>
          <w:szCs w:val="24"/>
        </w:rPr>
        <w:t xml:space="preserve"> la elaboración del Protocolo Intersectorial en materia de Trata de Personas, instrumento técnico marco que permitirá establecer pautas operativas que garanticen la prevención y persecución de la Trata de Personas, así como la atención, protección y reinserción de las víctimas </w:t>
      </w:r>
      <w:r w:rsidR="00825788">
        <w:rPr>
          <w:rFonts w:ascii="Cambria" w:hAnsi="Cambria" w:cs="Times New Roman"/>
          <w:sz w:val="24"/>
          <w:szCs w:val="24"/>
        </w:rPr>
        <w:t>de trata de personas peruanas</w:t>
      </w:r>
      <w:r w:rsidRPr="009D5091">
        <w:rPr>
          <w:rFonts w:ascii="Cambria" w:hAnsi="Cambria" w:cs="Times New Roman"/>
          <w:sz w:val="24"/>
          <w:szCs w:val="24"/>
        </w:rPr>
        <w:t xml:space="preserve"> en el exte</w:t>
      </w:r>
      <w:r w:rsidR="00825788">
        <w:rPr>
          <w:rFonts w:ascii="Cambria" w:hAnsi="Cambria" w:cs="Times New Roman"/>
          <w:sz w:val="24"/>
          <w:szCs w:val="24"/>
        </w:rPr>
        <w:t>rior o en el país y extranjer</w:t>
      </w:r>
      <w:r w:rsidRPr="009D5091">
        <w:rPr>
          <w:rFonts w:ascii="Cambria" w:hAnsi="Cambria" w:cs="Times New Roman"/>
          <w:sz w:val="24"/>
          <w:szCs w:val="24"/>
        </w:rPr>
        <w:t>os en el Perú.</w:t>
      </w:r>
    </w:p>
    <w:p w14:paraId="6D8247A1" w14:textId="77777777" w:rsidR="009D5091" w:rsidRPr="009D5091" w:rsidRDefault="009D5091" w:rsidP="009D5091">
      <w:pPr>
        <w:spacing w:after="0" w:line="240" w:lineRule="auto"/>
        <w:jc w:val="both"/>
        <w:rPr>
          <w:rFonts w:ascii="Cambria" w:hAnsi="Cambria" w:cs="Times New Roman"/>
          <w:sz w:val="24"/>
          <w:szCs w:val="24"/>
        </w:rPr>
      </w:pPr>
    </w:p>
    <w:p w14:paraId="3582CB71" w14:textId="4DD7065B" w:rsidR="00825788" w:rsidRPr="00825788" w:rsidRDefault="00825788" w:rsidP="00825788">
      <w:pPr>
        <w:spacing w:after="0" w:line="240" w:lineRule="auto"/>
        <w:jc w:val="both"/>
        <w:rPr>
          <w:rFonts w:ascii="Cambria" w:hAnsi="Cambria" w:cs="Times New Roman"/>
          <w:sz w:val="24"/>
          <w:szCs w:val="24"/>
        </w:rPr>
      </w:pPr>
      <w:r w:rsidRPr="00825788">
        <w:rPr>
          <w:rFonts w:ascii="Cambria" w:hAnsi="Cambria" w:cs="Times New Roman"/>
          <w:sz w:val="24"/>
          <w:szCs w:val="24"/>
        </w:rPr>
        <w:t>El Ministerio de la Mujer y Poblaciones Vulnerables</w:t>
      </w:r>
      <w:r>
        <w:rPr>
          <w:rFonts w:ascii="Cambria" w:hAnsi="Cambria" w:cs="Times New Roman"/>
          <w:sz w:val="24"/>
          <w:szCs w:val="24"/>
        </w:rPr>
        <w:t xml:space="preserve"> (MIMP)</w:t>
      </w:r>
      <w:r w:rsidRPr="00825788">
        <w:rPr>
          <w:rFonts w:ascii="Cambria" w:hAnsi="Cambria" w:cs="Times New Roman"/>
          <w:sz w:val="24"/>
          <w:szCs w:val="24"/>
        </w:rPr>
        <w:t xml:space="preserve">, en el marco de sus competencias, mediante Resolución Ministerial N° 203-2014-MIMP, del 20 de junio de 2014, aprobó el Protocolo </w:t>
      </w:r>
      <w:proofErr w:type="spellStart"/>
      <w:r w:rsidRPr="00825788">
        <w:rPr>
          <w:rFonts w:ascii="Cambria" w:hAnsi="Cambria" w:cs="Times New Roman"/>
          <w:sz w:val="24"/>
          <w:szCs w:val="24"/>
        </w:rPr>
        <w:t>Intrasectorial</w:t>
      </w:r>
      <w:proofErr w:type="spellEnd"/>
      <w:r w:rsidRPr="00825788">
        <w:rPr>
          <w:rFonts w:ascii="Cambria" w:hAnsi="Cambria" w:cs="Times New Roman"/>
          <w:sz w:val="24"/>
          <w:szCs w:val="24"/>
        </w:rPr>
        <w:t xml:space="preserve"> para la Atención a Víctimas de Trata de Personas. El </w:t>
      </w:r>
      <w:r>
        <w:rPr>
          <w:rFonts w:ascii="Cambria" w:hAnsi="Cambria" w:cs="Times New Roman"/>
          <w:sz w:val="24"/>
          <w:szCs w:val="24"/>
        </w:rPr>
        <w:t>MIMP</w:t>
      </w:r>
      <w:r w:rsidR="000F156E">
        <w:rPr>
          <w:rFonts w:ascii="Cambria" w:hAnsi="Cambria" w:cs="Times New Roman"/>
          <w:sz w:val="24"/>
          <w:szCs w:val="24"/>
        </w:rPr>
        <w:t xml:space="preserve"> posee (</w:t>
      </w:r>
      <w:r w:rsidRPr="00825788">
        <w:rPr>
          <w:rFonts w:ascii="Cambria" w:hAnsi="Cambria" w:cs="Times New Roman"/>
          <w:sz w:val="24"/>
          <w:szCs w:val="24"/>
        </w:rPr>
        <w:t>4</w:t>
      </w:r>
      <w:r w:rsidR="000F156E">
        <w:rPr>
          <w:rFonts w:ascii="Cambria" w:hAnsi="Cambria" w:cs="Times New Roman"/>
          <w:sz w:val="24"/>
          <w:szCs w:val="24"/>
        </w:rPr>
        <w:t>)</w:t>
      </w:r>
      <w:r w:rsidRPr="00825788">
        <w:rPr>
          <w:rFonts w:ascii="Cambria" w:hAnsi="Cambria" w:cs="Times New Roman"/>
          <w:sz w:val="24"/>
          <w:szCs w:val="24"/>
        </w:rPr>
        <w:t xml:space="preserve"> </w:t>
      </w:r>
      <w:r w:rsidR="000F156E">
        <w:rPr>
          <w:rFonts w:ascii="Cambria" w:hAnsi="Cambria" w:cs="Times New Roman"/>
          <w:sz w:val="24"/>
          <w:szCs w:val="24"/>
        </w:rPr>
        <w:t xml:space="preserve">cuatro </w:t>
      </w:r>
      <w:r w:rsidRPr="00825788">
        <w:rPr>
          <w:rFonts w:ascii="Cambria" w:hAnsi="Cambria" w:cs="Times New Roman"/>
          <w:sz w:val="24"/>
          <w:szCs w:val="24"/>
        </w:rPr>
        <w:t>Centros de Atención Residencial (CAR) para la atención de victimas de trata de personas, los mismos que se encuentran en Lima,</w:t>
      </w:r>
      <w:r>
        <w:rPr>
          <w:rFonts w:ascii="Cambria" w:hAnsi="Cambria" w:cs="Times New Roman"/>
          <w:sz w:val="24"/>
          <w:szCs w:val="24"/>
        </w:rPr>
        <w:t xml:space="preserve"> Callao, Loreto y Madre de Dios, (2) d</w:t>
      </w:r>
      <w:r w:rsidRPr="00825788">
        <w:rPr>
          <w:rFonts w:ascii="Cambria" w:hAnsi="Cambria" w:cs="Times New Roman"/>
          <w:sz w:val="24"/>
          <w:szCs w:val="24"/>
        </w:rPr>
        <w:t>os de estos centros atienden niños, niñas y adolescentes victimas de trata.</w:t>
      </w:r>
    </w:p>
    <w:p w14:paraId="2FA706FF" w14:textId="77777777" w:rsidR="009D5091" w:rsidRPr="009D5091" w:rsidRDefault="009D5091" w:rsidP="009D5091">
      <w:pPr>
        <w:spacing w:after="0" w:line="240" w:lineRule="auto"/>
        <w:jc w:val="both"/>
        <w:rPr>
          <w:rFonts w:ascii="Cambria" w:hAnsi="Cambria" w:cs="Times New Roman"/>
          <w:sz w:val="24"/>
          <w:szCs w:val="24"/>
        </w:rPr>
      </w:pPr>
    </w:p>
    <w:p w14:paraId="35C42D2B" w14:textId="77777777" w:rsidR="009D5091" w:rsidRP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 xml:space="preserve">El Ministerio de Justicia y Derechos Humanos a través de la Dirección General de Defensa Publica y Acceso a la Justicia, durante el año 2014, ha brindado patrocinio legal a 12 víctimas de Trata de Personas en Amazonas, Ancash, Cusco, La Libertad, Lima, Loreto y Moquegua, de las cuales 8 son del sexo femenino y 4 del masculino. Durante el año 2014, la Dirección contaba con 137 Defensores Públicos de Víctimas, pero para el año 2015, se ha logrado incrementar esta cantidad, </w:t>
      </w:r>
      <w:r w:rsidRPr="009D5091">
        <w:rPr>
          <w:rFonts w:ascii="Cambria" w:hAnsi="Cambria" w:cs="Times New Roman"/>
          <w:sz w:val="24"/>
          <w:szCs w:val="24"/>
        </w:rPr>
        <w:lastRenderedPageBreak/>
        <w:t>registrándose, hasta junio del presente año, un total de 223 Defensores Públicos de víctimas a nivel nacional.</w:t>
      </w:r>
    </w:p>
    <w:p w14:paraId="70836524" w14:textId="77777777" w:rsidR="009D5091" w:rsidRPr="009D5091" w:rsidRDefault="009D5091" w:rsidP="009D5091">
      <w:pPr>
        <w:spacing w:after="0" w:line="240" w:lineRule="auto"/>
        <w:jc w:val="both"/>
        <w:rPr>
          <w:rFonts w:ascii="Cambria" w:hAnsi="Cambria" w:cs="Times New Roman"/>
          <w:sz w:val="24"/>
          <w:szCs w:val="24"/>
        </w:rPr>
      </w:pPr>
    </w:p>
    <w:p w14:paraId="1474F5E1" w14:textId="46CBA0AB" w:rsidR="009D5091" w:rsidRDefault="009D5091" w:rsidP="009D5091">
      <w:pPr>
        <w:spacing w:after="0" w:line="240" w:lineRule="auto"/>
        <w:jc w:val="both"/>
        <w:rPr>
          <w:rFonts w:ascii="Cambria" w:hAnsi="Cambria" w:cs="Times New Roman"/>
          <w:sz w:val="24"/>
          <w:szCs w:val="24"/>
        </w:rPr>
      </w:pPr>
      <w:r w:rsidRPr="009D5091">
        <w:rPr>
          <w:rFonts w:ascii="Cambria" w:hAnsi="Cambria" w:cs="Times New Roman"/>
          <w:sz w:val="24"/>
          <w:szCs w:val="24"/>
        </w:rPr>
        <w:t>La ONG Capital Humano y Social Alternativ</w:t>
      </w:r>
      <w:r w:rsidR="003E4BB2">
        <w:rPr>
          <w:rFonts w:ascii="Cambria" w:hAnsi="Cambria" w:cs="Times New Roman"/>
          <w:sz w:val="24"/>
          <w:szCs w:val="24"/>
        </w:rPr>
        <w:t>o viene brindando</w:t>
      </w:r>
      <w:r w:rsidRPr="009D5091">
        <w:rPr>
          <w:rFonts w:ascii="Cambria" w:hAnsi="Cambria" w:cs="Times New Roman"/>
          <w:sz w:val="24"/>
          <w:szCs w:val="24"/>
        </w:rPr>
        <w:t xml:space="preserve"> talleres de capacitación a los abogados del Centro de Atención Legal y Psicológico, de Lima e Iquitos, en lo referente a trámites de denuncias, asesoría legal, acompañamiento y seguimiento de casos de Trata de Persona</w:t>
      </w:r>
      <w:r w:rsidR="000F156E">
        <w:rPr>
          <w:rFonts w:ascii="Cambria" w:hAnsi="Cambria" w:cs="Times New Roman"/>
          <w:sz w:val="24"/>
          <w:szCs w:val="24"/>
        </w:rPr>
        <w:t>s.</w:t>
      </w:r>
    </w:p>
    <w:p w14:paraId="4F3DD883" w14:textId="77777777" w:rsidR="00497196" w:rsidRDefault="00497196" w:rsidP="004F3CF5">
      <w:pPr>
        <w:spacing w:after="0" w:line="240" w:lineRule="auto"/>
        <w:jc w:val="both"/>
        <w:rPr>
          <w:rFonts w:ascii="Cambria" w:hAnsi="Cambria" w:cs="Times New Roman"/>
          <w:sz w:val="24"/>
          <w:szCs w:val="24"/>
        </w:rPr>
      </w:pPr>
    </w:p>
    <w:p w14:paraId="7B7C20B7" w14:textId="77777777" w:rsidR="00EF571C" w:rsidRDefault="00EF571C" w:rsidP="00FA68EB">
      <w:pPr>
        <w:spacing w:after="0" w:line="240" w:lineRule="auto"/>
        <w:jc w:val="both"/>
        <w:rPr>
          <w:rFonts w:ascii="Cambria" w:hAnsi="Cambria" w:cs="Times New Roman"/>
          <w:sz w:val="24"/>
          <w:szCs w:val="24"/>
        </w:rPr>
      </w:pPr>
    </w:p>
    <w:p w14:paraId="6400051D" w14:textId="67911A46" w:rsidR="00EF571C" w:rsidRPr="000F156E" w:rsidRDefault="000F156E" w:rsidP="00FA68EB">
      <w:pPr>
        <w:spacing w:after="0" w:line="240" w:lineRule="auto"/>
        <w:jc w:val="both"/>
        <w:rPr>
          <w:rFonts w:ascii="Cambria" w:hAnsi="Cambria" w:cs="Times New Roman"/>
          <w:b/>
          <w:sz w:val="24"/>
          <w:szCs w:val="24"/>
        </w:rPr>
      </w:pPr>
      <w:r>
        <w:rPr>
          <w:rFonts w:ascii="Cambria" w:hAnsi="Cambria" w:cs="Times New Roman"/>
          <w:b/>
          <w:sz w:val="24"/>
          <w:szCs w:val="24"/>
        </w:rPr>
        <w:t>B. ¿Se han implementado en su país (como país de origen, de tránsito y/o destino) medidas para garantizar un enfoque de derechos humanos a la gobernanza de la migración de tránsito?</w:t>
      </w:r>
    </w:p>
    <w:p w14:paraId="6FD11475" w14:textId="77777777" w:rsidR="00EF571C" w:rsidRPr="00FA68EB" w:rsidRDefault="00EF571C" w:rsidP="00FA68EB">
      <w:pPr>
        <w:spacing w:after="0" w:line="240" w:lineRule="auto"/>
        <w:jc w:val="both"/>
        <w:rPr>
          <w:rFonts w:ascii="Cambria" w:hAnsi="Cambria" w:cs="Times New Roman"/>
          <w:sz w:val="24"/>
          <w:szCs w:val="24"/>
        </w:rPr>
      </w:pPr>
    </w:p>
    <w:p w14:paraId="412D2BCD" w14:textId="5458D814" w:rsidR="004F5395" w:rsidRDefault="00023E9C" w:rsidP="00023E9C">
      <w:pPr>
        <w:spacing w:after="0" w:line="240" w:lineRule="auto"/>
        <w:jc w:val="both"/>
        <w:rPr>
          <w:rFonts w:ascii="Cambria" w:hAnsi="Cambria" w:cs="Times New Roman"/>
          <w:sz w:val="24"/>
          <w:szCs w:val="24"/>
        </w:rPr>
      </w:pPr>
      <w:r w:rsidRPr="00023E9C">
        <w:rPr>
          <w:rFonts w:ascii="Cambria" w:hAnsi="Cambria" w:cs="Times New Roman"/>
          <w:sz w:val="24"/>
          <w:szCs w:val="24"/>
        </w:rPr>
        <w:t>El Dec</w:t>
      </w:r>
      <w:r w:rsidR="0015639E">
        <w:rPr>
          <w:rFonts w:ascii="Cambria" w:hAnsi="Cambria" w:cs="Times New Roman"/>
          <w:sz w:val="24"/>
          <w:szCs w:val="24"/>
        </w:rPr>
        <w:t>reto Legislativo de Migraciones</w:t>
      </w:r>
      <w:r w:rsidR="000F156E">
        <w:rPr>
          <w:rFonts w:ascii="Cambria" w:hAnsi="Cambria" w:cs="Times New Roman"/>
          <w:sz w:val="24"/>
          <w:szCs w:val="24"/>
        </w:rPr>
        <w:t xml:space="preserve"> (DL N° 1236) establece criterios de protección </w:t>
      </w:r>
      <w:r w:rsidR="00CD2C59">
        <w:rPr>
          <w:rFonts w:ascii="Cambria" w:hAnsi="Cambria" w:cs="Times New Roman"/>
          <w:sz w:val="24"/>
          <w:szCs w:val="24"/>
        </w:rPr>
        <w:t xml:space="preserve">de </w:t>
      </w:r>
      <w:r w:rsidR="000F156E">
        <w:rPr>
          <w:rFonts w:ascii="Cambria" w:hAnsi="Cambria" w:cs="Times New Roman"/>
          <w:sz w:val="24"/>
          <w:szCs w:val="24"/>
        </w:rPr>
        <w:t xml:space="preserve">los derechos </w:t>
      </w:r>
      <w:r w:rsidR="00CD2C59">
        <w:rPr>
          <w:rFonts w:ascii="Cambria" w:hAnsi="Cambria" w:cs="Times New Roman"/>
          <w:sz w:val="24"/>
          <w:szCs w:val="24"/>
        </w:rPr>
        <w:t xml:space="preserve">humanos </w:t>
      </w:r>
      <w:r w:rsidR="000F156E">
        <w:rPr>
          <w:rFonts w:ascii="Cambria" w:hAnsi="Cambria" w:cs="Times New Roman"/>
          <w:sz w:val="24"/>
          <w:szCs w:val="24"/>
        </w:rPr>
        <w:t>de las personas migrantes en el Perú</w:t>
      </w:r>
      <w:r w:rsidR="00CD2C59">
        <w:rPr>
          <w:rFonts w:ascii="Cambria" w:hAnsi="Cambria" w:cs="Times New Roman"/>
          <w:sz w:val="24"/>
          <w:szCs w:val="24"/>
        </w:rPr>
        <w:t>. Así, e</w:t>
      </w:r>
      <w:r w:rsidR="00CD2C59" w:rsidRPr="00CD2C59">
        <w:rPr>
          <w:rFonts w:ascii="Cambria" w:hAnsi="Cambria" w:cs="Times New Roman"/>
          <w:sz w:val="24"/>
          <w:szCs w:val="24"/>
        </w:rPr>
        <w:t xml:space="preserve">l Estado proporciona al extranjero información sobre los requisitos para su ingreso, permanencia, residencia y </w:t>
      </w:r>
      <w:r w:rsidR="00CD2C59">
        <w:rPr>
          <w:rFonts w:ascii="Cambria" w:hAnsi="Cambria" w:cs="Times New Roman"/>
          <w:sz w:val="24"/>
          <w:szCs w:val="24"/>
        </w:rPr>
        <w:t xml:space="preserve">salida del territorio nacional. </w:t>
      </w:r>
      <w:r w:rsidR="00CD2C59" w:rsidRPr="00CD2C59">
        <w:rPr>
          <w:rFonts w:ascii="Cambria" w:hAnsi="Cambria" w:cs="Times New Roman"/>
          <w:sz w:val="24"/>
          <w:szCs w:val="24"/>
        </w:rPr>
        <w:t>Los extranjeros en el territorio nacional tienen derecho a solicitar el cambio de</w:t>
      </w:r>
      <w:r w:rsidR="003E4BB2">
        <w:rPr>
          <w:rFonts w:ascii="Cambria" w:hAnsi="Cambria" w:cs="Times New Roman"/>
          <w:sz w:val="24"/>
          <w:szCs w:val="24"/>
        </w:rPr>
        <w:t xml:space="preserve"> calidad o categoría migratoria</w:t>
      </w:r>
      <w:r w:rsidR="00CD2C59" w:rsidRPr="00CD2C59">
        <w:rPr>
          <w:rFonts w:ascii="Cambria" w:hAnsi="Cambria" w:cs="Times New Roman"/>
          <w:sz w:val="24"/>
          <w:szCs w:val="24"/>
        </w:rPr>
        <w:t xml:space="preserve"> que les corresponda. Los requisitos y condiciones se establecen en el Reglamento</w:t>
      </w:r>
      <w:r w:rsidR="00CD2C59">
        <w:rPr>
          <w:rFonts w:ascii="Cambria" w:hAnsi="Cambria" w:cs="Times New Roman"/>
          <w:sz w:val="24"/>
          <w:szCs w:val="24"/>
        </w:rPr>
        <w:t xml:space="preserve"> </w:t>
      </w:r>
      <w:r w:rsidR="004F5395">
        <w:rPr>
          <w:rFonts w:ascii="Cambria" w:hAnsi="Cambria" w:cs="Times New Roman"/>
          <w:sz w:val="24"/>
          <w:szCs w:val="24"/>
        </w:rPr>
        <w:t>(art. 9 y 10</w:t>
      </w:r>
      <w:r w:rsidR="004F5395" w:rsidRPr="004F5395">
        <w:t xml:space="preserve"> </w:t>
      </w:r>
      <w:r w:rsidR="004F5395" w:rsidRPr="004F5395">
        <w:rPr>
          <w:rFonts w:ascii="Cambria" w:hAnsi="Cambria" w:cs="Times New Roman"/>
          <w:sz w:val="24"/>
          <w:szCs w:val="24"/>
        </w:rPr>
        <w:t>del DL N° 1236</w:t>
      </w:r>
      <w:r w:rsidR="004F5395">
        <w:rPr>
          <w:rFonts w:ascii="Cambria" w:hAnsi="Cambria" w:cs="Times New Roman"/>
          <w:sz w:val="24"/>
          <w:szCs w:val="24"/>
        </w:rPr>
        <w:t>)</w:t>
      </w:r>
      <w:r w:rsidR="00CD2C59" w:rsidRPr="00CD2C59">
        <w:rPr>
          <w:rFonts w:ascii="Cambria" w:hAnsi="Cambria" w:cs="Times New Roman"/>
          <w:sz w:val="24"/>
          <w:szCs w:val="24"/>
        </w:rPr>
        <w:t>.</w:t>
      </w:r>
      <w:r w:rsidR="00CD2C59">
        <w:rPr>
          <w:rFonts w:ascii="Cambria" w:hAnsi="Cambria" w:cs="Times New Roman"/>
          <w:sz w:val="24"/>
          <w:szCs w:val="24"/>
        </w:rPr>
        <w:t xml:space="preserve"> </w:t>
      </w:r>
    </w:p>
    <w:p w14:paraId="09EE9156" w14:textId="77777777" w:rsidR="004F5395" w:rsidRDefault="004F5395" w:rsidP="00023E9C">
      <w:pPr>
        <w:spacing w:after="0" w:line="240" w:lineRule="auto"/>
        <w:jc w:val="both"/>
        <w:rPr>
          <w:rFonts w:ascii="Cambria" w:hAnsi="Cambria" w:cs="Times New Roman"/>
          <w:sz w:val="24"/>
          <w:szCs w:val="24"/>
        </w:rPr>
      </w:pPr>
    </w:p>
    <w:p w14:paraId="37D1CAE8" w14:textId="1FBBF145" w:rsidR="004F5395" w:rsidRPr="00CD2C59" w:rsidRDefault="00CD2C59" w:rsidP="004F5395">
      <w:pPr>
        <w:spacing w:after="0" w:line="240" w:lineRule="auto"/>
        <w:jc w:val="both"/>
        <w:rPr>
          <w:rFonts w:ascii="Cambria" w:hAnsi="Cambria" w:cs="Times New Roman"/>
        </w:rPr>
      </w:pPr>
      <w:r>
        <w:rPr>
          <w:rFonts w:ascii="Cambria" w:hAnsi="Cambria" w:cs="Times New Roman"/>
          <w:sz w:val="24"/>
          <w:szCs w:val="24"/>
        </w:rPr>
        <w:t xml:space="preserve">Además, </w:t>
      </w:r>
      <w:r w:rsidR="004F5395">
        <w:rPr>
          <w:rFonts w:ascii="Cambria" w:hAnsi="Cambria" w:cs="Times New Roman"/>
          <w:sz w:val="24"/>
          <w:szCs w:val="24"/>
        </w:rPr>
        <w:t xml:space="preserve">en el ordenamiento jurídico interno </w:t>
      </w:r>
      <w:r w:rsidR="003E4BB2">
        <w:rPr>
          <w:rFonts w:ascii="Cambria" w:hAnsi="Cambria" w:cs="Times New Roman"/>
          <w:sz w:val="24"/>
          <w:szCs w:val="24"/>
        </w:rPr>
        <w:t xml:space="preserve">se </w:t>
      </w:r>
      <w:r w:rsidR="004F5395">
        <w:rPr>
          <w:rFonts w:ascii="Cambria" w:hAnsi="Cambria" w:cs="Times New Roman"/>
          <w:sz w:val="24"/>
          <w:szCs w:val="24"/>
        </w:rPr>
        <w:t>reconoce el goce y ejercicio</w:t>
      </w:r>
      <w:r w:rsidR="003E4BB2">
        <w:rPr>
          <w:rFonts w:ascii="Cambria" w:hAnsi="Cambria" w:cs="Times New Roman"/>
          <w:sz w:val="24"/>
          <w:szCs w:val="24"/>
        </w:rPr>
        <w:t xml:space="preserve"> de los derechos fundamentales de</w:t>
      </w:r>
      <w:r w:rsidR="004F5395">
        <w:rPr>
          <w:rFonts w:ascii="Cambria" w:hAnsi="Cambria" w:cs="Times New Roman"/>
          <w:sz w:val="24"/>
          <w:szCs w:val="24"/>
        </w:rPr>
        <w:t xml:space="preserve"> las personas extranjeras en el país (art. 8)</w:t>
      </w:r>
      <w:r w:rsidR="004F5395">
        <w:rPr>
          <w:rStyle w:val="FootnoteReference"/>
          <w:rFonts w:ascii="Cambria" w:hAnsi="Cambria" w:cs="Times New Roman"/>
          <w:sz w:val="24"/>
          <w:szCs w:val="24"/>
        </w:rPr>
        <w:footnoteReference w:id="3"/>
      </w:r>
      <w:r>
        <w:rPr>
          <w:rFonts w:ascii="Cambria" w:hAnsi="Cambria" w:cs="Times New Roman"/>
          <w:sz w:val="24"/>
          <w:szCs w:val="24"/>
        </w:rPr>
        <w:t xml:space="preserve"> </w:t>
      </w:r>
      <w:r w:rsidR="004F5395">
        <w:rPr>
          <w:rFonts w:ascii="Cambria" w:hAnsi="Cambria" w:cs="Times New Roman"/>
          <w:sz w:val="24"/>
          <w:szCs w:val="24"/>
        </w:rPr>
        <w:t>y señala expresamente que los</w:t>
      </w:r>
      <w:r w:rsidR="004F5395" w:rsidRPr="004F5395">
        <w:rPr>
          <w:rFonts w:ascii="Cambria" w:hAnsi="Cambria" w:cs="Times New Roman"/>
        </w:rPr>
        <w:t xml:space="preserve"> extranjero</w:t>
      </w:r>
      <w:r w:rsidR="004F5395">
        <w:rPr>
          <w:rFonts w:ascii="Cambria" w:hAnsi="Cambria" w:cs="Times New Roman"/>
        </w:rPr>
        <w:t>s</w:t>
      </w:r>
      <w:r w:rsidR="004F5395" w:rsidRPr="004F5395">
        <w:rPr>
          <w:rFonts w:ascii="Cambria" w:hAnsi="Cambria" w:cs="Times New Roman"/>
        </w:rPr>
        <w:t xml:space="preserve"> tiene</w:t>
      </w:r>
      <w:r w:rsidR="003E4BB2">
        <w:rPr>
          <w:rFonts w:ascii="Cambria" w:hAnsi="Cambria" w:cs="Times New Roman"/>
        </w:rPr>
        <w:t>n</w:t>
      </w:r>
      <w:r w:rsidR="004F5395" w:rsidRPr="004F5395">
        <w:rPr>
          <w:rFonts w:ascii="Cambria" w:hAnsi="Cambria" w:cs="Times New Roman"/>
        </w:rPr>
        <w:t xml:space="preserve"> los mismos deberes y obligaciones que los nacionales de acuerdo al marco normativo vigente. El extranjero tiene el deber de respetar el orden interno, orden público, la seguridad ciudadana y la seguridad nacional. En caso de transgresión, la autoridad migratoria aplica la sanción que corresponda, independientemente de las otras responsabilidades a que hubiere lugar</w:t>
      </w:r>
      <w:r w:rsidR="004F5395">
        <w:rPr>
          <w:rFonts w:ascii="Cambria" w:hAnsi="Cambria" w:cs="Times New Roman"/>
        </w:rPr>
        <w:t xml:space="preserve"> (art. 12)</w:t>
      </w:r>
      <w:r w:rsidR="004F5395" w:rsidRPr="004F5395">
        <w:rPr>
          <w:rFonts w:ascii="Cambria" w:hAnsi="Cambria" w:cs="Times New Roman"/>
        </w:rPr>
        <w:t>.</w:t>
      </w:r>
    </w:p>
    <w:p w14:paraId="5440B1C7" w14:textId="77777777" w:rsidR="00CD2C59" w:rsidRPr="00CD2C59" w:rsidRDefault="00CD2C59" w:rsidP="00CD2C59">
      <w:pPr>
        <w:spacing w:after="0" w:line="240" w:lineRule="auto"/>
        <w:jc w:val="both"/>
        <w:rPr>
          <w:rFonts w:ascii="Cambria" w:hAnsi="Cambria" w:cs="Times New Roman"/>
          <w:sz w:val="24"/>
          <w:szCs w:val="24"/>
        </w:rPr>
      </w:pPr>
    </w:p>
    <w:p w14:paraId="1F850956" w14:textId="5998F43C" w:rsidR="00023E9C" w:rsidRDefault="004F5395" w:rsidP="00023E9C">
      <w:pPr>
        <w:spacing w:after="0" w:line="240" w:lineRule="auto"/>
        <w:jc w:val="both"/>
        <w:rPr>
          <w:rFonts w:ascii="Cambria" w:hAnsi="Cambria" w:cs="Times New Roman"/>
          <w:sz w:val="24"/>
          <w:szCs w:val="24"/>
        </w:rPr>
      </w:pPr>
      <w:r>
        <w:rPr>
          <w:rFonts w:ascii="Cambria" w:hAnsi="Cambria" w:cs="Times New Roman"/>
          <w:sz w:val="24"/>
          <w:szCs w:val="24"/>
        </w:rPr>
        <w:t>C</w:t>
      </w:r>
      <w:r w:rsidR="000F156E">
        <w:rPr>
          <w:rFonts w:ascii="Cambria" w:hAnsi="Cambria" w:cs="Times New Roman"/>
          <w:sz w:val="24"/>
          <w:szCs w:val="24"/>
        </w:rPr>
        <w:t xml:space="preserve">abe señalar que </w:t>
      </w:r>
      <w:r>
        <w:rPr>
          <w:rFonts w:ascii="Cambria" w:hAnsi="Cambria" w:cs="Times New Roman"/>
          <w:sz w:val="24"/>
          <w:szCs w:val="24"/>
        </w:rPr>
        <w:t xml:space="preserve">en aplicación del principio de </w:t>
      </w:r>
      <w:r w:rsidR="003E4BB2">
        <w:rPr>
          <w:rFonts w:ascii="Cambria" w:hAnsi="Cambria" w:cs="Times New Roman"/>
          <w:sz w:val="24"/>
          <w:szCs w:val="24"/>
        </w:rPr>
        <w:t xml:space="preserve">no </w:t>
      </w:r>
      <w:r w:rsidR="00023E9C" w:rsidRPr="00023E9C">
        <w:rPr>
          <w:rFonts w:ascii="Cambria" w:hAnsi="Cambria" w:cs="Times New Roman"/>
          <w:sz w:val="24"/>
          <w:szCs w:val="24"/>
        </w:rPr>
        <w:t xml:space="preserve">criminalización del migrante, </w:t>
      </w:r>
      <w:r>
        <w:rPr>
          <w:rFonts w:ascii="Cambria" w:hAnsi="Cambria" w:cs="Times New Roman"/>
          <w:sz w:val="24"/>
          <w:szCs w:val="24"/>
        </w:rPr>
        <w:t>las personas extranjeras pueden regularizar su situación migratoria</w:t>
      </w:r>
      <w:r w:rsidR="00023E9C" w:rsidRPr="00023E9C">
        <w:rPr>
          <w:rFonts w:ascii="Cambria" w:hAnsi="Cambria" w:cs="Times New Roman"/>
          <w:sz w:val="24"/>
          <w:szCs w:val="24"/>
        </w:rPr>
        <w:t xml:space="preserve"> en el Perú sin </w:t>
      </w:r>
      <w:r w:rsidR="004D7313">
        <w:rPr>
          <w:rFonts w:ascii="Cambria" w:hAnsi="Cambria" w:cs="Times New Roman"/>
          <w:sz w:val="24"/>
          <w:szCs w:val="24"/>
        </w:rPr>
        <w:t>la necesidad  de salir del país</w:t>
      </w:r>
      <w:r w:rsidR="00023E9C" w:rsidRPr="00023E9C">
        <w:rPr>
          <w:rFonts w:ascii="Cambria" w:hAnsi="Cambria" w:cs="Times New Roman"/>
          <w:sz w:val="24"/>
          <w:szCs w:val="24"/>
        </w:rPr>
        <w:t>,</w:t>
      </w:r>
      <w:r w:rsidR="004D7313">
        <w:rPr>
          <w:rFonts w:ascii="Cambria" w:hAnsi="Cambria" w:cs="Times New Roman"/>
          <w:sz w:val="24"/>
          <w:szCs w:val="24"/>
        </w:rPr>
        <w:t xml:space="preserve"> </w:t>
      </w:r>
      <w:r w:rsidR="00D31561">
        <w:rPr>
          <w:rFonts w:ascii="Cambria" w:hAnsi="Cambria" w:cs="Times New Roman"/>
          <w:sz w:val="24"/>
          <w:szCs w:val="24"/>
        </w:rPr>
        <w:t>cumpliendo con los</w:t>
      </w:r>
      <w:r w:rsidR="00023E9C" w:rsidRPr="00023E9C">
        <w:rPr>
          <w:rFonts w:ascii="Cambria" w:hAnsi="Cambria" w:cs="Times New Roman"/>
          <w:sz w:val="24"/>
          <w:szCs w:val="24"/>
        </w:rPr>
        <w:t xml:space="preserve"> requisitos</w:t>
      </w:r>
      <w:r w:rsidR="00D31561">
        <w:rPr>
          <w:rFonts w:ascii="Cambria" w:hAnsi="Cambria" w:cs="Times New Roman"/>
          <w:sz w:val="24"/>
          <w:szCs w:val="24"/>
        </w:rPr>
        <w:t xml:space="preserve"> solicitados por las autoridades migratorias</w:t>
      </w:r>
      <w:r w:rsidR="00023E9C" w:rsidRPr="00CC5764">
        <w:rPr>
          <w:rFonts w:ascii="Cambria" w:hAnsi="Cambria" w:cs="Times New Roman"/>
          <w:sz w:val="24"/>
          <w:szCs w:val="24"/>
        </w:rPr>
        <w:t>.</w:t>
      </w:r>
      <w:r w:rsidR="00023E9C" w:rsidRPr="00023E9C">
        <w:rPr>
          <w:rFonts w:ascii="Cambria" w:hAnsi="Cambria" w:cs="Times New Roman"/>
          <w:sz w:val="24"/>
          <w:szCs w:val="24"/>
        </w:rPr>
        <w:t xml:space="preserve"> </w:t>
      </w:r>
      <w:r>
        <w:rPr>
          <w:rFonts w:ascii="Cambria" w:hAnsi="Cambria" w:cs="Times New Roman"/>
          <w:sz w:val="24"/>
          <w:szCs w:val="24"/>
        </w:rPr>
        <w:t>Este es un</w:t>
      </w:r>
      <w:r w:rsidR="00D31561">
        <w:rPr>
          <w:rFonts w:ascii="Cambria" w:hAnsi="Cambria" w:cs="Times New Roman"/>
          <w:sz w:val="24"/>
          <w:szCs w:val="24"/>
        </w:rPr>
        <w:t>o</w:t>
      </w:r>
      <w:r>
        <w:rPr>
          <w:rFonts w:ascii="Cambria" w:hAnsi="Cambria" w:cs="Times New Roman"/>
          <w:sz w:val="24"/>
          <w:szCs w:val="24"/>
        </w:rPr>
        <w:t xml:space="preserve"> de los puntos de actualización de la normatividad </w:t>
      </w:r>
      <w:r w:rsidR="00D31561">
        <w:rPr>
          <w:rFonts w:ascii="Cambria" w:hAnsi="Cambria" w:cs="Times New Roman"/>
          <w:sz w:val="24"/>
          <w:szCs w:val="24"/>
        </w:rPr>
        <w:t>interna sobre migrantes, ya que</w:t>
      </w:r>
      <w:r w:rsidR="003E4BB2">
        <w:rPr>
          <w:rFonts w:ascii="Cambria" w:hAnsi="Cambria" w:cs="Times New Roman"/>
          <w:sz w:val="24"/>
          <w:szCs w:val="24"/>
        </w:rPr>
        <w:t>,</w:t>
      </w:r>
      <w:r w:rsidR="00D31561">
        <w:rPr>
          <w:rFonts w:ascii="Cambria" w:hAnsi="Cambria" w:cs="Times New Roman"/>
          <w:sz w:val="24"/>
          <w:szCs w:val="24"/>
        </w:rPr>
        <w:t xml:space="preserve"> anteriormente se solicitada a los migrantes irregulares salir obligatoriamente del país, para posteriormente regularizar su situación presentando los documentos requeridos. Por lo tanto, la nueva normatividad favorece la ágil y efectiva regularización de las personas migrantes. </w:t>
      </w:r>
      <w:r w:rsidR="00CC5764">
        <w:rPr>
          <w:rFonts w:ascii="Cambria" w:hAnsi="Cambria" w:cs="Times New Roman"/>
          <w:sz w:val="24"/>
          <w:szCs w:val="24"/>
        </w:rPr>
        <w:t>El DL N° 1236 señala:</w:t>
      </w:r>
      <w:r w:rsidR="00D31561">
        <w:rPr>
          <w:rFonts w:ascii="Cambria" w:hAnsi="Cambria" w:cs="Times New Roman"/>
          <w:sz w:val="24"/>
          <w:szCs w:val="24"/>
        </w:rPr>
        <w:t xml:space="preserve"> </w:t>
      </w:r>
    </w:p>
    <w:p w14:paraId="5954ECBA" w14:textId="77777777" w:rsidR="006E6E82" w:rsidRDefault="006E6E82" w:rsidP="00023E9C">
      <w:pPr>
        <w:spacing w:after="0" w:line="240" w:lineRule="auto"/>
        <w:jc w:val="both"/>
        <w:rPr>
          <w:rFonts w:ascii="Cambria" w:hAnsi="Cambria" w:cs="Times New Roman"/>
          <w:sz w:val="24"/>
          <w:szCs w:val="24"/>
        </w:rPr>
      </w:pPr>
    </w:p>
    <w:p w14:paraId="2B06E6A1" w14:textId="77777777"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Artículo 60.- Situación migratoria irregular</w:t>
      </w:r>
    </w:p>
    <w:p w14:paraId="42CA6A22" w14:textId="200CF8E9"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lastRenderedPageBreak/>
        <w:t>La situación migratoria irregular es el estado en que incurre el extranjero en los siguientes supuestos:</w:t>
      </w:r>
    </w:p>
    <w:p w14:paraId="6A566FCE" w14:textId="77777777" w:rsidR="00CC5764" w:rsidRPr="00CC5764" w:rsidRDefault="00CC5764" w:rsidP="00CC5764">
      <w:pPr>
        <w:spacing w:after="0" w:line="240" w:lineRule="auto"/>
        <w:ind w:left="708"/>
        <w:jc w:val="both"/>
        <w:rPr>
          <w:rFonts w:ascii="Cambria" w:hAnsi="Cambria" w:cs="Times New Roman"/>
        </w:rPr>
      </w:pPr>
    </w:p>
    <w:p w14:paraId="19F731AE" w14:textId="22E1EFA5"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a. Cuando ha vencido el período concedido por el Estado peruano en la categoría y calidad migratoria asignada y permanece en el territorio nacional.</w:t>
      </w:r>
    </w:p>
    <w:p w14:paraId="3B39A9A4" w14:textId="557F8DBF"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b. Cuando ha ingresado al territorio nacional sin haber realizado el control migratorio.</w:t>
      </w:r>
    </w:p>
    <w:p w14:paraId="2E2DD2B8" w14:textId="77777777" w:rsidR="00CC5764" w:rsidRPr="00CC5764" w:rsidRDefault="00CC5764" w:rsidP="00CC5764">
      <w:pPr>
        <w:spacing w:after="0" w:line="240" w:lineRule="auto"/>
        <w:ind w:left="708"/>
        <w:jc w:val="both"/>
        <w:rPr>
          <w:rFonts w:ascii="Cambria" w:hAnsi="Cambria" w:cs="Times New Roman"/>
        </w:rPr>
      </w:pPr>
    </w:p>
    <w:p w14:paraId="76195AA5" w14:textId="77777777"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Artículo 61.- Regularización migratoria</w:t>
      </w:r>
    </w:p>
    <w:p w14:paraId="08D83081" w14:textId="45B772AA"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61.1. Los extranjeros en las categorías migratorias de temporal y residente, con permisos de permanencia mayores a 90 días, que se encuentren en situación de irregularidad por vencimiento del plazo de permanencia, pueden regularizar su situación migratoria de conformidad con las disposiciones que se dicten por Decreto Supremo refrendado por el Ministro del Interior.</w:t>
      </w:r>
    </w:p>
    <w:p w14:paraId="68C98287" w14:textId="77777777" w:rsidR="00CC5764" w:rsidRPr="00CC5764" w:rsidRDefault="00CC5764" w:rsidP="00CC5764">
      <w:pPr>
        <w:spacing w:after="0" w:line="240" w:lineRule="auto"/>
        <w:ind w:left="708"/>
        <w:jc w:val="both"/>
        <w:rPr>
          <w:rFonts w:ascii="Cambria" w:hAnsi="Cambria" w:cs="Times New Roman"/>
        </w:rPr>
      </w:pPr>
    </w:p>
    <w:p w14:paraId="15A161B1" w14:textId="29B6AE03"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61.2. Los extranjeros con las categorías migratorias de visitante y temporales con permiso menor a 90 días, que se encuentren en situación de irregularidad por vencimiento del plazo de permanencia, pueden regularizar su situación migratoria, previo pago de las multas correspondientes, y cumplimiento de las disposiciones que se dicten por Decreto Supremo refrendado por el Ministro del Interior.</w:t>
      </w:r>
    </w:p>
    <w:p w14:paraId="6B2D854F" w14:textId="77777777" w:rsidR="00CC5764" w:rsidRPr="00CC5764" w:rsidRDefault="00CC5764" w:rsidP="00CC5764">
      <w:pPr>
        <w:spacing w:after="0" w:line="240" w:lineRule="auto"/>
        <w:ind w:left="708"/>
        <w:jc w:val="both"/>
        <w:rPr>
          <w:rFonts w:ascii="Cambria" w:hAnsi="Cambria" w:cs="Times New Roman"/>
        </w:rPr>
      </w:pPr>
    </w:p>
    <w:p w14:paraId="6DC00984" w14:textId="603E8327" w:rsidR="00CC5764" w:rsidRPr="00CC5764" w:rsidRDefault="00CC5764" w:rsidP="00CC5764">
      <w:pPr>
        <w:spacing w:after="0" w:line="240" w:lineRule="auto"/>
        <w:ind w:left="708"/>
        <w:jc w:val="both"/>
        <w:rPr>
          <w:rFonts w:ascii="Cambria" w:hAnsi="Cambria" w:cs="Times New Roman"/>
        </w:rPr>
      </w:pPr>
      <w:r w:rsidRPr="00CC5764">
        <w:rPr>
          <w:rFonts w:ascii="Cambria" w:hAnsi="Cambria" w:cs="Times New Roman"/>
        </w:rPr>
        <w:t>61.3. Los extranjeros que hayan ingresado irregularmente al país pueden regularizar su situación migratoria de conformidad con las disposiciones que se dicten por Decreto Supremo refrendado por el Ministro del Interior.</w:t>
      </w:r>
    </w:p>
    <w:p w14:paraId="2A0A805A" w14:textId="77777777" w:rsidR="006E6E82" w:rsidRPr="00023E9C" w:rsidRDefault="006E6E82" w:rsidP="00023E9C">
      <w:pPr>
        <w:spacing w:after="0" w:line="240" w:lineRule="auto"/>
        <w:jc w:val="both"/>
        <w:rPr>
          <w:rFonts w:ascii="Cambria" w:hAnsi="Cambria" w:cs="Times New Roman"/>
          <w:sz w:val="24"/>
          <w:szCs w:val="24"/>
        </w:rPr>
      </w:pPr>
    </w:p>
    <w:p w14:paraId="18C28707" w14:textId="1D057756" w:rsidR="00C53BE1" w:rsidRDefault="00CC5764" w:rsidP="00C74062">
      <w:pPr>
        <w:spacing w:after="0" w:line="240" w:lineRule="auto"/>
        <w:jc w:val="both"/>
        <w:rPr>
          <w:rFonts w:ascii="Cambria" w:hAnsi="Cambria" w:cs="Times New Roman"/>
          <w:sz w:val="24"/>
          <w:szCs w:val="24"/>
        </w:rPr>
      </w:pPr>
      <w:r>
        <w:rPr>
          <w:rFonts w:ascii="Cambria" w:hAnsi="Cambria" w:cs="Times New Roman"/>
          <w:sz w:val="24"/>
          <w:szCs w:val="24"/>
        </w:rPr>
        <w:t xml:space="preserve">Asimismo, se armonizó la potestad sancionadora del Estado con el derecho fundamental del Debido Proceso. Las autoridades migratorias, esto es la Superintendencia Nacional de Migraciones y el Ministerio de Relaciones Exteriores, en los procesos administrativos sancionadores </w:t>
      </w:r>
      <w:r w:rsidR="00C53BE1">
        <w:rPr>
          <w:rFonts w:ascii="Cambria" w:hAnsi="Cambria" w:cs="Times New Roman"/>
          <w:sz w:val="24"/>
          <w:szCs w:val="24"/>
        </w:rPr>
        <w:t xml:space="preserve">tienen en cuenta </w:t>
      </w:r>
      <w:r>
        <w:rPr>
          <w:rFonts w:ascii="Cambria" w:hAnsi="Cambria" w:cs="Times New Roman"/>
          <w:sz w:val="24"/>
          <w:szCs w:val="24"/>
        </w:rPr>
        <w:t>el principio de legalidad,</w:t>
      </w:r>
      <w:r w:rsidR="00C53BE1">
        <w:rPr>
          <w:rFonts w:ascii="Cambria" w:hAnsi="Cambria" w:cs="Times New Roman"/>
          <w:sz w:val="24"/>
          <w:szCs w:val="24"/>
        </w:rPr>
        <w:t xml:space="preserve"> es decir que la sanción esté contemplada previamente en la ley de forma expr</w:t>
      </w:r>
      <w:r w:rsidR="003E4BB2">
        <w:rPr>
          <w:rFonts w:ascii="Cambria" w:hAnsi="Cambria" w:cs="Times New Roman"/>
          <w:sz w:val="24"/>
          <w:szCs w:val="24"/>
        </w:rPr>
        <w:t>esa y clara, además se establece</w:t>
      </w:r>
      <w:r w:rsidR="00C53BE1">
        <w:rPr>
          <w:rFonts w:ascii="Cambria" w:hAnsi="Cambria" w:cs="Times New Roman"/>
          <w:sz w:val="24"/>
          <w:szCs w:val="24"/>
        </w:rPr>
        <w:t xml:space="preserve"> la posibilidad de in</w:t>
      </w:r>
      <w:r w:rsidR="003E4BB2">
        <w:rPr>
          <w:rFonts w:ascii="Cambria" w:hAnsi="Cambria" w:cs="Times New Roman"/>
          <w:sz w:val="24"/>
          <w:szCs w:val="24"/>
        </w:rPr>
        <w:t>terponer recursos administrativo</w:t>
      </w:r>
      <w:r w:rsidR="00C53BE1">
        <w:rPr>
          <w:rFonts w:ascii="Cambria" w:hAnsi="Cambria" w:cs="Times New Roman"/>
          <w:sz w:val="24"/>
          <w:szCs w:val="24"/>
        </w:rPr>
        <w:t>s ante las autor</w:t>
      </w:r>
      <w:r>
        <w:rPr>
          <w:rFonts w:ascii="Cambria" w:hAnsi="Cambria" w:cs="Times New Roman"/>
          <w:sz w:val="24"/>
          <w:szCs w:val="24"/>
        </w:rPr>
        <w:t>idades competentes</w:t>
      </w:r>
      <w:r w:rsidR="00C53BE1">
        <w:rPr>
          <w:rFonts w:ascii="Cambria" w:hAnsi="Cambria" w:cs="Times New Roman"/>
          <w:sz w:val="24"/>
          <w:szCs w:val="24"/>
        </w:rPr>
        <w:t xml:space="preserve"> (art. 81 y ss.). Dentro de las sanciones contempladas en el ordenamiento jurídico interno se establece: </w:t>
      </w:r>
      <w:r w:rsidR="009776FE">
        <w:rPr>
          <w:rFonts w:ascii="Cambria" w:hAnsi="Cambria" w:cs="Times New Roman"/>
          <w:sz w:val="24"/>
          <w:szCs w:val="24"/>
        </w:rPr>
        <w:t>m</w:t>
      </w:r>
      <w:r w:rsidR="00C53BE1">
        <w:rPr>
          <w:rFonts w:ascii="Cambria" w:hAnsi="Cambria" w:cs="Times New Roman"/>
          <w:sz w:val="24"/>
          <w:szCs w:val="24"/>
        </w:rPr>
        <w:t>ulta, salida obligatoria y expulsión del país</w:t>
      </w:r>
      <w:r w:rsidR="00C53BE1">
        <w:rPr>
          <w:rStyle w:val="FootnoteReference"/>
          <w:rFonts w:ascii="Cambria" w:hAnsi="Cambria" w:cs="Times New Roman"/>
          <w:sz w:val="24"/>
          <w:szCs w:val="24"/>
        </w:rPr>
        <w:footnoteReference w:id="4"/>
      </w:r>
      <w:r w:rsidR="009776FE">
        <w:rPr>
          <w:rFonts w:ascii="Cambria" w:hAnsi="Cambria" w:cs="Times New Roman"/>
          <w:sz w:val="24"/>
          <w:szCs w:val="24"/>
        </w:rPr>
        <w:t xml:space="preserve">, dependiendo de la gravedad de la </w:t>
      </w:r>
      <w:r w:rsidR="009776FE">
        <w:rPr>
          <w:rFonts w:ascii="Cambria" w:hAnsi="Cambria" w:cs="Times New Roman"/>
          <w:sz w:val="24"/>
          <w:szCs w:val="24"/>
        </w:rPr>
        <w:lastRenderedPageBreak/>
        <w:t>irregularidad, los supuestos de hecho están contemplados en los artículos 83 al 87 del DL N° 1236</w:t>
      </w:r>
      <w:r w:rsidR="00C53BE1">
        <w:rPr>
          <w:rFonts w:ascii="Cambria" w:hAnsi="Cambria" w:cs="Times New Roman"/>
          <w:sz w:val="24"/>
          <w:szCs w:val="24"/>
        </w:rPr>
        <w:t>.</w:t>
      </w:r>
    </w:p>
    <w:p w14:paraId="2102CEA2" w14:textId="77777777" w:rsidR="00C53BE1" w:rsidRDefault="00C53BE1" w:rsidP="00C53BE1">
      <w:pPr>
        <w:spacing w:after="0" w:line="240" w:lineRule="auto"/>
        <w:jc w:val="both"/>
        <w:rPr>
          <w:rFonts w:ascii="Cambria" w:hAnsi="Cambria" w:cs="Times New Roman"/>
          <w:sz w:val="24"/>
          <w:szCs w:val="24"/>
        </w:rPr>
      </w:pPr>
    </w:p>
    <w:p w14:paraId="0019B5A9" w14:textId="72A89F32" w:rsidR="004359A8" w:rsidRDefault="009776FE" w:rsidP="00C74062">
      <w:pPr>
        <w:spacing w:after="0" w:line="240" w:lineRule="auto"/>
        <w:jc w:val="both"/>
        <w:rPr>
          <w:rFonts w:ascii="Cambria" w:hAnsi="Cambria" w:cs="Times New Roman"/>
          <w:sz w:val="24"/>
          <w:szCs w:val="24"/>
        </w:rPr>
      </w:pPr>
      <w:r w:rsidRPr="009776FE">
        <w:rPr>
          <w:rFonts w:ascii="Cambria" w:hAnsi="Cambria" w:cs="Times New Roman"/>
          <w:sz w:val="24"/>
          <w:szCs w:val="24"/>
        </w:rPr>
        <w:t>La autoridad migratoria en aplicación de los principios de unidad familiar e interés superior del niño y adolescente, puede suspender la ejecución de la sanción de salida obligatoria y expulsión, en aquellos casos en los que se compruebe su evidente e inminente riesgo de vulneración, de acuerdo a las condiciones y procedimientos que se establezcan en el reglamento</w:t>
      </w:r>
      <w:r>
        <w:rPr>
          <w:rFonts w:ascii="Cambria" w:hAnsi="Cambria" w:cs="Times New Roman"/>
          <w:sz w:val="24"/>
          <w:szCs w:val="24"/>
        </w:rPr>
        <w:t xml:space="preserve"> (Art. 89 numeral 3)</w:t>
      </w:r>
      <w:r w:rsidRPr="009776FE">
        <w:rPr>
          <w:rFonts w:ascii="Cambria" w:hAnsi="Cambria" w:cs="Times New Roman"/>
          <w:sz w:val="24"/>
          <w:szCs w:val="24"/>
        </w:rPr>
        <w:t>.</w:t>
      </w:r>
      <w:r>
        <w:rPr>
          <w:rFonts w:ascii="Cambria" w:hAnsi="Cambria" w:cs="Times New Roman"/>
          <w:sz w:val="24"/>
          <w:szCs w:val="24"/>
        </w:rPr>
        <w:t xml:space="preserve"> Finalmente, es importante resaltar que l</w:t>
      </w:r>
      <w:r w:rsidRPr="009776FE">
        <w:rPr>
          <w:rFonts w:ascii="Cambria" w:hAnsi="Cambria" w:cs="Times New Roman"/>
          <w:sz w:val="24"/>
          <w:szCs w:val="24"/>
        </w:rPr>
        <w:t xml:space="preserve">os menores de edad y las personas con incapacidad absoluta no son pasibles </w:t>
      </w:r>
      <w:r>
        <w:rPr>
          <w:rFonts w:ascii="Cambria" w:hAnsi="Cambria" w:cs="Times New Roman"/>
          <w:sz w:val="24"/>
          <w:szCs w:val="24"/>
        </w:rPr>
        <w:t>de un procedimiento sancionador</w:t>
      </w:r>
      <w:r w:rsidRPr="009776FE">
        <w:rPr>
          <w:rFonts w:ascii="Cambria" w:hAnsi="Cambria" w:cs="Times New Roman"/>
          <w:sz w:val="24"/>
          <w:szCs w:val="24"/>
        </w:rPr>
        <w:t xml:space="preserve"> ni de sanción administrativa por infracción migratoria</w:t>
      </w:r>
      <w:r>
        <w:rPr>
          <w:rFonts w:ascii="Cambria" w:hAnsi="Cambria" w:cs="Times New Roman"/>
          <w:sz w:val="24"/>
          <w:szCs w:val="24"/>
        </w:rPr>
        <w:t xml:space="preserve"> (art. 91)</w:t>
      </w:r>
      <w:r w:rsidRPr="009776FE">
        <w:rPr>
          <w:rFonts w:ascii="Cambria" w:hAnsi="Cambria" w:cs="Times New Roman"/>
          <w:sz w:val="24"/>
          <w:szCs w:val="24"/>
        </w:rPr>
        <w:t>.</w:t>
      </w:r>
    </w:p>
    <w:p w14:paraId="49F02CC3" w14:textId="77777777" w:rsidR="009776FE" w:rsidRDefault="009776FE" w:rsidP="00C74062">
      <w:pPr>
        <w:spacing w:after="0" w:line="240" w:lineRule="auto"/>
        <w:jc w:val="both"/>
        <w:rPr>
          <w:rFonts w:ascii="Cambria" w:hAnsi="Cambria" w:cs="Times New Roman"/>
          <w:sz w:val="24"/>
          <w:szCs w:val="24"/>
        </w:rPr>
      </w:pPr>
    </w:p>
    <w:p w14:paraId="499E84F3" w14:textId="4F552D33" w:rsidR="003E4BB2" w:rsidRPr="00297A50" w:rsidRDefault="003E4BB2" w:rsidP="009776FE">
      <w:pPr>
        <w:pStyle w:val="ListParagraph"/>
        <w:numPr>
          <w:ilvl w:val="0"/>
          <w:numId w:val="6"/>
        </w:numPr>
        <w:spacing w:after="0" w:line="240" w:lineRule="auto"/>
        <w:jc w:val="both"/>
        <w:rPr>
          <w:rFonts w:ascii="Cambria" w:hAnsi="Cambria" w:cs="Times New Roman"/>
          <w:b/>
          <w:sz w:val="24"/>
          <w:szCs w:val="24"/>
        </w:rPr>
      </w:pPr>
      <w:r w:rsidRPr="00297A50">
        <w:rPr>
          <w:rFonts w:ascii="Cambria" w:hAnsi="Cambria" w:cs="Times New Roman"/>
          <w:b/>
          <w:sz w:val="24"/>
          <w:szCs w:val="24"/>
        </w:rPr>
        <w:t>Niños y Adolescentes migrantes sin compañía de un adulto</w:t>
      </w:r>
    </w:p>
    <w:p w14:paraId="0844B80B" w14:textId="77777777" w:rsidR="003E4BB2" w:rsidRDefault="003E4BB2" w:rsidP="003E4BB2">
      <w:pPr>
        <w:spacing w:after="0" w:line="240" w:lineRule="auto"/>
        <w:jc w:val="both"/>
        <w:rPr>
          <w:rFonts w:ascii="Cambria" w:hAnsi="Cambria" w:cs="Times New Roman"/>
          <w:sz w:val="24"/>
          <w:szCs w:val="24"/>
        </w:rPr>
      </w:pPr>
    </w:p>
    <w:p w14:paraId="79748D14" w14:textId="17684BF5" w:rsidR="00297A50" w:rsidRDefault="00297A50" w:rsidP="00297A50">
      <w:pPr>
        <w:spacing w:after="0" w:line="240" w:lineRule="auto"/>
        <w:jc w:val="both"/>
        <w:rPr>
          <w:rFonts w:ascii="Cambria" w:hAnsi="Cambria" w:cs="Times New Roman"/>
          <w:sz w:val="24"/>
          <w:szCs w:val="24"/>
        </w:rPr>
      </w:pPr>
      <w:r w:rsidRPr="00297A50">
        <w:rPr>
          <w:rFonts w:ascii="Cambria" w:hAnsi="Cambria" w:cs="Times New Roman"/>
          <w:sz w:val="24"/>
          <w:szCs w:val="24"/>
        </w:rPr>
        <w:t>El Ministerio de Relaciones Exteriores tiene la función de brindar asistencia y protección a los nacionales en el exterior</w:t>
      </w:r>
      <w:r>
        <w:rPr>
          <w:rFonts w:ascii="Cambria" w:hAnsi="Cambria" w:cs="Times New Roman"/>
          <w:sz w:val="24"/>
          <w:szCs w:val="24"/>
        </w:rPr>
        <w:t xml:space="preserve"> y a los menores no acompañados que ingresan al país.</w:t>
      </w:r>
      <w:r w:rsidRPr="00297A50">
        <w:rPr>
          <w:rFonts w:ascii="Cambria" w:hAnsi="Cambria" w:cs="Times New Roman"/>
          <w:sz w:val="24"/>
          <w:szCs w:val="24"/>
        </w:rPr>
        <w:t xml:space="preserve"> </w:t>
      </w:r>
      <w:r>
        <w:rPr>
          <w:rFonts w:ascii="Cambria" w:hAnsi="Cambria" w:cs="Times New Roman"/>
          <w:sz w:val="24"/>
          <w:szCs w:val="24"/>
        </w:rPr>
        <w:t>A través de las</w:t>
      </w:r>
      <w:r w:rsidRPr="00297A50">
        <w:rPr>
          <w:rFonts w:ascii="Cambria" w:hAnsi="Cambria" w:cs="Times New Roman"/>
          <w:sz w:val="24"/>
          <w:szCs w:val="24"/>
        </w:rPr>
        <w:t xml:space="preserve"> oficinas consulares</w:t>
      </w:r>
      <w:r>
        <w:rPr>
          <w:rFonts w:ascii="Cambria" w:hAnsi="Cambria" w:cs="Times New Roman"/>
          <w:sz w:val="24"/>
          <w:szCs w:val="24"/>
        </w:rPr>
        <w:t xml:space="preserve"> se</w:t>
      </w:r>
      <w:r w:rsidRPr="00297A50">
        <w:rPr>
          <w:rFonts w:ascii="Cambria" w:hAnsi="Cambria" w:cs="Times New Roman"/>
          <w:sz w:val="24"/>
          <w:szCs w:val="24"/>
        </w:rPr>
        <w:t xml:space="preserve"> </w:t>
      </w:r>
      <w:r>
        <w:rPr>
          <w:rFonts w:ascii="Cambria" w:hAnsi="Cambria" w:cs="Times New Roman"/>
          <w:sz w:val="24"/>
          <w:szCs w:val="24"/>
        </w:rPr>
        <w:t>vela por la observancia de los</w:t>
      </w:r>
      <w:r w:rsidRPr="00297A50">
        <w:rPr>
          <w:rFonts w:ascii="Cambria" w:hAnsi="Cambria" w:cs="Times New Roman"/>
          <w:sz w:val="24"/>
          <w:szCs w:val="24"/>
        </w:rPr>
        <w:t xml:space="preserve"> derechos</w:t>
      </w:r>
      <w:r>
        <w:rPr>
          <w:rFonts w:ascii="Cambria" w:hAnsi="Cambria" w:cs="Times New Roman"/>
          <w:sz w:val="24"/>
          <w:szCs w:val="24"/>
        </w:rPr>
        <w:t xml:space="preserve"> humanos</w:t>
      </w:r>
      <w:r w:rsidRPr="00297A50">
        <w:rPr>
          <w:rFonts w:ascii="Cambria" w:hAnsi="Cambria" w:cs="Times New Roman"/>
          <w:sz w:val="24"/>
          <w:szCs w:val="24"/>
        </w:rPr>
        <w:t xml:space="preserve">, en concordancia con los acuerdos Internacionales y las normas peruanas vigentes. </w:t>
      </w:r>
    </w:p>
    <w:p w14:paraId="2494ECCC" w14:textId="77777777" w:rsidR="00297A50" w:rsidRPr="00297A50" w:rsidRDefault="00297A50" w:rsidP="00297A50">
      <w:pPr>
        <w:spacing w:after="0" w:line="240" w:lineRule="auto"/>
        <w:jc w:val="both"/>
        <w:rPr>
          <w:rFonts w:ascii="Cambria" w:hAnsi="Cambria" w:cs="Times New Roman"/>
          <w:sz w:val="24"/>
          <w:szCs w:val="24"/>
        </w:rPr>
      </w:pPr>
    </w:p>
    <w:p w14:paraId="075539E5" w14:textId="29A69699" w:rsidR="00297A50" w:rsidRPr="00297A50" w:rsidRDefault="00297A50" w:rsidP="00297A50">
      <w:pPr>
        <w:spacing w:after="0" w:line="240" w:lineRule="auto"/>
        <w:jc w:val="both"/>
        <w:rPr>
          <w:rFonts w:ascii="Cambria" w:hAnsi="Cambria" w:cs="Times New Roman"/>
          <w:sz w:val="24"/>
          <w:szCs w:val="24"/>
        </w:rPr>
      </w:pPr>
      <w:r>
        <w:rPr>
          <w:rFonts w:ascii="Cambria" w:hAnsi="Cambria" w:cs="Times New Roman"/>
          <w:sz w:val="24"/>
          <w:szCs w:val="24"/>
        </w:rPr>
        <w:t>E</w:t>
      </w:r>
      <w:r w:rsidRPr="00297A50">
        <w:rPr>
          <w:rFonts w:ascii="Cambria" w:hAnsi="Cambria" w:cs="Times New Roman"/>
          <w:sz w:val="24"/>
          <w:szCs w:val="24"/>
        </w:rPr>
        <w:t xml:space="preserve">n el marco de lo establecido en la Convención sobre los Derechos del Niño, la Cancillería, como política del Estado peruano, prioriza la implantación de mecanismos y acciones de protección rápidas y efectivas a favor de las niñas, niños y adolescentes migrantes, impulsando la mejora de los recursos y calidad de gasto público, ampliando la calidad y cobertura de los servicios de resguardo, así como consolidando la normatividad relativa a la promoción y defensa de sus derechos.  </w:t>
      </w:r>
    </w:p>
    <w:p w14:paraId="6B9AC2F5" w14:textId="77777777" w:rsidR="00297A50" w:rsidRPr="00297A50" w:rsidRDefault="00297A50" w:rsidP="00297A50">
      <w:pPr>
        <w:spacing w:after="0" w:line="240" w:lineRule="auto"/>
        <w:jc w:val="both"/>
        <w:rPr>
          <w:rFonts w:ascii="Cambria" w:hAnsi="Cambria" w:cs="Times New Roman"/>
          <w:sz w:val="24"/>
          <w:szCs w:val="24"/>
        </w:rPr>
      </w:pPr>
    </w:p>
    <w:p w14:paraId="2B3616C2" w14:textId="4BB5D5C8" w:rsidR="00297A50" w:rsidRPr="00297A50" w:rsidRDefault="00297A50" w:rsidP="00297A50">
      <w:pPr>
        <w:spacing w:after="0" w:line="240" w:lineRule="auto"/>
        <w:jc w:val="both"/>
        <w:rPr>
          <w:rFonts w:ascii="Cambria" w:hAnsi="Cambria" w:cs="Times New Roman"/>
          <w:sz w:val="24"/>
          <w:szCs w:val="24"/>
        </w:rPr>
      </w:pPr>
      <w:r w:rsidRPr="00297A50">
        <w:rPr>
          <w:rFonts w:ascii="Cambria" w:hAnsi="Cambria" w:cs="Times New Roman"/>
          <w:sz w:val="24"/>
          <w:szCs w:val="24"/>
        </w:rPr>
        <w:t xml:space="preserve">La asistencia regular y habitual que prestan las oficinas consulares peruanas a </w:t>
      </w:r>
      <w:r w:rsidR="00412617">
        <w:rPr>
          <w:rFonts w:ascii="Cambria" w:hAnsi="Cambria" w:cs="Times New Roman"/>
          <w:sz w:val="24"/>
          <w:szCs w:val="24"/>
        </w:rPr>
        <w:t>l</w:t>
      </w:r>
      <w:r w:rsidRPr="00297A50">
        <w:rPr>
          <w:rFonts w:ascii="Cambria" w:hAnsi="Cambria" w:cs="Times New Roman"/>
          <w:sz w:val="24"/>
          <w:szCs w:val="24"/>
        </w:rPr>
        <w:t xml:space="preserve">os menores connacionales en el exterior se manifiesta entre otros, a través de: </w:t>
      </w:r>
    </w:p>
    <w:p w14:paraId="5513DDBA" w14:textId="77777777" w:rsidR="00297A50" w:rsidRPr="00297A50" w:rsidRDefault="00297A50" w:rsidP="00297A50">
      <w:pPr>
        <w:spacing w:after="0" w:line="240" w:lineRule="auto"/>
        <w:jc w:val="both"/>
        <w:rPr>
          <w:rFonts w:ascii="Cambria" w:hAnsi="Cambria" w:cs="Times New Roman"/>
          <w:sz w:val="24"/>
          <w:szCs w:val="24"/>
        </w:rPr>
      </w:pPr>
    </w:p>
    <w:p w14:paraId="762E0CD2"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Apoyo en la restitución al Perú de menores sustraídos fuera del territorio nacional por alguno de sus progenitores o por terceros.</w:t>
      </w:r>
    </w:p>
    <w:p w14:paraId="5FAED5D7"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Orientación legal a la madre o padre de un menor en estado de vulnerabilidad y, de ser el caso, promover procedimientos judiciales para la defensa de sus derechos.</w:t>
      </w:r>
    </w:p>
    <w:p w14:paraId="514E7531"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 xml:space="preserve">Protección a menores víctimas de trata y tráfico de migrantes. </w:t>
      </w:r>
    </w:p>
    <w:p w14:paraId="49F2BBB5"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 xml:space="preserve">Asistencia en casos de menores en custodia de entidades de protección a la infancia o depositados en albergues. </w:t>
      </w:r>
    </w:p>
    <w:p w14:paraId="0017DF9B"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Apoyo en materia de salud, alimentación, vestido y vivienda</w:t>
      </w:r>
    </w:p>
    <w:p w14:paraId="2EE9F069"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Repatriación de menores migrantes</w:t>
      </w:r>
    </w:p>
    <w:p w14:paraId="5FB8C156"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Traslado de restos mortales</w:t>
      </w:r>
    </w:p>
    <w:p w14:paraId="4DDDFBE0"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Apoyo a menores infractores</w:t>
      </w:r>
    </w:p>
    <w:p w14:paraId="58148EF9" w14:textId="77777777" w:rsidR="00297A50" w:rsidRPr="00297A50" w:rsidRDefault="00297A50" w:rsidP="00297A50">
      <w:pPr>
        <w:spacing w:after="0" w:line="240" w:lineRule="auto"/>
        <w:jc w:val="both"/>
        <w:rPr>
          <w:rFonts w:ascii="Cambria" w:hAnsi="Cambria" w:cs="Times New Roman"/>
          <w:sz w:val="24"/>
          <w:szCs w:val="24"/>
        </w:rPr>
      </w:pPr>
    </w:p>
    <w:p w14:paraId="27BDD50E" w14:textId="77777777" w:rsidR="00297A50" w:rsidRDefault="00297A50" w:rsidP="00297A50">
      <w:pPr>
        <w:spacing w:after="0" w:line="240" w:lineRule="auto"/>
        <w:jc w:val="both"/>
        <w:rPr>
          <w:rFonts w:ascii="Cambria" w:hAnsi="Cambria" w:cs="Times New Roman"/>
          <w:sz w:val="24"/>
          <w:szCs w:val="24"/>
        </w:rPr>
      </w:pPr>
      <w:r w:rsidRPr="00297A50">
        <w:rPr>
          <w:rFonts w:ascii="Cambria" w:hAnsi="Cambria" w:cs="Times New Roman"/>
          <w:sz w:val="24"/>
          <w:szCs w:val="24"/>
        </w:rPr>
        <w:t xml:space="preserve">Cabe precisar, que la asistencia a los menores connacionales en el exterior es brindada por las Oficinas Consulares a cargo del "Programa de Asistencia Legal Humanitaria y Servicios Consulares", dirigida a los connacionales que necesitan </w:t>
      </w:r>
      <w:r w:rsidRPr="00297A50">
        <w:rPr>
          <w:rFonts w:ascii="Cambria" w:hAnsi="Cambria" w:cs="Times New Roman"/>
          <w:sz w:val="24"/>
          <w:szCs w:val="24"/>
        </w:rPr>
        <w:lastRenderedPageBreak/>
        <w:t xml:space="preserve">una atención inmediata y de emergencia en el exterior, de acuerdo a lo establecido en el literal b) del artículo 45 del Reglamento Consular del Perú, aprobado por Decreto Supremo 076-2005/RE. </w:t>
      </w:r>
    </w:p>
    <w:p w14:paraId="76EC44E5" w14:textId="77777777" w:rsidR="00297A50" w:rsidRPr="00297A50" w:rsidRDefault="00297A50" w:rsidP="00297A50">
      <w:pPr>
        <w:spacing w:after="0" w:line="240" w:lineRule="auto"/>
        <w:jc w:val="both"/>
        <w:rPr>
          <w:rFonts w:ascii="Cambria" w:hAnsi="Cambria" w:cs="Times New Roman"/>
          <w:sz w:val="24"/>
          <w:szCs w:val="24"/>
        </w:rPr>
      </w:pPr>
    </w:p>
    <w:p w14:paraId="38A33175" w14:textId="0A66CCAF" w:rsidR="00297A50" w:rsidRDefault="00297A50" w:rsidP="00297A50">
      <w:pPr>
        <w:spacing w:after="0" w:line="240" w:lineRule="auto"/>
        <w:jc w:val="both"/>
        <w:rPr>
          <w:rFonts w:ascii="Cambria" w:hAnsi="Cambria" w:cs="Times New Roman"/>
          <w:sz w:val="24"/>
          <w:szCs w:val="24"/>
        </w:rPr>
      </w:pPr>
      <w:r w:rsidRPr="00297A50">
        <w:rPr>
          <w:rFonts w:ascii="Cambria" w:hAnsi="Cambria" w:cs="Times New Roman"/>
          <w:sz w:val="24"/>
          <w:szCs w:val="24"/>
        </w:rPr>
        <w:t>No obstante, cuando una Oficina Consular, por limitaciones presupuestales, no se encuentra en aptitud de brindar tal ayuda, somete su respectivo pedido al Ministerio de Relaciones Exteriores para su financiamiento con cargo al "Programa de Asistencia Humanitaria”, orientada a brindar asistencia y protección a los connacionales en situación de indigencia o de necesidad extrema en el exterior, independientemente de su condición migratoria, así como para la repa</w:t>
      </w:r>
      <w:r>
        <w:rPr>
          <w:rFonts w:ascii="Cambria" w:hAnsi="Cambria" w:cs="Times New Roman"/>
          <w:sz w:val="24"/>
          <w:szCs w:val="24"/>
        </w:rPr>
        <w:t>triación de sus restos mortales,</w:t>
      </w:r>
      <w:r w:rsidRPr="00297A50">
        <w:rPr>
          <w:rFonts w:ascii="Cambria" w:hAnsi="Cambria" w:cs="Times New Roman"/>
          <w:sz w:val="24"/>
          <w:szCs w:val="24"/>
        </w:rPr>
        <w:t xml:space="preserve"> según la disponibilidad presupuestal y siempre que no haya sido posible hacer uso de alguna otra forma de asistencia. </w:t>
      </w:r>
    </w:p>
    <w:p w14:paraId="24C7102C" w14:textId="77777777" w:rsidR="00297A50" w:rsidRPr="00297A50" w:rsidRDefault="00297A50" w:rsidP="00297A50">
      <w:pPr>
        <w:spacing w:after="0" w:line="240" w:lineRule="auto"/>
        <w:jc w:val="both"/>
        <w:rPr>
          <w:rFonts w:ascii="Cambria" w:hAnsi="Cambria" w:cs="Times New Roman"/>
          <w:sz w:val="24"/>
          <w:szCs w:val="24"/>
        </w:rPr>
      </w:pPr>
    </w:p>
    <w:p w14:paraId="67AD3842" w14:textId="77777777" w:rsidR="00297A50" w:rsidRDefault="00297A50" w:rsidP="00297A50">
      <w:pPr>
        <w:spacing w:after="0" w:line="240" w:lineRule="auto"/>
        <w:jc w:val="both"/>
        <w:rPr>
          <w:rFonts w:ascii="Cambria" w:hAnsi="Cambria" w:cs="Times New Roman"/>
          <w:sz w:val="24"/>
          <w:szCs w:val="24"/>
        </w:rPr>
      </w:pPr>
      <w:r w:rsidRPr="00297A50">
        <w:rPr>
          <w:rFonts w:ascii="Cambria" w:hAnsi="Cambria" w:cs="Times New Roman"/>
          <w:sz w:val="24"/>
          <w:szCs w:val="24"/>
        </w:rPr>
        <w:t xml:space="preserve">Por último, cabe mencionar que actualmente se encuentra en negociación y discusión los siguientes proyectos: </w:t>
      </w:r>
    </w:p>
    <w:p w14:paraId="03C41D1D" w14:textId="77777777" w:rsidR="00297A50" w:rsidRPr="00297A50" w:rsidRDefault="00297A50" w:rsidP="00297A50">
      <w:pPr>
        <w:spacing w:after="0" w:line="240" w:lineRule="auto"/>
        <w:jc w:val="both"/>
        <w:rPr>
          <w:rFonts w:ascii="Cambria" w:hAnsi="Cambria" w:cs="Times New Roman"/>
          <w:sz w:val="24"/>
          <w:szCs w:val="24"/>
        </w:rPr>
      </w:pPr>
    </w:p>
    <w:p w14:paraId="7B54253F"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Convenio sobre el Cobro Internacional de Alimentos para Niños y otros Miembros de la Familia.</w:t>
      </w:r>
    </w:p>
    <w:p w14:paraId="6625E9F4" w14:textId="77777777" w:rsidR="00297A50" w:rsidRPr="00297A50" w:rsidRDefault="00297A50" w:rsidP="00297A50">
      <w:pPr>
        <w:numPr>
          <w:ilvl w:val="0"/>
          <w:numId w:val="7"/>
        </w:numPr>
        <w:spacing w:after="0" w:line="240" w:lineRule="auto"/>
        <w:jc w:val="both"/>
        <w:rPr>
          <w:rFonts w:ascii="Cambria" w:hAnsi="Cambria" w:cs="Times New Roman"/>
          <w:sz w:val="24"/>
          <w:szCs w:val="24"/>
        </w:rPr>
      </w:pPr>
      <w:r w:rsidRPr="00297A50">
        <w:rPr>
          <w:rFonts w:ascii="Cambria" w:hAnsi="Cambria" w:cs="Times New Roman"/>
          <w:sz w:val="24"/>
          <w:szCs w:val="24"/>
        </w:rPr>
        <w:t xml:space="preserve">Protocolo entre la República del Perú y la República del Ecuador sobre protección y retorno de niños sin cuidados parentales. </w:t>
      </w:r>
    </w:p>
    <w:p w14:paraId="0D36F297" w14:textId="77777777" w:rsidR="003E4BB2" w:rsidRPr="003E4BB2" w:rsidRDefault="003E4BB2" w:rsidP="003E4BB2">
      <w:pPr>
        <w:spacing w:after="0" w:line="240" w:lineRule="auto"/>
        <w:jc w:val="both"/>
        <w:rPr>
          <w:rFonts w:ascii="Cambria" w:hAnsi="Cambria" w:cs="Times New Roman"/>
          <w:sz w:val="24"/>
          <w:szCs w:val="24"/>
        </w:rPr>
      </w:pPr>
    </w:p>
    <w:p w14:paraId="1DF20863" w14:textId="255145B1" w:rsidR="009776FE" w:rsidRPr="009776FE" w:rsidRDefault="009776FE" w:rsidP="009776FE">
      <w:pPr>
        <w:pStyle w:val="ListParagraph"/>
        <w:numPr>
          <w:ilvl w:val="0"/>
          <w:numId w:val="6"/>
        </w:numPr>
        <w:spacing w:after="0" w:line="240" w:lineRule="auto"/>
        <w:jc w:val="both"/>
        <w:rPr>
          <w:rFonts w:ascii="Cambria" w:hAnsi="Cambria" w:cs="Times New Roman"/>
          <w:sz w:val="24"/>
          <w:szCs w:val="24"/>
        </w:rPr>
      </w:pPr>
      <w:r>
        <w:rPr>
          <w:rFonts w:ascii="Cambria" w:hAnsi="Cambria" w:cs="Times New Roman"/>
          <w:b/>
          <w:sz w:val="24"/>
          <w:szCs w:val="24"/>
        </w:rPr>
        <w:t>Medidas para prevenir la discriminación:</w:t>
      </w:r>
    </w:p>
    <w:p w14:paraId="23E1B7B4" w14:textId="77777777" w:rsidR="009776FE" w:rsidRDefault="009776FE" w:rsidP="009776FE">
      <w:pPr>
        <w:spacing w:after="0" w:line="240" w:lineRule="auto"/>
        <w:jc w:val="both"/>
        <w:rPr>
          <w:rFonts w:ascii="Cambria" w:hAnsi="Cambria" w:cs="Times New Roman"/>
          <w:sz w:val="24"/>
          <w:szCs w:val="24"/>
        </w:rPr>
      </w:pPr>
    </w:p>
    <w:p w14:paraId="16E4FCB0" w14:textId="3D8066EF" w:rsidR="00FE465A" w:rsidRPr="00FE465A" w:rsidRDefault="00FE465A" w:rsidP="00FE465A">
      <w:pPr>
        <w:spacing w:after="0" w:line="240" w:lineRule="auto"/>
        <w:jc w:val="both"/>
        <w:rPr>
          <w:rFonts w:ascii="Cambria" w:hAnsi="Cambria" w:cs="Times New Roman"/>
          <w:sz w:val="24"/>
          <w:szCs w:val="24"/>
        </w:rPr>
      </w:pPr>
      <w:r>
        <w:rPr>
          <w:rFonts w:ascii="Cambria" w:hAnsi="Cambria" w:cs="Times New Roman"/>
          <w:sz w:val="24"/>
          <w:szCs w:val="24"/>
        </w:rPr>
        <w:t xml:space="preserve">Se creó </w:t>
      </w:r>
      <w:r w:rsidRPr="00FE465A">
        <w:rPr>
          <w:rFonts w:ascii="Cambria" w:hAnsi="Cambria" w:cs="Times New Roman"/>
          <w:sz w:val="24"/>
          <w:szCs w:val="24"/>
        </w:rPr>
        <w:t>la Comisión Nacional contra</w:t>
      </w:r>
      <w:r>
        <w:rPr>
          <w:rFonts w:ascii="Cambria" w:hAnsi="Cambria" w:cs="Times New Roman"/>
          <w:sz w:val="24"/>
          <w:szCs w:val="24"/>
        </w:rPr>
        <w:t xml:space="preserve"> la Discriminación y</w:t>
      </w:r>
      <w:r w:rsidRPr="00FE465A">
        <w:rPr>
          <w:rFonts w:ascii="Cambria" w:hAnsi="Cambria" w:cs="Times New Roman"/>
          <w:sz w:val="24"/>
          <w:szCs w:val="24"/>
        </w:rPr>
        <w:t xml:space="preserve"> la Plataforma contra la Discriminación (CONACOD). La CONACOD fue creada mediante Decreto Supremo Nº 015-2013-JUS. Es el órgano consultor del Poder Ejecutivo en materia de igualdad y no discriminación. La CONACOD está conformada por: Ministerio de Justicia y Derechos Humanos, quien la preside; Ministerio de Cultura; Ministerio de la Mujer y Poblaciones Vulnerables; Ministerio de Trabajo y Promoción del Empleo; Ministerio de Salud; Ministerio de Educación; Ministerio de Transportes y Comunicaciones; y, Ministerio de Relaciones Exteriores. </w:t>
      </w:r>
    </w:p>
    <w:p w14:paraId="69BEB36B" w14:textId="77777777" w:rsidR="00FE465A" w:rsidRPr="00FE465A" w:rsidRDefault="00FE465A" w:rsidP="00FE465A">
      <w:pPr>
        <w:spacing w:after="0" w:line="240" w:lineRule="auto"/>
        <w:jc w:val="both"/>
        <w:rPr>
          <w:rFonts w:ascii="Cambria" w:hAnsi="Cambria" w:cs="Times New Roman"/>
          <w:sz w:val="24"/>
          <w:szCs w:val="24"/>
        </w:rPr>
      </w:pPr>
    </w:p>
    <w:p w14:paraId="53F5F4A6" w14:textId="77777777" w:rsidR="00FE465A" w:rsidRPr="00FE465A" w:rsidRDefault="00FE465A" w:rsidP="00FE465A">
      <w:pPr>
        <w:spacing w:after="0" w:line="240" w:lineRule="auto"/>
        <w:jc w:val="both"/>
        <w:rPr>
          <w:rFonts w:ascii="Cambria" w:hAnsi="Cambria" w:cs="Times New Roman"/>
          <w:sz w:val="24"/>
          <w:szCs w:val="24"/>
        </w:rPr>
      </w:pPr>
      <w:r w:rsidRPr="00FE465A">
        <w:rPr>
          <w:rFonts w:ascii="Cambria" w:hAnsi="Cambria" w:cs="Times New Roman"/>
          <w:sz w:val="24"/>
          <w:szCs w:val="24"/>
        </w:rPr>
        <w:t xml:space="preserve">Desde el año 2014, la CONACOD ha realizado labores de capacitación, ha aprobado lineamientos de gestión interna para la atención de casos de discriminación y se han elaborado manuales contra la discriminación, v. gr. el Manual para Comunicadores y Comunicadores contra la discriminación y el Manual para la Policía Nacional contra la discriminación. </w:t>
      </w:r>
    </w:p>
    <w:p w14:paraId="1DB769E9" w14:textId="77777777" w:rsidR="00FE465A" w:rsidRPr="00FE465A" w:rsidRDefault="00FE465A" w:rsidP="00FE465A">
      <w:pPr>
        <w:spacing w:after="0" w:line="240" w:lineRule="auto"/>
        <w:jc w:val="both"/>
        <w:rPr>
          <w:rFonts w:ascii="Cambria" w:hAnsi="Cambria" w:cs="Times New Roman"/>
          <w:sz w:val="24"/>
          <w:szCs w:val="24"/>
        </w:rPr>
      </w:pPr>
    </w:p>
    <w:p w14:paraId="20BC661D" w14:textId="6D345258" w:rsidR="00FE465A" w:rsidRPr="00FE465A" w:rsidRDefault="00FE465A" w:rsidP="00FE465A">
      <w:pPr>
        <w:spacing w:after="0" w:line="240" w:lineRule="auto"/>
        <w:jc w:val="both"/>
        <w:rPr>
          <w:rFonts w:ascii="Cambria" w:hAnsi="Cambria" w:cs="Times New Roman"/>
          <w:sz w:val="24"/>
          <w:szCs w:val="24"/>
        </w:rPr>
      </w:pPr>
      <w:r w:rsidRPr="00FE465A">
        <w:rPr>
          <w:rFonts w:ascii="Cambria" w:hAnsi="Cambria" w:cs="Times New Roman"/>
          <w:sz w:val="24"/>
          <w:szCs w:val="24"/>
        </w:rPr>
        <w:t xml:space="preserve">Además, en coordinación con los 8 sectores que conforman la CONACOD y el apoyo técnico de la Oficina Nacional de Gobierno Electrónico e Informática de la Presidencia del Consejo de Ministros, se ha diseñado la Plataforma contra la Discriminación (http://yonodiscrimino.gob.pe/), la misma que pretende convertirse en una herramienta a través de la cual </w:t>
      </w:r>
      <w:r>
        <w:rPr>
          <w:rFonts w:ascii="Cambria" w:hAnsi="Cambria" w:cs="Times New Roman"/>
          <w:sz w:val="24"/>
          <w:szCs w:val="24"/>
        </w:rPr>
        <w:t>se coordine de forma articulada</w:t>
      </w:r>
      <w:r w:rsidRPr="00FE465A">
        <w:rPr>
          <w:rFonts w:ascii="Cambria" w:hAnsi="Cambria" w:cs="Times New Roman"/>
          <w:sz w:val="24"/>
          <w:szCs w:val="24"/>
        </w:rPr>
        <w:t xml:space="preserve"> la política nacional de atención, sanción y protección de </w:t>
      </w:r>
      <w:r>
        <w:rPr>
          <w:rFonts w:ascii="Cambria" w:hAnsi="Cambria" w:cs="Times New Roman"/>
          <w:sz w:val="24"/>
          <w:szCs w:val="24"/>
        </w:rPr>
        <w:t xml:space="preserve">las </w:t>
      </w:r>
      <w:r w:rsidRPr="00FE465A">
        <w:rPr>
          <w:rFonts w:ascii="Cambria" w:hAnsi="Cambria" w:cs="Times New Roman"/>
          <w:sz w:val="24"/>
          <w:szCs w:val="24"/>
        </w:rPr>
        <w:t>víctimas de casos de discriminación en cualquiera de sus formas, garantizando el ejercicio de los derechos consagrados en la Constitución</w:t>
      </w:r>
      <w:r w:rsidR="00A7742A">
        <w:rPr>
          <w:rFonts w:ascii="Cambria" w:hAnsi="Cambria" w:cs="Times New Roman"/>
          <w:sz w:val="24"/>
          <w:szCs w:val="24"/>
        </w:rPr>
        <w:t>.</w:t>
      </w:r>
      <w:r>
        <w:rPr>
          <w:rFonts w:ascii="Cambria" w:hAnsi="Cambria" w:cs="Times New Roman"/>
          <w:sz w:val="24"/>
          <w:szCs w:val="24"/>
        </w:rPr>
        <w:t xml:space="preserve"> </w:t>
      </w:r>
    </w:p>
    <w:p w14:paraId="2318B9C3" w14:textId="77777777" w:rsidR="00FE465A" w:rsidRPr="00FE465A" w:rsidRDefault="00FE465A" w:rsidP="00FE465A">
      <w:pPr>
        <w:spacing w:after="0" w:line="240" w:lineRule="auto"/>
        <w:jc w:val="both"/>
        <w:rPr>
          <w:rFonts w:ascii="Cambria" w:hAnsi="Cambria" w:cs="Times New Roman"/>
          <w:sz w:val="24"/>
          <w:szCs w:val="24"/>
        </w:rPr>
      </w:pPr>
    </w:p>
    <w:p w14:paraId="069B2A29" w14:textId="5EB46549" w:rsidR="00FE465A" w:rsidRPr="00FE465A" w:rsidRDefault="00FE465A" w:rsidP="00FE465A">
      <w:pPr>
        <w:spacing w:after="0" w:line="240" w:lineRule="auto"/>
        <w:jc w:val="both"/>
        <w:rPr>
          <w:rFonts w:ascii="Cambria" w:hAnsi="Cambria" w:cs="Times New Roman"/>
          <w:sz w:val="24"/>
          <w:szCs w:val="24"/>
        </w:rPr>
      </w:pPr>
      <w:r w:rsidRPr="00FE465A">
        <w:rPr>
          <w:rFonts w:ascii="Cambria" w:hAnsi="Cambria" w:cs="Times New Roman"/>
          <w:sz w:val="24"/>
          <w:szCs w:val="24"/>
        </w:rPr>
        <w:t xml:space="preserve">La Plataforma prevé como causales proscritas de discriminación las razones étnicas o raciales, por razón de sexo o género, por discapacidad, por edad, por orientación sexual o identidad de género y por razones religiosas. Aunque la lista no es cerrada, si constituyen categorías sospechosas de discriminación, ya que son las causales más comunes por las cuales se presentan casos de discriminación en el país. Además, corresponde a las categorías expresamente señaladas en la </w:t>
      </w:r>
      <w:r w:rsidR="00A7742A">
        <w:rPr>
          <w:rFonts w:ascii="Cambria" w:hAnsi="Cambria" w:cs="Times New Roman"/>
          <w:sz w:val="24"/>
          <w:szCs w:val="24"/>
        </w:rPr>
        <w:t>Constitución Política en</w:t>
      </w:r>
      <w:r w:rsidR="00A7742A" w:rsidRPr="00A7742A">
        <w:t xml:space="preserve"> </w:t>
      </w:r>
      <w:r w:rsidR="00A7742A" w:rsidRPr="00A7742A">
        <w:rPr>
          <w:rFonts w:ascii="Cambria" w:hAnsi="Cambria" w:cs="Times New Roman"/>
          <w:sz w:val="24"/>
          <w:szCs w:val="24"/>
        </w:rPr>
        <w:t xml:space="preserve">el artículo 2 inciso 2 </w:t>
      </w:r>
      <w:r w:rsidR="00A7742A">
        <w:rPr>
          <w:rFonts w:ascii="Cambria" w:hAnsi="Cambria" w:cs="Times New Roman"/>
          <w:sz w:val="24"/>
          <w:szCs w:val="24"/>
        </w:rPr>
        <w:t xml:space="preserve">que </w:t>
      </w:r>
      <w:r w:rsidR="003E4BB2">
        <w:rPr>
          <w:rFonts w:ascii="Cambria" w:hAnsi="Cambria" w:cs="Times New Roman"/>
          <w:sz w:val="24"/>
          <w:szCs w:val="24"/>
        </w:rPr>
        <w:t>señala</w:t>
      </w:r>
      <w:r w:rsidR="00A7742A" w:rsidRPr="00A7742A">
        <w:rPr>
          <w:rFonts w:ascii="Cambria" w:hAnsi="Cambria" w:cs="Times New Roman"/>
          <w:sz w:val="24"/>
          <w:szCs w:val="24"/>
        </w:rPr>
        <w:t xml:space="preserve"> “</w:t>
      </w:r>
      <w:r w:rsidR="00A7742A" w:rsidRPr="00A7742A">
        <w:rPr>
          <w:rFonts w:ascii="Cambria" w:hAnsi="Cambria" w:cs="Times New Roman"/>
          <w:i/>
          <w:sz w:val="24"/>
          <w:szCs w:val="24"/>
        </w:rPr>
        <w:t xml:space="preserve">Toda persona tiene derecho a la igualdad ante la ley. Nadie debe ser discriminado por motivo de </w:t>
      </w:r>
      <w:r w:rsidR="00A7742A" w:rsidRPr="003E4BB2">
        <w:rPr>
          <w:rFonts w:ascii="Cambria" w:hAnsi="Cambria" w:cs="Times New Roman"/>
          <w:i/>
          <w:sz w:val="24"/>
          <w:szCs w:val="24"/>
          <w:u w:val="single"/>
        </w:rPr>
        <w:t>origen</w:t>
      </w:r>
      <w:r w:rsidR="00A7742A" w:rsidRPr="00A7742A">
        <w:rPr>
          <w:rFonts w:ascii="Cambria" w:hAnsi="Cambria" w:cs="Times New Roman"/>
          <w:i/>
          <w:sz w:val="24"/>
          <w:szCs w:val="24"/>
        </w:rPr>
        <w:t xml:space="preserve">, </w:t>
      </w:r>
      <w:r w:rsidR="00A7742A" w:rsidRPr="003E4BB2">
        <w:rPr>
          <w:rFonts w:ascii="Cambria" w:hAnsi="Cambria" w:cs="Times New Roman"/>
          <w:i/>
          <w:sz w:val="24"/>
          <w:szCs w:val="24"/>
        </w:rPr>
        <w:t>raza</w:t>
      </w:r>
      <w:r w:rsidR="00A7742A" w:rsidRPr="00A7742A">
        <w:rPr>
          <w:rFonts w:ascii="Cambria" w:hAnsi="Cambria" w:cs="Times New Roman"/>
          <w:i/>
          <w:sz w:val="24"/>
          <w:szCs w:val="24"/>
        </w:rPr>
        <w:t>, sexo, idioma, religión, opinión, condición económica o de cualquiera otra índole</w:t>
      </w:r>
      <w:r w:rsidR="00A7742A" w:rsidRPr="00A7742A">
        <w:rPr>
          <w:rFonts w:ascii="Cambria" w:hAnsi="Cambria" w:cs="Times New Roman"/>
          <w:sz w:val="24"/>
          <w:szCs w:val="24"/>
        </w:rPr>
        <w:t>.”</w:t>
      </w:r>
      <w:r w:rsidRPr="00FE465A">
        <w:rPr>
          <w:rFonts w:ascii="Cambria" w:hAnsi="Cambria" w:cs="Times New Roman"/>
          <w:sz w:val="24"/>
          <w:szCs w:val="24"/>
        </w:rPr>
        <w:t xml:space="preserve"> </w:t>
      </w:r>
    </w:p>
    <w:p w14:paraId="09AD22D7" w14:textId="77777777" w:rsidR="00FE465A" w:rsidRPr="00FE465A" w:rsidRDefault="00FE465A" w:rsidP="00FE465A">
      <w:pPr>
        <w:spacing w:after="0" w:line="240" w:lineRule="auto"/>
        <w:jc w:val="both"/>
        <w:rPr>
          <w:rFonts w:ascii="Cambria" w:hAnsi="Cambria" w:cs="Times New Roman"/>
          <w:sz w:val="24"/>
          <w:szCs w:val="24"/>
        </w:rPr>
      </w:pPr>
    </w:p>
    <w:p w14:paraId="729D4CFD" w14:textId="4303289C" w:rsidR="008D70C1" w:rsidRDefault="00FE465A" w:rsidP="008D70C1">
      <w:pPr>
        <w:spacing w:after="0" w:line="240" w:lineRule="auto"/>
        <w:jc w:val="both"/>
        <w:rPr>
          <w:rFonts w:ascii="Cambria" w:hAnsi="Cambria" w:cs="Times New Roman"/>
          <w:sz w:val="24"/>
          <w:szCs w:val="24"/>
        </w:rPr>
      </w:pPr>
      <w:r w:rsidRPr="00FE465A">
        <w:rPr>
          <w:rFonts w:ascii="Cambria" w:hAnsi="Cambria" w:cs="Times New Roman"/>
          <w:sz w:val="24"/>
          <w:szCs w:val="24"/>
        </w:rPr>
        <w:t xml:space="preserve">Asimismo, debido al diseño práctico y amigable de la página web, cualquier persona puede reportar directamente los casos de discriminación, proporcionando datos básicos para que las autoridades competentes realicen las gestiones correspondientes para sancionar y corregir este tipo acciones. </w:t>
      </w:r>
      <w:r w:rsidR="00960D3D">
        <w:rPr>
          <w:rFonts w:ascii="Cambria" w:hAnsi="Cambria" w:cs="Times New Roman"/>
          <w:sz w:val="24"/>
          <w:szCs w:val="24"/>
        </w:rPr>
        <w:t xml:space="preserve">El formato de </w:t>
      </w:r>
      <w:r w:rsidR="00960D3D" w:rsidRPr="00581F6A">
        <w:rPr>
          <w:rFonts w:ascii="Cambria" w:hAnsi="Cambria" w:cs="Times New Roman"/>
          <w:sz w:val="24"/>
          <w:szCs w:val="24"/>
        </w:rPr>
        <w:t>denuncia permite que los ciudadanos nacionales o extranjeros residentes en el país</w:t>
      </w:r>
      <w:r w:rsidR="00581F6A" w:rsidRPr="00581F6A">
        <w:rPr>
          <w:rFonts w:ascii="Cambria" w:hAnsi="Cambria"/>
          <w:sz w:val="24"/>
          <w:szCs w:val="24"/>
        </w:rPr>
        <w:t xml:space="preserve"> reporten los </w:t>
      </w:r>
      <w:r w:rsidR="00581F6A" w:rsidRPr="00581F6A">
        <w:rPr>
          <w:rFonts w:ascii="Cambria" w:hAnsi="Cambria" w:cs="Times New Roman"/>
          <w:sz w:val="24"/>
          <w:szCs w:val="24"/>
        </w:rPr>
        <w:t>hechos discriminatorios de los que han sido victima ellos o un tercero</w:t>
      </w:r>
      <w:r w:rsidR="00A7742A">
        <w:rPr>
          <w:rStyle w:val="FootnoteReference"/>
          <w:rFonts w:ascii="Cambria" w:hAnsi="Cambria" w:cs="Times New Roman"/>
          <w:sz w:val="24"/>
          <w:szCs w:val="24"/>
        </w:rPr>
        <w:footnoteReference w:id="5"/>
      </w:r>
      <w:r w:rsidR="00581F6A" w:rsidRPr="00581F6A">
        <w:rPr>
          <w:rFonts w:ascii="Cambria" w:hAnsi="Cambria" w:cs="Times New Roman"/>
          <w:sz w:val="24"/>
          <w:szCs w:val="24"/>
        </w:rPr>
        <w:t>.</w:t>
      </w:r>
      <w:r w:rsidR="00960D3D" w:rsidRPr="00581F6A">
        <w:rPr>
          <w:rFonts w:ascii="Cambria" w:hAnsi="Cambria" w:cs="Times New Roman"/>
          <w:sz w:val="24"/>
          <w:szCs w:val="24"/>
        </w:rPr>
        <w:t xml:space="preserve"> </w:t>
      </w:r>
    </w:p>
    <w:p w14:paraId="6B39BB04" w14:textId="77777777" w:rsidR="008D70C1" w:rsidRDefault="008D70C1" w:rsidP="008D70C1">
      <w:pPr>
        <w:spacing w:after="0" w:line="240" w:lineRule="auto"/>
        <w:jc w:val="both"/>
        <w:rPr>
          <w:rFonts w:ascii="Cambria" w:hAnsi="Cambria" w:cs="Times New Roman"/>
          <w:sz w:val="24"/>
          <w:szCs w:val="24"/>
        </w:rPr>
      </w:pPr>
    </w:p>
    <w:p w14:paraId="1665D36E" w14:textId="20C87A32" w:rsidR="008D70C1" w:rsidRPr="008D70C1" w:rsidRDefault="008D70C1" w:rsidP="008D70C1">
      <w:pPr>
        <w:rPr>
          <w:rFonts w:ascii="Cambria" w:hAnsi="Cambria" w:cs="Times New Roman"/>
          <w:sz w:val="24"/>
          <w:szCs w:val="24"/>
        </w:rPr>
      </w:pPr>
      <w:r w:rsidRPr="008D70C1">
        <w:rPr>
          <w:rFonts w:ascii="Cambria" w:hAnsi="Cambria" w:cs="Times New Roman"/>
          <w:sz w:val="24"/>
          <w:szCs w:val="24"/>
        </w:rPr>
        <w:t>Es todo cuanto tengo que informar, para los fines pertinentes.</w:t>
      </w:r>
    </w:p>
    <w:p w14:paraId="5B6CEE1D" w14:textId="77777777" w:rsidR="008D70C1" w:rsidRPr="008D70C1" w:rsidRDefault="008D70C1" w:rsidP="008D70C1">
      <w:pPr>
        <w:rPr>
          <w:rFonts w:ascii="Cambria" w:hAnsi="Cambria" w:cs="Times New Roman"/>
          <w:sz w:val="24"/>
          <w:szCs w:val="24"/>
        </w:rPr>
      </w:pPr>
      <w:r w:rsidRPr="008D70C1">
        <w:rPr>
          <w:rFonts w:ascii="Cambria" w:hAnsi="Cambria" w:cs="Times New Roman"/>
          <w:sz w:val="24"/>
          <w:szCs w:val="24"/>
        </w:rPr>
        <w:t>Sin otro particular, hago propicia la oportunidad para expresarle mi consideración y estima personal.</w:t>
      </w:r>
    </w:p>
    <w:p w14:paraId="60C83907" w14:textId="77777777" w:rsidR="008D70C1" w:rsidRPr="008D70C1" w:rsidRDefault="008D70C1" w:rsidP="008D70C1">
      <w:pPr>
        <w:rPr>
          <w:rFonts w:ascii="Cambria" w:hAnsi="Cambria" w:cs="Times New Roman"/>
          <w:sz w:val="24"/>
          <w:szCs w:val="24"/>
        </w:rPr>
      </w:pPr>
    </w:p>
    <w:p w14:paraId="59DFFA1F" w14:textId="179F6D8A" w:rsidR="008D70C1" w:rsidRDefault="008D70C1" w:rsidP="008D70C1">
      <w:pPr>
        <w:rPr>
          <w:rFonts w:ascii="Cambria" w:hAnsi="Cambria" w:cs="Times New Roman"/>
          <w:sz w:val="24"/>
          <w:szCs w:val="24"/>
        </w:rPr>
      </w:pPr>
    </w:p>
    <w:p w14:paraId="64862B36" w14:textId="77777777" w:rsidR="008D70C1" w:rsidRPr="008D70C1" w:rsidRDefault="008D70C1" w:rsidP="008D70C1">
      <w:pPr>
        <w:tabs>
          <w:tab w:val="left" w:pos="2895"/>
        </w:tabs>
        <w:rPr>
          <w:rFonts w:ascii="Cambria" w:hAnsi="Cambria" w:cs="Times New Roman"/>
          <w:sz w:val="24"/>
          <w:szCs w:val="24"/>
        </w:rPr>
      </w:pPr>
      <w:r>
        <w:rPr>
          <w:rFonts w:ascii="Cambria" w:hAnsi="Cambria" w:cs="Times New Roman"/>
          <w:sz w:val="24"/>
          <w:szCs w:val="24"/>
        </w:rPr>
        <w:tab/>
      </w:r>
    </w:p>
    <w:p w14:paraId="5A3A02B3" w14:textId="2ADC67C8" w:rsidR="00D72BDA" w:rsidRPr="008D70C1" w:rsidRDefault="00D72BDA" w:rsidP="008D70C1">
      <w:pPr>
        <w:tabs>
          <w:tab w:val="left" w:pos="2895"/>
        </w:tabs>
        <w:rPr>
          <w:rFonts w:ascii="Cambria" w:hAnsi="Cambria" w:cs="Times New Roman"/>
          <w:sz w:val="24"/>
          <w:szCs w:val="24"/>
        </w:rPr>
      </w:pPr>
    </w:p>
    <w:sectPr w:rsidR="00D72BDA" w:rsidRPr="008D70C1" w:rsidSect="00B46A84">
      <w:headerReference w:type="default" r:id="rId9"/>
      <w:footerReference w:type="default" r:id="rId10"/>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4CA61" w14:textId="77777777" w:rsidR="00587973" w:rsidRDefault="00587973" w:rsidP="008E71CD">
      <w:pPr>
        <w:spacing w:after="0" w:line="240" w:lineRule="auto"/>
      </w:pPr>
      <w:r>
        <w:separator/>
      </w:r>
    </w:p>
  </w:endnote>
  <w:endnote w:type="continuationSeparator" w:id="0">
    <w:p w14:paraId="097A8C5C" w14:textId="77777777" w:rsidR="00587973" w:rsidRDefault="00587973" w:rsidP="008E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umanist777BT-RomanB">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278">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852916"/>
      <w:docPartObj>
        <w:docPartGallery w:val="Page Numbers (Bottom of Page)"/>
        <w:docPartUnique/>
      </w:docPartObj>
    </w:sdtPr>
    <w:sdtEndPr/>
    <w:sdtContent>
      <w:p w14:paraId="1EAFD696" w14:textId="45213ED5" w:rsidR="009D5091" w:rsidRDefault="009D5091">
        <w:pPr>
          <w:pStyle w:val="Footer"/>
          <w:jc w:val="right"/>
        </w:pPr>
        <w:r>
          <w:fldChar w:fldCharType="begin"/>
        </w:r>
        <w:r>
          <w:instrText>PAGE   \* MERGEFORMAT</w:instrText>
        </w:r>
        <w:r>
          <w:fldChar w:fldCharType="separate"/>
        </w:r>
        <w:r w:rsidR="00F232A0" w:rsidRPr="00F232A0">
          <w:rPr>
            <w:noProof/>
            <w:lang w:val="es-ES"/>
          </w:rPr>
          <w:t>14</w:t>
        </w:r>
        <w:r>
          <w:fldChar w:fldCharType="end"/>
        </w:r>
      </w:p>
    </w:sdtContent>
  </w:sdt>
  <w:p w14:paraId="13D0A60F" w14:textId="77777777" w:rsidR="009D5091" w:rsidRPr="00CE5A8B" w:rsidRDefault="009D5091">
    <w:pPr>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B4D21" w14:textId="77777777" w:rsidR="00587973" w:rsidRDefault="00587973" w:rsidP="008E71CD">
      <w:pPr>
        <w:spacing w:after="0" w:line="240" w:lineRule="auto"/>
      </w:pPr>
      <w:r>
        <w:separator/>
      </w:r>
    </w:p>
  </w:footnote>
  <w:footnote w:type="continuationSeparator" w:id="0">
    <w:p w14:paraId="54E36512" w14:textId="77777777" w:rsidR="00587973" w:rsidRDefault="00587973" w:rsidP="008E71CD">
      <w:pPr>
        <w:spacing w:after="0" w:line="240" w:lineRule="auto"/>
      </w:pPr>
      <w:r>
        <w:continuationSeparator/>
      </w:r>
    </w:p>
  </w:footnote>
  <w:footnote w:id="1">
    <w:p w14:paraId="114D5746" w14:textId="7A3CA258" w:rsidR="001B4688" w:rsidRPr="001B4688" w:rsidRDefault="001B4688" w:rsidP="001B4688">
      <w:pPr>
        <w:pStyle w:val="FootnoteText"/>
        <w:jc w:val="both"/>
        <w:rPr>
          <w:rFonts w:ascii="Cambria" w:hAnsi="Cambria"/>
          <w:lang w:val="es-MX"/>
        </w:rPr>
      </w:pPr>
      <w:r w:rsidRPr="001B4688">
        <w:rPr>
          <w:rStyle w:val="FootnoteReference"/>
          <w:rFonts w:ascii="Cambria" w:hAnsi="Cambria"/>
        </w:rPr>
        <w:footnoteRef/>
      </w:r>
      <w:r w:rsidRPr="001B4688">
        <w:rPr>
          <w:rFonts w:ascii="Cambria" w:hAnsi="Cambria"/>
        </w:rPr>
        <w:t xml:space="preserve"> </w:t>
      </w:r>
      <w:r w:rsidRPr="001B4688">
        <w:rPr>
          <w:rFonts w:ascii="Cambria" w:hAnsi="Cambria"/>
          <w:lang w:val="es-MX"/>
        </w:rPr>
        <w:t>Entre enero de 2014 y junio de 2015, el Sistema Reta ha registrado 421 denuncias, el 72% responden a la modalidad de explotación sexual, el 26.6% a explotación laboral, 0.7% a mendicidad, 0.5% venta de niños y 0.2% por tráfico de órganos. En lo que compete a víctimas, se registraron un total de 1646, de las cuales el 92.6% son mujeres y el 7.4% varones. Se registraron 193 (11.7%) victimas menores de edad.</w:t>
      </w:r>
    </w:p>
  </w:footnote>
  <w:footnote w:id="2">
    <w:p w14:paraId="7CA84227" w14:textId="77777777" w:rsidR="001B4688" w:rsidRPr="001B4688" w:rsidRDefault="001B4688" w:rsidP="001B4688">
      <w:pPr>
        <w:pStyle w:val="FootnoteText"/>
        <w:jc w:val="both"/>
        <w:rPr>
          <w:rFonts w:ascii="Cambria" w:hAnsi="Cambria"/>
          <w:lang w:val="es-MX"/>
        </w:rPr>
      </w:pPr>
      <w:r w:rsidRPr="001B4688">
        <w:rPr>
          <w:rStyle w:val="FootnoteReference"/>
          <w:rFonts w:ascii="Cambria" w:hAnsi="Cambria"/>
        </w:rPr>
        <w:footnoteRef/>
      </w:r>
      <w:r w:rsidRPr="001B4688">
        <w:rPr>
          <w:rFonts w:ascii="Cambria" w:hAnsi="Cambria"/>
        </w:rPr>
        <w:t xml:space="preserve"> </w:t>
      </w:r>
      <w:r w:rsidRPr="001B4688">
        <w:rPr>
          <w:rFonts w:ascii="Cambria" w:hAnsi="Cambria"/>
          <w:lang w:val="es-MX"/>
        </w:rPr>
        <w:t>Durante el año 2014, el Sistema Estratégico sobre Trata de Personas, ha registrado un total de 501 casos de trata de personas, siendo los lugares de mayor incidencia: Lima (21,6%), Loreto (16%), Madre de Dios (10,8%), Junín (5,2%) y Arequipa (4,4%), resultando un total de 782 víctimas. En lo que respecta a la modalidad más frecuente de este delito, la explotación sexual figura con un 34,9%, en segundo lugar, se encuentra la explotación laboral con 7,8%.</w:t>
      </w:r>
    </w:p>
    <w:p w14:paraId="42519EF7" w14:textId="15C98C3E" w:rsidR="001B4688" w:rsidRDefault="001B4688">
      <w:pPr>
        <w:pStyle w:val="FootnoteText"/>
      </w:pPr>
    </w:p>
  </w:footnote>
  <w:footnote w:id="3">
    <w:p w14:paraId="71760966" w14:textId="1156F444" w:rsidR="004F5395" w:rsidRPr="004F5395" w:rsidRDefault="004F5395" w:rsidP="004F5395">
      <w:pPr>
        <w:pStyle w:val="FootnoteText"/>
        <w:jc w:val="both"/>
        <w:rPr>
          <w:rFonts w:ascii="Cambria" w:hAnsi="Cambria"/>
        </w:rPr>
      </w:pPr>
      <w:r w:rsidRPr="004F5395">
        <w:rPr>
          <w:rStyle w:val="FootnoteReference"/>
          <w:rFonts w:ascii="Cambria" w:hAnsi="Cambria"/>
        </w:rPr>
        <w:footnoteRef/>
      </w:r>
      <w:r w:rsidRPr="004F5395">
        <w:rPr>
          <w:rFonts w:ascii="Cambria" w:hAnsi="Cambria"/>
        </w:rPr>
        <w:t xml:space="preserve"> Artículo 8.- Reconocimiento de derechos fundamentales al extranjero</w:t>
      </w:r>
      <w:r>
        <w:rPr>
          <w:rFonts w:ascii="Cambria" w:hAnsi="Cambria"/>
        </w:rPr>
        <w:t xml:space="preserve">. </w:t>
      </w:r>
      <w:r w:rsidRPr="004F5395">
        <w:rPr>
          <w:rFonts w:ascii="Cambria" w:hAnsi="Cambria"/>
        </w:rPr>
        <w:t>El Estado le reconoce al extranjero el goce y ejercicio de los derechos fundamentales, tales como el derecho de acceso a la salud, la educación y el trabajo, en igualdad de condiciones que al nacional, observando las condiciones para su ejercicio, conforme a lo previsto en el presente Decreto Legislativo y demás disposiciones especiales del marco normativo vigente, salvo las prohibiciones y limitaciones establecidas por la Constitución Política del Perú y las leyes especiales.</w:t>
      </w:r>
    </w:p>
  </w:footnote>
  <w:footnote w:id="4">
    <w:p w14:paraId="3B396C37" w14:textId="77777777" w:rsidR="00C53BE1" w:rsidRPr="00C53BE1" w:rsidRDefault="00C53BE1" w:rsidP="00C53BE1">
      <w:pPr>
        <w:pStyle w:val="FootnoteText"/>
        <w:jc w:val="both"/>
        <w:rPr>
          <w:rFonts w:ascii="Cambria" w:hAnsi="Cambria"/>
        </w:rPr>
      </w:pPr>
      <w:r w:rsidRPr="00C53BE1">
        <w:rPr>
          <w:rStyle w:val="FootnoteReference"/>
          <w:rFonts w:ascii="Cambria" w:hAnsi="Cambria"/>
        </w:rPr>
        <w:footnoteRef/>
      </w:r>
      <w:r w:rsidRPr="00C53BE1">
        <w:rPr>
          <w:rFonts w:ascii="Cambria" w:hAnsi="Cambria"/>
        </w:rPr>
        <w:t>Artículo 82.- Tipos de sanción. Las sanciones administrativas que se pueden imponer al administrado son:</w:t>
      </w:r>
    </w:p>
    <w:p w14:paraId="0CDD87C8" w14:textId="77777777" w:rsidR="00C53BE1" w:rsidRPr="00C53BE1" w:rsidRDefault="00C53BE1" w:rsidP="00C53BE1">
      <w:pPr>
        <w:pStyle w:val="FootnoteText"/>
        <w:jc w:val="both"/>
        <w:rPr>
          <w:rFonts w:ascii="Cambria" w:hAnsi="Cambria"/>
        </w:rPr>
      </w:pPr>
      <w:r w:rsidRPr="00C53BE1">
        <w:rPr>
          <w:rFonts w:ascii="Cambria" w:hAnsi="Cambria"/>
        </w:rPr>
        <w:t>82.1. Multa: La multa es la sanción de carácter pecuniario cuyo monto se establece sobre la base del valor de la Unidad Impositiva Tributaria (UIT) y dentro de los límites mínimos y máximos establecidos para cada tipo de infracción.</w:t>
      </w:r>
    </w:p>
    <w:p w14:paraId="30C82D19" w14:textId="77777777" w:rsidR="00C53BE1" w:rsidRPr="00C53BE1" w:rsidRDefault="00C53BE1" w:rsidP="00C53BE1">
      <w:pPr>
        <w:pStyle w:val="FootnoteText"/>
        <w:jc w:val="both"/>
        <w:rPr>
          <w:rFonts w:ascii="Cambria" w:hAnsi="Cambria"/>
        </w:rPr>
      </w:pPr>
      <w:r w:rsidRPr="00C53BE1">
        <w:rPr>
          <w:rFonts w:ascii="Cambria" w:hAnsi="Cambria"/>
        </w:rPr>
        <w:t>82.2. Salida Obligatoria: La salida obligatoria determina que el extranjero abandone el territorio nacional, y conlleva el impedimento de ingreso al territorio nacional hasta por el plazo de cinco (05) años, contados a partir del día que efectúe su control migratorio de salida del país. El Reglamento establece los criterios para la imposición de los plazos, así como los casos de excepción del impedimento de ingreso.</w:t>
      </w:r>
    </w:p>
    <w:p w14:paraId="10D554C7" w14:textId="77777777" w:rsidR="00C53BE1" w:rsidRPr="00C53BE1" w:rsidRDefault="00C53BE1" w:rsidP="00C53BE1">
      <w:pPr>
        <w:pStyle w:val="FootnoteText"/>
        <w:jc w:val="both"/>
        <w:rPr>
          <w:rFonts w:ascii="Cambria" w:hAnsi="Cambria"/>
        </w:rPr>
      </w:pPr>
      <w:r w:rsidRPr="00C53BE1">
        <w:rPr>
          <w:rFonts w:ascii="Cambria" w:hAnsi="Cambria"/>
        </w:rPr>
        <w:t xml:space="preserve">82.3. Expulsión: La expulsión obliga al extranjero a abandonar el territorio nacional dentro del plazo que se fije en el Reglamento, y conlleva el impedimento de ingreso al territorio nacional por el plazo de hasta diez (10) años, contados a partir de la salida.   </w:t>
      </w:r>
    </w:p>
    <w:p w14:paraId="605445C3" w14:textId="0EE59CFA" w:rsidR="00C53BE1" w:rsidRPr="00C53BE1" w:rsidRDefault="00C53BE1" w:rsidP="00C53BE1">
      <w:pPr>
        <w:pStyle w:val="FootnoteText"/>
        <w:jc w:val="both"/>
        <w:rPr>
          <w:rFonts w:ascii="Cambria" w:hAnsi="Cambria"/>
        </w:rPr>
      </w:pPr>
      <w:r w:rsidRPr="00C53BE1">
        <w:rPr>
          <w:rFonts w:ascii="Cambria" w:hAnsi="Cambria"/>
        </w:rPr>
        <w:t xml:space="preserve"> </w:t>
      </w:r>
    </w:p>
  </w:footnote>
  <w:footnote w:id="5">
    <w:p w14:paraId="0069FF0B" w14:textId="5F84D734" w:rsidR="00A7742A" w:rsidRDefault="00A7742A">
      <w:pPr>
        <w:pStyle w:val="FootnoteText"/>
      </w:pPr>
      <w:r>
        <w:rPr>
          <w:rStyle w:val="FootnoteReference"/>
        </w:rPr>
        <w:footnoteRef/>
      </w:r>
      <w:r>
        <w:t xml:space="preserve"> Ver link: </w:t>
      </w:r>
      <w:r w:rsidRPr="00A7742A">
        <w:t>http://yonodiscrimino.gob.pe/formularios/pd_formulario_discriminacion.asp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1767" w14:textId="77777777" w:rsidR="009D5091" w:rsidRPr="00275C68" w:rsidRDefault="009D5091" w:rsidP="00EF04C3">
    <w:pPr>
      <w:spacing w:after="0" w:line="240" w:lineRule="auto"/>
      <w:jc w:val="center"/>
      <w:rPr>
        <w:rFonts w:ascii="Arial" w:hAnsi="Arial"/>
      </w:rPr>
    </w:pPr>
    <w:r>
      <w:rPr>
        <w:noProof/>
        <w:lang w:val="en-GB" w:eastAsia="en-GB"/>
      </w:rPr>
      <w:drawing>
        <wp:inline distT="0" distB="0" distL="0" distR="0" wp14:anchorId="16E11D0A" wp14:editId="5523C15A">
          <wp:extent cx="5314950" cy="41124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8495" cy="420032"/>
                  </a:xfrm>
                  <a:prstGeom prst="rect">
                    <a:avLst/>
                  </a:prstGeom>
                  <a:noFill/>
                  <a:ln>
                    <a:noFill/>
                  </a:ln>
                </pic:spPr>
              </pic:pic>
            </a:graphicData>
          </a:graphic>
        </wp:inline>
      </w:drawing>
    </w:r>
  </w:p>
  <w:p w14:paraId="4E2F0E30" w14:textId="4916D059" w:rsidR="009D5091" w:rsidRPr="00343929" w:rsidRDefault="009D5091" w:rsidP="00343929">
    <w:pPr>
      <w:tabs>
        <w:tab w:val="center" w:pos="4252"/>
        <w:tab w:val="right" w:pos="8504"/>
      </w:tabs>
      <w:spacing w:after="0" w:line="240" w:lineRule="auto"/>
      <w:jc w:val="center"/>
      <w:rPr>
        <w:rFonts w:ascii="Cambria" w:eastAsia="Calibri" w:hAnsi="Cambria" w:cs="Times New Roman"/>
        <w:i/>
        <w:sz w:val="20"/>
        <w:szCs w:val="20"/>
        <w:lang w:val="es-ES"/>
      </w:rPr>
    </w:pPr>
    <w:r w:rsidRPr="00343929">
      <w:rPr>
        <w:rFonts w:ascii="Cambria" w:eastAsia="Calibri" w:hAnsi="Cambria" w:cs="Times New Roman"/>
        <w:i/>
        <w:sz w:val="20"/>
        <w:szCs w:val="20"/>
        <w:lang w:val="es-ES"/>
      </w:rPr>
      <w:t xml:space="preserve"> “Decenio </w:t>
    </w:r>
    <w:r>
      <w:rPr>
        <w:rFonts w:ascii="Cambria" w:eastAsia="Calibri" w:hAnsi="Cambria" w:cs="Times New Roman"/>
        <w:i/>
        <w:sz w:val="20"/>
        <w:szCs w:val="20"/>
        <w:lang w:val="es-ES"/>
      </w:rPr>
      <w:t>de las p</w:t>
    </w:r>
    <w:r w:rsidRPr="00343929">
      <w:rPr>
        <w:rFonts w:ascii="Cambria" w:eastAsia="Calibri" w:hAnsi="Cambria" w:cs="Times New Roman"/>
        <w:i/>
        <w:sz w:val="20"/>
        <w:szCs w:val="20"/>
        <w:lang w:val="es-ES"/>
      </w:rPr>
      <w:t xml:space="preserve">ersonas con </w:t>
    </w:r>
    <w:r w:rsidR="00A7742A">
      <w:rPr>
        <w:rFonts w:ascii="Cambria" w:eastAsia="Calibri" w:hAnsi="Cambria" w:cs="Times New Roman"/>
        <w:i/>
        <w:sz w:val="20"/>
        <w:szCs w:val="20"/>
        <w:lang w:val="es-ES"/>
      </w:rPr>
      <w:t>d</w:t>
    </w:r>
    <w:r w:rsidRPr="00343929">
      <w:rPr>
        <w:rFonts w:ascii="Cambria" w:eastAsia="Calibri" w:hAnsi="Cambria" w:cs="Times New Roman"/>
        <w:i/>
        <w:sz w:val="20"/>
        <w:szCs w:val="20"/>
        <w:lang w:val="es-ES"/>
      </w:rPr>
      <w:t>iscapacidad en el Perú”</w:t>
    </w:r>
  </w:p>
  <w:p w14:paraId="36296F7D" w14:textId="44D33E85" w:rsidR="009D5091" w:rsidRDefault="009D5091" w:rsidP="00343929">
    <w:pPr>
      <w:tabs>
        <w:tab w:val="center" w:pos="4252"/>
        <w:tab w:val="right" w:pos="8504"/>
      </w:tabs>
      <w:spacing w:after="0" w:line="240" w:lineRule="auto"/>
      <w:jc w:val="center"/>
      <w:rPr>
        <w:rFonts w:ascii="Cambria" w:eastAsia="Calibri" w:hAnsi="Cambria" w:cs="Times New Roman"/>
        <w:i/>
        <w:sz w:val="20"/>
        <w:szCs w:val="20"/>
        <w:lang w:val="es-ES"/>
      </w:rPr>
    </w:pPr>
    <w:r w:rsidRPr="00343929">
      <w:rPr>
        <w:rFonts w:ascii="Cambria" w:eastAsia="Calibri" w:hAnsi="Cambria" w:cs="Times New Roman"/>
        <w:i/>
        <w:sz w:val="20"/>
        <w:szCs w:val="20"/>
        <w:lang w:val="es-ES"/>
      </w:rPr>
      <w:t>“Año de la consolidación del Mar de Grau”</w:t>
    </w:r>
  </w:p>
  <w:p w14:paraId="77124F47" w14:textId="77777777" w:rsidR="009D5091" w:rsidRPr="00343929" w:rsidRDefault="009D5091" w:rsidP="00343929">
    <w:pPr>
      <w:tabs>
        <w:tab w:val="center" w:pos="4252"/>
        <w:tab w:val="right" w:pos="8504"/>
      </w:tabs>
      <w:spacing w:after="0" w:line="240" w:lineRule="auto"/>
      <w:jc w:val="center"/>
      <w:rPr>
        <w:rFonts w:ascii="Cambria" w:eastAsia="Calibri" w:hAnsi="Cambria" w:cs="Times New Roman"/>
        <w:i/>
        <w:sz w:val="20"/>
        <w:szCs w:val="20"/>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Num11"/>
    <w:lvl w:ilvl="0">
      <w:start w:val="1"/>
      <w:numFmt w:val="bullet"/>
      <w:lvlText w:val=""/>
      <w:lvlJc w:val="left"/>
      <w:pPr>
        <w:tabs>
          <w:tab w:val="num" w:pos="850"/>
        </w:tabs>
        <w:ind w:left="2278" w:hanging="360"/>
      </w:pPr>
      <w:rPr>
        <w:rFonts w:ascii="Wingdings" w:hAnsi="Wingdings"/>
      </w:rPr>
    </w:lvl>
    <w:lvl w:ilvl="1">
      <w:start w:val="1"/>
      <w:numFmt w:val="bullet"/>
      <w:lvlText w:val="o"/>
      <w:lvlJc w:val="left"/>
      <w:pPr>
        <w:tabs>
          <w:tab w:val="num" w:pos="850"/>
        </w:tabs>
        <w:ind w:left="2998" w:hanging="360"/>
      </w:pPr>
      <w:rPr>
        <w:rFonts w:ascii="Courier New" w:hAnsi="Courier New" w:cs="Courier New"/>
      </w:rPr>
    </w:lvl>
    <w:lvl w:ilvl="2">
      <w:start w:val="1"/>
      <w:numFmt w:val="bullet"/>
      <w:lvlText w:val=""/>
      <w:lvlJc w:val="left"/>
      <w:pPr>
        <w:tabs>
          <w:tab w:val="num" w:pos="850"/>
        </w:tabs>
        <w:ind w:left="3718" w:hanging="360"/>
      </w:pPr>
      <w:rPr>
        <w:rFonts w:ascii="Wingdings" w:hAnsi="Wingdings"/>
      </w:rPr>
    </w:lvl>
    <w:lvl w:ilvl="3">
      <w:start w:val="1"/>
      <w:numFmt w:val="bullet"/>
      <w:lvlText w:val=""/>
      <w:lvlJc w:val="left"/>
      <w:pPr>
        <w:tabs>
          <w:tab w:val="num" w:pos="850"/>
        </w:tabs>
        <w:ind w:left="4438" w:hanging="360"/>
      </w:pPr>
      <w:rPr>
        <w:rFonts w:ascii="Symbol" w:hAnsi="Symbol"/>
      </w:rPr>
    </w:lvl>
    <w:lvl w:ilvl="4">
      <w:start w:val="1"/>
      <w:numFmt w:val="bullet"/>
      <w:lvlText w:val="o"/>
      <w:lvlJc w:val="left"/>
      <w:pPr>
        <w:tabs>
          <w:tab w:val="num" w:pos="850"/>
        </w:tabs>
        <w:ind w:left="5158" w:hanging="360"/>
      </w:pPr>
      <w:rPr>
        <w:rFonts w:ascii="Courier New" w:hAnsi="Courier New" w:cs="Courier New"/>
      </w:rPr>
    </w:lvl>
    <w:lvl w:ilvl="5">
      <w:start w:val="1"/>
      <w:numFmt w:val="bullet"/>
      <w:lvlText w:val=""/>
      <w:lvlJc w:val="left"/>
      <w:pPr>
        <w:tabs>
          <w:tab w:val="num" w:pos="850"/>
        </w:tabs>
        <w:ind w:left="5878" w:hanging="360"/>
      </w:pPr>
      <w:rPr>
        <w:rFonts w:ascii="Wingdings" w:hAnsi="Wingdings"/>
      </w:rPr>
    </w:lvl>
    <w:lvl w:ilvl="6">
      <w:start w:val="1"/>
      <w:numFmt w:val="bullet"/>
      <w:lvlText w:val=""/>
      <w:lvlJc w:val="left"/>
      <w:pPr>
        <w:tabs>
          <w:tab w:val="num" w:pos="850"/>
        </w:tabs>
        <w:ind w:left="6598" w:hanging="360"/>
      </w:pPr>
      <w:rPr>
        <w:rFonts w:ascii="Symbol" w:hAnsi="Symbol"/>
      </w:rPr>
    </w:lvl>
    <w:lvl w:ilvl="7">
      <w:start w:val="1"/>
      <w:numFmt w:val="bullet"/>
      <w:lvlText w:val="o"/>
      <w:lvlJc w:val="left"/>
      <w:pPr>
        <w:tabs>
          <w:tab w:val="num" w:pos="850"/>
        </w:tabs>
        <w:ind w:left="7318" w:hanging="360"/>
      </w:pPr>
      <w:rPr>
        <w:rFonts w:ascii="Courier New" w:hAnsi="Courier New" w:cs="Courier New"/>
      </w:rPr>
    </w:lvl>
    <w:lvl w:ilvl="8">
      <w:start w:val="1"/>
      <w:numFmt w:val="bullet"/>
      <w:lvlText w:val=""/>
      <w:lvlJc w:val="left"/>
      <w:pPr>
        <w:tabs>
          <w:tab w:val="num" w:pos="850"/>
        </w:tabs>
        <w:ind w:left="8038" w:hanging="360"/>
      </w:pPr>
      <w:rPr>
        <w:rFonts w:ascii="Wingdings" w:hAnsi="Wingdings"/>
      </w:rPr>
    </w:lvl>
  </w:abstractNum>
  <w:abstractNum w:abstractNumId="1">
    <w:nsid w:val="00000007"/>
    <w:multiLevelType w:val="multilevel"/>
    <w:tmpl w:val="00000007"/>
    <w:name w:val="WWNum12"/>
    <w:lvl w:ilvl="0">
      <w:start w:val="1"/>
      <w:numFmt w:val="bullet"/>
      <w:lvlText w:val=""/>
      <w:lvlJc w:val="left"/>
      <w:pPr>
        <w:tabs>
          <w:tab w:val="num" w:pos="0"/>
        </w:tabs>
        <w:ind w:left="1571" w:hanging="360"/>
      </w:pPr>
      <w:rPr>
        <w:rFonts w:ascii="Wingdings" w:hAnsi="Wingdings"/>
        <w:color w:val="00000A"/>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2">
    <w:nsid w:val="060B0503"/>
    <w:multiLevelType w:val="hybridMultilevel"/>
    <w:tmpl w:val="6584E9E0"/>
    <w:lvl w:ilvl="0" w:tplc="B516AE54">
      <w:start w:val="3"/>
      <w:numFmt w:val="bullet"/>
      <w:lvlText w:val="-"/>
      <w:lvlJc w:val="left"/>
      <w:pPr>
        <w:ind w:left="720" w:hanging="360"/>
      </w:pPr>
      <w:rPr>
        <w:rFonts w:ascii="Humanist777BT-RomanB" w:eastAsiaTheme="minorHAnsi" w:hAnsi="Humanist777BT-RomanB" w:cs="Humanist777BT-RomanB"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FA53A1B"/>
    <w:multiLevelType w:val="multilevel"/>
    <w:tmpl w:val="28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7C64D64"/>
    <w:multiLevelType w:val="hybridMultilevel"/>
    <w:tmpl w:val="C9401C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480655BD"/>
    <w:multiLevelType w:val="hybridMultilevel"/>
    <w:tmpl w:val="B2EA56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5363332D"/>
    <w:multiLevelType w:val="hybridMultilevel"/>
    <w:tmpl w:val="D26E70DE"/>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7">
    <w:nsid w:val="53A36E33"/>
    <w:multiLevelType w:val="hybridMultilevel"/>
    <w:tmpl w:val="8D50DBC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7B3876C4"/>
    <w:multiLevelType w:val="hybridMultilevel"/>
    <w:tmpl w:val="86CCE648"/>
    <w:lvl w:ilvl="0" w:tplc="280A0017">
      <w:start w:val="1"/>
      <w:numFmt w:val="lowerLetter"/>
      <w:lvlText w:val="%1)"/>
      <w:lvlJc w:val="left"/>
      <w:pPr>
        <w:ind w:left="1428" w:hanging="360"/>
      </w:pPr>
      <w:rPr>
        <w:rFonts w:hint="default"/>
        <w:b/>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8"/>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38"/>
    <w:rsid w:val="0000230D"/>
    <w:rsid w:val="000124B2"/>
    <w:rsid w:val="00013EAE"/>
    <w:rsid w:val="00020536"/>
    <w:rsid w:val="00023E9C"/>
    <w:rsid w:val="00031FCC"/>
    <w:rsid w:val="0003273A"/>
    <w:rsid w:val="00035684"/>
    <w:rsid w:val="0003620D"/>
    <w:rsid w:val="0004462D"/>
    <w:rsid w:val="00051098"/>
    <w:rsid w:val="00056858"/>
    <w:rsid w:val="00057199"/>
    <w:rsid w:val="00057A73"/>
    <w:rsid w:val="000733BB"/>
    <w:rsid w:val="00076F51"/>
    <w:rsid w:val="00076FDA"/>
    <w:rsid w:val="000821E1"/>
    <w:rsid w:val="00085169"/>
    <w:rsid w:val="00085C53"/>
    <w:rsid w:val="000A127B"/>
    <w:rsid w:val="000B4574"/>
    <w:rsid w:val="000B649F"/>
    <w:rsid w:val="000C22B1"/>
    <w:rsid w:val="000C4744"/>
    <w:rsid w:val="000C5C82"/>
    <w:rsid w:val="000D7D8B"/>
    <w:rsid w:val="000E0687"/>
    <w:rsid w:val="000F156E"/>
    <w:rsid w:val="000F298A"/>
    <w:rsid w:val="000F448E"/>
    <w:rsid w:val="000F6028"/>
    <w:rsid w:val="0010511D"/>
    <w:rsid w:val="00110336"/>
    <w:rsid w:val="0011084B"/>
    <w:rsid w:val="00111E19"/>
    <w:rsid w:val="00117CF0"/>
    <w:rsid w:val="00120D1F"/>
    <w:rsid w:val="00143D9E"/>
    <w:rsid w:val="0015639E"/>
    <w:rsid w:val="00163ABA"/>
    <w:rsid w:val="00163F3F"/>
    <w:rsid w:val="001743C5"/>
    <w:rsid w:val="00176790"/>
    <w:rsid w:val="00182B70"/>
    <w:rsid w:val="001B4688"/>
    <w:rsid w:val="001B5FB3"/>
    <w:rsid w:val="00202181"/>
    <w:rsid w:val="00213694"/>
    <w:rsid w:val="00215147"/>
    <w:rsid w:val="002166DA"/>
    <w:rsid w:val="00217E06"/>
    <w:rsid w:val="002212B5"/>
    <w:rsid w:val="0023247B"/>
    <w:rsid w:val="00254F67"/>
    <w:rsid w:val="00257867"/>
    <w:rsid w:val="002609EE"/>
    <w:rsid w:val="00275FF3"/>
    <w:rsid w:val="0028366D"/>
    <w:rsid w:val="00287550"/>
    <w:rsid w:val="00287615"/>
    <w:rsid w:val="0029501D"/>
    <w:rsid w:val="00297A50"/>
    <w:rsid w:val="002B0368"/>
    <w:rsid w:val="002B19D2"/>
    <w:rsid w:val="002B31D2"/>
    <w:rsid w:val="002B3222"/>
    <w:rsid w:val="002C13CC"/>
    <w:rsid w:val="002C3C2D"/>
    <w:rsid w:val="002D0878"/>
    <w:rsid w:val="002E3A49"/>
    <w:rsid w:val="002E59E4"/>
    <w:rsid w:val="002F14C4"/>
    <w:rsid w:val="002F4579"/>
    <w:rsid w:val="002F6BCB"/>
    <w:rsid w:val="002F7888"/>
    <w:rsid w:val="003032E0"/>
    <w:rsid w:val="00313CBF"/>
    <w:rsid w:val="00314853"/>
    <w:rsid w:val="00321719"/>
    <w:rsid w:val="00323E96"/>
    <w:rsid w:val="00323F3C"/>
    <w:rsid w:val="0032473F"/>
    <w:rsid w:val="0032639C"/>
    <w:rsid w:val="00331EF0"/>
    <w:rsid w:val="003360CB"/>
    <w:rsid w:val="00343929"/>
    <w:rsid w:val="003453AE"/>
    <w:rsid w:val="00346277"/>
    <w:rsid w:val="00346F8B"/>
    <w:rsid w:val="003544A8"/>
    <w:rsid w:val="00354DF4"/>
    <w:rsid w:val="0035500E"/>
    <w:rsid w:val="00357BE8"/>
    <w:rsid w:val="003625E2"/>
    <w:rsid w:val="003637AF"/>
    <w:rsid w:val="00374F17"/>
    <w:rsid w:val="003773A2"/>
    <w:rsid w:val="003814CE"/>
    <w:rsid w:val="00390F9D"/>
    <w:rsid w:val="00392EBB"/>
    <w:rsid w:val="00396345"/>
    <w:rsid w:val="003A33FF"/>
    <w:rsid w:val="003A3FBD"/>
    <w:rsid w:val="003A631C"/>
    <w:rsid w:val="003C187A"/>
    <w:rsid w:val="003C3EE4"/>
    <w:rsid w:val="003C7125"/>
    <w:rsid w:val="003C7293"/>
    <w:rsid w:val="003D2F03"/>
    <w:rsid w:val="003E2DD1"/>
    <w:rsid w:val="003E4BB2"/>
    <w:rsid w:val="003E532A"/>
    <w:rsid w:val="00411DC7"/>
    <w:rsid w:val="00412617"/>
    <w:rsid w:val="00420AE1"/>
    <w:rsid w:val="004247E3"/>
    <w:rsid w:val="00433520"/>
    <w:rsid w:val="004359A8"/>
    <w:rsid w:val="004365B1"/>
    <w:rsid w:val="00437417"/>
    <w:rsid w:val="00442614"/>
    <w:rsid w:val="004471F4"/>
    <w:rsid w:val="00464AF5"/>
    <w:rsid w:val="00471F2E"/>
    <w:rsid w:val="004724C0"/>
    <w:rsid w:val="0047476F"/>
    <w:rsid w:val="00497196"/>
    <w:rsid w:val="00497DDE"/>
    <w:rsid w:val="004A2059"/>
    <w:rsid w:val="004A2866"/>
    <w:rsid w:val="004C0C16"/>
    <w:rsid w:val="004C3188"/>
    <w:rsid w:val="004C5F12"/>
    <w:rsid w:val="004D27C6"/>
    <w:rsid w:val="004D3C09"/>
    <w:rsid w:val="004D401D"/>
    <w:rsid w:val="004D7313"/>
    <w:rsid w:val="004E7768"/>
    <w:rsid w:val="004F3BC5"/>
    <w:rsid w:val="004F3CF5"/>
    <w:rsid w:val="004F5395"/>
    <w:rsid w:val="004F57D8"/>
    <w:rsid w:val="004F79EC"/>
    <w:rsid w:val="00500EA9"/>
    <w:rsid w:val="00501719"/>
    <w:rsid w:val="0050199A"/>
    <w:rsid w:val="00504EEE"/>
    <w:rsid w:val="00517142"/>
    <w:rsid w:val="00523325"/>
    <w:rsid w:val="00525169"/>
    <w:rsid w:val="00527DDC"/>
    <w:rsid w:val="005304D8"/>
    <w:rsid w:val="005336B0"/>
    <w:rsid w:val="00542B21"/>
    <w:rsid w:val="00543A93"/>
    <w:rsid w:val="00545C38"/>
    <w:rsid w:val="005519BC"/>
    <w:rsid w:val="00554AAA"/>
    <w:rsid w:val="00564061"/>
    <w:rsid w:val="00566900"/>
    <w:rsid w:val="00575695"/>
    <w:rsid w:val="00580257"/>
    <w:rsid w:val="00581F6A"/>
    <w:rsid w:val="00583213"/>
    <w:rsid w:val="00587973"/>
    <w:rsid w:val="005913DF"/>
    <w:rsid w:val="00596D8B"/>
    <w:rsid w:val="005A3203"/>
    <w:rsid w:val="005E77F2"/>
    <w:rsid w:val="005F6138"/>
    <w:rsid w:val="00606F7A"/>
    <w:rsid w:val="00617641"/>
    <w:rsid w:val="006205D6"/>
    <w:rsid w:val="006206E5"/>
    <w:rsid w:val="00621555"/>
    <w:rsid w:val="00625EF5"/>
    <w:rsid w:val="006309DF"/>
    <w:rsid w:val="00636CA5"/>
    <w:rsid w:val="006401AA"/>
    <w:rsid w:val="00651128"/>
    <w:rsid w:val="006613DB"/>
    <w:rsid w:val="006719DE"/>
    <w:rsid w:val="0067367B"/>
    <w:rsid w:val="00673F52"/>
    <w:rsid w:val="0067490C"/>
    <w:rsid w:val="00684ECB"/>
    <w:rsid w:val="006A6528"/>
    <w:rsid w:val="006B3610"/>
    <w:rsid w:val="006C7C78"/>
    <w:rsid w:val="006E6E82"/>
    <w:rsid w:val="006E71A1"/>
    <w:rsid w:val="006F3053"/>
    <w:rsid w:val="006F3A29"/>
    <w:rsid w:val="00703F07"/>
    <w:rsid w:val="00714074"/>
    <w:rsid w:val="00715BE2"/>
    <w:rsid w:val="00717CF5"/>
    <w:rsid w:val="0073128A"/>
    <w:rsid w:val="0073659A"/>
    <w:rsid w:val="007437AF"/>
    <w:rsid w:val="0076522D"/>
    <w:rsid w:val="00775384"/>
    <w:rsid w:val="00776007"/>
    <w:rsid w:val="007846EB"/>
    <w:rsid w:val="00787D47"/>
    <w:rsid w:val="007927C7"/>
    <w:rsid w:val="00796B77"/>
    <w:rsid w:val="00797544"/>
    <w:rsid w:val="007A11BA"/>
    <w:rsid w:val="007A2215"/>
    <w:rsid w:val="007B165B"/>
    <w:rsid w:val="007B2ABA"/>
    <w:rsid w:val="007B4FA8"/>
    <w:rsid w:val="007C0A4F"/>
    <w:rsid w:val="007C0D1D"/>
    <w:rsid w:val="007C466F"/>
    <w:rsid w:val="007D1F64"/>
    <w:rsid w:val="007E12DA"/>
    <w:rsid w:val="007E1D97"/>
    <w:rsid w:val="007F1AB4"/>
    <w:rsid w:val="007F1BE3"/>
    <w:rsid w:val="007F1C13"/>
    <w:rsid w:val="007F5FEE"/>
    <w:rsid w:val="00804836"/>
    <w:rsid w:val="00807D58"/>
    <w:rsid w:val="00820C88"/>
    <w:rsid w:val="00825788"/>
    <w:rsid w:val="00830499"/>
    <w:rsid w:val="008354CF"/>
    <w:rsid w:val="00837519"/>
    <w:rsid w:val="00842598"/>
    <w:rsid w:val="00852A25"/>
    <w:rsid w:val="00853619"/>
    <w:rsid w:val="00857B1F"/>
    <w:rsid w:val="00857F9F"/>
    <w:rsid w:val="00862735"/>
    <w:rsid w:val="008A0985"/>
    <w:rsid w:val="008A46FC"/>
    <w:rsid w:val="008A77E2"/>
    <w:rsid w:val="008B4535"/>
    <w:rsid w:val="008C5856"/>
    <w:rsid w:val="008D1B25"/>
    <w:rsid w:val="008D70C1"/>
    <w:rsid w:val="008E65E1"/>
    <w:rsid w:val="008E71CD"/>
    <w:rsid w:val="008E78BD"/>
    <w:rsid w:val="008F39B1"/>
    <w:rsid w:val="00900B5C"/>
    <w:rsid w:val="00901653"/>
    <w:rsid w:val="00902819"/>
    <w:rsid w:val="0090558F"/>
    <w:rsid w:val="009059C1"/>
    <w:rsid w:val="009076EA"/>
    <w:rsid w:val="00907E69"/>
    <w:rsid w:val="0091230D"/>
    <w:rsid w:val="00931E77"/>
    <w:rsid w:val="00931F73"/>
    <w:rsid w:val="00936ADD"/>
    <w:rsid w:val="00937E3A"/>
    <w:rsid w:val="00942022"/>
    <w:rsid w:val="009541DF"/>
    <w:rsid w:val="00956A7B"/>
    <w:rsid w:val="00960D3D"/>
    <w:rsid w:val="00963BC4"/>
    <w:rsid w:val="00971BC5"/>
    <w:rsid w:val="009749F4"/>
    <w:rsid w:val="0097762D"/>
    <w:rsid w:val="009776FE"/>
    <w:rsid w:val="0098205D"/>
    <w:rsid w:val="009822CD"/>
    <w:rsid w:val="009865DF"/>
    <w:rsid w:val="00987A0D"/>
    <w:rsid w:val="00997D3F"/>
    <w:rsid w:val="009A34C6"/>
    <w:rsid w:val="009A7070"/>
    <w:rsid w:val="009D5091"/>
    <w:rsid w:val="009D5CA5"/>
    <w:rsid w:val="009F1641"/>
    <w:rsid w:val="009F5370"/>
    <w:rsid w:val="009F5774"/>
    <w:rsid w:val="00A01E95"/>
    <w:rsid w:val="00A042A5"/>
    <w:rsid w:val="00A23B2F"/>
    <w:rsid w:val="00A27A86"/>
    <w:rsid w:val="00A3007C"/>
    <w:rsid w:val="00A42A6E"/>
    <w:rsid w:val="00A435AF"/>
    <w:rsid w:val="00A45422"/>
    <w:rsid w:val="00A478D7"/>
    <w:rsid w:val="00A50DAE"/>
    <w:rsid w:val="00A52063"/>
    <w:rsid w:val="00A521DB"/>
    <w:rsid w:val="00A5474D"/>
    <w:rsid w:val="00A57722"/>
    <w:rsid w:val="00A632DA"/>
    <w:rsid w:val="00A72236"/>
    <w:rsid w:val="00A7742A"/>
    <w:rsid w:val="00A77626"/>
    <w:rsid w:val="00A92350"/>
    <w:rsid w:val="00A94272"/>
    <w:rsid w:val="00AA3BC6"/>
    <w:rsid w:val="00AB3FBE"/>
    <w:rsid w:val="00AC1C3B"/>
    <w:rsid w:val="00AE2ED8"/>
    <w:rsid w:val="00AF4B3A"/>
    <w:rsid w:val="00AF7705"/>
    <w:rsid w:val="00B029BA"/>
    <w:rsid w:val="00B1486F"/>
    <w:rsid w:val="00B21F40"/>
    <w:rsid w:val="00B33822"/>
    <w:rsid w:val="00B4382C"/>
    <w:rsid w:val="00B46A84"/>
    <w:rsid w:val="00B51993"/>
    <w:rsid w:val="00B52931"/>
    <w:rsid w:val="00B54881"/>
    <w:rsid w:val="00B7129D"/>
    <w:rsid w:val="00B76A2B"/>
    <w:rsid w:val="00B85F5E"/>
    <w:rsid w:val="00B86227"/>
    <w:rsid w:val="00B93750"/>
    <w:rsid w:val="00BB4583"/>
    <w:rsid w:val="00BD2720"/>
    <w:rsid w:val="00BD5221"/>
    <w:rsid w:val="00BD6660"/>
    <w:rsid w:val="00BD67A4"/>
    <w:rsid w:val="00BE283F"/>
    <w:rsid w:val="00BE7667"/>
    <w:rsid w:val="00BF05F3"/>
    <w:rsid w:val="00BF6282"/>
    <w:rsid w:val="00C05E2C"/>
    <w:rsid w:val="00C1362D"/>
    <w:rsid w:val="00C13A3E"/>
    <w:rsid w:val="00C202F4"/>
    <w:rsid w:val="00C20DE2"/>
    <w:rsid w:val="00C323C2"/>
    <w:rsid w:val="00C36135"/>
    <w:rsid w:val="00C40CCF"/>
    <w:rsid w:val="00C42FB0"/>
    <w:rsid w:val="00C461AC"/>
    <w:rsid w:val="00C47347"/>
    <w:rsid w:val="00C51571"/>
    <w:rsid w:val="00C524F7"/>
    <w:rsid w:val="00C53BE1"/>
    <w:rsid w:val="00C62BC4"/>
    <w:rsid w:val="00C63B7E"/>
    <w:rsid w:val="00C702AE"/>
    <w:rsid w:val="00C72AB0"/>
    <w:rsid w:val="00C74062"/>
    <w:rsid w:val="00C748D0"/>
    <w:rsid w:val="00C76CBF"/>
    <w:rsid w:val="00C8535F"/>
    <w:rsid w:val="00C87A73"/>
    <w:rsid w:val="00C962AA"/>
    <w:rsid w:val="00C962FD"/>
    <w:rsid w:val="00C973B6"/>
    <w:rsid w:val="00CA6742"/>
    <w:rsid w:val="00CA718D"/>
    <w:rsid w:val="00CB1188"/>
    <w:rsid w:val="00CB299C"/>
    <w:rsid w:val="00CB36BC"/>
    <w:rsid w:val="00CC168C"/>
    <w:rsid w:val="00CC5764"/>
    <w:rsid w:val="00CD2C59"/>
    <w:rsid w:val="00CD3884"/>
    <w:rsid w:val="00CE232D"/>
    <w:rsid w:val="00CE5A8B"/>
    <w:rsid w:val="00D007D8"/>
    <w:rsid w:val="00D024CE"/>
    <w:rsid w:val="00D14162"/>
    <w:rsid w:val="00D173D0"/>
    <w:rsid w:val="00D2212A"/>
    <w:rsid w:val="00D31561"/>
    <w:rsid w:val="00D32FC1"/>
    <w:rsid w:val="00D50FEB"/>
    <w:rsid w:val="00D519DF"/>
    <w:rsid w:val="00D5347F"/>
    <w:rsid w:val="00D55D6A"/>
    <w:rsid w:val="00D649F0"/>
    <w:rsid w:val="00D64A76"/>
    <w:rsid w:val="00D7218C"/>
    <w:rsid w:val="00D72BDA"/>
    <w:rsid w:val="00D76825"/>
    <w:rsid w:val="00D91CBF"/>
    <w:rsid w:val="00DA0010"/>
    <w:rsid w:val="00DA1A4F"/>
    <w:rsid w:val="00DB46A8"/>
    <w:rsid w:val="00DB75A2"/>
    <w:rsid w:val="00DC1DA2"/>
    <w:rsid w:val="00DC3182"/>
    <w:rsid w:val="00DD4421"/>
    <w:rsid w:val="00DE7B2E"/>
    <w:rsid w:val="00DF32DB"/>
    <w:rsid w:val="00E05A4C"/>
    <w:rsid w:val="00E07483"/>
    <w:rsid w:val="00E1146F"/>
    <w:rsid w:val="00E12DEC"/>
    <w:rsid w:val="00E35441"/>
    <w:rsid w:val="00E37815"/>
    <w:rsid w:val="00E44CCC"/>
    <w:rsid w:val="00E45648"/>
    <w:rsid w:val="00E53FF3"/>
    <w:rsid w:val="00E72B69"/>
    <w:rsid w:val="00E72E38"/>
    <w:rsid w:val="00E93323"/>
    <w:rsid w:val="00EB46E6"/>
    <w:rsid w:val="00EB47AB"/>
    <w:rsid w:val="00EC55D3"/>
    <w:rsid w:val="00ED14E4"/>
    <w:rsid w:val="00ED718D"/>
    <w:rsid w:val="00EE475C"/>
    <w:rsid w:val="00EE5351"/>
    <w:rsid w:val="00EF04C3"/>
    <w:rsid w:val="00EF571C"/>
    <w:rsid w:val="00F010EE"/>
    <w:rsid w:val="00F066B6"/>
    <w:rsid w:val="00F110D8"/>
    <w:rsid w:val="00F15536"/>
    <w:rsid w:val="00F17229"/>
    <w:rsid w:val="00F232A0"/>
    <w:rsid w:val="00F24F89"/>
    <w:rsid w:val="00F35FEA"/>
    <w:rsid w:val="00F44440"/>
    <w:rsid w:val="00F444F0"/>
    <w:rsid w:val="00F455B2"/>
    <w:rsid w:val="00F85247"/>
    <w:rsid w:val="00F907CC"/>
    <w:rsid w:val="00FA5DA9"/>
    <w:rsid w:val="00FA68EB"/>
    <w:rsid w:val="00FA7A5A"/>
    <w:rsid w:val="00FB38A1"/>
    <w:rsid w:val="00FB5926"/>
    <w:rsid w:val="00FB5C0A"/>
    <w:rsid w:val="00FB5CA2"/>
    <w:rsid w:val="00FC79FB"/>
    <w:rsid w:val="00FD7B87"/>
    <w:rsid w:val="00FE437B"/>
    <w:rsid w:val="00FE465A"/>
    <w:rsid w:val="00FE6965"/>
    <w:rsid w:val="00FF0CE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A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3A"/>
  </w:style>
  <w:style w:type="paragraph" w:styleId="Heading1">
    <w:name w:val="heading 1"/>
    <w:basedOn w:val="Normal"/>
    <w:next w:val="Normal"/>
    <w:link w:val="Heading1Char"/>
    <w:uiPriority w:val="9"/>
    <w:qFormat/>
    <w:rsid w:val="002B322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0F9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7B87"/>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0F9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0F9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0F9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0F9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0F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0F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2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90F9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D7B8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90F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0F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0F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0F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0F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0F9D"/>
    <w:rPr>
      <w:rFonts w:asciiTheme="majorHAnsi" w:eastAsiaTheme="majorEastAsia" w:hAnsiTheme="majorHAnsi" w:cstheme="majorBidi"/>
      <w:i/>
      <w:iCs/>
      <w:color w:val="272727" w:themeColor="text1" w:themeTint="D8"/>
      <w:sz w:val="21"/>
      <w:szCs w:val="21"/>
    </w:rPr>
  </w:style>
  <w:style w:type="paragraph" w:styleId="ListParagraph">
    <w:name w:val="List Paragraph"/>
    <w:aliases w:val="Fundamentacion"/>
    <w:basedOn w:val="Normal"/>
    <w:link w:val="ListParagraphChar"/>
    <w:uiPriority w:val="34"/>
    <w:qFormat/>
    <w:rsid w:val="003A3FBD"/>
    <w:pPr>
      <w:ind w:left="720"/>
      <w:contextualSpacing/>
    </w:pPr>
  </w:style>
  <w:style w:type="character" w:customStyle="1" w:styleId="ListParagraphChar">
    <w:name w:val="List Paragraph Char"/>
    <w:aliases w:val="Fundamentacion Char"/>
    <w:link w:val="ListParagraph"/>
    <w:uiPriority w:val="34"/>
    <w:locked/>
    <w:rsid w:val="003C3EE4"/>
  </w:style>
  <w:style w:type="paragraph" w:styleId="FootnoteText">
    <w:name w:val="footnote text"/>
    <w:aliases w:val=" Car,Footnote reference,FA Fu,Footnote Text Char Char Char Char Char,Footnote Text Char Char Char Char,Footnote Text Char Char Char,Car,Car Car,Car Car Car,Footnote Text Cha,FA Fußnotentext,FA Fuﬂnotentext,Footnote Text Char Char,Ca,Car3"/>
    <w:basedOn w:val="Normal"/>
    <w:link w:val="FootnoteTextChar"/>
    <w:uiPriority w:val="99"/>
    <w:unhideWhenUsed/>
    <w:qFormat/>
    <w:rsid w:val="008E71CD"/>
    <w:pPr>
      <w:spacing w:after="0" w:line="240" w:lineRule="auto"/>
    </w:pPr>
    <w:rPr>
      <w:sz w:val="20"/>
      <w:szCs w:val="20"/>
    </w:rPr>
  </w:style>
  <w:style w:type="character" w:customStyle="1" w:styleId="FootnoteTextChar">
    <w:name w:val="Footnote Text Char"/>
    <w:aliases w:val=" Car Char,Footnote reference Char,FA Fu Char,Footnote Text Char Char Char Char Char Char,Footnote Text Char Char Char Char Char1,Footnote Text Char Char Char Char1,Car Char,Car Car Char,Car Car Car Char,Footnote Text Cha Char,Ca Char"/>
    <w:basedOn w:val="DefaultParagraphFont"/>
    <w:link w:val="FootnoteText"/>
    <w:uiPriority w:val="99"/>
    <w:rsid w:val="008E71CD"/>
    <w:rPr>
      <w:sz w:val="20"/>
      <w:szCs w:val="20"/>
    </w:rPr>
  </w:style>
  <w:style w:type="character" w:styleId="FootnoteReference">
    <w:name w:val="footnote reference"/>
    <w:aliases w:val="Ref. de nota al pie 2,Texto de nota al pie,Footnotes refss,Appel note de bas de page,Ref,de nota al pie,Footnote number,referencia nota al pie,BVI fnr,f,4_G,16 Point,Superscript 6 Point,Texto nota al pie,Footnote Reference Char3"/>
    <w:basedOn w:val="DefaultParagraphFont"/>
    <w:link w:val="Char2"/>
    <w:uiPriority w:val="99"/>
    <w:unhideWhenUsed/>
    <w:qFormat/>
    <w:rsid w:val="008E71CD"/>
    <w:rPr>
      <w:vertAlign w:val="superscript"/>
    </w:rPr>
  </w:style>
  <w:style w:type="paragraph" w:customStyle="1" w:styleId="Char2">
    <w:name w:val="Char2"/>
    <w:basedOn w:val="Normal"/>
    <w:link w:val="FootnoteReference"/>
    <w:rsid w:val="003C3EE4"/>
    <w:pPr>
      <w:spacing w:line="240" w:lineRule="exact"/>
    </w:pPr>
    <w:rPr>
      <w:vertAlign w:val="superscript"/>
    </w:rPr>
  </w:style>
  <w:style w:type="character" w:styleId="Hyperlink">
    <w:name w:val="Hyperlink"/>
    <w:basedOn w:val="DefaultParagraphFont"/>
    <w:unhideWhenUsed/>
    <w:rsid w:val="003C3EE4"/>
    <w:rPr>
      <w:color w:val="0563C1" w:themeColor="hyperlink"/>
      <w:u w:val="single"/>
    </w:rPr>
  </w:style>
  <w:style w:type="character" w:styleId="LineNumber">
    <w:name w:val="line number"/>
    <w:uiPriority w:val="99"/>
    <w:rsid w:val="003C3EE4"/>
    <w:rPr>
      <w:rFonts w:cs="Times New Roman"/>
    </w:rPr>
  </w:style>
  <w:style w:type="table" w:styleId="TableGrid">
    <w:name w:val="Table Grid"/>
    <w:basedOn w:val="TableNormal"/>
    <w:uiPriority w:val="39"/>
    <w:rsid w:val="003C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3EE4"/>
    <w:pPr>
      <w:tabs>
        <w:tab w:val="center" w:pos="4252"/>
        <w:tab w:val="right" w:pos="8504"/>
      </w:tabs>
      <w:spacing w:after="0" w:line="240" w:lineRule="auto"/>
    </w:pPr>
  </w:style>
  <w:style w:type="character" w:customStyle="1" w:styleId="HeaderChar">
    <w:name w:val="Header Char"/>
    <w:basedOn w:val="DefaultParagraphFont"/>
    <w:link w:val="Header"/>
    <w:uiPriority w:val="99"/>
    <w:rsid w:val="003C3EE4"/>
  </w:style>
  <w:style w:type="paragraph" w:styleId="Footer">
    <w:name w:val="footer"/>
    <w:basedOn w:val="Normal"/>
    <w:link w:val="FooterChar"/>
    <w:uiPriority w:val="99"/>
    <w:unhideWhenUsed/>
    <w:rsid w:val="003C3E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3C3EE4"/>
  </w:style>
  <w:style w:type="paragraph" w:styleId="NoSpacing">
    <w:name w:val="No Spacing"/>
    <w:uiPriority w:val="1"/>
    <w:qFormat/>
    <w:rsid w:val="005336B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796B77"/>
    <w:rPr>
      <w:color w:val="954F72" w:themeColor="followedHyperlink"/>
      <w:u w:val="single"/>
    </w:rPr>
  </w:style>
  <w:style w:type="character" w:customStyle="1" w:styleId="5yl5">
    <w:name w:val="_5yl5"/>
    <w:basedOn w:val="DefaultParagraphFont"/>
    <w:rsid w:val="00CA718D"/>
  </w:style>
  <w:style w:type="character" w:customStyle="1" w:styleId="apple-converted-space">
    <w:name w:val="apple-converted-space"/>
    <w:basedOn w:val="DefaultParagraphFont"/>
    <w:rsid w:val="00AC1C3B"/>
  </w:style>
  <w:style w:type="paragraph" w:styleId="NormalWeb">
    <w:name w:val="Normal (Web)"/>
    <w:basedOn w:val="Normal"/>
    <w:uiPriority w:val="99"/>
    <w:unhideWhenUsed/>
    <w:rsid w:val="00A50D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20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536"/>
    <w:rPr>
      <w:rFonts w:ascii="Segoe UI" w:hAnsi="Segoe UI" w:cs="Segoe UI"/>
      <w:sz w:val="18"/>
      <w:szCs w:val="18"/>
    </w:rPr>
  </w:style>
  <w:style w:type="character" w:styleId="Strong">
    <w:name w:val="Strong"/>
    <w:basedOn w:val="DefaultParagraphFont"/>
    <w:uiPriority w:val="22"/>
    <w:qFormat/>
    <w:rsid w:val="00FD7B87"/>
    <w:rPr>
      <w:b/>
      <w:bCs/>
    </w:rPr>
  </w:style>
  <w:style w:type="paragraph" w:styleId="TOCHeading">
    <w:name w:val="TOC Heading"/>
    <w:basedOn w:val="Heading1"/>
    <w:next w:val="Normal"/>
    <w:uiPriority w:val="39"/>
    <w:unhideWhenUsed/>
    <w:qFormat/>
    <w:rsid w:val="00390F9D"/>
    <w:pPr>
      <w:outlineLvl w:val="9"/>
    </w:pPr>
    <w:rPr>
      <w:lang w:eastAsia="es-PE"/>
    </w:rPr>
  </w:style>
  <w:style w:type="paragraph" w:styleId="TOC1">
    <w:name w:val="toc 1"/>
    <w:basedOn w:val="Normal"/>
    <w:next w:val="Normal"/>
    <w:autoRedefine/>
    <w:uiPriority w:val="39"/>
    <w:unhideWhenUsed/>
    <w:rsid w:val="00BF6282"/>
    <w:pPr>
      <w:tabs>
        <w:tab w:val="left" w:pos="440"/>
        <w:tab w:val="right" w:leader="dot" w:pos="8494"/>
      </w:tabs>
      <w:spacing w:after="100"/>
      <w:jc w:val="both"/>
    </w:pPr>
  </w:style>
  <w:style w:type="paragraph" w:styleId="TOC2">
    <w:name w:val="toc 2"/>
    <w:basedOn w:val="Normal"/>
    <w:next w:val="Normal"/>
    <w:autoRedefine/>
    <w:uiPriority w:val="39"/>
    <w:unhideWhenUsed/>
    <w:rsid w:val="00A52063"/>
    <w:pPr>
      <w:spacing w:after="100"/>
      <w:ind w:left="220"/>
    </w:pPr>
  </w:style>
  <w:style w:type="character" w:styleId="CommentReference">
    <w:name w:val="annotation reference"/>
    <w:basedOn w:val="DefaultParagraphFont"/>
    <w:uiPriority w:val="99"/>
    <w:semiHidden/>
    <w:unhideWhenUsed/>
    <w:rsid w:val="0067367B"/>
    <w:rPr>
      <w:sz w:val="16"/>
      <w:szCs w:val="16"/>
    </w:rPr>
  </w:style>
  <w:style w:type="paragraph" w:styleId="CommentText">
    <w:name w:val="annotation text"/>
    <w:basedOn w:val="Normal"/>
    <w:link w:val="CommentTextChar"/>
    <w:uiPriority w:val="99"/>
    <w:semiHidden/>
    <w:unhideWhenUsed/>
    <w:rsid w:val="0067367B"/>
    <w:pPr>
      <w:spacing w:line="240" w:lineRule="auto"/>
    </w:pPr>
    <w:rPr>
      <w:sz w:val="20"/>
      <w:szCs w:val="20"/>
    </w:rPr>
  </w:style>
  <w:style w:type="character" w:customStyle="1" w:styleId="CommentTextChar">
    <w:name w:val="Comment Text Char"/>
    <w:basedOn w:val="DefaultParagraphFont"/>
    <w:link w:val="CommentText"/>
    <w:uiPriority w:val="99"/>
    <w:semiHidden/>
    <w:rsid w:val="0067367B"/>
    <w:rPr>
      <w:sz w:val="20"/>
      <w:szCs w:val="20"/>
    </w:rPr>
  </w:style>
  <w:style w:type="paragraph" w:styleId="CommentSubject">
    <w:name w:val="annotation subject"/>
    <w:basedOn w:val="CommentText"/>
    <w:next w:val="CommentText"/>
    <w:link w:val="CommentSubjectChar"/>
    <w:uiPriority w:val="99"/>
    <w:semiHidden/>
    <w:unhideWhenUsed/>
    <w:rsid w:val="0067367B"/>
    <w:rPr>
      <w:b/>
      <w:bCs/>
    </w:rPr>
  </w:style>
  <w:style w:type="character" w:customStyle="1" w:styleId="CommentSubjectChar">
    <w:name w:val="Comment Subject Char"/>
    <w:basedOn w:val="CommentTextChar"/>
    <w:link w:val="CommentSubject"/>
    <w:uiPriority w:val="99"/>
    <w:semiHidden/>
    <w:rsid w:val="0067367B"/>
    <w:rPr>
      <w:b/>
      <w:bCs/>
      <w:sz w:val="20"/>
      <w:szCs w:val="20"/>
    </w:rPr>
  </w:style>
  <w:style w:type="paragraph" w:customStyle="1" w:styleId="Textoindependiente21">
    <w:name w:val="Texto independiente 21"/>
    <w:basedOn w:val="Normal"/>
    <w:rsid w:val="009D5091"/>
    <w:pPr>
      <w:suppressAutoHyphens/>
      <w:overflowPunct w:val="0"/>
      <w:autoSpaceDE w:val="0"/>
      <w:spacing w:after="0" w:line="240" w:lineRule="auto"/>
      <w:jc w:val="both"/>
      <w:textAlignment w:val="baseline"/>
    </w:pPr>
    <w:rPr>
      <w:rFonts w:ascii="Times New Roman" w:eastAsia="Times New Roman" w:hAnsi="Times New Roman" w:cs="Times New Roman"/>
      <w:szCs w:val="20"/>
      <w:lang w:val="es-ES" w:eastAsia="ar-SA"/>
    </w:rPr>
  </w:style>
  <w:style w:type="paragraph" w:styleId="PlainText">
    <w:name w:val="Plain Text"/>
    <w:basedOn w:val="Normal"/>
    <w:link w:val="PlainTextChar"/>
    <w:uiPriority w:val="99"/>
    <w:rsid w:val="009D5091"/>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9D5091"/>
    <w:rPr>
      <w:rFonts w:ascii="Courier New" w:eastAsia="Times New Roman" w:hAnsi="Courier New" w:cs="Times New Roman"/>
      <w:sz w:val="20"/>
      <w:szCs w:val="20"/>
      <w:lang w:val="es-ES" w:eastAsia="es-ES"/>
    </w:rPr>
  </w:style>
  <w:style w:type="character" w:customStyle="1" w:styleId="Refdenotaalpie1">
    <w:name w:val="Ref. de nota al pie1"/>
    <w:rsid w:val="009D5091"/>
    <w:rPr>
      <w:vertAlign w:val="superscript"/>
    </w:rPr>
  </w:style>
  <w:style w:type="character" w:customStyle="1" w:styleId="Caracteresdenotaalpie">
    <w:name w:val="Caracteres de nota al pie"/>
    <w:rsid w:val="009D5091"/>
    <w:rPr>
      <w:vertAlign w:val="superscript"/>
    </w:rPr>
  </w:style>
  <w:style w:type="paragraph" w:customStyle="1" w:styleId="Textonotapie1">
    <w:name w:val="Texto nota pie1"/>
    <w:basedOn w:val="Normal"/>
    <w:rsid w:val="009D5091"/>
    <w:pPr>
      <w:suppressAutoHyphens/>
      <w:spacing w:after="200" w:line="276" w:lineRule="auto"/>
    </w:pPr>
    <w:rPr>
      <w:rFonts w:ascii="Calibri" w:eastAsia="Calibri" w:hAnsi="Calibri" w:cs="Times New Roman"/>
      <w:kern w:val="1"/>
      <w:sz w:val="20"/>
      <w:szCs w:val="20"/>
      <w:lang w:val="en-US" w:eastAsia="ar-SA"/>
    </w:rPr>
  </w:style>
  <w:style w:type="paragraph" w:customStyle="1" w:styleId="Prrafodelista1">
    <w:name w:val="Párrafo de lista1"/>
    <w:basedOn w:val="Normal"/>
    <w:rsid w:val="009D5091"/>
    <w:pPr>
      <w:suppressAutoHyphens/>
      <w:ind w:left="720"/>
    </w:pPr>
    <w:rPr>
      <w:rFonts w:ascii="Calibri" w:eastAsia="SimSun" w:hAnsi="Calibri" w:cs="font278"/>
      <w:kern w:val="1"/>
      <w:lang w:eastAsia="ar-SA"/>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9D5091"/>
    <w:pPr>
      <w:spacing w:before="200" w:line="240" w:lineRule="exact"/>
    </w:pPr>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3A"/>
  </w:style>
  <w:style w:type="paragraph" w:styleId="Heading1">
    <w:name w:val="heading 1"/>
    <w:basedOn w:val="Normal"/>
    <w:next w:val="Normal"/>
    <w:link w:val="Heading1Char"/>
    <w:uiPriority w:val="9"/>
    <w:qFormat/>
    <w:rsid w:val="002B322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0F9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7B87"/>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0F9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0F9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0F9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0F9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0F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0F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2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90F9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D7B8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90F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0F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0F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0F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0F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0F9D"/>
    <w:rPr>
      <w:rFonts w:asciiTheme="majorHAnsi" w:eastAsiaTheme="majorEastAsia" w:hAnsiTheme="majorHAnsi" w:cstheme="majorBidi"/>
      <w:i/>
      <w:iCs/>
      <w:color w:val="272727" w:themeColor="text1" w:themeTint="D8"/>
      <w:sz w:val="21"/>
      <w:szCs w:val="21"/>
    </w:rPr>
  </w:style>
  <w:style w:type="paragraph" w:styleId="ListParagraph">
    <w:name w:val="List Paragraph"/>
    <w:aliases w:val="Fundamentacion"/>
    <w:basedOn w:val="Normal"/>
    <w:link w:val="ListParagraphChar"/>
    <w:uiPriority w:val="34"/>
    <w:qFormat/>
    <w:rsid w:val="003A3FBD"/>
    <w:pPr>
      <w:ind w:left="720"/>
      <w:contextualSpacing/>
    </w:pPr>
  </w:style>
  <w:style w:type="character" w:customStyle="1" w:styleId="ListParagraphChar">
    <w:name w:val="List Paragraph Char"/>
    <w:aliases w:val="Fundamentacion Char"/>
    <w:link w:val="ListParagraph"/>
    <w:uiPriority w:val="34"/>
    <w:locked/>
    <w:rsid w:val="003C3EE4"/>
  </w:style>
  <w:style w:type="paragraph" w:styleId="FootnoteText">
    <w:name w:val="footnote text"/>
    <w:aliases w:val=" Car,Footnote reference,FA Fu,Footnote Text Char Char Char Char Char,Footnote Text Char Char Char Char,Footnote Text Char Char Char,Car,Car Car,Car Car Car,Footnote Text Cha,FA Fußnotentext,FA Fuﬂnotentext,Footnote Text Char Char,Ca,Car3"/>
    <w:basedOn w:val="Normal"/>
    <w:link w:val="FootnoteTextChar"/>
    <w:uiPriority w:val="99"/>
    <w:unhideWhenUsed/>
    <w:qFormat/>
    <w:rsid w:val="008E71CD"/>
    <w:pPr>
      <w:spacing w:after="0" w:line="240" w:lineRule="auto"/>
    </w:pPr>
    <w:rPr>
      <w:sz w:val="20"/>
      <w:szCs w:val="20"/>
    </w:rPr>
  </w:style>
  <w:style w:type="character" w:customStyle="1" w:styleId="FootnoteTextChar">
    <w:name w:val="Footnote Text Char"/>
    <w:aliases w:val=" Car Char,Footnote reference Char,FA Fu Char,Footnote Text Char Char Char Char Char Char,Footnote Text Char Char Char Char Char1,Footnote Text Char Char Char Char1,Car Char,Car Car Char,Car Car Car Char,Footnote Text Cha Char,Ca Char"/>
    <w:basedOn w:val="DefaultParagraphFont"/>
    <w:link w:val="FootnoteText"/>
    <w:uiPriority w:val="99"/>
    <w:rsid w:val="008E71CD"/>
    <w:rPr>
      <w:sz w:val="20"/>
      <w:szCs w:val="20"/>
    </w:rPr>
  </w:style>
  <w:style w:type="character" w:styleId="FootnoteReference">
    <w:name w:val="footnote reference"/>
    <w:aliases w:val="Ref. de nota al pie 2,Texto de nota al pie,Footnotes refss,Appel note de bas de page,Ref,de nota al pie,Footnote number,referencia nota al pie,BVI fnr,f,4_G,16 Point,Superscript 6 Point,Texto nota al pie,Footnote Reference Char3"/>
    <w:basedOn w:val="DefaultParagraphFont"/>
    <w:link w:val="Char2"/>
    <w:uiPriority w:val="99"/>
    <w:unhideWhenUsed/>
    <w:qFormat/>
    <w:rsid w:val="008E71CD"/>
    <w:rPr>
      <w:vertAlign w:val="superscript"/>
    </w:rPr>
  </w:style>
  <w:style w:type="paragraph" w:customStyle="1" w:styleId="Char2">
    <w:name w:val="Char2"/>
    <w:basedOn w:val="Normal"/>
    <w:link w:val="FootnoteReference"/>
    <w:rsid w:val="003C3EE4"/>
    <w:pPr>
      <w:spacing w:line="240" w:lineRule="exact"/>
    </w:pPr>
    <w:rPr>
      <w:vertAlign w:val="superscript"/>
    </w:rPr>
  </w:style>
  <w:style w:type="character" w:styleId="Hyperlink">
    <w:name w:val="Hyperlink"/>
    <w:basedOn w:val="DefaultParagraphFont"/>
    <w:unhideWhenUsed/>
    <w:rsid w:val="003C3EE4"/>
    <w:rPr>
      <w:color w:val="0563C1" w:themeColor="hyperlink"/>
      <w:u w:val="single"/>
    </w:rPr>
  </w:style>
  <w:style w:type="character" w:styleId="LineNumber">
    <w:name w:val="line number"/>
    <w:uiPriority w:val="99"/>
    <w:rsid w:val="003C3EE4"/>
    <w:rPr>
      <w:rFonts w:cs="Times New Roman"/>
    </w:rPr>
  </w:style>
  <w:style w:type="table" w:styleId="TableGrid">
    <w:name w:val="Table Grid"/>
    <w:basedOn w:val="TableNormal"/>
    <w:uiPriority w:val="39"/>
    <w:rsid w:val="003C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3EE4"/>
    <w:pPr>
      <w:tabs>
        <w:tab w:val="center" w:pos="4252"/>
        <w:tab w:val="right" w:pos="8504"/>
      </w:tabs>
      <w:spacing w:after="0" w:line="240" w:lineRule="auto"/>
    </w:pPr>
  </w:style>
  <w:style w:type="character" w:customStyle="1" w:styleId="HeaderChar">
    <w:name w:val="Header Char"/>
    <w:basedOn w:val="DefaultParagraphFont"/>
    <w:link w:val="Header"/>
    <w:uiPriority w:val="99"/>
    <w:rsid w:val="003C3EE4"/>
  </w:style>
  <w:style w:type="paragraph" w:styleId="Footer">
    <w:name w:val="footer"/>
    <w:basedOn w:val="Normal"/>
    <w:link w:val="FooterChar"/>
    <w:uiPriority w:val="99"/>
    <w:unhideWhenUsed/>
    <w:rsid w:val="003C3E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3C3EE4"/>
  </w:style>
  <w:style w:type="paragraph" w:styleId="NoSpacing">
    <w:name w:val="No Spacing"/>
    <w:uiPriority w:val="1"/>
    <w:qFormat/>
    <w:rsid w:val="005336B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796B77"/>
    <w:rPr>
      <w:color w:val="954F72" w:themeColor="followedHyperlink"/>
      <w:u w:val="single"/>
    </w:rPr>
  </w:style>
  <w:style w:type="character" w:customStyle="1" w:styleId="5yl5">
    <w:name w:val="_5yl5"/>
    <w:basedOn w:val="DefaultParagraphFont"/>
    <w:rsid w:val="00CA718D"/>
  </w:style>
  <w:style w:type="character" w:customStyle="1" w:styleId="apple-converted-space">
    <w:name w:val="apple-converted-space"/>
    <w:basedOn w:val="DefaultParagraphFont"/>
    <w:rsid w:val="00AC1C3B"/>
  </w:style>
  <w:style w:type="paragraph" w:styleId="NormalWeb">
    <w:name w:val="Normal (Web)"/>
    <w:basedOn w:val="Normal"/>
    <w:uiPriority w:val="99"/>
    <w:unhideWhenUsed/>
    <w:rsid w:val="00A50D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20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536"/>
    <w:rPr>
      <w:rFonts w:ascii="Segoe UI" w:hAnsi="Segoe UI" w:cs="Segoe UI"/>
      <w:sz w:val="18"/>
      <w:szCs w:val="18"/>
    </w:rPr>
  </w:style>
  <w:style w:type="character" w:styleId="Strong">
    <w:name w:val="Strong"/>
    <w:basedOn w:val="DefaultParagraphFont"/>
    <w:uiPriority w:val="22"/>
    <w:qFormat/>
    <w:rsid w:val="00FD7B87"/>
    <w:rPr>
      <w:b/>
      <w:bCs/>
    </w:rPr>
  </w:style>
  <w:style w:type="paragraph" w:styleId="TOCHeading">
    <w:name w:val="TOC Heading"/>
    <w:basedOn w:val="Heading1"/>
    <w:next w:val="Normal"/>
    <w:uiPriority w:val="39"/>
    <w:unhideWhenUsed/>
    <w:qFormat/>
    <w:rsid w:val="00390F9D"/>
    <w:pPr>
      <w:outlineLvl w:val="9"/>
    </w:pPr>
    <w:rPr>
      <w:lang w:eastAsia="es-PE"/>
    </w:rPr>
  </w:style>
  <w:style w:type="paragraph" w:styleId="TOC1">
    <w:name w:val="toc 1"/>
    <w:basedOn w:val="Normal"/>
    <w:next w:val="Normal"/>
    <w:autoRedefine/>
    <w:uiPriority w:val="39"/>
    <w:unhideWhenUsed/>
    <w:rsid w:val="00BF6282"/>
    <w:pPr>
      <w:tabs>
        <w:tab w:val="left" w:pos="440"/>
        <w:tab w:val="right" w:leader="dot" w:pos="8494"/>
      </w:tabs>
      <w:spacing w:after="100"/>
      <w:jc w:val="both"/>
    </w:pPr>
  </w:style>
  <w:style w:type="paragraph" w:styleId="TOC2">
    <w:name w:val="toc 2"/>
    <w:basedOn w:val="Normal"/>
    <w:next w:val="Normal"/>
    <w:autoRedefine/>
    <w:uiPriority w:val="39"/>
    <w:unhideWhenUsed/>
    <w:rsid w:val="00A52063"/>
    <w:pPr>
      <w:spacing w:after="100"/>
      <w:ind w:left="220"/>
    </w:pPr>
  </w:style>
  <w:style w:type="character" w:styleId="CommentReference">
    <w:name w:val="annotation reference"/>
    <w:basedOn w:val="DefaultParagraphFont"/>
    <w:uiPriority w:val="99"/>
    <w:semiHidden/>
    <w:unhideWhenUsed/>
    <w:rsid w:val="0067367B"/>
    <w:rPr>
      <w:sz w:val="16"/>
      <w:szCs w:val="16"/>
    </w:rPr>
  </w:style>
  <w:style w:type="paragraph" w:styleId="CommentText">
    <w:name w:val="annotation text"/>
    <w:basedOn w:val="Normal"/>
    <w:link w:val="CommentTextChar"/>
    <w:uiPriority w:val="99"/>
    <w:semiHidden/>
    <w:unhideWhenUsed/>
    <w:rsid w:val="0067367B"/>
    <w:pPr>
      <w:spacing w:line="240" w:lineRule="auto"/>
    </w:pPr>
    <w:rPr>
      <w:sz w:val="20"/>
      <w:szCs w:val="20"/>
    </w:rPr>
  </w:style>
  <w:style w:type="character" w:customStyle="1" w:styleId="CommentTextChar">
    <w:name w:val="Comment Text Char"/>
    <w:basedOn w:val="DefaultParagraphFont"/>
    <w:link w:val="CommentText"/>
    <w:uiPriority w:val="99"/>
    <w:semiHidden/>
    <w:rsid w:val="0067367B"/>
    <w:rPr>
      <w:sz w:val="20"/>
      <w:szCs w:val="20"/>
    </w:rPr>
  </w:style>
  <w:style w:type="paragraph" w:styleId="CommentSubject">
    <w:name w:val="annotation subject"/>
    <w:basedOn w:val="CommentText"/>
    <w:next w:val="CommentText"/>
    <w:link w:val="CommentSubjectChar"/>
    <w:uiPriority w:val="99"/>
    <w:semiHidden/>
    <w:unhideWhenUsed/>
    <w:rsid w:val="0067367B"/>
    <w:rPr>
      <w:b/>
      <w:bCs/>
    </w:rPr>
  </w:style>
  <w:style w:type="character" w:customStyle="1" w:styleId="CommentSubjectChar">
    <w:name w:val="Comment Subject Char"/>
    <w:basedOn w:val="CommentTextChar"/>
    <w:link w:val="CommentSubject"/>
    <w:uiPriority w:val="99"/>
    <w:semiHidden/>
    <w:rsid w:val="0067367B"/>
    <w:rPr>
      <w:b/>
      <w:bCs/>
      <w:sz w:val="20"/>
      <w:szCs w:val="20"/>
    </w:rPr>
  </w:style>
  <w:style w:type="paragraph" w:customStyle="1" w:styleId="Textoindependiente21">
    <w:name w:val="Texto independiente 21"/>
    <w:basedOn w:val="Normal"/>
    <w:rsid w:val="009D5091"/>
    <w:pPr>
      <w:suppressAutoHyphens/>
      <w:overflowPunct w:val="0"/>
      <w:autoSpaceDE w:val="0"/>
      <w:spacing w:after="0" w:line="240" w:lineRule="auto"/>
      <w:jc w:val="both"/>
      <w:textAlignment w:val="baseline"/>
    </w:pPr>
    <w:rPr>
      <w:rFonts w:ascii="Times New Roman" w:eastAsia="Times New Roman" w:hAnsi="Times New Roman" w:cs="Times New Roman"/>
      <w:szCs w:val="20"/>
      <w:lang w:val="es-ES" w:eastAsia="ar-SA"/>
    </w:rPr>
  </w:style>
  <w:style w:type="paragraph" w:styleId="PlainText">
    <w:name w:val="Plain Text"/>
    <w:basedOn w:val="Normal"/>
    <w:link w:val="PlainTextChar"/>
    <w:uiPriority w:val="99"/>
    <w:rsid w:val="009D5091"/>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9D5091"/>
    <w:rPr>
      <w:rFonts w:ascii="Courier New" w:eastAsia="Times New Roman" w:hAnsi="Courier New" w:cs="Times New Roman"/>
      <w:sz w:val="20"/>
      <w:szCs w:val="20"/>
      <w:lang w:val="es-ES" w:eastAsia="es-ES"/>
    </w:rPr>
  </w:style>
  <w:style w:type="character" w:customStyle="1" w:styleId="Refdenotaalpie1">
    <w:name w:val="Ref. de nota al pie1"/>
    <w:rsid w:val="009D5091"/>
    <w:rPr>
      <w:vertAlign w:val="superscript"/>
    </w:rPr>
  </w:style>
  <w:style w:type="character" w:customStyle="1" w:styleId="Caracteresdenotaalpie">
    <w:name w:val="Caracteres de nota al pie"/>
    <w:rsid w:val="009D5091"/>
    <w:rPr>
      <w:vertAlign w:val="superscript"/>
    </w:rPr>
  </w:style>
  <w:style w:type="paragraph" w:customStyle="1" w:styleId="Textonotapie1">
    <w:name w:val="Texto nota pie1"/>
    <w:basedOn w:val="Normal"/>
    <w:rsid w:val="009D5091"/>
    <w:pPr>
      <w:suppressAutoHyphens/>
      <w:spacing w:after="200" w:line="276" w:lineRule="auto"/>
    </w:pPr>
    <w:rPr>
      <w:rFonts w:ascii="Calibri" w:eastAsia="Calibri" w:hAnsi="Calibri" w:cs="Times New Roman"/>
      <w:kern w:val="1"/>
      <w:sz w:val="20"/>
      <w:szCs w:val="20"/>
      <w:lang w:val="en-US" w:eastAsia="ar-SA"/>
    </w:rPr>
  </w:style>
  <w:style w:type="paragraph" w:customStyle="1" w:styleId="Prrafodelista1">
    <w:name w:val="Párrafo de lista1"/>
    <w:basedOn w:val="Normal"/>
    <w:rsid w:val="009D5091"/>
    <w:pPr>
      <w:suppressAutoHyphens/>
      <w:ind w:left="720"/>
    </w:pPr>
    <w:rPr>
      <w:rFonts w:ascii="Calibri" w:eastAsia="SimSun" w:hAnsi="Calibri" w:cs="font278"/>
      <w:kern w:val="1"/>
      <w:lang w:eastAsia="ar-SA"/>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9D5091"/>
    <w:pPr>
      <w:spacing w:before="20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6767">
      <w:bodyDiv w:val="1"/>
      <w:marLeft w:val="0"/>
      <w:marRight w:val="0"/>
      <w:marTop w:val="0"/>
      <w:marBottom w:val="0"/>
      <w:divBdr>
        <w:top w:val="none" w:sz="0" w:space="0" w:color="auto"/>
        <w:left w:val="none" w:sz="0" w:space="0" w:color="auto"/>
        <w:bottom w:val="none" w:sz="0" w:space="0" w:color="auto"/>
        <w:right w:val="none" w:sz="0" w:space="0" w:color="auto"/>
      </w:divBdr>
    </w:div>
    <w:div w:id="97680909">
      <w:bodyDiv w:val="1"/>
      <w:marLeft w:val="0"/>
      <w:marRight w:val="0"/>
      <w:marTop w:val="0"/>
      <w:marBottom w:val="0"/>
      <w:divBdr>
        <w:top w:val="none" w:sz="0" w:space="0" w:color="auto"/>
        <w:left w:val="none" w:sz="0" w:space="0" w:color="auto"/>
        <w:bottom w:val="none" w:sz="0" w:space="0" w:color="auto"/>
        <w:right w:val="none" w:sz="0" w:space="0" w:color="auto"/>
      </w:divBdr>
    </w:div>
    <w:div w:id="100999603">
      <w:bodyDiv w:val="1"/>
      <w:marLeft w:val="0"/>
      <w:marRight w:val="0"/>
      <w:marTop w:val="0"/>
      <w:marBottom w:val="0"/>
      <w:divBdr>
        <w:top w:val="none" w:sz="0" w:space="0" w:color="auto"/>
        <w:left w:val="none" w:sz="0" w:space="0" w:color="auto"/>
        <w:bottom w:val="none" w:sz="0" w:space="0" w:color="auto"/>
        <w:right w:val="none" w:sz="0" w:space="0" w:color="auto"/>
      </w:divBdr>
    </w:div>
    <w:div w:id="174811611">
      <w:bodyDiv w:val="1"/>
      <w:marLeft w:val="0"/>
      <w:marRight w:val="0"/>
      <w:marTop w:val="0"/>
      <w:marBottom w:val="0"/>
      <w:divBdr>
        <w:top w:val="none" w:sz="0" w:space="0" w:color="auto"/>
        <w:left w:val="none" w:sz="0" w:space="0" w:color="auto"/>
        <w:bottom w:val="none" w:sz="0" w:space="0" w:color="auto"/>
        <w:right w:val="none" w:sz="0" w:space="0" w:color="auto"/>
      </w:divBdr>
      <w:divsChild>
        <w:div w:id="653292205">
          <w:marLeft w:val="0"/>
          <w:marRight w:val="0"/>
          <w:marTop w:val="0"/>
          <w:marBottom w:val="0"/>
          <w:divBdr>
            <w:top w:val="none" w:sz="0" w:space="15" w:color="auto"/>
            <w:left w:val="none" w:sz="0" w:space="0" w:color="auto"/>
            <w:bottom w:val="dotted" w:sz="12" w:space="11" w:color="E3E3E3"/>
            <w:right w:val="none" w:sz="0" w:space="0" w:color="auto"/>
          </w:divBdr>
        </w:div>
      </w:divsChild>
    </w:div>
    <w:div w:id="186917835">
      <w:bodyDiv w:val="1"/>
      <w:marLeft w:val="0"/>
      <w:marRight w:val="0"/>
      <w:marTop w:val="0"/>
      <w:marBottom w:val="0"/>
      <w:divBdr>
        <w:top w:val="none" w:sz="0" w:space="0" w:color="auto"/>
        <w:left w:val="none" w:sz="0" w:space="0" w:color="auto"/>
        <w:bottom w:val="none" w:sz="0" w:space="0" w:color="auto"/>
        <w:right w:val="none" w:sz="0" w:space="0" w:color="auto"/>
      </w:divBdr>
      <w:divsChild>
        <w:div w:id="1048651147">
          <w:marLeft w:val="60"/>
          <w:marRight w:val="60"/>
          <w:marTop w:val="0"/>
          <w:marBottom w:val="0"/>
          <w:divBdr>
            <w:top w:val="none" w:sz="0" w:space="0" w:color="auto"/>
            <w:left w:val="none" w:sz="0" w:space="0" w:color="auto"/>
            <w:bottom w:val="none" w:sz="0" w:space="0" w:color="auto"/>
            <w:right w:val="none" w:sz="0" w:space="0" w:color="auto"/>
          </w:divBdr>
          <w:divsChild>
            <w:div w:id="1381973902">
              <w:marLeft w:val="525"/>
              <w:marRight w:val="0"/>
              <w:marTop w:val="0"/>
              <w:marBottom w:val="0"/>
              <w:divBdr>
                <w:top w:val="none" w:sz="0" w:space="0" w:color="auto"/>
                <w:left w:val="none" w:sz="0" w:space="0" w:color="auto"/>
                <w:bottom w:val="none" w:sz="0" w:space="0" w:color="auto"/>
                <w:right w:val="none" w:sz="0" w:space="0" w:color="auto"/>
              </w:divBdr>
              <w:divsChild>
                <w:div w:id="1224095353">
                  <w:marLeft w:val="0"/>
                  <w:marRight w:val="0"/>
                  <w:marTop w:val="0"/>
                  <w:marBottom w:val="0"/>
                  <w:divBdr>
                    <w:top w:val="none" w:sz="0" w:space="0" w:color="auto"/>
                    <w:left w:val="none" w:sz="0" w:space="0" w:color="auto"/>
                    <w:bottom w:val="none" w:sz="0" w:space="0" w:color="auto"/>
                    <w:right w:val="none" w:sz="0" w:space="0" w:color="auto"/>
                  </w:divBdr>
                  <w:divsChild>
                    <w:div w:id="1429690096">
                      <w:marLeft w:val="90"/>
                      <w:marRight w:val="0"/>
                      <w:marTop w:val="60"/>
                      <w:marBottom w:val="60"/>
                      <w:divBdr>
                        <w:top w:val="single" w:sz="6" w:space="3" w:color="auto"/>
                        <w:left w:val="single" w:sz="6" w:space="4" w:color="auto"/>
                        <w:bottom w:val="single" w:sz="6" w:space="2" w:color="auto"/>
                        <w:right w:val="single" w:sz="6" w:space="5" w:color="auto"/>
                      </w:divBdr>
                      <w:divsChild>
                        <w:div w:id="1765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90463">
          <w:marLeft w:val="60"/>
          <w:marRight w:val="60"/>
          <w:marTop w:val="0"/>
          <w:marBottom w:val="0"/>
          <w:divBdr>
            <w:top w:val="none" w:sz="0" w:space="0" w:color="auto"/>
            <w:left w:val="none" w:sz="0" w:space="0" w:color="auto"/>
            <w:bottom w:val="none" w:sz="0" w:space="0" w:color="auto"/>
            <w:right w:val="none" w:sz="0" w:space="0" w:color="auto"/>
          </w:divBdr>
          <w:divsChild>
            <w:div w:id="1632127079">
              <w:marLeft w:val="525"/>
              <w:marRight w:val="0"/>
              <w:marTop w:val="0"/>
              <w:marBottom w:val="0"/>
              <w:divBdr>
                <w:top w:val="none" w:sz="0" w:space="0" w:color="auto"/>
                <w:left w:val="none" w:sz="0" w:space="0" w:color="auto"/>
                <w:bottom w:val="none" w:sz="0" w:space="0" w:color="auto"/>
                <w:right w:val="none" w:sz="0" w:space="0" w:color="auto"/>
              </w:divBdr>
              <w:divsChild>
                <w:div w:id="2096582901">
                  <w:marLeft w:val="0"/>
                  <w:marRight w:val="0"/>
                  <w:marTop w:val="0"/>
                  <w:marBottom w:val="0"/>
                  <w:divBdr>
                    <w:top w:val="none" w:sz="0" w:space="0" w:color="auto"/>
                    <w:left w:val="none" w:sz="0" w:space="0" w:color="auto"/>
                    <w:bottom w:val="none" w:sz="0" w:space="0" w:color="auto"/>
                    <w:right w:val="none" w:sz="0" w:space="0" w:color="auto"/>
                  </w:divBdr>
                  <w:divsChild>
                    <w:div w:id="808594451">
                      <w:marLeft w:val="90"/>
                      <w:marRight w:val="0"/>
                      <w:marTop w:val="0"/>
                      <w:marBottom w:val="0"/>
                      <w:divBdr>
                        <w:top w:val="single" w:sz="6" w:space="3" w:color="auto"/>
                        <w:left w:val="single" w:sz="6" w:space="4" w:color="auto"/>
                        <w:bottom w:val="single" w:sz="6" w:space="2" w:color="auto"/>
                        <w:right w:val="single" w:sz="6" w:space="5" w:color="auto"/>
                      </w:divBdr>
                      <w:divsChild>
                        <w:div w:id="17886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628465">
          <w:marLeft w:val="60"/>
          <w:marRight w:val="60"/>
          <w:marTop w:val="0"/>
          <w:marBottom w:val="0"/>
          <w:divBdr>
            <w:top w:val="none" w:sz="0" w:space="0" w:color="auto"/>
            <w:left w:val="none" w:sz="0" w:space="0" w:color="auto"/>
            <w:bottom w:val="none" w:sz="0" w:space="0" w:color="auto"/>
            <w:right w:val="none" w:sz="0" w:space="0" w:color="auto"/>
          </w:divBdr>
          <w:divsChild>
            <w:div w:id="249240463">
              <w:marLeft w:val="525"/>
              <w:marRight w:val="0"/>
              <w:marTop w:val="0"/>
              <w:marBottom w:val="0"/>
              <w:divBdr>
                <w:top w:val="none" w:sz="0" w:space="0" w:color="auto"/>
                <w:left w:val="none" w:sz="0" w:space="0" w:color="auto"/>
                <w:bottom w:val="none" w:sz="0" w:space="0" w:color="auto"/>
                <w:right w:val="none" w:sz="0" w:space="0" w:color="auto"/>
              </w:divBdr>
              <w:divsChild>
                <w:div w:id="737630405">
                  <w:marLeft w:val="0"/>
                  <w:marRight w:val="0"/>
                  <w:marTop w:val="0"/>
                  <w:marBottom w:val="0"/>
                  <w:divBdr>
                    <w:top w:val="none" w:sz="0" w:space="0" w:color="auto"/>
                    <w:left w:val="none" w:sz="0" w:space="0" w:color="auto"/>
                    <w:bottom w:val="none" w:sz="0" w:space="0" w:color="auto"/>
                    <w:right w:val="none" w:sz="0" w:space="0" w:color="auto"/>
                  </w:divBdr>
                  <w:divsChild>
                    <w:div w:id="1272473188">
                      <w:marLeft w:val="90"/>
                      <w:marRight w:val="0"/>
                      <w:marTop w:val="0"/>
                      <w:marBottom w:val="0"/>
                      <w:divBdr>
                        <w:top w:val="single" w:sz="6" w:space="3" w:color="auto"/>
                        <w:left w:val="single" w:sz="6" w:space="4" w:color="auto"/>
                        <w:bottom w:val="single" w:sz="6" w:space="2" w:color="auto"/>
                        <w:right w:val="single" w:sz="6" w:space="5" w:color="auto"/>
                      </w:divBdr>
                      <w:divsChild>
                        <w:div w:id="16842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6305">
          <w:marLeft w:val="60"/>
          <w:marRight w:val="60"/>
          <w:marTop w:val="0"/>
          <w:marBottom w:val="0"/>
          <w:divBdr>
            <w:top w:val="none" w:sz="0" w:space="0" w:color="auto"/>
            <w:left w:val="none" w:sz="0" w:space="0" w:color="auto"/>
            <w:bottom w:val="none" w:sz="0" w:space="0" w:color="auto"/>
            <w:right w:val="none" w:sz="0" w:space="0" w:color="auto"/>
          </w:divBdr>
          <w:divsChild>
            <w:div w:id="710886690">
              <w:marLeft w:val="525"/>
              <w:marRight w:val="0"/>
              <w:marTop w:val="0"/>
              <w:marBottom w:val="0"/>
              <w:divBdr>
                <w:top w:val="none" w:sz="0" w:space="0" w:color="auto"/>
                <w:left w:val="none" w:sz="0" w:space="0" w:color="auto"/>
                <w:bottom w:val="none" w:sz="0" w:space="0" w:color="auto"/>
                <w:right w:val="none" w:sz="0" w:space="0" w:color="auto"/>
              </w:divBdr>
              <w:divsChild>
                <w:div w:id="481580943">
                  <w:marLeft w:val="0"/>
                  <w:marRight w:val="0"/>
                  <w:marTop w:val="0"/>
                  <w:marBottom w:val="0"/>
                  <w:divBdr>
                    <w:top w:val="none" w:sz="0" w:space="0" w:color="auto"/>
                    <w:left w:val="none" w:sz="0" w:space="0" w:color="auto"/>
                    <w:bottom w:val="none" w:sz="0" w:space="0" w:color="auto"/>
                    <w:right w:val="none" w:sz="0" w:space="0" w:color="auto"/>
                  </w:divBdr>
                  <w:divsChild>
                    <w:div w:id="1735470314">
                      <w:marLeft w:val="90"/>
                      <w:marRight w:val="0"/>
                      <w:marTop w:val="0"/>
                      <w:marBottom w:val="0"/>
                      <w:divBdr>
                        <w:top w:val="single" w:sz="6" w:space="3" w:color="auto"/>
                        <w:left w:val="single" w:sz="6" w:space="4" w:color="auto"/>
                        <w:bottom w:val="single" w:sz="6" w:space="2" w:color="auto"/>
                        <w:right w:val="single" w:sz="6" w:space="5" w:color="auto"/>
                      </w:divBdr>
                      <w:divsChild>
                        <w:div w:id="1595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9644">
          <w:marLeft w:val="60"/>
          <w:marRight w:val="60"/>
          <w:marTop w:val="0"/>
          <w:marBottom w:val="0"/>
          <w:divBdr>
            <w:top w:val="none" w:sz="0" w:space="0" w:color="auto"/>
            <w:left w:val="none" w:sz="0" w:space="0" w:color="auto"/>
            <w:bottom w:val="none" w:sz="0" w:space="0" w:color="auto"/>
            <w:right w:val="none" w:sz="0" w:space="0" w:color="auto"/>
          </w:divBdr>
          <w:divsChild>
            <w:div w:id="170606961">
              <w:marLeft w:val="525"/>
              <w:marRight w:val="0"/>
              <w:marTop w:val="0"/>
              <w:marBottom w:val="0"/>
              <w:divBdr>
                <w:top w:val="none" w:sz="0" w:space="0" w:color="auto"/>
                <w:left w:val="none" w:sz="0" w:space="0" w:color="auto"/>
                <w:bottom w:val="none" w:sz="0" w:space="0" w:color="auto"/>
                <w:right w:val="none" w:sz="0" w:space="0" w:color="auto"/>
              </w:divBdr>
              <w:divsChild>
                <w:div w:id="189224112">
                  <w:marLeft w:val="0"/>
                  <w:marRight w:val="0"/>
                  <w:marTop w:val="0"/>
                  <w:marBottom w:val="0"/>
                  <w:divBdr>
                    <w:top w:val="none" w:sz="0" w:space="0" w:color="auto"/>
                    <w:left w:val="none" w:sz="0" w:space="0" w:color="auto"/>
                    <w:bottom w:val="none" w:sz="0" w:space="0" w:color="auto"/>
                    <w:right w:val="none" w:sz="0" w:space="0" w:color="auto"/>
                  </w:divBdr>
                  <w:divsChild>
                    <w:div w:id="951202863">
                      <w:marLeft w:val="90"/>
                      <w:marRight w:val="0"/>
                      <w:marTop w:val="0"/>
                      <w:marBottom w:val="0"/>
                      <w:divBdr>
                        <w:top w:val="single" w:sz="6" w:space="3" w:color="auto"/>
                        <w:left w:val="single" w:sz="6" w:space="4" w:color="auto"/>
                        <w:bottom w:val="single" w:sz="6" w:space="2" w:color="auto"/>
                        <w:right w:val="single" w:sz="6" w:space="5" w:color="auto"/>
                      </w:divBdr>
                      <w:divsChild>
                        <w:div w:id="828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89867">
          <w:marLeft w:val="60"/>
          <w:marRight w:val="60"/>
          <w:marTop w:val="0"/>
          <w:marBottom w:val="0"/>
          <w:divBdr>
            <w:top w:val="none" w:sz="0" w:space="0" w:color="auto"/>
            <w:left w:val="none" w:sz="0" w:space="0" w:color="auto"/>
            <w:bottom w:val="none" w:sz="0" w:space="0" w:color="auto"/>
            <w:right w:val="none" w:sz="0" w:space="0" w:color="auto"/>
          </w:divBdr>
          <w:divsChild>
            <w:div w:id="1206404519">
              <w:marLeft w:val="525"/>
              <w:marRight w:val="0"/>
              <w:marTop w:val="0"/>
              <w:marBottom w:val="0"/>
              <w:divBdr>
                <w:top w:val="none" w:sz="0" w:space="0" w:color="auto"/>
                <w:left w:val="none" w:sz="0" w:space="0" w:color="auto"/>
                <w:bottom w:val="none" w:sz="0" w:space="0" w:color="auto"/>
                <w:right w:val="none" w:sz="0" w:space="0" w:color="auto"/>
              </w:divBdr>
              <w:divsChild>
                <w:div w:id="1557358508">
                  <w:marLeft w:val="0"/>
                  <w:marRight w:val="0"/>
                  <w:marTop w:val="0"/>
                  <w:marBottom w:val="0"/>
                  <w:divBdr>
                    <w:top w:val="none" w:sz="0" w:space="0" w:color="auto"/>
                    <w:left w:val="none" w:sz="0" w:space="0" w:color="auto"/>
                    <w:bottom w:val="none" w:sz="0" w:space="0" w:color="auto"/>
                    <w:right w:val="none" w:sz="0" w:space="0" w:color="auto"/>
                  </w:divBdr>
                  <w:divsChild>
                    <w:div w:id="384573024">
                      <w:marLeft w:val="90"/>
                      <w:marRight w:val="0"/>
                      <w:marTop w:val="0"/>
                      <w:marBottom w:val="0"/>
                      <w:divBdr>
                        <w:top w:val="single" w:sz="6" w:space="3" w:color="auto"/>
                        <w:left w:val="single" w:sz="6" w:space="4" w:color="auto"/>
                        <w:bottom w:val="single" w:sz="6" w:space="2" w:color="auto"/>
                        <w:right w:val="single" w:sz="6" w:space="5" w:color="auto"/>
                      </w:divBdr>
                      <w:divsChild>
                        <w:div w:id="12915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04272">
          <w:marLeft w:val="60"/>
          <w:marRight w:val="60"/>
          <w:marTop w:val="0"/>
          <w:marBottom w:val="0"/>
          <w:divBdr>
            <w:top w:val="none" w:sz="0" w:space="0" w:color="auto"/>
            <w:left w:val="none" w:sz="0" w:space="0" w:color="auto"/>
            <w:bottom w:val="none" w:sz="0" w:space="0" w:color="auto"/>
            <w:right w:val="none" w:sz="0" w:space="0" w:color="auto"/>
          </w:divBdr>
          <w:divsChild>
            <w:div w:id="685251140">
              <w:marLeft w:val="525"/>
              <w:marRight w:val="0"/>
              <w:marTop w:val="0"/>
              <w:marBottom w:val="0"/>
              <w:divBdr>
                <w:top w:val="none" w:sz="0" w:space="0" w:color="auto"/>
                <w:left w:val="none" w:sz="0" w:space="0" w:color="auto"/>
                <w:bottom w:val="none" w:sz="0" w:space="0" w:color="auto"/>
                <w:right w:val="none" w:sz="0" w:space="0" w:color="auto"/>
              </w:divBdr>
              <w:divsChild>
                <w:div w:id="1700202881">
                  <w:marLeft w:val="0"/>
                  <w:marRight w:val="0"/>
                  <w:marTop w:val="0"/>
                  <w:marBottom w:val="0"/>
                  <w:divBdr>
                    <w:top w:val="none" w:sz="0" w:space="0" w:color="auto"/>
                    <w:left w:val="none" w:sz="0" w:space="0" w:color="auto"/>
                    <w:bottom w:val="none" w:sz="0" w:space="0" w:color="auto"/>
                    <w:right w:val="none" w:sz="0" w:space="0" w:color="auto"/>
                  </w:divBdr>
                  <w:divsChild>
                    <w:div w:id="2098280181">
                      <w:marLeft w:val="90"/>
                      <w:marRight w:val="0"/>
                      <w:marTop w:val="0"/>
                      <w:marBottom w:val="0"/>
                      <w:divBdr>
                        <w:top w:val="single" w:sz="6" w:space="3" w:color="auto"/>
                        <w:left w:val="single" w:sz="6" w:space="4" w:color="auto"/>
                        <w:bottom w:val="single" w:sz="6" w:space="2" w:color="auto"/>
                        <w:right w:val="single" w:sz="6" w:space="5" w:color="auto"/>
                      </w:divBdr>
                      <w:divsChild>
                        <w:div w:id="15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47353">
          <w:marLeft w:val="60"/>
          <w:marRight w:val="60"/>
          <w:marTop w:val="0"/>
          <w:marBottom w:val="0"/>
          <w:divBdr>
            <w:top w:val="none" w:sz="0" w:space="0" w:color="auto"/>
            <w:left w:val="none" w:sz="0" w:space="0" w:color="auto"/>
            <w:bottom w:val="none" w:sz="0" w:space="0" w:color="auto"/>
            <w:right w:val="none" w:sz="0" w:space="0" w:color="auto"/>
          </w:divBdr>
          <w:divsChild>
            <w:div w:id="877401932">
              <w:marLeft w:val="525"/>
              <w:marRight w:val="0"/>
              <w:marTop w:val="0"/>
              <w:marBottom w:val="0"/>
              <w:divBdr>
                <w:top w:val="none" w:sz="0" w:space="0" w:color="auto"/>
                <w:left w:val="none" w:sz="0" w:space="0" w:color="auto"/>
                <w:bottom w:val="none" w:sz="0" w:space="0" w:color="auto"/>
                <w:right w:val="none" w:sz="0" w:space="0" w:color="auto"/>
              </w:divBdr>
              <w:divsChild>
                <w:div w:id="252977382">
                  <w:marLeft w:val="0"/>
                  <w:marRight w:val="0"/>
                  <w:marTop w:val="0"/>
                  <w:marBottom w:val="0"/>
                  <w:divBdr>
                    <w:top w:val="none" w:sz="0" w:space="0" w:color="auto"/>
                    <w:left w:val="none" w:sz="0" w:space="0" w:color="auto"/>
                    <w:bottom w:val="none" w:sz="0" w:space="0" w:color="auto"/>
                    <w:right w:val="none" w:sz="0" w:space="0" w:color="auto"/>
                  </w:divBdr>
                  <w:divsChild>
                    <w:div w:id="589654090">
                      <w:marLeft w:val="90"/>
                      <w:marRight w:val="0"/>
                      <w:marTop w:val="0"/>
                      <w:marBottom w:val="0"/>
                      <w:divBdr>
                        <w:top w:val="single" w:sz="6" w:space="3" w:color="auto"/>
                        <w:left w:val="single" w:sz="6" w:space="4" w:color="auto"/>
                        <w:bottom w:val="single" w:sz="6" w:space="2" w:color="auto"/>
                        <w:right w:val="single" w:sz="6" w:space="5" w:color="auto"/>
                      </w:divBdr>
                      <w:divsChild>
                        <w:div w:id="8272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4036">
      <w:bodyDiv w:val="1"/>
      <w:marLeft w:val="0"/>
      <w:marRight w:val="0"/>
      <w:marTop w:val="0"/>
      <w:marBottom w:val="0"/>
      <w:divBdr>
        <w:top w:val="none" w:sz="0" w:space="0" w:color="auto"/>
        <w:left w:val="none" w:sz="0" w:space="0" w:color="auto"/>
        <w:bottom w:val="none" w:sz="0" w:space="0" w:color="auto"/>
        <w:right w:val="none" w:sz="0" w:space="0" w:color="auto"/>
      </w:divBdr>
    </w:div>
    <w:div w:id="625282382">
      <w:bodyDiv w:val="1"/>
      <w:marLeft w:val="0"/>
      <w:marRight w:val="0"/>
      <w:marTop w:val="0"/>
      <w:marBottom w:val="0"/>
      <w:divBdr>
        <w:top w:val="none" w:sz="0" w:space="0" w:color="auto"/>
        <w:left w:val="none" w:sz="0" w:space="0" w:color="auto"/>
        <w:bottom w:val="none" w:sz="0" w:space="0" w:color="auto"/>
        <w:right w:val="none" w:sz="0" w:space="0" w:color="auto"/>
      </w:divBdr>
    </w:div>
    <w:div w:id="632178406">
      <w:bodyDiv w:val="1"/>
      <w:marLeft w:val="0"/>
      <w:marRight w:val="0"/>
      <w:marTop w:val="0"/>
      <w:marBottom w:val="0"/>
      <w:divBdr>
        <w:top w:val="none" w:sz="0" w:space="0" w:color="auto"/>
        <w:left w:val="none" w:sz="0" w:space="0" w:color="auto"/>
        <w:bottom w:val="none" w:sz="0" w:space="0" w:color="auto"/>
        <w:right w:val="none" w:sz="0" w:space="0" w:color="auto"/>
      </w:divBdr>
    </w:div>
    <w:div w:id="701787396">
      <w:bodyDiv w:val="1"/>
      <w:marLeft w:val="0"/>
      <w:marRight w:val="0"/>
      <w:marTop w:val="0"/>
      <w:marBottom w:val="0"/>
      <w:divBdr>
        <w:top w:val="none" w:sz="0" w:space="0" w:color="auto"/>
        <w:left w:val="none" w:sz="0" w:space="0" w:color="auto"/>
        <w:bottom w:val="none" w:sz="0" w:space="0" w:color="auto"/>
        <w:right w:val="none" w:sz="0" w:space="0" w:color="auto"/>
      </w:divBdr>
    </w:div>
    <w:div w:id="752971993">
      <w:bodyDiv w:val="1"/>
      <w:marLeft w:val="0"/>
      <w:marRight w:val="0"/>
      <w:marTop w:val="0"/>
      <w:marBottom w:val="0"/>
      <w:divBdr>
        <w:top w:val="none" w:sz="0" w:space="0" w:color="auto"/>
        <w:left w:val="none" w:sz="0" w:space="0" w:color="auto"/>
        <w:bottom w:val="none" w:sz="0" w:space="0" w:color="auto"/>
        <w:right w:val="none" w:sz="0" w:space="0" w:color="auto"/>
      </w:divBdr>
      <w:divsChild>
        <w:div w:id="545609542">
          <w:marLeft w:val="0"/>
          <w:marRight w:val="0"/>
          <w:marTop w:val="225"/>
          <w:marBottom w:val="0"/>
          <w:divBdr>
            <w:top w:val="none" w:sz="0" w:space="0" w:color="auto"/>
            <w:left w:val="none" w:sz="0" w:space="0" w:color="auto"/>
            <w:bottom w:val="none" w:sz="0" w:space="0" w:color="auto"/>
            <w:right w:val="none" w:sz="0" w:space="0" w:color="auto"/>
          </w:divBdr>
          <w:divsChild>
            <w:div w:id="328754491">
              <w:marLeft w:val="0"/>
              <w:marRight w:val="0"/>
              <w:marTop w:val="0"/>
              <w:marBottom w:val="0"/>
              <w:divBdr>
                <w:top w:val="none" w:sz="0" w:space="0" w:color="auto"/>
                <w:left w:val="none" w:sz="0" w:space="0" w:color="auto"/>
                <w:bottom w:val="none" w:sz="0" w:space="0" w:color="auto"/>
                <w:right w:val="none" w:sz="0" w:space="0" w:color="auto"/>
              </w:divBdr>
              <w:divsChild>
                <w:div w:id="1968662159">
                  <w:marLeft w:val="0"/>
                  <w:marRight w:val="0"/>
                  <w:marTop w:val="0"/>
                  <w:marBottom w:val="0"/>
                  <w:divBdr>
                    <w:top w:val="none" w:sz="0" w:space="0" w:color="auto"/>
                    <w:left w:val="none" w:sz="0" w:space="0" w:color="auto"/>
                    <w:bottom w:val="none" w:sz="0" w:space="0" w:color="auto"/>
                    <w:right w:val="none" w:sz="0" w:space="0" w:color="auto"/>
                  </w:divBdr>
                  <w:divsChild>
                    <w:div w:id="832524989">
                      <w:marLeft w:val="0"/>
                      <w:marRight w:val="0"/>
                      <w:marTop w:val="0"/>
                      <w:marBottom w:val="0"/>
                      <w:divBdr>
                        <w:top w:val="none" w:sz="0" w:space="0" w:color="auto"/>
                        <w:left w:val="none" w:sz="0" w:space="0" w:color="auto"/>
                        <w:bottom w:val="none" w:sz="0" w:space="0" w:color="auto"/>
                        <w:right w:val="none" w:sz="0" w:space="0" w:color="auto"/>
                      </w:divBdr>
                    </w:div>
                    <w:div w:id="10974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80283">
      <w:bodyDiv w:val="1"/>
      <w:marLeft w:val="0"/>
      <w:marRight w:val="0"/>
      <w:marTop w:val="0"/>
      <w:marBottom w:val="0"/>
      <w:divBdr>
        <w:top w:val="none" w:sz="0" w:space="0" w:color="auto"/>
        <w:left w:val="none" w:sz="0" w:space="0" w:color="auto"/>
        <w:bottom w:val="none" w:sz="0" w:space="0" w:color="auto"/>
        <w:right w:val="none" w:sz="0" w:space="0" w:color="auto"/>
      </w:divBdr>
    </w:div>
    <w:div w:id="862747584">
      <w:bodyDiv w:val="1"/>
      <w:marLeft w:val="0"/>
      <w:marRight w:val="0"/>
      <w:marTop w:val="0"/>
      <w:marBottom w:val="0"/>
      <w:divBdr>
        <w:top w:val="none" w:sz="0" w:space="0" w:color="auto"/>
        <w:left w:val="none" w:sz="0" w:space="0" w:color="auto"/>
        <w:bottom w:val="none" w:sz="0" w:space="0" w:color="auto"/>
        <w:right w:val="none" w:sz="0" w:space="0" w:color="auto"/>
      </w:divBdr>
    </w:div>
    <w:div w:id="922028467">
      <w:bodyDiv w:val="1"/>
      <w:marLeft w:val="0"/>
      <w:marRight w:val="0"/>
      <w:marTop w:val="0"/>
      <w:marBottom w:val="0"/>
      <w:divBdr>
        <w:top w:val="none" w:sz="0" w:space="0" w:color="auto"/>
        <w:left w:val="none" w:sz="0" w:space="0" w:color="auto"/>
        <w:bottom w:val="none" w:sz="0" w:space="0" w:color="auto"/>
        <w:right w:val="none" w:sz="0" w:space="0" w:color="auto"/>
      </w:divBdr>
    </w:div>
    <w:div w:id="935404087">
      <w:bodyDiv w:val="1"/>
      <w:marLeft w:val="0"/>
      <w:marRight w:val="0"/>
      <w:marTop w:val="0"/>
      <w:marBottom w:val="0"/>
      <w:divBdr>
        <w:top w:val="none" w:sz="0" w:space="0" w:color="auto"/>
        <w:left w:val="none" w:sz="0" w:space="0" w:color="auto"/>
        <w:bottom w:val="none" w:sz="0" w:space="0" w:color="auto"/>
        <w:right w:val="none" w:sz="0" w:space="0" w:color="auto"/>
      </w:divBdr>
    </w:div>
    <w:div w:id="967710261">
      <w:bodyDiv w:val="1"/>
      <w:marLeft w:val="0"/>
      <w:marRight w:val="0"/>
      <w:marTop w:val="0"/>
      <w:marBottom w:val="0"/>
      <w:divBdr>
        <w:top w:val="none" w:sz="0" w:space="0" w:color="auto"/>
        <w:left w:val="none" w:sz="0" w:space="0" w:color="auto"/>
        <w:bottom w:val="none" w:sz="0" w:space="0" w:color="auto"/>
        <w:right w:val="none" w:sz="0" w:space="0" w:color="auto"/>
      </w:divBdr>
      <w:divsChild>
        <w:div w:id="1514950596">
          <w:marLeft w:val="0"/>
          <w:marRight w:val="0"/>
          <w:marTop w:val="225"/>
          <w:marBottom w:val="0"/>
          <w:divBdr>
            <w:top w:val="none" w:sz="0" w:space="0" w:color="auto"/>
            <w:left w:val="none" w:sz="0" w:space="0" w:color="auto"/>
            <w:bottom w:val="none" w:sz="0" w:space="0" w:color="auto"/>
            <w:right w:val="none" w:sz="0" w:space="0" w:color="auto"/>
          </w:divBdr>
          <w:divsChild>
            <w:div w:id="1732583058">
              <w:marLeft w:val="0"/>
              <w:marRight w:val="0"/>
              <w:marTop w:val="0"/>
              <w:marBottom w:val="0"/>
              <w:divBdr>
                <w:top w:val="none" w:sz="0" w:space="0" w:color="auto"/>
                <w:left w:val="none" w:sz="0" w:space="0" w:color="auto"/>
                <w:bottom w:val="none" w:sz="0" w:space="0" w:color="auto"/>
                <w:right w:val="none" w:sz="0" w:space="0" w:color="auto"/>
              </w:divBdr>
              <w:divsChild>
                <w:div w:id="2124955455">
                  <w:marLeft w:val="0"/>
                  <w:marRight w:val="0"/>
                  <w:marTop w:val="0"/>
                  <w:marBottom w:val="0"/>
                  <w:divBdr>
                    <w:top w:val="none" w:sz="0" w:space="0" w:color="auto"/>
                    <w:left w:val="none" w:sz="0" w:space="0" w:color="auto"/>
                    <w:bottom w:val="none" w:sz="0" w:space="0" w:color="auto"/>
                    <w:right w:val="none" w:sz="0" w:space="0" w:color="auto"/>
                  </w:divBdr>
                  <w:divsChild>
                    <w:div w:id="1097749663">
                      <w:marLeft w:val="0"/>
                      <w:marRight w:val="0"/>
                      <w:marTop w:val="0"/>
                      <w:marBottom w:val="0"/>
                      <w:divBdr>
                        <w:top w:val="none" w:sz="0" w:space="0" w:color="auto"/>
                        <w:left w:val="none" w:sz="0" w:space="0" w:color="auto"/>
                        <w:bottom w:val="none" w:sz="0" w:space="0" w:color="auto"/>
                        <w:right w:val="none" w:sz="0" w:space="0" w:color="auto"/>
                      </w:divBdr>
                    </w:div>
                    <w:div w:id="18674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476">
      <w:bodyDiv w:val="1"/>
      <w:marLeft w:val="0"/>
      <w:marRight w:val="0"/>
      <w:marTop w:val="0"/>
      <w:marBottom w:val="0"/>
      <w:divBdr>
        <w:top w:val="none" w:sz="0" w:space="0" w:color="auto"/>
        <w:left w:val="none" w:sz="0" w:space="0" w:color="auto"/>
        <w:bottom w:val="none" w:sz="0" w:space="0" w:color="auto"/>
        <w:right w:val="none" w:sz="0" w:space="0" w:color="auto"/>
      </w:divBdr>
    </w:div>
    <w:div w:id="1115707692">
      <w:bodyDiv w:val="1"/>
      <w:marLeft w:val="0"/>
      <w:marRight w:val="0"/>
      <w:marTop w:val="0"/>
      <w:marBottom w:val="0"/>
      <w:divBdr>
        <w:top w:val="none" w:sz="0" w:space="0" w:color="auto"/>
        <w:left w:val="none" w:sz="0" w:space="0" w:color="auto"/>
        <w:bottom w:val="none" w:sz="0" w:space="0" w:color="auto"/>
        <w:right w:val="none" w:sz="0" w:space="0" w:color="auto"/>
      </w:divBdr>
    </w:div>
    <w:div w:id="1119497770">
      <w:bodyDiv w:val="1"/>
      <w:marLeft w:val="0"/>
      <w:marRight w:val="0"/>
      <w:marTop w:val="0"/>
      <w:marBottom w:val="0"/>
      <w:divBdr>
        <w:top w:val="none" w:sz="0" w:space="0" w:color="auto"/>
        <w:left w:val="none" w:sz="0" w:space="0" w:color="auto"/>
        <w:bottom w:val="none" w:sz="0" w:space="0" w:color="auto"/>
        <w:right w:val="none" w:sz="0" w:space="0" w:color="auto"/>
      </w:divBdr>
    </w:div>
    <w:div w:id="1215503777">
      <w:bodyDiv w:val="1"/>
      <w:marLeft w:val="0"/>
      <w:marRight w:val="0"/>
      <w:marTop w:val="0"/>
      <w:marBottom w:val="0"/>
      <w:divBdr>
        <w:top w:val="none" w:sz="0" w:space="0" w:color="auto"/>
        <w:left w:val="none" w:sz="0" w:space="0" w:color="auto"/>
        <w:bottom w:val="none" w:sz="0" w:space="0" w:color="auto"/>
        <w:right w:val="none" w:sz="0" w:space="0" w:color="auto"/>
      </w:divBdr>
    </w:div>
    <w:div w:id="1305895176">
      <w:bodyDiv w:val="1"/>
      <w:marLeft w:val="0"/>
      <w:marRight w:val="0"/>
      <w:marTop w:val="0"/>
      <w:marBottom w:val="0"/>
      <w:divBdr>
        <w:top w:val="none" w:sz="0" w:space="0" w:color="auto"/>
        <w:left w:val="none" w:sz="0" w:space="0" w:color="auto"/>
        <w:bottom w:val="none" w:sz="0" w:space="0" w:color="auto"/>
        <w:right w:val="none" w:sz="0" w:space="0" w:color="auto"/>
      </w:divBdr>
      <w:divsChild>
        <w:div w:id="2077194110">
          <w:marLeft w:val="0"/>
          <w:marRight w:val="0"/>
          <w:marTop w:val="0"/>
          <w:marBottom w:val="0"/>
          <w:divBdr>
            <w:top w:val="none" w:sz="0" w:space="15" w:color="auto"/>
            <w:left w:val="none" w:sz="0" w:space="0" w:color="auto"/>
            <w:bottom w:val="dotted" w:sz="12" w:space="11" w:color="E3E3E3"/>
            <w:right w:val="none" w:sz="0" w:space="0" w:color="auto"/>
          </w:divBdr>
        </w:div>
      </w:divsChild>
    </w:div>
    <w:div w:id="1377588531">
      <w:bodyDiv w:val="1"/>
      <w:marLeft w:val="0"/>
      <w:marRight w:val="0"/>
      <w:marTop w:val="0"/>
      <w:marBottom w:val="0"/>
      <w:divBdr>
        <w:top w:val="none" w:sz="0" w:space="0" w:color="auto"/>
        <w:left w:val="none" w:sz="0" w:space="0" w:color="auto"/>
        <w:bottom w:val="none" w:sz="0" w:space="0" w:color="auto"/>
        <w:right w:val="none" w:sz="0" w:space="0" w:color="auto"/>
      </w:divBdr>
    </w:div>
    <w:div w:id="1425496617">
      <w:bodyDiv w:val="1"/>
      <w:marLeft w:val="0"/>
      <w:marRight w:val="0"/>
      <w:marTop w:val="0"/>
      <w:marBottom w:val="0"/>
      <w:divBdr>
        <w:top w:val="none" w:sz="0" w:space="0" w:color="auto"/>
        <w:left w:val="none" w:sz="0" w:space="0" w:color="auto"/>
        <w:bottom w:val="none" w:sz="0" w:space="0" w:color="auto"/>
        <w:right w:val="none" w:sz="0" w:space="0" w:color="auto"/>
      </w:divBdr>
    </w:div>
    <w:div w:id="1498379748">
      <w:bodyDiv w:val="1"/>
      <w:marLeft w:val="0"/>
      <w:marRight w:val="0"/>
      <w:marTop w:val="0"/>
      <w:marBottom w:val="0"/>
      <w:divBdr>
        <w:top w:val="none" w:sz="0" w:space="0" w:color="auto"/>
        <w:left w:val="none" w:sz="0" w:space="0" w:color="auto"/>
        <w:bottom w:val="none" w:sz="0" w:space="0" w:color="auto"/>
        <w:right w:val="none" w:sz="0" w:space="0" w:color="auto"/>
      </w:divBdr>
    </w:div>
    <w:div w:id="1547375476">
      <w:bodyDiv w:val="1"/>
      <w:marLeft w:val="0"/>
      <w:marRight w:val="0"/>
      <w:marTop w:val="0"/>
      <w:marBottom w:val="0"/>
      <w:divBdr>
        <w:top w:val="none" w:sz="0" w:space="0" w:color="auto"/>
        <w:left w:val="none" w:sz="0" w:space="0" w:color="auto"/>
        <w:bottom w:val="none" w:sz="0" w:space="0" w:color="auto"/>
        <w:right w:val="none" w:sz="0" w:space="0" w:color="auto"/>
      </w:divBdr>
    </w:div>
    <w:div w:id="1549564329">
      <w:bodyDiv w:val="1"/>
      <w:marLeft w:val="0"/>
      <w:marRight w:val="0"/>
      <w:marTop w:val="0"/>
      <w:marBottom w:val="0"/>
      <w:divBdr>
        <w:top w:val="none" w:sz="0" w:space="0" w:color="auto"/>
        <w:left w:val="none" w:sz="0" w:space="0" w:color="auto"/>
        <w:bottom w:val="none" w:sz="0" w:space="0" w:color="auto"/>
        <w:right w:val="none" w:sz="0" w:space="0" w:color="auto"/>
      </w:divBdr>
    </w:div>
    <w:div w:id="1555265008">
      <w:bodyDiv w:val="1"/>
      <w:marLeft w:val="0"/>
      <w:marRight w:val="0"/>
      <w:marTop w:val="0"/>
      <w:marBottom w:val="0"/>
      <w:divBdr>
        <w:top w:val="none" w:sz="0" w:space="0" w:color="auto"/>
        <w:left w:val="none" w:sz="0" w:space="0" w:color="auto"/>
        <w:bottom w:val="none" w:sz="0" w:space="0" w:color="auto"/>
        <w:right w:val="none" w:sz="0" w:space="0" w:color="auto"/>
      </w:divBdr>
    </w:div>
    <w:div w:id="1780560833">
      <w:bodyDiv w:val="1"/>
      <w:marLeft w:val="0"/>
      <w:marRight w:val="0"/>
      <w:marTop w:val="0"/>
      <w:marBottom w:val="0"/>
      <w:divBdr>
        <w:top w:val="none" w:sz="0" w:space="0" w:color="auto"/>
        <w:left w:val="none" w:sz="0" w:space="0" w:color="auto"/>
        <w:bottom w:val="none" w:sz="0" w:space="0" w:color="auto"/>
        <w:right w:val="none" w:sz="0" w:space="0" w:color="auto"/>
      </w:divBdr>
    </w:div>
    <w:div w:id="1812288167">
      <w:bodyDiv w:val="1"/>
      <w:marLeft w:val="0"/>
      <w:marRight w:val="0"/>
      <w:marTop w:val="0"/>
      <w:marBottom w:val="0"/>
      <w:divBdr>
        <w:top w:val="none" w:sz="0" w:space="0" w:color="auto"/>
        <w:left w:val="none" w:sz="0" w:space="0" w:color="auto"/>
        <w:bottom w:val="none" w:sz="0" w:space="0" w:color="auto"/>
        <w:right w:val="none" w:sz="0" w:space="0" w:color="auto"/>
      </w:divBdr>
    </w:div>
    <w:div w:id="1897886969">
      <w:bodyDiv w:val="1"/>
      <w:marLeft w:val="0"/>
      <w:marRight w:val="0"/>
      <w:marTop w:val="0"/>
      <w:marBottom w:val="0"/>
      <w:divBdr>
        <w:top w:val="none" w:sz="0" w:space="0" w:color="auto"/>
        <w:left w:val="none" w:sz="0" w:space="0" w:color="auto"/>
        <w:bottom w:val="none" w:sz="0" w:space="0" w:color="auto"/>
        <w:right w:val="none" w:sz="0" w:space="0" w:color="auto"/>
      </w:divBdr>
    </w:div>
    <w:div w:id="2084569603">
      <w:bodyDiv w:val="1"/>
      <w:marLeft w:val="0"/>
      <w:marRight w:val="0"/>
      <w:marTop w:val="0"/>
      <w:marBottom w:val="0"/>
      <w:divBdr>
        <w:top w:val="none" w:sz="0" w:space="0" w:color="auto"/>
        <w:left w:val="none" w:sz="0" w:space="0" w:color="auto"/>
        <w:bottom w:val="none" w:sz="0" w:space="0" w:color="auto"/>
        <w:right w:val="none" w:sz="0" w:space="0" w:color="auto"/>
      </w:divBdr>
    </w:div>
    <w:div w:id="213440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2D6E3-76FD-447F-98C5-6036F7B00201}"/>
</file>

<file path=customXml/itemProps2.xml><?xml version="1.0" encoding="utf-8"?>
<ds:datastoreItem xmlns:ds="http://schemas.openxmlformats.org/officeDocument/2006/customXml" ds:itemID="{9F330E43-B301-4067-BE14-18001E88D146}"/>
</file>

<file path=customXml/itemProps3.xml><?xml version="1.0" encoding="utf-8"?>
<ds:datastoreItem xmlns:ds="http://schemas.openxmlformats.org/officeDocument/2006/customXml" ds:itemID="{A427FDE7-AA8A-40DC-83D1-C751F96E843C}"/>
</file>

<file path=customXml/itemProps4.xml><?xml version="1.0" encoding="utf-8"?>
<ds:datastoreItem xmlns:ds="http://schemas.openxmlformats.org/officeDocument/2006/customXml" ds:itemID="{B14036FF-90F1-48B4-9A16-50627778F549}"/>
</file>

<file path=docProps/app.xml><?xml version="1.0" encoding="utf-8"?>
<Properties xmlns="http://schemas.openxmlformats.org/officeDocument/2006/extended-properties" xmlns:vt="http://schemas.openxmlformats.org/officeDocument/2006/docPropsVTypes">
  <Template>Normal</Template>
  <TotalTime>1</TotalTime>
  <Pages>14</Pages>
  <Words>5175</Words>
  <Characters>29504</Characters>
  <Application>Microsoft Office Word</Application>
  <DocSecurity>0</DocSecurity>
  <Lines>245</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34610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Liliana Barriga Perez</dc:creator>
  <cp:lastModifiedBy>OHCHR</cp:lastModifiedBy>
  <cp:revision>2</cp:revision>
  <cp:lastPrinted>2016-02-24T16:49:00Z</cp:lastPrinted>
  <dcterms:created xsi:type="dcterms:W3CDTF">2016-03-01T09:30:00Z</dcterms:created>
  <dcterms:modified xsi:type="dcterms:W3CDTF">2016-03-01T09:30:00Z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3388500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