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9B3" w:rsidRPr="000058A6" w:rsidRDefault="00B559B3" w:rsidP="00B65DEB">
      <w:pPr>
        <w:spacing w:after="0" w:line="240" w:lineRule="auto"/>
        <w:jc w:val="center"/>
        <w:rPr>
          <w:rFonts w:ascii="Arial" w:hAnsi="Arial" w:cs="Arial"/>
          <w:color w:val="000000" w:themeColor="text1"/>
          <w:sz w:val="28"/>
          <w:szCs w:val="28"/>
          <w:lang w:val="en-US"/>
        </w:rPr>
      </w:pPr>
      <w:bookmarkStart w:id="0" w:name="_GoBack"/>
      <w:bookmarkEnd w:id="0"/>
    </w:p>
    <w:p w:rsidR="00B65DEB" w:rsidRPr="000058A6" w:rsidRDefault="00B65DEB" w:rsidP="00B65DEB">
      <w:pPr>
        <w:pStyle w:val="NormalWeb"/>
        <w:widowControl/>
        <w:snapToGrid w:val="0"/>
        <w:jc w:val="center"/>
        <w:rPr>
          <w:rFonts w:ascii="Arial" w:eastAsia="外交粗仿宋" w:hAnsi="Arial" w:cs="Arial"/>
          <w:b/>
          <w:bCs/>
          <w:color w:val="000000" w:themeColor="text1"/>
          <w:szCs w:val="24"/>
        </w:rPr>
      </w:pPr>
    </w:p>
    <w:p w:rsidR="00B65DEB" w:rsidRPr="000058A6" w:rsidRDefault="00026AEC" w:rsidP="00953812">
      <w:pPr>
        <w:pStyle w:val="NormalWeb"/>
        <w:widowControl/>
        <w:snapToGrid w:val="0"/>
        <w:jc w:val="center"/>
        <w:rPr>
          <w:rFonts w:ascii="Arial" w:eastAsia="外交粗仿宋" w:hAnsi="Arial" w:cs="Arial"/>
          <w:b/>
          <w:bCs/>
          <w:color w:val="000000" w:themeColor="text1"/>
          <w:szCs w:val="24"/>
        </w:rPr>
      </w:pPr>
      <w:r>
        <w:rPr>
          <w:rFonts w:ascii="Arial" w:eastAsia="外交粗仿宋" w:hAnsi="Arial" w:cs="Arial"/>
          <w:b/>
          <w:bCs/>
          <w:color w:val="000000" w:themeColor="text1"/>
          <w:szCs w:val="24"/>
        </w:rPr>
        <w:t>INPUTS</w:t>
      </w:r>
    </w:p>
    <w:p w:rsidR="00B65DEB" w:rsidRDefault="00026AEC" w:rsidP="002F444B">
      <w:pPr>
        <w:pStyle w:val="NormalWeb"/>
        <w:widowControl/>
        <w:snapToGrid w:val="0"/>
        <w:jc w:val="center"/>
        <w:rPr>
          <w:rFonts w:ascii="Arial" w:eastAsia="外交粗仿宋" w:hAnsi="Arial" w:cs="Arial"/>
          <w:b/>
          <w:bCs/>
          <w:color w:val="000000" w:themeColor="text1"/>
          <w:szCs w:val="24"/>
        </w:rPr>
      </w:pPr>
      <w:r>
        <w:rPr>
          <w:rFonts w:ascii="Arial" w:eastAsia="外交粗仿宋" w:hAnsi="Arial" w:cs="Arial"/>
          <w:b/>
          <w:bCs/>
          <w:color w:val="000000" w:themeColor="text1"/>
          <w:szCs w:val="24"/>
        </w:rPr>
        <w:t>HUMAN RIGHT COUNCIL RESOLUTION 39/7 ON LOCAL GOVERNMENT AND HUMAN RIGHTS</w:t>
      </w:r>
    </w:p>
    <w:p w:rsidR="00026AEC" w:rsidRDefault="00026AEC" w:rsidP="002F444B">
      <w:pPr>
        <w:pStyle w:val="NormalWeb"/>
        <w:widowControl/>
        <w:snapToGrid w:val="0"/>
        <w:jc w:val="center"/>
        <w:rPr>
          <w:rFonts w:ascii="Arial" w:eastAsia="外交粗仿宋" w:hAnsi="Arial" w:cs="Arial"/>
          <w:b/>
          <w:bCs/>
          <w:color w:val="000000" w:themeColor="text1"/>
          <w:szCs w:val="24"/>
        </w:rPr>
      </w:pPr>
    </w:p>
    <w:tbl>
      <w:tblPr>
        <w:tblStyle w:val="TableGrid"/>
        <w:tblW w:w="0" w:type="auto"/>
        <w:tblLook w:val="04A0" w:firstRow="1" w:lastRow="0" w:firstColumn="1" w:lastColumn="0" w:noHBand="0" w:noVBand="1"/>
      </w:tblPr>
      <w:tblGrid>
        <w:gridCol w:w="704"/>
        <w:gridCol w:w="6095"/>
        <w:gridCol w:w="7149"/>
      </w:tblGrid>
      <w:tr w:rsidR="00026AEC" w:rsidTr="00705AF4">
        <w:trPr>
          <w:trHeight w:val="605"/>
          <w:tblHeader/>
        </w:trPr>
        <w:tc>
          <w:tcPr>
            <w:tcW w:w="704" w:type="dxa"/>
            <w:shd w:val="clear" w:color="auto" w:fill="A6A6A6" w:themeFill="background1" w:themeFillShade="A6"/>
            <w:vAlign w:val="center"/>
          </w:tcPr>
          <w:p w:rsidR="00026AEC" w:rsidRDefault="00026AEC" w:rsidP="00026AEC">
            <w:pPr>
              <w:pStyle w:val="NormalWeb"/>
              <w:widowControl/>
              <w:snapToGrid w:val="0"/>
              <w:jc w:val="center"/>
              <w:rPr>
                <w:rFonts w:ascii="Arial" w:eastAsia="外交粗仿宋" w:hAnsi="Arial" w:cs="Arial"/>
                <w:b/>
                <w:bCs/>
                <w:color w:val="000000" w:themeColor="text1"/>
                <w:szCs w:val="24"/>
              </w:rPr>
            </w:pPr>
            <w:r>
              <w:rPr>
                <w:rFonts w:ascii="Arial" w:eastAsia="外交粗仿宋" w:hAnsi="Arial" w:cs="Arial"/>
                <w:b/>
                <w:bCs/>
                <w:color w:val="000000" w:themeColor="text1"/>
                <w:szCs w:val="24"/>
              </w:rPr>
              <w:t>NO.</w:t>
            </w:r>
          </w:p>
        </w:tc>
        <w:tc>
          <w:tcPr>
            <w:tcW w:w="6095" w:type="dxa"/>
            <w:shd w:val="clear" w:color="auto" w:fill="A6A6A6" w:themeFill="background1" w:themeFillShade="A6"/>
            <w:vAlign w:val="center"/>
          </w:tcPr>
          <w:p w:rsidR="00026AEC" w:rsidRDefault="00026AEC" w:rsidP="00026AEC">
            <w:pPr>
              <w:pStyle w:val="NormalWeb"/>
              <w:widowControl/>
              <w:snapToGrid w:val="0"/>
              <w:jc w:val="center"/>
              <w:rPr>
                <w:rFonts w:ascii="Arial" w:eastAsia="外交粗仿宋" w:hAnsi="Arial" w:cs="Arial"/>
                <w:b/>
                <w:bCs/>
                <w:color w:val="000000" w:themeColor="text1"/>
                <w:szCs w:val="24"/>
              </w:rPr>
            </w:pPr>
            <w:r>
              <w:rPr>
                <w:rFonts w:ascii="Arial" w:eastAsia="外交粗仿宋" w:hAnsi="Arial" w:cs="Arial"/>
                <w:b/>
                <w:bCs/>
                <w:color w:val="000000" w:themeColor="text1"/>
                <w:szCs w:val="24"/>
              </w:rPr>
              <w:t>CONTENTS</w:t>
            </w:r>
          </w:p>
        </w:tc>
        <w:tc>
          <w:tcPr>
            <w:tcW w:w="7149" w:type="dxa"/>
            <w:shd w:val="clear" w:color="auto" w:fill="A6A6A6" w:themeFill="background1" w:themeFillShade="A6"/>
            <w:vAlign w:val="center"/>
          </w:tcPr>
          <w:p w:rsidR="00026AEC" w:rsidRDefault="00026AEC" w:rsidP="00026AEC">
            <w:pPr>
              <w:pStyle w:val="NormalWeb"/>
              <w:widowControl/>
              <w:snapToGrid w:val="0"/>
              <w:jc w:val="center"/>
              <w:rPr>
                <w:rFonts w:ascii="Arial" w:eastAsia="外交粗仿宋" w:hAnsi="Arial" w:cs="Arial"/>
                <w:b/>
                <w:bCs/>
                <w:color w:val="000000" w:themeColor="text1"/>
                <w:szCs w:val="24"/>
              </w:rPr>
            </w:pPr>
            <w:r>
              <w:rPr>
                <w:rFonts w:ascii="Arial" w:eastAsia="外交粗仿宋" w:hAnsi="Arial" w:cs="Arial"/>
                <w:b/>
                <w:bCs/>
                <w:color w:val="000000" w:themeColor="text1"/>
                <w:szCs w:val="24"/>
              </w:rPr>
              <w:t>INPUTS / REMARKS</w:t>
            </w:r>
          </w:p>
        </w:tc>
      </w:tr>
      <w:tr w:rsidR="00026AEC" w:rsidTr="00026AEC">
        <w:tc>
          <w:tcPr>
            <w:tcW w:w="704" w:type="dxa"/>
          </w:tcPr>
          <w:p w:rsidR="00026AEC" w:rsidRDefault="00026AEC" w:rsidP="002F444B">
            <w:pPr>
              <w:pStyle w:val="NormalWeb"/>
              <w:widowControl/>
              <w:snapToGrid w:val="0"/>
              <w:jc w:val="center"/>
              <w:rPr>
                <w:rFonts w:ascii="Arial" w:eastAsia="外交粗仿宋" w:hAnsi="Arial" w:cs="Arial"/>
                <w:b/>
                <w:bCs/>
                <w:color w:val="000000" w:themeColor="text1"/>
                <w:szCs w:val="24"/>
              </w:rPr>
            </w:pPr>
            <w:r>
              <w:rPr>
                <w:rFonts w:ascii="Arial" w:eastAsia="外交粗仿宋" w:hAnsi="Arial" w:cs="Arial"/>
                <w:b/>
                <w:bCs/>
                <w:color w:val="000000" w:themeColor="text1"/>
                <w:szCs w:val="24"/>
              </w:rPr>
              <w:t>1</w:t>
            </w:r>
          </w:p>
        </w:tc>
        <w:tc>
          <w:tcPr>
            <w:tcW w:w="6095" w:type="dxa"/>
          </w:tcPr>
          <w:p w:rsidR="00026AEC" w:rsidRDefault="00026AEC" w:rsidP="00026AEC">
            <w:pPr>
              <w:pStyle w:val="NormalWeb"/>
              <w:widowControl/>
              <w:snapToGrid w:val="0"/>
              <w:rPr>
                <w:rFonts w:ascii="Arial" w:hAnsi="Arial" w:cs="Arial"/>
                <w:color w:val="000000"/>
                <w:shd w:val="clear" w:color="auto" w:fill="FFFFFF"/>
              </w:rPr>
            </w:pPr>
            <w:r>
              <w:rPr>
                <w:rFonts w:ascii="Arial" w:hAnsi="Arial" w:cs="Arial"/>
                <w:color w:val="000000"/>
                <w:shd w:val="clear" w:color="auto" w:fill="FFFFFF"/>
              </w:rPr>
              <w:t>Law, policies and programmes that have been explicitly developed by local authorities to promote and protect human rights</w:t>
            </w:r>
          </w:p>
          <w:p w:rsidR="00026AEC" w:rsidRDefault="00026AEC" w:rsidP="00026AEC">
            <w:pPr>
              <w:pStyle w:val="NormalWeb"/>
              <w:widowControl/>
              <w:snapToGrid w:val="0"/>
              <w:rPr>
                <w:rFonts w:ascii="Arial" w:eastAsia="外交粗仿宋" w:hAnsi="Arial" w:cs="Arial"/>
                <w:b/>
                <w:bCs/>
                <w:color w:val="000000" w:themeColor="text1"/>
                <w:szCs w:val="24"/>
              </w:rPr>
            </w:pPr>
          </w:p>
        </w:tc>
        <w:tc>
          <w:tcPr>
            <w:tcW w:w="7149" w:type="dxa"/>
          </w:tcPr>
          <w:p w:rsidR="00EF411F" w:rsidRDefault="00564A25" w:rsidP="004976E1">
            <w:pPr>
              <w:jc w:val="both"/>
              <w:rPr>
                <w:rFonts w:ascii="Arial" w:hAnsi="Arial" w:cs="Arial"/>
                <w:sz w:val="24"/>
                <w:szCs w:val="28"/>
                <w:lang w:val="ms-BN"/>
              </w:rPr>
            </w:pPr>
            <w:r>
              <w:rPr>
                <w:rFonts w:ascii="Arial" w:hAnsi="Arial" w:cs="Arial"/>
                <w:sz w:val="24"/>
                <w:szCs w:val="28"/>
                <w:lang w:val="ms-BN"/>
              </w:rPr>
              <w:t>A</w:t>
            </w:r>
            <w:r w:rsidR="00AA33AF">
              <w:rPr>
                <w:rFonts w:ascii="Arial" w:hAnsi="Arial" w:cs="Arial"/>
                <w:sz w:val="24"/>
                <w:szCs w:val="28"/>
                <w:lang w:val="ms-BN"/>
              </w:rPr>
              <w:t xml:space="preserve">ll matter pertaining to human rights have been taken into account in </w:t>
            </w:r>
            <w:r w:rsidR="00EF411F">
              <w:rPr>
                <w:rFonts w:ascii="Arial" w:hAnsi="Arial" w:cs="Arial"/>
                <w:sz w:val="24"/>
                <w:szCs w:val="28"/>
                <w:lang w:val="ms-BN"/>
              </w:rPr>
              <w:t>t</w:t>
            </w:r>
            <w:r w:rsidR="0090002E" w:rsidRPr="0090002E">
              <w:rPr>
                <w:rFonts w:ascii="Arial" w:hAnsi="Arial" w:cs="Arial"/>
                <w:sz w:val="24"/>
                <w:szCs w:val="28"/>
                <w:lang w:val="ms-BN"/>
              </w:rPr>
              <w:t>he main governing legislation for local governments</w:t>
            </w:r>
            <w:r>
              <w:rPr>
                <w:rFonts w:ascii="Arial" w:hAnsi="Arial" w:cs="Arial"/>
                <w:sz w:val="24"/>
                <w:szCs w:val="28"/>
                <w:lang w:val="ms-BN"/>
              </w:rPr>
              <w:t xml:space="preserve"> which are</w:t>
            </w:r>
            <w:r w:rsidR="00EF411F">
              <w:rPr>
                <w:rFonts w:ascii="Arial" w:hAnsi="Arial" w:cs="Arial"/>
                <w:sz w:val="24"/>
                <w:szCs w:val="28"/>
                <w:lang w:val="ms-BN"/>
              </w:rPr>
              <w:t xml:space="preserve">: </w:t>
            </w:r>
          </w:p>
          <w:p w:rsidR="00EF411F" w:rsidRDefault="00EF411F" w:rsidP="004976E1">
            <w:pPr>
              <w:jc w:val="both"/>
              <w:rPr>
                <w:rFonts w:ascii="Arial" w:hAnsi="Arial" w:cs="Arial"/>
                <w:sz w:val="24"/>
                <w:szCs w:val="28"/>
                <w:lang w:val="ms-BN"/>
              </w:rPr>
            </w:pPr>
          </w:p>
          <w:p w:rsidR="00EF411F" w:rsidRPr="00FF54D5" w:rsidRDefault="0090002E" w:rsidP="00EF411F">
            <w:pPr>
              <w:pStyle w:val="ListParagraph"/>
              <w:numPr>
                <w:ilvl w:val="0"/>
                <w:numId w:val="12"/>
              </w:numPr>
              <w:ind w:left="601" w:hanging="601"/>
              <w:jc w:val="both"/>
              <w:rPr>
                <w:rFonts w:ascii="Arial" w:eastAsia="Times New Roman" w:hAnsi="Arial" w:cs="Arial"/>
                <w:sz w:val="24"/>
                <w:szCs w:val="28"/>
                <w:lang w:val="ms-BN"/>
              </w:rPr>
            </w:pPr>
            <w:r w:rsidRPr="00EF411F">
              <w:rPr>
                <w:rFonts w:ascii="Arial" w:hAnsi="Arial" w:cs="Arial"/>
                <w:sz w:val="24"/>
                <w:szCs w:val="28"/>
                <w:lang w:val="ms-BN"/>
              </w:rPr>
              <w:t>The Local Government Act 1976 [Act 171] for Peninsular Malaysia and the Local Authorities Ordinance 1996</w:t>
            </w:r>
            <w:r w:rsidR="00EF411F">
              <w:rPr>
                <w:rFonts w:ascii="Arial" w:hAnsi="Arial" w:cs="Arial"/>
                <w:sz w:val="24"/>
                <w:szCs w:val="28"/>
                <w:lang w:val="ms-BN"/>
              </w:rPr>
              <w:t>;</w:t>
            </w:r>
          </w:p>
          <w:p w:rsidR="00FF54D5" w:rsidRPr="00EF411F" w:rsidRDefault="00FF54D5" w:rsidP="00FF54D5">
            <w:pPr>
              <w:pStyle w:val="ListParagraph"/>
              <w:ind w:left="601"/>
              <w:jc w:val="both"/>
              <w:rPr>
                <w:rFonts w:ascii="Arial" w:eastAsia="Times New Roman" w:hAnsi="Arial" w:cs="Arial"/>
                <w:sz w:val="24"/>
                <w:szCs w:val="28"/>
                <w:lang w:val="ms-BN"/>
              </w:rPr>
            </w:pPr>
          </w:p>
          <w:p w:rsidR="00EF411F" w:rsidRPr="00FF54D5" w:rsidRDefault="0090002E" w:rsidP="00EF411F">
            <w:pPr>
              <w:pStyle w:val="ListParagraph"/>
              <w:numPr>
                <w:ilvl w:val="0"/>
                <w:numId w:val="12"/>
              </w:numPr>
              <w:ind w:left="601" w:hanging="601"/>
              <w:jc w:val="both"/>
              <w:rPr>
                <w:rFonts w:ascii="Arial" w:eastAsia="Times New Roman" w:hAnsi="Arial" w:cs="Arial"/>
                <w:sz w:val="24"/>
                <w:szCs w:val="28"/>
                <w:lang w:val="ms-BN"/>
              </w:rPr>
            </w:pPr>
            <w:r w:rsidRPr="00EF411F">
              <w:rPr>
                <w:rFonts w:ascii="Arial" w:hAnsi="Arial" w:cs="Arial"/>
                <w:sz w:val="24"/>
                <w:szCs w:val="28"/>
                <w:lang w:val="ms-BN"/>
              </w:rPr>
              <w:t>Local Government Ordinance 1961 for the states of Sabah and Sarawak</w:t>
            </w:r>
            <w:r w:rsidR="00EF411F">
              <w:rPr>
                <w:rFonts w:ascii="Arial" w:hAnsi="Arial" w:cs="Arial"/>
                <w:sz w:val="24"/>
                <w:szCs w:val="28"/>
                <w:lang w:val="ms-BN"/>
              </w:rPr>
              <w:t>;</w:t>
            </w:r>
          </w:p>
          <w:p w:rsidR="00FF54D5" w:rsidRPr="00FF54D5" w:rsidRDefault="00FF54D5" w:rsidP="00FF54D5">
            <w:pPr>
              <w:jc w:val="both"/>
              <w:rPr>
                <w:rFonts w:ascii="Arial" w:eastAsia="Times New Roman" w:hAnsi="Arial" w:cs="Arial"/>
                <w:sz w:val="24"/>
                <w:szCs w:val="28"/>
                <w:lang w:val="ms-BN"/>
              </w:rPr>
            </w:pPr>
          </w:p>
          <w:p w:rsidR="00EF411F" w:rsidRDefault="0090002E" w:rsidP="00EF411F">
            <w:pPr>
              <w:pStyle w:val="ListParagraph"/>
              <w:numPr>
                <w:ilvl w:val="0"/>
                <w:numId w:val="12"/>
              </w:numPr>
              <w:ind w:left="601" w:hanging="601"/>
              <w:jc w:val="both"/>
              <w:rPr>
                <w:rFonts w:ascii="Arial" w:eastAsia="Times New Roman" w:hAnsi="Arial" w:cs="Arial"/>
                <w:sz w:val="24"/>
                <w:szCs w:val="28"/>
                <w:lang w:val="ms-BN"/>
              </w:rPr>
            </w:pPr>
            <w:r w:rsidRPr="00EF411F">
              <w:rPr>
                <w:rFonts w:ascii="Arial" w:eastAsia="Times New Roman" w:hAnsi="Arial" w:cs="Arial"/>
                <w:sz w:val="24"/>
                <w:szCs w:val="28"/>
                <w:lang w:val="ms-BN"/>
              </w:rPr>
              <w:t>Street, Drainage &amp; Building Act 1974 [Act 133]</w:t>
            </w:r>
            <w:r w:rsidR="00EF411F" w:rsidRPr="00EF411F">
              <w:rPr>
                <w:rFonts w:ascii="Arial" w:eastAsia="Times New Roman" w:hAnsi="Arial" w:cs="Arial"/>
                <w:sz w:val="24"/>
                <w:szCs w:val="28"/>
                <w:lang w:val="ms-BN"/>
              </w:rPr>
              <w:t>; and</w:t>
            </w:r>
          </w:p>
          <w:p w:rsidR="00FF54D5" w:rsidRPr="00FF54D5" w:rsidRDefault="00FF54D5" w:rsidP="00FF54D5">
            <w:pPr>
              <w:jc w:val="both"/>
              <w:rPr>
                <w:rFonts w:ascii="Arial" w:eastAsia="Times New Roman" w:hAnsi="Arial" w:cs="Arial"/>
                <w:sz w:val="24"/>
                <w:szCs w:val="28"/>
                <w:lang w:val="ms-BN"/>
              </w:rPr>
            </w:pPr>
          </w:p>
          <w:p w:rsidR="00AA33AF" w:rsidRDefault="0090002E" w:rsidP="00EF411F">
            <w:pPr>
              <w:pStyle w:val="ListParagraph"/>
              <w:numPr>
                <w:ilvl w:val="0"/>
                <w:numId w:val="12"/>
              </w:numPr>
              <w:ind w:left="601" w:hanging="601"/>
              <w:jc w:val="both"/>
              <w:rPr>
                <w:rFonts w:ascii="Arial" w:eastAsia="Times New Roman" w:hAnsi="Arial" w:cs="Arial"/>
                <w:sz w:val="24"/>
                <w:szCs w:val="28"/>
                <w:lang w:val="ms-BN"/>
              </w:rPr>
            </w:pPr>
            <w:r w:rsidRPr="00EF411F">
              <w:rPr>
                <w:rFonts w:ascii="Arial" w:eastAsia="Times New Roman" w:hAnsi="Arial" w:cs="Arial"/>
                <w:sz w:val="24"/>
                <w:szCs w:val="28"/>
                <w:lang w:val="ms-BN"/>
              </w:rPr>
              <w:t>Town &amp; Country Planning Act 1976 [Act 172].</w:t>
            </w:r>
          </w:p>
          <w:p w:rsidR="00564A25" w:rsidRPr="00EF411F" w:rsidRDefault="00564A25" w:rsidP="00564A25">
            <w:pPr>
              <w:pStyle w:val="ListParagraph"/>
              <w:ind w:left="601"/>
              <w:jc w:val="both"/>
              <w:rPr>
                <w:rFonts w:ascii="Arial" w:eastAsia="Times New Roman" w:hAnsi="Arial" w:cs="Arial"/>
                <w:sz w:val="24"/>
                <w:szCs w:val="28"/>
                <w:lang w:val="ms-BN"/>
              </w:rPr>
            </w:pPr>
          </w:p>
          <w:p w:rsidR="00564A25" w:rsidRDefault="00FF54D5" w:rsidP="00564A25">
            <w:pPr>
              <w:jc w:val="both"/>
              <w:rPr>
                <w:rFonts w:ascii="Arial" w:hAnsi="Arial" w:cs="Arial"/>
                <w:sz w:val="24"/>
                <w:szCs w:val="24"/>
              </w:rPr>
            </w:pPr>
            <w:r>
              <w:rPr>
                <w:rFonts w:ascii="Arial" w:hAnsi="Arial" w:cs="Arial"/>
                <w:sz w:val="24"/>
                <w:szCs w:val="28"/>
              </w:rPr>
              <w:t xml:space="preserve">Example: </w:t>
            </w:r>
            <w:r w:rsidR="00564A25" w:rsidRPr="004976E1">
              <w:rPr>
                <w:rFonts w:ascii="Arial" w:hAnsi="Arial" w:cs="Arial"/>
                <w:iCs/>
                <w:sz w:val="24"/>
                <w:szCs w:val="36"/>
              </w:rPr>
              <w:t xml:space="preserve">Uniform </w:t>
            </w:r>
            <w:r w:rsidR="00564A25" w:rsidRPr="003E4C5E">
              <w:rPr>
                <w:rFonts w:ascii="Arial" w:hAnsi="Arial" w:cs="Arial"/>
                <w:iCs/>
                <w:sz w:val="24"/>
                <w:szCs w:val="24"/>
              </w:rPr>
              <w:t xml:space="preserve">Building by-Laws (UBBL1984) providing a </w:t>
            </w:r>
            <w:r w:rsidR="00564A25">
              <w:rPr>
                <w:rFonts w:ascii="Arial" w:hAnsi="Arial" w:cs="Arial"/>
                <w:iCs/>
                <w:sz w:val="24"/>
                <w:szCs w:val="24"/>
              </w:rPr>
              <w:t>checklist</w:t>
            </w:r>
            <w:r w:rsidR="00564A25" w:rsidRPr="003E4C5E">
              <w:rPr>
                <w:rFonts w:ascii="Arial" w:hAnsi="Arial" w:cs="Arial"/>
                <w:iCs/>
                <w:sz w:val="24"/>
                <w:szCs w:val="24"/>
              </w:rPr>
              <w:t xml:space="preserve"> based on MS 1184:2017, Universal Design and Accessibility in Built</w:t>
            </w:r>
            <w:r w:rsidR="00564A25">
              <w:rPr>
                <w:rFonts w:ascii="Arial" w:hAnsi="Arial" w:cs="Arial"/>
                <w:iCs/>
                <w:sz w:val="24"/>
                <w:szCs w:val="24"/>
              </w:rPr>
              <w:t>-</w:t>
            </w:r>
            <w:r w:rsidR="00564A25" w:rsidRPr="003E4C5E">
              <w:rPr>
                <w:rFonts w:ascii="Arial" w:hAnsi="Arial" w:cs="Arial"/>
                <w:iCs/>
                <w:sz w:val="24"/>
                <w:szCs w:val="24"/>
              </w:rPr>
              <w:t xml:space="preserve">Code of Practice </w:t>
            </w:r>
            <w:r w:rsidR="00564A25" w:rsidRPr="003E4C5E">
              <w:rPr>
                <w:rFonts w:ascii="Arial" w:hAnsi="Arial" w:cs="Arial"/>
                <w:sz w:val="24"/>
                <w:szCs w:val="24"/>
              </w:rPr>
              <w:t xml:space="preserve">to facilitate </w:t>
            </w:r>
            <w:r w:rsidR="00564A25">
              <w:rPr>
                <w:rFonts w:ascii="Arial" w:hAnsi="Arial" w:cs="Arial"/>
                <w:sz w:val="24"/>
                <w:szCs w:val="24"/>
              </w:rPr>
              <w:t xml:space="preserve">local government in giving </w:t>
            </w:r>
            <w:r w:rsidR="00564A25" w:rsidRPr="00973E33">
              <w:rPr>
                <w:rFonts w:ascii="Arial" w:hAnsi="Arial" w:cs="Arial"/>
                <w:sz w:val="24"/>
                <w:szCs w:val="24"/>
              </w:rPr>
              <w:t>development approval to the developer to build infrastructure with accessible good facilities for the Persons with Disabilities (PwDs) and the elderly, buildings for various use at public facilities, recreational and tourist spots and public infrastructure.</w:t>
            </w:r>
          </w:p>
          <w:p w:rsidR="00953812" w:rsidRPr="00FF54D5" w:rsidRDefault="00953812" w:rsidP="00564A25">
            <w:pPr>
              <w:jc w:val="both"/>
              <w:rPr>
                <w:rFonts w:ascii="Arial" w:hAnsi="Arial" w:cs="Arial"/>
                <w:sz w:val="24"/>
                <w:szCs w:val="24"/>
              </w:rPr>
            </w:pPr>
          </w:p>
        </w:tc>
      </w:tr>
      <w:tr w:rsidR="00026AEC" w:rsidTr="00026AEC">
        <w:tc>
          <w:tcPr>
            <w:tcW w:w="704" w:type="dxa"/>
          </w:tcPr>
          <w:p w:rsidR="00026AEC" w:rsidRDefault="00026AEC" w:rsidP="002F444B">
            <w:pPr>
              <w:pStyle w:val="NormalWeb"/>
              <w:widowControl/>
              <w:snapToGrid w:val="0"/>
              <w:jc w:val="center"/>
              <w:rPr>
                <w:rFonts w:ascii="Arial" w:eastAsia="外交粗仿宋" w:hAnsi="Arial" w:cs="Arial"/>
                <w:b/>
                <w:bCs/>
                <w:color w:val="000000" w:themeColor="text1"/>
                <w:szCs w:val="24"/>
              </w:rPr>
            </w:pPr>
            <w:r>
              <w:rPr>
                <w:rFonts w:ascii="Arial" w:eastAsia="外交粗仿宋" w:hAnsi="Arial" w:cs="Arial"/>
                <w:b/>
                <w:bCs/>
                <w:color w:val="000000" w:themeColor="text1"/>
                <w:szCs w:val="24"/>
              </w:rPr>
              <w:t>2</w:t>
            </w:r>
          </w:p>
        </w:tc>
        <w:tc>
          <w:tcPr>
            <w:tcW w:w="6095" w:type="dxa"/>
          </w:tcPr>
          <w:p w:rsidR="00026AEC" w:rsidRDefault="00026AEC" w:rsidP="00026AEC">
            <w:pPr>
              <w:pStyle w:val="NormalWeb"/>
              <w:widowControl/>
              <w:snapToGrid w:val="0"/>
              <w:rPr>
                <w:rFonts w:ascii="Arial" w:hAnsi="Arial" w:cs="Arial"/>
                <w:color w:val="000000"/>
                <w:shd w:val="clear" w:color="auto" w:fill="FFFFFF"/>
              </w:rPr>
            </w:pPr>
            <w:r>
              <w:rPr>
                <w:rFonts w:ascii="Arial" w:hAnsi="Arial" w:cs="Arial"/>
                <w:color w:val="000000"/>
                <w:shd w:val="clear" w:color="auto" w:fill="FFFFFF"/>
              </w:rPr>
              <w:t>Effective methods to foster cooperation between local government and local stakeholders for the promotion of human rights, including reference to local government programmes</w:t>
            </w:r>
          </w:p>
          <w:p w:rsidR="00026AEC" w:rsidRDefault="00026AEC" w:rsidP="00026AEC">
            <w:pPr>
              <w:pStyle w:val="NormalWeb"/>
              <w:widowControl/>
              <w:snapToGrid w:val="0"/>
              <w:rPr>
                <w:rFonts w:ascii="Arial" w:eastAsia="外交粗仿宋" w:hAnsi="Arial" w:cs="Arial"/>
                <w:b/>
                <w:bCs/>
                <w:color w:val="000000" w:themeColor="text1"/>
                <w:szCs w:val="24"/>
              </w:rPr>
            </w:pPr>
          </w:p>
        </w:tc>
        <w:tc>
          <w:tcPr>
            <w:tcW w:w="7149" w:type="dxa"/>
          </w:tcPr>
          <w:p w:rsidR="005500B8" w:rsidRDefault="005500B8" w:rsidP="00550EE6">
            <w:pPr>
              <w:jc w:val="both"/>
              <w:rPr>
                <w:rFonts w:ascii="Arial" w:hAnsi="Arial" w:cs="Arial"/>
                <w:bCs/>
                <w:sz w:val="24"/>
                <w:szCs w:val="28"/>
                <w:lang w:val="ms-BN"/>
              </w:rPr>
            </w:pPr>
            <w:r>
              <w:rPr>
                <w:rFonts w:ascii="Arial" w:hAnsi="Arial" w:cs="Arial"/>
                <w:bCs/>
                <w:sz w:val="24"/>
                <w:szCs w:val="28"/>
                <w:lang w:val="ms-BN"/>
              </w:rPr>
              <w:t>The Local Government of Malaysia has a mechanism of cooperation between Federal dan State government based on the</w:t>
            </w:r>
          </w:p>
          <w:p w:rsidR="00FF54D5" w:rsidRDefault="005500B8" w:rsidP="00550EE6">
            <w:pPr>
              <w:jc w:val="both"/>
              <w:rPr>
                <w:rFonts w:ascii="Arial" w:hAnsi="Arial" w:cs="Arial"/>
                <w:color w:val="000000"/>
                <w:sz w:val="24"/>
                <w:szCs w:val="28"/>
                <w:lang w:val="ms-BN"/>
              </w:rPr>
            </w:pPr>
            <w:r w:rsidRPr="005500B8">
              <w:rPr>
                <w:rFonts w:ascii="Arial" w:hAnsi="Arial" w:cs="Arial"/>
                <w:color w:val="000000"/>
                <w:sz w:val="24"/>
                <w:szCs w:val="28"/>
                <w:lang w:val="ms-BN"/>
              </w:rPr>
              <w:t xml:space="preserve">Article 76 (4) of the Federal Constitution </w:t>
            </w:r>
            <w:r w:rsidR="00FF54D5">
              <w:rPr>
                <w:rFonts w:ascii="Arial" w:hAnsi="Arial" w:cs="Arial"/>
                <w:color w:val="000000"/>
                <w:sz w:val="24"/>
                <w:szCs w:val="28"/>
                <w:lang w:val="ms-BN"/>
              </w:rPr>
              <w:t xml:space="preserve">which </w:t>
            </w:r>
            <w:r w:rsidRPr="005500B8">
              <w:rPr>
                <w:rFonts w:ascii="Arial" w:hAnsi="Arial" w:cs="Arial"/>
                <w:color w:val="000000"/>
                <w:sz w:val="24"/>
                <w:szCs w:val="28"/>
                <w:lang w:val="ms-BN"/>
              </w:rPr>
              <w:t xml:space="preserve">empowers the Parliament to </w:t>
            </w:r>
            <w:r w:rsidR="00020356">
              <w:rPr>
                <w:rFonts w:ascii="Arial" w:hAnsi="Arial" w:cs="Arial"/>
                <w:color w:val="000000"/>
                <w:sz w:val="24"/>
                <w:szCs w:val="28"/>
                <w:lang w:val="ms-BN"/>
              </w:rPr>
              <w:t>standardise</w:t>
            </w:r>
            <w:r w:rsidRPr="005500B8">
              <w:rPr>
                <w:rFonts w:ascii="Arial" w:hAnsi="Arial" w:cs="Arial"/>
                <w:color w:val="000000"/>
                <w:sz w:val="24"/>
                <w:szCs w:val="28"/>
                <w:lang w:val="ms-BN"/>
              </w:rPr>
              <w:t xml:space="preserve"> laws and policies in relation with the local government. </w:t>
            </w:r>
          </w:p>
          <w:p w:rsidR="00FF54D5" w:rsidRDefault="00FF54D5" w:rsidP="00550EE6">
            <w:pPr>
              <w:jc w:val="both"/>
              <w:rPr>
                <w:rFonts w:ascii="Arial" w:hAnsi="Arial" w:cs="Arial"/>
                <w:color w:val="000000"/>
                <w:sz w:val="24"/>
                <w:szCs w:val="28"/>
                <w:lang w:val="ms-BN"/>
              </w:rPr>
            </w:pPr>
          </w:p>
          <w:p w:rsidR="005500B8" w:rsidRPr="005500B8" w:rsidRDefault="00FF54D5" w:rsidP="00550EE6">
            <w:pPr>
              <w:jc w:val="both"/>
              <w:rPr>
                <w:rFonts w:ascii="Arial" w:hAnsi="Arial" w:cs="Arial"/>
                <w:bCs/>
                <w:szCs w:val="28"/>
                <w:lang w:val="ms-BN"/>
              </w:rPr>
            </w:pPr>
            <w:r>
              <w:rPr>
                <w:rFonts w:ascii="Arial" w:hAnsi="Arial" w:cs="Arial"/>
                <w:color w:val="000000"/>
                <w:sz w:val="24"/>
                <w:szCs w:val="28"/>
                <w:lang w:val="ms-BN"/>
              </w:rPr>
              <w:t xml:space="preserve">Article 95A, sub-section (5), </w:t>
            </w:r>
            <w:r w:rsidR="005500B8" w:rsidRPr="005500B8">
              <w:rPr>
                <w:rFonts w:ascii="Arial" w:hAnsi="Arial" w:cs="Arial"/>
                <w:color w:val="000000"/>
                <w:sz w:val="24"/>
                <w:szCs w:val="28"/>
                <w:lang w:val="ms-BN"/>
              </w:rPr>
              <w:t xml:space="preserve">(6) and (7) of Federal Constitution clearly explained on the role and function of the </w:t>
            </w:r>
            <w:r w:rsidR="005500B8" w:rsidRPr="005500B8">
              <w:rPr>
                <w:rFonts w:ascii="Arial" w:hAnsi="Arial" w:cs="Arial"/>
                <w:bCs/>
                <w:color w:val="000000"/>
                <w:sz w:val="24"/>
                <w:szCs w:val="28"/>
                <w:lang w:val="ms-BN"/>
              </w:rPr>
              <w:t>National Council for Local Government</w:t>
            </w:r>
            <w:r w:rsidR="005500B8" w:rsidRPr="005500B8">
              <w:rPr>
                <w:rFonts w:ascii="Arial" w:hAnsi="Arial" w:cs="Arial"/>
                <w:color w:val="000000"/>
                <w:sz w:val="24"/>
                <w:szCs w:val="28"/>
                <w:lang w:val="ms-BN"/>
              </w:rPr>
              <w:t xml:space="preserve"> (MNKT)</w:t>
            </w:r>
            <w:r w:rsidR="003C7B0F">
              <w:rPr>
                <w:rFonts w:ascii="Arial" w:hAnsi="Arial" w:cs="Arial"/>
                <w:color w:val="000000"/>
                <w:sz w:val="24"/>
                <w:szCs w:val="28"/>
                <w:lang w:val="ms-BN"/>
              </w:rPr>
              <w:t xml:space="preserve">. Therefore, any matter pertaining to the local government </w:t>
            </w:r>
            <w:r w:rsidR="00044909">
              <w:rPr>
                <w:rFonts w:ascii="Arial" w:hAnsi="Arial" w:cs="Arial"/>
                <w:color w:val="000000"/>
                <w:sz w:val="24"/>
                <w:szCs w:val="28"/>
                <w:lang w:val="ms-BN"/>
              </w:rPr>
              <w:t>especially policies, guidelines and strategies will be discuss in MNKT. If, there are necessity for the policies and guidelines regarding human right, the r</w:t>
            </w:r>
            <w:r>
              <w:rPr>
                <w:rFonts w:ascii="Arial" w:hAnsi="Arial" w:cs="Arial"/>
                <w:color w:val="000000"/>
                <w:sz w:val="24"/>
                <w:szCs w:val="28"/>
                <w:lang w:val="ms-BN"/>
              </w:rPr>
              <w:t>elated agencies will consult the matters in</w:t>
            </w:r>
            <w:r w:rsidR="00044909">
              <w:rPr>
                <w:rFonts w:ascii="Arial" w:hAnsi="Arial" w:cs="Arial"/>
                <w:color w:val="000000"/>
                <w:sz w:val="24"/>
                <w:szCs w:val="28"/>
                <w:lang w:val="ms-BN"/>
              </w:rPr>
              <w:t xml:space="preserve"> MNKT.</w:t>
            </w:r>
          </w:p>
          <w:p w:rsidR="00026AEC" w:rsidRDefault="00026AEC" w:rsidP="00044909">
            <w:pPr>
              <w:jc w:val="both"/>
              <w:rPr>
                <w:rFonts w:ascii="Arial" w:eastAsia="外交粗仿宋" w:hAnsi="Arial" w:cs="Arial"/>
                <w:b/>
                <w:bCs/>
                <w:color w:val="000000" w:themeColor="text1"/>
                <w:szCs w:val="24"/>
              </w:rPr>
            </w:pPr>
          </w:p>
        </w:tc>
      </w:tr>
      <w:tr w:rsidR="00026AEC" w:rsidTr="00026AEC">
        <w:tc>
          <w:tcPr>
            <w:tcW w:w="704" w:type="dxa"/>
          </w:tcPr>
          <w:p w:rsidR="00026AEC" w:rsidRDefault="00026AEC" w:rsidP="002F444B">
            <w:pPr>
              <w:pStyle w:val="NormalWeb"/>
              <w:widowControl/>
              <w:snapToGrid w:val="0"/>
              <w:jc w:val="center"/>
              <w:rPr>
                <w:rFonts w:ascii="Arial" w:eastAsia="外交粗仿宋" w:hAnsi="Arial" w:cs="Arial"/>
                <w:b/>
                <w:bCs/>
                <w:color w:val="000000" w:themeColor="text1"/>
                <w:szCs w:val="24"/>
              </w:rPr>
            </w:pPr>
            <w:r>
              <w:rPr>
                <w:rFonts w:ascii="Arial" w:eastAsia="外交粗仿宋" w:hAnsi="Arial" w:cs="Arial"/>
                <w:b/>
                <w:bCs/>
                <w:color w:val="000000" w:themeColor="text1"/>
                <w:szCs w:val="24"/>
              </w:rPr>
              <w:t>3</w:t>
            </w:r>
          </w:p>
        </w:tc>
        <w:tc>
          <w:tcPr>
            <w:tcW w:w="6095" w:type="dxa"/>
          </w:tcPr>
          <w:p w:rsidR="00026AEC" w:rsidRDefault="00026AEC" w:rsidP="00026AEC">
            <w:pPr>
              <w:pStyle w:val="NormalWeb"/>
              <w:widowControl/>
              <w:snapToGrid w:val="0"/>
              <w:rPr>
                <w:rFonts w:ascii="Arial" w:hAnsi="Arial" w:cs="Arial"/>
                <w:color w:val="000000"/>
                <w:shd w:val="clear" w:color="auto" w:fill="FFFFFF"/>
              </w:rPr>
            </w:pPr>
            <w:r>
              <w:rPr>
                <w:rFonts w:ascii="Arial" w:hAnsi="Arial" w:cs="Arial"/>
                <w:color w:val="000000"/>
                <w:shd w:val="clear" w:color="auto" w:fill="FFFFFF"/>
              </w:rPr>
              <w:t>Ways in which local governments connected with the UN human rights system i.e. Universal Periodic Review (UPR) and the work of human rights treaties and Special Procedures of the HRC and the implementation of their recommendations</w:t>
            </w:r>
          </w:p>
          <w:p w:rsidR="00026AEC" w:rsidRDefault="00026AEC" w:rsidP="00026AEC">
            <w:pPr>
              <w:pStyle w:val="NormalWeb"/>
              <w:widowControl/>
              <w:snapToGrid w:val="0"/>
              <w:rPr>
                <w:rFonts w:ascii="Arial" w:eastAsia="外交粗仿宋" w:hAnsi="Arial" w:cs="Arial"/>
                <w:b/>
                <w:bCs/>
                <w:color w:val="000000" w:themeColor="text1"/>
                <w:szCs w:val="24"/>
              </w:rPr>
            </w:pPr>
          </w:p>
        </w:tc>
        <w:tc>
          <w:tcPr>
            <w:tcW w:w="7149" w:type="dxa"/>
          </w:tcPr>
          <w:p w:rsidR="00973E33" w:rsidRPr="00973E33" w:rsidRDefault="00973E33" w:rsidP="00973E33">
            <w:pPr>
              <w:pStyle w:val="NormalWeb"/>
              <w:widowControl/>
              <w:snapToGrid w:val="0"/>
              <w:rPr>
                <w:rFonts w:ascii="Arial" w:eastAsia="外交粗仿宋" w:hAnsi="Arial" w:cs="Arial"/>
                <w:bCs/>
                <w:color w:val="000000" w:themeColor="text1"/>
                <w:szCs w:val="24"/>
              </w:rPr>
            </w:pPr>
            <w:r w:rsidRPr="00973E33">
              <w:rPr>
                <w:rFonts w:ascii="Arial" w:eastAsia="外交粗仿宋" w:hAnsi="Arial" w:cs="Arial"/>
                <w:bCs/>
                <w:color w:val="000000" w:themeColor="text1"/>
                <w:szCs w:val="24"/>
              </w:rPr>
              <w:t xml:space="preserve">Local Governments has taken action in human right system in Universal Periodic Review (UPR) especially Cluster 4: Women, Children and Persons with Disabilities. There </w:t>
            </w:r>
            <w:r w:rsidR="00020356">
              <w:rPr>
                <w:rFonts w:ascii="Arial" w:eastAsia="外交粗仿宋" w:hAnsi="Arial" w:cs="Arial"/>
                <w:bCs/>
                <w:color w:val="000000" w:themeColor="text1"/>
                <w:szCs w:val="24"/>
              </w:rPr>
              <w:t xml:space="preserve">is </w:t>
            </w:r>
            <w:r w:rsidRPr="00973E33">
              <w:rPr>
                <w:rFonts w:ascii="Arial" w:hAnsi="Arial" w:cs="Arial"/>
                <w:lang w:val="en-GB"/>
              </w:rPr>
              <w:t xml:space="preserve">a policy </w:t>
            </w:r>
            <w:r w:rsidR="00020356">
              <w:rPr>
                <w:rFonts w:ascii="Arial" w:hAnsi="Arial" w:cs="Arial"/>
                <w:lang w:val="en-GB"/>
              </w:rPr>
              <w:t>which requires</w:t>
            </w:r>
            <w:r w:rsidRPr="00973E33">
              <w:rPr>
                <w:rFonts w:ascii="Arial" w:hAnsi="Arial" w:cs="Arial"/>
                <w:lang w:val="en-GB"/>
              </w:rPr>
              <w:t xml:space="preserve"> at least 30% women as a </w:t>
            </w:r>
            <w:r>
              <w:rPr>
                <w:rFonts w:ascii="Arial" w:hAnsi="Arial" w:cs="Arial"/>
                <w:lang w:val="en-GB"/>
              </w:rPr>
              <w:t>Councillor</w:t>
            </w:r>
            <w:r w:rsidR="00020356">
              <w:rPr>
                <w:rFonts w:ascii="Arial" w:hAnsi="Arial" w:cs="Arial"/>
                <w:lang w:val="en-GB"/>
              </w:rPr>
              <w:t>s</w:t>
            </w:r>
            <w:r>
              <w:rPr>
                <w:rFonts w:ascii="Arial" w:hAnsi="Arial" w:cs="Arial"/>
                <w:lang w:val="en-GB"/>
              </w:rPr>
              <w:t xml:space="preserve"> in Local Government. </w:t>
            </w:r>
            <w:r w:rsidRPr="00015335">
              <w:rPr>
                <w:rFonts w:ascii="Arial" w:hAnsi="Arial" w:cs="Arial"/>
                <w:bCs/>
                <w:lang w:val="en-GB"/>
              </w:rPr>
              <w:t xml:space="preserve">The Government has also prepared the Universal Design Planning Guideline to support the promotion and protection of the rights of </w:t>
            </w:r>
            <w:r>
              <w:rPr>
                <w:rFonts w:ascii="Arial" w:hAnsi="Arial" w:cs="Arial"/>
                <w:bCs/>
                <w:lang w:val="en-GB"/>
              </w:rPr>
              <w:t>Person with Disabilities (</w:t>
            </w:r>
            <w:r w:rsidRPr="00015335">
              <w:rPr>
                <w:rFonts w:ascii="Arial" w:hAnsi="Arial" w:cs="Arial"/>
                <w:bCs/>
                <w:lang w:val="en-GB"/>
              </w:rPr>
              <w:t>PWDs</w:t>
            </w:r>
            <w:r>
              <w:rPr>
                <w:rFonts w:ascii="Arial" w:hAnsi="Arial" w:cs="Arial"/>
                <w:bCs/>
                <w:lang w:val="en-GB"/>
              </w:rPr>
              <w:t>) under the section 34A Uniform Building By-Laws (UBBL</w:t>
            </w:r>
            <w:r w:rsidRPr="00211C87">
              <w:rPr>
                <w:rFonts w:ascii="Arial" w:hAnsi="Arial" w:cs="Arial"/>
                <w:bCs/>
                <w:lang w:val="en-GB"/>
              </w:rPr>
              <w:t xml:space="preserve"> 1984</w:t>
            </w:r>
            <w:r>
              <w:rPr>
                <w:rFonts w:ascii="Arial" w:hAnsi="Arial" w:cs="Arial"/>
                <w:bCs/>
                <w:lang w:val="en-GB"/>
              </w:rPr>
              <w:t>).</w:t>
            </w:r>
          </w:p>
          <w:p w:rsidR="00973E33" w:rsidRDefault="00973E33" w:rsidP="00973E33">
            <w:pPr>
              <w:pStyle w:val="NormalWeb"/>
              <w:widowControl/>
              <w:snapToGrid w:val="0"/>
              <w:rPr>
                <w:rFonts w:ascii="Arial" w:eastAsia="外交粗仿宋" w:hAnsi="Arial" w:cs="Arial"/>
                <w:b/>
                <w:bCs/>
                <w:color w:val="000000" w:themeColor="text1"/>
                <w:szCs w:val="24"/>
              </w:rPr>
            </w:pPr>
          </w:p>
        </w:tc>
      </w:tr>
      <w:tr w:rsidR="00026AEC" w:rsidTr="00026AEC">
        <w:tc>
          <w:tcPr>
            <w:tcW w:w="704" w:type="dxa"/>
          </w:tcPr>
          <w:p w:rsidR="00026AEC" w:rsidRDefault="00026AEC" w:rsidP="002F444B">
            <w:pPr>
              <w:pStyle w:val="NormalWeb"/>
              <w:widowControl/>
              <w:snapToGrid w:val="0"/>
              <w:jc w:val="center"/>
              <w:rPr>
                <w:rFonts w:ascii="Arial" w:eastAsia="外交粗仿宋" w:hAnsi="Arial" w:cs="Arial"/>
                <w:b/>
                <w:bCs/>
                <w:color w:val="000000" w:themeColor="text1"/>
                <w:szCs w:val="24"/>
              </w:rPr>
            </w:pPr>
            <w:r>
              <w:rPr>
                <w:rFonts w:ascii="Arial" w:eastAsia="外交粗仿宋" w:hAnsi="Arial" w:cs="Arial"/>
                <w:b/>
                <w:bCs/>
                <w:color w:val="000000" w:themeColor="text1"/>
                <w:szCs w:val="24"/>
              </w:rPr>
              <w:t>4</w:t>
            </w:r>
          </w:p>
        </w:tc>
        <w:tc>
          <w:tcPr>
            <w:tcW w:w="6095" w:type="dxa"/>
          </w:tcPr>
          <w:p w:rsidR="00026AEC" w:rsidRDefault="00026AEC" w:rsidP="00026AEC">
            <w:pPr>
              <w:pStyle w:val="NormalWeb"/>
              <w:widowControl/>
              <w:snapToGrid w:val="0"/>
              <w:rPr>
                <w:rFonts w:ascii="Arial" w:hAnsi="Arial" w:cs="Arial"/>
                <w:color w:val="000000"/>
                <w:shd w:val="clear" w:color="auto" w:fill="FFFFFF"/>
              </w:rPr>
            </w:pPr>
            <w:r>
              <w:rPr>
                <w:rFonts w:ascii="Arial" w:hAnsi="Arial" w:cs="Arial"/>
                <w:color w:val="000000"/>
                <w:shd w:val="clear" w:color="auto" w:fill="FFFFFF"/>
              </w:rPr>
              <w:t>Ways in local governments raising awareness about, and contribute to the implementation of the SDG 2030 and the New Urban Agenda including by ensuring participation by local stakeholders</w:t>
            </w:r>
          </w:p>
          <w:p w:rsidR="00026AEC" w:rsidRDefault="00026AEC" w:rsidP="00026AEC">
            <w:pPr>
              <w:pStyle w:val="NormalWeb"/>
              <w:widowControl/>
              <w:snapToGrid w:val="0"/>
              <w:rPr>
                <w:rFonts w:ascii="Arial" w:eastAsia="外交粗仿宋" w:hAnsi="Arial" w:cs="Arial"/>
                <w:b/>
                <w:bCs/>
                <w:color w:val="000000" w:themeColor="text1"/>
                <w:szCs w:val="24"/>
              </w:rPr>
            </w:pPr>
          </w:p>
        </w:tc>
        <w:tc>
          <w:tcPr>
            <w:tcW w:w="7149" w:type="dxa"/>
          </w:tcPr>
          <w:p w:rsidR="00601821" w:rsidRDefault="00601821" w:rsidP="007112EB">
            <w:pPr>
              <w:jc w:val="both"/>
              <w:rPr>
                <w:rFonts w:ascii="Arial" w:hAnsi="Arial" w:cs="Arial"/>
                <w:color w:val="000000"/>
                <w:sz w:val="24"/>
                <w:szCs w:val="28"/>
                <w:lang w:val="ms-BN"/>
              </w:rPr>
            </w:pPr>
            <w:r>
              <w:rPr>
                <w:rFonts w:ascii="Arial" w:hAnsi="Arial" w:cs="Arial"/>
                <w:color w:val="000000"/>
                <w:sz w:val="24"/>
                <w:szCs w:val="28"/>
                <w:lang w:val="ms-BN"/>
              </w:rPr>
              <w:t xml:space="preserve">Federal government </w:t>
            </w:r>
            <w:r w:rsidR="00044909">
              <w:rPr>
                <w:rFonts w:ascii="Arial" w:hAnsi="Arial" w:cs="Arial"/>
                <w:color w:val="000000"/>
                <w:sz w:val="24"/>
                <w:szCs w:val="28"/>
                <w:lang w:val="ms-BN"/>
              </w:rPr>
              <w:t>develop</w:t>
            </w:r>
            <w:r>
              <w:rPr>
                <w:rFonts w:ascii="Arial" w:hAnsi="Arial" w:cs="Arial"/>
                <w:color w:val="000000"/>
                <w:sz w:val="24"/>
                <w:szCs w:val="28"/>
                <w:lang w:val="ms-BN"/>
              </w:rPr>
              <w:t xml:space="preserve"> policy on SDG</w:t>
            </w:r>
            <w:r w:rsidR="00044909">
              <w:rPr>
                <w:rFonts w:ascii="Arial" w:hAnsi="Arial" w:cs="Arial"/>
                <w:color w:val="000000"/>
                <w:sz w:val="24"/>
                <w:szCs w:val="28"/>
                <w:lang w:val="ms-BN"/>
              </w:rPr>
              <w:t xml:space="preserve"> </w:t>
            </w:r>
            <w:r>
              <w:rPr>
                <w:rFonts w:ascii="Arial" w:hAnsi="Arial" w:cs="Arial"/>
                <w:color w:val="000000"/>
                <w:sz w:val="24"/>
                <w:szCs w:val="28"/>
                <w:lang w:val="ms-BN"/>
              </w:rPr>
              <w:t>and NUA whereas</w:t>
            </w:r>
            <w:r w:rsidR="00044909">
              <w:rPr>
                <w:rFonts w:ascii="Arial" w:hAnsi="Arial" w:cs="Arial"/>
                <w:color w:val="000000"/>
                <w:sz w:val="24"/>
                <w:szCs w:val="28"/>
                <w:lang w:val="ms-BN"/>
              </w:rPr>
              <w:t xml:space="preserve"> </w:t>
            </w:r>
            <w:r>
              <w:rPr>
                <w:rFonts w:ascii="Arial" w:hAnsi="Arial" w:cs="Arial"/>
                <w:color w:val="000000"/>
                <w:sz w:val="24"/>
                <w:szCs w:val="28"/>
                <w:lang w:val="ms-BN"/>
              </w:rPr>
              <w:t xml:space="preserve"> </w:t>
            </w:r>
          </w:p>
          <w:p w:rsidR="002E3A8B" w:rsidRPr="007432E1" w:rsidRDefault="00774AE1" w:rsidP="002E3A8B">
            <w:pPr>
              <w:jc w:val="both"/>
              <w:rPr>
                <w:sz w:val="24"/>
                <w:szCs w:val="24"/>
              </w:rPr>
            </w:pPr>
            <w:r>
              <w:rPr>
                <w:rFonts w:ascii="Arial" w:hAnsi="Arial" w:cs="Arial"/>
                <w:color w:val="000000"/>
                <w:sz w:val="24"/>
                <w:szCs w:val="28"/>
                <w:lang w:val="ms-BN"/>
              </w:rPr>
              <w:t xml:space="preserve">State and </w:t>
            </w:r>
            <w:r w:rsidR="00020356">
              <w:rPr>
                <w:rFonts w:ascii="Arial" w:hAnsi="Arial" w:cs="Arial"/>
                <w:color w:val="000000"/>
                <w:sz w:val="24"/>
                <w:szCs w:val="28"/>
                <w:lang w:val="ms-BN"/>
              </w:rPr>
              <w:t>L</w:t>
            </w:r>
            <w:r w:rsidR="00FF54D5">
              <w:rPr>
                <w:rFonts w:ascii="Arial" w:hAnsi="Arial" w:cs="Arial"/>
                <w:color w:val="000000"/>
                <w:sz w:val="24"/>
                <w:szCs w:val="28"/>
                <w:lang w:val="ms-BN"/>
              </w:rPr>
              <w:t>ocal G</w:t>
            </w:r>
            <w:r>
              <w:rPr>
                <w:rFonts w:ascii="Arial" w:hAnsi="Arial" w:cs="Arial"/>
                <w:color w:val="000000"/>
                <w:sz w:val="24"/>
                <w:szCs w:val="28"/>
                <w:lang w:val="ms-BN"/>
              </w:rPr>
              <w:t xml:space="preserve">overnment adopting and implementing SDG and NUA principles </w:t>
            </w:r>
            <w:r w:rsidR="004168D8">
              <w:rPr>
                <w:rFonts w:ascii="Arial" w:hAnsi="Arial" w:cs="Arial"/>
                <w:color w:val="000000"/>
                <w:sz w:val="24"/>
                <w:szCs w:val="28"/>
                <w:lang w:val="ms-BN"/>
              </w:rPr>
              <w:t xml:space="preserve">with </w:t>
            </w:r>
            <w:r w:rsidR="00FF54D5">
              <w:rPr>
                <w:rFonts w:ascii="Arial" w:hAnsi="Arial" w:cs="Arial"/>
                <w:color w:val="000000"/>
                <w:sz w:val="24"/>
                <w:szCs w:val="28"/>
                <w:lang w:val="ms-BN"/>
              </w:rPr>
              <w:t xml:space="preserve">public </w:t>
            </w:r>
            <w:r w:rsidR="004168D8">
              <w:rPr>
                <w:rFonts w:ascii="Arial" w:hAnsi="Arial" w:cs="Arial"/>
                <w:color w:val="000000"/>
                <w:sz w:val="24"/>
                <w:szCs w:val="28"/>
                <w:lang w:val="ms-BN"/>
              </w:rPr>
              <w:t>programmes</w:t>
            </w:r>
            <w:r w:rsidR="00FF54D5">
              <w:rPr>
                <w:rFonts w:ascii="Arial" w:hAnsi="Arial" w:cs="Arial"/>
                <w:color w:val="000000"/>
                <w:sz w:val="24"/>
                <w:szCs w:val="28"/>
                <w:lang w:val="ms-BN"/>
              </w:rPr>
              <w:t xml:space="preserve"> and activities</w:t>
            </w:r>
            <w:r w:rsidR="004168D8">
              <w:rPr>
                <w:rFonts w:ascii="Arial" w:hAnsi="Arial" w:cs="Arial"/>
                <w:color w:val="000000"/>
                <w:sz w:val="24"/>
                <w:szCs w:val="28"/>
                <w:lang w:val="ms-BN"/>
              </w:rPr>
              <w:t xml:space="preserve"> such as </w:t>
            </w:r>
            <w:r w:rsidR="00FF54D5">
              <w:rPr>
                <w:rFonts w:ascii="Arial" w:hAnsi="Arial" w:cs="Arial"/>
                <w:sz w:val="24"/>
                <w:szCs w:val="24"/>
              </w:rPr>
              <w:t xml:space="preserve">go-green initiatives, </w:t>
            </w:r>
            <w:r w:rsidR="002E3A8B" w:rsidRPr="007432E1">
              <w:rPr>
                <w:rFonts w:ascii="Arial" w:hAnsi="Arial" w:cs="Arial"/>
                <w:sz w:val="24"/>
                <w:szCs w:val="24"/>
              </w:rPr>
              <w:t xml:space="preserve">rain water harvesting, free public city bus with low </w:t>
            </w:r>
            <w:r w:rsidR="00FF54D5">
              <w:rPr>
                <w:rFonts w:ascii="Arial" w:hAnsi="Arial" w:cs="Arial"/>
                <w:sz w:val="24"/>
                <w:szCs w:val="24"/>
              </w:rPr>
              <w:t>carbon emission, standard</w:t>
            </w:r>
            <w:r w:rsidR="002E3A8B" w:rsidRPr="007432E1">
              <w:rPr>
                <w:rFonts w:ascii="Arial" w:hAnsi="Arial" w:cs="Arial"/>
                <w:sz w:val="24"/>
                <w:szCs w:val="24"/>
              </w:rPr>
              <w:t xml:space="preserve"> schedule</w:t>
            </w:r>
            <w:r w:rsidR="00FF54D5">
              <w:rPr>
                <w:rFonts w:ascii="Arial" w:hAnsi="Arial" w:cs="Arial"/>
                <w:sz w:val="24"/>
                <w:szCs w:val="24"/>
              </w:rPr>
              <w:t>d</w:t>
            </w:r>
            <w:r w:rsidR="002E3A8B" w:rsidRPr="007432E1">
              <w:rPr>
                <w:rFonts w:ascii="Arial" w:hAnsi="Arial" w:cs="Arial"/>
                <w:sz w:val="24"/>
                <w:szCs w:val="24"/>
              </w:rPr>
              <w:t xml:space="preserve"> waste collection</w:t>
            </w:r>
            <w:r w:rsidR="00356646">
              <w:rPr>
                <w:rFonts w:ascii="Arial" w:hAnsi="Arial" w:cs="Arial"/>
                <w:sz w:val="24"/>
                <w:szCs w:val="24"/>
              </w:rPr>
              <w:t xml:space="preserve"> and upgrading facilities for PwD.</w:t>
            </w:r>
          </w:p>
          <w:p w:rsidR="00973E33" w:rsidRDefault="00973E33" w:rsidP="007112EB">
            <w:pPr>
              <w:jc w:val="both"/>
              <w:rPr>
                <w:rFonts w:ascii="Arial" w:hAnsi="Arial" w:cs="Arial"/>
                <w:sz w:val="24"/>
                <w:szCs w:val="24"/>
                <w:lang w:val="ms-BN"/>
              </w:rPr>
            </w:pPr>
          </w:p>
          <w:p w:rsidR="009D19C9" w:rsidRDefault="009D19C9" w:rsidP="007112EB">
            <w:pPr>
              <w:jc w:val="both"/>
              <w:rPr>
                <w:rFonts w:ascii="Arial" w:hAnsi="Arial" w:cs="Arial"/>
                <w:sz w:val="24"/>
                <w:szCs w:val="24"/>
                <w:lang w:val="ms-BN"/>
              </w:rPr>
            </w:pPr>
          </w:p>
          <w:p w:rsidR="009D19C9" w:rsidRDefault="009D19C9" w:rsidP="007112EB">
            <w:pPr>
              <w:jc w:val="both"/>
              <w:rPr>
                <w:rFonts w:ascii="Arial" w:hAnsi="Arial" w:cs="Arial"/>
                <w:sz w:val="24"/>
                <w:szCs w:val="24"/>
                <w:lang w:val="ms-BN"/>
              </w:rPr>
            </w:pPr>
          </w:p>
          <w:p w:rsidR="009D19C9" w:rsidRDefault="009D19C9" w:rsidP="007112EB">
            <w:pPr>
              <w:jc w:val="both"/>
              <w:rPr>
                <w:rFonts w:ascii="Arial" w:hAnsi="Arial" w:cs="Arial"/>
                <w:sz w:val="24"/>
                <w:szCs w:val="24"/>
                <w:lang w:val="ms-BN"/>
              </w:rPr>
            </w:pPr>
          </w:p>
          <w:p w:rsidR="009D19C9" w:rsidRPr="007432E1" w:rsidRDefault="009D19C9" w:rsidP="007112EB">
            <w:pPr>
              <w:jc w:val="both"/>
              <w:rPr>
                <w:rFonts w:ascii="Arial" w:hAnsi="Arial" w:cs="Arial"/>
                <w:sz w:val="24"/>
                <w:szCs w:val="24"/>
                <w:lang w:val="ms-BN"/>
              </w:rPr>
            </w:pPr>
          </w:p>
          <w:p w:rsidR="00026AEC" w:rsidRDefault="00026AEC" w:rsidP="007112EB">
            <w:pPr>
              <w:pStyle w:val="NormalWeb"/>
              <w:widowControl/>
              <w:snapToGrid w:val="0"/>
              <w:rPr>
                <w:rFonts w:ascii="Arial" w:eastAsia="外交粗仿宋" w:hAnsi="Arial" w:cs="Arial"/>
                <w:b/>
                <w:bCs/>
                <w:color w:val="000000" w:themeColor="text1"/>
                <w:szCs w:val="24"/>
              </w:rPr>
            </w:pPr>
          </w:p>
        </w:tc>
      </w:tr>
    </w:tbl>
    <w:p w:rsidR="00142DD4" w:rsidRPr="000058A6" w:rsidRDefault="00142DD4" w:rsidP="00142DD4">
      <w:pPr>
        <w:spacing w:after="0" w:line="240" w:lineRule="auto"/>
        <w:jc w:val="center"/>
        <w:rPr>
          <w:rFonts w:ascii="Arial" w:hAnsi="Arial" w:cs="Arial"/>
          <w:b/>
          <w:color w:val="000000" w:themeColor="text1"/>
          <w:sz w:val="6"/>
        </w:rPr>
      </w:pPr>
    </w:p>
    <w:p w:rsidR="00D960B8" w:rsidRPr="000058A6" w:rsidRDefault="00D960B8" w:rsidP="00142DD4">
      <w:pPr>
        <w:spacing w:after="0" w:line="240" w:lineRule="auto"/>
        <w:jc w:val="center"/>
        <w:rPr>
          <w:rFonts w:ascii="Arial" w:hAnsi="Arial" w:cs="Arial"/>
          <w:b/>
          <w:color w:val="000000" w:themeColor="text1"/>
          <w:sz w:val="6"/>
        </w:rPr>
      </w:pPr>
    </w:p>
    <w:p w:rsidR="00D960B8" w:rsidRPr="000058A6" w:rsidRDefault="00D960B8" w:rsidP="001F54A6">
      <w:pPr>
        <w:spacing w:after="0" w:line="240" w:lineRule="auto"/>
        <w:rPr>
          <w:rFonts w:ascii="Arial" w:hAnsi="Arial" w:cs="Arial"/>
          <w:b/>
          <w:color w:val="000000" w:themeColor="text1"/>
          <w:sz w:val="6"/>
        </w:rPr>
      </w:pPr>
    </w:p>
    <w:sectPr w:rsidR="00D960B8" w:rsidRPr="000058A6" w:rsidSect="00353172">
      <w:footerReference w:type="default" r:id="rId7"/>
      <w:pgSz w:w="16838" w:h="11906" w:orient="landscape"/>
      <w:pgMar w:top="851" w:right="1440" w:bottom="117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4AE" w:rsidRDefault="003464AE" w:rsidP="00B65DEB">
      <w:pPr>
        <w:spacing w:after="0" w:line="240" w:lineRule="auto"/>
      </w:pPr>
      <w:r>
        <w:separator/>
      </w:r>
    </w:p>
  </w:endnote>
  <w:endnote w:type="continuationSeparator" w:id="0">
    <w:p w:rsidR="003464AE" w:rsidRDefault="003464AE" w:rsidP="00B6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外交粗仿宋">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046593"/>
      <w:docPartObj>
        <w:docPartGallery w:val="Page Numbers (Bottom of Page)"/>
        <w:docPartUnique/>
      </w:docPartObj>
    </w:sdtPr>
    <w:sdtEndPr>
      <w:rPr>
        <w:noProof/>
      </w:rPr>
    </w:sdtEndPr>
    <w:sdtContent>
      <w:p w:rsidR="00B65DEB" w:rsidRDefault="00B65DEB">
        <w:pPr>
          <w:pStyle w:val="Footer"/>
          <w:jc w:val="center"/>
        </w:pPr>
        <w:r>
          <w:fldChar w:fldCharType="begin"/>
        </w:r>
        <w:r>
          <w:instrText xml:space="preserve"> PAGE   \* MERGEFORMAT </w:instrText>
        </w:r>
        <w:r>
          <w:fldChar w:fldCharType="separate"/>
        </w:r>
        <w:r w:rsidR="004D0C52">
          <w:rPr>
            <w:noProof/>
          </w:rPr>
          <w:t>1</w:t>
        </w:r>
        <w:r>
          <w:rPr>
            <w:noProof/>
          </w:rPr>
          <w:fldChar w:fldCharType="end"/>
        </w:r>
      </w:p>
    </w:sdtContent>
  </w:sdt>
  <w:p w:rsidR="00B65DEB" w:rsidRDefault="00B65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4AE" w:rsidRDefault="003464AE" w:rsidP="00B65DEB">
      <w:pPr>
        <w:spacing w:after="0" w:line="240" w:lineRule="auto"/>
      </w:pPr>
      <w:r>
        <w:separator/>
      </w:r>
    </w:p>
  </w:footnote>
  <w:footnote w:type="continuationSeparator" w:id="0">
    <w:p w:rsidR="003464AE" w:rsidRDefault="003464AE" w:rsidP="00B65D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6DCF"/>
    <w:multiLevelType w:val="hybridMultilevel"/>
    <w:tmpl w:val="2026B496"/>
    <w:lvl w:ilvl="0" w:tplc="DD9685FA">
      <w:start w:val="1"/>
      <w:numFmt w:val="decimal"/>
      <w:lvlText w:val="%1."/>
      <w:lvlJc w:val="left"/>
      <w:pPr>
        <w:ind w:left="2880" w:hanging="360"/>
      </w:pPr>
      <w:rPr>
        <w:rFonts w:ascii="Arial" w:hAnsi="Arial" w:cs="Arial" w:hint="default"/>
        <w:sz w:val="28"/>
      </w:rPr>
    </w:lvl>
    <w:lvl w:ilvl="1" w:tplc="44090019">
      <w:start w:val="1"/>
      <w:numFmt w:val="lowerLetter"/>
      <w:lvlText w:val="%2."/>
      <w:lvlJc w:val="left"/>
      <w:pPr>
        <w:ind w:left="3600" w:hanging="360"/>
      </w:pPr>
    </w:lvl>
    <w:lvl w:ilvl="2" w:tplc="4409001B" w:tentative="1">
      <w:start w:val="1"/>
      <w:numFmt w:val="lowerRoman"/>
      <w:lvlText w:val="%3."/>
      <w:lvlJc w:val="right"/>
      <w:pPr>
        <w:ind w:left="4320" w:hanging="180"/>
      </w:pPr>
    </w:lvl>
    <w:lvl w:ilvl="3" w:tplc="4409000F" w:tentative="1">
      <w:start w:val="1"/>
      <w:numFmt w:val="decimal"/>
      <w:lvlText w:val="%4."/>
      <w:lvlJc w:val="left"/>
      <w:pPr>
        <w:ind w:left="5040" w:hanging="360"/>
      </w:pPr>
    </w:lvl>
    <w:lvl w:ilvl="4" w:tplc="44090019" w:tentative="1">
      <w:start w:val="1"/>
      <w:numFmt w:val="lowerLetter"/>
      <w:lvlText w:val="%5."/>
      <w:lvlJc w:val="left"/>
      <w:pPr>
        <w:ind w:left="5760" w:hanging="360"/>
      </w:pPr>
    </w:lvl>
    <w:lvl w:ilvl="5" w:tplc="4409001B" w:tentative="1">
      <w:start w:val="1"/>
      <w:numFmt w:val="lowerRoman"/>
      <w:lvlText w:val="%6."/>
      <w:lvlJc w:val="right"/>
      <w:pPr>
        <w:ind w:left="6480" w:hanging="180"/>
      </w:pPr>
    </w:lvl>
    <w:lvl w:ilvl="6" w:tplc="4409000F" w:tentative="1">
      <w:start w:val="1"/>
      <w:numFmt w:val="decimal"/>
      <w:lvlText w:val="%7."/>
      <w:lvlJc w:val="left"/>
      <w:pPr>
        <w:ind w:left="7200" w:hanging="360"/>
      </w:pPr>
    </w:lvl>
    <w:lvl w:ilvl="7" w:tplc="44090019" w:tentative="1">
      <w:start w:val="1"/>
      <w:numFmt w:val="lowerLetter"/>
      <w:lvlText w:val="%8."/>
      <w:lvlJc w:val="left"/>
      <w:pPr>
        <w:ind w:left="7920" w:hanging="360"/>
      </w:pPr>
    </w:lvl>
    <w:lvl w:ilvl="8" w:tplc="4409001B" w:tentative="1">
      <w:start w:val="1"/>
      <w:numFmt w:val="lowerRoman"/>
      <w:lvlText w:val="%9."/>
      <w:lvlJc w:val="right"/>
      <w:pPr>
        <w:ind w:left="8640" w:hanging="180"/>
      </w:pPr>
    </w:lvl>
  </w:abstractNum>
  <w:abstractNum w:abstractNumId="1" w15:restartNumberingAfterBreak="0">
    <w:nsid w:val="0BE61E38"/>
    <w:multiLevelType w:val="hybridMultilevel"/>
    <w:tmpl w:val="D42C204E"/>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A044C6F"/>
    <w:multiLevelType w:val="hybridMultilevel"/>
    <w:tmpl w:val="F2462542"/>
    <w:lvl w:ilvl="0" w:tplc="6C0EB1FA">
      <w:start w:val="4"/>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51919"/>
    <w:multiLevelType w:val="hybridMultilevel"/>
    <w:tmpl w:val="E69EF8A0"/>
    <w:lvl w:ilvl="0" w:tplc="3A1240EA">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25795F3B"/>
    <w:multiLevelType w:val="hybridMultilevel"/>
    <w:tmpl w:val="3A5EA73A"/>
    <w:lvl w:ilvl="0" w:tplc="CFBC1386">
      <w:start w:val="2"/>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4F14D0"/>
    <w:multiLevelType w:val="hybridMultilevel"/>
    <w:tmpl w:val="593CDB72"/>
    <w:lvl w:ilvl="0" w:tplc="201E62DA">
      <w:start w:val="1"/>
      <w:numFmt w:val="decimal"/>
      <w:lvlText w:val="%1."/>
      <w:lvlJc w:val="left"/>
      <w:pPr>
        <w:ind w:left="360" w:hanging="360"/>
      </w:pPr>
      <w:rPr>
        <w:rFonts w:ascii="Times New Roman" w:hAnsi="Times New Roman" w:cs="Times New Roman" w:hint="default"/>
        <w:b w:val="0"/>
        <w:color w:val="auto"/>
        <w:sz w:val="24"/>
        <w:szCs w:val="24"/>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15:restartNumberingAfterBreak="0">
    <w:nsid w:val="4AA55472"/>
    <w:multiLevelType w:val="hybridMultilevel"/>
    <w:tmpl w:val="AAEE009A"/>
    <w:lvl w:ilvl="0" w:tplc="492A2946">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58086DA5"/>
    <w:multiLevelType w:val="hybridMultilevel"/>
    <w:tmpl w:val="DA9C2266"/>
    <w:lvl w:ilvl="0" w:tplc="CC2A0B22">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646A78A7"/>
    <w:multiLevelType w:val="hybridMultilevel"/>
    <w:tmpl w:val="E02C99EA"/>
    <w:lvl w:ilvl="0" w:tplc="570CBF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E431BE"/>
    <w:multiLevelType w:val="hybridMultilevel"/>
    <w:tmpl w:val="2DAEE226"/>
    <w:lvl w:ilvl="0" w:tplc="78027A52">
      <w:start w:val="1"/>
      <w:numFmt w:val="lowerRoman"/>
      <w:lvlText w:val="%1."/>
      <w:lvlJc w:val="left"/>
      <w:pPr>
        <w:ind w:left="1080" w:hanging="72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75C30993"/>
    <w:multiLevelType w:val="hybridMultilevel"/>
    <w:tmpl w:val="501EE334"/>
    <w:lvl w:ilvl="0" w:tplc="BD0E5EEE">
      <w:start w:val="1"/>
      <w:numFmt w:val="lowerRoman"/>
      <w:lvlText w:val="(%1)"/>
      <w:lvlJc w:val="left"/>
      <w:pPr>
        <w:ind w:left="1080" w:hanging="720"/>
      </w:pPr>
      <w:rPr>
        <w:rFonts w:eastAsiaTheme="minorHAnsi"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75C67C5C"/>
    <w:multiLevelType w:val="hybridMultilevel"/>
    <w:tmpl w:val="15BA02FC"/>
    <w:lvl w:ilvl="0" w:tplc="E5A21B84">
      <w:start w:val="2"/>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11"/>
  </w:num>
  <w:num w:numId="5">
    <w:abstractNumId w:val="7"/>
  </w:num>
  <w:num w:numId="6">
    <w:abstractNumId w:val="6"/>
  </w:num>
  <w:num w:numId="7">
    <w:abstractNumId w:val="5"/>
  </w:num>
  <w:num w:numId="8">
    <w:abstractNumId w:val="1"/>
  </w:num>
  <w:num w:numId="9">
    <w:abstractNumId w:val="9"/>
  </w:num>
  <w:num w:numId="10">
    <w:abstractNumId w:val="3"/>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DD4"/>
    <w:rsid w:val="00004346"/>
    <w:rsid w:val="000058A6"/>
    <w:rsid w:val="00016576"/>
    <w:rsid w:val="00020356"/>
    <w:rsid w:val="00026AEC"/>
    <w:rsid w:val="00041F17"/>
    <w:rsid w:val="00042B34"/>
    <w:rsid w:val="00044909"/>
    <w:rsid w:val="000509E1"/>
    <w:rsid w:val="00055F0C"/>
    <w:rsid w:val="00070B17"/>
    <w:rsid w:val="00092DA4"/>
    <w:rsid w:val="00097EE9"/>
    <w:rsid w:val="000A578B"/>
    <w:rsid w:val="000A7635"/>
    <w:rsid w:val="000A76F5"/>
    <w:rsid w:val="000B1228"/>
    <w:rsid w:val="000B1AD2"/>
    <w:rsid w:val="000B2C28"/>
    <w:rsid w:val="000B5FC3"/>
    <w:rsid w:val="000D733E"/>
    <w:rsid w:val="000F3D81"/>
    <w:rsid w:val="001148BC"/>
    <w:rsid w:val="00116075"/>
    <w:rsid w:val="00120799"/>
    <w:rsid w:val="00142DD4"/>
    <w:rsid w:val="00156393"/>
    <w:rsid w:val="00167510"/>
    <w:rsid w:val="00176D6A"/>
    <w:rsid w:val="001D5A56"/>
    <w:rsid w:val="001E3365"/>
    <w:rsid w:val="001E365A"/>
    <w:rsid w:val="001F54A6"/>
    <w:rsid w:val="00204A16"/>
    <w:rsid w:val="002164B5"/>
    <w:rsid w:val="00231BF7"/>
    <w:rsid w:val="00246350"/>
    <w:rsid w:val="00261A06"/>
    <w:rsid w:val="0026357A"/>
    <w:rsid w:val="00284904"/>
    <w:rsid w:val="00294252"/>
    <w:rsid w:val="002E3A8B"/>
    <w:rsid w:val="002F444B"/>
    <w:rsid w:val="002F567D"/>
    <w:rsid w:val="0031051F"/>
    <w:rsid w:val="003464AE"/>
    <w:rsid w:val="00346741"/>
    <w:rsid w:val="003526F0"/>
    <w:rsid w:val="00353172"/>
    <w:rsid w:val="00356646"/>
    <w:rsid w:val="003614F4"/>
    <w:rsid w:val="00364BAD"/>
    <w:rsid w:val="00367470"/>
    <w:rsid w:val="00386399"/>
    <w:rsid w:val="00387F73"/>
    <w:rsid w:val="003C7B0F"/>
    <w:rsid w:val="003D6392"/>
    <w:rsid w:val="003E4C5E"/>
    <w:rsid w:val="0040439A"/>
    <w:rsid w:val="004168D8"/>
    <w:rsid w:val="00421A1B"/>
    <w:rsid w:val="00422A45"/>
    <w:rsid w:val="00451479"/>
    <w:rsid w:val="004525D5"/>
    <w:rsid w:val="004611B4"/>
    <w:rsid w:val="004620CA"/>
    <w:rsid w:val="004849AF"/>
    <w:rsid w:val="0049133E"/>
    <w:rsid w:val="004976E1"/>
    <w:rsid w:val="004C2D32"/>
    <w:rsid w:val="004C4060"/>
    <w:rsid w:val="004D0C52"/>
    <w:rsid w:val="004D47D0"/>
    <w:rsid w:val="004F7E19"/>
    <w:rsid w:val="00501E38"/>
    <w:rsid w:val="00504485"/>
    <w:rsid w:val="00520989"/>
    <w:rsid w:val="00541B1C"/>
    <w:rsid w:val="005500B8"/>
    <w:rsid w:val="00550EE6"/>
    <w:rsid w:val="00564A25"/>
    <w:rsid w:val="0057474A"/>
    <w:rsid w:val="00575DBB"/>
    <w:rsid w:val="00583D97"/>
    <w:rsid w:val="00597C76"/>
    <w:rsid w:val="005B17A6"/>
    <w:rsid w:val="005F7132"/>
    <w:rsid w:val="00601821"/>
    <w:rsid w:val="00605F1E"/>
    <w:rsid w:val="00610DA7"/>
    <w:rsid w:val="00623F9E"/>
    <w:rsid w:val="00627378"/>
    <w:rsid w:val="00627DFD"/>
    <w:rsid w:val="00635510"/>
    <w:rsid w:val="00684F77"/>
    <w:rsid w:val="006B2CC7"/>
    <w:rsid w:val="006D39CF"/>
    <w:rsid w:val="006D52AC"/>
    <w:rsid w:val="006E6C5C"/>
    <w:rsid w:val="006F4113"/>
    <w:rsid w:val="00705AF4"/>
    <w:rsid w:val="00707F0C"/>
    <w:rsid w:val="007112EB"/>
    <w:rsid w:val="00721E7F"/>
    <w:rsid w:val="0073271B"/>
    <w:rsid w:val="00735960"/>
    <w:rsid w:val="00740112"/>
    <w:rsid w:val="00741FCE"/>
    <w:rsid w:val="007432E1"/>
    <w:rsid w:val="00767547"/>
    <w:rsid w:val="00774AE1"/>
    <w:rsid w:val="00776CE4"/>
    <w:rsid w:val="00797C69"/>
    <w:rsid w:val="007B7D93"/>
    <w:rsid w:val="007F7976"/>
    <w:rsid w:val="0082288B"/>
    <w:rsid w:val="00822C30"/>
    <w:rsid w:val="00826028"/>
    <w:rsid w:val="00854A58"/>
    <w:rsid w:val="00855F95"/>
    <w:rsid w:val="00866DF2"/>
    <w:rsid w:val="00867E98"/>
    <w:rsid w:val="008851B3"/>
    <w:rsid w:val="00897E85"/>
    <w:rsid w:val="008E713E"/>
    <w:rsid w:val="008F55C4"/>
    <w:rsid w:val="0090002E"/>
    <w:rsid w:val="009018F1"/>
    <w:rsid w:val="00906131"/>
    <w:rsid w:val="00923852"/>
    <w:rsid w:val="00932F03"/>
    <w:rsid w:val="00953812"/>
    <w:rsid w:val="009704AB"/>
    <w:rsid w:val="00973E33"/>
    <w:rsid w:val="0098508C"/>
    <w:rsid w:val="009B4E37"/>
    <w:rsid w:val="009C0B4A"/>
    <w:rsid w:val="009C7774"/>
    <w:rsid w:val="009D19C9"/>
    <w:rsid w:val="009D1E70"/>
    <w:rsid w:val="009D27CA"/>
    <w:rsid w:val="00A05C62"/>
    <w:rsid w:val="00A24199"/>
    <w:rsid w:val="00A82C13"/>
    <w:rsid w:val="00A857FA"/>
    <w:rsid w:val="00A937F6"/>
    <w:rsid w:val="00A94B1F"/>
    <w:rsid w:val="00A9644F"/>
    <w:rsid w:val="00A96E25"/>
    <w:rsid w:val="00A97EF0"/>
    <w:rsid w:val="00AA33AF"/>
    <w:rsid w:val="00AD0710"/>
    <w:rsid w:val="00AE7541"/>
    <w:rsid w:val="00B23E06"/>
    <w:rsid w:val="00B337D9"/>
    <w:rsid w:val="00B43F64"/>
    <w:rsid w:val="00B55447"/>
    <w:rsid w:val="00B559B3"/>
    <w:rsid w:val="00B56555"/>
    <w:rsid w:val="00B56953"/>
    <w:rsid w:val="00B57EED"/>
    <w:rsid w:val="00B65DEB"/>
    <w:rsid w:val="00B703D3"/>
    <w:rsid w:val="00B72E8D"/>
    <w:rsid w:val="00B8505C"/>
    <w:rsid w:val="00B93471"/>
    <w:rsid w:val="00BB1C69"/>
    <w:rsid w:val="00BB3FEA"/>
    <w:rsid w:val="00BC39FF"/>
    <w:rsid w:val="00BC7A39"/>
    <w:rsid w:val="00BD6B0A"/>
    <w:rsid w:val="00BE4939"/>
    <w:rsid w:val="00BE6560"/>
    <w:rsid w:val="00BF3761"/>
    <w:rsid w:val="00C14260"/>
    <w:rsid w:val="00C209CD"/>
    <w:rsid w:val="00C50D2F"/>
    <w:rsid w:val="00C52C7F"/>
    <w:rsid w:val="00CB3E08"/>
    <w:rsid w:val="00CC5555"/>
    <w:rsid w:val="00CD7FBA"/>
    <w:rsid w:val="00CE001E"/>
    <w:rsid w:val="00CE4E31"/>
    <w:rsid w:val="00CE5E6C"/>
    <w:rsid w:val="00D006FE"/>
    <w:rsid w:val="00D04DCB"/>
    <w:rsid w:val="00D10FF2"/>
    <w:rsid w:val="00D24677"/>
    <w:rsid w:val="00D36ACE"/>
    <w:rsid w:val="00D5494A"/>
    <w:rsid w:val="00D753C5"/>
    <w:rsid w:val="00D75A23"/>
    <w:rsid w:val="00D82B8E"/>
    <w:rsid w:val="00D869A0"/>
    <w:rsid w:val="00D960B8"/>
    <w:rsid w:val="00DA09F9"/>
    <w:rsid w:val="00DC0129"/>
    <w:rsid w:val="00DC021E"/>
    <w:rsid w:val="00DC1BDE"/>
    <w:rsid w:val="00DF4034"/>
    <w:rsid w:val="00E11F8F"/>
    <w:rsid w:val="00E12176"/>
    <w:rsid w:val="00E3128E"/>
    <w:rsid w:val="00E3360F"/>
    <w:rsid w:val="00E60521"/>
    <w:rsid w:val="00E72AA2"/>
    <w:rsid w:val="00E977A0"/>
    <w:rsid w:val="00E979BD"/>
    <w:rsid w:val="00EE6962"/>
    <w:rsid w:val="00EF411F"/>
    <w:rsid w:val="00EF762F"/>
    <w:rsid w:val="00F05342"/>
    <w:rsid w:val="00F2742F"/>
    <w:rsid w:val="00F3275B"/>
    <w:rsid w:val="00F505F9"/>
    <w:rsid w:val="00F64F27"/>
    <w:rsid w:val="00F6760F"/>
    <w:rsid w:val="00F70A70"/>
    <w:rsid w:val="00F72A44"/>
    <w:rsid w:val="00F8319A"/>
    <w:rsid w:val="00F92631"/>
    <w:rsid w:val="00FB2464"/>
    <w:rsid w:val="00FC4DC6"/>
    <w:rsid w:val="00FC4E7F"/>
    <w:rsid w:val="00FC6FC4"/>
    <w:rsid w:val="00FD17CD"/>
    <w:rsid w:val="00FD2EA3"/>
    <w:rsid w:val="00FF54D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0E7E87-C3E2-47DF-8589-8DB534A4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2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5DEB"/>
    <w:pPr>
      <w:widowControl w:val="0"/>
      <w:spacing w:after="0" w:line="240" w:lineRule="auto"/>
      <w:jc w:val="both"/>
    </w:pPr>
    <w:rPr>
      <w:rFonts w:ascii="Calibri" w:eastAsia="SimSun" w:hAnsi="Calibri" w:cs="Times New Roman"/>
      <w:kern w:val="2"/>
      <w:sz w:val="24"/>
      <w:lang w:val="en-US" w:eastAsia="zh-CN"/>
    </w:rPr>
  </w:style>
  <w:style w:type="paragraph" w:styleId="Header">
    <w:name w:val="header"/>
    <w:basedOn w:val="Normal"/>
    <w:link w:val="HeaderChar"/>
    <w:uiPriority w:val="99"/>
    <w:unhideWhenUsed/>
    <w:rsid w:val="00B65D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DEB"/>
  </w:style>
  <w:style w:type="paragraph" w:styleId="Footer">
    <w:name w:val="footer"/>
    <w:basedOn w:val="Normal"/>
    <w:link w:val="FooterChar"/>
    <w:uiPriority w:val="99"/>
    <w:unhideWhenUsed/>
    <w:rsid w:val="00B65D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DEB"/>
  </w:style>
  <w:style w:type="paragraph" w:styleId="BalloonText">
    <w:name w:val="Balloon Text"/>
    <w:basedOn w:val="Normal"/>
    <w:link w:val="BalloonTextChar"/>
    <w:uiPriority w:val="99"/>
    <w:semiHidden/>
    <w:unhideWhenUsed/>
    <w:rsid w:val="0035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172"/>
    <w:rPr>
      <w:rFonts w:ascii="Tahoma" w:hAnsi="Tahoma" w:cs="Tahoma"/>
      <w:sz w:val="16"/>
      <w:szCs w:val="16"/>
    </w:rPr>
  </w:style>
  <w:style w:type="paragraph" w:styleId="ListParagraph">
    <w:name w:val="List Paragraph"/>
    <w:aliases w:val="Recommendation,List Paragraph1,1.1.1_List Paragraph,List_Paragraph,Multilevel para_II,Lapis Bulleted List,List Paragraph (numbered (a)),Normal numbered,Medium Grid 1 - Accent 21,Medium Grid 1 Accent 2,Medium Grid 1 - Accent 22,L,Text,列出段落"/>
    <w:basedOn w:val="Normal"/>
    <w:link w:val="ListParagraphChar"/>
    <w:qFormat/>
    <w:rsid w:val="00CC5555"/>
    <w:pPr>
      <w:ind w:left="720"/>
      <w:contextualSpacing/>
    </w:pPr>
  </w:style>
  <w:style w:type="character" w:customStyle="1" w:styleId="ListParagraphChar">
    <w:name w:val="List Paragraph Char"/>
    <w:aliases w:val="Recommendation Char,List Paragraph1 Char,1.1.1_List Paragraph Char,List_Paragraph Char,Multilevel para_II Char,Lapis Bulleted List Char,List Paragraph (numbered (a)) Char,Normal numbered Char,Medium Grid 1 - Accent 21 Char,L Char"/>
    <w:link w:val="ListParagraph"/>
    <w:uiPriority w:val="34"/>
    <w:qFormat/>
    <w:locked/>
    <w:rsid w:val="002F4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315730">
      <w:bodyDiv w:val="1"/>
      <w:marLeft w:val="0"/>
      <w:marRight w:val="0"/>
      <w:marTop w:val="0"/>
      <w:marBottom w:val="0"/>
      <w:divBdr>
        <w:top w:val="none" w:sz="0" w:space="0" w:color="auto"/>
        <w:left w:val="none" w:sz="0" w:space="0" w:color="auto"/>
        <w:bottom w:val="none" w:sz="0" w:space="0" w:color="auto"/>
        <w:right w:val="none" w:sz="0" w:space="0" w:color="auto"/>
      </w:divBdr>
    </w:div>
    <w:div w:id="167518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A8CE10C-2A01-4681-B01C-87A0DBB7B80F}"/>
</file>

<file path=customXml/itemProps2.xml><?xml version="1.0" encoding="utf-8"?>
<ds:datastoreItem xmlns:ds="http://schemas.openxmlformats.org/officeDocument/2006/customXml" ds:itemID="{842DE2F4-9D2A-4C9B-BE00-829746990D80}"/>
</file>

<file path=customXml/itemProps3.xml><?xml version="1.0" encoding="utf-8"?>
<ds:datastoreItem xmlns:ds="http://schemas.openxmlformats.org/officeDocument/2006/customXml" ds:itemID="{F41880AE-A8DF-41B8-96D4-D6C99308951B}"/>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2739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NUR AMZARI BIN AZEMI</dc:creator>
  <cp:lastModifiedBy>ANDREWS Natasha</cp:lastModifiedBy>
  <cp:revision>2</cp:revision>
  <cp:lastPrinted>2019-01-07T01:48:00Z</cp:lastPrinted>
  <dcterms:created xsi:type="dcterms:W3CDTF">2019-02-27T09:48:00Z</dcterms:created>
  <dcterms:modified xsi:type="dcterms:W3CDTF">2019-02-27T09:48:00Z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