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EE5" w:rsidRDefault="00914E80" w:rsidP="000812BD">
      <w:pPr>
        <w:bidi w:val="0"/>
        <w:ind w:left="-57" w:firstLine="567"/>
        <w:jc w:val="center"/>
        <w:rPr>
          <w:rFonts w:ascii="Sakkal Majalla" w:eastAsia="Sakkal Majalla" w:hAnsi="Sakkal Majalla" w:cs="Sakkal Majalla"/>
          <w:sz w:val="32"/>
          <w:szCs w:val="32"/>
        </w:rPr>
      </w:pPr>
      <w:r>
        <w:rPr>
          <w:rFonts w:ascii="Sakkal Majalla" w:eastAsia="Sakkal Majalla" w:hAnsi="Sakkal Majalla" w:cs="Sakkal Majalla"/>
          <w:b/>
          <w:sz w:val="32"/>
          <w:szCs w:val="32"/>
          <w:u w:val="single"/>
        </w:rPr>
        <w:t>Report on the Access of Indigenous Peoples to Justice in the Islamic Republic of Iran</w:t>
      </w:r>
    </w:p>
    <w:p w:rsidR="00623EE5" w:rsidRDefault="00914E80" w:rsidP="000812BD">
      <w:pPr>
        <w:bidi w:val="0"/>
        <w:spacing w:line="240" w:lineRule="auto"/>
        <w:jc w:val="both"/>
        <w:rPr>
          <w:rFonts w:ascii="Sakkal Majalla" w:eastAsia="Sakkal Majalla" w:hAnsi="Sakkal Majalla" w:cs="Sakkal Majalla"/>
          <w:sz w:val="32"/>
          <w:szCs w:val="32"/>
        </w:rPr>
      </w:pPr>
      <w:r>
        <w:rPr>
          <w:rFonts w:ascii="Sakkal Majalla" w:eastAsia="Sakkal Majalla" w:hAnsi="Sakkal Majalla" w:cs="Sakkal Majalla"/>
          <w:b/>
          <w:sz w:val="32"/>
          <w:szCs w:val="32"/>
        </w:rPr>
        <w:t>Submitted to:</w:t>
      </w:r>
      <w:r>
        <w:rPr>
          <w:rFonts w:ascii="Sakkal Majalla" w:eastAsia="Sakkal Majalla" w:hAnsi="Sakkal Majalla" w:cs="Sakkal Majalla"/>
          <w:sz w:val="32"/>
          <w:szCs w:val="32"/>
        </w:rPr>
        <w:t xml:space="preserve"> Special Rapporteur on the rights of indigenous peoples</w:t>
      </w:r>
    </w:p>
    <w:p w:rsidR="00623EE5" w:rsidRDefault="00914E80" w:rsidP="000812BD">
      <w:pPr>
        <w:bidi w:val="0"/>
        <w:spacing w:line="240" w:lineRule="auto"/>
        <w:jc w:val="both"/>
        <w:rPr>
          <w:rFonts w:ascii="Sakkal Majalla" w:eastAsia="Sakkal Majalla" w:hAnsi="Sakkal Majalla" w:cs="Sakkal Majalla"/>
          <w:sz w:val="32"/>
          <w:szCs w:val="32"/>
        </w:rPr>
      </w:pPr>
      <w:r>
        <w:rPr>
          <w:rFonts w:ascii="Sakkal Majalla" w:eastAsia="Sakkal Majalla" w:hAnsi="Sakkal Majalla" w:cs="Sakkal Majalla"/>
          <w:b/>
          <w:sz w:val="32"/>
          <w:szCs w:val="32"/>
        </w:rPr>
        <w:t xml:space="preserve">Submitted by: </w:t>
      </w:r>
      <w:r>
        <w:rPr>
          <w:rFonts w:ascii="Sakkal Majalla" w:eastAsia="Sakkal Majalla" w:hAnsi="Sakkal Majalla" w:cs="Sakkal Majalla"/>
          <w:sz w:val="32"/>
          <w:szCs w:val="32"/>
        </w:rPr>
        <w:t>Maat for Peace, Development and Human Rights (In a consultative status with UN ECOSOC)</w:t>
      </w:r>
    </w:p>
    <w:p w:rsidR="00623EE5" w:rsidRDefault="00914E80" w:rsidP="000812BD">
      <w:pPr>
        <w:bidi w:val="0"/>
        <w:spacing w:line="240" w:lineRule="auto"/>
        <w:jc w:val="both"/>
        <w:rPr>
          <w:rFonts w:ascii="Sakkal Majalla" w:eastAsia="Sakkal Majalla" w:hAnsi="Sakkal Majalla" w:cs="Sakkal Majalla"/>
          <w:sz w:val="32"/>
          <w:szCs w:val="32"/>
        </w:rPr>
      </w:pPr>
      <w:r>
        <w:rPr>
          <w:rFonts w:ascii="Sakkal Majalla" w:eastAsia="Sakkal Majalla" w:hAnsi="Sakkal Majalla" w:cs="Sakkal Majalla"/>
          <w:b/>
          <w:sz w:val="32"/>
          <w:szCs w:val="32"/>
        </w:rPr>
        <w:t xml:space="preserve">About: </w:t>
      </w:r>
      <w:r>
        <w:rPr>
          <w:rFonts w:ascii="Sakkal Majalla" w:eastAsia="Sakkal Majalla" w:hAnsi="Sakkal Majalla" w:cs="Sakkal Majalla"/>
          <w:sz w:val="32"/>
          <w:szCs w:val="32"/>
        </w:rPr>
        <w:t>The</w:t>
      </w:r>
      <w:r>
        <w:rPr>
          <w:rFonts w:ascii="Sakkal Majalla" w:eastAsia="Sakkal Majalla" w:hAnsi="Sakkal Majalla" w:cs="Sakkal Majalla"/>
          <w:b/>
          <w:sz w:val="32"/>
          <w:szCs w:val="32"/>
        </w:rPr>
        <w:t xml:space="preserve"> </w:t>
      </w:r>
      <w:r>
        <w:rPr>
          <w:rFonts w:ascii="Sakkal Majalla" w:eastAsia="Sakkal Majalla" w:hAnsi="Sakkal Majalla" w:cs="Sakkal Majalla"/>
          <w:sz w:val="32"/>
          <w:szCs w:val="32"/>
        </w:rPr>
        <w:t>Islamic Republic of Iran</w:t>
      </w:r>
    </w:p>
    <w:p w:rsidR="00623EE5" w:rsidRDefault="00914E80" w:rsidP="000812BD">
      <w:pPr>
        <w:bidi w:val="0"/>
        <w:spacing w:line="240" w:lineRule="auto"/>
        <w:jc w:val="both"/>
        <w:rPr>
          <w:rFonts w:ascii="Sakkal Majalla" w:eastAsia="Sakkal Majalla" w:hAnsi="Sakkal Majalla" w:cs="Sakkal Majalla"/>
          <w:sz w:val="32"/>
          <w:szCs w:val="32"/>
        </w:rPr>
      </w:pPr>
      <w:r>
        <w:rPr>
          <w:rFonts w:ascii="Sakkal Majalla" w:eastAsia="Sakkal Majalla" w:hAnsi="Sakkal Majalla" w:cs="Sakkal Majalla"/>
          <w:b/>
          <w:sz w:val="32"/>
          <w:szCs w:val="32"/>
        </w:rPr>
        <w:t xml:space="preserve">Date: </w:t>
      </w:r>
      <w:r>
        <w:rPr>
          <w:rFonts w:ascii="Sakkal Majalla" w:eastAsia="Sakkal Majalla" w:hAnsi="Sakkal Majalla" w:cs="Sakkal Majalla"/>
          <w:sz w:val="32"/>
          <w:szCs w:val="32"/>
        </w:rPr>
        <w:t>May 2019</w:t>
      </w:r>
    </w:p>
    <w:p w:rsidR="00623EE5" w:rsidRDefault="00914E80" w:rsidP="000812BD">
      <w:pPr>
        <w:shd w:val="clear" w:color="auto" w:fill="00B0F0"/>
        <w:bidi w:val="0"/>
        <w:spacing w:line="240" w:lineRule="auto"/>
        <w:jc w:val="both"/>
        <w:rPr>
          <w:rFonts w:ascii="Sakkal Majalla" w:eastAsia="Sakkal Majalla" w:hAnsi="Sakkal Majalla" w:cs="Sakkal Majalla"/>
          <w:b/>
          <w:sz w:val="36"/>
          <w:szCs w:val="36"/>
        </w:rPr>
      </w:pPr>
      <w:r>
        <w:rPr>
          <w:rFonts w:ascii="Sakkal Majalla" w:eastAsia="Sakkal Majalla" w:hAnsi="Sakkal Majalla" w:cs="Sakkal Majalla"/>
          <w:b/>
          <w:sz w:val="36"/>
          <w:szCs w:val="36"/>
        </w:rPr>
        <w:t>Pre</w:t>
      </w:r>
      <w:r w:rsidR="000F0BE3">
        <w:rPr>
          <w:rFonts w:ascii="Sakkal Majalla" w:eastAsia="Sakkal Majalla" w:hAnsi="Sakkal Majalla" w:cs="Sakkal Majalla"/>
          <w:b/>
          <w:sz w:val="36"/>
          <w:szCs w:val="36"/>
        </w:rPr>
        <w:t>face</w:t>
      </w:r>
    </w:p>
    <w:p w:rsidR="00623EE5" w:rsidRDefault="00914E80" w:rsidP="000812BD">
      <w:pPr>
        <w:bidi w:val="0"/>
        <w:ind w:left="0" w:firstLine="567"/>
        <w:jc w:val="both"/>
        <w:rPr>
          <w:rFonts w:ascii="Sakkal Majalla" w:eastAsia="Sakkal Majalla" w:hAnsi="Sakkal Majalla" w:cs="Sakkal Majalla"/>
          <w:sz w:val="32"/>
          <w:szCs w:val="32"/>
        </w:rPr>
      </w:pPr>
      <w:r>
        <w:rPr>
          <w:rFonts w:ascii="Sakkal Majalla" w:eastAsia="Sakkal Majalla" w:hAnsi="Sakkal Majalla" w:cs="Sakkal Majalla"/>
          <w:sz w:val="32"/>
          <w:szCs w:val="32"/>
        </w:rPr>
        <w:t xml:space="preserve">Maat for Peace, Development and Human Rights (Egypt) submits this report to the Special Rapporteur on the rights of indigenous peoples to shed light on the violations of the rights of the </w:t>
      </w:r>
      <w:proofErr w:type="spellStart"/>
      <w:r>
        <w:rPr>
          <w:rFonts w:ascii="Sakkal Majalla" w:eastAsia="Sakkal Majalla" w:hAnsi="Sakkal Majalla" w:cs="Sakkal Majalla"/>
          <w:sz w:val="32"/>
          <w:szCs w:val="32"/>
        </w:rPr>
        <w:t>Ahwazi</w:t>
      </w:r>
      <w:proofErr w:type="spellEnd"/>
      <w:r>
        <w:rPr>
          <w:rFonts w:ascii="Sakkal Majalla" w:eastAsia="Sakkal Majalla" w:hAnsi="Sakkal Majalla" w:cs="Sakkal Majalla"/>
          <w:sz w:val="32"/>
          <w:szCs w:val="32"/>
        </w:rPr>
        <w:t xml:space="preserve"> people regarding their lack of access to justice and the enjoyment of the right to a fair trial as one of the most important human rights.</w:t>
      </w:r>
    </w:p>
    <w:p w:rsidR="00623EE5" w:rsidRDefault="00914E80" w:rsidP="000812BD">
      <w:pPr>
        <w:bidi w:val="0"/>
        <w:ind w:left="0" w:firstLine="567"/>
        <w:jc w:val="both"/>
        <w:rPr>
          <w:rFonts w:ascii="Sakkal Majalla" w:eastAsia="Sakkal Majalla" w:hAnsi="Sakkal Majalla" w:cs="Sakkal Majalla"/>
          <w:sz w:val="32"/>
          <w:szCs w:val="32"/>
        </w:rPr>
      </w:pPr>
      <w:r>
        <w:rPr>
          <w:rFonts w:ascii="Sakkal Majalla" w:eastAsia="Sakkal Majalla" w:hAnsi="Sakkal Majalla" w:cs="Sakkal Majalla"/>
          <w:sz w:val="32"/>
          <w:szCs w:val="32"/>
        </w:rPr>
        <w:lastRenderedPageBreak/>
        <w:t xml:space="preserve">The Islamic Republic of Iran continues to violate human rights in general and the right to justice for indigenous people in particular, which are presumed to be guaranteed under the International Covenant on Civil and Political Rights, however, it ratified the covenant more than four decades ago, victims of human rights violations in Iran, including </w:t>
      </w:r>
      <w:proofErr w:type="spellStart"/>
      <w:r>
        <w:rPr>
          <w:rFonts w:ascii="Sakkal Majalla" w:eastAsia="Sakkal Majalla" w:hAnsi="Sakkal Majalla" w:cs="Sakkal Majalla"/>
          <w:sz w:val="32"/>
          <w:szCs w:val="32"/>
        </w:rPr>
        <w:t>Ahwazi</w:t>
      </w:r>
      <w:proofErr w:type="spellEnd"/>
      <w:r>
        <w:rPr>
          <w:rFonts w:ascii="Sakkal Majalla" w:eastAsia="Sakkal Majalla" w:hAnsi="Sakkal Majalla" w:cs="Sakkal Majalla"/>
          <w:sz w:val="32"/>
          <w:szCs w:val="32"/>
        </w:rPr>
        <w:t xml:space="preserve"> people, </w:t>
      </w:r>
      <w:proofErr w:type="spellStart"/>
      <w:r>
        <w:rPr>
          <w:rFonts w:ascii="Sakkal Majalla" w:eastAsia="Sakkal Majalla" w:hAnsi="Sakkal Majalla" w:cs="Sakkal Majalla"/>
          <w:sz w:val="32"/>
          <w:szCs w:val="32"/>
        </w:rPr>
        <w:t>can not</w:t>
      </w:r>
      <w:proofErr w:type="spellEnd"/>
      <w:r>
        <w:rPr>
          <w:rFonts w:ascii="Sakkal Majalla" w:eastAsia="Sakkal Majalla" w:hAnsi="Sakkal Majalla" w:cs="Sakkal Majalla"/>
          <w:sz w:val="32"/>
          <w:szCs w:val="32"/>
        </w:rPr>
        <w:t xml:space="preserve"> access any international body to present the violations committed against them, as a result of Iran's reservation to the First Optional Protocol allowing individuals to lodge complaints with the Human Rights Council on violations of their rights by the state. Although civil and political rights are theoretically included to some extent in Iranian national law, the authorities show no respect or obligation to protect these rights and it is difficult for victims to take an action against the state's violations of rights.</w:t>
      </w:r>
    </w:p>
    <w:p w:rsidR="00623EE5" w:rsidRDefault="00914E80" w:rsidP="000812BD">
      <w:pPr>
        <w:shd w:val="clear" w:color="auto" w:fill="00B0F0"/>
        <w:bidi w:val="0"/>
        <w:spacing w:line="240" w:lineRule="auto"/>
        <w:jc w:val="both"/>
        <w:rPr>
          <w:rFonts w:ascii="Sakkal Majalla" w:eastAsia="Sakkal Majalla" w:hAnsi="Sakkal Majalla" w:cs="Sakkal Majalla"/>
          <w:b/>
          <w:sz w:val="36"/>
          <w:szCs w:val="36"/>
        </w:rPr>
      </w:pPr>
      <w:r>
        <w:rPr>
          <w:rFonts w:ascii="Sakkal Majalla" w:eastAsia="Sakkal Majalla" w:hAnsi="Sakkal Majalla" w:cs="Sakkal Majalla"/>
          <w:b/>
          <w:sz w:val="36"/>
          <w:szCs w:val="36"/>
        </w:rPr>
        <w:t>The Legal Framework of the Right of Indigenous Peoples to Justice</w:t>
      </w:r>
    </w:p>
    <w:p w:rsidR="00623EE5" w:rsidRDefault="00914E80" w:rsidP="000812BD">
      <w:pPr>
        <w:bidi w:val="0"/>
        <w:ind w:left="0" w:firstLine="567"/>
        <w:jc w:val="both"/>
        <w:rPr>
          <w:rFonts w:ascii="Sakkal Majalla" w:eastAsia="Sakkal Majalla" w:hAnsi="Sakkal Majalla" w:cs="Sakkal Majalla"/>
          <w:sz w:val="32"/>
          <w:szCs w:val="32"/>
        </w:rPr>
      </w:pPr>
      <w:r>
        <w:rPr>
          <w:rFonts w:ascii="Sakkal Majalla" w:eastAsia="Sakkal Majalla" w:hAnsi="Sakkal Majalla" w:cs="Sakkal Majalla"/>
          <w:sz w:val="32"/>
          <w:szCs w:val="32"/>
        </w:rPr>
        <w:t xml:space="preserve">Article 1 of ILO Convention No. 169 defines the concept of indigenous peoples as being  “Peoples in independent countries who are regarded as indigenous on account of their descent from populations which inhabited the country, or a geographical region to which the country belongs, at the time of conquest or colonization or the establishment of present states boundaries and who, irrespective of their legal status, retain some or all of their own social, economic, cultural and political institutions.” the same convention further describes the characteristics of indigenous peoples, emphasizing their recognition of traditional lifestyles, culture and lifestyle different from the majority of the population, such as their way of earning a livelihood, language, customs, etc. In addition to the existence of social institutions and political organizations of their own. They also live in historical continuity in a particular area or before others conquer </w:t>
      </w:r>
      <w:r w:rsidR="000812BD">
        <w:rPr>
          <w:rFonts w:ascii="Sakkal Majalla" w:eastAsia="Sakkal Majalla" w:hAnsi="Sakkal Majalla" w:cs="Sakkal Majalla"/>
          <w:sz w:val="32"/>
          <w:szCs w:val="32"/>
        </w:rPr>
        <w:t>or come</w:t>
      </w:r>
      <w:r>
        <w:rPr>
          <w:rFonts w:ascii="Sakkal Majalla" w:eastAsia="Sakkal Majalla" w:hAnsi="Sakkal Majalla" w:cs="Sakkal Majalla"/>
          <w:sz w:val="32"/>
          <w:szCs w:val="32"/>
        </w:rPr>
        <w:t xml:space="preserve"> to the area.</w:t>
      </w:r>
      <w:r>
        <w:rPr>
          <w:rFonts w:ascii="Sakkal Majalla" w:eastAsia="Sakkal Majalla" w:hAnsi="Sakkal Majalla" w:cs="Sakkal Majalla"/>
          <w:sz w:val="32"/>
          <w:szCs w:val="32"/>
          <w:vertAlign w:val="superscript"/>
        </w:rPr>
        <w:footnoteReference w:id="1"/>
      </w:r>
    </w:p>
    <w:p w:rsidR="00623EE5" w:rsidRDefault="00914E80" w:rsidP="000812BD">
      <w:pPr>
        <w:bidi w:val="0"/>
        <w:ind w:left="0" w:firstLine="567"/>
        <w:jc w:val="both"/>
        <w:rPr>
          <w:rFonts w:ascii="Sakkal Majalla" w:eastAsia="Sakkal Majalla" w:hAnsi="Sakkal Majalla" w:cs="Sakkal Majalla"/>
          <w:b/>
          <w:sz w:val="32"/>
          <w:szCs w:val="32"/>
        </w:rPr>
      </w:pPr>
      <w:r>
        <w:rPr>
          <w:rFonts w:ascii="Sakkal Majalla" w:eastAsia="Sakkal Majalla" w:hAnsi="Sakkal Majalla" w:cs="Sakkal Majalla"/>
          <w:sz w:val="32"/>
          <w:szCs w:val="32"/>
        </w:rPr>
        <w:t xml:space="preserve">The United Nations Declaration on the Rights of Indigenous Peoples, adopted on April 13, 2007, affirms in Article 2 of the Declaration that indigenous peoples and its individuals are equal and free, like all other peoples and individuals, and have the right not to be discriminated against while exercising their rights, especially if discrimination is based on the origin or original identity. In addition, Article 5 affirms the right of indigenous peoples to preserve and promote their political, legal, economic, </w:t>
      </w:r>
      <w:r>
        <w:rPr>
          <w:rFonts w:ascii="Sakkal Majalla" w:eastAsia="Sakkal Majalla" w:hAnsi="Sakkal Majalla" w:cs="Sakkal Majalla"/>
          <w:sz w:val="32"/>
          <w:szCs w:val="32"/>
        </w:rPr>
        <w:lastRenderedPageBreak/>
        <w:t>social and cultural institutions. Also, Article 34 provides f</w:t>
      </w:r>
      <w:r w:rsidR="000812BD">
        <w:rPr>
          <w:rFonts w:ascii="Sakkal Majalla" w:eastAsia="Sakkal Majalla" w:hAnsi="Sakkal Majalla" w:cs="Sakkal Majalla"/>
          <w:sz w:val="32"/>
          <w:szCs w:val="32"/>
        </w:rPr>
        <w:t>or</w:t>
      </w:r>
      <w:r>
        <w:rPr>
          <w:rFonts w:ascii="Sakkal Majalla" w:eastAsia="Sakkal Majalla" w:hAnsi="Sakkal Majalla" w:cs="Sakkal Majalla"/>
          <w:sz w:val="32"/>
          <w:szCs w:val="32"/>
        </w:rPr>
        <w:t xml:space="preserve"> the right of indigenous peoples to promote, develop and maintain their institutional structures, including their legal systems or norms, in accordance with international human rights standards, which are one of the basics of their right to self-determination. Furthermore, Article 40 of the same affirms the right of Indigenous peoples to access to and prompt decision through just and fair procedures for the resolution of conflicts and disputes with States or other parties, as well as to effective remedies for all infringements of their individual and collective rights. Such a decision shall give due consideration to the customs, traditions, rules and legal systems of the indigenous peoples concerned and international human rights.</w:t>
      </w:r>
      <w:r>
        <w:rPr>
          <w:rFonts w:ascii="Sakkal Majalla" w:eastAsia="Sakkal Majalla" w:hAnsi="Sakkal Majalla" w:cs="Sakkal Majalla"/>
          <w:sz w:val="32"/>
          <w:szCs w:val="32"/>
          <w:vertAlign w:val="superscript"/>
        </w:rPr>
        <w:footnoteReference w:id="2"/>
      </w:r>
    </w:p>
    <w:p w:rsidR="00623EE5" w:rsidRDefault="00623EE5" w:rsidP="000812BD">
      <w:pPr>
        <w:bidi w:val="0"/>
        <w:ind w:hanging="300"/>
        <w:jc w:val="both"/>
        <w:rPr>
          <w:rFonts w:ascii="Sakkal Majalla" w:eastAsia="Sakkal Majalla" w:hAnsi="Sakkal Majalla" w:cs="Sakkal Majalla"/>
          <w:sz w:val="32"/>
          <w:szCs w:val="32"/>
        </w:rPr>
      </w:pPr>
    </w:p>
    <w:p w:rsidR="00623EE5" w:rsidRDefault="00914E80" w:rsidP="000812BD">
      <w:pPr>
        <w:bidi w:val="0"/>
        <w:ind w:left="0" w:firstLine="567"/>
        <w:jc w:val="both"/>
        <w:rPr>
          <w:rFonts w:ascii="Sakkal Majalla" w:eastAsia="Sakkal Majalla" w:hAnsi="Sakkal Majalla" w:cs="Sakkal Majalla"/>
          <w:sz w:val="32"/>
          <w:szCs w:val="32"/>
        </w:rPr>
      </w:pPr>
      <w:r>
        <w:rPr>
          <w:rFonts w:ascii="Sakkal Majalla" w:eastAsia="Sakkal Majalla" w:hAnsi="Sakkal Majalla" w:cs="Sakkal Majalla"/>
          <w:sz w:val="32"/>
          <w:szCs w:val="32"/>
        </w:rPr>
        <w:t>In the preamble to the International Covenant on Civil and Political Rights, it is emphasized that the international community must recognize the inherent dignity and the equal and inalienable rights of all members of the human family as the foundation of freedom, justice and peace in the world. In accordance with the provisions of the Covenant, States Parties are committed to protecting the rights of all peoples and to taking positive steps to incorporate relevant privileges into national law and to ensure that citizens enjoy their rights freely without prejudice.</w:t>
      </w:r>
      <w:r>
        <w:rPr>
          <w:rFonts w:ascii="Sakkal Majalla" w:eastAsia="Sakkal Majalla" w:hAnsi="Sakkal Majalla" w:cs="Sakkal Majalla"/>
          <w:sz w:val="32"/>
          <w:szCs w:val="32"/>
          <w:vertAlign w:val="superscript"/>
        </w:rPr>
        <w:footnoteReference w:id="3"/>
      </w:r>
    </w:p>
    <w:p w:rsidR="00623EE5" w:rsidRDefault="00914E80" w:rsidP="000812BD">
      <w:pPr>
        <w:bidi w:val="0"/>
        <w:ind w:left="0" w:firstLine="567"/>
        <w:jc w:val="both"/>
        <w:rPr>
          <w:rFonts w:ascii="Sakkal Majalla" w:eastAsia="Sakkal Majalla" w:hAnsi="Sakkal Majalla" w:cs="Sakkal Majalla"/>
          <w:b/>
          <w:sz w:val="36"/>
          <w:szCs w:val="36"/>
        </w:rPr>
      </w:pPr>
      <w:r>
        <w:rPr>
          <w:rFonts w:ascii="Sakkal Majalla" w:eastAsia="Sakkal Majalla" w:hAnsi="Sakkal Majalla" w:cs="Sakkal Majalla"/>
          <w:sz w:val="32"/>
          <w:szCs w:val="32"/>
        </w:rPr>
        <w:t>At the global level, States vary in recognition of the jurisdictions of indigenous peoples. For instance, many of Latin American countries’ national constitutions recognize the jurisdictions of indigenous peoples, particularly in Colombia, Peru, Venezuela, Ecuador and Bolivia. On the other hand, the constitutions of the Asian countries, especially Thailand and Nepal, do not recognize the customary law governing the affairs of indigenous peoples.</w:t>
      </w:r>
      <w:r>
        <w:rPr>
          <w:rFonts w:ascii="Sakkal Majalla" w:eastAsia="Sakkal Majalla" w:hAnsi="Sakkal Majalla" w:cs="Sakkal Majalla"/>
          <w:sz w:val="32"/>
          <w:szCs w:val="32"/>
          <w:vertAlign w:val="superscript"/>
        </w:rPr>
        <w:footnoteReference w:id="4"/>
      </w:r>
    </w:p>
    <w:p w:rsidR="000F0BE3" w:rsidRDefault="000F0BE3" w:rsidP="000F0BE3">
      <w:pPr>
        <w:bidi w:val="0"/>
        <w:ind w:left="0" w:firstLine="567"/>
        <w:jc w:val="both"/>
        <w:rPr>
          <w:rFonts w:ascii="Sakkal Majalla" w:eastAsia="Sakkal Majalla" w:hAnsi="Sakkal Majalla" w:cs="Sakkal Majalla"/>
          <w:b/>
          <w:sz w:val="36"/>
          <w:szCs w:val="36"/>
        </w:rPr>
      </w:pPr>
    </w:p>
    <w:p w:rsidR="00623EE5" w:rsidRDefault="00914E80" w:rsidP="000812BD">
      <w:pPr>
        <w:shd w:val="clear" w:color="auto" w:fill="00B0F0"/>
        <w:bidi w:val="0"/>
        <w:spacing w:line="240" w:lineRule="auto"/>
        <w:jc w:val="both"/>
        <w:rPr>
          <w:rFonts w:ascii="Sakkal Majalla" w:eastAsia="Sakkal Majalla" w:hAnsi="Sakkal Majalla" w:cs="Sakkal Majalla"/>
          <w:b/>
          <w:sz w:val="36"/>
          <w:szCs w:val="36"/>
        </w:rPr>
      </w:pPr>
      <w:r>
        <w:rPr>
          <w:rFonts w:ascii="Sakkal Majalla" w:eastAsia="Sakkal Majalla" w:hAnsi="Sakkal Majalla" w:cs="Sakkal Majalla"/>
          <w:b/>
          <w:sz w:val="36"/>
          <w:szCs w:val="36"/>
        </w:rPr>
        <w:lastRenderedPageBreak/>
        <w:t xml:space="preserve">Iranian Violations of </w:t>
      </w:r>
      <w:proofErr w:type="spellStart"/>
      <w:r>
        <w:rPr>
          <w:rFonts w:ascii="Sakkal Majalla" w:eastAsia="Sakkal Majalla" w:hAnsi="Sakkal Majalla" w:cs="Sakkal Majalla"/>
          <w:b/>
          <w:sz w:val="36"/>
          <w:szCs w:val="36"/>
        </w:rPr>
        <w:t>Ahwazi</w:t>
      </w:r>
      <w:proofErr w:type="spellEnd"/>
      <w:r>
        <w:rPr>
          <w:rFonts w:ascii="Sakkal Majalla" w:eastAsia="Sakkal Majalla" w:hAnsi="Sakkal Majalla" w:cs="Sakkal Majalla"/>
          <w:b/>
          <w:sz w:val="36"/>
          <w:szCs w:val="36"/>
        </w:rPr>
        <w:t xml:space="preserve"> People's Right to access to Justice</w:t>
      </w:r>
    </w:p>
    <w:p w:rsidR="00623EE5" w:rsidRDefault="00914E80" w:rsidP="000812BD">
      <w:pPr>
        <w:bidi w:val="0"/>
        <w:ind w:left="0" w:firstLine="567"/>
        <w:jc w:val="both"/>
        <w:rPr>
          <w:rFonts w:ascii="Sakkal Majalla" w:eastAsia="Sakkal Majalla" w:hAnsi="Sakkal Majalla" w:cs="Sakkal Majalla"/>
          <w:sz w:val="32"/>
          <w:szCs w:val="32"/>
        </w:rPr>
      </w:pPr>
      <w:r>
        <w:rPr>
          <w:rFonts w:ascii="Sakkal Majalla" w:eastAsia="Sakkal Majalla" w:hAnsi="Sakkal Majalla" w:cs="Sakkal Majalla"/>
          <w:sz w:val="32"/>
          <w:szCs w:val="32"/>
        </w:rPr>
        <w:t xml:space="preserve">Theoretically, Iran has incorporated most of the inherent rights contained in the International Covenant on Civil and Political Rights in its criminal and civil law, but practically, successive Iranian governments have continued to supervise systematic violations </w:t>
      </w:r>
      <w:r w:rsidR="000812BD">
        <w:rPr>
          <w:rFonts w:ascii="Sakkal Majalla" w:eastAsia="Sakkal Majalla" w:hAnsi="Sakkal Majalla" w:cs="Sakkal Majalla"/>
          <w:sz w:val="32"/>
          <w:szCs w:val="32"/>
        </w:rPr>
        <w:t>committed by</w:t>
      </w:r>
      <w:r>
        <w:rPr>
          <w:rFonts w:ascii="Sakkal Majalla" w:eastAsia="Sakkal Majalla" w:hAnsi="Sakkal Majalla" w:cs="Sakkal Majalla"/>
          <w:sz w:val="32"/>
          <w:szCs w:val="32"/>
        </w:rPr>
        <w:t xml:space="preserve"> the security forces and judicial authorities against indigenous peoples. The victims of these abuses are, particularly the </w:t>
      </w:r>
      <w:proofErr w:type="spellStart"/>
      <w:r>
        <w:rPr>
          <w:rFonts w:ascii="Sakkal Majalla" w:eastAsia="Sakkal Majalla" w:hAnsi="Sakkal Majalla" w:cs="Sakkal Majalla"/>
          <w:sz w:val="32"/>
          <w:szCs w:val="32"/>
        </w:rPr>
        <w:t>Ahwazi</w:t>
      </w:r>
      <w:proofErr w:type="spellEnd"/>
      <w:r>
        <w:rPr>
          <w:rFonts w:ascii="Sakkal Majalla" w:eastAsia="Sakkal Majalla" w:hAnsi="Sakkal Majalla" w:cs="Sakkal Majalla"/>
          <w:sz w:val="32"/>
          <w:szCs w:val="32"/>
        </w:rPr>
        <w:t xml:space="preserve"> people, denied the right to bring criminal proceedings against the officials in the local courts, also violators effectively associated with government agencies enjoy impunity in any prosecution, as well as they have spred the violations of the right of the indigenous peoples of </w:t>
      </w:r>
      <w:r w:rsidR="00324819">
        <w:rPr>
          <w:rFonts w:ascii="Sakkal Majalla" w:eastAsia="Sakkal Majalla" w:hAnsi="Sakkal Majalla" w:cs="Sakkal Majalla"/>
          <w:sz w:val="32"/>
          <w:szCs w:val="32"/>
        </w:rPr>
        <w:t>Ahwaz to</w:t>
      </w:r>
      <w:r>
        <w:rPr>
          <w:rFonts w:ascii="Sakkal Majalla" w:eastAsia="Sakkal Majalla" w:hAnsi="Sakkal Majalla" w:cs="Sakkal Majalla"/>
          <w:sz w:val="32"/>
          <w:szCs w:val="32"/>
        </w:rPr>
        <w:t xml:space="preserve"> access to justice </w:t>
      </w:r>
    </w:p>
    <w:p w:rsidR="00623EE5" w:rsidRDefault="00914E80" w:rsidP="000812BD">
      <w:pPr>
        <w:bidi w:val="0"/>
        <w:ind w:left="0" w:firstLine="567"/>
        <w:jc w:val="both"/>
        <w:rPr>
          <w:rFonts w:ascii="Sakkal Majalla" w:eastAsia="Sakkal Majalla" w:hAnsi="Sakkal Majalla" w:cs="Sakkal Majalla"/>
          <w:b/>
          <w:sz w:val="32"/>
          <w:szCs w:val="32"/>
          <w:u w:val="single"/>
        </w:rPr>
      </w:pPr>
      <w:r>
        <w:rPr>
          <w:rFonts w:ascii="Sakkal Majalla" w:eastAsia="Sakkal Majalla" w:hAnsi="Sakkal Majalla" w:cs="Sakkal Majalla"/>
          <w:b/>
          <w:sz w:val="32"/>
          <w:szCs w:val="32"/>
          <w:u w:val="single"/>
        </w:rPr>
        <w:t>There are many violations in this regard:</w:t>
      </w:r>
    </w:p>
    <w:p w:rsidR="00623EE5" w:rsidRDefault="00914E80" w:rsidP="000812BD">
      <w:pPr>
        <w:pBdr>
          <w:top w:val="nil"/>
          <w:left w:val="nil"/>
          <w:bottom w:val="nil"/>
          <w:right w:val="nil"/>
          <w:between w:val="nil"/>
        </w:pBdr>
        <w:bidi w:val="0"/>
        <w:spacing w:after="160"/>
        <w:ind w:left="303" w:firstLine="0"/>
        <w:jc w:val="both"/>
        <w:rPr>
          <w:rFonts w:ascii="Sakkal Majalla" w:eastAsia="Sakkal Majalla" w:hAnsi="Sakkal Majalla" w:cs="Sakkal Majalla"/>
          <w:b/>
          <w:sz w:val="32"/>
          <w:szCs w:val="32"/>
          <w:u w:val="single"/>
        </w:rPr>
      </w:pPr>
      <w:r>
        <w:rPr>
          <w:rFonts w:ascii="Sakkal Majalla" w:eastAsia="Sakkal Majalla" w:hAnsi="Sakkal Majalla" w:cs="Sakkal Majalla"/>
          <w:b/>
          <w:sz w:val="32"/>
          <w:szCs w:val="32"/>
          <w:u w:val="single"/>
        </w:rPr>
        <w:t xml:space="preserve">1.The measures </w:t>
      </w:r>
      <w:r w:rsidR="00324819">
        <w:rPr>
          <w:rFonts w:ascii="Sakkal Majalla" w:eastAsia="Sakkal Majalla" w:hAnsi="Sakkal Majalla" w:cs="Sakkal Majalla"/>
          <w:b/>
          <w:sz w:val="32"/>
          <w:szCs w:val="32"/>
          <w:u w:val="single"/>
        </w:rPr>
        <w:t>taken against</w:t>
      </w:r>
      <w:r>
        <w:rPr>
          <w:rFonts w:ascii="Sakkal Majalla" w:eastAsia="Sakkal Majalla" w:hAnsi="Sakkal Majalla" w:cs="Sakkal Majalla"/>
          <w:b/>
          <w:sz w:val="32"/>
          <w:szCs w:val="32"/>
          <w:u w:val="single"/>
        </w:rPr>
        <w:t xml:space="preserve"> the </w:t>
      </w:r>
      <w:proofErr w:type="spellStart"/>
      <w:r>
        <w:rPr>
          <w:rFonts w:ascii="Sakkal Majalla" w:eastAsia="Sakkal Majalla" w:hAnsi="Sakkal Majalla" w:cs="Sakkal Majalla"/>
          <w:b/>
          <w:sz w:val="32"/>
          <w:szCs w:val="32"/>
          <w:u w:val="single"/>
        </w:rPr>
        <w:t>Ahwazi</w:t>
      </w:r>
      <w:proofErr w:type="spellEnd"/>
      <w:r>
        <w:rPr>
          <w:rFonts w:ascii="Sakkal Majalla" w:eastAsia="Sakkal Majalla" w:hAnsi="Sakkal Majalla" w:cs="Sakkal Majalla"/>
          <w:b/>
          <w:sz w:val="32"/>
          <w:szCs w:val="32"/>
          <w:u w:val="single"/>
        </w:rPr>
        <w:t xml:space="preserve"> people in detention centers  </w:t>
      </w:r>
    </w:p>
    <w:p w:rsidR="00623EE5" w:rsidRDefault="00914E80" w:rsidP="000812BD">
      <w:pPr>
        <w:bidi w:val="0"/>
        <w:ind w:left="0" w:firstLine="567"/>
        <w:jc w:val="both"/>
        <w:rPr>
          <w:rFonts w:ascii="Sakkal Majalla" w:eastAsia="Sakkal Majalla" w:hAnsi="Sakkal Majalla" w:cs="Sakkal Majalla"/>
          <w:sz w:val="32"/>
          <w:szCs w:val="32"/>
        </w:rPr>
      </w:pPr>
      <w:r>
        <w:rPr>
          <w:rFonts w:ascii="Sakkal Majalla" w:eastAsia="Sakkal Majalla" w:hAnsi="Sakkal Majalla" w:cs="Sakkal Majalla"/>
          <w:sz w:val="32"/>
          <w:szCs w:val="32"/>
        </w:rPr>
        <w:t xml:space="preserve">The </w:t>
      </w:r>
      <w:proofErr w:type="spellStart"/>
      <w:r>
        <w:rPr>
          <w:rFonts w:ascii="Sakkal Majalla" w:eastAsia="Sakkal Majalla" w:hAnsi="Sakkal Majalla" w:cs="Sakkal Majalla"/>
          <w:sz w:val="32"/>
          <w:szCs w:val="32"/>
        </w:rPr>
        <w:t>Ahwazi</w:t>
      </w:r>
      <w:proofErr w:type="spellEnd"/>
      <w:r>
        <w:rPr>
          <w:rFonts w:ascii="Sakkal Majalla" w:eastAsia="Sakkal Majalla" w:hAnsi="Sakkal Majalla" w:cs="Sakkal Majalla"/>
          <w:sz w:val="32"/>
          <w:szCs w:val="32"/>
        </w:rPr>
        <w:t xml:space="preserve"> activists, political prisoners and other individuals in the revolutionary courts of Iran have long complained of illegal coercive confessions, which routinely lead to long prison sentences and exile, and in many cases innocent people have been executed in prison. In accordance with the International Covenant on Civil and Political Rights and International Law, the Iranian State is committed to provide real and appropriate compensation to victims of these inhumane violations.</w:t>
      </w:r>
      <w:r>
        <w:rPr>
          <w:sz w:val="32"/>
          <w:szCs w:val="32"/>
          <w:vertAlign w:val="superscript"/>
        </w:rPr>
        <w:footnoteReference w:id="5"/>
      </w:r>
    </w:p>
    <w:p w:rsidR="00623EE5" w:rsidRDefault="00914E80" w:rsidP="000812BD">
      <w:pPr>
        <w:pBdr>
          <w:top w:val="nil"/>
          <w:left w:val="nil"/>
          <w:bottom w:val="nil"/>
          <w:right w:val="nil"/>
          <w:between w:val="nil"/>
        </w:pBdr>
        <w:bidi w:val="0"/>
        <w:spacing w:after="160"/>
        <w:ind w:left="0" w:firstLine="0"/>
        <w:jc w:val="both"/>
        <w:rPr>
          <w:rFonts w:ascii="Sakkal Majalla" w:eastAsia="Sakkal Majalla" w:hAnsi="Sakkal Majalla" w:cs="Sakkal Majalla"/>
          <w:sz w:val="32"/>
          <w:szCs w:val="32"/>
        </w:rPr>
      </w:pPr>
      <w:r>
        <w:rPr>
          <w:rFonts w:ascii="Sakkal Majalla" w:eastAsia="Sakkal Majalla" w:hAnsi="Sakkal Majalla" w:cs="Sakkal Majalla"/>
          <w:sz w:val="32"/>
          <w:szCs w:val="32"/>
        </w:rPr>
        <w:t xml:space="preserve">     The Iranian authorities arrest and kill dozens of defenseless people of Ahwaz and </w:t>
      </w:r>
      <w:proofErr w:type="spellStart"/>
      <w:r>
        <w:rPr>
          <w:rFonts w:ascii="Sakkal Majalla" w:eastAsia="Sakkal Majalla" w:hAnsi="Sakkal Majalla" w:cs="Sakkal Majalla"/>
          <w:sz w:val="32"/>
          <w:szCs w:val="32"/>
        </w:rPr>
        <w:t>Ahwazi</w:t>
      </w:r>
      <w:proofErr w:type="spellEnd"/>
      <w:r>
        <w:rPr>
          <w:rFonts w:ascii="Sakkal Majalla" w:eastAsia="Sakkal Majalla" w:hAnsi="Sakkal Majalla" w:cs="Sakkal Majalla"/>
          <w:sz w:val="32"/>
          <w:szCs w:val="32"/>
        </w:rPr>
        <w:t xml:space="preserve"> activists in various fields, as well as the implementation of inhumane verdicts against them. For example, the Iranian Revolutionary Court sentenced many </w:t>
      </w:r>
      <w:proofErr w:type="spellStart"/>
      <w:r>
        <w:rPr>
          <w:rFonts w:ascii="Sakkal Majalla" w:eastAsia="Sakkal Majalla" w:hAnsi="Sakkal Majalla" w:cs="Sakkal Majalla"/>
          <w:sz w:val="32"/>
          <w:szCs w:val="32"/>
        </w:rPr>
        <w:t>Ahwazi</w:t>
      </w:r>
      <w:proofErr w:type="spellEnd"/>
      <w:r>
        <w:rPr>
          <w:rFonts w:ascii="Sakkal Majalla" w:eastAsia="Sakkal Majalla" w:hAnsi="Sakkal Majalla" w:cs="Sakkal Majalla"/>
          <w:sz w:val="32"/>
          <w:szCs w:val="32"/>
        </w:rPr>
        <w:t xml:space="preserve"> citizens tortured in detention </w:t>
      </w:r>
      <w:r w:rsidR="00324819">
        <w:rPr>
          <w:rFonts w:ascii="Sakkal Majalla" w:eastAsia="Sakkal Majalla" w:hAnsi="Sakkal Majalla" w:cs="Sakkal Majalla"/>
          <w:sz w:val="32"/>
          <w:szCs w:val="32"/>
        </w:rPr>
        <w:t>centers to</w:t>
      </w:r>
      <w:r>
        <w:rPr>
          <w:rFonts w:ascii="Sakkal Majalla" w:eastAsia="Sakkal Majalla" w:hAnsi="Sakkal Majalla" w:cs="Sakkal Majalla"/>
          <w:sz w:val="32"/>
          <w:szCs w:val="32"/>
        </w:rPr>
        <w:t xml:space="preserve"> obtain coercive confessions. The court also has prevented </w:t>
      </w:r>
      <w:proofErr w:type="spellStart"/>
      <w:r>
        <w:rPr>
          <w:rFonts w:ascii="Sakkal Majalla" w:eastAsia="Sakkal Majalla" w:hAnsi="Sakkal Majalla" w:cs="Sakkal Majalla"/>
          <w:sz w:val="32"/>
          <w:szCs w:val="32"/>
        </w:rPr>
        <w:t>Ahwazi</w:t>
      </w:r>
      <w:proofErr w:type="spellEnd"/>
      <w:r>
        <w:rPr>
          <w:rFonts w:ascii="Sakkal Majalla" w:eastAsia="Sakkal Majalla" w:hAnsi="Sakkal Majalla" w:cs="Sakkal Majalla"/>
          <w:sz w:val="32"/>
          <w:szCs w:val="32"/>
        </w:rPr>
        <w:t xml:space="preserve"> detainees from appointing a lawyer and defending their rights.</w:t>
      </w:r>
      <w:r>
        <w:rPr>
          <w:rFonts w:ascii="Sakkal Majalla" w:eastAsia="Sakkal Majalla" w:hAnsi="Sakkal Majalla" w:cs="Sakkal Majalla"/>
          <w:sz w:val="32"/>
          <w:szCs w:val="32"/>
          <w:vertAlign w:val="superscript"/>
        </w:rPr>
        <w:footnoteReference w:id="6"/>
      </w:r>
    </w:p>
    <w:p w:rsidR="000F0BE3" w:rsidRDefault="000F0BE3" w:rsidP="000F0BE3">
      <w:pPr>
        <w:pBdr>
          <w:top w:val="nil"/>
          <w:left w:val="nil"/>
          <w:bottom w:val="nil"/>
          <w:right w:val="nil"/>
          <w:between w:val="nil"/>
        </w:pBdr>
        <w:bidi w:val="0"/>
        <w:spacing w:after="160"/>
        <w:ind w:left="0" w:firstLine="0"/>
        <w:jc w:val="both"/>
        <w:rPr>
          <w:rFonts w:ascii="Sakkal Majalla" w:eastAsia="Sakkal Majalla" w:hAnsi="Sakkal Majalla" w:cs="Sakkal Majalla"/>
          <w:sz w:val="32"/>
          <w:szCs w:val="32"/>
        </w:rPr>
      </w:pPr>
    </w:p>
    <w:p w:rsidR="00623EE5" w:rsidRPr="000812BD" w:rsidRDefault="000812BD" w:rsidP="000812BD">
      <w:pPr>
        <w:pStyle w:val="ListParagraph"/>
        <w:numPr>
          <w:ilvl w:val="0"/>
          <w:numId w:val="3"/>
        </w:numPr>
        <w:pBdr>
          <w:top w:val="nil"/>
          <w:left w:val="nil"/>
          <w:bottom w:val="nil"/>
          <w:right w:val="nil"/>
          <w:between w:val="nil"/>
        </w:pBdr>
        <w:bidi w:val="0"/>
        <w:spacing w:after="160"/>
        <w:jc w:val="both"/>
        <w:rPr>
          <w:rFonts w:ascii="Sakkal Majalla" w:eastAsia="Sakkal Majalla" w:hAnsi="Sakkal Majalla" w:cs="Sakkal Majalla"/>
          <w:b/>
          <w:color w:val="000000"/>
          <w:sz w:val="32"/>
          <w:szCs w:val="32"/>
          <w:u w:val="single"/>
        </w:rPr>
      </w:pPr>
      <w:r w:rsidRPr="000812BD">
        <w:rPr>
          <w:rFonts w:ascii="Sakkal Majalla" w:eastAsia="Sakkal Majalla" w:hAnsi="Sakkal Majalla" w:cs="Sakkal Majalla"/>
          <w:b/>
          <w:color w:val="000000"/>
          <w:sz w:val="32"/>
          <w:szCs w:val="32"/>
          <w:u w:val="single"/>
        </w:rPr>
        <w:lastRenderedPageBreak/>
        <w:t xml:space="preserve">Taking into consideration the cultural and social characteristics of the </w:t>
      </w:r>
      <w:proofErr w:type="spellStart"/>
      <w:r w:rsidRPr="000812BD">
        <w:rPr>
          <w:rFonts w:ascii="Sakkal Majalla" w:eastAsia="Sakkal Majalla" w:hAnsi="Sakkal Majalla" w:cs="Sakkal Majalla"/>
          <w:b/>
          <w:color w:val="000000"/>
          <w:sz w:val="32"/>
          <w:szCs w:val="32"/>
          <w:u w:val="single"/>
        </w:rPr>
        <w:t>Ahwazi</w:t>
      </w:r>
      <w:proofErr w:type="spellEnd"/>
      <w:r w:rsidRPr="000812BD">
        <w:rPr>
          <w:rFonts w:ascii="Sakkal Majalla" w:eastAsia="Sakkal Majalla" w:hAnsi="Sakkal Majalla" w:cs="Sakkal Majalla"/>
          <w:b/>
          <w:color w:val="000000"/>
          <w:sz w:val="32"/>
          <w:szCs w:val="32"/>
          <w:u w:val="single"/>
        </w:rPr>
        <w:t xml:space="preserve"> people during the </w:t>
      </w:r>
      <w:r>
        <w:rPr>
          <w:rFonts w:ascii="Sakkal Majalla" w:eastAsia="Sakkal Majalla" w:hAnsi="Sakkal Majalla" w:cs="Sakkal Majalla"/>
          <w:b/>
          <w:color w:val="000000"/>
          <w:sz w:val="32"/>
          <w:szCs w:val="32"/>
          <w:u w:val="single"/>
        </w:rPr>
        <w:t xml:space="preserve">trials </w:t>
      </w:r>
    </w:p>
    <w:p w:rsidR="00623EE5" w:rsidRDefault="00914E80" w:rsidP="000812BD">
      <w:pPr>
        <w:bidi w:val="0"/>
        <w:ind w:firstLine="567"/>
        <w:jc w:val="both"/>
        <w:rPr>
          <w:rFonts w:ascii="Sakkal Majalla" w:eastAsia="Sakkal Majalla" w:hAnsi="Sakkal Majalla" w:cs="Sakkal Majalla"/>
          <w:sz w:val="32"/>
          <w:szCs w:val="32"/>
        </w:rPr>
      </w:pPr>
      <w:r>
        <w:rPr>
          <w:rFonts w:ascii="Sakkal Majalla" w:eastAsia="Sakkal Majalla" w:hAnsi="Sakkal Majalla" w:cs="Sakkal Majalla"/>
          <w:sz w:val="32"/>
          <w:szCs w:val="32"/>
        </w:rPr>
        <w:t>However, Article 34 of the Iranian Constitution guarantees the right of access to the courts for every citizen, it states that any citizen has the right to resort to qualified courts, which is an indisputable right for every citizen and that all citizens have the right to referring to such courts.</w:t>
      </w:r>
      <w:r>
        <w:rPr>
          <w:sz w:val="32"/>
          <w:szCs w:val="32"/>
          <w:vertAlign w:val="superscript"/>
        </w:rPr>
        <w:footnoteReference w:id="7"/>
      </w:r>
    </w:p>
    <w:p w:rsidR="00623EE5" w:rsidRDefault="00914E80" w:rsidP="000812BD">
      <w:pPr>
        <w:bidi w:val="0"/>
        <w:ind w:firstLine="567"/>
        <w:jc w:val="both"/>
        <w:rPr>
          <w:rFonts w:ascii="Sakkal Majalla" w:eastAsia="Sakkal Majalla" w:hAnsi="Sakkal Majalla" w:cs="Sakkal Majalla"/>
          <w:sz w:val="32"/>
          <w:szCs w:val="32"/>
        </w:rPr>
      </w:pPr>
      <w:r>
        <w:rPr>
          <w:rFonts w:ascii="Sakkal Majalla" w:eastAsia="Sakkal Majalla" w:hAnsi="Sakkal Majalla" w:cs="Sakkal Majalla"/>
          <w:sz w:val="32"/>
          <w:szCs w:val="32"/>
        </w:rPr>
        <w:t xml:space="preserve">However, violations of this article, as well as violations of the International Covenant on Civil and Political Rights (ICCPR) relating to fair trials of detainees, are widespread in Iran's courts, particularly in trials held in revolutionary courts where political detainees, </w:t>
      </w:r>
      <w:proofErr w:type="spellStart"/>
      <w:r>
        <w:rPr>
          <w:rFonts w:ascii="Sakkal Majalla" w:eastAsia="Sakkal Majalla" w:hAnsi="Sakkal Majalla" w:cs="Sakkal Majalla"/>
          <w:sz w:val="32"/>
          <w:szCs w:val="32"/>
        </w:rPr>
        <w:t>Ahwazi</w:t>
      </w:r>
      <w:proofErr w:type="spellEnd"/>
      <w:r>
        <w:rPr>
          <w:rFonts w:ascii="Sakkal Majalla" w:eastAsia="Sakkal Majalla" w:hAnsi="Sakkal Majalla" w:cs="Sakkal Majalla"/>
          <w:sz w:val="32"/>
          <w:szCs w:val="32"/>
        </w:rPr>
        <w:t xml:space="preserve"> intellectuals and those accused falsely of crimes related to national security are deprived of any equal rights before the courts. Detainees are tried summarily giving no enough  time to prepare defenses by a lawyer, and are denied basic assistance by an interpreter in case they have difficulty speaking or understanding Persian, the only language officially recognized in the courts, which makes many even incapable of understanding the proceedings, not to mention replying to the charges against them. Prosecution of these courts is primarily based on self-incriminating confessions of defendants obtained under duress through physical and psychological torture.</w:t>
      </w:r>
      <w:r>
        <w:rPr>
          <w:rFonts w:ascii="Sakkal Majalla" w:eastAsia="Sakkal Majalla" w:hAnsi="Sakkal Majalla" w:cs="Sakkal Majalla"/>
          <w:sz w:val="32"/>
          <w:szCs w:val="32"/>
          <w:vertAlign w:val="superscript"/>
        </w:rPr>
        <w:footnoteReference w:id="8"/>
      </w:r>
    </w:p>
    <w:p w:rsidR="00623EE5" w:rsidRDefault="00914E80" w:rsidP="000812BD">
      <w:pPr>
        <w:pBdr>
          <w:top w:val="nil"/>
          <w:left w:val="nil"/>
          <w:bottom w:val="nil"/>
          <w:right w:val="nil"/>
          <w:between w:val="nil"/>
        </w:pBdr>
        <w:bidi w:val="0"/>
        <w:spacing w:after="160"/>
        <w:ind w:left="303" w:firstLine="0"/>
        <w:jc w:val="both"/>
        <w:rPr>
          <w:rFonts w:ascii="Sakkal Majalla" w:eastAsia="Sakkal Majalla" w:hAnsi="Sakkal Majalla" w:cs="Sakkal Majalla"/>
          <w:b/>
          <w:sz w:val="32"/>
          <w:szCs w:val="32"/>
          <w:u w:val="single"/>
        </w:rPr>
      </w:pPr>
      <w:r>
        <w:rPr>
          <w:rFonts w:ascii="Sakkal Majalla" w:eastAsia="Sakkal Majalla" w:hAnsi="Sakkal Majalla" w:cs="Sakkal Majalla"/>
          <w:b/>
          <w:sz w:val="32"/>
          <w:szCs w:val="32"/>
          <w:u w:val="single"/>
        </w:rPr>
        <w:t xml:space="preserve">3. </w:t>
      </w:r>
      <w:r w:rsidR="000812BD">
        <w:rPr>
          <w:rFonts w:ascii="Sakkal Majalla" w:eastAsia="Sakkal Majalla" w:hAnsi="Sakkal Majalla" w:cs="Sakkal Majalla"/>
          <w:b/>
          <w:sz w:val="32"/>
          <w:szCs w:val="32"/>
          <w:u w:val="single"/>
        </w:rPr>
        <w:t xml:space="preserve">Regarding </w:t>
      </w:r>
      <w:proofErr w:type="gramStart"/>
      <w:r w:rsidR="000812BD">
        <w:rPr>
          <w:rFonts w:ascii="Sakkal Majalla" w:eastAsia="Sakkal Majalla" w:hAnsi="Sakkal Majalla" w:cs="Sakkal Majalla"/>
          <w:b/>
          <w:sz w:val="32"/>
          <w:szCs w:val="32"/>
          <w:u w:val="single"/>
        </w:rPr>
        <w:t>compensations</w:t>
      </w:r>
      <w:r>
        <w:rPr>
          <w:rFonts w:ascii="Sakkal Majalla" w:eastAsia="Sakkal Majalla" w:hAnsi="Sakkal Majalla" w:cs="Sakkal Majalla"/>
          <w:b/>
          <w:sz w:val="32"/>
          <w:szCs w:val="32"/>
          <w:u w:val="single"/>
        </w:rPr>
        <w:t xml:space="preserve">  and</w:t>
      </w:r>
      <w:proofErr w:type="gramEnd"/>
      <w:r>
        <w:rPr>
          <w:rFonts w:ascii="Sakkal Majalla" w:eastAsia="Sakkal Majalla" w:hAnsi="Sakkal Majalla" w:cs="Sakkal Majalla"/>
          <w:b/>
          <w:sz w:val="32"/>
          <w:szCs w:val="32"/>
          <w:u w:val="single"/>
        </w:rPr>
        <w:t xml:space="preserve"> remedies for indigenous peoples</w:t>
      </w:r>
    </w:p>
    <w:p w:rsidR="00623EE5" w:rsidRDefault="00914E80" w:rsidP="000812BD">
      <w:pPr>
        <w:bidi w:val="0"/>
        <w:ind w:firstLine="567"/>
        <w:jc w:val="both"/>
        <w:rPr>
          <w:rFonts w:ascii="Sakkal Majalla" w:eastAsia="Sakkal Majalla" w:hAnsi="Sakkal Majalla" w:cs="Sakkal Majalla"/>
          <w:sz w:val="32"/>
          <w:szCs w:val="32"/>
        </w:rPr>
      </w:pPr>
      <w:r>
        <w:rPr>
          <w:rFonts w:ascii="Sakkal Majalla" w:eastAsia="Sakkal Majalla" w:hAnsi="Sakkal Majalla" w:cs="Sakkal Majalla"/>
          <w:sz w:val="32"/>
          <w:szCs w:val="32"/>
        </w:rPr>
        <w:t>Article 171 of the Iranian Constitution stipulates that " the event that one suffers financial or spiritual damage as a consequence of a failure or mistake of a judge in the case, the  verdict, or the application of the verdict to the specific case, in case of guilt, the one who is guilty is liable in accordance to Islamic criteria; otherwise, the damage is compensated by the government. In all cases the reputation of the accused will be cleared and restored.”</w:t>
      </w:r>
      <w:r>
        <w:rPr>
          <w:sz w:val="32"/>
          <w:szCs w:val="32"/>
          <w:vertAlign w:val="superscript"/>
        </w:rPr>
        <w:footnoteReference w:id="9"/>
      </w:r>
    </w:p>
    <w:p w:rsidR="00623EE5" w:rsidRDefault="00914E80" w:rsidP="000812BD">
      <w:pPr>
        <w:bidi w:val="0"/>
        <w:ind w:firstLine="567"/>
        <w:jc w:val="both"/>
        <w:rPr>
          <w:rFonts w:ascii="Sakkal Majalla" w:eastAsia="Sakkal Majalla" w:hAnsi="Sakkal Majalla" w:cs="Sakkal Majalla"/>
          <w:sz w:val="32"/>
          <w:szCs w:val="32"/>
        </w:rPr>
      </w:pPr>
      <w:r>
        <w:rPr>
          <w:rFonts w:ascii="Sakkal Majalla" w:eastAsia="Sakkal Majalla" w:hAnsi="Sakkal Majalla" w:cs="Sakkal Majalla"/>
          <w:sz w:val="32"/>
          <w:szCs w:val="32"/>
        </w:rPr>
        <w:lastRenderedPageBreak/>
        <w:t xml:space="preserve">However, victims of human rights violations are, particularly the </w:t>
      </w:r>
      <w:proofErr w:type="spellStart"/>
      <w:r>
        <w:rPr>
          <w:rFonts w:ascii="Sakkal Majalla" w:eastAsia="Sakkal Majalla" w:hAnsi="Sakkal Majalla" w:cs="Sakkal Majalla"/>
          <w:sz w:val="32"/>
          <w:szCs w:val="32"/>
        </w:rPr>
        <w:t>Ahwazi</w:t>
      </w:r>
      <w:proofErr w:type="spellEnd"/>
      <w:r>
        <w:rPr>
          <w:rFonts w:ascii="Sakkal Majalla" w:eastAsia="Sakkal Majalla" w:hAnsi="Sakkal Majalla" w:cs="Sakkal Majalla"/>
          <w:sz w:val="32"/>
          <w:szCs w:val="32"/>
        </w:rPr>
        <w:t xml:space="preserve"> people, denied the right to bring criminal proceedings against the officials in the local courts, also violators effectively associated with government agencies enjoy impunity in any prosecution, as well as they have spread the violations of the right of the indigenous peoples of Ahwaz to access to justice. In addition, victims of human rights violations </w:t>
      </w:r>
      <w:proofErr w:type="spellStart"/>
      <w:r>
        <w:rPr>
          <w:rFonts w:ascii="Sakkal Majalla" w:eastAsia="Sakkal Majalla" w:hAnsi="Sakkal Majalla" w:cs="Sakkal Majalla"/>
          <w:sz w:val="32"/>
          <w:szCs w:val="32"/>
        </w:rPr>
        <w:t>can not</w:t>
      </w:r>
      <w:proofErr w:type="spellEnd"/>
      <w:r>
        <w:rPr>
          <w:rFonts w:ascii="Sakkal Majalla" w:eastAsia="Sakkal Majalla" w:hAnsi="Sakkal Majalla" w:cs="Sakkal Majalla"/>
          <w:sz w:val="32"/>
          <w:szCs w:val="32"/>
        </w:rPr>
        <w:t xml:space="preserve"> realistically expect to obtain any compensation or reparation under the current criminal law for several reasons including: fear of intimidation, harassment, difficulty in obtaining evidence due to lack of access to timely medical examinations, lack of evidence provided through criminal investigations and non-independence of the judiciary.</w:t>
      </w:r>
    </w:p>
    <w:p w:rsidR="00623EE5" w:rsidRDefault="00914E80" w:rsidP="000812BD">
      <w:pPr>
        <w:pBdr>
          <w:top w:val="nil"/>
          <w:left w:val="nil"/>
          <w:bottom w:val="nil"/>
          <w:right w:val="nil"/>
          <w:between w:val="nil"/>
        </w:pBdr>
        <w:bidi w:val="0"/>
        <w:spacing w:after="160"/>
        <w:ind w:left="303" w:firstLine="0"/>
        <w:jc w:val="both"/>
        <w:rPr>
          <w:rFonts w:ascii="Sakkal Majalla" w:eastAsia="Sakkal Majalla" w:hAnsi="Sakkal Majalla" w:cs="Sakkal Majalla"/>
          <w:b/>
          <w:sz w:val="32"/>
          <w:szCs w:val="32"/>
          <w:u w:val="single"/>
        </w:rPr>
      </w:pPr>
      <w:bookmarkStart w:id="0" w:name="_GoBack"/>
      <w:bookmarkEnd w:id="0"/>
      <w:r>
        <w:rPr>
          <w:rFonts w:ascii="Sakkal Majalla" w:eastAsia="Sakkal Majalla" w:hAnsi="Sakkal Majalla" w:cs="Sakkal Majalla"/>
          <w:b/>
          <w:sz w:val="32"/>
          <w:szCs w:val="32"/>
          <w:u w:val="single"/>
        </w:rPr>
        <w:t xml:space="preserve">4. Regarding special measures to ensure that detention </w:t>
      </w:r>
      <w:r w:rsidR="000812BD">
        <w:rPr>
          <w:rFonts w:ascii="Sakkal Majalla" w:eastAsia="Sakkal Majalla" w:hAnsi="Sakkal Majalla" w:cs="Sakkal Majalla"/>
          <w:b/>
          <w:sz w:val="32"/>
          <w:szCs w:val="32"/>
          <w:u w:val="single"/>
        </w:rPr>
        <w:t>centers respect</w:t>
      </w:r>
      <w:r>
        <w:rPr>
          <w:rFonts w:ascii="Sakkal Majalla" w:eastAsia="Sakkal Majalla" w:hAnsi="Sakkal Majalla" w:cs="Sakkal Majalla"/>
          <w:b/>
          <w:sz w:val="32"/>
          <w:szCs w:val="32"/>
          <w:u w:val="single"/>
        </w:rPr>
        <w:t xml:space="preserve"> cultural and religious practices and health services</w:t>
      </w:r>
    </w:p>
    <w:p w:rsidR="00623EE5" w:rsidRDefault="00914E80" w:rsidP="000812BD">
      <w:pPr>
        <w:bidi w:val="0"/>
        <w:ind w:firstLine="567"/>
        <w:jc w:val="both"/>
        <w:rPr>
          <w:rFonts w:ascii="Sakkal Majalla" w:eastAsia="Sakkal Majalla" w:hAnsi="Sakkal Majalla" w:cs="Sakkal Majalla"/>
          <w:sz w:val="32"/>
          <w:szCs w:val="32"/>
        </w:rPr>
      </w:pPr>
      <w:r>
        <w:rPr>
          <w:rFonts w:ascii="Sakkal Majalla" w:eastAsia="Sakkal Majalla" w:hAnsi="Sakkal Majalla" w:cs="Sakkal Majalla"/>
          <w:sz w:val="32"/>
          <w:szCs w:val="32"/>
        </w:rPr>
        <w:t xml:space="preserve">The </w:t>
      </w:r>
      <w:proofErr w:type="spellStart"/>
      <w:r>
        <w:rPr>
          <w:rFonts w:ascii="Sakkal Majalla" w:eastAsia="Sakkal Majalla" w:hAnsi="Sakkal Majalla" w:cs="Sakkal Majalla"/>
          <w:sz w:val="32"/>
          <w:szCs w:val="32"/>
        </w:rPr>
        <w:t>Ahwazi</w:t>
      </w:r>
      <w:proofErr w:type="spellEnd"/>
      <w:r>
        <w:rPr>
          <w:rFonts w:ascii="Sakkal Majalla" w:eastAsia="Sakkal Majalla" w:hAnsi="Sakkal Majalla" w:cs="Sakkal Majalla"/>
          <w:sz w:val="32"/>
          <w:szCs w:val="32"/>
        </w:rPr>
        <w:t xml:space="preserve"> detainees in prisons of Iran are living in particular health conditions. They are subjected to many violations by means of systematic physical and psychological torture such </w:t>
      </w:r>
      <w:r w:rsidR="00324819">
        <w:rPr>
          <w:rFonts w:ascii="Sakkal Majalla" w:eastAsia="Sakkal Majalla" w:hAnsi="Sakkal Majalla" w:cs="Sakkal Majalla"/>
          <w:sz w:val="32"/>
          <w:szCs w:val="32"/>
        </w:rPr>
        <w:t>as denial</w:t>
      </w:r>
      <w:r>
        <w:rPr>
          <w:rFonts w:ascii="Sakkal Majalla" w:eastAsia="Sakkal Majalla" w:hAnsi="Sakkal Majalla" w:cs="Sakkal Majalla"/>
          <w:sz w:val="32"/>
          <w:szCs w:val="32"/>
        </w:rPr>
        <w:t xml:space="preserve"> of real medical care and deliberate delay in providing treatment to prisoners, oppression, humiliation and torture exercised by detention and interrogation teams, which are considered </w:t>
      </w:r>
      <w:r w:rsidR="00324819">
        <w:rPr>
          <w:rFonts w:ascii="Sakkal Majalla" w:eastAsia="Sakkal Majalla" w:hAnsi="Sakkal Majalla" w:cs="Sakkal Majalla"/>
          <w:sz w:val="32"/>
          <w:szCs w:val="32"/>
        </w:rPr>
        <w:t>as violations</w:t>
      </w:r>
      <w:r>
        <w:rPr>
          <w:rFonts w:ascii="Sakkal Majalla" w:eastAsia="Sakkal Majalla" w:hAnsi="Sakkal Majalla" w:cs="Sakkal Majalla"/>
          <w:sz w:val="32"/>
          <w:szCs w:val="32"/>
        </w:rPr>
        <w:t xml:space="preserve"> of many international covenants and conventions. The level of health care for prisoners is very poor, whereas it is sham and virtually non-existent. Also, the medical clinics in the Iranian prisons and detention centers lack the minimum number of health services, equipment, medical supplies and specialist physicians to examine and treat multiple cases.</w:t>
      </w:r>
      <w:r>
        <w:rPr>
          <w:rFonts w:ascii="Sakkal Majalla" w:eastAsia="Sakkal Majalla" w:hAnsi="Sakkal Majalla" w:cs="Sakkal Majalla"/>
          <w:sz w:val="32"/>
          <w:szCs w:val="32"/>
          <w:vertAlign w:val="superscript"/>
        </w:rPr>
        <w:footnoteReference w:id="10"/>
      </w:r>
    </w:p>
    <w:p w:rsidR="00623EE5" w:rsidRDefault="00914E80" w:rsidP="000812BD">
      <w:pPr>
        <w:bidi w:val="0"/>
        <w:ind w:firstLine="567"/>
        <w:jc w:val="both"/>
        <w:rPr>
          <w:rFonts w:ascii="Sakkal Majalla" w:eastAsia="Sakkal Majalla" w:hAnsi="Sakkal Majalla" w:cs="Sakkal Majalla"/>
          <w:sz w:val="32"/>
          <w:szCs w:val="32"/>
        </w:rPr>
      </w:pPr>
      <w:r>
        <w:rPr>
          <w:rFonts w:ascii="Sakkal Majalla" w:eastAsia="Sakkal Majalla" w:hAnsi="Sakkal Majalla" w:cs="Sakkal Majalla"/>
          <w:sz w:val="32"/>
          <w:szCs w:val="32"/>
        </w:rPr>
        <w:t xml:space="preserve">Arguably, Iran violates the right of the indigenous people in the region of Ahwaz to access to justice, uses the worst techniques of psychological and physical torture against </w:t>
      </w:r>
      <w:proofErr w:type="spellStart"/>
      <w:r>
        <w:rPr>
          <w:rFonts w:ascii="Sakkal Majalla" w:eastAsia="Sakkal Majalla" w:hAnsi="Sakkal Majalla" w:cs="Sakkal Majalla"/>
          <w:sz w:val="32"/>
          <w:szCs w:val="32"/>
        </w:rPr>
        <w:t>Ahwazi</w:t>
      </w:r>
      <w:proofErr w:type="spellEnd"/>
      <w:r>
        <w:rPr>
          <w:rFonts w:ascii="Sakkal Majalla" w:eastAsia="Sakkal Majalla" w:hAnsi="Sakkal Majalla" w:cs="Sakkal Majalla"/>
          <w:sz w:val="32"/>
          <w:szCs w:val="32"/>
        </w:rPr>
        <w:t xml:space="preserve"> detainees, subjects them to trials that infringe the international rules of trials, and deprives  them of the right to appoint lawyers to defend them, also psychological techniques are used to compel defendants to confess fabricated charges to be used  as a pretext to carry out the death sentences against them or to convict them of long-term prison sentences, in addition to depriving their families and relatives of visiting them.</w:t>
      </w:r>
    </w:p>
    <w:p w:rsidR="00623EE5" w:rsidRDefault="00914E80" w:rsidP="000812BD">
      <w:pPr>
        <w:shd w:val="clear" w:color="auto" w:fill="00B0F0"/>
        <w:bidi w:val="0"/>
        <w:spacing w:line="240" w:lineRule="auto"/>
        <w:jc w:val="both"/>
        <w:rPr>
          <w:rFonts w:ascii="Sakkal Majalla" w:eastAsia="Sakkal Majalla" w:hAnsi="Sakkal Majalla" w:cs="Sakkal Majalla"/>
          <w:b/>
          <w:sz w:val="36"/>
          <w:szCs w:val="36"/>
        </w:rPr>
      </w:pPr>
      <w:r>
        <w:rPr>
          <w:rFonts w:ascii="Sakkal Majalla" w:eastAsia="Sakkal Majalla" w:hAnsi="Sakkal Majalla" w:cs="Sakkal Majalla"/>
          <w:b/>
          <w:sz w:val="36"/>
          <w:szCs w:val="36"/>
        </w:rPr>
        <w:lastRenderedPageBreak/>
        <w:t xml:space="preserve">Recommendations </w:t>
      </w:r>
    </w:p>
    <w:p w:rsidR="00623EE5" w:rsidRDefault="00914E80" w:rsidP="000812BD">
      <w:pPr>
        <w:numPr>
          <w:ilvl w:val="0"/>
          <w:numId w:val="2"/>
        </w:numPr>
        <w:pBdr>
          <w:top w:val="nil"/>
          <w:left w:val="nil"/>
          <w:bottom w:val="nil"/>
          <w:right w:val="nil"/>
          <w:between w:val="nil"/>
        </w:pBdr>
        <w:bidi w:val="0"/>
        <w:spacing w:after="160"/>
        <w:jc w:val="both"/>
        <w:rPr>
          <w:rFonts w:ascii="Sakkal Majalla" w:eastAsia="Sakkal Majalla" w:hAnsi="Sakkal Majalla" w:cs="Sakkal Majalla"/>
          <w:sz w:val="32"/>
          <w:szCs w:val="32"/>
        </w:rPr>
      </w:pPr>
      <w:bookmarkStart w:id="1" w:name="_gjdgxs" w:colFirst="0" w:colLast="0"/>
      <w:bookmarkEnd w:id="1"/>
      <w:r>
        <w:rPr>
          <w:rFonts w:ascii="Sakkal Majalla" w:eastAsia="Sakkal Majalla" w:hAnsi="Sakkal Majalla" w:cs="Sakkal Majalla"/>
          <w:sz w:val="32"/>
          <w:szCs w:val="32"/>
        </w:rPr>
        <w:t>The international community should press the Iranian authorities to urge them to fulfill their international obligations in ensuring universal access to justice without discrimination.</w:t>
      </w:r>
    </w:p>
    <w:p w:rsidR="00623EE5" w:rsidRDefault="00914E80" w:rsidP="000812BD">
      <w:pPr>
        <w:numPr>
          <w:ilvl w:val="0"/>
          <w:numId w:val="2"/>
        </w:numPr>
        <w:pBdr>
          <w:top w:val="nil"/>
          <w:left w:val="nil"/>
          <w:bottom w:val="nil"/>
          <w:right w:val="nil"/>
          <w:between w:val="nil"/>
        </w:pBdr>
        <w:bidi w:val="0"/>
        <w:spacing w:after="160"/>
        <w:jc w:val="both"/>
        <w:rPr>
          <w:rFonts w:ascii="Sakkal Majalla" w:eastAsia="Sakkal Majalla" w:hAnsi="Sakkal Majalla" w:cs="Sakkal Majalla"/>
          <w:sz w:val="32"/>
          <w:szCs w:val="32"/>
        </w:rPr>
      </w:pPr>
      <w:r>
        <w:rPr>
          <w:rFonts w:ascii="Sakkal Majalla" w:eastAsia="Sakkal Majalla" w:hAnsi="Sakkal Majalla" w:cs="Sakkal Majalla"/>
          <w:sz w:val="32"/>
          <w:szCs w:val="32"/>
        </w:rPr>
        <w:t>Iran should implement its legislation and laws on the right of all citizens to a fair trial</w:t>
      </w:r>
    </w:p>
    <w:p w:rsidR="00623EE5" w:rsidRDefault="00914E80" w:rsidP="000812BD">
      <w:pPr>
        <w:numPr>
          <w:ilvl w:val="0"/>
          <w:numId w:val="2"/>
        </w:numPr>
        <w:pBdr>
          <w:top w:val="nil"/>
          <w:left w:val="nil"/>
          <w:bottom w:val="nil"/>
          <w:right w:val="nil"/>
          <w:between w:val="nil"/>
        </w:pBdr>
        <w:bidi w:val="0"/>
        <w:spacing w:after="160"/>
        <w:jc w:val="both"/>
        <w:rPr>
          <w:rFonts w:ascii="Sakkal Majalla" w:eastAsia="Sakkal Majalla" w:hAnsi="Sakkal Majalla" w:cs="Sakkal Majalla"/>
          <w:sz w:val="32"/>
          <w:szCs w:val="32"/>
        </w:rPr>
      </w:pPr>
      <w:r>
        <w:rPr>
          <w:rFonts w:ascii="Sakkal Majalla" w:eastAsia="Sakkal Majalla" w:hAnsi="Sakkal Majalla" w:cs="Sakkal Majalla"/>
          <w:sz w:val="32"/>
          <w:szCs w:val="32"/>
        </w:rPr>
        <w:t>Iran should rescind its reservation to the First Optional Protocol, which allows individuals to lodge complaints with the Human Rights Council on violations of their rights by the state.</w:t>
      </w:r>
    </w:p>
    <w:p w:rsidR="00623EE5" w:rsidRDefault="00623EE5" w:rsidP="000812BD">
      <w:pPr>
        <w:pBdr>
          <w:top w:val="nil"/>
          <w:left w:val="nil"/>
          <w:bottom w:val="nil"/>
          <w:right w:val="nil"/>
          <w:between w:val="nil"/>
        </w:pBdr>
        <w:bidi w:val="0"/>
        <w:spacing w:after="160"/>
        <w:ind w:left="720" w:firstLine="0"/>
        <w:jc w:val="both"/>
        <w:rPr>
          <w:rFonts w:ascii="Sakkal Majalla" w:eastAsia="Sakkal Majalla" w:hAnsi="Sakkal Majalla" w:cs="Sakkal Majalla"/>
          <w:sz w:val="32"/>
          <w:szCs w:val="32"/>
        </w:rPr>
      </w:pPr>
    </w:p>
    <w:p w:rsidR="00623EE5" w:rsidRDefault="00623EE5" w:rsidP="000812BD">
      <w:pPr>
        <w:bidi w:val="0"/>
        <w:ind w:left="0" w:firstLine="567"/>
        <w:jc w:val="both"/>
        <w:rPr>
          <w:rFonts w:ascii="Sakkal Majalla" w:eastAsia="Sakkal Majalla" w:hAnsi="Sakkal Majalla" w:cs="Sakkal Majalla"/>
          <w:sz w:val="32"/>
          <w:szCs w:val="32"/>
        </w:rPr>
      </w:pPr>
    </w:p>
    <w:p w:rsidR="00623EE5" w:rsidRDefault="00623EE5" w:rsidP="000812BD">
      <w:pPr>
        <w:bidi w:val="0"/>
        <w:ind w:left="0" w:firstLine="567"/>
        <w:jc w:val="both"/>
        <w:rPr>
          <w:rFonts w:ascii="Sakkal Majalla" w:eastAsia="Sakkal Majalla" w:hAnsi="Sakkal Majalla" w:cs="Sakkal Majalla"/>
          <w:sz w:val="32"/>
          <w:szCs w:val="32"/>
        </w:rPr>
      </w:pPr>
    </w:p>
    <w:p w:rsidR="00623EE5" w:rsidRDefault="00623EE5" w:rsidP="000812BD">
      <w:pPr>
        <w:bidi w:val="0"/>
        <w:ind w:left="0" w:firstLine="567"/>
        <w:jc w:val="both"/>
        <w:rPr>
          <w:rFonts w:ascii="Sakkal Majalla" w:eastAsia="Sakkal Majalla" w:hAnsi="Sakkal Majalla" w:cs="Sakkal Majalla"/>
          <w:sz w:val="32"/>
          <w:szCs w:val="32"/>
        </w:rPr>
      </w:pPr>
    </w:p>
    <w:p w:rsidR="00623EE5" w:rsidRDefault="00623EE5" w:rsidP="000812BD">
      <w:pPr>
        <w:bidi w:val="0"/>
        <w:ind w:left="0" w:firstLine="567"/>
        <w:jc w:val="both"/>
        <w:rPr>
          <w:rFonts w:ascii="Sakkal Majalla" w:eastAsia="Sakkal Majalla" w:hAnsi="Sakkal Majalla" w:cs="Sakkal Majalla"/>
          <w:sz w:val="32"/>
          <w:szCs w:val="32"/>
        </w:rPr>
      </w:pPr>
    </w:p>
    <w:p w:rsidR="00623EE5" w:rsidRDefault="00623EE5" w:rsidP="000812BD">
      <w:pPr>
        <w:bidi w:val="0"/>
        <w:ind w:left="0" w:firstLine="567"/>
        <w:jc w:val="both"/>
        <w:rPr>
          <w:rFonts w:ascii="Sakkal Majalla" w:eastAsia="Sakkal Majalla" w:hAnsi="Sakkal Majalla" w:cs="Sakkal Majalla"/>
          <w:sz w:val="32"/>
          <w:szCs w:val="32"/>
        </w:rPr>
      </w:pPr>
    </w:p>
    <w:sectPr w:rsidR="00623EE5">
      <w:footerReference w:type="default" r:id="rId7"/>
      <w:headerReference w:type="first" r:id="rId8"/>
      <w:footerReference w:type="first" r:id="rId9"/>
      <w:pgSz w:w="11906" w:h="16838"/>
      <w:pgMar w:top="992" w:right="992" w:bottom="992" w:left="992"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36B" w:rsidRDefault="00A6036B">
      <w:pPr>
        <w:spacing w:after="0" w:line="240" w:lineRule="auto"/>
      </w:pPr>
      <w:r>
        <w:separator/>
      </w:r>
    </w:p>
  </w:endnote>
  <w:endnote w:type="continuationSeparator" w:id="0">
    <w:p w:rsidR="00A6036B" w:rsidRDefault="00A60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Sakkal Majalla">
    <w:panose1 w:val="02000000000000000000"/>
    <w:charset w:val="00"/>
    <w:family w:val="auto"/>
    <w:pitch w:val="variable"/>
    <w:sig w:usb0="80002007" w:usb1="80000000" w:usb2="00000008" w:usb3="00000000" w:csb0="000000D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EE5" w:rsidRDefault="00914E80">
    <w:pPr>
      <w:pBdr>
        <w:top w:val="nil"/>
        <w:left w:val="nil"/>
        <w:bottom w:val="nil"/>
        <w:right w:val="nil"/>
        <w:between w:val="nil"/>
      </w:pBdr>
      <w:tabs>
        <w:tab w:val="center" w:pos="4680"/>
        <w:tab w:val="right" w:pos="9360"/>
      </w:tabs>
      <w:spacing w:after="0" w:line="240" w:lineRule="auto"/>
      <w:jc w:val="center"/>
      <w:rPr>
        <w:color w:val="000000"/>
      </w:rPr>
    </w:pPr>
    <w:r>
      <w:rPr>
        <w:b/>
        <w:color w:val="000000"/>
        <w:sz w:val="28"/>
        <w:szCs w:val="28"/>
      </w:rPr>
      <w:fldChar w:fldCharType="begin"/>
    </w:r>
    <w:r>
      <w:rPr>
        <w:b/>
        <w:color w:val="000000"/>
        <w:sz w:val="28"/>
        <w:szCs w:val="28"/>
      </w:rPr>
      <w:instrText>PAGE</w:instrText>
    </w:r>
    <w:r>
      <w:rPr>
        <w:b/>
        <w:color w:val="000000"/>
        <w:sz w:val="28"/>
        <w:szCs w:val="28"/>
      </w:rPr>
      <w:fldChar w:fldCharType="separate"/>
    </w:r>
    <w:r w:rsidR="000812BD">
      <w:rPr>
        <w:rFonts w:cs="Times New Roman"/>
        <w:b/>
        <w:noProof/>
        <w:color w:val="000000"/>
        <w:sz w:val="28"/>
        <w:szCs w:val="28"/>
        <w:rtl/>
      </w:rPr>
      <w:t>2</w:t>
    </w:r>
    <w:r>
      <w:rPr>
        <w:b/>
        <w:color w:val="000000"/>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EE5" w:rsidRDefault="00623EE5">
    <w:pPr>
      <w:pBdr>
        <w:top w:val="nil"/>
        <w:left w:val="nil"/>
        <w:bottom w:val="nil"/>
        <w:right w:val="nil"/>
        <w:between w:val="nil"/>
      </w:pBdr>
      <w:tabs>
        <w:tab w:val="center" w:pos="4680"/>
        <w:tab w:val="right" w:pos="9360"/>
      </w:tabs>
      <w:spacing w:after="0" w:line="240" w:lineRule="auto"/>
      <w:rPr>
        <w:color w:val="000000"/>
      </w:rPr>
    </w:pPr>
  </w:p>
  <w:tbl>
    <w:tblPr>
      <w:tblStyle w:val="a0"/>
      <w:bidiVisual/>
      <w:tblW w:w="10214" w:type="dxa"/>
      <w:tblInd w:w="106" w:type="dxa"/>
      <w:tblBorders>
        <w:insideV w:val="single" w:sz="12" w:space="0" w:color="000000"/>
      </w:tblBorders>
      <w:tblLayout w:type="fixed"/>
      <w:tblLook w:val="0400" w:firstRow="0" w:lastRow="0" w:firstColumn="0" w:lastColumn="0" w:noHBand="0" w:noVBand="1"/>
    </w:tblPr>
    <w:tblGrid>
      <w:gridCol w:w="5119"/>
      <w:gridCol w:w="2268"/>
      <w:gridCol w:w="551"/>
      <w:gridCol w:w="16"/>
      <w:gridCol w:w="2260"/>
    </w:tblGrid>
    <w:tr w:rsidR="00623EE5">
      <w:trPr>
        <w:trHeight w:val="340"/>
      </w:trPr>
      <w:tc>
        <w:tcPr>
          <w:tcW w:w="10214" w:type="dxa"/>
          <w:gridSpan w:val="5"/>
          <w:tcBorders>
            <w:bottom w:val="nil"/>
          </w:tcBorders>
          <w:vAlign w:val="center"/>
        </w:tcPr>
        <w:p w:rsidR="00623EE5" w:rsidRDefault="00914E80">
          <w:pPr>
            <w:spacing w:after="0" w:line="240" w:lineRule="auto"/>
            <w:rPr>
              <w:b/>
              <w:color w:val="000066"/>
              <w:sz w:val="20"/>
              <w:szCs w:val="20"/>
            </w:rPr>
          </w:pPr>
          <w:r>
            <w:rPr>
              <w:rFonts w:ascii="Times New Roman" w:eastAsia="Times New Roman" w:hAnsi="Times New Roman" w:cs="Times New Roman"/>
              <w:b/>
              <w:color w:val="000066"/>
              <w:sz w:val="20"/>
              <w:szCs w:val="20"/>
              <w:rtl/>
            </w:rPr>
            <w:t>المنظمة حاصلة على المركز الاستشاري الخاص في المجلس الاقتصادي والاجتماعي منذ 2016</w:t>
          </w:r>
        </w:p>
      </w:tc>
    </w:tr>
    <w:tr w:rsidR="00623EE5">
      <w:trPr>
        <w:trHeight w:val="340"/>
      </w:trPr>
      <w:tc>
        <w:tcPr>
          <w:tcW w:w="10214" w:type="dxa"/>
          <w:gridSpan w:val="5"/>
          <w:tcBorders>
            <w:bottom w:val="nil"/>
          </w:tcBorders>
          <w:vAlign w:val="center"/>
        </w:tcPr>
        <w:p w:rsidR="00623EE5" w:rsidRDefault="00914E80">
          <w:pPr>
            <w:spacing w:after="0" w:line="240" w:lineRule="auto"/>
            <w:jc w:val="both"/>
            <w:rPr>
              <w:b/>
              <w:color w:val="000066"/>
              <w:sz w:val="20"/>
              <w:szCs w:val="20"/>
            </w:rPr>
          </w:pPr>
          <w:r>
            <w:rPr>
              <w:rFonts w:ascii="Times New Roman" w:eastAsia="Times New Roman" w:hAnsi="Times New Roman" w:cs="Times New Roman"/>
              <w:b/>
              <w:color w:val="000066"/>
              <w:sz w:val="20"/>
              <w:szCs w:val="20"/>
            </w:rPr>
            <w:t>Organization in special consultative status with the Economic and Social Council since 2016</w:t>
          </w:r>
        </w:p>
      </w:tc>
    </w:tr>
    <w:tr w:rsidR="00623EE5">
      <w:trPr>
        <w:trHeight w:val="340"/>
      </w:trPr>
      <w:tc>
        <w:tcPr>
          <w:tcW w:w="10214" w:type="dxa"/>
          <w:gridSpan w:val="5"/>
          <w:tcBorders>
            <w:bottom w:val="nil"/>
          </w:tcBorders>
          <w:vAlign w:val="center"/>
        </w:tcPr>
        <w:p w:rsidR="00623EE5" w:rsidRDefault="00914E80">
          <w:pPr>
            <w:spacing w:after="0" w:line="240" w:lineRule="auto"/>
            <w:rPr>
              <w:color w:val="FF0000"/>
              <w:sz w:val="20"/>
              <w:szCs w:val="20"/>
            </w:rPr>
          </w:pPr>
          <w:r>
            <w:rPr>
              <w:rFonts w:ascii="Times New Roman" w:eastAsia="Times New Roman" w:hAnsi="Times New Roman" w:cs="Times New Roman"/>
              <w:color w:val="FF0000"/>
              <w:sz w:val="20"/>
              <w:szCs w:val="20"/>
            </w:rPr>
            <w:t>Address:</w:t>
          </w:r>
          <w:r>
            <w:rPr>
              <w:rFonts w:ascii="Times New Roman" w:eastAsia="Times New Roman" w:hAnsi="Times New Roman" w:cs="Times New Roman"/>
              <w:color w:val="002060"/>
              <w:sz w:val="20"/>
              <w:szCs w:val="20"/>
            </w:rPr>
            <w:t xml:space="preserve"> </w:t>
          </w:r>
          <w:r>
            <w:rPr>
              <w:rFonts w:ascii="Times New Roman" w:eastAsia="Times New Roman" w:hAnsi="Times New Roman" w:cs="Times New Roman"/>
              <w:color w:val="000000"/>
              <w:sz w:val="20"/>
              <w:szCs w:val="20"/>
            </w:rPr>
            <w:t xml:space="preserve">148 </w:t>
          </w:r>
          <w:proofErr w:type="spellStart"/>
          <w:r>
            <w:rPr>
              <w:rFonts w:ascii="Times New Roman" w:eastAsia="Times New Roman" w:hAnsi="Times New Roman" w:cs="Times New Roman"/>
              <w:color w:val="000000"/>
              <w:sz w:val="20"/>
              <w:szCs w:val="20"/>
            </w:rPr>
            <w:t>MisrHelwan</w:t>
          </w:r>
          <w:proofErr w:type="spellEnd"/>
          <w:r>
            <w:rPr>
              <w:rFonts w:ascii="Times New Roman" w:eastAsia="Times New Roman" w:hAnsi="Times New Roman" w:cs="Times New Roman"/>
              <w:color w:val="000000"/>
              <w:sz w:val="20"/>
              <w:szCs w:val="20"/>
            </w:rPr>
            <w:t xml:space="preserve"> El-</w:t>
          </w:r>
          <w:proofErr w:type="spellStart"/>
          <w:r>
            <w:rPr>
              <w:rFonts w:ascii="Times New Roman" w:eastAsia="Times New Roman" w:hAnsi="Times New Roman" w:cs="Times New Roman"/>
              <w:color w:val="000000"/>
              <w:sz w:val="20"/>
              <w:szCs w:val="20"/>
            </w:rPr>
            <w:t>Zyrae</w:t>
          </w:r>
          <w:proofErr w:type="spellEnd"/>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Road ,</w:t>
          </w:r>
          <w:proofErr w:type="gramEnd"/>
          <w:r>
            <w:rPr>
              <w:rFonts w:ascii="Times New Roman" w:eastAsia="Times New Roman" w:hAnsi="Times New Roman" w:cs="Times New Roman"/>
              <w:color w:val="000000"/>
              <w:sz w:val="20"/>
              <w:szCs w:val="20"/>
            </w:rPr>
            <w:t xml:space="preserve"> El Matbaa Sq, Hadayek El Maadi, 4</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Floor, No 41 , Cairo, Egypt</w:t>
          </w:r>
          <w:r>
            <w:rPr>
              <w:rFonts w:ascii="Times New Roman" w:eastAsia="Times New Roman" w:hAnsi="Times New Roman" w:cs="Times New Roman"/>
              <w:color w:val="FF0000"/>
              <w:sz w:val="20"/>
              <w:szCs w:val="20"/>
            </w:rPr>
            <w:t xml:space="preserve"> </w:t>
          </w:r>
        </w:p>
      </w:tc>
    </w:tr>
    <w:tr w:rsidR="00623EE5">
      <w:trPr>
        <w:trHeight w:val="340"/>
      </w:trPr>
      <w:tc>
        <w:tcPr>
          <w:tcW w:w="7938" w:type="dxa"/>
          <w:gridSpan w:val="3"/>
          <w:tcBorders>
            <w:bottom w:val="nil"/>
            <w:right w:val="single" w:sz="12" w:space="0" w:color="808080"/>
          </w:tcBorders>
          <w:vAlign w:val="center"/>
        </w:tcPr>
        <w:p w:rsidR="00623EE5" w:rsidRDefault="00914E80">
          <w:pPr>
            <w:spacing w:after="0" w:line="240" w:lineRule="auto"/>
            <w:jc w:val="both"/>
            <w:rPr>
              <w:rFonts w:ascii="Times New Roman" w:eastAsia="Times New Roman" w:hAnsi="Times New Roman" w:cs="Times New Roman"/>
              <w:b/>
              <w:color w:val="FF0000"/>
              <w:sz w:val="20"/>
              <w:szCs w:val="20"/>
            </w:rPr>
          </w:pPr>
          <w:r>
            <w:rPr>
              <w:rFonts w:ascii="Times New Roman" w:eastAsia="Times New Roman" w:hAnsi="Times New Roman" w:cs="Times New Roman"/>
              <w:b/>
              <w:color w:val="000000"/>
              <w:sz w:val="20"/>
              <w:szCs w:val="20"/>
              <w:rtl/>
            </w:rPr>
            <w:t>148 طريق مصر حلوان الزراعي - المطبعة – ح المعادي - الدور الرابع - شقة 41 - القاهرة</w:t>
          </w:r>
          <w:r>
            <w:rPr>
              <w:rFonts w:ascii="Times New Roman" w:eastAsia="Times New Roman" w:hAnsi="Times New Roman" w:cs="Times New Roman"/>
              <w:b/>
              <w:color w:val="002060"/>
              <w:sz w:val="20"/>
              <w:szCs w:val="20"/>
            </w:rPr>
            <w:t xml:space="preserve"> </w:t>
          </w:r>
          <w:r>
            <w:rPr>
              <w:rFonts w:ascii="Times New Roman" w:eastAsia="Times New Roman" w:hAnsi="Times New Roman" w:cs="Times New Roman"/>
              <w:b/>
              <w:color w:val="666666"/>
              <w:sz w:val="20"/>
              <w:szCs w:val="20"/>
            </w:rPr>
            <w:t xml:space="preserve"> </w:t>
          </w:r>
          <w:r>
            <w:rPr>
              <w:rFonts w:ascii="Times New Roman" w:eastAsia="Times New Roman" w:hAnsi="Times New Roman" w:cs="Times New Roman"/>
              <w:b/>
              <w:color w:val="404040"/>
            </w:rPr>
            <w:t>|</w:t>
          </w:r>
          <w:r>
            <w:rPr>
              <w:rFonts w:ascii="Times New Roman" w:eastAsia="Times New Roman" w:hAnsi="Times New Roman" w:cs="Times New Roman"/>
              <w:b/>
              <w:color w:val="666666"/>
              <w:sz w:val="20"/>
              <w:szCs w:val="20"/>
            </w:rPr>
            <w:t xml:space="preserve"> </w:t>
          </w:r>
          <w:r>
            <w:rPr>
              <w:rFonts w:ascii="Times New Roman" w:eastAsia="Times New Roman" w:hAnsi="Times New Roman" w:cs="Times New Roman"/>
              <w:b/>
              <w:color w:val="FF0000"/>
              <w:sz w:val="20"/>
              <w:szCs w:val="20"/>
              <w:rtl/>
            </w:rPr>
            <w:t>ص.ب :</w:t>
          </w:r>
          <w:r>
            <w:rPr>
              <w:rFonts w:ascii="Times New Roman" w:eastAsia="Times New Roman" w:hAnsi="Times New Roman" w:cs="Times New Roman"/>
              <w:b/>
              <w:color w:val="002060"/>
              <w:sz w:val="20"/>
              <w:szCs w:val="20"/>
            </w:rPr>
            <w:t xml:space="preserve"> </w:t>
          </w:r>
          <w:r>
            <w:rPr>
              <w:rFonts w:ascii="Times New Roman" w:eastAsia="Times New Roman" w:hAnsi="Times New Roman" w:cs="Times New Roman"/>
              <w:b/>
              <w:color w:val="000000"/>
              <w:sz w:val="20"/>
              <w:szCs w:val="20"/>
            </w:rPr>
            <w:t>490</w:t>
          </w:r>
          <w:r>
            <w:rPr>
              <w:rFonts w:ascii="Times New Roman" w:eastAsia="Times New Roman" w:hAnsi="Times New Roman" w:cs="Times New Roman"/>
              <w:b/>
              <w:color w:val="002060"/>
              <w:sz w:val="20"/>
              <w:szCs w:val="20"/>
            </w:rPr>
            <w:t xml:space="preserve"> </w:t>
          </w:r>
          <w:r>
            <w:rPr>
              <w:rFonts w:ascii="Times New Roman" w:eastAsia="Times New Roman" w:hAnsi="Times New Roman" w:cs="Times New Roman"/>
              <w:b/>
              <w:color w:val="000000"/>
              <w:sz w:val="20"/>
              <w:szCs w:val="20"/>
              <w:rtl/>
            </w:rPr>
            <w:t>المعادي</w:t>
          </w:r>
        </w:p>
      </w:tc>
      <w:tc>
        <w:tcPr>
          <w:tcW w:w="2276" w:type="dxa"/>
          <w:gridSpan w:val="2"/>
          <w:tcBorders>
            <w:left w:val="single" w:sz="12" w:space="0" w:color="808080"/>
            <w:bottom w:val="nil"/>
          </w:tcBorders>
          <w:vAlign w:val="center"/>
        </w:tcPr>
        <w:p w:rsidR="00623EE5" w:rsidRDefault="00914E80">
          <w:pPr>
            <w:spacing w:after="0" w:line="240" w:lineRule="auto"/>
            <w:jc w:val="right"/>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PO </w:t>
          </w:r>
          <w:proofErr w:type="gramStart"/>
          <w:r>
            <w:rPr>
              <w:rFonts w:ascii="Times New Roman" w:eastAsia="Times New Roman" w:hAnsi="Times New Roman" w:cs="Times New Roman"/>
              <w:color w:val="FF0000"/>
              <w:sz w:val="20"/>
              <w:szCs w:val="20"/>
            </w:rPr>
            <w:t>Box :</w:t>
          </w:r>
          <w:proofErr w:type="gramEnd"/>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000000"/>
              <w:sz w:val="20"/>
              <w:szCs w:val="20"/>
            </w:rPr>
            <w:t>490 El Maadi</w:t>
          </w:r>
        </w:p>
      </w:tc>
    </w:tr>
    <w:tr w:rsidR="00623EE5">
      <w:trPr>
        <w:trHeight w:val="340"/>
      </w:trPr>
      <w:tc>
        <w:tcPr>
          <w:tcW w:w="7387" w:type="dxa"/>
          <w:gridSpan w:val="2"/>
          <w:tcBorders>
            <w:bottom w:val="nil"/>
            <w:right w:val="single" w:sz="12" w:space="0" w:color="7F7F7F"/>
          </w:tcBorders>
          <w:vAlign w:val="center"/>
        </w:tcPr>
        <w:p w:rsidR="00623EE5" w:rsidRDefault="00914E80">
          <w:pPr>
            <w:spacing w:after="0" w:line="240" w:lineRule="auto"/>
            <w:jc w:val="right"/>
            <w:rPr>
              <w:color w:val="002060"/>
              <w:sz w:val="20"/>
              <w:szCs w:val="20"/>
            </w:rPr>
          </w:pPr>
          <w:proofErr w:type="gramStart"/>
          <w:r>
            <w:rPr>
              <w:rFonts w:ascii="Times New Roman" w:eastAsia="Times New Roman" w:hAnsi="Times New Roman" w:cs="Times New Roman"/>
              <w:color w:val="FF0000"/>
              <w:sz w:val="20"/>
              <w:szCs w:val="20"/>
            </w:rPr>
            <w:t>E-mail</w:t>
          </w:r>
          <w:r>
            <w:rPr>
              <w:rFonts w:ascii="Times New Roman" w:eastAsia="Times New Roman" w:hAnsi="Times New Roman" w:cs="Times New Roman"/>
              <w:color w:val="000000"/>
              <w:sz w:val="20"/>
              <w:szCs w:val="20"/>
            </w:rPr>
            <w:t> </w:t>
          </w:r>
          <w:r>
            <w:rPr>
              <w:rFonts w:ascii="Times New Roman" w:eastAsia="Times New Roman" w:hAnsi="Times New Roman" w:cs="Times New Roman"/>
              <w:color w:val="FF0000"/>
              <w:sz w:val="20"/>
              <w:szCs w:val="20"/>
            </w:rPr>
            <w:t>:</w:t>
          </w:r>
          <w:proofErr w:type="gramEnd"/>
          <w:r>
            <w:rPr>
              <w:color w:val="0000FF"/>
              <w:sz w:val="20"/>
              <w:szCs w:val="20"/>
            </w:rPr>
            <w:t xml:space="preserve"> </w:t>
          </w:r>
          <w:r>
            <w:rPr>
              <w:color w:val="000000"/>
              <w:sz w:val="20"/>
              <w:szCs w:val="20"/>
            </w:rPr>
            <w:t xml:space="preserve">maat@maatpeace.org  </w:t>
          </w:r>
        </w:p>
      </w:tc>
      <w:tc>
        <w:tcPr>
          <w:tcW w:w="2827" w:type="dxa"/>
          <w:gridSpan w:val="3"/>
          <w:tcBorders>
            <w:left w:val="single" w:sz="12" w:space="0" w:color="7F7F7F"/>
            <w:bottom w:val="nil"/>
          </w:tcBorders>
          <w:vAlign w:val="center"/>
        </w:tcPr>
        <w:p w:rsidR="00623EE5" w:rsidRDefault="00914E80">
          <w:pPr>
            <w:spacing w:after="0" w:line="240" w:lineRule="auto"/>
            <w:jc w:val="right"/>
            <w:rPr>
              <w:color w:val="002060"/>
              <w:sz w:val="20"/>
              <w:szCs w:val="20"/>
            </w:rPr>
          </w:pPr>
          <w:r>
            <w:rPr>
              <w:rFonts w:ascii="Times New Roman" w:eastAsia="Times New Roman" w:hAnsi="Times New Roman" w:cs="Times New Roman"/>
              <w:color w:val="FF0000"/>
              <w:sz w:val="20"/>
              <w:szCs w:val="20"/>
            </w:rPr>
            <w:t>Website:</w:t>
          </w:r>
          <w:r>
            <w:rPr>
              <w:rFonts w:ascii="Times New Roman" w:eastAsia="Times New Roman" w:hAnsi="Times New Roman" w:cs="Times New Roman"/>
              <w:color w:val="0000FF"/>
              <w:sz w:val="20"/>
              <w:szCs w:val="20"/>
            </w:rPr>
            <w:t xml:space="preserve"> </w:t>
          </w:r>
          <w:r>
            <w:rPr>
              <w:rFonts w:ascii="Times New Roman" w:eastAsia="Times New Roman" w:hAnsi="Times New Roman" w:cs="Times New Roman"/>
              <w:color w:val="000000"/>
              <w:sz w:val="20"/>
              <w:szCs w:val="20"/>
            </w:rPr>
            <w:t>www.maatpeace.org </w:t>
          </w:r>
        </w:p>
      </w:tc>
    </w:tr>
    <w:tr w:rsidR="00623EE5">
      <w:trPr>
        <w:trHeight w:val="340"/>
      </w:trPr>
      <w:tc>
        <w:tcPr>
          <w:tcW w:w="5119" w:type="dxa"/>
          <w:tcBorders>
            <w:right w:val="single" w:sz="12" w:space="0" w:color="7F7F7F"/>
          </w:tcBorders>
          <w:vAlign w:val="center"/>
        </w:tcPr>
        <w:p w:rsidR="00623EE5" w:rsidRDefault="00914E80">
          <w:pPr>
            <w:spacing w:after="0" w:line="240" w:lineRule="auto"/>
            <w:jc w:val="right"/>
            <w:rPr>
              <w:rFonts w:ascii="Times New Roman" w:eastAsia="Times New Roman" w:hAnsi="Times New Roman" w:cs="Times New Roman"/>
              <w:sz w:val="20"/>
              <w:szCs w:val="20"/>
            </w:rPr>
          </w:pPr>
          <w:r>
            <w:rPr>
              <w:color w:val="FF0000"/>
              <w:sz w:val="20"/>
              <w:szCs w:val="20"/>
            </w:rPr>
            <w:t>Mob.</w:t>
          </w:r>
          <w:r>
            <w:rPr>
              <w:color w:val="002060"/>
              <w:sz w:val="20"/>
              <w:szCs w:val="20"/>
            </w:rPr>
            <w:t xml:space="preserve"> +</w:t>
          </w:r>
          <w:r>
            <w:rPr>
              <w:color w:val="000000"/>
              <w:sz w:val="20"/>
              <w:szCs w:val="20"/>
            </w:rPr>
            <w:t>201226521170</w:t>
          </w:r>
        </w:p>
      </w:tc>
      <w:tc>
        <w:tcPr>
          <w:tcW w:w="2835" w:type="dxa"/>
          <w:gridSpan w:val="3"/>
          <w:tcBorders>
            <w:left w:val="single" w:sz="12" w:space="0" w:color="7F7F7F"/>
            <w:right w:val="single" w:sz="12" w:space="0" w:color="7F7F7F"/>
          </w:tcBorders>
          <w:vAlign w:val="center"/>
        </w:tcPr>
        <w:p w:rsidR="00623EE5" w:rsidRDefault="00914E80">
          <w:pPr>
            <w:spacing w:after="0" w:line="240" w:lineRule="auto"/>
            <w:jc w:val="right"/>
            <w:rPr>
              <w:rFonts w:ascii="Times New Roman" w:eastAsia="Times New Roman" w:hAnsi="Times New Roman" w:cs="Times New Roman"/>
              <w:sz w:val="20"/>
              <w:szCs w:val="20"/>
            </w:rPr>
          </w:pPr>
          <w:r>
            <w:rPr>
              <w:color w:val="FF0000"/>
              <w:sz w:val="20"/>
              <w:szCs w:val="20"/>
            </w:rPr>
            <w:t>Telefax</w:t>
          </w:r>
          <w:r>
            <w:rPr>
              <w:color w:val="000000"/>
              <w:sz w:val="20"/>
              <w:szCs w:val="20"/>
            </w:rPr>
            <w:t>. 00 (20) (2) 25344707</w:t>
          </w:r>
        </w:p>
      </w:tc>
      <w:tc>
        <w:tcPr>
          <w:tcW w:w="2260" w:type="dxa"/>
          <w:tcBorders>
            <w:left w:val="single" w:sz="12" w:space="0" w:color="7F7F7F"/>
          </w:tcBorders>
          <w:vAlign w:val="center"/>
        </w:tcPr>
        <w:p w:rsidR="00623EE5" w:rsidRDefault="00914E80">
          <w:pPr>
            <w:spacing w:after="0" w:line="240" w:lineRule="auto"/>
            <w:jc w:val="right"/>
            <w:rPr>
              <w:rFonts w:ascii="Times New Roman" w:eastAsia="Times New Roman" w:hAnsi="Times New Roman" w:cs="Times New Roman"/>
              <w:sz w:val="20"/>
              <w:szCs w:val="20"/>
            </w:rPr>
          </w:pPr>
          <w:r>
            <w:rPr>
              <w:color w:val="FF0000"/>
              <w:sz w:val="20"/>
              <w:szCs w:val="20"/>
            </w:rPr>
            <w:t>Tel.</w:t>
          </w:r>
          <w:r>
            <w:rPr>
              <w:color w:val="002060"/>
              <w:sz w:val="20"/>
              <w:szCs w:val="20"/>
            </w:rPr>
            <w:t xml:space="preserve"> </w:t>
          </w:r>
          <w:r>
            <w:rPr>
              <w:color w:val="000000"/>
              <w:sz w:val="20"/>
              <w:szCs w:val="20"/>
            </w:rPr>
            <w:t>00(20) (2) 25344706</w:t>
          </w:r>
        </w:p>
      </w:tc>
    </w:tr>
  </w:tbl>
  <w:p w:rsidR="00623EE5" w:rsidRDefault="00914E80">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0" distR="0" simplePos="0" relativeHeight="251658240" behindDoc="0" locked="0" layoutInCell="1" hidden="0" allowOverlap="1">
              <wp:simplePos x="0" y="0"/>
              <wp:positionH relativeFrom="column">
                <wp:posOffset>-101599</wp:posOffset>
              </wp:positionH>
              <wp:positionV relativeFrom="paragraph">
                <wp:posOffset>63500</wp:posOffset>
              </wp:positionV>
              <wp:extent cx="6659880" cy="28575"/>
              <wp:effectExtent l="0" t="0" r="0" b="0"/>
              <wp:wrapSquare wrapText="bothSides" distT="0" distB="0" distL="0" distR="0"/>
              <wp:docPr id="1" name="Straight Arrow Connector 1"/>
              <wp:cNvGraphicFramePr/>
              <a:graphic xmlns:a="http://schemas.openxmlformats.org/drawingml/2006/main">
                <a:graphicData uri="http://schemas.microsoft.com/office/word/2010/wordprocessingShape">
                  <wps:wsp>
                    <wps:cNvCnPr/>
                    <wps:spPr>
                      <a:xfrm rot="10800000">
                        <a:off x="2016060" y="3780000"/>
                        <a:ext cx="6659880" cy="0"/>
                      </a:xfrm>
                      <a:prstGeom prst="straightConnector1">
                        <a:avLst/>
                      </a:prstGeom>
                      <a:noFill/>
                      <a:ln w="28575" cap="flat" cmpd="sng">
                        <a:solidFill>
                          <a:srgbClr val="FF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-101599</wp:posOffset>
              </wp:positionH>
              <wp:positionV relativeFrom="paragraph">
                <wp:posOffset>63500</wp:posOffset>
              </wp:positionV>
              <wp:extent cx="6659880" cy="28575"/>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659880" cy="28575"/>
                      </a:xfrm>
                      <a:prstGeom prst="rect"/>
                      <a:ln/>
                    </pic:spPr>
                  </pic:pic>
                </a:graphicData>
              </a:graphic>
            </wp:anchor>
          </w:drawing>
        </mc:Fallback>
      </mc:AlternateContent>
    </w:r>
  </w:p>
  <w:p w:rsidR="00623EE5" w:rsidRDefault="00623EE5">
    <w:pPr>
      <w:pBdr>
        <w:top w:val="nil"/>
        <w:left w:val="nil"/>
        <w:bottom w:val="nil"/>
        <w:right w:val="nil"/>
        <w:between w:val="nil"/>
      </w:pBdr>
      <w:tabs>
        <w:tab w:val="center" w:pos="4680"/>
        <w:tab w:val="right" w:pos="9360"/>
      </w:tabs>
      <w:spacing w:after="0" w:line="240" w:lineRule="auto"/>
      <w:rPr>
        <w:color w:val="000000"/>
      </w:rPr>
    </w:pPr>
  </w:p>
  <w:p w:rsidR="00623EE5" w:rsidRDefault="00623EE5">
    <w:pPr>
      <w:pBdr>
        <w:top w:val="nil"/>
        <w:left w:val="nil"/>
        <w:bottom w:val="nil"/>
        <w:right w:val="nil"/>
        <w:between w:val="nil"/>
      </w:pBdr>
      <w:tabs>
        <w:tab w:val="center" w:pos="4680"/>
        <w:tab w:val="right" w:pos="9360"/>
      </w:tabs>
      <w:spacing w:after="0" w:line="240" w:lineRule="auto"/>
      <w:rPr>
        <w:color w:val="000000"/>
      </w:rPr>
    </w:pPr>
  </w:p>
  <w:p w:rsidR="00623EE5" w:rsidRDefault="00623EE5">
    <w:pPr>
      <w:pBdr>
        <w:top w:val="nil"/>
        <w:left w:val="nil"/>
        <w:bottom w:val="nil"/>
        <w:right w:val="nil"/>
        <w:between w:val="nil"/>
      </w:pBdr>
      <w:tabs>
        <w:tab w:val="center" w:pos="4680"/>
        <w:tab w:val="right" w:pos="9360"/>
      </w:tabs>
      <w:spacing w:after="0" w:line="240" w:lineRule="auto"/>
      <w:rPr>
        <w:color w:val="000000"/>
      </w:rPr>
    </w:pPr>
  </w:p>
  <w:p w:rsidR="00623EE5" w:rsidRDefault="00623EE5"/>
  <w:p w:rsidR="00623EE5" w:rsidRDefault="00623EE5"/>
  <w:p w:rsidR="00623EE5" w:rsidRDefault="00623EE5">
    <w:pPr>
      <w:pBdr>
        <w:top w:val="nil"/>
        <w:left w:val="nil"/>
        <w:bottom w:val="nil"/>
        <w:right w:val="nil"/>
        <w:between w:val="nil"/>
      </w:pBdr>
      <w:tabs>
        <w:tab w:val="center" w:pos="4680"/>
        <w:tab w:val="right" w:pos="9360"/>
      </w:tabs>
      <w:spacing w:after="0" w:line="240" w:lineRule="auto"/>
      <w:rPr>
        <w:color w:val="000000"/>
      </w:rPr>
    </w:pPr>
  </w:p>
  <w:p w:rsidR="00623EE5" w:rsidRDefault="00623EE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36B" w:rsidRDefault="00A6036B">
      <w:pPr>
        <w:spacing w:after="0" w:line="240" w:lineRule="auto"/>
      </w:pPr>
      <w:r>
        <w:separator/>
      </w:r>
    </w:p>
  </w:footnote>
  <w:footnote w:type="continuationSeparator" w:id="0">
    <w:p w:rsidR="00A6036B" w:rsidRDefault="00A6036B">
      <w:pPr>
        <w:spacing w:after="0" w:line="240" w:lineRule="auto"/>
      </w:pPr>
      <w:r>
        <w:continuationSeparator/>
      </w:r>
    </w:p>
  </w:footnote>
  <w:footnote w:id="1">
    <w:p w:rsidR="00623EE5" w:rsidRDefault="00914E80">
      <w:pPr>
        <w:rPr>
          <w:sz w:val="20"/>
          <w:szCs w:val="20"/>
        </w:rPr>
      </w:pPr>
      <w:r>
        <w:rPr>
          <w:vertAlign w:val="superscript"/>
        </w:rPr>
        <w:footnoteRef/>
      </w:r>
      <w:r>
        <w:rPr>
          <w:sz w:val="20"/>
          <w:szCs w:val="20"/>
          <w:rtl/>
        </w:rPr>
        <w:t xml:space="preserve"> - تقرير حول الاقليات والشعوب الاصلية، موقع الحق في التعليم، الرابط، </w:t>
      </w:r>
      <w:hyperlink r:id="rId1">
        <w:r>
          <w:rPr>
            <w:color w:val="0000FF"/>
            <w:sz w:val="20"/>
            <w:szCs w:val="20"/>
            <w:u w:val="single"/>
          </w:rPr>
          <w:t>https://www.right-to-education.org/ar/issue-page/marginalised-groups-0</w:t>
        </w:r>
      </w:hyperlink>
    </w:p>
  </w:footnote>
  <w:footnote w:id="2">
    <w:p w:rsidR="00623EE5" w:rsidRDefault="00914E80">
      <w:pPr>
        <w:rPr>
          <w:sz w:val="20"/>
          <w:szCs w:val="20"/>
        </w:rPr>
      </w:pPr>
      <w:r>
        <w:rPr>
          <w:vertAlign w:val="superscript"/>
        </w:rPr>
        <w:footnoteRef/>
      </w:r>
      <w:r>
        <w:rPr>
          <w:sz w:val="20"/>
          <w:szCs w:val="20"/>
          <w:rtl/>
        </w:rPr>
        <w:t xml:space="preserve"> - للمزيد من المعلومات عن الشعوب الاصلية يرجي قراءة اعلان الامم المتحدة للشعوب الاصلية على الموقع التالي، </w:t>
      </w:r>
      <w:hyperlink r:id="rId2">
        <w:r>
          <w:rPr>
            <w:color w:val="0000FF"/>
            <w:sz w:val="20"/>
            <w:szCs w:val="20"/>
            <w:u w:val="single"/>
          </w:rPr>
          <w:t>https://www.ohchr.org/Documents/Publications/Declaration_indigenous_ar.pdf</w:t>
        </w:r>
      </w:hyperlink>
    </w:p>
  </w:footnote>
  <w:footnote w:id="3">
    <w:p w:rsidR="00623EE5" w:rsidRDefault="00914E80">
      <w:pPr>
        <w:rPr>
          <w:sz w:val="20"/>
          <w:szCs w:val="20"/>
        </w:rPr>
      </w:pPr>
      <w:r>
        <w:rPr>
          <w:vertAlign w:val="superscript"/>
        </w:rPr>
        <w:footnoteRef/>
      </w:r>
      <w:r>
        <w:rPr>
          <w:sz w:val="20"/>
          <w:szCs w:val="20"/>
          <w:rtl/>
        </w:rPr>
        <w:t xml:space="preserve"> - يمكن الرجوع إلى العهد الدولي للحقوق المدنية والسياسية للحصول على مزيد من المعلومات، الرابط، </w:t>
      </w:r>
      <w:hyperlink r:id="rId3">
        <w:r>
          <w:rPr>
            <w:color w:val="0000FF"/>
            <w:sz w:val="20"/>
            <w:szCs w:val="20"/>
            <w:u w:val="single"/>
          </w:rPr>
          <w:t>http</w:t>
        </w:r>
      </w:hyperlink>
      <w:hyperlink r:id="rId4">
        <w:r>
          <w:rPr>
            <w:color w:val="0000FF"/>
            <w:sz w:val="20"/>
            <w:szCs w:val="20"/>
            <w:u w:val="single"/>
          </w:rPr>
          <w:t>://</w:t>
        </w:r>
      </w:hyperlink>
      <w:hyperlink r:id="rId5">
        <w:r>
          <w:rPr>
            <w:color w:val="0000FF"/>
            <w:sz w:val="20"/>
            <w:szCs w:val="20"/>
            <w:u w:val="single"/>
          </w:rPr>
          <w:t>www</w:t>
        </w:r>
      </w:hyperlink>
      <w:hyperlink r:id="rId6">
        <w:r>
          <w:rPr>
            <w:color w:val="0000FF"/>
            <w:sz w:val="20"/>
            <w:szCs w:val="20"/>
            <w:u w:val="single"/>
          </w:rPr>
          <w:t>.</w:t>
        </w:r>
      </w:hyperlink>
      <w:hyperlink r:id="rId7">
        <w:r>
          <w:rPr>
            <w:color w:val="0000FF"/>
            <w:sz w:val="20"/>
            <w:szCs w:val="20"/>
            <w:u w:val="single"/>
          </w:rPr>
          <w:t>nhrc</w:t>
        </w:r>
      </w:hyperlink>
      <w:hyperlink r:id="rId8">
        <w:r>
          <w:rPr>
            <w:color w:val="0000FF"/>
            <w:sz w:val="20"/>
            <w:szCs w:val="20"/>
            <w:u w:val="single"/>
          </w:rPr>
          <w:t>-</w:t>
        </w:r>
      </w:hyperlink>
      <w:hyperlink r:id="rId9">
        <w:r>
          <w:rPr>
            <w:color w:val="0000FF"/>
            <w:sz w:val="20"/>
            <w:szCs w:val="20"/>
            <w:u w:val="single"/>
          </w:rPr>
          <w:t>qa</w:t>
        </w:r>
      </w:hyperlink>
      <w:hyperlink r:id="rId10">
        <w:r>
          <w:rPr>
            <w:color w:val="0000FF"/>
            <w:sz w:val="20"/>
            <w:szCs w:val="20"/>
            <w:u w:val="single"/>
          </w:rPr>
          <w:t>.</w:t>
        </w:r>
      </w:hyperlink>
      <w:hyperlink r:id="rId11">
        <w:r>
          <w:rPr>
            <w:color w:val="0000FF"/>
            <w:sz w:val="20"/>
            <w:szCs w:val="20"/>
            <w:u w:val="single"/>
          </w:rPr>
          <w:t>org</w:t>
        </w:r>
      </w:hyperlink>
      <w:hyperlink r:id="rId12">
        <w:r>
          <w:rPr>
            <w:color w:val="0000FF"/>
            <w:sz w:val="20"/>
            <w:szCs w:val="20"/>
            <w:u w:val="single"/>
          </w:rPr>
          <w:t>/</w:t>
        </w:r>
      </w:hyperlink>
      <w:hyperlink r:id="rId13">
        <w:r>
          <w:rPr>
            <w:color w:val="0000FF"/>
            <w:sz w:val="20"/>
            <w:szCs w:val="20"/>
            <w:u w:val="single"/>
          </w:rPr>
          <w:t>wp</w:t>
        </w:r>
      </w:hyperlink>
      <w:hyperlink r:id="rId14">
        <w:r>
          <w:rPr>
            <w:color w:val="0000FF"/>
            <w:sz w:val="20"/>
            <w:szCs w:val="20"/>
            <w:u w:val="single"/>
          </w:rPr>
          <w:t>-</w:t>
        </w:r>
      </w:hyperlink>
      <w:hyperlink r:id="rId15">
        <w:r>
          <w:rPr>
            <w:color w:val="0000FF"/>
            <w:sz w:val="20"/>
            <w:szCs w:val="20"/>
            <w:u w:val="single"/>
          </w:rPr>
          <w:t>content</w:t>
        </w:r>
      </w:hyperlink>
      <w:hyperlink r:id="rId16">
        <w:r>
          <w:rPr>
            <w:color w:val="0000FF"/>
            <w:sz w:val="20"/>
            <w:szCs w:val="20"/>
            <w:u w:val="single"/>
          </w:rPr>
          <w:t>/</w:t>
        </w:r>
      </w:hyperlink>
      <w:hyperlink r:id="rId17">
        <w:r>
          <w:rPr>
            <w:color w:val="0000FF"/>
            <w:sz w:val="20"/>
            <w:szCs w:val="20"/>
            <w:u w:val="single"/>
          </w:rPr>
          <w:t>uploads</w:t>
        </w:r>
      </w:hyperlink>
      <w:hyperlink r:id="rId18">
        <w:r>
          <w:rPr>
            <w:color w:val="0000FF"/>
            <w:sz w:val="20"/>
            <w:szCs w:val="20"/>
            <w:u w:val="single"/>
            <w:rtl/>
          </w:rPr>
          <w:t>/2014/01/</w:t>
        </w:r>
      </w:hyperlink>
      <w:hyperlink r:id="rId19">
        <w:r>
          <w:rPr>
            <w:color w:val="0000FF"/>
            <w:sz w:val="20"/>
            <w:szCs w:val="20"/>
            <w:u w:val="single"/>
            <w:rtl/>
          </w:rPr>
          <w:t>العهد</w:t>
        </w:r>
      </w:hyperlink>
      <w:hyperlink r:id="rId20">
        <w:r>
          <w:rPr>
            <w:color w:val="0000FF"/>
            <w:sz w:val="20"/>
            <w:szCs w:val="20"/>
            <w:u w:val="single"/>
            <w:rtl/>
          </w:rPr>
          <w:t>-</w:t>
        </w:r>
      </w:hyperlink>
      <w:hyperlink r:id="rId21">
        <w:r>
          <w:rPr>
            <w:color w:val="0000FF"/>
            <w:sz w:val="20"/>
            <w:szCs w:val="20"/>
            <w:u w:val="single"/>
            <w:rtl/>
          </w:rPr>
          <w:t>الدولي</w:t>
        </w:r>
      </w:hyperlink>
      <w:hyperlink r:id="rId22">
        <w:r>
          <w:rPr>
            <w:color w:val="0000FF"/>
            <w:sz w:val="20"/>
            <w:szCs w:val="20"/>
            <w:u w:val="single"/>
            <w:rtl/>
          </w:rPr>
          <w:t>-</w:t>
        </w:r>
      </w:hyperlink>
      <w:hyperlink r:id="rId23">
        <w:r>
          <w:rPr>
            <w:color w:val="0000FF"/>
            <w:sz w:val="20"/>
            <w:szCs w:val="20"/>
            <w:u w:val="single"/>
            <w:rtl/>
          </w:rPr>
          <w:t>الخاص</w:t>
        </w:r>
      </w:hyperlink>
      <w:hyperlink r:id="rId24">
        <w:r>
          <w:rPr>
            <w:color w:val="0000FF"/>
            <w:sz w:val="20"/>
            <w:szCs w:val="20"/>
            <w:u w:val="single"/>
            <w:rtl/>
          </w:rPr>
          <w:t>-</w:t>
        </w:r>
      </w:hyperlink>
      <w:hyperlink r:id="rId25">
        <w:r>
          <w:rPr>
            <w:color w:val="0000FF"/>
            <w:sz w:val="20"/>
            <w:szCs w:val="20"/>
            <w:u w:val="single"/>
            <w:rtl/>
          </w:rPr>
          <w:t>بالحقوق</w:t>
        </w:r>
      </w:hyperlink>
      <w:hyperlink r:id="rId26">
        <w:r>
          <w:rPr>
            <w:color w:val="0000FF"/>
            <w:sz w:val="20"/>
            <w:szCs w:val="20"/>
            <w:u w:val="single"/>
            <w:rtl/>
          </w:rPr>
          <w:t>-</w:t>
        </w:r>
      </w:hyperlink>
      <w:hyperlink r:id="rId27">
        <w:r>
          <w:rPr>
            <w:color w:val="0000FF"/>
            <w:sz w:val="20"/>
            <w:szCs w:val="20"/>
            <w:u w:val="single"/>
            <w:rtl/>
          </w:rPr>
          <w:t>المدنية</w:t>
        </w:r>
      </w:hyperlink>
      <w:hyperlink r:id="rId28">
        <w:r>
          <w:rPr>
            <w:color w:val="0000FF"/>
            <w:sz w:val="20"/>
            <w:szCs w:val="20"/>
            <w:u w:val="single"/>
            <w:rtl/>
          </w:rPr>
          <w:t>-</w:t>
        </w:r>
      </w:hyperlink>
      <w:hyperlink r:id="rId29">
        <w:r>
          <w:rPr>
            <w:color w:val="0000FF"/>
            <w:sz w:val="20"/>
            <w:szCs w:val="20"/>
            <w:u w:val="single"/>
            <w:rtl/>
          </w:rPr>
          <w:t>والسياسية</w:t>
        </w:r>
      </w:hyperlink>
      <w:hyperlink r:id="rId30">
        <w:r>
          <w:rPr>
            <w:color w:val="0000FF"/>
            <w:sz w:val="20"/>
            <w:szCs w:val="20"/>
            <w:u w:val="single"/>
            <w:rtl/>
          </w:rPr>
          <w:t>.</w:t>
        </w:r>
      </w:hyperlink>
      <w:hyperlink r:id="rId31">
        <w:r>
          <w:rPr>
            <w:color w:val="0000FF"/>
            <w:sz w:val="20"/>
            <w:szCs w:val="20"/>
            <w:u w:val="single"/>
          </w:rPr>
          <w:t>pdf</w:t>
        </w:r>
      </w:hyperlink>
      <w:r>
        <w:rPr>
          <w:sz w:val="20"/>
          <w:szCs w:val="20"/>
        </w:rPr>
        <w:t xml:space="preserve"> </w:t>
      </w:r>
    </w:p>
  </w:footnote>
  <w:footnote w:id="4">
    <w:p w:rsidR="00623EE5" w:rsidRDefault="00914E80">
      <w:pPr>
        <w:rPr>
          <w:sz w:val="20"/>
          <w:szCs w:val="20"/>
        </w:rPr>
      </w:pPr>
      <w:r>
        <w:rPr>
          <w:vertAlign w:val="superscript"/>
        </w:rPr>
        <w:footnoteRef/>
      </w:r>
      <w:r>
        <w:rPr>
          <w:sz w:val="20"/>
          <w:szCs w:val="20"/>
          <w:rtl/>
        </w:rPr>
        <w:t xml:space="preserve"> - تقرير الية الخبراء المعنية بالشعوب الاصلية المقدم إلى الدورة 27 لمجلس حقوق الانسان ، ابريل 2014، رقم الوثيقة </w:t>
      </w:r>
      <w:r>
        <w:rPr>
          <w:sz w:val="20"/>
          <w:szCs w:val="20"/>
        </w:rPr>
        <w:t>A/HRC</w:t>
      </w:r>
      <w:r>
        <w:rPr>
          <w:sz w:val="20"/>
          <w:szCs w:val="20"/>
          <w:rtl/>
        </w:rPr>
        <w:t xml:space="preserve">/27/65 ، الرابط، </w:t>
      </w:r>
      <w:hyperlink r:id="rId32">
        <w:r>
          <w:rPr>
            <w:color w:val="0000FF"/>
            <w:sz w:val="20"/>
            <w:szCs w:val="20"/>
            <w:u w:val="single"/>
          </w:rPr>
          <w:t>https://undocs.org/ar/A/HRC/27/65</w:t>
        </w:r>
      </w:hyperlink>
    </w:p>
  </w:footnote>
  <w:footnote w:id="5">
    <w:p w:rsidR="00623EE5" w:rsidRDefault="00914E80">
      <w:pPr>
        <w:rPr>
          <w:sz w:val="20"/>
          <w:szCs w:val="20"/>
        </w:rPr>
      </w:pPr>
      <w:r>
        <w:rPr>
          <w:vertAlign w:val="superscript"/>
        </w:rPr>
        <w:footnoteRef/>
      </w:r>
      <w:r>
        <w:rPr>
          <w:sz w:val="20"/>
          <w:szCs w:val="20"/>
        </w:rPr>
        <w:t xml:space="preserve"> - </w:t>
      </w:r>
      <w:r>
        <w:rPr>
          <w:sz w:val="20"/>
          <w:szCs w:val="20"/>
          <w:rtl/>
        </w:rPr>
        <w:t>إيران تنتهك حقوق الاحواز: ملاحظات ختامية للجنة المعنية بحقوق الانسان التابعة للأمم المتحدة، مركز دراسات دور انتاش،2 سبتمبر 2018، الرابط</w:t>
      </w:r>
      <w:r>
        <w:rPr>
          <w:sz w:val="20"/>
          <w:szCs w:val="20"/>
        </w:rPr>
        <w:t xml:space="preserve">، </w:t>
      </w:r>
      <w:hyperlink r:id="rId33">
        <w:r>
          <w:rPr>
            <w:color w:val="0000FF"/>
            <w:sz w:val="20"/>
            <w:szCs w:val="20"/>
            <w:u w:val="single"/>
          </w:rPr>
          <w:t>https://www.dusc.org/ar/article/1350</w:t>
        </w:r>
      </w:hyperlink>
    </w:p>
  </w:footnote>
  <w:footnote w:id="6">
    <w:p w:rsidR="00623EE5" w:rsidRDefault="00914E80">
      <w:pPr>
        <w:rPr>
          <w:sz w:val="20"/>
          <w:szCs w:val="20"/>
        </w:rPr>
      </w:pPr>
      <w:r>
        <w:rPr>
          <w:vertAlign w:val="superscript"/>
        </w:rPr>
        <w:footnoteRef/>
      </w:r>
      <w:r>
        <w:rPr>
          <w:sz w:val="20"/>
          <w:szCs w:val="20"/>
        </w:rPr>
        <w:t xml:space="preserve"> - </w:t>
      </w:r>
      <w:r>
        <w:rPr>
          <w:sz w:val="20"/>
          <w:szCs w:val="20"/>
          <w:rtl/>
        </w:rPr>
        <w:t>التقرير السنوي لمركز الاحوازي لحقوق الانسان لعام 2018، 7فبراير 2019، الرابط</w:t>
      </w:r>
      <w:r>
        <w:rPr>
          <w:sz w:val="20"/>
          <w:szCs w:val="20"/>
        </w:rPr>
        <w:t xml:space="preserve">، </w:t>
      </w:r>
      <w:hyperlink r:id="rId34">
        <w:r>
          <w:rPr>
            <w:color w:val="0000FF"/>
            <w:sz w:val="20"/>
            <w:szCs w:val="20"/>
            <w:u w:val="single"/>
          </w:rPr>
          <w:t>http://acfh.info/ar/?p=2407</w:t>
        </w:r>
      </w:hyperlink>
    </w:p>
  </w:footnote>
  <w:footnote w:id="7">
    <w:p w:rsidR="00623EE5" w:rsidRDefault="00914E80">
      <w:pPr>
        <w:rPr>
          <w:sz w:val="20"/>
          <w:szCs w:val="20"/>
        </w:rPr>
      </w:pPr>
      <w:r>
        <w:rPr>
          <w:vertAlign w:val="superscript"/>
        </w:rPr>
        <w:footnoteRef/>
      </w:r>
      <w:r>
        <w:rPr>
          <w:sz w:val="20"/>
          <w:szCs w:val="20"/>
        </w:rPr>
        <w:t xml:space="preserve"> - </w:t>
      </w:r>
      <w:r>
        <w:rPr>
          <w:sz w:val="20"/>
          <w:szCs w:val="20"/>
          <w:rtl/>
        </w:rPr>
        <w:t>راجع 34 من الدستور الايراني</w:t>
      </w:r>
    </w:p>
  </w:footnote>
  <w:footnote w:id="8">
    <w:p w:rsidR="00623EE5" w:rsidRDefault="00914E80">
      <w:pPr>
        <w:rPr>
          <w:sz w:val="20"/>
          <w:szCs w:val="20"/>
        </w:rPr>
      </w:pPr>
      <w:r>
        <w:rPr>
          <w:vertAlign w:val="superscript"/>
        </w:rPr>
        <w:footnoteRef/>
      </w:r>
      <w:r>
        <w:rPr>
          <w:sz w:val="20"/>
          <w:szCs w:val="20"/>
        </w:rPr>
        <w:t xml:space="preserve"> - </w:t>
      </w:r>
      <w:r>
        <w:rPr>
          <w:sz w:val="20"/>
          <w:szCs w:val="20"/>
          <w:rtl/>
        </w:rPr>
        <w:t>إيران تنتهك حقوق الاحواز: ملاحظات ختامية للجنة المعنية بحقوق الانسان التابعة للأمم المتحدة، مركز دراسات دور انتاش،2 سبتمبر 2018، الرابط</w:t>
      </w:r>
      <w:r>
        <w:rPr>
          <w:sz w:val="20"/>
          <w:szCs w:val="20"/>
        </w:rPr>
        <w:t xml:space="preserve">، </w:t>
      </w:r>
      <w:hyperlink r:id="rId35">
        <w:r>
          <w:rPr>
            <w:color w:val="0000FF"/>
            <w:sz w:val="20"/>
            <w:szCs w:val="20"/>
            <w:u w:val="single"/>
          </w:rPr>
          <w:t>https://www.dusc.org/ar/article/1350</w:t>
        </w:r>
      </w:hyperlink>
    </w:p>
  </w:footnote>
  <w:footnote w:id="9">
    <w:p w:rsidR="00623EE5" w:rsidRDefault="00914E80">
      <w:pPr>
        <w:rPr>
          <w:sz w:val="20"/>
          <w:szCs w:val="20"/>
        </w:rPr>
      </w:pPr>
      <w:r>
        <w:rPr>
          <w:vertAlign w:val="superscript"/>
        </w:rPr>
        <w:footnoteRef/>
      </w:r>
      <w:r>
        <w:rPr>
          <w:sz w:val="20"/>
          <w:szCs w:val="20"/>
        </w:rPr>
        <w:t xml:space="preserve"> - </w:t>
      </w:r>
      <w:r>
        <w:rPr>
          <w:sz w:val="20"/>
          <w:szCs w:val="20"/>
          <w:rtl/>
        </w:rPr>
        <w:t>راجع المادة 171 من الدستور الايراني، الرابط</w:t>
      </w:r>
      <w:r>
        <w:rPr>
          <w:sz w:val="20"/>
          <w:szCs w:val="20"/>
        </w:rPr>
        <w:t xml:space="preserve">، </w:t>
      </w:r>
      <w:hyperlink r:id="rId36">
        <w:r>
          <w:rPr>
            <w:color w:val="0000FF"/>
            <w:sz w:val="20"/>
            <w:szCs w:val="20"/>
            <w:u w:val="single"/>
          </w:rPr>
          <w:t>https://www.constituteproject.org/constitution/Iran_1989.pdf?lang=ar</w:t>
        </w:r>
      </w:hyperlink>
    </w:p>
  </w:footnote>
  <w:footnote w:id="10">
    <w:p w:rsidR="00623EE5" w:rsidRDefault="00914E80">
      <w:pPr>
        <w:rPr>
          <w:sz w:val="20"/>
          <w:szCs w:val="20"/>
        </w:rPr>
      </w:pPr>
      <w:r>
        <w:rPr>
          <w:vertAlign w:val="superscript"/>
        </w:rPr>
        <w:footnoteRef/>
      </w:r>
      <w:r>
        <w:rPr>
          <w:sz w:val="20"/>
          <w:szCs w:val="20"/>
        </w:rPr>
        <w:t xml:space="preserve"> - </w:t>
      </w:r>
      <w:r>
        <w:rPr>
          <w:sz w:val="20"/>
          <w:szCs w:val="20"/>
          <w:rtl/>
        </w:rPr>
        <w:t>للمزيد من المعلومات حول الأوضاع الصحية في أماكن الاحتجاز الإيرانية يرجى الاطلاع على التقرير الخاص بهذا الخصوص على الرابط التالي</w:t>
      </w:r>
      <w:r>
        <w:rPr>
          <w:sz w:val="20"/>
          <w:szCs w:val="20"/>
        </w:rPr>
        <w:t xml:space="preserve"> </w:t>
      </w:r>
      <w:hyperlink r:id="rId37">
        <w:r>
          <w:rPr>
            <w:color w:val="0000FF"/>
            <w:sz w:val="20"/>
            <w:szCs w:val="20"/>
            <w:u w:val="single"/>
          </w:rPr>
          <w:t>http://acfh.info/ar/?p=2392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EE5" w:rsidRDefault="00623EE5">
    <w:pPr>
      <w:widowControl w:val="0"/>
      <w:pBdr>
        <w:top w:val="nil"/>
        <w:left w:val="nil"/>
        <w:bottom w:val="nil"/>
        <w:right w:val="nil"/>
        <w:between w:val="nil"/>
      </w:pBdr>
      <w:spacing w:after="0"/>
      <w:ind w:left="0" w:firstLine="0"/>
      <w:rPr>
        <w:color w:val="000000"/>
      </w:rPr>
    </w:pPr>
  </w:p>
  <w:tbl>
    <w:tblPr>
      <w:tblStyle w:val="a"/>
      <w:bidiVisual/>
      <w:tblW w:w="9922" w:type="dxa"/>
      <w:tblLayout w:type="fixed"/>
      <w:tblLook w:val="0400" w:firstRow="0" w:lastRow="0" w:firstColumn="0" w:lastColumn="0" w:noHBand="0" w:noVBand="1"/>
    </w:tblPr>
    <w:tblGrid>
      <w:gridCol w:w="4560"/>
      <w:gridCol w:w="5362"/>
    </w:tblGrid>
    <w:tr w:rsidR="00623EE5">
      <w:tc>
        <w:tcPr>
          <w:tcW w:w="4560" w:type="dxa"/>
          <w:shd w:val="clear" w:color="auto" w:fill="auto"/>
          <w:vAlign w:val="center"/>
        </w:tcPr>
        <w:p w:rsidR="00623EE5" w:rsidRDefault="00623EE5">
          <w:pPr>
            <w:pBdr>
              <w:top w:val="nil"/>
              <w:left w:val="nil"/>
              <w:bottom w:val="nil"/>
              <w:right w:val="nil"/>
              <w:between w:val="nil"/>
            </w:pBdr>
            <w:tabs>
              <w:tab w:val="center" w:pos="5102"/>
              <w:tab w:val="right" w:pos="10204"/>
            </w:tabs>
            <w:spacing w:after="0" w:line="240" w:lineRule="auto"/>
            <w:rPr>
              <w:b/>
              <w:color w:val="002060"/>
              <w:sz w:val="28"/>
              <w:szCs w:val="28"/>
            </w:rPr>
          </w:pPr>
        </w:p>
      </w:tc>
      <w:tc>
        <w:tcPr>
          <w:tcW w:w="5362" w:type="dxa"/>
          <w:shd w:val="clear" w:color="auto" w:fill="auto"/>
          <w:vAlign w:val="center"/>
        </w:tcPr>
        <w:p w:rsidR="00623EE5" w:rsidRDefault="00914E80">
          <w:pPr>
            <w:pBdr>
              <w:top w:val="nil"/>
              <w:left w:val="nil"/>
              <w:bottom w:val="nil"/>
              <w:right w:val="nil"/>
              <w:between w:val="nil"/>
            </w:pBdr>
            <w:tabs>
              <w:tab w:val="center" w:pos="5102"/>
              <w:tab w:val="right" w:pos="10204"/>
            </w:tabs>
            <w:spacing w:after="0" w:line="240" w:lineRule="auto"/>
            <w:jc w:val="right"/>
            <w:rPr>
              <w:color w:val="000000"/>
            </w:rPr>
          </w:pPr>
          <w:r>
            <w:rPr>
              <w:noProof/>
              <w:color w:val="000000"/>
            </w:rPr>
            <w:drawing>
              <wp:inline distT="0" distB="0" distL="0" distR="0">
                <wp:extent cx="1981200" cy="147206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81200" cy="1472065"/>
                        </a:xfrm>
                        <a:prstGeom prst="rect">
                          <a:avLst/>
                        </a:prstGeom>
                        <a:ln/>
                      </pic:spPr>
                    </pic:pic>
                  </a:graphicData>
                </a:graphic>
              </wp:inline>
            </w:drawing>
          </w:r>
        </w:p>
      </w:tc>
    </w:tr>
  </w:tbl>
  <w:p w:rsidR="00623EE5" w:rsidRDefault="00623EE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A11679"/>
    <w:multiLevelType w:val="multilevel"/>
    <w:tmpl w:val="CC0C711C"/>
    <w:lvl w:ilvl="0">
      <w:start w:val="1"/>
      <w:numFmt w:val="decimal"/>
      <w:lvlText w:val="%1."/>
      <w:lvlJc w:val="left"/>
      <w:pPr>
        <w:ind w:left="303" w:hanging="360"/>
      </w:pPr>
    </w:lvl>
    <w:lvl w:ilvl="1">
      <w:start w:val="1"/>
      <w:numFmt w:val="lowerLetter"/>
      <w:lvlText w:val="%2."/>
      <w:lvlJc w:val="left"/>
      <w:pPr>
        <w:ind w:left="1023" w:hanging="360"/>
      </w:pPr>
    </w:lvl>
    <w:lvl w:ilvl="2">
      <w:start w:val="1"/>
      <w:numFmt w:val="lowerRoman"/>
      <w:lvlText w:val="%3."/>
      <w:lvlJc w:val="right"/>
      <w:pPr>
        <w:ind w:left="1743" w:hanging="180"/>
      </w:pPr>
    </w:lvl>
    <w:lvl w:ilvl="3">
      <w:start w:val="1"/>
      <w:numFmt w:val="decimal"/>
      <w:lvlText w:val="%4."/>
      <w:lvlJc w:val="left"/>
      <w:pPr>
        <w:ind w:left="2463" w:hanging="360"/>
      </w:pPr>
    </w:lvl>
    <w:lvl w:ilvl="4">
      <w:start w:val="1"/>
      <w:numFmt w:val="lowerLetter"/>
      <w:lvlText w:val="%5."/>
      <w:lvlJc w:val="left"/>
      <w:pPr>
        <w:ind w:left="3183" w:hanging="360"/>
      </w:pPr>
    </w:lvl>
    <w:lvl w:ilvl="5">
      <w:start w:val="1"/>
      <w:numFmt w:val="lowerRoman"/>
      <w:lvlText w:val="%6."/>
      <w:lvlJc w:val="right"/>
      <w:pPr>
        <w:ind w:left="3903" w:hanging="180"/>
      </w:pPr>
    </w:lvl>
    <w:lvl w:ilvl="6">
      <w:start w:val="1"/>
      <w:numFmt w:val="decimal"/>
      <w:lvlText w:val="%7."/>
      <w:lvlJc w:val="left"/>
      <w:pPr>
        <w:ind w:left="4623" w:hanging="360"/>
      </w:pPr>
    </w:lvl>
    <w:lvl w:ilvl="7">
      <w:start w:val="1"/>
      <w:numFmt w:val="lowerLetter"/>
      <w:lvlText w:val="%8."/>
      <w:lvlJc w:val="left"/>
      <w:pPr>
        <w:ind w:left="5343" w:hanging="360"/>
      </w:pPr>
    </w:lvl>
    <w:lvl w:ilvl="8">
      <w:start w:val="1"/>
      <w:numFmt w:val="lowerRoman"/>
      <w:lvlText w:val="%9."/>
      <w:lvlJc w:val="right"/>
      <w:pPr>
        <w:ind w:left="6063" w:hanging="180"/>
      </w:pPr>
    </w:lvl>
  </w:abstractNum>
  <w:abstractNum w:abstractNumId="1" w15:restartNumberingAfterBreak="0">
    <w:nsid w:val="5FC5626F"/>
    <w:multiLevelType w:val="multilevel"/>
    <w:tmpl w:val="0326372E"/>
    <w:lvl w:ilvl="0">
      <w:start w:val="6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60867E3"/>
    <w:multiLevelType w:val="hybridMultilevel"/>
    <w:tmpl w:val="FF8C4B78"/>
    <w:lvl w:ilvl="0" w:tplc="1D84AE16">
      <w:start w:val="2"/>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EE5"/>
    <w:rsid w:val="000812BD"/>
    <w:rsid w:val="000F0BE3"/>
    <w:rsid w:val="00324819"/>
    <w:rsid w:val="00623EE5"/>
    <w:rsid w:val="00914E80"/>
    <w:rsid w:val="00A603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25A18"/>
  <w15:docId w15:val="{B0E57122-0571-46E3-B849-2BD6B45E3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bidi/>
        <w:spacing w:after="200" w:line="276" w:lineRule="auto"/>
        <w:ind w:left="300"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081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nhrc-qa.org/wp-content/uploads/2014/01/%D8%A7%D9%84%D8%B9%D9%87%D8%AF-%D8%A7%D9%84%D8%AF%D9%88%D9%84%D9%8A-%D8%A7%D9%84%D8%AE%D8%A7%D8%B5-%D8%A8%D8%A7%D9%84%D8%AD%D9%82%D9%88%D9%82-%D8%A7%D9%84%D9%85%D8%AF%D9%86%D9%8A%D8%A9-%D9%88%D8%A7%D9%84%D8%B3%D9%8A%D8%A7%D8%B3%D9%8A%D8%A9.pdf" TargetMode="External"/><Relationship Id="rId13" Type="http://schemas.openxmlformats.org/officeDocument/2006/relationships/hyperlink" Target="http://www.nhrc-qa.org/wp-content/uploads/2014/01/%D8%A7%D9%84%D8%B9%D9%87%D8%AF-%D8%A7%D9%84%D8%AF%D9%88%D9%84%D9%8A-%D8%A7%D9%84%D8%AE%D8%A7%D8%B5-%D8%A8%D8%A7%D9%84%D8%AD%D9%82%D9%88%D9%82-%D8%A7%D9%84%D9%85%D8%AF%D9%86%D9%8A%D8%A9-%D9%88%D8%A7%D9%84%D8%B3%D9%8A%D8%A7%D8%B3%D9%8A%D8%A9.pdf" TargetMode="External"/><Relationship Id="rId18" Type="http://schemas.openxmlformats.org/officeDocument/2006/relationships/hyperlink" Target="http://www.nhrc-qa.org/wp-content/uploads/2014/01/%D8%A7%D9%84%D8%B9%D9%87%D8%AF-%D8%A7%D9%84%D8%AF%D9%88%D9%84%D9%8A-%D8%A7%D9%84%D8%AE%D8%A7%D8%B5-%D8%A8%D8%A7%D9%84%D8%AD%D9%82%D9%88%D9%82-%D8%A7%D9%84%D9%85%D8%AF%D9%86%D9%8A%D8%A9-%D9%88%D8%A7%D9%84%D8%B3%D9%8A%D8%A7%D8%B3%D9%8A%D8%A9.pdf" TargetMode="External"/><Relationship Id="rId26" Type="http://schemas.openxmlformats.org/officeDocument/2006/relationships/hyperlink" Target="http://www.nhrc-qa.org/wp-content/uploads/2014/01/%D8%A7%D9%84%D8%B9%D9%87%D8%AF-%D8%A7%D9%84%D8%AF%D9%88%D9%84%D9%8A-%D8%A7%D9%84%D8%AE%D8%A7%D8%B5-%D8%A8%D8%A7%D9%84%D8%AD%D9%82%D9%88%D9%82-%D8%A7%D9%84%D9%85%D8%AF%D9%86%D9%8A%D8%A9-%D9%88%D8%A7%D9%84%D8%B3%D9%8A%D8%A7%D8%B3%D9%8A%D8%A9.pdf" TargetMode="External"/><Relationship Id="rId3" Type="http://schemas.openxmlformats.org/officeDocument/2006/relationships/hyperlink" Target="http://www.nhrc-qa.org/wp-content/uploads/2014/01/%D8%A7%D9%84%D8%B9%D9%87%D8%AF-%D8%A7%D9%84%D8%AF%D9%88%D9%84%D9%8A-%D8%A7%D9%84%D8%AE%D8%A7%D8%B5-%D8%A8%D8%A7%D9%84%D8%AD%D9%82%D9%88%D9%82-%D8%A7%D9%84%D9%85%D8%AF%D9%86%D9%8A%D8%A9-%D9%88%D8%A7%D9%84%D8%B3%D9%8A%D8%A7%D8%B3%D9%8A%D8%A9.pdf" TargetMode="External"/><Relationship Id="rId21" Type="http://schemas.openxmlformats.org/officeDocument/2006/relationships/hyperlink" Target="http://www.nhrc-qa.org/wp-content/uploads/2014/01/%D8%A7%D9%84%D8%B9%D9%87%D8%AF-%D8%A7%D9%84%D8%AF%D9%88%D9%84%D9%8A-%D8%A7%D9%84%D8%AE%D8%A7%D8%B5-%D8%A8%D8%A7%D9%84%D8%AD%D9%82%D9%88%D9%82-%D8%A7%D9%84%D9%85%D8%AF%D9%86%D9%8A%D8%A9-%D9%88%D8%A7%D9%84%D8%B3%D9%8A%D8%A7%D8%B3%D9%8A%D8%A9.pdf" TargetMode="External"/><Relationship Id="rId34" Type="http://schemas.openxmlformats.org/officeDocument/2006/relationships/hyperlink" Target="http://acfh.info/ar/?p=2407" TargetMode="External"/><Relationship Id="rId7" Type="http://schemas.openxmlformats.org/officeDocument/2006/relationships/hyperlink" Target="http://www.nhrc-qa.org/wp-content/uploads/2014/01/%D8%A7%D9%84%D8%B9%D9%87%D8%AF-%D8%A7%D9%84%D8%AF%D9%88%D9%84%D9%8A-%D8%A7%D9%84%D8%AE%D8%A7%D8%B5-%D8%A8%D8%A7%D9%84%D8%AD%D9%82%D9%88%D9%82-%D8%A7%D9%84%D9%85%D8%AF%D9%86%D9%8A%D8%A9-%D9%88%D8%A7%D9%84%D8%B3%D9%8A%D8%A7%D8%B3%D9%8A%D8%A9.pdf" TargetMode="External"/><Relationship Id="rId12" Type="http://schemas.openxmlformats.org/officeDocument/2006/relationships/hyperlink" Target="http://www.nhrc-qa.org/wp-content/uploads/2014/01/%D8%A7%D9%84%D8%B9%D9%87%D8%AF-%D8%A7%D9%84%D8%AF%D9%88%D9%84%D9%8A-%D8%A7%D9%84%D8%AE%D8%A7%D8%B5-%D8%A8%D8%A7%D9%84%D8%AD%D9%82%D9%88%D9%82-%D8%A7%D9%84%D9%85%D8%AF%D9%86%D9%8A%D8%A9-%D9%88%D8%A7%D9%84%D8%B3%D9%8A%D8%A7%D8%B3%D9%8A%D8%A9.pdf" TargetMode="External"/><Relationship Id="rId17" Type="http://schemas.openxmlformats.org/officeDocument/2006/relationships/hyperlink" Target="http://www.nhrc-qa.org/wp-content/uploads/2014/01/%D8%A7%D9%84%D8%B9%D9%87%D8%AF-%D8%A7%D9%84%D8%AF%D9%88%D9%84%D9%8A-%D8%A7%D9%84%D8%AE%D8%A7%D8%B5-%D8%A8%D8%A7%D9%84%D8%AD%D9%82%D9%88%D9%82-%D8%A7%D9%84%D9%85%D8%AF%D9%86%D9%8A%D8%A9-%D9%88%D8%A7%D9%84%D8%B3%D9%8A%D8%A7%D8%B3%D9%8A%D8%A9.pdf" TargetMode="External"/><Relationship Id="rId25" Type="http://schemas.openxmlformats.org/officeDocument/2006/relationships/hyperlink" Target="http://www.nhrc-qa.org/wp-content/uploads/2014/01/%D8%A7%D9%84%D8%B9%D9%87%D8%AF-%D8%A7%D9%84%D8%AF%D9%88%D9%84%D9%8A-%D8%A7%D9%84%D8%AE%D8%A7%D8%B5-%D8%A8%D8%A7%D9%84%D8%AD%D9%82%D9%88%D9%82-%D8%A7%D9%84%D9%85%D8%AF%D9%86%D9%8A%D8%A9-%D9%88%D8%A7%D9%84%D8%B3%D9%8A%D8%A7%D8%B3%D9%8A%D8%A9.pdf" TargetMode="External"/><Relationship Id="rId33" Type="http://schemas.openxmlformats.org/officeDocument/2006/relationships/hyperlink" Target="https://www.dusc.org/ar/article/1350" TargetMode="External"/><Relationship Id="rId2" Type="http://schemas.openxmlformats.org/officeDocument/2006/relationships/hyperlink" Target="https://www.ohchr.org/Documents/Publications/Declaration_indigenous_ar.pdf" TargetMode="External"/><Relationship Id="rId16" Type="http://schemas.openxmlformats.org/officeDocument/2006/relationships/hyperlink" Target="http://www.nhrc-qa.org/wp-content/uploads/2014/01/%D8%A7%D9%84%D8%B9%D9%87%D8%AF-%D8%A7%D9%84%D8%AF%D9%88%D9%84%D9%8A-%D8%A7%D9%84%D8%AE%D8%A7%D8%B5-%D8%A8%D8%A7%D9%84%D8%AD%D9%82%D9%88%D9%82-%D8%A7%D9%84%D9%85%D8%AF%D9%86%D9%8A%D8%A9-%D9%88%D8%A7%D9%84%D8%B3%D9%8A%D8%A7%D8%B3%D9%8A%D8%A9.pdf" TargetMode="External"/><Relationship Id="rId20" Type="http://schemas.openxmlformats.org/officeDocument/2006/relationships/hyperlink" Target="http://www.nhrc-qa.org/wp-content/uploads/2014/01/%D8%A7%D9%84%D8%B9%D9%87%D8%AF-%D8%A7%D9%84%D8%AF%D9%88%D9%84%D9%8A-%D8%A7%D9%84%D8%AE%D8%A7%D8%B5-%D8%A8%D8%A7%D9%84%D8%AD%D9%82%D9%88%D9%82-%D8%A7%D9%84%D9%85%D8%AF%D9%86%D9%8A%D8%A9-%D9%88%D8%A7%D9%84%D8%B3%D9%8A%D8%A7%D8%B3%D9%8A%D8%A9.pdf" TargetMode="External"/><Relationship Id="rId29" Type="http://schemas.openxmlformats.org/officeDocument/2006/relationships/hyperlink" Target="http://www.nhrc-qa.org/wp-content/uploads/2014/01/%D8%A7%D9%84%D8%B9%D9%87%D8%AF-%D8%A7%D9%84%D8%AF%D9%88%D9%84%D9%8A-%D8%A7%D9%84%D8%AE%D8%A7%D8%B5-%D8%A8%D8%A7%D9%84%D8%AD%D9%82%D9%88%D9%82-%D8%A7%D9%84%D9%85%D8%AF%D9%86%D9%8A%D8%A9-%D9%88%D8%A7%D9%84%D8%B3%D9%8A%D8%A7%D8%B3%D9%8A%D8%A9.pdf" TargetMode="External"/><Relationship Id="rId1" Type="http://schemas.openxmlformats.org/officeDocument/2006/relationships/hyperlink" Target="https://www.right-to-education.org/ar/issue-page/marginalised-groups-0" TargetMode="External"/><Relationship Id="rId6" Type="http://schemas.openxmlformats.org/officeDocument/2006/relationships/hyperlink" Target="http://www.nhrc-qa.org/wp-content/uploads/2014/01/%D8%A7%D9%84%D8%B9%D9%87%D8%AF-%D8%A7%D9%84%D8%AF%D9%88%D9%84%D9%8A-%D8%A7%D9%84%D8%AE%D8%A7%D8%B5-%D8%A8%D8%A7%D9%84%D8%AD%D9%82%D9%88%D9%82-%D8%A7%D9%84%D9%85%D8%AF%D9%86%D9%8A%D8%A9-%D9%88%D8%A7%D9%84%D8%B3%D9%8A%D8%A7%D8%B3%D9%8A%D8%A9.pdf" TargetMode="External"/><Relationship Id="rId11" Type="http://schemas.openxmlformats.org/officeDocument/2006/relationships/hyperlink" Target="http://www.nhrc-qa.org/wp-content/uploads/2014/01/%D8%A7%D9%84%D8%B9%D9%87%D8%AF-%D8%A7%D9%84%D8%AF%D9%88%D9%84%D9%8A-%D8%A7%D9%84%D8%AE%D8%A7%D8%B5-%D8%A8%D8%A7%D9%84%D8%AD%D9%82%D9%88%D9%82-%D8%A7%D9%84%D9%85%D8%AF%D9%86%D9%8A%D8%A9-%D9%88%D8%A7%D9%84%D8%B3%D9%8A%D8%A7%D8%B3%D9%8A%D8%A9.pdf" TargetMode="External"/><Relationship Id="rId24" Type="http://schemas.openxmlformats.org/officeDocument/2006/relationships/hyperlink" Target="http://www.nhrc-qa.org/wp-content/uploads/2014/01/%D8%A7%D9%84%D8%B9%D9%87%D8%AF-%D8%A7%D9%84%D8%AF%D9%88%D9%84%D9%8A-%D8%A7%D9%84%D8%AE%D8%A7%D8%B5-%D8%A8%D8%A7%D9%84%D8%AD%D9%82%D9%88%D9%82-%D8%A7%D9%84%D9%85%D8%AF%D9%86%D9%8A%D8%A9-%D9%88%D8%A7%D9%84%D8%B3%D9%8A%D8%A7%D8%B3%D9%8A%D8%A9.pdf" TargetMode="External"/><Relationship Id="rId32" Type="http://schemas.openxmlformats.org/officeDocument/2006/relationships/hyperlink" Target="https://undocs.org/ar/A/HRC/27/65" TargetMode="External"/><Relationship Id="rId37" Type="http://schemas.openxmlformats.org/officeDocument/2006/relationships/hyperlink" Target="http://acfh.info/ar/?p=2392" TargetMode="External"/><Relationship Id="rId5" Type="http://schemas.openxmlformats.org/officeDocument/2006/relationships/hyperlink" Target="http://www.nhrc-qa.org/wp-content/uploads/2014/01/%D8%A7%D9%84%D8%B9%D9%87%D8%AF-%D8%A7%D9%84%D8%AF%D9%88%D9%84%D9%8A-%D8%A7%D9%84%D8%AE%D8%A7%D8%B5-%D8%A8%D8%A7%D9%84%D8%AD%D9%82%D9%88%D9%82-%D8%A7%D9%84%D9%85%D8%AF%D9%86%D9%8A%D8%A9-%D9%88%D8%A7%D9%84%D8%B3%D9%8A%D8%A7%D8%B3%D9%8A%D8%A9.pdf" TargetMode="External"/><Relationship Id="rId15" Type="http://schemas.openxmlformats.org/officeDocument/2006/relationships/hyperlink" Target="http://www.nhrc-qa.org/wp-content/uploads/2014/01/%D8%A7%D9%84%D8%B9%D9%87%D8%AF-%D8%A7%D9%84%D8%AF%D9%88%D9%84%D9%8A-%D8%A7%D9%84%D8%AE%D8%A7%D8%B5-%D8%A8%D8%A7%D9%84%D8%AD%D9%82%D9%88%D9%82-%D8%A7%D9%84%D9%85%D8%AF%D9%86%D9%8A%D8%A9-%D9%88%D8%A7%D9%84%D8%B3%D9%8A%D8%A7%D8%B3%D9%8A%D8%A9.pdf" TargetMode="External"/><Relationship Id="rId23" Type="http://schemas.openxmlformats.org/officeDocument/2006/relationships/hyperlink" Target="http://www.nhrc-qa.org/wp-content/uploads/2014/01/%D8%A7%D9%84%D8%B9%D9%87%D8%AF-%D8%A7%D9%84%D8%AF%D9%88%D9%84%D9%8A-%D8%A7%D9%84%D8%AE%D8%A7%D8%B5-%D8%A8%D8%A7%D9%84%D8%AD%D9%82%D9%88%D9%82-%D8%A7%D9%84%D9%85%D8%AF%D9%86%D9%8A%D8%A9-%D9%88%D8%A7%D9%84%D8%B3%D9%8A%D8%A7%D8%B3%D9%8A%D8%A9.pdf" TargetMode="External"/><Relationship Id="rId28" Type="http://schemas.openxmlformats.org/officeDocument/2006/relationships/hyperlink" Target="http://www.nhrc-qa.org/wp-content/uploads/2014/01/%D8%A7%D9%84%D8%B9%D9%87%D8%AF-%D8%A7%D9%84%D8%AF%D9%88%D9%84%D9%8A-%D8%A7%D9%84%D8%AE%D8%A7%D8%B5-%D8%A8%D8%A7%D9%84%D8%AD%D9%82%D9%88%D9%82-%D8%A7%D9%84%D9%85%D8%AF%D9%86%D9%8A%D8%A9-%D9%88%D8%A7%D9%84%D8%B3%D9%8A%D8%A7%D8%B3%D9%8A%D8%A9.pdf" TargetMode="External"/><Relationship Id="rId36" Type="http://schemas.openxmlformats.org/officeDocument/2006/relationships/hyperlink" Target="https://www.constituteproject.org/constitution/Iran_1989.pdf?lang=ar" TargetMode="External"/><Relationship Id="rId10" Type="http://schemas.openxmlformats.org/officeDocument/2006/relationships/hyperlink" Target="http://www.nhrc-qa.org/wp-content/uploads/2014/01/%D8%A7%D9%84%D8%B9%D9%87%D8%AF-%D8%A7%D9%84%D8%AF%D9%88%D9%84%D9%8A-%D8%A7%D9%84%D8%AE%D8%A7%D8%B5-%D8%A8%D8%A7%D9%84%D8%AD%D9%82%D9%88%D9%82-%D8%A7%D9%84%D9%85%D8%AF%D9%86%D9%8A%D8%A9-%D9%88%D8%A7%D9%84%D8%B3%D9%8A%D8%A7%D8%B3%D9%8A%D8%A9.pdf" TargetMode="External"/><Relationship Id="rId19" Type="http://schemas.openxmlformats.org/officeDocument/2006/relationships/hyperlink" Target="http://www.nhrc-qa.org/wp-content/uploads/2014/01/%D8%A7%D9%84%D8%B9%D9%87%D8%AF-%D8%A7%D9%84%D8%AF%D9%88%D9%84%D9%8A-%D8%A7%D9%84%D8%AE%D8%A7%D8%B5-%D8%A8%D8%A7%D9%84%D8%AD%D9%82%D9%88%D9%82-%D8%A7%D9%84%D9%85%D8%AF%D9%86%D9%8A%D8%A9-%D9%88%D8%A7%D9%84%D8%B3%D9%8A%D8%A7%D8%B3%D9%8A%D8%A9.pdf" TargetMode="External"/><Relationship Id="rId31" Type="http://schemas.openxmlformats.org/officeDocument/2006/relationships/hyperlink" Target="http://www.nhrc-qa.org/wp-content/uploads/2014/01/%D8%A7%D9%84%D8%B9%D9%87%D8%AF-%D8%A7%D9%84%D8%AF%D9%88%D9%84%D9%8A-%D8%A7%D9%84%D8%AE%D8%A7%D8%B5-%D8%A8%D8%A7%D9%84%D8%AD%D9%82%D9%88%D9%82-%D8%A7%D9%84%D9%85%D8%AF%D9%86%D9%8A%D8%A9-%D9%88%D8%A7%D9%84%D8%B3%D9%8A%D8%A7%D8%B3%D9%8A%D8%A9.pdf" TargetMode="External"/><Relationship Id="rId4" Type="http://schemas.openxmlformats.org/officeDocument/2006/relationships/hyperlink" Target="http://www.nhrc-qa.org/wp-content/uploads/2014/01/%D8%A7%D9%84%D8%B9%D9%87%D8%AF-%D8%A7%D9%84%D8%AF%D9%88%D9%84%D9%8A-%D8%A7%D9%84%D8%AE%D8%A7%D8%B5-%D8%A8%D8%A7%D9%84%D8%AD%D9%82%D9%88%D9%82-%D8%A7%D9%84%D9%85%D8%AF%D9%86%D9%8A%D8%A9-%D9%88%D8%A7%D9%84%D8%B3%D9%8A%D8%A7%D8%B3%D9%8A%D8%A9.pdf" TargetMode="External"/><Relationship Id="rId9" Type="http://schemas.openxmlformats.org/officeDocument/2006/relationships/hyperlink" Target="http://www.nhrc-qa.org/wp-content/uploads/2014/01/%D8%A7%D9%84%D8%B9%D9%87%D8%AF-%D8%A7%D9%84%D8%AF%D9%88%D9%84%D9%8A-%D8%A7%D9%84%D8%AE%D8%A7%D8%B5-%D8%A8%D8%A7%D9%84%D8%AD%D9%82%D9%88%D9%82-%D8%A7%D9%84%D9%85%D8%AF%D9%86%D9%8A%D8%A9-%D9%88%D8%A7%D9%84%D8%B3%D9%8A%D8%A7%D8%B3%D9%8A%D8%A9.pdf" TargetMode="External"/><Relationship Id="rId14" Type="http://schemas.openxmlformats.org/officeDocument/2006/relationships/hyperlink" Target="http://www.nhrc-qa.org/wp-content/uploads/2014/01/%D8%A7%D9%84%D8%B9%D9%87%D8%AF-%D8%A7%D9%84%D8%AF%D9%88%D9%84%D9%8A-%D8%A7%D9%84%D8%AE%D8%A7%D8%B5-%D8%A8%D8%A7%D9%84%D8%AD%D9%82%D9%88%D9%82-%D8%A7%D9%84%D9%85%D8%AF%D9%86%D9%8A%D8%A9-%D9%88%D8%A7%D9%84%D8%B3%D9%8A%D8%A7%D8%B3%D9%8A%D8%A9.pdf" TargetMode="External"/><Relationship Id="rId22" Type="http://schemas.openxmlformats.org/officeDocument/2006/relationships/hyperlink" Target="http://www.nhrc-qa.org/wp-content/uploads/2014/01/%D8%A7%D9%84%D8%B9%D9%87%D8%AF-%D8%A7%D9%84%D8%AF%D9%88%D9%84%D9%8A-%D8%A7%D9%84%D8%AE%D8%A7%D8%B5-%D8%A8%D8%A7%D9%84%D8%AD%D9%82%D9%88%D9%82-%D8%A7%D9%84%D9%85%D8%AF%D9%86%D9%8A%D8%A9-%D9%88%D8%A7%D9%84%D8%B3%D9%8A%D8%A7%D8%B3%D9%8A%D8%A9.pdf" TargetMode="External"/><Relationship Id="rId27" Type="http://schemas.openxmlformats.org/officeDocument/2006/relationships/hyperlink" Target="http://www.nhrc-qa.org/wp-content/uploads/2014/01/%D8%A7%D9%84%D8%B9%D9%87%D8%AF-%D8%A7%D9%84%D8%AF%D9%88%D9%84%D9%8A-%D8%A7%D9%84%D8%AE%D8%A7%D8%B5-%D8%A8%D8%A7%D9%84%D8%AD%D9%82%D9%88%D9%82-%D8%A7%D9%84%D9%85%D8%AF%D9%86%D9%8A%D8%A9-%D9%88%D8%A7%D9%84%D8%B3%D9%8A%D8%A7%D8%B3%D9%8A%D8%A9.pdf" TargetMode="External"/><Relationship Id="rId30" Type="http://schemas.openxmlformats.org/officeDocument/2006/relationships/hyperlink" Target="http://www.nhrc-qa.org/wp-content/uploads/2014/01/%D8%A7%D9%84%D8%B9%D9%87%D8%AF-%D8%A7%D9%84%D8%AF%D9%88%D9%84%D9%8A-%D8%A7%D9%84%D8%AE%D8%A7%D8%B5-%D8%A8%D8%A7%D9%84%D8%AD%D9%82%D9%88%D9%82-%D8%A7%D9%84%D9%85%D8%AF%D9%86%D9%8A%D8%A9-%D9%88%D8%A7%D9%84%D8%B3%D9%8A%D8%A7%D8%B3%D9%8A%D8%A9.pdf" TargetMode="External"/><Relationship Id="rId35" Type="http://schemas.openxmlformats.org/officeDocument/2006/relationships/hyperlink" Target="https://www.dusc.org/ar/article/135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161A35-97B0-40DD-8EF2-BE34CB041F41}"/>
</file>

<file path=customXml/itemProps2.xml><?xml version="1.0" encoding="utf-8"?>
<ds:datastoreItem xmlns:ds="http://schemas.openxmlformats.org/officeDocument/2006/customXml" ds:itemID="{D8972B77-F323-4433-AC27-FCD320ED2718}"/>
</file>

<file path=customXml/itemProps3.xml><?xml version="1.0" encoding="utf-8"?>
<ds:datastoreItem xmlns:ds="http://schemas.openxmlformats.org/officeDocument/2006/customXml" ds:itemID="{C472AF26-4B79-4365-B8A8-1B7817CA3ADE}"/>
</file>

<file path=docProps/app.xml><?xml version="1.0" encoding="utf-8"?>
<Properties xmlns="http://schemas.openxmlformats.org/officeDocument/2006/extended-properties" xmlns:vt="http://schemas.openxmlformats.org/officeDocument/2006/docPropsVTypes">
  <Template>Normal</Template>
  <TotalTime>14</TotalTime>
  <Pages>7</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3</cp:revision>
  <dcterms:created xsi:type="dcterms:W3CDTF">2019-05-10T17:19:00Z</dcterms:created>
  <dcterms:modified xsi:type="dcterms:W3CDTF">2019-05-10T21:13:00Z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