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F2ED" w14:textId="42AAD9A0" w:rsidR="00F249F2" w:rsidRDefault="000333F3" w:rsidP="00FE24ED">
      <w:pPr>
        <w:pStyle w:val="Normal1"/>
        <w:jc w:val="center"/>
        <w:rPr>
          <w:b/>
          <w:noProof/>
          <w:sz w:val="28"/>
          <w:szCs w:val="28"/>
          <w:lang w:eastAsia="en-GB"/>
        </w:rPr>
      </w:pPr>
      <w:bookmarkStart w:id="0" w:name="_GoBack"/>
      <w:bookmarkEnd w:id="0"/>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r w:rsidR="00AB273F">
        <w:rPr>
          <w:noProof/>
          <w:lang w:eastAsia="en-GB"/>
        </w:rPr>
        <w:drawing>
          <wp:inline distT="0" distB="0" distL="0" distR="0" wp14:anchorId="2F6BB27B" wp14:editId="51AAECFA">
            <wp:extent cx="1200150" cy="1225550"/>
            <wp:effectExtent l="0" t="0" r="0" b="0"/>
            <wp:docPr id="6" name="Billede 10"/>
            <wp:cNvGraphicFramePr/>
            <a:graphic xmlns:a="http://schemas.openxmlformats.org/drawingml/2006/main">
              <a:graphicData uri="http://schemas.openxmlformats.org/drawingml/2006/picture">
                <pic:pic xmlns:pic="http://schemas.openxmlformats.org/drawingml/2006/picture">
                  <pic:nvPicPr>
                    <pic:cNvPr id="6" name="Billed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916" cy="1252882"/>
                    </a:xfrm>
                    <a:prstGeom prst="rect">
                      <a:avLst/>
                    </a:prstGeom>
                  </pic:spPr>
                </pic:pic>
              </a:graphicData>
            </a:graphic>
          </wp:inline>
        </w:drawing>
      </w:r>
    </w:p>
    <w:p w14:paraId="22C562F9" w14:textId="491C9962" w:rsidR="000333F3" w:rsidRPr="00D94429" w:rsidRDefault="00AB273F" w:rsidP="00F249F2">
      <w:pPr>
        <w:pStyle w:val="Normal1"/>
        <w:rPr>
          <w:rFonts w:ascii="Times New Roman" w:hAnsi="Times New Roman"/>
          <w:b/>
          <w:noProof/>
          <w:sz w:val="28"/>
          <w:szCs w:val="28"/>
          <w:lang w:eastAsia="en-GB"/>
        </w:rPr>
      </w:pPr>
      <w:r>
        <w:rPr>
          <w:rFonts w:ascii="Times New Roman" w:hAnsi="Times New Roman"/>
          <w:b/>
          <w:noProof/>
          <w:sz w:val="28"/>
          <w:szCs w:val="28"/>
          <w:lang w:eastAsia="en-GB"/>
        </w:rPr>
        <w:t xml:space="preserve"> </w:t>
      </w:r>
    </w:p>
    <w:p w14:paraId="0972A222" w14:textId="77777777" w:rsidR="000333F3" w:rsidRPr="00D94429" w:rsidRDefault="000333F3" w:rsidP="00FE24ED">
      <w:pPr>
        <w:pStyle w:val="Normal1"/>
        <w:jc w:val="center"/>
        <w:rPr>
          <w:rFonts w:ascii="Times New Roman" w:hAnsi="Times New Roman"/>
          <w:b/>
          <w:noProof/>
          <w:sz w:val="28"/>
          <w:szCs w:val="28"/>
          <w:lang w:eastAsia="en-GB"/>
        </w:rPr>
      </w:pPr>
    </w:p>
    <w:p w14:paraId="7F242A66" w14:textId="403CCF5A" w:rsidR="00FE24ED" w:rsidRPr="00D94429" w:rsidRDefault="00FE24ED" w:rsidP="00FE24ED">
      <w:pPr>
        <w:pStyle w:val="Normal1"/>
        <w:jc w:val="center"/>
        <w:rPr>
          <w:rFonts w:ascii="Times New Roman" w:hAnsi="Times New Roman"/>
          <w:b/>
          <w:noProof/>
          <w:sz w:val="28"/>
          <w:szCs w:val="28"/>
        </w:rPr>
      </w:pPr>
      <w:r w:rsidRPr="00D94429">
        <w:rPr>
          <w:rFonts w:ascii="Times New Roman" w:hAnsi="Times New Roman"/>
          <w:b/>
          <w:noProof/>
          <w:sz w:val="28"/>
          <w:szCs w:val="28"/>
          <w:lang w:eastAsia="en-GB"/>
        </w:rPr>
        <w:t xml:space="preserve">Expert Mechanism on the Rights of </w:t>
      </w:r>
      <w:r w:rsidR="003C2B66">
        <w:rPr>
          <w:rFonts w:ascii="Times New Roman" w:hAnsi="Times New Roman"/>
          <w:b/>
          <w:noProof/>
          <w:sz w:val="28"/>
          <w:szCs w:val="28"/>
          <w:lang w:eastAsia="en-GB"/>
        </w:rPr>
        <w:t>I</w:t>
      </w:r>
      <w:r w:rsidRPr="00D94429">
        <w:rPr>
          <w:rFonts w:ascii="Times New Roman" w:hAnsi="Times New Roman"/>
          <w:b/>
          <w:noProof/>
          <w:sz w:val="28"/>
          <w:szCs w:val="28"/>
          <w:lang w:eastAsia="en-GB"/>
        </w:rPr>
        <w:t xml:space="preserve">ndigenous </w:t>
      </w:r>
      <w:r w:rsidR="003C2B66">
        <w:rPr>
          <w:rFonts w:ascii="Times New Roman" w:hAnsi="Times New Roman"/>
          <w:b/>
          <w:noProof/>
          <w:sz w:val="28"/>
          <w:szCs w:val="28"/>
          <w:lang w:eastAsia="en-GB"/>
        </w:rPr>
        <w:t>P</w:t>
      </w:r>
      <w:r w:rsidRPr="00D94429">
        <w:rPr>
          <w:rFonts w:ascii="Times New Roman" w:hAnsi="Times New Roman"/>
          <w:b/>
          <w:noProof/>
          <w:sz w:val="28"/>
          <w:szCs w:val="28"/>
          <w:lang w:eastAsia="en-GB"/>
        </w:rPr>
        <w:t>eoples</w:t>
      </w:r>
      <w:r w:rsidR="00794972">
        <w:rPr>
          <w:rFonts w:ascii="Times New Roman" w:hAnsi="Times New Roman"/>
          <w:b/>
          <w:noProof/>
          <w:sz w:val="28"/>
          <w:szCs w:val="28"/>
          <w:lang w:eastAsia="en-GB"/>
        </w:rPr>
        <w:t xml:space="preserve"> </w:t>
      </w:r>
      <w:r w:rsidR="003C2B66">
        <w:rPr>
          <w:rFonts w:ascii="Times New Roman" w:hAnsi="Times New Roman"/>
          <w:b/>
          <w:noProof/>
          <w:sz w:val="28"/>
          <w:szCs w:val="28"/>
          <w:lang w:eastAsia="en-GB"/>
        </w:rPr>
        <w:t>S</w:t>
      </w:r>
      <w:r w:rsidR="00794972">
        <w:rPr>
          <w:rFonts w:ascii="Times New Roman" w:hAnsi="Times New Roman"/>
          <w:b/>
          <w:noProof/>
          <w:sz w:val="28"/>
          <w:szCs w:val="28"/>
          <w:lang w:eastAsia="en-GB"/>
        </w:rPr>
        <w:t xml:space="preserve">tudy on </w:t>
      </w:r>
      <w:r w:rsidR="003C2B66">
        <w:rPr>
          <w:rFonts w:ascii="Times New Roman" w:hAnsi="Times New Roman"/>
          <w:b/>
          <w:noProof/>
          <w:sz w:val="28"/>
          <w:szCs w:val="28"/>
          <w:lang w:eastAsia="en-GB"/>
        </w:rPr>
        <w:br/>
      </w:r>
    </w:p>
    <w:p w14:paraId="7040194B" w14:textId="17D2800C" w:rsidR="00C34BCF" w:rsidRDefault="00A14045" w:rsidP="00FE24ED">
      <w:pPr>
        <w:pStyle w:val="Normal1"/>
        <w:jc w:val="center"/>
        <w:rPr>
          <w:rFonts w:ascii="Times New Roman" w:hAnsi="Times New Roman"/>
          <w:b/>
          <w:noProof/>
          <w:sz w:val="28"/>
          <w:szCs w:val="28"/>
        </w:rPr>
      </w:pPr>
      <w:r>
        <w:rPr>
          <w:rFonts w:ascii="Times New Roman" w:hAnsi="Times New Roman"/>
          <w:b/>
          <w:noProof/>
          <w:sz w:val="28"/>
          <w:szCs w:val="28"/>
        </w:rPr>
        <w:t xml:space="preserve">“The rights of the </w:t>
      </w:r>
      <w:r w:rsidR="00AB273F">
        <w:rPr>
          <w:rFonts w:ascii="Times New Roman" w:hAnsi="Times New Roman"/>
          <w:b/>
          <w:noProof/>
          <w:sz w:val="28"/>
          <w:szCs w:val="28"/>
        </w:rPr>
        <w:t xml:space="preserve">indigenous </w:t>
      </w:r>
      <w:r>
        <w:rPr>
          <w:rFonts w:ascii="Times New Roman" w:hAnsi="Times New Roman"/>
          <w:b/>
          <w:noProof/>
          <w:sz w:val="28"/>
          <w:szCs w:val="28"/>
        </w:rPr>
        <w:t>child</w:t>
      </w:r>
      <w:r w:rsidR="00FE24ED" w:rsidRPr="00D94429">
        <w:rPr>
          <w:rFonts w:ascii="Times New Roman" w:hAnsi="Times New Roman"/>
          <w:b/>
          <w:noProof/>
          <w:sz w:val="28"/>
          <w:szCs w:val="28"/>
        </w:rPr>
        <w:t xml:space="preserve"> under the UN Declaration on the Rights of Indigenous Peoples” </w:t>
      </w:r>
    </w:p>
    <w:p w14:paraId="018713EC" w14:textId="77777777" w:rsidR="00497BC5" w:rsidRPr="00D94429" w:rsidRDefault="00497BC5" w:rsidP="00FE24ED">
      <w:pPr>
        <w:pStyle w:val="Normal1"/>
        <w:jc w:val="center"/>
        <w:rPr>
          <w:rFonts w:ascii="Times New Roman" w:hAnsi="Times New Roman"/>
          <w:b/>
          <w:noProof/>
          <w:sz w:val="28"/>
          <w:szCs w:val="28"/>
        </w:rPr>
      </w:pPr>
    </w:p>
    <w:p w14:paraId="3AB36735" w14:textId="77777777" w:rsidR="00FE24ED" w:rsidRPr="00D94429" w:rsidRDefault="00FE24ED" w:rsidP="00FE24ED">
      <w:pPr>
        <w:pStyle w:val="Normal1"/>
        <w:jc w:val="center"/>
        <w:rPr>
          <w:rFonts w:ascii="Times New Roman" w:hAnsi="Times New Roman"/>
          <w:i/>
          <w:sz w:val="28"/>
          <w:szCs w:val="28"/>
        </w:rPr>
      </w:pPr>
    </w:p>
    <w:p w14:paraId="0F8B3DAA" w14:textId="77777777" w:rsidR="00FE24ED" w:rsidRPr="00D94429" w:rsidRDefault="00FE24ED" w:rsidP="00FE24ED">
      <w:pPr>
        <w:pStyle w:val="Normal1"/>
        <w:jc w:val="center"/>
        <w:rPr>
          <w:rFonts w:ascii="Times New Roman" w:hAnsi="Times New Roman"/>
          <w:b/>
          <w:i/>
          <w:sz w:val="28"/>
          <w:szCs w:val="28"/>
        </w:rPr>
      </w:pPr>
      <w:r w:rsidRPr="00D94429">
        <w:rPr>
          <w:rFonts w:ascii="Times New Roman" w:hAnsi="Times New Roman"/>
          <w:b/>
          <w:i/>
          <w:sz w:val="28"/>
          <w:szCs w:val="28"/>
        </w:rPr>
        <w:t>Concept Note</w:t>
      </w:r>
    </w:p>
    <w:p w14:paraId="1BE50A28" w14:textId="7866C059" w:rsidR="00CA5D12" w:rsidRDefault="00CA5D12" w:rsidP="00FE24ED">
      <w:pPr>
        <w:pStyle w:val="Normal1"/>
        <w:rPr>
          <w:b/>
          <w:sz w:val="24"/>
          <w:szCs w:val="24"/>
        </w:rPr>
      </w:pPr>
    </w:p>
    <w:p w14:paraId="26C184AD" w14:textId="77777777" w:rsidR="00FE24ED" w:rsidRPr="002F4F5A" w:rsidRDefault="00FE24ED" w:rsidP="00FE24ED">
      <w:pPr>
        <w:pStyle w:val="Normal1"/>
        <w:rPr>
          <w:rFonts w:ascii="Times New Roman" w:hAnsi="Times New Roman"/>
          <w:b/>
          <w:sz w:val="24"/>
          <w:szCs w:val="24"/>
        </w:rPr>
      </w:pPr>
      <w:r w:rsidRPr="002F4F5A">
        <w:rPr>
          <w:rFonts w:ascii="Times New Roman" w:hAnsi="Times New Roman"/>
          <w:b/>
          <w:sz w:val="24"/>
          <w:szCs w:val="24"/>
        </w:rPr>
        <w:t>Background</w:t>
      </w:r>
    </w:p>
    <w:p w14:paraId="690BAEB2" w14:textId="77777777" w:rsidR="00FE24ED" w:rsidRPr="002F4F5A" w:rsidRDefault="00FE24ED" w:rsidP="00FE24ED">
      <w:pPr>
        <w:pStyle w:val="Normal1"/>
        <w:rPr>
          <w:rFonts w:ascii="Times New Roman" w:hAnsi="Times New Roman"/>
          <w:b/>
          <w:sz w:val="24"/>
          <w:szCs w:val="24"/>
        </w:rPr>
      </w:pPr>
    </w:p>
    <w:p w14:paraId="0039D84E" w14:textId="77777777" w:rsidR="00FE24ED" w:rsidRPr="002F4F5A" w:rsidRDefault="00FE24ED" w:rsidP="00FE24ED">
      <w:pPr>
        <w:pStyle w:val="Normal1"/>
        <w:tabs>
          <w:tab w:val="left" w:pos="993"/>
        </w:tabs>
        <w:rPr>
          <w:rFonts w:ascii="Times New Roman" w:hAnsi="Times New Roman"/>
          <w:sz w:val="24"/>
          <w:szCs w:val="24"/>
        </w:rPr>
      </w:pPr>
      <w:r w:rsidRPr="002F4F5A">
        <w:rPr>
          <w:rFonts w:ascii="Times New Roman" w:hAnsi="Times New Roman"/>
          <w:sz w:val="24"/>
          <w:szCs w:val="24"/>
        </w:rPr>
        <w:t xml:space="preserve">1. Established by the United Nations Human Rights Council in 2007, the Expert Mechanism on the Rights of Indigenous Peoples is a subsidiary body composed of seven independent members that provides the Council with expertise and advice on the rights of indigenous </w:t>
      </w:r>
      <w:proofErr w:type="gramStart"/>
      <w:r w:rsidRPr="002F4F5A">
        <w:rPr>
          <w:rFonts w:ascii="Times New Roman" w:hAnsi="Times New Roman"/>
          <w:sz w:val="24"/>
          <w:szCs w:val="24"/>
        </w:rPr>
        <w:t>peoples</w:t>
      </w:r>
      <w:proofErr w:type="gramEnd"/>
      <w:r w:rsidRPr="002F4F5A">
        <w:rPr>
          <w:rFonts w:ascii="Times New Roman" w:hAnsi="Times New Roman"/>
          <w:sz w:val="24"/>
          <w:szCs w:val="24"/>
        </w:rPr>
        <w:t xml:space="preserve"> as set out in the United Nations Declaration on the Rights of Indigenous Peoples (the Declaration). The seven members serve in their individual capacities.</w:t>
      </w:r>
    </w:p>
    <w:p w14:paraId="462BE28E" w14:textId="77777777" w:rsidR="00FE24ED" w:rsidRPr="002F4F5A" w:rsidRDefault="00FE24ED" w:rsidP="00FE24ED">
      <w:pPr>
        <w:pStyle w:val="Normal1"/>
        <w:tabs>
          <w:tab w:val="left" w:pos="993"/>
        </w:tabs>
        <w:rPr>
          <w:rFonts w:ascii="Times New Roman" w:hAnsi="Times New Roman"/>
          <w:sz w:val="24"/>
          <w:szCs w:val="24"/>
        </w:rPr>
      </w:pPr>
    </w:p>
    <w:p w14:paraId="1C9F4099" w14:textId="77777777" w:rsidR="00FE24ED" w:rsidRPr="002F4F5A" w:rsidRDefault="00FE24ED" w:rsidP="00FE24ED">
      <w:pPr>
        <w:pStyle w:val="Normal1"/>
        <w:tabs>
          <w:tab w:val="left" w:pos="993"/>
        </w:tabs>
        <w:rPr>
          <w:rFonts w:ascii="Times New Roman" w:hAnsi="Times New Roman"/>
          <w:sz w:val="24"/>
          <w:szCs w:val="24"/>
        </w:rPr>
      </w:pPr>
      <w:r w:rsidRPr="002F4F5A">
        <w:rPr>
          <w:rFonts w:ascii="Times New Roman" w:hAnsi="Times New Roman"/>
          <w:sz w:val="24"/>
          <w:szCs w:val="24"/>
        </w:rPr>
        <w:t>2. In September 2016, the Human Rights Council amended the mandate of the Expert Mechanism, to include inter alia the preparation of an annual study on the status of the rights of indigenous peoples worldwide in the achievement of the ends of the Declaration, focusing on one or more interrelated articles of the Declaration.</w:t>
      </w:r>
    </w:p>
    <w:p w14:paraId="247DFBBC" w14:textId="77777777" w:rsidR="00FE24ED" w:rsidRPr="002F4F5A" w:rsidRDefault="00FE24ED" w:rsidP="00FE24ED">
      <w:pPr>
        <w:pStyle w:val="Normal1"/>
        <w:tabs>
          <w:tab w:val="left" w:pos="993"/>
        </w:tabs>
        <w:rPr>
          <w:rFonts w:ascii="Times New Roman" w:hAnsi="Times New Roman"/>
          <w:sz w:val="24"/>
          <w:szCs w:val="24"/>
        </w:rPr>
      </w:pPr>
    </w:p>
    <w:p w14:paraId="102F2016" w14:textId="79E237DC" w:rsidR="00FE24ED" w:rsidRPr="002F4F5A" w:rsidRDefault="00FE24ED" w:rsidP="00FE24ED">
      <w:pPr>
        <w:pStyle w:val="Normal1"/>
        <w:tabs>
          <w:tab w:val="left" w:pos="993"/>
        </w:tabs>
        <w:rPr>
          <w:rFonts w:ascii="Times New Roman" w:hAnsi="Times New Roman"/>
          <w:sz w:val="24"/>
          <w:szCs w:val="24"/>
        </w:rPr>
      </w:pPr>
      <w:r w:rsidRPr="002F4F5A">
        <w:rPr>
          <w:rFonts w:ascii="Times New Roman" w:hAnsi="Times New Roman"/>
          <w:sz w:val="24"/>
          <w:szCs w:val="24"/>
        </w:rPr>
        <w:t>3. In this fram</w:t>
      </w:r>
      <w:r w:rsidR="007A79F1" w:rsidRPr="002F4F5A">
        <w:rPr>
          <w:rFonts w:ascii="Times New Roman" w:hAnsi="Times New Roman"/>
          <w:sz w:val="24"/>
          <w:szCs w:val="24"/>
        </w:rPr>
        <w:t>ework, the Expert Mechanism h</w:t>
      </w:r>
      <w:r w:rsidR="00794972">
        <w:rPr>
          <w:rFonts w:ascii="Times New Roman" w:hAnsi="Times New Roman"/>
          <w:sz w:val="24"/>
          <w:szCs w:val="24"/>
        </w:rPr>
        <w:t>e</w:t>
      </w:r>
      <w:r w:rsidR="007A79F1" w:rsidRPr="002F4F5A">
        <w:rPr>
          <w:rFonts w:ascii="Times New Roman" w:hAnsi="Times New Roman"/>
          <w:sz w:val="24"/>
          <w:szCs w:val="24"/>
        </w:rPr>
        <w:t>ld</w:t>
      </w:r>
      <w:r w:rsidRPr="002F4F5A">
        <w:rPr>
          <w:rFonts w:ascii="Times New Roman" w:hAnsi="Times New Roman"/>
          <w:sz w:val="24"/>
          <w:szCs w:val="24"/>
        </w:rPr>
        <w:t xml:space="preserve"> a </w:t>
      </w:r>
      <w:r w:rsidR="00497BC5">
        <w:rPr>
          <w:rFonts w:ascii="Times New Roman" w:hAnsi="Times New Roman"/>
          <w:sz w:val="24"/>
          <w:szCs w:val="24"/>
        </w:rPr>
        <w:t>virtual seminar on 16 and 17</w:t>
      </w:r>
      <w:r w:rsidR="00676ABC">
        <w:rPr>
          <w:rFonts w:ascii="Times New Roman" w:hAnsi="Times New Roman"/>
          <w:sz w:val="24"/>
          <w:szCs w:val="24"/>
        </w:rPr>
        <w:t xml:space="preserve"> </w:t>
      </w:r>
      <w:r w:rsidR="007A79F1" w:rsidRPr="002F4F5A">
        <w:rPr>
          <w:rFonts w:ascii="Times New Roman" w:hAnsi="Times New Roman"/>
          <w:sz w:val="24"/>
          <w:szCs w:val="24"/>
        </w:rPr>
        <w:t>November 2020</w:t>
      </w:r>
      <w:r w:rsidRPr="002F4F5A">
        <w:rPr>
          <w:rFonts w:ascii="Times New Roman" w:hAnsi="Times New Roman"/>
          <w:sz w:val="24"/>
          <w:szCs w:val="24"/>
        </w:rPr>
        <w:t xml:space="preserve">, on the theme of its next annual study: </w:t>
      </w:r>
      <w:r w:rsidR="00A14045">
        <w:rPr>
          <w:rFonts w:ascii="Times New Roman" w:hAnsi="Times New Roman"/>
          <w:sz w:val="24"/>
          <w:szCs w:val="24"/>
        </w:rPr>
        <w:t>The</w:t>
      </w:r>
      <w:r w:rsidR="007A79F1" w:rsidRPr="002F4F5A">
        <w:rPr>
          <w:rFonts w:ascii="Times New Roman" w:hAnsi="Times New Roman"/>
          <w:sz w:val="24"/>
          <w:szCs w:val="24"/>
        </w:rPr>
        <w:t xml:space="preserve"> </w:t>
      </w:r>
      <w:r w:rsidR="00A14045">
        <w:rPr>
          <w:rFonts w:ascii="Times New Roman" w:hAnsi="Times New Roman"/>
          <w:noProof/>
          <w:sz w:val="24"/>
          <w:szCs w:val="24"/>
        </w:rPr>
        <w:t xml:space="preserve">rights of the </w:t>
      </w:r>
      <w:r w:rsidR="00497BC5">
        <w:rPr>
          <w:rFonts w:ascii="Times New Roman" w:hAnsi="Times New Roman"/>
          <w:noProof/>
          <w:sz w:val="24"/>
          <w:szCs w:val="24"/>
        </w:rPr>
        <w:t xml:space="preserve">indigenous </w:t>
      </w:r>
      <w:r w:rsidR="00A14045">
        <w:rPr>
          <w:rFonts w:ascii="Times New Roman" w:hAnsi="Times New Roman"/>
          <w:noProof/>
          <w:sz w:val="24"/>
          <w:szCs w:val="24"/>
        </w:rPr>
        <w:t xml:space="preserve">child under the </w:t>
      </w:r>
      <w:r w:rsidR="00497BC5" w:rsidRPr="002F4F5A">
        <w:rPr>
          <w:rFonts w:ascii="Times New Roman" w:hAnsi="Times New Roman"/>
          <w:sz w:val="24"/>
          <w:szCs w:val="24"/>
        </w:rPr>
        <w:t xml:space="preserve">United Nations Declaration on the Rights of Indigenous Peoples </w:t>
      </w:r>
      <w:r w:rsidR="00A14045">
        <w:rPr>
          <w:rFonts w:ascii="Times New Roman" w:hAnsi="Times New Roman"/>
          <w:noProof/>
          <w:sz w:val="24"/>
          <w:szCs w:val="24"/>
        </w:rPr>
        <w:t>UNDRIP.</w:t>
      </w:r>
      <w:r w:rsidR="00A14045">
        <w:rPr>
          <w:rStyle w:val="FootnoteReference"/>
          <w:rFonts w:ascii="Times New Roman" w:hAnsi="Times New Roman"/>
          <w:noProof/>
          <w:sz w:val="24"/>
          <w:szCs w:val="24"/>
        </w:rPr>
        <w:footnoteReference w:id="1"/>
      </w:r>
    </w:p>
    <w:p w14:paraId="7AEE95B9" w14:textId="77777777" w:rsidR="00FE24ED" w:rsidRPr="002F4F5A" w:rsidRDefault="00FE24ED" w:rsidP="00FE24ED">
      <w:pPr>
        <w:pStyle w:val="Normal1"/>
        <w:tabs>
          <w:tab w:val="left" w:pos="993"/>
        </w:tabs>
        <w:rPr>
          <w:rFonts w:ascii="Times New Roman" w:hAnsi="Times New Roman"/>
          <w:sz w:val="24"/>
          <w:szCs w:val="24"/>
        </w:rPr>
      </w:pPr>
    </w:p>
    <w:p w14:paraId="15926CCA" w14:textId="7685DC58" w:rsidR="00E07828" w:rsidRDefault="00FE24ED" w:rsidP="00FE24ED">
      <w:pPr>
        <w:pStyle w:val="Normal1"/>
        <w:tabs>
          <w:tab w:val="left" w:pos="993"/>
        </w:tabs>
        <w:rPr>
          <w:rFonts w:ascii="Times New Roman" w:hAnsi="Times New Roman"/>
          <w:sz w:val="24"/>
          <w:szCs w:val="24"/>
        </w:rPr>
      </w:pPr>
      <w:r w:rsidRPr="002F4F5A">
        <w:rPr>
          <w:rFonts w:ascii="Times New Roman" w:hAnsi="Times New Roman"/>
          <w:sz w:val="24"/>
          <w:szCs w:val="24"/>
        </w:rPr>
        <w:t xml:space="preserve">4. The studies and advice of the Expert Mechanism provide a better understanding of the provisions of the Declaration and propose concrete actions that States, indigenous peoples, </w:t>
      </w:r>
    </w:p>
    <w:p w14:paraId="2DF2E114" w14:textId="5F6089C6" w:rsidR="00FE24ED" w:rsidRPr="002F4F5A" w:rsidRDefault="00FE24ED" w:rsidP="00FE24ED">
      <w:pPr>
        <w:pStyle w:val="Normal1"/>
        <w:tabs>
          <w:tab w:val="left" w:pos="993"/>
        </w:tabs>
        <w:rPr>
          <w:rFonts w:ascii="Times New Roman" w:hAnsi="Times New Roman"/>
          <w:sz w:val="24"/>
          <w:szCs w:val="24"/>
        </w:rPr>
      </w:pPr>
      <w:proofErr w:type="gramStart"/>
      <w:r w:rsidRPr="002F4F5A">
        <w:rPr>
          <w:rFonts w:ascii="Times New Roman" w:hAnsi="Times New Roman"/>
          <w:sz w:val="24"/>
          <w:szCs w:val="24"/>
        </w:rPr>
        <w:t>civil</w:t>
      </w:r>
      <w:proofErr w:type="gramEnd"/>
      <w:r w:rsidRPr="002F4F5A">
        <w:rPr>
          <w:rFonts w:ascii="Times New Roman" w:hAnsi="Times New Roman"/>
          <w:sz w:val="24"/>
          <w:szCs w:val="24"/>
        </w:rPr>
        <w:t xml:space="preserve"> society, national human rights institutions, international organizations, businesses and others can take in order to further its implementation. </w:t>
      </w:r>
      <w:r w:rsidRPr="002F4F5A">
        <w:rPr>
          <w:rStyle w:val="FootnoteReference"/>
          <w:rFonts w:ascii="Times New Roman" w:hAnsi="Times New Roman"/>
          <w:sz w:val="24"/>
          <w:szCs w:val="24"/>
        </w:rPr>
        <w:footnoteReference w:id="2"/>
      </w:r>
      <w:r w:rsidRPr="002F4F5A">
        <w:rPr>
          <w:rFonts w:ascii="Times New Roman" w:hAnsi="Times New Roman"/>
          <w:sz w:val="24"/>
          <w:szCs w:val="24"/>
        </w:rPr>
        <w:t>The Office of the United Nations High Commissioner for Human Rights (OHCHR) provides technical and substantive support to the Expert Mechanism.</w:t>
      </w:r>
    </w:p>
    <w:p w14:paraId="59B1944E" w14:textId="77777777" w:rsidR="00FE24ED" w:rsidRPr="002F4F5A" w:rsidRDefault="00FE24ED" w:rsidP="00FE24ED">
      <w:pPr>
        <w:pStyle w:val="Normal1"/>
        <w:tabs>
          <w:tab w:val="left" w:pos="993"/>
        </w:tabs>
        <w:rPr>
          <w:rFonts w:ascii="Times New Roman" w:hAnsi="Times New Roman"/>
          <w:sz w:val="24"/>
          <w:szCs w:val="24"/>
        </w:rPr>
      </w:pPr>
    </w:p>
    <w:p w14:paraId="0C935E96" w14:textId="02E2EC03" w:rsidR="007A79F1" w:rsidRPr="002F4F5A" w:rsidRDefault="00FE24ED" w:rsidP="005C2991">
      <w:pPr>
        <w:rPr>
          <w:rFonts w:ascii="Times New Roman" w:hAnsi="Times New Roman" w:cs="Times New Roman"/>
          <w:sz w:val="24"/>
          <w:szCs w:val="24"/>
          <w:lang w:val="en-US" w:bidi="th-TH"/>
        </w:rPr>
      </w:pPr>
      <w:r w:rsidRPr="002F4F5A">
        <w:rPr>
          <w:rFonts w:ascii="Times New Roman" w:hAnsi="Times New Roman" w:cs="Times New Roman"/>
          <w:sz w:val="24"/>
          <w:szCs w:val="24"/>
        </w:rPr>
        <w:lastRenderedPageBreak/>
        <w:t xml:space="preserve">5. The Expert Mechanism has traditionally collaborated with academic institutions. </w:t>
      </w:r>
      <w:r w:rsidR="00263E6A">
        <w:rPr>
          <w:rFonts w:ascii="Times New Roman" w:hAnsi="Times New Roman" w:cs="Times New Roman"/>
          <w:sz w:val="24"/>
          <w:szCs w:val="24"/>
        </w:rPr>
        <w:t>While the seminar could not take place in Greenland as planned due to the COVID-19 crisis, it t</w:t>
      </w:r>
      <w:r w:rsidR="00794972">
        <w:rPr>
          <w:rFonts w:ascii="Times New Roman" w:hAnsi="Times New Roman" w:cs="Times New Roman"/>
          <w:sz w:val="24"/>
          <w:szCs w:val="24"/>
        </w:rPr>
        <w:t>ook</w:t>
      </w:r>
      <w:r w:rsidR="00263E6A">
        <w:rPr>
          <w:rFonts w:ascii="Times New Roman" w:hAnsi="Times New Roman" w:cs="Times New Roman"/>
          <w:sz w:val="24"/>
          <w:szCs w:val="24"/>
        </w:rPr>
        <w:t xml:space="preserve"> place virtually with the collaboration of</w:t>
      </w:r>
      <w:r w:rsidRPr="002F4F5A">
        <w:rPr>
          <w:rFonts w:ascii="Times New Roman" w:hAnsi="Times New Roman" w:cs="Times New Roman"/>
          <w:sz w:val="24"/>
          <w:szCs w:val="24"/>
        </w:rPr>
        <w:t xml:space="preserve"> the </w:t>
      </w:r>
      <w:r w:rsidR="007A79F1" w:rsidRPr="002F4F5A">
        <w:rPr>
          <w:rFonts w:ascii="Times New Roman" w:hAnsi="Times New Roman" w:cs="Times New Roman"/>
          <w:color w:val="000000"/>
          <w:sz w:val="24"/>
          <w:szCs w:val="24"/>
        </w:rPr>
        <w:t>Centre for Children, Youth and Family Research, University of Greenland</w:t>
      </w:r>
      <w:r w:rsidR="00263E6A">
        <w:rPr>
          <w:rFonts w:ascii="Times New Roman" w:hAnsi="Times New Roman" w:cs="Times New Roman"/>
          <w:sz w:val="24"/>
          <w:szCs w:val="24"/>
        </w:rPr>
        <w:t>, Nuuk, Greenland.</w:t>
      </w:r>
    </w:p>
    <w:p w14:paraId="5B94D8A7" w14:textId="5684E0EB" w:rsidR="000333F3" w:rsidRPr="002F4F5A" w:rsidRDefault="007A79F1" w:rsidP="00794972">
      <w:pPr>
        <w:pStyle w:val="Normal1"/>
        <w:rPr>
          <w:rFonts w:ascii="Times New Roman" w:hAnsi="Times New Roman"/>
          <w:sz w:val="24"/>
          <w:szCs w:val="24"/>
        </w:rPr>
      </w:pPr>
      <w:r w:rsidRPr="002F4F5A">
        <w:rPr>
          <w:rFonts w:ascii="Times New Roman" w:hAnsi="Times New Roman"/>
          <w:sz w:val="24"/>
          <w:szCs w:val="24"/>
        </w:rPr>
        <w:t xml:space="preserve"> </w:t>
      </w:r>
    </w:p>
    <w:p w14:paraId="4A9336E9" w14:textId="77777777" w:rsidR="00D77451" w:rsidRPr="002F4F5A" w:rsidRDefault="00D77451" w:rsidP="00D77451">
      <w:pPr>
        <w:pStyle w:val="Normal1"/>
        <w:rPr>
          <w:rFonts w:ascii="Times New Roman" w:hAnsi="Times New Roman"/>
          <w:b/>
          <w:sz w:val="24"/>
          <w:szCs w:val="24"/>
        </w:rPr>
      </w:pPr>
      <w:r w:rsidRPr="002F4F5A">
        <w:rPr>
          <w:rFonts w:ascii="Times New Roman" w:hAnsi="Times New Roman"/>
          <w:b/>
          <w:sz w:val="24"/>
          <w:szCs w:val="24"/>
        </w:rPr>
        <w:t>Focus of study</w:t>
      </w:r>
      <w:r w:rsidR="00A90010">
        <w:rPr>
          <w:rStyle w:val="FootnoteReference"/>
          <w:rFonts w:ascii="Times New Roman" w:hAnsi="Times New Roman"/>
          <w:b/>
          <w:sz w:val="24"/>
          <w:szCs w:val="24"/>
        </w:rPr>
        <w:footnoteReference w:id="3"/>
      </w:r>
    </w:p>
    <w:p w14:paraId="0CAE6901" w14:textId="77777777" w:rsidR="00D77451" w:rsidRPr="002F4F5A" w:rsidRDefault="00D77451" w:rsidP="00D77451">
      <w:pPr>
        <w:pStyle w:val="Normal1"/>
        <w:rPr>
          <w:rFonts w:ascii="Times New Roman" w:hAnsi="Times New Roman"/>
          <w:sz w:val="24"/>
          <w:szCs w:val="24"/>
        </w:rPr>
      </w:pPr>
    </w:p>
    <w:p w14:paraId="39D4C159" w14:textId="69DDDD27" w:rsidR="00F249F2" w:rsidRDefault="003D382B" w:rsidP="00446A7C">
      <w:pPr>
        <w:pStyle w:val="Normal1"/>
        <w:rPr>
          <w:rFonts w:ascii="Times New Roman" w:hAnsi="Times New Roman"/>
          <w:sz w:val="24"/>
          <w:szCs w:val="24"/>
          <w:lang w:val="en-AU"/>
        </w:rPr>
      </w:pPr>
      <w:r>
        <w:rPr>
          <w:rFonts w:ascii="Times New Roman" w:hAnsi="Times New Roman"/>
          <w:sz w:val="24"/>
          <w:szCs w:val="24"/>
        </w:rPr>
        <w:t>6</w:t>
      </w:r>
      <w:r w:rsidR="00D77451" w:rsidRPr="002F4F5A">
        <w:rPr>
          <w:rFonts w:ascii="Times New Roman" w:hAnsi="Times New Roman"/>
          <w:sz w:val="24"/>
          <w:szCs w:val="24"/>
        </w:rPr>
        <w:t xml:space="preserve">. </w:t>
      </w:r>
      <w:r w:rsidR="00D77451" w:rsidRPr="00673B57">
        <w:rPr>
          <w:rFonts w:ascii="Times New Roman" w:hAnsi="Times New Roman"/>
          <w:sz w:val="24"/>
          <w:szCs w:val="24"/>
        </w:rPr>
        <w:t>To assist all parties in contributing to this seminar, the EMRIP sets out below some of the elements it intends to focus on in its study</w:t>
      </w:r>
      <w:r w:rsidR="00D77451" w:rsidRPr="00673B57">
        <w:rPr>
          <w:rStyle w:val="FootnoteReference"/>
          <w:rFonts w:ascii="Times New Roman" w:hAnsi="Times New Roman"/>
          <w:sz w:val="24"/>
          <w:szCs w:val="24"/>
        </w:rPr>
        <w:footnoteReference w:id="4"/>
      </w:r>
      <w:r w:rsidR="00D77451" w:rsidRPr="00673B57">
        <w:rPr>
          <w:rFonts w:ascii="Times New Roman" w:hAnsi="Times New Roman"/>
          <w:sz w:val="24"/>
          <w:szCs w:val="24"/>
        </w:rPr>
        <w:t>.</w:t>
      </w:r>
      <w:r w:rsidR="00C31727" w:rsidRPr="00673B57">
        <w:rPr>
          <w:rFonts w:ascii="Times New Roman" w:hAnsi="Times New Roman"/>
          <w:sz w:val="24"/>
          <w:szCs w:val="24"/>
        </w:rPr>
        <w:t xml:space="preserve"> Article 3 on self-determination is the overarching right,</w:t>
      </w:r>
      <w:r w:rsidR="00C31727" w:rsidRPr="00673B57">
        <w:rPr>
          <w:rFonts w:ascii="Times New Roman" w:hAnsi="Times New Roman"/>
          <w:sz w:val="24"/>
          <w:szCs w:val="24"/>
          <w:lang w:val="en-AU"/>
        </w:rPr>
        <w:t xml:space="preserve"> inextricably linked to the way in which the rights contained in UNDRIP are implemented and in the case of children’s rights as well supports the notion of community control.  </w:t>
      </w:r>
    </w:p>
    <w:p w14:paraId="4F85AA6C" w14:textId="77777777" w:rsidR="00E07828" w:rsidRPr="00673B57" w:rsidRDefault="00E07828" w:rsidP="00446A7C">
      <w:pPr>
        <w:pStyle w:val="Normal1"/>
        <w:rPr>
          <w:rFonts w:ascii="Times New Roman" w:hAnsi="Times New Roman"/>
          <w:sz w:val="24"/>
          <w:szCs w:val="24"/>
          <w:lang w:val="en-AU"/>
        </w:rPr>
      </w:pPr>
    </w:p>
    <w:p w14:paraId="6DA949A9" w14:textId="315F8DEE" w:rsidR="00D77451" w:rsidRPr="002F4F5A" w:rsidRDefault="006617AF" w:rsidP="006B6EA6">
      <w:pPr>
        <w:pStyle w:val="SingleTxt"/>
        <w:ind w:left="0"/>
        <w:rPr>
          <w:sz w:val="24"/>
          <w:szCs w:val="24"/>
          <w:lang w:val="en-GB"/>
        </w:rPr>
      </w:pPr>
      <w:r w:rsidRPr="002F4F5A">
        <w:rPr>
          <w:b/>
          <w:sz w:val="24"/>
          <w:szCs w:val="24"/>
          <w:lang w:val="en-GB"/>
        </w:rPr>
        <w:t xml:space="preserve">SECTION 1 </w:t>
      </w:r>
      <w:r w:rsidR="00E35469">
        <w:rPr>
          <w:b/>
          <w:sz w:val="24"/>
          <w:szCs w:val="24"/>
          <w:lang w:val="en-GB"/>
        </w:rPr>
        <w:t>–</w:t>
      </w:r>
      <w:r w:rsidRPr="002F4F5A">
        <w:rPr>
          <w:b/>
          <w:sz w:val="24"/>
          <w:szCs w:val="24"/>
          <w:lang w:val="en-GB"/>
        </w:rPr>
        <w:t xml:space="preserve"> </w:t>
      </w:r>
      <w:r w:rsidR="00E35469">
        <w:rPr>
          <w:b/>
          <w:sz w:val="24"/>
          <w:szCs w:val="24"/>
          <w:lang w:val="en-GB"/>
        </w:rPr>
        <w:t xml:space="preserve">the right to a nationality, </w:t>
      </w:r>
      <w:r w:rsidRPr="002F4F5A">
        <w:rPr>
          <w:b/>
          <w:sz w:val="24"/>
          <w:szCs w:val="24"/>
          <w:lang w:val="en-GB"/>
        </w:rPr>
        <w:t xml:space="preserve">the rights to life, physical and mental integrity, </w:t>
      </w:r>
      <w:r w:rsidR="00E5031E" w:rsidRPr="002F4F5A">
        <w:rPr>
          <w:b/>
          <w:sz w:val="24"/>
          <w:szCs w:val="24"/>
          <w:lang w:val="en-GB"/>
        </w:rPr>
        <w:t>liberty and security of person, violence, access to justice</w:t>
      </w:r>
      <w:r w:rsidR="00B47D26">
        <w:rPr>
          <w:b/>
          <w:sz w:val="24"/>
          <w:szCs w:val="24"/>
          <w:lang w:val="en-GB"/>
        </w:rPr>
        <w:t xml:space="preserve"> (preamble, and articles, </w:t>
      </w:r>
      <w:r w:rsidR="00E35469">
        <w:rPr>
          <w:b/>
          <w:sz w:val="24"/>
          <w:szCs w:val="24"/>
          <w:lang w:val="en-GB"/>
        </w:rPr>
        <w:t xml:space="preserve">6, </w:t>
      </w:r>
      <w:r w:rsidR="00B47D26">
        <w:rPr>
          <w:b/>
          <w:sz w:val="24"/>
          <w:szCs w:val="24"/>
          <w:lang w:val="en-GB"/>
        </w:rPr>
        <w:t>7, 8, 22 and 43)</w:t>
      </w:r>
    </w:p>
    <w:p w14:paraId="127BCB0A" w14:textId="77777777" w:rsidR="00D77451" w:rsidRPr="002F4F5A" w:rsidRDefault="00D77451" w:rsidP="004302F8">
      <w:pPr>
        <w:pStyle w:val="SingleTxt"/>
        <w:rPr>
          <w:sz w:val="24"/>
          <w:szCs w:val="24"/>
          <w:lang w:val="en-GB"/>
        </w:rPr>
      </w:pPr>
    </w:p>
    <w:p w14:paraId="3228EED0" w14:textId="77777777" w:rsidR="00D77451" w:rsidRPr="002F4F5A" w:rsidRDefault="00D77451" w:rsidP="00D77451">
      <w:pPr>
        <w:pStyle w:val="Corpo"/>
        <w:ind w:left="894"/>
        <w:rPr>
          <w:rFonts w:ascii="Times New Roman" w:hAnsi="Times New Roman" w:cs="Times New Roman"/>
          <w:color w:val="auto"/>
          <w:sz w:val="24"/>
          <w:szCs w:val="24"/>
          <w:lang w:val="en-GB"/>
        </w:rPr>
      </w:pPr>
      <w:r w:rsidRPr="002F4F5A">
        <w:rPr>
          <w:rFonts w:ascii="Times New Roman" w:hAnsi="Times New Roman" w:cs="Times New Roman"/>
          <w:color w:val="auto"/>
          <w:sz w:val="24"/>
          <w:szCs w:val="24"/>
          <w:lang w:val="en-GB"/>
        </w:rPr>
        <w:t xml:space="preserve">Could consider but not limited </w:t>
      </w:r>
      <w:proofErr w:type="gramStart"/>
      <w:r w:rsidRPr="002F4F5A">
        <w:rPr>
          <w:rFonts w:ascii="Times New Roman" w:hAnsi="Times New Roman" w:cs="Times New Roman"/>
          <w:color w:val="auto"/>
          <w:sz w:val="24"/>
          <w:szCs w:val="24"/>
          <w:lang w:val="en-GB"/>
        </w:rPr>
        <w:t>to</w:t>
      </w:r>
      <w:proofErr w:type="gramEnd"/>
      <w:r w:rsidRPr="002F4F5A">
        <w:rPr>
          <w:rFonts w:ascii="Times New Roman" w:hAnsi="Times New Roman" w:cs="Times New Roman"/>
          <w:color w:val="auto"/>
          <w:sz w:val="24"/>
          <w:szCs w:val="24"/>
          <w:lang w:val="en-GB"/>
        </w:rPr>
        <w:t>:</w:t>
      </w:r>
    </w:p>
    <w:p w14:paraId="675E7388" w14:textId="77777777" w:rsidR="00E35469" w:rsidRPr="003C42E0" w:rsidRDefault="00E35469" w:rsidP="00E35469">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The right to a </w:t>
      </w:r>
      <w:r w:rsidRPr="003C42E0">
        <w:rPr>
          <w:rFonts w:ascii="Times New Roman" w:hAnsi="Times New Roman" w:cs="Times New Roman"/>
          <w:color w:val="auto"/>
          <w:sz w:val="24"/>
          <w:szCs w:val="24"/>
          <w:lang w:val="en-GB"/>
        </w:rPr>
        <w:t xml:space="preserve">nationality, birth registration and avoidance of statelessness. </w:t>
      </w:r>
    </w:p>
    <w:p w14:paraId="2D831DAC" w14:textId="4727B5AE" w:rsidR="001C60FF" w:rsidRPr="003C42E0" w:rsidRDefault="001C60FF" w:rsidP="00E35469">
      <w:pPr>
        <w:pStyle w:val="Corpo"/>
        <w:numPr>
          <w:ilvl w:val="0"/>
          <w:numId w:val="7"/>
        </w:numPr>
        <w:rPr>
          <w:rFonts w:ascii="Times New Roman" w:hAnsi="Times New Roman" w:cs="Times New Roman"/>
          <w:color w:val="auto"/>
          <w:sz w:val="24"/>
          <w:szCs w:val="24"/>
          <w:lang w:val="en-GB"/>
        </w:rPr>
      </w:pPr>
      <w:r w:rsidRPr="003C42E0">
        <w:rPr>
          <w:rFonts w:ascii="Times New Roman" w:hAnsi="Times New Roman" w:cs="Times New Roman"/>
          <w:color w:val="auto"/>
          <w:sz w:val="24"/>
          <w:szCs w:val="24"/>
          <w:lang w:val="en-GB"/>
        </w:rPr>
        <w:t>Threats to the right to life of indigenous child</w:t>
      </w:r>
      <w:r w:rsidR="00221923" w:rsidRPr="003C42E0">
        <w:rPr>
          <w:rFonts w:ascii="Times New Roman" w:hAnsi="Times New Roman" w:cs="Times New Roman"/>
          <w:color w:val="auto"/>
          <w:sz w:val="24"/>
          <w:szCs w:val="24"/>
          <w:lang w:val="en-GB"/>
        </w:rPr>
        <w:t xml:space="preserve">ren, including child mortality, extreme poverty, </w:t>
      </w:r>
      <w:r w:rsidR="003C42E0" w:rsidRPr="003C42E0">
        <w:rPr>
          <w:rFonts w:ascii="Times New Roman" w:hAnsi="Times New Roman" w:cs="Times New Roman"/>
          <w:color w:val="auto"/>
          <w:sz w:val="24"/>
          <w:szCs w:val="24"/>
          <w:lang w:val="en-GB"/>
        </w:rPr>
        <w:t>and malnutrition. Action taken following EMRIP’s Advice in its Study on Health</w:t>
      </w:r>
      <w:r w:rsidR="003C42E0">
        <w:rPr>
          <w:rFonts w:ascii="Times New Roman" w:hAnsi="Times New Roman" w:cs="Times New Roman"/>
          <w:color w:val="auto"/>
          <w:sz w:val="24"/>
          <w:szCs w:val="24"/>
          <w:lang w:val="en-GB"/>
        </w:rPr>
        <w:t>, in 2016</w:t>
      </w:r>
      <w:r w:rsidR="003C42E0" w:rsidRPr="003C42E0">
        <w:rPr>
          <w:rFonts w:ascii="Times New Roman" w:hAnsi="Times New Roman" w:cs="Times New Roman"/>
          <w:color w:val="auto"/>
          <w:sz w:val="24"/>
          <w:szCs w:val="24"/>
          <w:lang w:val="en-GB"/>
        </w:rPr>
        <w:t xml:space="preserve">, </w:t>
      </w:r>
      <w:r w:rsidR="003C42E0" w:rsidRPr="003C42E0">
        <w:rPr>
          <w:rFonts w:ascii="Times New Roman" w:eastAsia="MS Mincho" w:hAnsi="Times New Roman" w:cs="Times New Roman"/>
          <w:sz w:val="24"/>
          <w:szCs w:val="24"/>
        </w:rPr>
        <w:t>to reduce the high rate of indigenous suicide worldwide, in particular among children.</w:t>
      </w:r>
      <w:r w:rsidR="003C42E0" w:rsidRPr="003C42E0">
        <w:rPr>
          <w:rStyle w:val="FootnoteReference"/>
          <w:rFonts w:ascii="Times New Roman" w:eastAsia="MS Mincho" w:hAnsi="Times New Roman" w:cs="Times New Roman"/>
          <w:sz w:val="24"/>
          <w:szCs w:val="24"/>
        </w:rPr>
        <w:footnoteReference w:id="5"/>
      </w:r>
    </w:p>
    <w:p w14:paraId="1A160D3A" w14:textId="291B850A" w:rsidR="001C60FF" w:rsidRPr="00221923" w:rsidRDefault="001C60FF" w:rsidP="002F4F5A">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sz w:val="24"/>
          <w:szCs w:val="24"/>
        </w:rPr>
        <w:t xml:space="preserve">Threats to the right to life of indigenous </w:t>
      </w:r>
      <w:r w:rsidR="00B47D26">
        <w:rPr>
          <w:rFonts w:ascii="Times New Roman" w:hAnsi="Times New Roman" w:cs="Times New Roman"/>
          <w:sz w:val="24"/>
          <w:szCs w:val="24"/>
        </w:rPr>
        <w:t>children by organs of the State,</w:t>
      </w:r>
      <w:r>
        <w:rPr>
          <w:rFonts w:ascii="Times New Roman" w:hAnsi="Times New Roman" w:cs="Times New Roman"/>
          <w:sz w:val="24"/>
          <w:szCs w:val="24"/>
        </w:rPr>
        <w:t xml:space="preserve"> </w:t>
      </w:r>
      <w:r w:rsidR="00A14045">
        <w:rPr>
          <w:rFonts w:ascii="Times New Roman" w:hAnsi="Times New Roman" w:cs="Times New Roman"/>
          <w:sz w:val="24"/>
          <w:szCs w:val="24"/>
        </w:rPr>
        <w:t xml:space="preserve">and non-State armed groups, </w:t>
      </w:r>
      <w:r>
        <w:rPr>
          <w:rFonts w:ascii="Times New Roman" w:hAnsi="Times New Roman" w:cs="Times New Roman"/>
          <w:sz w:val="24"/>
          <w:szCs w:val="24"/>
        </w:rPr>
        <w:t xml:space="preserve">including </w:t>
      </w:r>
      <w:r w:rsidRPr="002F4F5A">
        <w:rPr>
          <w:rFonts w:ascii="Times New Roman" w:hAnsi="Times New Roman" w:cs="Times New Roman"/>
          <w:sz w:val="24"/>
          <w:szCs w:val="24"/>
        </w:rPr>
        <w:t>targeted arrests, detention, imprisonment, killing, torture and execution by law enforcement authorities</w:t>
      </w:r>
      <w:r w:rsidR="00D621D0">
        <w:rPr>
          <w:rFonts w:ascii="Times New Roman" w:hAnsi="Times New Roman" w:cs="Times New Roman"/>
          <w:sz w:val="24"/>
          <w:szCs w:val="24"/>
        </w:rPr>
        <w:t>.</w:t>
      </w:r>
    </w:p>
    <w:p w14:paraId="5B063752" w14:textId="77777777" w:rsidR="007A77AB" w:rsidRDefault="007A77AB" w:rsidP="002F4F5A">
      <w:pPr>
        <w:pStyle w:val="Corpo"/>
        <w:numPr>
          <w:ilvl w:val="0"/>
          <w:numId w:val="7"/>
        </w:numPr>
        <w:rPr>
          <w:rFonts w:ascii="Times New Roman" w:hAnsi="Times New Roman" w:cs="Times New Roman"/>
          <w:color w:val="auto"/>
          <w:sz w:val="24"/>
          <w:szCs w:val="24"/>
          <w:lang w:val="en-GB"/>
        </w:rPr>
      </w:pPr>
      <w:r w:rsidRPr="002F4F5A">
        <w:rPr>
          <w:rFonts w:ascii="Times New Roman" w:hAnsi="Times New Roman" w:cs="Times New Roman"/>
          <w:color w:val="auto"/>
          <w:sz w:val="24"/>
          <w:szCs w:val="24"/>
          <w:lang w:val="en-GB"/>
        </w:rPr>
        <w:t xml:space="preserve">The impact of climate change </w:t>
      </w:r>
      <w:r w:rsidR="00B47D26">
        <w:rPr>
          <w:rFonts w:ascii="Times New Roman" w:hAnsi="Times New Roman" w:cs="Times New Roman"/>
          <w:color w:val="auto"/>
          <w:sz w:val="24"/>
          <w:szCs w:val="24"/>
          <w:lang w:val="en-GB"/>
        </w:rPr>
        <w:t xml:space="preserve">and environmental harm </w:t>
      </w:r>
      <w:r w:rsidRPr="002F4F5A">
        <w:rPr>
          <w:rFonts w:ascii="Times New Roman" w:hAnsi="Times New Roman" w:cs="Times New Roman"/>
          <w:color w:val="auto"/>
          <w:sz w:val="24"/>
          <w:szCs w:val="24"/>
          <w:lang w:val="en-GB"/>
        </w:rPr>
        <w:t>on the right to life of indigenous children</w:t>
      </w:r>
      <w:r w:rsidR="002F4F5A">
        <w:rPr>
          <w:rFonts w:ascii="Times New Roman" w:hAnsi="Times New Roman" w:cs="Times New Roman"/>
          <w:color w:val="auto"/>
          <w:sz w:val="24"/>
          <w:szCs w:val="24"/>
          <w:lang w:val="en-GB"/>
        </w:rPr>
        <w:t>,</w:t>
      </w:r>
      <w:r w:rsidRPr="002F4F5A">
        <w:rPr>
          <w:rFonts w:ascii="Times New Roman" w:hAnsi="Times New Roman" w:cs="Times New Roman"/>
          <w:color w:val="auto"/>
          <w:sz w:val="24"/>
          <w:szCs w:val="24"/>
          <w:lang w:val="en-GB"/>
        </w:rPr>
        <w:t xml:space="preserve"> </w:t>
      </w:r>
      <w:r w:rsidR="002F4F5A">
        <w:rPr>
          <w:rFonts w:ascii="Times New Roman" w:hAnsi="Times New Roman" w:cs="Times New Roman"/>
          <w:color w:val="auto"/>
          <w:sz w:val="24"/>
          <w:szCs w:val="24"/>
          <w:lang w:val="en-GB"/>
        </w:rPr>
        <w:t xml:space="preserve">including the right to a dignified life. </w:t>
      </w:r>
    </w:p>
    <w:p w14:paraId="1885290C" w14:textId="77777777" w:rsidR="003122F2" w:rsidRPr="002F4F5A" w:rsidRDefault="003122F2" w:rsidP="003122F2">
      <w:pPr>
        <w:pStyle w:val="Corpo"/>
        <w:numPr>
          <w:ilvl w:val="0"/>
          <w:numId w:val="7"/>
        </w:numPr>
        <w:rPr>
          <w:rFonts w:ascii="Times New Roman" w:hAnsi="Times New Roman" w:cs="Times New Roman"/>
          <w:color w:val="auto"/>
          <w:sz w:val="24"/>
          <w:szCs w:val="24"/>
          <w:lang w:val="en-GB"/>
        </w:rPr>
      </w:pPr>
      <w:r w:rsidRPr="002F4F5A">
        <w:rPr>
          <w:rFonts w:ascii="Times New Roman" w:hAnsi="Times New Roman" w:cs="Times New Roman"/>
          <w:color w:val="auto"/>
          <w:sz w:val="24"/>
          <w:szCs w:val="24"/>
          <w:lang w:val="en-GB"/>
        </w:rPr>
        <w:t>Measure</w:t>
      </w:r>
      <w:r w:rsidR="002F4F5A">
        <w:rPr>
          <w:rFonts w:ascii="Times New Roman" w:hAnsi="Times New Roman" w:cs="Times New Roman"/>
          <w:color w:val="auto"/>
          <w:sz w:val="24"/>
          <w:szCs w:val="24"/>
          <w:lang w:val="en-GB"/>
        </w:rPr>
        <w:t xml:space="preserve">s taken to protect the cultural, as opposed to physical, </w:t>
      </w:r>
      <w:r w:rsidRPr="002F4F5A">
        <w:rPr>
          <w:rFonts w:ascii="Times New Roman" w:hAnsi="Times New Roman" w:cs="Times New Roman"/>
          <w:color w:val="auto"/>
          <w:sz w:val="24"/>
          <w:szCs w:val="24"/>
          <w:lang w:val="en-GB"/>
        </w:rPr>
        <w:t xml:space="preserve">survival of indigenous peoples and individuals, </w:t>
      </w:r>
      <w:r w:rsidR="00B47D26">
        <w:rPr>
          <w:rFonts w:ascii="Times New Roman" w:hAnsi="Times New Roman" w:cs="Times New Roman"/>
          <w:color w:val="auto"/>
          <w:sz w:val="24"/>
          <w:szCs w:val="24"/>
          <w:lang w:val="en-GB"/>
        </w:rPr>
        <w:t xml:space="preserve">to </w:t>
      </w:r>
      <w:r w:rsidRPr="002F4F5A">
        <w:rPr>
          <w:rFonts w:ascii="Times New Roman" w:hAnsi="Times New Roman" w:cs="Times New Roman"/>
          <w:color w:val="auto"/>
          <w:sz w:val="24"/>
          <w:szCs w:val="24"/>
          <w:lang w:val="en-GB"/>
        </w:rPr>
        <w:t>preve</w:t>
      </w:r>
      <w:r w:rsidR="00B47D26">
        <w:rPr>
          <w:rFonts w:ascii="Times New Roman" w:hAnsi="Times New Roman" w:cs="Times New Roman"/>
          <w:color w:val="auto"/>
          <w:sz w:val="24"/>
          <w:szCs w:val="24"/>
          <w:lang w:val="en-GB"/>
        </w:rPr>
        <w:t xml:space="preserve">nt </w:t>
      </w:r>
      <w:r w:rsidRPr="002F4F5A">
        <w:rPr>
          <w:rFonts w:ascii="Times New Roman" w:hAnsi="Times New Roman" w:cs="Times New Roman"/>
          <w:color w:val="auto"/>
          <w:sz w:val="24"/>
          <w:szCs w:val="24"/>
          <w:lang w:val="en-GB"/>
        </w:rPr>
        <w:t xml:space="preserve">forced assimilation </w:t>
      </w:r>
      <w:r w:rsidR="00B47D26">
        <w:rPr>
          <w:rFonts w:ascii="Times New Roman" w:hAnsi="Times New Roman" w:cs="Times New Roman"/>
          <w:color w:val="auto"/>
          <w:sz w:val="24"/>
          <w:szCs w:val="24"/>
          <w:lang w:val="en-GB"/>
        </w:rPr>
        <w:t xml:space="preserve">or </w:t>
      </w:r>
      <w:r w:rsidRPr="002F4F5A">
        <w:rPr>
          <w:rFonts w:ascii="Times New Roman" w:hAnsi="Times New Roman" w:cs="Times New Roman"/>
          <w:color w:val="auto"/>
          <w:sz w:val="24"/>
          <w:szCs w:val="24"/>
          <w:lang w:val="en-GB"/>
        </w:rPr>
        <w:t>destruction of their culture.</w:t>
      </w:r>
    </w:p>
    <w:p w14:paraId="4784662F" w14:textId="77777777" w:rsidR="006E1F94" w:rsidRDefault="001C60FF" w:rsidP="003122F2">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The </w:t>
      </w:r>
      <w:r w:rsidR="006E1F94" w:rsidRPr="002F4F5A">
        <w:rPr>
          <w:rFonts w:ascii="Times New Roman" w:hAnsi="Times New Roman" w:cs="Times New Roman"/>
          <w:color w:val="auto"/>
          <w:sz w:val="24"/>
          <w:szCs w:val="24"/>
          <w:lang w:val="en-GB"/>
        </w:rPr>
        <w:t>inter-play between collective and individual rights of the child within the context of the principle of the best interest</w:t>
      </w:r>
      <w:r w:rsidR="002F4F5A">
        <w:rPr>
          <w:rFonts w:ascii="Times New Roman" w:hAnsi="Times New Roman" w:cs="Times New Roman"/>
          <w:color w:val="auto"/>
          <w:sz w:val="24"/>
          <w:szCs w:val="24"/>
          <w:lang w:val="en-GB"/>
        </w:rPr>
        <w:t>s</w:t>
      </w:r>
      <w:r w:rsidR="006E1F94" w:rsidRPr="002F4F5A">
        <w:rPr>
          <w:rFonts w:ascii="Times New Roman" w:hAnsi="Times New Roman" w:cs="Times New Roman"/>
          <w:color w:val="auto"/>
          <w:sz w:val="24"/>
          <w:szCs w:val="24"/>
          <w:lang w:val="en-GB"/>
        </w:rPr>
        <w:t xml:space="preserve"> of the child.</w:t>
      </w:r>
    </w:p>
    <w:p w14:paraId="3D50F516" w14:textId="77777777" w:rsidR="00B47E59" w:rsidRDefault="00D621D0" w:rsidP="003122F2">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The physical abuse,</w:t>
      </w:r>
      <w:r w:rsidR="00B47E59">
        <w:rPr>
          <w:rFonts w:ascii="Times New Roman" w:hAnsi="Times New Roman" w:cs="Times New Roman"/>
          <w:color w:val="auto"/>
          <w:sz w:val="24"/>
          <w:szCs w:val="24"/>
          <w:lang w:val="en-GB"/>
        </w:rPr>
        <w:t xml:space="preserve"> sexual abuse</w:t>
      </w:r>
      <w:r>
        <w:rPr>
          <w:rFonts w:ascii="Times New Roman" w:hAnsi="Times New Roman" w:cs="Times New Roman"/>
          <w:color w:val="auto"/>
          <w:sz w:val="24"/>
          <w:szCs w:val="24"/>
          <w:lang w:val="en-GB"/>
        </w:rPr>
        <w:t xml:space="preserve"> and exploitation, and trafficking</w:t>
      </w:r>
      <w:r w:rsidR="00B47E59">
        <w:rPr>
          <w:rFonts w:ascii="Times New Roman" w:hAnsi="Times New Roman" w:cs="Times New Roman"/>
          <w:color w:val="auto"/>
          <w:sz w:val="24"/>
          <w:szCs w:val="24"/>
          <w:lang w:val="en-GB"/>
        </w:rPr>
        <w:t xml:space="preserve"> of </w:t>
      </w:r>
      <w:r>
        <w:rPr>
          <w:rFonts w:ascii="Times New Roman" w:hAnsi="Times New Roman" w:cs="Times New Roman"/>
          <w:color w:val="auto"/>
          <w:sz w:val="24"/>
          <w:szCs w:val="24"/>
          <w:lang w:val="en-GB"/>
        </w:rPr>
        <w:t xml:space="preserve">indigenous </w:t>
      </w:r>
      <w:r w:rsidR="00B47E59">
        <w:rPr>
          <w:rFonts w:ascii="Times New Roman" w:hAnsi="Times New Roman" w:cs="Times New Roman"/>
          <w:color w:val="auto"/>
          <w:sz w:val="24"/>
          <w:szCs w:val="24"/>
          <w:lang w:val="en-GB"/>
        </w:rPr>
        <w:t>children.</w:t>
      </w:r>
    </w:p>
    <w:p w14:paraId="67BAED86" w14:textId="77777777" w:rsidR="003C42E0" w:rsidRPr="003C42E0" w:rsidRDefault="00B47E59" w:rsidP="003C42E0">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Indigenous children’s access to justice and </w:t>
      </w:r>
      <w:r w:rsidR="00B47D26">
        <w:rPr>
          <w:rFonts w:ascii="Times New Roman" w:hAnsi="Times New Roman" w:cs="Times New Roman"/>
          <w:color w:val="auto"/>
          <w:sz w:val="24"/>
          <w:szCs w:val="24"/>
          <w:lang w:val="en-GB"/>
        </w:rPr>
        <w:t>high</w:t>
      </w:r>
      <w:r w:rsidR="00A90010">
        <w:rPr>
          <w:rFonts w:ascii="Times New Roman" w:hAnsi="Times New Roman" w:cs="Times New Roman"/>
          <w:color w:val="auto"/>
          <w:sz w:val="24"/>
          <w:szCs w:val="24"/>
          <w:lang w:val="en-GB"/>
        </w:rPr>
        <w:t xml:space="preserve"> disproportionate rates of </w:t>
      </w:r>
      <w:r w:rsidR="00B47D26">
        <w:rPr>
          <w:rFonts w:ascii="Times New Roman" w:hAnsi="Times New Roman" w:cs="Times New Roman"/>
          <w:color w:val="auto"/>
          <w:sz w:val="24"/>
          <w:szCs w:val="24"/>
          <w:lang w:val="en-GB"/>
        </w:rPr>
        <w:t>incarceration</w:t>
      </w:r>
      <w:r w:rsidR="003C42E0">
        <w:rPr>
          <w:rFonts w:ascii="Times New Roman" w:hAnsi="Times New Roman" w:cs="Times New Roman"/>
          <w:color w:val="auto"/>
          <w:sz w:val="24"/>
          <w:szCs w:val="24"/>
          <w:lang w:val="en-GB"/>
        </w:rPr>
        <w:t>.</w:t>
      </w:r>
    </w:p>
    <w:p w14:paraId="0A4A076F" w14:textId="701AC1AF" w:rsidR="00B47E59" w:rsidRPr="00446A7C" w:rsidRDefault="003C42E0" w:rsidP="003C42E0">
      <w:pPr>
        <w:pStyle w:val="Corpo"/>
        <w:numPr>
          <w:ilvl w:val="0"/>
          <w:numId w:val="7"/>
        </w:numPr>
        <w:rPr>
          <w:rFonts w:ascii="Times New Roman" w:hAnsi="Times New Roman" w:cs="Times New Roman"/>
          <w:color w:val="auto"/>
          <w:sz w:val="24"/>
          <w:szCs w:val="24"/>
          <w:lang w:val="en-GB"/>
        </w:rPr>
      </w:pPr>
      <w:r w:rsidRPr="003C42E0">
        <w:rPr>
          <w:rFonts w:ascii="Times New Roman" w:hAnsi="Times New Roman" w:cs="Times New Roman"/>
          <w:color w:val="auto"/>
          <w:sz w:val="24"/>
          <w:szCs w:val="24"/>
          <w:lang w:val="en-GB"/>
        </w:rPr>
        <w:t>Follow-up action taken since EMRIP’s Advice in its Study on Health</w:t>
      </w:r>
      <w:r>
        <w:rPr>
          <w:rStyle w:val="FootnoteReference"/>
          <w:rFonts w:ascii="Times New Roman" w:hAnsi="Times New Roman" w:cs="Times New Roman"/>
          <w:color w:val="auto"/>
          <w:sz w:val="24"/>
          <w:szCs w:val="24"/>
          <w:lang w:val="en-GB"/>
        </w:rPr>
        <w:footnoteReference w:id="6"/>
      </w:r>
      <w:r w:rsidRPr="003C42E0">
        <w:rPr>
          <w:rFonts w:ascii="Times New Roman" w:hAnsi="Times New Roman" w:cs="Times New Roman"/>
          <w:color w:val="auto"/>
          <w:sz w:val="24"/>
          <w:szCs w:val="24"/>
          <w:lang w:val="en-GB"/>
        </w:rPr>
        <w:t>, on the s</w:t>
      </w:r>
      <w:r w:rsidRPr="003C42E0">
        <w:rPr>
          <w:rFonts w:ascii="Times New Roman" w:eastAsia="MS Mincho" w:hAnsi="Times New Roman" w:cs="Times New Roman"/>
          <w:sz w:val="24"/>
          <w:szCs w:val="24"/>
        </w:rPr>
        <w:t xml:space="preserve">teps   taken to address the far-reaching health effects of intergenerational trauma attributable to the forced removal of indigenous children. </w:t>
      </w:r>
    </w:p>
    <w:p w14:paraId="4D853EF3" w14:textId="14D1FEC7" w:rsidR="00446A7C" w:rsidRPr="003C42E0" w:rsidRDefault="00446A7C" w:rsidP="003C42E0">
      <w:pPr>
        <w:pStyle w:val="Corpo"/>
        <w:numPr>
          <w:ilvl w:val="0"/>
          <w:numId w:val="7"/>
        </w:numPr>
        <w:rPr>
          <w:rFonts w:ascii="Times New Roman" w:hAnsi="Times New Roman" w:cs="Times New Roman"/>
          <w:color w:val="auto"/>
          <w:sz w:val="24"/>
          <w:szCs w:val="24"/>
          <w:lang w:val="en-GB"/>
        </w:rPr>
      </w:pPr>
      <w:r>
        <w:rPr>
          <w:rFonts w:ascii="Times New Roman" w:eastAsia="MS Mincho" w:hAnsi="Times New Roman" w:cs="Times New Roman"/>
          <w:sz w:val="24"/>
          <w:szCs w:val="24"/>
        </w:rPr>
        <w:t>The extent to which indigenous childern continue to be removed from their homes and communities through fostering and adoption and its consequences.</w:t>
      </w:r>
    </w:p>
    <w:p w14:paraId="550BE00D" w14:textId="77777777" w:rsidR="00D77451" w:rsidRPr="00B47D26" w:rsidRDefault="00B47E59" w:rsidP="00593755">
      <w:pPr>
        <w:pStyle w:val="Corpo"/>
        <w:numPr>
          <w:ilvl w:val="0"/>
          <w:numId w:val="7"/>
        </w:numPr>
        <w:rPr>
          <w:rFonts w:ascii="Times New Roman" w:hAnsi="Times New Roman" w:cs="Times New Roman"/>
          <w:color w:val="auto"/>
          <w:sz w:val="24"/>
          <w:szCs w:val="24"/>
          <w:lang w:val="en-GB"/>
        </w:rPr>
      </w:pPr>
      <w:r>
        <w:rPr>
          <w:rFonts w:ascii="Times New Roman" w:hAnsi="Times New Roman" w:cs="Times New Roman"/>
          <w:sz w:val="24"/>
          <w:szCs w:val="24"/>
          <w:lang w:val="en-GB"/>
        </w:rPr>
        <w:t>The e</w:t>
      </w:r>
      <w:r w:rsidR="00593755" w:rsidRPr="002F4F5A">
        <w:rPr>
          <w:rFonts w:ascii="Times New Roman" w:hAnsi="Times New Roman" w:cs="Times New Roman"/>
          <w:sz w:val="24"/>
          <w:szCs w:val="24"/>
          <w:lang w:val="en-GB"/>
        </w:rPr>
        <w:t>xtent to which s</w:t>
      </w:r>
      <w:r w:rsidR="00F2613C" w:rsidRPr="002F4F5A">
        <w:rPr>
          <w:rFonts w:ascii="Times New Roman" w:hAnsi="Times New Roman" w:cs="Times New Roman"/>
          <w:sz w:val="24"/>
          <w:szCs w:val="24"/>
          <w:lang w:val="en-GB"/>
        </w:rPr>
        <w:t xml:space="preserve">upport services </w:t>
      </w:r>
      <w:proofErr w:type="gramStart"/>
      <w:r w:rsidR="00F2613C" w:rsidRPr="002F4F5A">
        <w:rPr>
          <w:rFonts w:ascii="Times New Roman" w:hAnsi="Times New Roman" w:cs="Times New Roman"/>
          <w:sz w:val="24"/>
          <w:szCs w:val="24"/>
          <w:lang w:val="en-GB"/>
        </w:rPr>
        <w:t>are provided</w:t>
      </w:r>
      <w:proofErr w:type="gramEnd"/>
      <w:r w:rsidR="00F2613C" w:rsidRPr="002F4F5A">
        <w:rPr>
          <w:rFonts w:ascii="Times New Roman" w:hAnsi="Times New Roman" w:cs="Times New Roman"/>
          <w:sz w:val="24"/>
          <w:szCs w:val="24"/>
          <w:lang w:val="en-GB"/>
        </w:rPr>
        <w:t xml:space="preserve"> for victims of domestic violence in consultation with indigenous peoples</w:t>
      </w:r>
      <w:r w:rsidR="001C60FF">
        <w:rPr>
          <w:rFonts w:ascii="Times New Roman" w:hAnsi="Times New Roman" w:cs="Times New Roman"/>
          <w:sz w:val="24"/>
          <w:szCs w:val="24"/>
          <w:lang w:val="en-GB"/>
        </w:rPr>
        <w:t>,</w:t>
      </w:r>
      <w:r w:rsidR="00F2613C" w:rsidRPr="002F4F5A">
        <w:rPr>
          <w:rFonts w:ascii="Times New Roman" w:hAnsi="Times New Roman" w:cs="Times New Roman"/>
          <w:sz w:val="24"/>
          <w:szCs w:val="24"/>
          <w:lang w:val="en-GB"/>
        </w:rPr>
        <w:t xml:space="preserve"> including indigenous children</w:t>
      </w:r>
      <w:r w:rsidR="00B47D26">
        <w:rPr>
          <w:rFonts w:ascii="Times New Roman" w:hAnsi="Times New Roman" w:cs="Times New Roman"/>
          <w:sz w:val="24"/>
          <w:szCs w:val="24"/>
          <w:lang w:val="en-GB"/>
        </w:rPr>
        <w:t>.</w:t>
      </w:r>
    </w:p>
    <w:p w14:paraId="5D3A437C" w14:textId="1E49C101" w:rsidR="00F249F2" w:rsidRPr="00E07828" w:rsidRDefault="00B47D26" w:rsidP="00E07828">
      <w:pPr>
        <w:pStyle w:val="Corpo"/>
        <w:numPr>
          <w:ilvl w:val="0"/>
          <w:numId w:val="7"/>
        </w:numPr>
        <w:rPr>
          <w:rFonts w:ascii="Times New Roman" w:hAnsi="Times New Roman" w:cs="Times New Roman"/>
          <w:color w:val="auto"/>
          <w:sz w:val="24"/>
          <w:szCs w:val="24"/>
          <w:lang w:val="en-GB"/>
        </w:rPr>
      </w:pPr>
      <w:r w:rsidRPr="00B47E59">
        <w:rPr>
          <w:rFonts w:ascii="Times New Roman" w:hAnsi="Times New Roman" w:cs="Times New Roman"/>
          <w:color w:val="auto"/>
          <w:sz w:val="24"/>
          <w:szCs w:val="24"/>
          <w:lang w:val="en-GB"/>
        </w:rPr>
        <w:t xml:space="preserve">The extent to which indigenous children </w:t>
      </w:r>
      <w:proofErr w:type="gramStart"/>
      <w:r w:rsidRPr="00B47E59">
        <w:rPr>
          <w:rFonts w:ascii="Times New Roman" w:hAnsi="Times New Roman" w:cs="Times New Roman"/>
          <w:color w:val="auto"/>
          <w:sz w:val="24"/>
          <w:szCs w:val="24"/>
          <w:lang w:val="en-GB"/>
        </w:rPr>
        <w:t>are made</w:t>
      </w:r>
      <w:proofErr w:type="gramEnd"/>
      <w:r w:rsidRPr="00B47E59">
        <w:rPr>
          <w:rFonts w:ascii="Times New Roman" w:hAnsi="Times New Roman" w:cs="Times New Roman"/>
          <w:color w:val="auto"/>
          <w:sz w:val="24"/>
          <w:szCs w:val="24"/>
          <w:lang w:val="en-GB"/>
        </w:rPr>
        <w:t xml:space="preserve"> aware of their rights: how and whether this is done in a child friendly manner</w:t>
      </w:r>
      <w:r>
        <w:rPr>
          <w:rFonts w:ascii="Times New Roman" w:hAnsi="Times New Roman" w:cs="Times New Roman"/>
          <w:color w:val="auto"/>
          <w:sz w:val="24"/>
          <w:szCs w:val="24"/>
          <w:lang w:val="en-GB"/>
        </w:rPr>
        <w:t>.</w:t>
      </w:r>
    </w:p>
    <w:p w14:paraId="6E5DD6C9" w14:textId="77777777" w:rsidR="00EF48F5" w:rsidRDefault="00EF48F5" w:rsidP="003331F0">
      <w:pPr>
        <w:pStyle w:val="H4"/>
        <w:keepNext w:val="0"/>
        <w:keepLines w:val="0"/>
        <w:spacing w:after="120"/>
        <w:rPr>
          <w:b/>
          <w:i w:val="0"/>
          <w:sz w:val="24"/>
          <w:szCs w:val="24"/>
        </w:rPr>
      </w:pPr>
    </w:p>
    <w:p w14:paraId="0B04A594" w14:textId="19F1DAA6" w:rsidR="006617AF" w:rsidRPr="002F4F5A" w:rsidRDefault="006617AF" w:rsidP="003331F0">
      <w:pPr>
        <w:pStyle w:val="H4"/>
        <w:keepNext w:val="0"/>
        <w:keepLines w:val="0"/>
        <w:spacing w:after="120"/>
        <w:rPr>
          <w:b/>
          <w:i w:val="0"/>
          <w:sz w:val="24"/>
          <w:szCs w:val="24"/>
        </w:rPr>
      </w:pPr>
      <w:r w:rsidRPr="002F4F5A">
        <w:rPr>
          <w:b/>
          <w:i w:val="0"/>
          <w:sz w:val="24"/>
          <w:szCs w:val="24"/>
        </w:rPr>
        <w:t>SECTION 2 – Non-discrimination, health, housing</w:t>
      </w:r>
      <w:r w:rsidR="00991A84" w:rsidRPr="002F4F5A">
        <w:rPr>
          <w:b/>
          <w:i w:val="0"/>
          <w:sz w:val="24"/>
          <w:szCs w:val="24"/>
        </w:rPr>
        <w:t xml:space="preserve"> (as part of the right to an adequate standard of living and non-</w:t>
      </w:r>
      <w:r w:rsidR="00F87C29" w:rsidRPr="002F4F5A">
        <w:rPr>
          <w:b/>
          <w:i w:val="0"/>
          <w:sz w:val="24"/>
          <w:szCs w:val="24"/>
        </w:rPr>
        <w:t>discrimination</w:t>
      </w:r>
      <w:r w:rsidR="00991A84" w:rsidRPr="002F4F5A">
        <w:rPr>
          <w:b/>
          <w:i w:val="0"/>
          <w:sz w:val="24"/>
          <w:szCs w:val="24"/>
        </w:rPr>
        <w:t>)</w:t>
      </w:r>
      <w:r w:rsidRPr="002F4F5A">
        <w:rPr>
          <w:b/>
          <w:i w:val="0"/>
          <w:sz w:val="24"/>
          <w:szCs w:val="24"/>
        </w:rPr>
        <w:t>, employment</w:t>
      </w:r>
      <w:r w:rsidR="003331F0" w:rsidRPr="002F4F5A">
        <w:rPr>
          <w:b/>
          <w:i w:val="0"/>
          <w:sz w:val="24"/>
          <w:szCs w:val="24"/>
        </w:rPr>
        <w:t xml:space="preserve">, </w:t>
      </w:r>
      <w:r w:rsidRPr="002F4F5A">
        <w:rPr>
          <w:b/>
          <w:i w:val="0"/>
          <w:sz w:val="24"/>
          <w:szCs w:val="24"/>
        </w:rPr>
        <w:t>labour</w:t>
      </w:r>
      <w:r w:rsidR="00FA229F">
        <w:rPr>
          <w:b/>
          <w:i w:val="0"/>
          <w:sz w:val="24"/>
          <w:szCs w:val="24"/>
        </w:rPr>
        <w:t>, culture</w:t>
      </w:r>
      <w:r w:rsidR="00684C9A" w:rsidRPr="002F4F5A">
        <w:rPr>
          <w:b/>
          <w:i w:val="0"/>
          <w:sz w:val="24"/>
          <w:szCs w:val="24"/>
        </w:rPr>
        <w:t xml:space="preserve">; </w:t>
      </w:r>
      <w:r w:rsidR="00FA229F">
        <w:rPr>
          <w:b/>
          <w:i w:val="0"/>
          <w:sz w:val="24"/>
          <w:szCs w:val="24"/>
        </w:rPr>
        <w:t>education. (</w:t>
      </w:r>
      <w:proofErr w:type="gramStart"/>
      <w:r w:rsidR="00FA229F">
        <w:rPr>
          <w:b/>
          <w:i w:val="0"/>
          <w:sz w:val="24"/>
          <w:szCs w:val="24"/>
        </w:rPr>
        <w:t>articles</w:t>
      </w:r>
      <w:proofErr w:type="gramEnd"/>
      <w:r w:rsidR="00FA229F">
        <w:rPr>
          <w:b/>
          <w:i w:val="0"/>
          <w:sz w:val="24"/>
          <w:szCs w:val="24"/>
        </w:rPr>
        <w:t xml:space="preserve"> 14, 17 and 21)</w:t>
      </w:r>
    </w:p>
    <w:p w14:paraId="4C50E75F" w14:textId="77777777" w:rsidR="00D77451" w:rsidRPr="002F4F5A" w:rsidRDefault="00D77451" w:rsidP="00D77451">
      <w:pPr>
        <w:pStyle w:val="SingleTxt"/>
        <w:rPr>
          <w:sz w:val="24"/>
          <w:szCs w:val="24"/>
          <w:lang w:val="en-GB"/>
        </w:rPr>
      </w:pPr>
      <w:r w:rsidRPr="002F4F5A">
        <w:rPr>
          <w:sz w:val="24"/>
          <w:szCs w:val="24"/>
          <w:lang w:val="en-GB"/>
        </w:rPr>
        <w:t xml:space="preserve"> </w:t>
      </w:r>
    </w:p>
    <w:p w14:paraId="56C901B9" w14:textId="77777777" w:rsidR="00221923" w:rsidRDefault="00D77451" w:rsidP="00221923">
      <w:pPr>
        <w:pStyle w:val="Corpo"/>
        <w:rPr>
          <w:rFonts w:ascii="Times New Roman" w:hAnsi="Times New Roman" w:cs="Times New Roman"/>
          <w:color w:val="auto"/>
          <w:sz w:val="24"/>
          <w:szCs w:val="24"/>
          <w:lang w:val="en-GB"/>
        </w:rPr>
      </w:pPr>
      <w:r w:rsidRPr="002F4F5A">
        <w:rPr>
          <w:rFonts w:ascii="Times New Roman" w:hAnsi="Times New Roman" w:cs="Times New Roman"/>
          <w:color w:val="auto"/>
          <w:sz w:val="24"/>
          <w:szCs w:val="24"/>
          <w:lang w:val="en-GB"/>
        </w:rPr>
        <w:t xml:space="preserve">Could consider but not limited </w:t>
      </w:r>
      <w:proofErr w:type="gramStart"/>
      <w:r w:rsidRPr="002F4F5A">
        <w:rPr>
          <w:rFonts w:ascii="Times New Roman" w:hAnsi="Times New Roman" w:cs="Times New Roman"/>
          <w:color w:val="auto"/>
          <w:sz w:val="24"/>
          <w:szCs w:val="24"/>
          <w:lang w:val="en-GB"/>
        </w:rPr>
        <w:t>to</w:t>
      </w:r>
      <w:proofErr w:type="gramEnd"/>
      <w:r w:rsidRPr="002F4F5A">
        <w:rPr>
          <w:rFonts w:ascii="Times New Roman" w:hAnsi="Times New Roman" w:cs="Times New Roman"/>
          <w:color w:val="auto"/>
          <w:sz w:val="24"/>
          <w:szCs w:val="24"/>
          <w:lang w:val="en-GB"/>
        </w:rPr>
        <w:t>:</w:t>
      </w:r>
    </w:p>
    <w:p w14:paraId="3C37C108" w14:textId="4F9C0954" w:rsidR="00D03A8A" w:rsidRDefault="00900E46" w:rsidP="00900E46">
      <w:pPr>
        <w:pStyle w:val="Corpo"/>
        <w:numPr>
          <w:ilvl w:val="0"/>
          <w:numId w:val="5"/>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Action taken </w:t>
      </w:r>
      <w:r w:rsidR="00D03A8A">
        <w:rPr>
          <w:rFonts w:ascii="Times New Roman" w:hAnsi="Times New Roman" w:cs="Times New Roman"/>
          <w:color w:val="auto"/>
          <w:sz w:val="24"/>
          <w:szCs w:val="24"/>
          <w:lang w:val="en-GB"/>
        </w:rPr>
        <w:t xml:space="preserve">by States </w:t>
      </w:r>
      <w:r>
        <w:rPr>
          <w:rFonts w:ascii="Times New Roman" w:hAnsi="Times New Roman" w:cs="Times New Roman"/>
          <w:color w:val="auto"/>
          <w:sz w:val="24"/>
          <w:szCs w:val="24"/>
          <w:lang w:val="en-GB"/>
        </w:rPr>
        <w:t xml:space="preserve">to follow-up on EMRIP’s </w:t>
      </w:r>
      <w:r w:rsidR="00D03A8A">
        <w:rPr>
          <w:rFonts w:ascii="Times New Roman" w:hAnsi="Times New Roman" w:cs="Times New Roman"/>
          <w:color w:val="auto"/>
          <w:sz w:val="24"/>
          <w:szCs w:val="24"/>
          <w:lang w:val="en-GB"/>
        </w:rPr>
        <w:t xml:space="preserve">Advice in its </w:t>
      </w:r>
      <w:r>
        <w:rPr>
          <w:rFonts w:ascii="Times New Roman" w:hAnsi="Times New Roman" w:cs="Times New Roman"/>
          <w:color w:val="auto"/>
          <w:sz w:val="24"/>
          <w:szCs w:val="24"/>
          <w:lang w:val="en-GB"/>
        </w:rPr>
        <w:t>Study on Health</w:t>
      </w:r>
      <w:r w:rsidR="00D03A8A">
        <w:rPr>
          <w:rStyle w:val="FootnoteReference"/>
          <w:rFonts w:ascii="Times New Roman" w:hAnsi="Times New Roman" w:cs="Times New Roman"/>
          <w:color w:val="auto"/>
          <w:sz w:val="24"/>
          <w:szCs w:val="24"/>
          <w:lang w:val="en-GB"/>
        </w:rPr>
        <w:footnoteReference w:id="7"/>
      </w:r>
      <w:r w:rsidR="00D03A8A">
        <w:rPr>
          <w:rFonts w:ascii="Times New Roman" w:hAnsi="Times New Roman" w:cs="Times New Roman"/>
          <w:color w:val="auto"/>
          <w:sz w:val="24"/>
          <w:szCs w:val="24"/>
          <w:lang w:val="en-GB"/>
        </w:rPr>
        <w:t xml:space="preserve">, to establish action plans on health and access to health-care facilities for indigenous peoples. </w:t>
      </w:r>
      <w:r w:rsidR="00221923">
        <w:rPr>
          <w:rFonts w:ascii="Times New Roman" w:hAnsi="Times New Roman" w:cs="Times New Roman"/>
          <w:color w:val="auto"/>
          <w:sz w:val="24"/>
          <w:szCs w:val="24"/>
          <w:lang w:val="en-GB"/>
        </w:rPr>
        <w:t>M</w:t>
      </w:r>
      <w:r w:rsidR="00E35469">
        <w:rPr>
          <w:rFonts w:ascii="Times New Roman" w:hAnsi="Times New Roman" w:cs="Times New Roman"/>
          <w:color w:val="auto"/>
          <w:sz w:val="24"/>
          <w:szCs w:val="24"/>
          <w:lang w:val="en-GB"/>
        </w:rPr>
        <w:t xml:space="preserve">easures taken to ensure that </w:t>
      </w:r>
      <w:r w:rsidR="00221923">
        <w:rPr>
          <w:rFonts w:ascii="Times New Roman" w:hAnsi="Times New Roman" w:cs="Times New Roman"/>
          <w:color w:val="auto"/>
          <w:sz w:val="24"/>
          <w:szCs w:val="24"/>
          <w:lang w:val="en-GB"/>
        </w:rPr>
        <w:t>indigenous children</w:t>
      </w:r>
      <w:r>
        <w:rPr>
          <w:rFonts w:ascii="Times New Roman" w:hAnsi="Times New Roman" w:cs="Times New Roman"/>
          <w:color w:val="auto"/>
          <w:sz w:val="24"/>
          <w:szCs w:val="24"/>
          <w:lang w:val="en-GB"/>
        </w:rPr>
        <w:t>, including children with disabilities,</w:t>
      </w:r>
      <w:r w:rsidR="00E35469">
        <w:rPr>
          <w:rFonts w:ascii="Times New Roman" w:hAnsi="Times New Roman" w:cs="Times New Roman"/>
          <w:color w:val="auto"/>
          <w:sz w:val="24"/>
          <w:szCs w:val="24"/>
          <w:lang w:val="en-GB"/>
        </w:rPr>
        <w:t xml:space="preserve"> enjoy the highest attainable standard of health and have access to health-care services</w:t>
      </w:r>
      <w:r w:rsidR="00D03A8A">
        <w:rPr>
          <w:rFonts w:ascii="Times New Roman" w:hAnsi="Times New Roman" w:cs="Times New Roman"/>
          <w:color w:val="auto"/>
          <w:sz w:val="24"/>
          <w:szCs w:val="24"/>
          <w:lang w:val="en-GB"/>
        </w:rPr>
        <w:t xml:space="preserve">. </w:t>
      </w:r>
    </w:p>
    <w:p w14:paraId="20E273F9" w14:textId="16C28941" w:rsidR="00900E46" w:rsidRPr="00900E46" w:rsidRDefault="00D03A8A" w:rsidP="00900E46">
      <w:pPr>
        <w:pStyle w:val="Corpo"/>
        <w:numPr>
          <w:ilvl w:val="0"/>
          <w:numId w:val="5"/>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Measures taken and good practices on a</w:t>
      </w:r>
      <w:r w:rsidR="00221923" w:rsidRPr="00900E46">
        <w:rPr>
          <w:rFonts w:ascii="Times New Roman" w:hAnsi="Times New Roman" w:cs="Times New Roman"/>
          <w:color w:val="auto"/>
          <w:sz w:val="24"/>
          <w:szCs w:val="24"/>
          <w:lang w:val="en-GB"/>
        </w:rPr>
        <w:t>ddressing harmful practices, such as early marriage and female genital mutilation.</w:t>
      </w:r>
    </w:p>
    <w:p w14:paraId="4B2C1FFE" w14:textId="7470F723" w:rsidR="002F4F5A" w:rsidRPr="00900E46" w:rsidRDefault="002F4F5A" w:rsidP="00900E46">
      <w:pPr>
        <w:pStyle w:val="Corpo"/>
        <w:numPr>
          <w:ilvl w:val="0"/>
          <w:numId w:val="5"/>
        </w:numPr>
        <w:rPr>
          <w:rFonts w:ascii="Times New Roman" w:hAnsi="Times New Roman" w:cs="Times New Roman"/>
          <w:color w:val="auto"/>
          <w:sz w:val="24"/>
          <w:szCs w:val="24"/>
          <w:lang w:val="en-GB"/>
        </w:rPr>
      </w:pPr>
      <w:r w:rsidRPr="00900E46">
        <w:rPr>
          <w:rFonts w:ascii="Times New Roman" w:hAnsi="Times New Roman" w:cs="Times New Roman"/>
          <w:color w:val="auto"/>
          <w:sz w:val="24"/>
          <w:szCs w:val="24"/>
          <w:lang w:val="en-GB"/>
        </w:rPr>
        <w:t xml:space="preserve">The impact of </w:t>
      </w:r>
      <w:r w:rsidRPr="00900E46">
        <w:rPr>
          <w:rFonts w:ascii="Times New Roman" w:hAnsi="Times New Roman" w:cs="Times New Roman"/>
          <w:sz w:val="24"/>
          <w:szCs w:val="24"/>
        </w:rPr>
        <w:t>environmental harm, mining, development, and displacement on indigenous children’s physical and mental health.</w:t>
      </w:r>
      <w:r w:rsidR="00900E46">
        <w:rPr>
          <w:rFonts w:ascii="Times New Roman" w:hAnsi="Times New Roman" w:cs="Times New Roman"/>
          <w:sz w:val="24"/>
          <w:szCs w:val="24"/>
        </w:rPr>
        <w:t xml:space="preserve"> Actio</w:t>
      </w:r>
      <w:r w:rsidR="00900E46" w:rsidRPr="00900E46">
        <w:rPr>
          <w:rFonts w:ascii="Times New Roman" w:hAnsi="Times New Roman" w:cs="Times New Roman"/>
          <w:sz w:val="24"/>
          <w:szCs w:val="24"/>
        </w:rPr>
        <w:t xml:space="preserve">n taken as a follow-up to the Advice in EMRIP’s Study on </w:t>
      </w:r>
      <w:r w:rsidR="00900E46">
        <w:rPr>
          <w:rFonts w:ascii="Times New Roman" w:hAnsi="Times New Roman" w:cs="Times New Roman"/>
          <w:sz w:val="24"/>
          <w:szCs w:val="24"/>
        </w:rPr>
        <w:t>Health</w:t>
      </w:r>
      <w:r w:rsidR="00900E46">
        <w:rPr>
          <w:rStyle w:val="FootnoteReference"/>
          <w:rFonts w:ascii="Times New Roman" w:hAnsi="Times New Roman" w:cs="Times New Roman"/>
          <w:sz w:val="24"/>
          <w:szCs w:val="24"/>
        </w:rPr>
        <w:footnoteReference w:id="8"/>
      </w:r>
      <w:r w:rsidR="00900E46">
        <w:rPr>
          <w:rFonts w:ascii="Times New Roman" w:hAnsi="Times New Roman" w:cs="Times New Roman"/>
          <w:sz w:val="24"/>
          <w:szCs w:val="24"/>
        </w:rPr>
        <w:t xml:space="preserve">, </w:t>
      </w:r>
      <w:r w:rsidR="00900E46" w:rsidRPr="00900E46">
        <w:rPr>
          <w:rFonts w:ascii="Times New Roman" w:eastAsia="MS Mincho" w:hAnsi="Times New Roman" w:cs="Times New Roman"/>
          <w:sz w:val="24"/>
          <w:szCs w:val="24"/>
        </w:rPr>
        <w:t>to protect indigenous peoples from environmental damage caused by third parties (such as private companies) by minimizing, through legislative and practical measures, the impact that extractive industries in particular have on the physical and mental health of indigenous peoples.</w:t>
      </w:r>
    </w:p>
    <w:p w14:paraId="76D42385" w14:textId="77777777" w:rsidR="00F2613C" w:rsidRPr="002F4F5A" w:rsidRDefault="00F2613C" w:rsidP="00502046">
      <w:pPr>
        <w:pStyle w:val="ListParagraph"/>
        <w:numPr>
          <w:ilvl w:val="0"/>
          <w:numId w:val="5"/>
        </w:numPr>
        <w:rPr>
          <w:rFonts w:ascii="Times New Roman" w:hAnsi="Times New Roman"/>
          <w:sz w:val="24"/>
          <w:szCs w:val="24"/>
        </w:rPr>
      </w:pPr>
      <w:r w:rsidRPr="002F4F5A">
        <w:rPr>
          <w:rFonts w:ascii="Times New Roman" w:hAnsi="Times New Roman"/>
          <w:sz w:val="24"/>
          <w:szCs w:val="24"/>
        </w:rPr>
        <w:t xml:space="preserve">Measures taken to </w:t>
      </w:r>
      <w:r w:rsidR="008231BE" w:rsidRPr="002F4F5A">
        <w:rPr>
          <w:rFonts w:ascii="Times New Roman" w:hAnsi="Times New Roman"/>
          <w:sz w:val="24"/>
          <w:szCs w:val="24"/>
        </w:rPr>
        <w:t xml:space="preserve">ensure </w:t>
      </w:r>
      <w:r w:rsidRPr="002F4F5A">
        <w:rPr>
          <w:rFonts w:ascii="Times New Roman" w:hAnsi="Times New Roman"/>
          <w:sz w:val="24"/>
          <w:szCs w:val="24"/>
        </w:rPr>
        <w:t>access to proper information in indigenous languages</w:t>
      </w:r>
      <w:r w:rsidR="00AA4474">
        <w:rPr>
          <w:rFonts w:ascii="Times New Roman" w:hAnsi="Times New Roman"/>
          <w:sz w:val="24"/>
          <w:szCs w:val="24"/>
        </w:rPr>
        <w:t>,</w:t>
      </w:r>
      <w:r w:rsidRPr="002F4F5A">
        <w:rPr>
          <w:rFonts w:ascii="Times New Roman" w:hAnsi="Times New Roman"/>
          <w:sz w:val="24"/>
          <w:szCs w:val="24"/>
        </w:rPr>
        <w:t xml:space="preserve"> </w:t>
      </w:r>
      <w:r w:rsidR="008231BE" w:rsidRPr="002F4F5A">
        <w:rPr>
          <w:rFonts w:ascii="Times New Roman" w:hAnsi="Times New Roman"/>
          <w:sz w:val="24"/>
          <w:szCs w:val="24"/>
        </w:rPr>
        <w:t>including on health and reproductive health issues</w:t>
      </w:r>
      <w:r w:rsidR="00A90010">
        <w:rPr>
          <w:rFonts w:ascii="Times New Roman" w:hAnsi="Times New Roman"/>
          <w:sz w:val="24"/>
          <w:szCs w:val="24"/>
        </w:rPr>
        <w:t>.</w:t>
      </w:r>
      <w:r w:rsidR="008231BE" w:rsidRPr="002F4F5A">
        <w:rPr>
          <w:rFonts w:ascii="Times New Roman" w:hAnsi="Times New Roman"/>
          <w:sz w:val="24"/>
          <w:szCs w:val="24"/>
        </w:rPr>
        <w:t xml:space="preserve"> </w:t>
      </w:r>
    </w:p>
    <w:p w14:paraId="436393C3" w14:textId="77777777" w:rsidR="008231BE" w:rsidRPr="002F4F5A" w:rsidRDefault="008231BE" w:rsidP="008231BE">
      <w:pPr>
        <w:pStyle w:val="ListParagraph"/>
        <w:rPr>
          <w:rFonts w:ascii="Times New Roman" w:hAnsi="Times New Roman"/>
          <w:sz w:val="24"/>
          <w:szCs w:val="24"/>
        </w:rPr>
      </w:pPr>
    </w:p>
    <w:p w14:paraId="5E286FC9" w14:textId="77777777" w:rsidR="0054492E" w:rsidRPr="00AA4474" w:rsidRDefault="00CF19E6" w:rsidP="00CF19E6">
      <w:pPr>
        <w:pStyle w:val="Corpo"/>
        <w:numPr>
          <w:ilvl w:val="0"/>
          <w:numId w:val="4"/>
        </w:numPr>
        <w:rPr>
          <w:rFonts w:ascii="Times New Roman" w:hAnsi="Times New Roman" w:cs="Times New Roman"/>
          <w:color w:val="auto"/>
          <w:sz w:val="24"/>
          <w:szCs w:val="24"/>
          <w:lang w:val="en-GB"/>
        </w:rPr>
      </w:pPr>
      <w:r w:rsidRPr="002F4F5A">
        <w:rPr>
          <w:rFonts w:ascii="Times New Roman" w:hAnsi="Times New Roman" w:cs="Times New Roman"/>
          <w:sz w:val="24"/>
          <w:szCs w:val="24"/>
          <w:lang w:val="en-GB"/>
        </w:rPr>
        <w:t>M</w:t>
      </w:r>
      <w:r w:rsidRPr="002F4F5A">
        <w:rPr>
          <w:rFonts w:ascii="Times New Roman" w:hAnsi="Times New Roman" w:cs="Times New Roman"/>
          <w:sz w:val="24"/>
          <w:szCs w:val="24"/>
        </w:rPr>
        <w:t xml:space="preserve">easures taken to ensure the provision of housing to indigenous peoples without discrimination, particularly in </w:t>
      </w:r>
      <w:r w:rsidR="0054492E" w:rsidRPr="002F4F5A">
        <w:rPr>
          <w:rFonts w:ascii="Times New Roman" w:hAnsi="Times New Roman" w:cs="Times New Roman"/>
          <w:color w:val="auto"/>
          <w:sz w:val="24"/>
          <w:szCs w:val="24"/>
          <w:lang w:val="en-GB"/>
        </w:rPr>
        <w:t xml:space="preserve">light of the Special Rapporteur on Housing’s overview </w:t>
      </w:r>
      <w:r w:rsidRPr="002F4F5A">
        <w:rPr>
          <w:rFonts w:ascii="Times New Roman" w:hAnsi="Times New Roman" w:cs="Times New Roman"/>
          <w:color w:val="auto"/>
          <w:sz w:val="24"/>
          <w:szCs w:val="24"/>
          <w:lang w:val="en-GB"/>
        </w:rPr>
        <w:t xml:space="preserve">in 2019 </w:t>
      </w:r>
      <w:r w:rsidR="0054492E" w:rsidRPr="002F4F5A">
        <w:rPr>
          <w:rFonts w:ascii="Times New Roman" w:hAnsi="Times New Roman" w:cs="Times New Roman"/>
          <w:color w:val="auto"/>
          <w:sz w:val="24"/>
          <w:szCs w:val="24"/>
          <w:lang w:val="en-GB"/>
        </w:rPr>
        <w:t>that, “</w:t>
      </w:r>
      <w:r w:rsidR="0054492E" w:rsidRPr="002F4F5A">
        <w:rPr>
          <w:rFonts w:ascii="Times New Roman" w:hAnsi="Times New Roman" w:cs="Times New Roman"/>
          <w:sz w:val="24"/>
          <w:szCs w:val="24"/>
        </w:rPr>
        <w:t>Indigenous peoples face significant barriers to their enjoyment of the right to housing compared with non-indigenous peoples ... and are more likely to suffer inadequate housing and negative health outcomes..»</w:t>
      </w:r>
      <w:r w:rsidRPr="002F4F5A">
        <w:rPr>
          <w:rFonts w:ascii="Times New Roman" w:hAnsi="Times New Roman" w:cs="Times New Roman"/>
          <w:sz w:val="24"/>
          <w:szCs w:val="24"/>
        </w:rPr>
        <w:t>.</w:t>
      </w:r>
      <w:r w:rsidRPr="002F4F5A">
        <w:rPr>
          <w:rStyle w:val="FootnoteReference"/>
          <w:rFonts w:ascii="Times New Roman" w:hAnsi="Times New Roman" w:cs="Times New Roman"/>
          <w:sz w:val="24"/>
          <w:szCs w:val="24"/>
        </w:rPr>
        <w:footnoteReference w:id="9"/>
      </w:r>
      <w:r w:rsidRPr="002F4F5A">
        <w:rPr>
          <w:rFonts w:ascii="Times New Roman" w:hAnsi="Times New Roman" w:cs="Times New Roman"/>
          <w:sz w:val="24"/>
          <w:szCs w:val="24"/>
        </w:rPr>
        <w:t xml:space="preserve"> </w:t>
      </w:r>
    </w:p>
    <w:p w14:paraId="50556AF4" w14:textId="77777777" w:rsidR="0054492E" w:rsidRPr="002F4F5A" w:rsidRDefault="00991A84" w:rsidP="00991A84">
      <w:pPr>
        <w:pStyle w:val="Corpo"/>
        <w:numPr>
          <w:ilvl w:val="0"/>
          <w:numId w:val="4"/>
        </w:numPr>
        <w:rPr>
          <w:rFonts w:ascii="Times New Roman" w:hAnsi="Times New Roman" w:cs="Times New Roman"/>
          <w:color w:val="auto"/>
          <w:sz w:val="24"/>
          <w:szCs w:val="24"/>
          <w:lang w:val="en-GB"/>
        </w:rPr>
      </w:pPr>
      <w:r w:rsidRPr="002F4F5A">
        <w:rPr>
          <w:rFonts w:ascii="Times New Roman" w:hAnsi="Times New Roman" w:cs="Times New Roman"/>
          <w:sz w:val="24"/>
          <w:szCs w:val="24"/>
        </w:rPr>
        <w:t>Examples of special measures taken to ensure that indigenous children have access to culturally appropriate services in the areas o</w:t>
      </w:r>
      <w:r w:rsidR="00AA4474">
        <w:rPr>
          <w:rFonts w:ascii="Times New Roman" w:hAnsi="Times New Roman" w:cs="Times New Roman"/>
          <w:sz w:val="24"/>
          <w:szCs w:val="24"/>
        </w:rPr>
        <w:t>f health, nutrition, education</w:t>
      </w:r>
      <w:r w:rsidRPr="002F4F5A">
        <w:rPr>
          <w:rFonts w:ascii="Times New Roman" w:hAnsi="Times New Roman" w:cs="Times New Roman"/>
          <w:sz w:val="24"/>
          <w:szCs w:val="24"/>
        </w:rPr>
        <w:t xml:space="preserve">, social services, housing, </w:t>
      </w:r>
      <w:r w:rsidR="0054492E" w:rsidRPr="002F4F5A">
        <w:rPr>
          <w:rFonts w:ascii="Times New Roman" w:hAnsi="Times New Roman" w:cs="Times New Roman"/>
          <w:sz w:val="24"/>
          <w:szCs w:val="24"/>
        </w:rPr>
        <w:t xml:space="preserve">and </w:t>
      </w:r>
      <w:r w:rsidRPr="002F4F5A">
        <w:rPr>
          <w:rFonts w:ascii="Times New Roman" w:hAnsi="Times New Roman" w:cs="Times New Roman"/>
          <w:sz w:val="24"/>
          <w:szCs w:val="24"/>
        </w:rPr>
        <w:t>sanitation</w:t>
      </w:r>
      <w:r w:rsidR="00AA4474">
        <w:rPr>
          <w:rFonts w:ascii="Times New Roman" w:hAnsi="Times New Roman" w:cs="Times New Roman"/>
          <w:sz w:val="24"/>
          <w:szCs w:val="24"/>
        </w:rPr>
        <w:t>.</w:t>
      </w:r>
      <w:r w:rsidRPr="002F4F5A">
        <w:rPr>
          <w:rFonts w:ascii="Times New Roman" w:hAnsi="Times New Roman" w:cs="Times New Roman"/>
          <w:sz w:val="24"/>
          <w:szCs w:val="24"/>
        </w:rPr>
        <w:t xml:space="preserve"> </w:t>
      </w:r>
    </w:p>
    <w:p w14:paraId="77F4F2EC" w14:textId="77777777" w:rsidR="00F2613C" w:rsidRPr="00FA229F" w:rsidRDefault="00F2613C" w:rsidP="00FA229F">
      <w:pPr>
        <w:pStyle w:val="Corpo"/>
        <w:numPr>
          <w:ilvl w:val="0"/>
          <w:numId w:val="4"/>
        </w:numPr>
        <w:rPr>
          <w:rFonts w:ascii="Times New Roman" w:hAnsi="Times New Roman" w:cs="Times New Roman"/>
          <w:color w:val="auto"/>
          <w:sz w:val="24"/>
          <w:szCs w:val="24"/>
          <w:lang w:val="en-GB"/>
        </w:rPr>
      </w:pPr>
      <w:r w:rsidRPr="002F4F5A">
        <w:rPr>
          <w:rFonts w:ascii="Times New Roman" w:hAnsi="Times New Roman" w:cs="Times New Roman"/>
          <w:sz w:val="24"/>
          <w:szCs w:val="24"/>
          <w:lang w:val="en-GB"/>
        </w:rPr>
        <w:t>Measures taken to improve economic and social conditions of indigenous children</w:t>
      </w:r>
      <w:r w:rsidR="00FA229F">
        <w:rPr>
          <w:rFonts w:ascii="Times New Roman" w:hAnsi="Times New Roman" w:cs="Times New Roman"/>
          <w:sz w:val="24"/>
          <w:szCs w:val="24"/>
          <w:lang w:val="en-GB"/>
        </w:rPr>
        <w:t xml:space="preserve"> and </w:t>
      </w:r>
      <w:r w:rsidRPr="00FA229F">
        <w:rPr>
          <w:rFonts w:ascii="Times New Roman" w:hAnsi="Times New Roman" w:cs="Times New Roman"/>
          <w:sz w:val="24"/>
          <w:szCs w:val="24"/>
        </w:rPr>
        <w:t>to tackle the overrepresentation of indigneous children in care populations.</w:t>
      </w:r>
      <w:r w:rsidRPr="002F4F5A">
        <w:rPr>
          <w:rStyle w:val="FootnoteReference"/>
          <w:rFonts w:ascii="Times New Roman" w:hAnsi="Times New Roman" w:cs="Times New Roman"/>
          <w:sz w:val="24"/>
          <w:szCs w:val="24"/>
        </w:rPr>
        <w:footnoteReference w:id="10"/>
      </w:r>
    </w:p>
    <w:p w14:paraId="0B18313D" w14:textId="77777777" w:rsidR="00F2613C" w:rsidRPr="002F4F5A" w:rsidRDefault="00F2613C" w:rsidP="00991A84">
      <w:pPr>
        <w:pStyle w:val="Corpo"/>
        <w:numPr>
          <w:ilvl w:val="0"/>
          <w:numId w:val="4"/>
        </w:numPr>
        <w:rPr>
          <w:rFonts w:ascii="Times New Roman" w:hAnsi="Times New Roman" w:cs="Times New Roman"/>
          <w:color w:val="auto"/>
          <w:sz w:val="24"/>
          <w:szCs w:val="24"/>
          <w:lang w:val="en-GB"/>
        </w:rPr>
      </w:pPr>
      <w:r w:rsidRPr="002F4F5A">
        <w:rPr>
          <w:rFonts w:ascii="Times New Roman" w:hAnsi="Times New Roman" w:cs="Times New Roman"/>
          <w:sz w:val="24"/>
          <w:szCs w:val="24"/>
        </w:rPr>
        <w:t>Measures taken to ensure consultation</w:t>
      </w:r>
      <w:r w:rsidR="007A77AB" w:rsidRPr="002F4F5A">
        <w:rPr>
          <w:rFonts w:ascii="Times New Roman" w:hAnsi="Times New Roman" w:cs="Times New Roman"/>
          <w:sz w:val="24"/>
          <w:szCs w:val="24"/>
        </w:rPr>
        <w:t xml:space="preserve">, indiviudally and collectively, </w:t>
      </w:r>
      <w:r w:rsidRPr="002F4F5A">
        <w:rPr>
          <w:rFonts w:ascii="Times New Roman" w:hAnsi="Times New Roman" w:cs="Times New Roman"/>
          <w:sz w:val="24"/>
          <w:szCs w:val="24"/>
        </w:rPr>
        <w:t>with indigenous children</w:t>
      </w:r>
      <w:r w:rsidR="008231BE" w:rsidRPr="002F4F5A">
        <w:rPr>
          <w:rFonts w:ascii="Times New Roman" w:hAnsi="Times New Roman" w:cs="Times New Roman"/>
          <w:sz w:val="24"/>
          <w:szCs w:val="24"/>
        </w:rPr>
        <w:t>, including disabled children</w:t>
      </w:r>
      <w:r w:rsidR="00AA4474">
        <w:rPr>
          <w:rFonts w:ascii="Times New Roman" w:hAnsi="Times New Roman" w:cs="Times New Roman"/>
          <w:sz w:val="24"/>
          <w:szCs w:val="24"/>
        </w:rPr>
        <w:t xml:space="preserve"> on the issues that affect them.</w:t>
      </w:r>
      <w:r w:rsidR="00AA4474">
        <w:rPr>
          <w:rStyle w:val="FootnoteReference"/>
          <w:rFonts w:ascii="Times New Roman" w:hAnsi="Times New Roman" w:cs="Times New Roman"/>
          <w:sz w:val="24"/>
          <w:szCs w:val="24"/>
        </w:rPr>
        <w:footnoteReference w:id="11"/>
      </w:r>
      <w:r w:rsidR="00AA4474">
        <w:rPr>
          <w:rFonts w:ascii="Times New Roman" w:hAnsi="Times New Roman" w:cs="Times New Roman"/>
          <w:sz w:val="24"/>
          <w:szCs w:val="24"/>
        </w:rPr>
        <w:t xml:space="preserve">  </w:t>
      </w:r>
    </w:p>
    <w:p w14:paraId="3A259B0C" w14:textId="77777777" w:rsidR="00991A84" w:rsidRPr="002F4F5A" w:rsidRDefault="00F87C29" w:rsidP="003331F0">
      <w:pPr>
        <w:pStyle w:val="Corpo"/>
        <w:numPr>
          <w:ilvl w:val="0"/>
          <w:numId w:val="4"/>
        </w:numPr>
        <w:rPr>
          <w:rFonts w:ascii="Times New Roman" w:hAnsi="Times New Roman" w:cs="Times New Roman"/>
          <w:color w:val="auto"/>
          <w:sz w:val="24"/>
          <w:szCs w:val="24"/>
          <w:lang w:val="en-GB"/>
        </w:rPr>
      </w:pPr>
      <w:r w:rsidRPr="002F4F5A">
        <w:rPr>
          <w:rFonts w:ascii="Times New Roman" w:hAnsi="Times New Roman" w:cs="Times New Roman"/>
          <w:sz w:val="24"/>
          <w:szCs w:val="24"/>
        </w:rPr>
        <w:t>Measures taken to combat d</w:t>
      </w:r>
      <w:r w:rsidR="00593755" w:rsidRPr="002F4F5A">
        <w:rPr>
          <w:rFonts w:ascii="Times New Roman" w:hAnsi="Times New Roman" w:cs="Times New Roman"/>
          <w:sz w:val="24"/>
          <w:szCs w:val="24"/>
        </w:rPr>
        <w:t xml:space="preserve">iscrimination, </w:t>
      </w:r>
      <w:r w:rsidR="006E1F94" w:rsidRPr="002F4F5A">
        <w:rPr>
          <w:rFonts w:ascii="Times New Roman" w:hAnsi="Times New Roman" w:cs="Times New Roman"/>
          <w:sz w:val="24"/>
          <w:szCs w:val="24"/>
        </w:rPr>
        <w:t xml:space="preserve">including </w:t>
      </w:r>
      <w:r w:rsidR="00FA229F">
        <w:rPr>
          <w:rFonts w:ascii="Times New Roman" w:hAnsi="Times New Roman" w:cs="Times New Roman"/>
          <w:sz w:val="24"/>
          <w:szCs w:val="24"/>
        </w:rPr>
        <w:t xml:space="preserve">through </w:t>
      </w:r>
      <w:r w:rsidR="006E1F94" w:rsidRPr="002F4F5A">
        <w:rPr>
          <w:rFonts w:ascii="Times New Roman" w:hAnsi="Times New Roman" w:cs="Times New Roman"/>
          <w:sz w:val="24"/>
          <w:szCs w:val="24"/>
        </w:rPr>
        <w:t>public information and educational measures</w:t>
      </w:r>
      <w:r w:rsidR="00FA229F">
        <w:rPr>
          <w:rFonts w:ascii="Times New Roman" w:hAnsi="Times New Roman" w:cs="Times New Roman"/>
          <w:sz w:val="24"/>
          <w:szCs w:val="24"/>
        </w:rPr>
        <w:t>.</w:t>
      </w:r>
    </w:p>
    <w:p w14:paraId="4FB9E371" w14:textId="77777777" w:rsidR="00684C9A" w:rsidRPr="002F4F5A" w:rsidRDefault="00FC1141" w:rsidP="00FC1141">
      <w:pPr>
        <w:pStyle w:val="Corpo"/>
        <w:numPr>
          <w:ilvl w:val="0"/>
          <w:numId w:val="3"/>
        </w:numPr>
        <w:rPr>
          <w:rFonts w:ascii="Times New Roman" w:hAnsi="Times New Roman" w:cs="Times New Roman"/>
          <w:color w:val="auto"/>
          <w:sz w:val="24"/>
          <w:szCs w:val="24"/>
          <w:lang w:val="en-GB"/>
        </w:rPr>
      </w:pPr>
      <w:r w:rsidRPr="002F4F5A">
        <w:rPr>
          <w:rFonts w:ascii="Times New Roman" w:hAnsi="Times New Roman" w:cs="Times New Roman"/>
          <w:color w:val="auto"/>
          <w:sz w:val="24"/>
          <w:szCs w:val="24"/>
          <w:lang w:val="en-GB"/>
        </w:rPr>
        <w:t>Measures taken to protect indigenous children from economic exploitation.</w:t>
      </w:r>
    </w:p>
    <w:p w14:paraId="295735DA" w14:textId="2DAFE33B" w:rsidR="006617AF" w:rsidRPr="00FA229F" w:rsidRDefault="000021CA" w:rsidP="00FA229F">
      <w:pPr>
        <w:pStyle w:val="CommentText"/>
        <w:numPr>
          <w:ilvl w:val="0"/>
          <w:numId w:val="3"/>
        </w:numPr>
        <w:rPr>
          <w:rFonts w:ascii="Times New Roman" w:hAnsi="Times New Roman" w:cs="Times New Roman"/>
          <w:sz w:val="24"/>
          <w:szCs w:val="24"/>
        </w:rPr>
      </w:pPr>
      <w:r w:rsidRPr="002F4F5A">
        <w:rPr>
          <w:rFonts w:ascii="Times New Roman" w:hAnsi="Times New Roman" w:cs="Times New Roman"/>
          <w:sz w:val="24"/>
          <w:szCs w:val="24"/>
        </w:rPr>
        <w:t>Action taken as a follow-up to the Study on Education undertaken by the EMRIP in 2009 (</w:t>
      </w:r>
      <w:hyperlink r:id="rId9" w:history="1">
        <w:r w:rsidRPr="002F4F5A">
          <w:rPr>
            <w:rStyle w:val="Hyperlink"/>
            <w:rFonts w:ascii="Times New Roman" w:hAnsi="Times New Roman" w:cs="Times New Roman"/>
            <w:sz w:val="24"/>
            <w:szCs w:val="24"/>
          </w:rPr>
          <w:t>https://undocs.org/A/HRC/12/33</w:t>
        </w:r>
      </w:hyperlink>
      <w:r w:rsidRPr="002F4F5A">
        <w:rPr>
          <w:rFonts w:ascii="Times New Roman" w:hAnsi="Times New Roman" w:cs="Times New Roman"/>
          <w:sz w:val="24"/>
          <w:szCs w:val="24"/>
        </w:rPr>
        <w:t>)</w:t>
      </w:r>
      <w:r w:rsidR="00FA229F">
        <w:rPr>
          <w:rFonts w:ascii="Times New Roman" w:hAnsi="Times New Roman" w:cs="Times New Roman"/>
          <w:sz w:val="24"/>
          <w:szCs w:val="24"/>
        </w:rPr>
        <w:t xml:space="preserve"> </w:t>
      </w:r>
      <w:proofErr w:type="gramStart"/>
      <w:r w:rsidR="00FC1141" w:rsidRPr="00FA229F">
        <w:rPr>
          <w:rFonts w:ascii="Times New Roman" w:hAnsi="Times New Roman" w:cs="Times New Roman"/>
          <w:sz w:val="24"/>
          <w:szCs w:val="24"/>
        </w:rPr>
        <w:t>Such</w:t>
      </w:r>
      <w:proofErr w:type="gramEnd"/>
      <w:r w:rsidR="00FC1141" w:rsidRPr="00FA229F">
        <w:rPr>
          <w:rFonts w:ascii="Times New Roman" w:hAnsi="Times New Roman" w:cs="Times New Roman"/>
          <w:sz w:val="24"/>
          <w:szCs w:val="24"/>
        </w:rPr>
        <w:t xml:space="preserve"> action</w:t>
      </w:r>
      <w:r w:rsidRPr="00FA229F">
        <w:rPr>
          <w:rFonts w:ascii="Times New Roman" w:hAnsi="Times New Roman" w:cs="Times New Roman"/>
          <w:sz w:val="24"/>
          <w:szCs w:val="24"/>
        </w:rPr>
        <w:t xml:space="preserve"> may incl</w:t>
      </w:r>
      <w:r w:rsidR="00C41EB5" w:rsidRPr="00FA229F">
        <w:rPr>
          <w:rFonts w:ascii="Times New Roman" w:hAnsi="Times New Roman" w:cs="Times New Roman"/>
          <w:sz w:val="24"/>
          <w:szCs w:val="24"/>
        </w:rPr>
        <w:t xml:space="preserve">ude information on: (1) </w:t>
      </w:r>
      <w:r w:rsidR="00FA229F">
        <w:rPr>
          <w:rFonts w:ascii="Times New Roman" w:hAnsi="Times New Roman" w:cs="Times New Roman"/>
          <w:sz w:val="24"/>
          <w:szCs w:val="24"/>
        </w:rPr>
        <w:t xml:space="preserve">action taken </w:t>
      </w:r>
      <w:r w:rsidRPr="00FA229F">
        <w:rPr>
          <w:rFonts w:ascii="Times New Roman" w:hAnsi="Times New Roman" w:cs="Times New Roman"/>
          <w:sz w:val="24"/>
          <w:szCs w:val="24"/>
        </w:rPr>
        <w:t xml:space="preserve">to ensure that indigenous peoples have control over their own educational systems and that they can provide education in their own languages and with regard to their culture. </w:t>
      </w:r>
      <w:r w:rsidR="00C41EB5" w:rsidRPr="00FA229F">
        <w:rPr>
          <w:rFonts w:ascii="Times New Roman" w:hAnsi="Times New Roman" w:cs="Times New Roman"/>
          <w:sz w:val="24"/>
          <w:szCs w:val="24"/>
        </w:rPr>
        <w:t xml:space="preserve">(2) </w:t>
      </w:r>
      <w:proofErr w:type="gramStart"/>
      <w:r w:rsidR="00FA229F">
        <w:rPr>
          <w:rFonts w:ascii="Times New Roman" w:hAnsi="Times New Roman" w:cs="Times New Roman"/>
          <w:sz w:val="24"/>
          <w:szCs w:val="24"/>
        </w:rPr>
        <w:t>action</w:t>
      </w:r>
      <w:proofErr w:type="gramEnd"/>
      <w:r w:rsidR="00FA229F">
        <w:rPr>
          <w:rFonts w:ascii="Times New Roman" w:hAnsi="Times New Roman" w:cs="Times New Roman"/>
          <w:sz w:val="24"/>
          <w:szCs w:val="24"/>
        </w:rPr>
        <w:t xml:space="preserve"> taken </w:t>
      </w:r>
      <w:r w:rsidR="00C41EB5" w:rsidRPr="00FA229F">
        <w:rPr>
          <w:rFonts w:ascii="Times New Roman" w:hAnsi="Times New Roman" w:cs="Times New Roman"/>
          <w:sz w:val="24"/>
          <w:szCs w:val="24"/>
        </w:rPr>
        <w:t>to ensure that indigenous children, including those living outside their communities, have access to education at all levels in their own lan</w:t>
      </w:r>
      <w:r w:rsidR="00FA229F">
        <w:rPr>
          <w:rFonts w:ascii="Times New Roman" w:hAnsi="Times New Roman" w:cs="Times New Roman"/>
          <w:sz w:val="24"/>
          <w:szCs w:val="24"/>
        </w:rPr>
        <w:t>guage and culture.</w:t>
      </w:r>
      <w:r w:rsidR="0001560A" w:rsidRPr="00FA229F">
        <w:rPr>
          <w:rFonts w:ascii="Times New Roman" w:hAnsi="Times New Roman" w:cs="Times New Roman"/>
          <w:sz w:val="24"/>
          <w:szCs w:val="24"/>
        </w:rPr>
        <w:t xml:space="preserve"> In this regard, does the education of indigenous children exhibit the essential </w:t>
      </w:r>
      <w:r w:rsidR="00684C9A" w:rsidRPr="00FA229F">
        <w:rPr>
          <w:rFonts w:ascii="Times New Roman" w:hAnsi="Times New Roman" w:cs="Times New Roman"/>
          <w:sz w:val="24"/>
          <w:szCs w:val="24"/>
        </w:rPr>
        <w:t>features of availability, accessibility, acceptability and adaptability as outlined be the Committee on Economic Social and Cultural Rights</w:t>
      </w:r>
      <w:r w:rsidR="00684C9A" w:rsidRPr="002F4F5A">
        <w:rPr>
          <w:rStyle w:val="FootnoteReference"/>
          <w:rFonts w:ascii="Times New Roman" w:hAnsi="Times New Roman" w:cs="Times New Roman"/>
          <w:sz w:val="24"/>
          <w:szCs w:val="24"/>
        </w:rPr>
        <w:footnoteReference w:id="12"/>
      </w:r>
      <w:r w:rsidR="00684C9A" w:rsidRPr="00FA229F">
        <w:rPr>
          <w:rFonts w:ascii="Times New Roman" w:hAnsi="Times New Roman" w:cs="Times New Roman"/>
          <w:sz w:val="24"/>
          <w:szCs w:val="24"/>
        </w:rPr>
        <w:t>?</w:t>
      </w:r>
    </w:p>
    <w:p w14:paraId="11B9B0D5" w14:textId="77777777" w:rsidR="00FA229F" w:rsidRDefault="00FA229F" w:rsidP="00FA229F">
      <w:pPr>
        <w:pStyle w:val="Corpo"/>
        <w:rPr>
          <w:rFonts w:ascii="Times New Roman" w:hAnsi="Times New Roman" w:cs="Times New Roman"/>
          <w:color w:val="auto"/>
          <w:sz w:val="24"/>
          <w:szCs w:val="24"/>
          <w:lang w:val="en-GB"/>
        </w:rPr>
      </w:pPr>
    </w:p>
    <w:p w14:paraId="70C096CC" w14:textId="24A5A6ED" w:rsidR="003331F0" w:rsidRPr="00D94429" w:rsidRDefault="00FA229F" w:rsidP="00D94429">
      <w:pPr>
        <w:pStyle w:val="Corp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w:t>
      </w:r>
    </w:p>
    <w:sectPr w:rsidR="003331F0" w:rsidRPr="00D944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D50C" w14:textId="77777777" w:rsidR="00E36A52" w:rsidRDefault="00E36A52" w:rsidP="00FE24ED">
      <w:pPr>
        <w:spacing w:after="0" w:line="240" w:lineRule="auto"/>
      </w:pPr>
      <w:r>
        <w:separator/>
      </w:r>
    </w:p>
  </w:endnote>
  <w:endnote w:type="continuationSeparator" w:id="0">
    <w:p w14:paraId="0CC24EF8" w14:textId="77777777" w:rsidR="00E36A52" w:rsidRDefault="00E36A52" w:rsidP="00FE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FCBC" w14:textId="77777777" w:rsidR="00E36A52" w:rsidRDefault="00E36A52" w:rsidP="00FE24ED">
      <w:pPr>
        <w:spacing w:after="0" w:line="240" w:lineRule="auto"/>
      </w:pPr>
      <w:r>
        <w:separator/>
      </w:r>
    </w:p>
  </w:footnote>
  <w:footnote w:type="continuationSeparator" w:id="0">
    <w:p w14:paraId="68243D81" w14:textId="77777777" w:rsidR="00E36A52" w:rsidRDefault="00E36A52" w:rsidP="00FE24ED">
      <w:pPr>
        <w:spacing w:after="0" w:line="240" w:lineRule="auto"/>
      </w:pPr>
      <w:r>
        <w:continuationSeparator/>
      </w:r>
    </w:p>
  </w:footnote>
  <w:footnote w:id="1">
    <w:p w14:paraId="7BDF2F3F" w14:textId="0DC63B98" w:rsidR="00A14045" w:rsidRPr="002775F7" w:rsidRDefault="00A14045">
      <w:pPr>
        <w:pStyle w:val="FootnoteText"/>
        <w:rPr>
          <w:rFonts w:ascii="Times New Roman" w:hAnsi="Times New Roman"/>
        </w:rPr>
      </w:pPr>
      <w:r w:rsidRPr="002775F7">
        <w:rPr>
          <w:rStyle w:val="FootnoteReference"/>
          <w:rFonts w:ascii="Times New Roman" w:hAnsi="Times New Roman"/>
        </w:rPr>
        <w:footnoteRef/>
      </w:r>
      <w:r w:rsidRPr="002775F7">
        <w:rPr>
          <w:rFonts w:ascii="Times New Roman" w:hAnsi="Times New Roman"/>
        </w:rPr>
        <w:t xml:space="preserve"> </w:t>
      </w:r>
      <w:proofErr w:type="gramStart"/>
      <w:r w:rsidRPr="002775F7">
        <w:rPr>
          <w:rFonts w:ascii="Times New Roman" w:hAnsi="Times New Roman"/>
        </w:rPr>
        <w:t xml:space="preserve">For the purposes of this Study, as the UNDRIP does not </w:t>
      </w:r>
      <w:r w:rsidR="002775F7" w:rsidRPr="002775F7">
        <w:rPr>
          <w:rFonts w:ascii="Times New Roman" w:hAnsi="Times New Roman"/>
        </w:rPr>
        <w:t>include a definition of the</w:t>
      </w:r>
      <w:r w:rsidRPr="002775F7">
        <w:rPr>
          <w:rFonts w:ascii="Times New Roman" w:hAnsi="Times New Roman"/>
        </w:rPr>
        <w:t xml:space="preserve"> “child”, the EMRIP will apply </w:t>
      </w:r>
      <w:r w:rsidR="002775F7" w:rsidRPr="002775F7">
        <w:rPr>
          <w:rFonts w:ascii="Times New Roman" w:hAnsi="Times New Roman"/>
        </w:rPr>
        <w:t xml:space="preserve">the same definition </w:t>
      </w:r>
      <w:r w:rsidRPr="002775F7">
        <w:rPr>
          <w:rFonts w:ascii="Times New Roman" w:hAnsi="Times New Roman"/>
        </w:rPr>
        <w:t>as under article 1 of the C</w:t>
      </w:r>
      <w:r w:rsidR="002775F7" w:rsidRPr="002775F7">
        <w:rPr>
          <w:rFonts w:ascii="Times New Roman" w:hAnsi="Times New Roman"/>
        </w:rPr>
        <w:t xml:space="preserve">onvention on the </w:t>
      </w:r>
      <w:r w:rsidRPr="002775F7">
        <w:rPr>
          <w:rFonts w:ascii="Times New Roman" w:hAnsi="Times New Roman"/>
        </w:rPr>
        <w:t>R</w:t>
      </w:r>
      <w:r w:rsidR="002775F7" w:rsidRPr="002775F7">
        <w:rPr>
          <w:rFonts w:ascii="Times New Roman" w:hAnsi="Times New Roman"/>
        </w:rPr>
        <w:t xml:space="preserve">ights of the </w:t>
      </w:r>
      <w:r w:rsidRPr="002775F7">
        <w:rPr>
          <w:rFonts w:ascii="Times New Roman" w:hAnsi="Times New Roman"/>
        </w:rPr>
        <w:t>C</w:t>
      </w:r>
      <w:r w:rsidR="002775F7" w:rsidRPr="002775F7">
        <w:rPr>
          <w:rFonts w:ascii="Times New Roman" w:hAnsi="Times New Roman"/>
        </w:rPr>
        <w:t>hild “a child means every human being below the age of eighteen years unless under the law applicable to the child, majority is attained earlier</w:t>
      </w:r>
      <w:r w:rsidR="002775F7">
        <w:rPr>
          <w:rFonts w:ascii="Times New Roman" w:hAnsi="Times New Roman"/>
        </w:rPr>
        <w:t>”</w:t>
      </w:r>
      <w:r w:rsidRPr="002775F7">
        <w:rPr>
          <w:rFonts w:ascii="Times New Roman" w:hAnsi="Times New Roman"/>
        </w:rPr>
        <w:t>, as defined</w:t>
      </w:r>
      <w:r w:rsidR="002775F7" w:rsidRPr="002775F7">
        <w:rPr>
          <w:rFonts w:ascii="Times New Roman" w:hAnsi="Times New Roman"/>
        </w:rPr>
        <w:t xml:space="preserve"> by the Committee</w:t>
      </w:r>
      <w:r w:rsidRPr="002775F7">
        <w:rPr>
          <w:rFonts w:ascii="Times New Roman" w:hAnsi="Times New Roman"/>
        </w:rPr>
        <w:t xml:space="preserve"> in it General Comments 4, 20 and 24</w:t>
      </w:r>
      <w:r w:rsidR="00F249F2" w:rsidRPr="002775F7">
        <w:rPr>
          <w:rFonts w:ascii="Times New Roman" w:hAnsi="Times New Roman"/>
        </w:rPr>
        <w:t xml:space="preserve"> and its conc</w:t>
      </w:r>
      <w:r w:rsidR="002775F7" w:rsidRPr="002775F7">
        <w:rPr>
          <w:rFonts w:ascii="Times New Roman" w:hAnsi="Times New Roman"/>
        </w:rPr>
        <w:t>luding observations.</w:t>
      </w:r>
      <w:proofErr w:type="gramEnd"/>
    </w:p>
  </w:footnote>
  <w:footnote w:id="2">
    <w:p w14:paraId="744D0289" w14:textId="77777777" w:rsidR="00FE24ED" w:rsidRPr="00676ABC" w:rsidRDefault="00FE24ED" w:rsidP="00FE24ED">
      <w:pPr>
        <w:pStyle w:val="FootnoteText"/>
        <w:rPr>
          <w:rFonts w:ascii="Times New Roman" w:hAnsi="Times New Roman"/>
        </w:rPr>
      </w:pPr>
      <w:r w:rsidRPr="00F249F2">
        <w:rPr>
          <w:rStyle w:val="FootnoteReference"/>
          <w:rFonts w:ascii="Times New Roman" w:hAnsi="Times New Roman"/>
        </w:rPr>
        <w:footnoteRef/>
      </w:r>
      <w:r w:rsidRPr="00F249F2">
        <w:rPr>
          <w:rFonts w:ascii="Times New Roman" w:hAnsi="Times New Roman"/>
        </w:rPr>
        <w:t xml:space="preserve"> </w:t>
      </w:r>
      <w:proofErr w:type="gramStart"/>
      <w:r w:rsidRPr="00F249F2">
        <w:rPr>
          <w:rFonts w:ascii="Times New Roman" w:hAnsi="Times New Roman"/>
        </w:rPr>
        <w:t>To date, the Expert Mechanism has carried out studies on themes including indigenous peoples’ rights with respect to their cultural heritage; access to justice for indigenous peoples; the right to health and indigenous</w:t>
      </w:r>
      <w:r w:rsidRPr="00676ABC">
        <w:rPr>
          <w:rFonts w:ascii="Times New Roman" w:hAnsi="Times New Roman"/>
        </w:rPr>
        <w:t xml:space="preserve"> peoples; right to participate in decision-making; the right of indig</w:t>
      </w:r>
      <w:r w:rsidR="007A79F1" w:rsidRPr="00676ABC">
        <w:rPr>
          <w:rFonts w:ascii="Times New Roman" w:hAnsi="Times New Roman"/>
        </w:rPr>
        <w:t xml:space="preserve">enous peoples to education; </w:t>
      </w:r>
      <w:r w:rsidRPr="00676ABC">
        <w:rPr>
          <w:rFonts w:ascii="Times New Roman" w:hAnsi="Times New Roman"/>
        </w:rPr>
        <w:t>free,</w:t>
      </w:r>
      <w:r w:rsidR="007A79F1" w:rsidRPr="00676ABC">
        <w:rPr>
          <w:rFonts w:ascii="Times New Roman" w:hAnsi="Times New Roman"/>
        </w:rPr>
        <w:t xml:space="preserve"> prior and informed consent; </w:t>
      </w:r>
      <w:r w:rsidRPr="00676ABC">
        <w:rPr>
          <w:rFonts w:ascii="Times New Roman" w:hAnsi="Times New Roman"/>
        </w:rPr>
        <w:t>migration</w:t>
      </w:r>
      <w:r w:rsidR="007A79F1" w:rsidRPr="00676ABC">
        <w:rPr>
          <w:rFonts w:ascii="Times New Roman" w:hAnsi="Times New Roman"/>
        </w:rPr>
        <w:t xml:space="preserve"> and land rights</w:t>
      </w:r>
      <w:r w:rsidR="00676ABC" w:rsidRPr="00676ABC">
        <w:rPr>
          <w:rFonts w:ascii="Times New Roman" w:hAnsi="Times New Roman"/>
        </w:rPr>
        <w:t xml:space="preserve">; </w:t>
      </w:r>
      <w:hyperlink r:id="rId1" w:history="1">
        <w:r w:rsidR="00676ABC" w:rsidRPr="00676ABC">
          <w:rPr>
            <w:rStyle w:val="Hyperlink"/>
            <w:rFonts w:ascii="Times New Roman" w:eastAsia="Times New Roman" w:hAnsi="Times New Roman"/>
            <w:color w:val="auto"/>
            <w:u w:val="none"/>
          </w:rPr>
          <w:t>and on recognition, reparations and reconciliation</w:t>
        </w:r>
      </w:hyperlink>
      <w:r w:rsidRPr="00676ABC">
        <w:rPr>
          <w:rFonts w:ascii="Times New Roman" w:hAnsi="Times New Roman"/>
        </w:rPr>
        <w:t>.</w:t>
      </w:r>
      <w:proofErr w:type="gramEnd"/>
    </w:p>
  </w:footnote>
  <w:footnote w:id="3">
    <w:p w14:paraId="199FBC1A" w14:textId="77777777" w:rsidR="00A90010" w:rsidRDefault="00A90010">
      <w:pPr>
        <w:pStyle w:val="FootnoteText"/>
      </w:pPr>
      <w:r w:rsidRPr="00AA4474">
        <w:rPr>
          <w:rStyle w:val="FootnoteReference"/>
          <w:rFonts w:ascii="Times New Roman" w:hAnsi="Times New Roman"/>
        </w:rPr>
        <w:footnoteRef/>
      </w:r>
      <w:r w:rsidR="00AA4474">
        <w:rPr>
          <w:rFonts w:ascii="Times New Roman" w:hAnsi="Times New Roman"/>
        </w:rPr>
        <w:t xml:space="preserve"> Many of t</w:t>
      </w:r>
      <w:r w:rsidRPr="00AA4474">
        <w:rPr>
          <w:rFonts w:ascii="Times New Roman" w:hAnsi="Times New Roman"/>
        </w:rPr>
        <w:t xml:space="preserve">he issues raised here </w:t>
      </w:r>
      <w:proofErr w:type="gramStart"/>
      <w:r w:rsidR="00AA4474">
        <w:rPr>
          <w:rFonts w:ascii="Times New Roman" w:hAnsi="Times New Roman"/>
        </w:rPr>
        <w:t xml:space="preserve">were </w:t>
      </w:r>
      <w:r w:rsidRPr="00AA4474">
        <w:rPr>
          <w:rFonts w:ascii="Times New Roman" w:hAnsi="Times New Roman"/>
        </w:rPr>
        <w:t>highlighted</w:t>
      </w:r>
      <w:proofErr w:type="gramEnd"/>
      <w:r w:rsidRPr="00AA4474">
        <w:rPr>
          <w:rFonts w:ascii="Times New Roman" w:hAnsi="Times New Roman"/>
        </w:rPr>
        <w:t xml:space="preserve"> by the UN Committee on the Rights of the Child, in its concluding observations following its reviews of States periodic reports </w:t>
      </w:r>
      <w:r w:rsidR="00AA4474">
        <w:rPr>
          <w:rFonts w:ascii="Times New Roman" w:hAnsi="Times New Roman"/>
        </w:rPr>
        <w:t xml:space="preserve">in the last five years </w:t>
      </w:r>
      <w:r w:rsidRPr="00AA4474">
        <w:rPr>
          <w:rFonts w:ascii="Times New Roman" w:hAnsi="Times New Roman"/>
        </w:rPr>
        <w:t xml:space="preserve">and in its General Comment </w:t>
      </w:r>
      <w:r w:rsidR="00AA4474" w:rsidRPr="00AA4474">
        <w:rPr>
          <w:rFonts w:ascii="Times New Roman" w:hAnsi="Times New Roman"/>
        </w:rPr>
        <w:t xml:space="preserve">No. 11 </w:t>
      </w:r>
      <w:r w:rsidRPr="00AA4474">
        <w:rPr>
          <w:rFonts w:ascii="Times New Roman" w:hAnsi="Times New Roman"/>
        </w:rPr>
        <w:t xml:space="preserve">on </w:t>
      </w:r>
      <w:r w:rsidR="00AA4474" w:rsidRPr="00AA4474">
        <w:rPr>
          <w:rFonts w:ascii="Times New Roman" w:hAnsi="Times New Roman"/>
        </w:rPr>
        <w:t>Indigenous Children.</w:t>
      </w:r>
    </w:p>
  </w:footnote>
  <w:footnote w:id="4">
    <w:p w14:paraId="1FFFFBA0" w14:textId="77777777" w:rsidR="00D77451" w:rsidRPr="00676ABC" w:rsidRDefault="00D77451" w:rsidP="00D77451">
      <w:pPr>
        <w:pStyle w:val="FootnoteText"/>
        <w:rPr>
          <w:rFonts w:ascii="Times New Roman" w:hAnsi="Times New Roman"/>
        </w:rPr>
      </w:pPr>
      <w:r w:rsidRPr="00676ABC">
        <w:rPr>
          <w:rStyle w:val="FootnoteReference"/>
          <w:rFonts w:ascii="Times New Roman" w:hAnsi="Times New Roman"/>
        </w:rPr>
        <w:footnoteRef/>
      </w:r>
      <w:r w:rsidRPr="00676ABC">
        <w:rPr>
          <w:rFonts w:ascii="Times New Roman" w:hAnsi="Times New Roman"/>
        </w:rPr>
        <w:t xml:space="preserve"> The introduction and legal framework to the Study will include the link between self-determination (UNDRIP preamble paras. 6, 10, 11 and 12 and articles 3, 4 and 5) and lands, territories and natural resources.</w:t>
      </w:r>
    </w:p>
  </w:footnote>
  <w:footnote w:id="5">
    <w:p w14:paraId="625F3795" w14:textId="3AB97562" w:rsidR="003C42E0" w:rsidRPr="00F249F2" w:rsidRDefault="003C42E0">
      <w:pPr>
        <w:pStyle w:val="FootnoteText"/>
        <w:rPr>
          <w:rFonts w:ascii="Times New Roman" w:hAnsi="Times New Roman"/>
        </w:rPr>
      </w:pPr>
      <w:r w:rsidRPr="00F249F2">
        <w:rPr>
          <w:rStyle w:val="FootnoteReference"/>
          <w:rFonts w:ascii="Times New Roman" w:hAnsi="Times New Roman"/>
        </w:rPr>
        <w:footnoteRef/>
      </w:r>
      <w:r w:rsidRPr="00F249F2">
        <w:rPr>
          <w:rFonts w:ascii="Times New Roman" w:hAnsi="Times New Roman"/>
        </w:rPr>
        <w:t xml:space="preserve"> A/HRC/33/57</w:t>
      </w:r>
    </w:p>
  </w:footnote>
  <w:footnote w:id="6">
    <w:p w14:paraId="3708A870" w14:textId="551537F1" w:rsidR="003C42E0" w:rsidRDefault="003C42E0">
      <w:pPr>
        <w:pStyle w:val="FootnoteText"/>
      </w:pPr>
      <w:r w:rsidRPr="00F249F2">
        <w:rPr>
          <w:rStyle w:val="FootnoteReference"/>
          <w:rFonts w:ascii="Times New Roman" w:hAnsi="Times New Roman"/>
        </w:rPr>
        <w:footnoteRef/>
      </w:r>
      <w:r w:rsidRPr="00F249F2">
        <w:rPr>
          <w:rFonts w:ascii="Times New Roman" w:hAnsi="Times New Roman"/>
        </w:rPr>
        <w:t xml:space="preserve"> Abid</w:t>
      </w:r>
    </w:p>
  </w:footnote>
  <w:footnote w:id="7">
    <w:p w14:paraId="301EB714" w14:textId="4554AC1A" w:rsidR="00D03A8A" w:rsidRPr="00F249F2" w:rsidRDefault="00D03A8A">
      <w:pPr>
        <w:pStyle w:val="FootnoteText"/>
        <w:rPr>
          <w:rFonts w:ascii="Times New Roman" w:hAnsi="Times New Roman"/>
        </w:rPr>
      </w:pPr>
      <w:r w:rsidRPr="00F249F2">
        <w:rPr>
          <w:rStyle w:val="FootnoteReference"/>
          <w:rFonts w:ascii="Times New Roman" w:hAnsi="Times New Roman"/>
        </w:rPr>
        <w:footnoteRef/>
      </w:r>
      <w:r w:rsidRPr="00F249F2">
        <w:rPr>
          <w:rFonts w:ascii="Times New Roman" w:hAnsi="Times New Roman"/>
        </w:rPr>
        <w:t xml:space="preserve"> Abid.</w:t>
      </w:r>
    </w:p>
  </w:footnote>
  <w:footnote w:id="8">
    <w:p w14:paraId="2CC5E1F1" w14:textId="6FC471AC" w:rsidR="00900E46" w:rsidRPr="00F249F2" w:rsidRDefault="00900E46">
      <w:pPr>
        <w:pStyle w:val="FootnoteText"/>
        <w:rPr>
          <w:rFonts w:ascii="Times New Roman" w:hAnsi="Times New Roman"/>
        </w:rPr>
      </w:pPr>
      <w:r w:rsidRPr="00F249F2">
        <w:rPr>
          <w:rStyle w:val="FootnoteReference"/>
          <w:rFonts w:ascii="Times New Roman" w:hAnsi="Times New Roman"/>
        </w:rPr>
        <w:footnoteRef/>
      </w:r>
      <w:r w:rsidRPr="00F249F2">
        <w:rPr>
          <w:rFonts w:ascii="Times New Roman" w:hAnsi="Times New Roman"/>
        </w:rPr>
        <w:t xml:space="preserve"> Abid</w:t>
      </w:r>
    </w:p>
  </w:footnote>
  <w:footnote w:id="9">
    <w:p w14:paraId="3A64FC39" w14:textId="77777777" w:rsidR="00CF19E6" w:rsidRPr="00F249F2" w:rsidRDefault="00CF19E6">
      <w:pPr>
        <w:pStyle w:val="FootnoteText"/>
        <w:rPr>
          <w:rFonts w:ascii="Times New Roman" w:hAnsi="Times New Roman"/>
        </w:rPr>
      </w:pPr>
      <w:r w:rsidRPr="00F249F2">
        <w:rPr>
          <w:rStyle w:val="FootnoteReference"/>
          <w:rFonts w:ascii="Times New Roman" w:hAnsi="Times New Roman"/>
        </w:rPr>
        <w:footnoteRef/>
      </w:r>
      <w:r w:rsidRPr="00F249F2">
        <w:rPr>
          <w:rFonts w:ascii="Times New Roman" w:hAnsi="Times New Roman"/>
        </w:rPr>
        <w:t xml:space="preserve"> A/74/183</w:t>
      </w:r>
    </w:p>
  </w:footnote>
  <w:footnote w:id="10">
    <w:p w14:paraId="4F2CDB0B" w14:textId="77777777" w:rsidR="00F2613C" w:rsidRPr="00F249F2" w:rsidRDefault="00F2613C">
      <w:pPr>
        <w:pStyle w:val="FootnoteText"/>
        <w:rPr>
          <w:rFonts w:ascii="Times New Roman" w:hAnsi="Times New Roman"/>
          <w:lang w:val="es-ES"/>
        </w:rPr>
      </w:pPr>
      <w:r w:rsidRPr="00F249F2">
        <w:rPr>
          <w:rStyle w:val="FootnoteReference"/>
          <w:rFonts w:ascii="Times New Roman" w:hAnsi="Times New Roman"/>
        </w:rPr>
        <w:footnoteRef/>
      </w:r>
      <w:r w:rsidRPr="00F249F2">
        <w:rPr>
          <w:rFonts w:ascii="Times New Roman" w:hAnsi="Times New Roman"/>
          <w:lang w:val="es-ES"/>
        </w:rPr>
        <w:t xml:space="preserve"> A/74/183</w:t>
      </w:r>
    </w:p>
  </w:footnote>
  <w:footnote w:id="11">
    <w:p w14:paraId="1FF31D9D" w14:textId="0D10ABB0" w:rsidR="00F249F2" w:rsidRPr="00F249F2" w:rsidRDefault="00AA4474">
      <w:pPr>
        <w:pStyle w:val="FootnoteText"/>
        <w:rPr>
          <w:rFonts w:ascii="Times New Roman" w:hAnsi="Times New Roman"/>
          <w:lang w:val="es-ES"/>
        </w:rPr>
      </w:pPr>
      <w:r w:rsidRPr="00F249F2">
        <w:rPr>
          <w:rStyle w:val="FootnoteReference"/>
          <w:rFonts w:ascii="Times New Roman" w:hAnsi="Times New Roman"/>
        </w:rPr>
        <w:footnoteRef/>
      </w:r>
      <w:r w:rsidRPr="00F249F2">
        <w:rPr>
          <w:rFonts w:ascii="Times New Roman" w:hAnsi="Times New Roman"/>
          <w:lang w:val="es-ES"/>
        </w:rPr>
        <w:t xml:space="preserve"> A/</w:t>
      </w:r>
      <w:r w:rsidR="00FA229F" w:rsidRPr="00F249F2">
        <w:rPr>
          <w:rFonts w:ascii="Times New Roman" w:hAnsi="Times New Roman"/>
          <w:lang w:val="es-ES"/>
        </w:rPr>
        <w:t>HRC/39/62</w:t>
      </w:r>
    </w:p>
  </w:footnote>
  <w:footnote w:id="12">
    <w:p w14:paraId="4138102D" w14:textId="77777777" w:rsidR="00684C9A" w:rsidRPr="00676ABC" w:rsidRDefault="00684C9A">
      <w:pPr>
        <w:pStyle w:val="FootnoteText"/>
        <w:rPr>
          <w:rFonts w:ascii="Times New Roman" w:hAnsi="Times New Roman"/>
          <w:lang w:val="es-ES"/>
        </w:rPr>
      </w:pPr>
      <w:r w:rsidRPr="00FA229F">
        <w:rPr>
          <w:rStyle w:val="FootnoteReference"/>
          <w:rFonts w:ascii="Times New Roman" w:hAnsi="Times New Roman"/>
        </w:rPr>
        <w:footnoteRef/>
      </w:r>
      <w:r w:rsidRPr="00FA229F">
        <w:rPr>
          <w:rFonts w:ascii="Times New Roman" w:hAnsi="Times New Roman"/>
          <w:lang w:val="es-ES"/>
        </w:rPr>
        <w:t xml:space="preserve"> CESCR, General </w:t>
      </w:r>
      <w:proofErr w:type="spellStart"/>
      <w:r w:rsidRPr="00FA229F">
        <w:rPr>
          <w:rFonts w:ascii="Times New Roman" w:hAnsi="Times New Roman"/>
          <w:lang w:val="es-ES"/>
        </w:rPr>
        <w:t>Comment</w:t>
      </w:r>
      <w:proofErr w:type="spellEnd"/>
      <w:r w:rsidRPr="00FA229F">
        <w:rPr>
          <w:rFonts w:ascii="Times New Roman" w:hAnsi="Times New Roman"/>
          <w:lang w:val="es-ES"/>
        </w:rPr>
        <w:t xml:space="preserve"> 13 para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E1B1" w14:textId="77777777" w:rsidR="000333F3" w:rsidRDefault="000333F3">
    <w:pPr>
      <w:pStyle w:val="Header"/>
    </w:pPr>
    <w:r w:rsidRPr="00B14B73">
      <w:rPr>
        <w:noProof/>
        <w:lang w:eastAsia="en-GB"/>
      </w:rPr>
      <w:drawing>
        <wp:anchor distT="0" distB="0" distL="114300" distR="114300" simplePos="0" relativeHeight="251659264" behindDoc="1" locked="0" layoutInCell="1" allowOverlap="1" wp14:anchorId="554FC52E" wp14:editId="704C4DF9">
          <wp:simplePos x="0" y="0"/>
          <wp:positionH relativeFrom="margin">
            <wp:posOffset>-628650</wp:posOffset>
          </wp:positionH>
          <wp:positionV relativeFrom="paragraph">
            <wp:posOffset>-449580</wp:posOffset>
          </wp:positionV>
          <wp:extent cx="1990725" cy="971550"/>
          <wp:effectExtent l="0" t="0" r="0" b="0"/>
          <wp:wrapThrough wrapText="bothSides">
            <wp:wrapPolygon edited="0">
              <wp:start x="3927" y="3388"/>
              <wp:lineTo x="1447" y="11012"/>
              <wp:lineTo x="1447" y="13129"/>
              <wp:lineTo x="2687" y="17365"/>
              <wp:lineTo x="3307" y="18212"/>
              <wp:lineTo x="20256" y="18212"/>
              <wp:lineTo x="20256" y="8471"/>
              <wp:lineTo x="4961" y="3388"/>
              <wp:lineTo x="3927" y="3388"/>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9A7"/>
    <w:multiLevelType w:val="hybridMultilevel"/>
    <w:tmpl w:val="F45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51E83"/>
    <w:multiLevelType w:val="hybridMultilevel"/>
    <w:tmpl w:val="9EE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84BFC"/>
    <w:multiLevelType w:val="hybridMultilevel"/>
    <w:tmpl w:val="E63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90879"/>
    <w:multiLevelType w:val="hybridMultilevel"/>
    <w:tmpl w:val="7AA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07E40"/>
    <w:multiLevelType w:val="hybridMultilevel"/>
    <w:tmpl w:val="47D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C8"/>
    <w:rsid w:val="000021CA"/>
    <w:rsid w:val="00013CA8"/>
    <w:rsid w:val="0001560A"/>
    <w:rsid w:val="00024FC2"/>
    <w:rsid w:val="000333F3"/>
    <w:rsid w:val="00054686"/>
    <w:rsid w:val="000B71F1"/>
    <w:rsid w:val="00115A5E"/>
    <w:rsid w:val="00172B61"/>
    <w:rsid w:val="001C60FF"/>
    <w:rsid w:val="00221923"/>
    <w:rsid w:val="00263E6A"/>
    <w:rsid w:val="00270D36"/>
    <w:rsid w:val="002775F7"/>
    <w:rsid w:val="002D3932"/>
    <w:rsid w:val="002E2CD2"/>
    <w:rsid w:val="002F4F5A"/>
    <w:rsid w:val="002F6ABC"/>
    <w:rsid w:val="003122F2"/>
    <w:rsid w:val="003331F0"/>
    <w:rsid w:val="00343678"/>
    <w:rsid w:val="003C2B66"/>
    <w:rsid w:val="003C42E0"/>
    <w:rsid w:val="003D382B"/>
    <w:rsid w:val="004302F8"/>
    <w:rsid w:val="00430CF0"/>
    <w:rsid w:val="004325F5"/>
    <w:rsid w:val="00446A7C"/>
    <w:rsid w:val="00453437"/>
    <w:rsid w:val="00495B2A"/>
    <w:rsid w:val="00497BC5"/>
    <w:rsid w:val="0054492E"/>
    <w:rsid w:val="00593755"/>
    <w:rsid w:val="005B4195"/>
    <w:rsid w:val="005C2991"/>
    <w:rsid w:val="005D0DC3"/>
    <w:rsid w:val="00614733"/>
    <w:rsid w:val="006617AF"/>
    <w:rsid w:val="006710DF"/>
    <w:rsid w:val="00673B57"/>
    <w:rsid w:val="00676ABC"/>
    <w:rsid w:val="00684C9A"/>
    <w:rsid w:val="006B6EA6"/>
    <w:rsid w:val="006E1F94"/>
    <w:rsid w:val="007060F5"/>
    <w:rsid w:val="00723FC8"/>
    <w:rsid w:val="007313F4"/>
    <w:rsid w:val="00794972"/>
    <w:rsid w:val="007A77AB"/>
    <w:rsid w:val="007A79F1"/>
    <w:rsid w:val="008077FF"/>
    <w:rsid w:val="008231BE"/>
    <w:rsid w:val="00851D07"/>
    <w:rsid w:val="00862174"/>
    <w:rsid w:val="008C5E3B"/>
    <w:rsid w:val="00900E46"/>
    <w:rsid w:val="00935371"/>
    <w:rsid w:val="00991A84"/>
    <w:rsid w:val="009E7937"/>
    <w:rsid w:val="00A14045"/>
    <w:rsid w:val="00A90010"/>
    <w:rsid w:val="00AA4474"/>
    <w:rsid w:val="00AB273F"/>
    <w:rsid w:val="00AD26E4"/>
    <w:rsid w:val="00B31104"/>
    <w:rsid w:val="00B47D26"/>
    <w:rsid w:val="00B47E59"/>
    <w:rsid w:val="00B9367A"/>
    <w:rsid w:val="00BB7119"/>
    <w:rsid w:val="00C31727"/>
    <w:rsid w:val="00C34BCF"/>
    <w:rsid w:val="00C41EB5"/>
    <w:rsid w:val="00CA5D12"/>
    <w:rsid w:val="00CF19E6"/>
    <w:rsid w:val="00D03A8A"/>
    <w:rsid w:val="00D621D0"/>
    <w:rsid w:val="00D77451"/>
    <w:rsid w:val="00D94429"/>
    <w:rsid w:val="00E07828"/>
    <w:rsid w:val="00E35469"/>
    <w:rsid w:val="00E36A52"/>
    <w:rsid w:val="00E36C94"/>
    <w:rsid w:val="00E4693D"/>
    <w:rsid w:val="00E5031E"/>
    <w:rsid w:val="00E5092F"/>
    <w:rsid w:val="00EF48F5"/>
    <w:rsid w:val="00F16621"/>
    <w:rsid w:val="00F249F2"/>
    <w:rsid w:val="00F2613C"/>
    <w:rsid w:val="00F87C29"/>
    <w:rsid w:val="00FA229F"/>
    <w:rsid w:val="00FA2A4C"/>
    <w:rsid w:val="00FB0068"/>
    <w:rsid w:val="00FC1141"/>
    <w:rsid w:val="00FE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658D"/>
  <w15:chartTrackingRefBased/>
  <w15:docId w15:val="{DF3D9937-A8EA-4087-A677-71D36E6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23F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SingleTxt"/>
    <w:rsid w:val="00723F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Normal1">
    <w:name w:val="Normal1"/>
    <w:qFormat/>
    <w:rsid w:val="00FE24ED"/>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E24ED"/>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rsid w:val="00FE24ED"/>
    <w:rPr>
      <w:rFonts w:ascii="Calibri" w:eastAsia="Calibri" w:hAnsi="Calibri" w:cs="Times New Roman"/>
      <w:sz w:val="20"/>
      <w:szCs w:val="20"/>
      <w:lang w:eastAsia="en-GB"/>
    </w:rPr>
  </w:style>
  <w:style w:type="character" w:styleId="FootnoteReference">
    <w:name w:val="footnote reference"/>
    <w:basedOn w:val="DefaultParagraphFont"/>
    <w:uiPriority w:val="99"/>
    <w:semiHidden/>
    <w:unhideWhenUsed/>
    <w:rsid w:val="00FE24ED"/>
    <w:rPr>
      <w:vertAlign w:val="superscript"/>
    </w:rPr>
  </w:style>
  <w:style w:type="paragraph" w:styleId="PlainText">
    <w:name w:val="Plain Text"/>
    <w:basedOn w:val="Normal"/>
    <w:link w:val="PlainTextChar"/>
    <w:uiPriority w:val="99"/>
    <w:unhideWhenUsed/>
    <w:rsid w:val="00FE24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24ED"/>
    <w:rPr>
      <w:rFonts w:ascii="Calibri" w:hAnsi="Calibri"/>
      <w:szCs w:val="21"/>
    </w:rPr>
  </w:style>
  <w:style w:type="character" w:styleId="Hyperlink">
    <w:name w:val="Hyperlink"/>
    <w:basedOn w:val="DefaultParagraphFont"/>
    <w:uiPriority w:val="99"/>
    <w:unhideWhenUsed/>
    <w:rsid w:val="00935371"/>
    <w:rPr>
      <w:color w:val="0563C1"/>
      <w:u w:val="single"/>
    </w:rPr>
  </w:style>
  <w:style w:type="paragraph" w:styleId="ListParagraph">
    <w:name w:val="List Paragraph"/>
    <w:basedOn w:val="Normal1"/>
    <w:uiPriority w:val="34"/>
    <w:qFormat/>
    <w:rsid w:val="000333F3"/>
    <w:pPr>
      <w:ind w:left="720"/>
      <w:contextualSpacing/>
    </w:pPr>
  </w:style>
  <w:style w:type="paragraph" w:styleId="Header">
    <w:name w:val="header"/>
    <w:basedOn w:val="Normal"/>
    <w:link w:val="HeaderChar"/>
    <w:uiPriority w:val="99"/>
    <w:unhideWhenUsed/>
    <w:rsid w:val="0003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F3"/>
  </w:style>
  <w:style w:type="paragraph" w:styleId="Footer">
    <w:name w:val="footer"/>
    <w:basedOn w:val="Normal"/>
    <w:link w:val="FooterChar"/>
    <w:uiPriority w:val="99"/>
    <w:unhideWhenUsed/>
    <w:rsid w:val="0003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F3"/>
  </w:style>
  <w:style w:type="paragraph" w:customStyle="1" w:styleId="Corpo">
    <w:name w:val="Corpo"/>
    <w:rsid w:val="000333F3"/>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character" w:styleId="CommentReference">
    <w:name w:val="annotation reference"/>
    <w:basedOn w:val="DefaultParagraphFont"/>
    <w:uiPriority w:val="99"/>
    <w:semiHidden/>
    <w:unhideWhenUsed/>
    <w:rsid w:val="000021CA"/>
    <w:rPr>
      <w:sz w:val="16"/>
      <w:szCs w:val="16"/>
    </w:rPr>
  </w:style>
  <w:style w:type="paragraph" w:styleId="CommentText">
    <w:name w:val="annotation text"/>
    <w:basedOn w:val="Normal"/>
    <w:link w:val="CommentTextChar"/>
    <w:uiPriority w:val="99"/>
    <w:unhideWhenUsed/>
    <w:rsid w:val="000021CA"/>
    <w:pPr>
      <w:spacing w:line="240" w:lineRule="auto"/>
    </w:pPr>
    <w:rPr>
      <w:sz w:val="20"/>
      <w:szCs w:val="20"/>
    </w:rPr>
  </w:style>
  <w:style w:type="character" w:customStyle="1" w:styleId="CommentTextChar">
    <w:name w:val="Comment Text Char"/>
    <w:basedOn w:val="DefaultParagraphFont"/>
    <w:link w:val="CommentText"/>
    <w:uiPriority w:val="99"/>
    <w:rsid w:val="000021CA"/>
    <w:rPr>
      <w:sz w:val="20"/>
      <w:szCs w:val="20"/>
    </w:rPr>
  </w:style>
  <w:style w:type="paragraph" w:styleId="CommentSubject">
    <w:name w:val="annotation subject"/>
    <w:basedOn w:val="CommentText"/>
    <w:next w:val="CommentText"/>
    <w:link w:val="CommentSubjectChar"/>
    <w:uiPriority w:val="99"/>
    <w:semiHidden/>
    <w:unhideWhenUsed/>
    <w:rsid w:val="000021CA"/>
    <w:rPr>
      <w:b/>
      <w:bCs/>
    </w:rPr>
  </w:style>
  <w:style w:type="character" w:customStyle="1" w:styleId="CommentSubjectChar">
    <w:name w:val="Comment Subject Char"/>
    <w:basedOn w:val="CommentTextChar"/>
    <w:link w:val="CommentSubject"/>
    <w:uiPriority w:val="99"/>
    <w:semiHidden/>
    <w:rsid w:val="000021CA"/>
    <w:rPr>
      <w:b/>
      <w:bCs/>
      <w:sz w:val="20"/>
      <w:szCs w:val="20"/>
    </w:rPr>
  </w:style>
  <w:style w:type="paragraph" w:styleId="BalloonText">
    <w:name w:val="Balloon Text"/>
    <w:basedOn w:val="Normal"/>
    <w:link w:val="BalloonTextChar"/>
    <w:uiPriority w:val="99"/>
    <w:semiHidden/>
    <w:unhideWhenUsed/>
    <w:rsid w:val="0000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CA"/>
    <w:rPr>
      <w:rFonts w:ascii="Segoe UI" w:hAnsi="Segoe UI" w:cs="Segoe UI"/>
      <w:sz w:val="18"/>
      <w:szCs w:val="18"/>
    </w:rPr>
  </w:style>
  <w:style w:type="paragraph" w:customStyle="1" w:styleId="SingleTxtG">
    <w:name w:val="_ Single Txt_G"/>
    <w:basedOn w:val="Normal"/>
    <w:link w:val="SingleTxtGChar"/>
    <w:rsid w:val="003C42E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C42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62273">
      <w:bodyDiv w:val="1"/>
      <w:marLeft w:val="0"/>
      <w:marRight w:val="0"/>
      <w:marTop w:val="0"/>
      <w:marBottom w:val="0"/>
      <w:divBdr>
        <w:top w:val="none" w:sz="0" w:space="0" w:color="auto"/>
        <w:left w:val="none" w:sz="0" w:space="0" w:color="auto"/>
        <w:bottom w:val="none" w:sz="0" w:space="0" w:color="auto"/>
        <w:right w:val="none" w:sz="0" w:space="0" w:color="auto"/>
      </w:divBdr>
    </w:div>
    <w:div w:id="1672873208">
      <w:bodyDiv w:val="1"/>
      <w:marLeft w:val="0"/>
      <w:marRight w:val="0"/>
      <w:marTop w:val="0"/>
      <w:marBottom w:val="0"/>
      <w:divBdr>
        <w:top w:val="none" w:sz="0" w:space="0" w:color="auto"/>
        <w:left w:val="none" w:sz="0" w:space="0" w:color="auto"/>
        <w:bottom w:val="none" w:sz="0" w:space="0" w:color="auto"/>
        <w:right w:val="none" w:sz="0" w:space="0" w:color="auto"/>
      </w:divBdr>
    </w:div>
    <w:div w:id="1718507028">
      <w:bodyDiv w:val="1"/>
      <w:marLeft w:val="0"/>
      <w:marRight w:val="0"/>
      <w:marTop w:val="0"/>
      <w:marBottom w:val="0"/>
      <w:divBdr>
        <w:top w:val="none" w:sz="0" w:space="0" w:color="auto"/>
        <w:left w:val="none" w:sz="0" w:space="0" w:color="auto"/>
        <w:bottom w:val="none" w:sz="0" w:space="0" w:color="auto"/>
        <w:right w:val="none" w:sz="0" w:space="0" w:color="auto"/>
      </w:divBdr>
      <w:divsChild>
        <w:div w:id="211238612">
          <w:marLeft w:val="0"/>
          <w:marRight w:val="0"/>
          <w:marTop w:val="0"/>
          <w:marBottom w:val="0"/>
          <w:divBdr>
            <w:top w:val="none" w:sz="0" w:space="0" w:color="auto"/>
            <w:left w:val="none" w:sz="0" w:space="0" w:color="auto"/>
            <w:bottom w:val="none" w:sz="0" w:space="0" w:color="auto"/>
            <w:right w:val="none" w:sz="0" w:space="0" w:color="auto"/>
          </w:divBdr>
          <w:divsChild>
            <w:div w:id="69431591">
              <w:marLeft w:val="0"/>
              <w:marRight w:val="0"/>
              <w:marTop w:val="0"/>
              <w:marBottom w:val="0"/>
              <w:divBdr>
                <w:top w:val="none" w:sz="0" w:space="0" w:color="auto"/>
                <w:left w:val="none" w:sz="0" w:space="0" w:color="auto"/>
                <w:bottom w:val="none" w:sz="0" w:space="0" w:color="auto"/>
                <w:right w:val="none" w:sz="0" w:space="0" w:color="auto"/>
              </w:divBdr>
              <w:divsChild>
                <w:div w:id="1400977689">
                  <w:marLeft w:val="0"/>
                  <w:marRight w:val="0"/>
                  <w:marTop w:val="0"/>
                  <w:marBottom w:val="0"/>
                  <w:divBdr>
                    <w:top w:val="none" w:sz="0" w:space="0" w:color="auto"/>
                    <w:left w:val="none" w:sz="0" w:space="0" w:color="auto"/>
                    <w:bottom w:val="none" w:sz="0" w:space="0" w:color="auto"/>
                    <w:right w:val="none" w:sz="0" w:space="0" w:color="auto"/>
                  </w:divBdr>
                  <w:divsChild>
                    <w:div w:id="1219197639">
                      <w:marLeft w:val="0"/>
                      <w:marRight w:val="0"/>
                      <w:marTop w:val="0"/>
                      <w:marBottom w:val="0"/>
                      <w:divBdr>
                        <w:top w:val="none" w:sz="0" w:space="0" w:color="auto"/>
                        <w:left w:val="none" w:sz="0" w:space="0" w:color="auto"/>
                        <w:bottom w:val="none" w:sz="0" w:space="0" w:color="auto"/>
                        <w:right w:val="none" w:sz="0" w:space="0" w:color="auto"/>
                      </w:divBdr>
                      <w:divsChild>
                        <w:div w:id="716466304">
                          <w:marLeft w:val="0"/>
                          <w:marRight w:val="0"/>
                          <w:marTop w:val="0"/>
                          <w:marBottom w:val="0"/>
                          <w:divBdr>
                            <w:top w:val="none" w:sz="0" w:space="0" w:color="auto"/>
                            <w:left w:val="none" w:sz="0" w:space="0" w:color="auto"/>
                            <w:bottom w:val="none" w:sz="0" w:space="0" w:color="auto"/>
                            <w:right w:val="none" w:sz="0" w:space="0" w:color="auto"/>
                          </w:divBdr>
                          <w:divsChild>
                            <w:div w:id="19339325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6511">
      <w:bodyDiv w:val="1"/>
      <w:marLeft w:val="0"/>
      <w:marRight w:val="0"/>
      <w:marTop w:val="0"/>
      <w:marBottom w:val="0"/>
      <w:divBdr>
        <w:top w:val="none" w:sz="0" w:space="0" w:color="auto"/>
        <w:left w:val="none" w:sz="0" w:space="0" w:color="auto"/>
        <w:bottom w:val="none" w:sz="0" w:space="0" w:color="auto"/>
        <w:right w:val="none" w:sz="0" w:space="0" w:color="auto"/>
      </w:divBdr>
    </w:div>
    <w:div w:id="2013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HRC/12/33"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IPeoples/EMRIP/Pages/ReportRecognitionReparationsReconcili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08BCC-C278-460E-84D0-181F291F62BC}">
  <ds:schemaRefs>
    <ds:schemaRef ds:uri="http://schemas.openxmlformats.org/officeDocument/2006/bibliography"/>
  </ds:schemaRefs>
</ds:datastoreItem>
</file>

<file path=customXml/itemProps2.xml><?xml version="1.0" encoding="utf-8"?>
<ds:datastoreItem xmlns:ds="http://schemas.openxmlformats.org/officeDocument/2006/customXml" ds:itemID="{A4A96200-1524-45D0-8E3F-1ADF4C653B96}"/>
</file>

<file path=customXml/itemProps3.xml><?xml version="1.0" encoding="utf-8"?>
<ds:datastoreItem xmlns:ds="http://schemas.openxmlformats.org/officeDocument/2006/customXml" ds:itemID="{24B7F262-D470-42CC-91B9-08FD5171C300}"/>
</file>

<file path=customXml/itemProps4.xml><?xml version="1.0" encoding="utf-8"?>
<ds:datastoreItem xmlns:ds="http://schemas.openxmlformats.org/officeDocument/2006/customXml" ds:itemID="{EF7DB1E1-772A-44AA-BD0E-3A2B7D02CE33}"/>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THOMAS-MCPHEE Allison</cp:lastModifiedBy>
  <cp:revision>2</cp:revision>
  <dcterms:created xsi:type="dcterms:W3CDTF">2021-01-11T14:32:00Z</dcterms:created>
  <dcterms:modified xsi:type="dcterms:W3CDTF">2021-01-11T14:32:00Z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