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E1481" w14:textId="77777777" w:rsidR="00FE4A9E" w:rsidRPr="00FE4A9E" w:rsidRDefault="00FE4A9E" w:rsidP="00FE4A9E">
      <w:pPr>
        <w:rPr>
          <w:rFonts w:ascii="Arial" w:hAnsi="Arial" w:cs="Arial"/>
          <w:b/>
          <w:bCs/>
          <w:sz w:val="2"/>
          <w:szCs w:val="2"/>
          <w:lang w:val="es-ES"/>
        </w:rPr>
      </w:pPr>
      <w:bookmarkStart w:id="0" w:name="_GoBack"/>
      <w:bookmarkEnd w:id="0"/>
    </w:p>
    <w:p w14:paraId="20654B71" w14:textId="77777777" w:rsidR="00FE4A9E" w:rsidRDefault="00FE4A9E" w:rsidP="00FE4A9E">
      <w:pPr>
        <w:pStyle w:val="Header"/>
        <w:rPr>
          <w:rFonts w:ascii="Arial" w:hAnsi="Arial" w:cs="Arial"/>
          <w:b/>
          <w:bCs/>
        </w:rPr>
      </w:pPr>
    </w:p>
    <w:p w14:paraId="690BF8D4" w14:textId="357B228D" w:rsidR="00FE4A9E" w:rsidRPr="00FE4A9E" w:rsidRDefault="00FE4A9E" w:rsidP="00FE4A9E">
      <w:pPr>
        <w:pBdr>
          <w:top w:val="thinThickSmallGap" w:sz="24" w:space="1" w:color="auto"/>
          <w:left w:val="thinThickSmallGap" w:sz="24" w:space="4" w:color="auto"/>
          <w:bottom w:val="thickThinSmallGap" w:sz="24" w:space="1" w:color="auto"/>
          <w:right w:val="thickThinSmallGap" w:sz="24" w:space="19" w:color="auto"/>
        </w:pBdr>
        <w:ind w:left="709" w:right="616"/>
        <w:jc w:val="center"/>
        <w:rPr>
          <w:rFonts w:ascii="Arial" w:eastAsia="Times New Roman" w:hAnsi="Arial" w:cs="Arial"/>
          <w:b/>
          <w:bCs/>
          <w:iCs/>
          <w:noProof/>
          <w:lang w:val="es-ES"/>
        </w:rPr>
      </w:pPr>
      <w:r w:rsidRPr="00FE4A9E">
        <w:rPr>
          <w:rFonts w:ascii="Arial" w:hAnsi="Arial" w:cs="Arial"/>
          <w:b/>
          <w:bCs/>
          <w:lang w:val="es-ES"/>
        </w:rPr>
        <w:t xml:space="preserve">RESPUESTA CUESTIONARIO </w:t>
      </w:r>
      <w:r w:rsidRPr="00FE4A9E">
        <w:rPr>
          <w:rFonts w:ascii="Arial" w:eastAsia="Times New Roman" w:hAnsi="Arial" w:cs="Arial"/>
          <w:b/>
          <w:bCs/>
          <w:shd w:val="clear" w:color="auto" w:fill="FFFFFF"/>
          <w:lang w:val="es-ES" w:eastAsia="en-GB"/>
        </w:rPr>
        <w:t>RESPONSABILIDAD DISCIPLINARIA, CIVIL Y PENAL DE LOS </w:t>
      </w:r>
      <w:r w:rsidRPr="00FE4A9E">
        <w:rPr>
          <w:rFonts w:ascii="Arial" w:eastAsia="Times New Roman" w:hAnsi="Arial" w:cs="Arial"/>
          <w:b/>
          <w:bCs/>
          <w:bdr w:val="none" w:sz="0" w:space="0" w:color="auto" w:frame="1"/>
          <w:lang w:val="es-ES" w:eastAsia="en-GB"/>
        </w:rPr>
        <w:t>JUECES</w:t>
      </w:r>
    </w:p>
    <w:p w14:paraId="0B55C17F" w14:textId="77777777" w:rsidR="00FE4A9E" w:rsidRDefault="00FE4A9E" w:rsidP="00FE4A9E">
      <w:pPr>
        <w:shd w:val="clear" w:color="auto" w:fill="FFFFFF"/>
        <w:ind w:right="-518"/>
        <w:jc w:val="both"/>
        <w:rPr>
          <w:rFonts w:ascii="Arial" w:eastAsia="Times New Roman" w:hAnsi="Arial" w:cs="Arial"/>
          <w:b/>
          <w:bCs/>
          <w:color w:val="222222"/>
          <w:lang w:eastAsia="es-CO"/>
        </w:rPr>
      </w:pPr>
    </w:p>
    <w:p w14:paraId="3679A1DD" w14:textId="515271C3" w:rsidR="00203A4F" w:rsidRPr="00203A4F" w:rsidRDefault="00203A4F" w:rsidP="00600DC0">
      <w:pPr>
        <w:rPr>
          <w:rFonts w:ascii="Arial" w:hAnsi="Arial" w:cs="Arial"/>
          <w:lang w:val="es-ES"/>
        </w:rPr>
      </w:pPr>
    </w:p>
    <w:p w14:paraId="62E329A4" w14:textId="44FDB396" w:rsidR="00203A4F" w:rsidRDefault="00203A4F" w:rsidP="00600DC0">
      <w:pPr>
        <w:jc w:val="both"/>
        <w:rPr>
          <w:rFonts w:ascii="Arial" w:hAnsi="Arial" w:cs="Arial"/>
          <w:lang w:val="es-ES"/>
        </w:rPr>
      </w:pPr>
      <w:r w:rsidRPr="00203A4F">
        <w:rPr>
          <w:rFonts w:ascii="Arial" w:hAnsi="Arial" w:cs="Arial"/>
          <w:lang w:val="es-ES"/>
        </w:rPr>
        <w:tab/>
        <w:t xml:space="preserve">El </w:t>
      </w:r>
      <w:r w:rsidR="00FE4A9E">
        <w:rPr>
          <w:rFonts w:ascii="Arial" w:hAnsi="Arial" w:cs="Arial"/>
          <w:lang w:val="es-ES"/>
        </w:rPr>
        <w:t>Estado de Colombia</w:t>
      </w:r>
      <w:r w:rsidRPr="00203A4F">
        <w:rPr>
          <w:rFonts w:ascii="Arial" w:hAnsi="Arial" w:cs="Arial"/>
          <w:lang w:val="es-ES"/>
        </w:rPr>
        <w:t xml:space="preserve"> se permite dar a continuación respuesta al cuestionario elaborado por el Relator Especial para la independencia de los jueces y los abogados</w:t>
      </w:r>
      <w:r w:rsidR="0085485A">
        <w:rPr>
          <w:rFonts w:ascii="Arial" w:hAnsi="Arial" w:cs="Arial"/>
          <w:lang w:val="es-ES"/>
        </w:rPr>
        <w:t xml:space="preserve">, </w:t>
      </w:r>
      <w:r>
        <w:rPr>
          <w:rFonts w:ascii="Arial" w:hAnsi="Arial" w:cs="Arial"/>
          <w:lang w:val="es-ES"/>
        </w:rPr>
        <w:t xml:space="preserve">con base en la información remitida por el Ministerio de Justicia y el Consejo Superior de la Judicatura. </w:t>
      </w:r>
    </w:p>
    <w:p w14:paraId="5428110F" w14:textId="2EF0E0CE" w:rsidR="00203A4F" w:rsidRDefault="00203A4F" w:rsidP="00600DC0">
      <w:pPr>
        <w:jc w:val="both"/>
        <w:rPr>
          <w:rFonts w:ascii="Arial" w:hAnsi="Arial" w:cs="Arial"/>
          <w:lang w:val="es-ES"/>
        </w:rPr>
      </w:pPr>
    </w:p>
    <w:p w14:paraId="0074CB1C" w14:textId="6A31957A" w:rsidR="00600DC0" w:rsidRPr="00600DC0" w:rsidRDefault="00600DC0" w:rsidP="00600DC0">
      <w:pPr>
        <w:pStyle w:val="ListParagraph"/>
        <w:numPr>
          <w:ilvl w:val="0"/>
          <w:numId w:val="1"/>
        </w:numPr>
        <w:jc w:val="both"/>
        <w:rPr>
          <w:rFonts w:ascii="Arial" w:hAnsi="Arial" w:cs="Arial"/>
          <w:b/>
          <w:bCs/>
        </w:rPr>
      </w:pPr>
      <w:r w:rsidRPr="00600DC0">
        <w:rPr>
          <w:rFonts w:ascii="Arial" w:hAnsi="Arial" w:cs="Arial"/>
          <w:b/>
          <w:bCs/>
        </w:rPr>
        <w:t xml:space="preserve">¿Cuáles son las clases de mala conducta que pueden dar lugar a procedimientos disciplinarios contra los jueces? ¿se encuentran estas violaciones codificadas en la legislación nacional y/o códigos de ética profesional? </w:t>
      </w:r>
    </w:p>
    <w:p w14:paraId="618BB2AD" w14:textId="77777777" w:rsidR="00600DC0" w:rsidRDefault="00600DC0" w:rsidP="00600DC0">
      <w:pPr>
        <w:jc w:val="both"/>
        <w:rPr>
          <w:rFonts w:ascii="Arial" w:hAnsi="Arial" w:cs="Arial"/>
          <w:b/>
          <w:bCs/>
        </w:rPr>
      </w:pPr>
    </w:p>
    <w:p w14:paraId="7DB3BC25" w14:textId="1C5D555F" w:rsidR="00600DC0" w:rsidRDefault="00600DC0" w:rsidP="00600DC0">
      <w:pPr>
        <w:jc w:val="both"/>
        <w:rPr>
          <w:rFonts w:ascii="Arial" w:hAnsi="Arial" w:cs="Arial"/>
        </w:rPr>
      </w:pPr>
      <w:r w:rsidRPr="00600DC0">
        <w:rPr>
          <w:rFonts w:ascii="Arial" w:hAnsi="Arial" w:cs="Arial"/>
        </w:rPr>
        <w:t xml:space="preserve">El artículo 257 de la Constitución Política (modificado por el Acto Legislativo 2 de 2015), establece que la función disciplinaria de los Jueces de la República se encuentra a cargo </w:t>
      </w:r>
      <w:r w:rsidRPr="00600DC0">
        <w:rPr>
          <w:rFonts w:ascii="Arial" w:hAnsi="Arial" w:cs="Arial"/>
        </w:rPr>
        <w:lastRenderedPageBreak/>
        <w:t xml:space="preserve">de la Comisión Nacional de Disciplina Judicial, cuerpo colegiado integrado por siete Magistrados elegidos por el Congreso de la República. Es preciso aclarar que dicha Comisión no ha entrado en funcionamiento, por lo que en la práctica esta función actualmente es ejercida bajo el esquema anterior a la reforma, por parte del Consejo Superior de la Judicatura que hace las veces de órgano de cierre en el ejercicio de la función disciplinaria. </w:t>
      </w:r>
    </w:p>
    <w:p w14:paraId="43A0CEAA" w14:textId="77777777" w:rsidR="00600DC0" w:rsidRPr="00600DC0" w:rsidRDefault="00600DC0" w:rsidP="00600DC0">
      <w:pPr>
        <w:jc w:val="both"/>
        <w:rPr>
          <w:rFonts w:ascii="Arial" w:hAnsi="Arial" w:cs="Arial"/>
        </w:rPr>
      </w:pPr>
    </w:p>
    <w:p w14:paraId="603F4282" w14:textId="77777777" w:rsidR="00600DC0" w:rsidRDefault="00600DC0" w:rsidP="00600DC0">
      <w:pPr>
        <w:jc w:val="both"/>
        <w:rPr>
          <w:rFonts w:ascii="Arial" w:hAnsi="Arial" w:cs="Arial"/>
        </w:rPr>
      </w:pPr>
      <w:r w:rsidRPr="00600DC0">
        <w:rPr>
          <w:rFonts w:ascii="Arial" w:hAnsi="Arial" w:cs="Arial"/>
        </w:rPr>
        <w:t xml:space="preserve">Así mismo, la primera instancia de estos procesos es ejercida por las Salas Jurisdiccionales Disciplinarias de los </w:t>
      </w:r>
      <w:r w:rsidRPr="00600DC0">
        <w:rPr>
          <w:rFonts w:ascii="Arial" w:hAnsi="Arial" w:cs="Arial"/>
        </w:rPr>
        <w:lastRenderedPageBreak/>
        <w:t xml:space="preserve">Consejos Seccionales de la Judicatura del territorio nacional, de acuerdo con lo previsto en el artículo 114 numeral 2 de la ley 270 de 1.996. </w:t>
      </w:r>
    </w:p>
    <w:p w14:paraId="4A857AA9" w14:textId="77777777" w:rsidR="00600DC0" w:rsidRDefault="00600DC0" w:rsidP="00600DC0">
      <w:pPr>
        <w:jc w:val="both"/>
        <w:rPr>
          <w:rFonts w:ascii="Arial" w:hAnsi="Arial" w:cs="Arial"/>
        </w:rPr>
      </w:pPr>
    </w:p>
    <w:p w14:paraId="1B2972A6" w14:textId="7DBF7E7B" w:rsidR="00600DC0" w:rsidRDefault="00600DC0" w:rsidP="00FE4A9E">
      <w:pPr>
        <w:ind w:right="-194"/>
        <w:jc w:val="both"/>
        <w:rPr>
          <w:rFonts w:ascii="Arial" w:hAnsi="Arial" w:cs="Arial"/>
        </w:rPr>
      </w:pPr>
      <w:r w:rsidRPr="00600DC0">
        <w:rPr>
          <w:rFonts w:ascii="Arial" w:hAnsi="Arial" w:cs="Arial"/>
        </w:rPr>
        <w:t xml:space="preserve">De otro lado, en lo que refiere al procedimiento aplicable, para este momento todavía se encuentra vigente la ley 734 de 2002, que en su título No. 12 (artículos 193 a 195), establece que para el ejercicio de la función jurisdiccional disciplinaria contra los funcionarios judiciales se aplica el régimen contenido en dicha Ley. Asimismo, precisa que, en </w:t>
      </w:r>
      <w:r w:rsidRPr="00600DC0">
        <w:rPr>
          <w:rFonts w:ascii="Arial" w:hAnsi="Arial" w:cs="Arial"/>
        </w:rPr>
        <w:lastRenderedPageBreak/>
        <w:t xml:space="preserve">su aplicación prevalecen los principios rectores de la Constitución Política, los tratados internacionales sobre derechos humanos ratificados por Colombia, la Ley Estatutaria de la Administración de Justicia (Ley 270 de 1996), las normas contenidas en la Ley 734 de 2002 y las consagradas en el Código Penal (Ley 599 de 2000), y de Procedimiento Penal (Ley 906 de 2004). </w:t>
      </w:r>
    </w:p>
    <w:p w14:paraId="366433C3" w14:textId="77777777" w:rsidR="00600DC0" w:rsidRPr="00600DC0" w:rsidRDefault="00600DC0" w:rsidP="00600DC0">
      <w:pPr>
        <w:jc w:val="both"/>
        <w:rPr>
          <w:rFonts w:ascii="Arial" w:hAnsi="Arial" w:cs="Arial"/>
        </w:rPr>
      </w:pPr>
    </w:p>
    <w:p w14:paraId="678EEBA8" w14:textId="77777777" w:rsidR="00600DC0" w:rsidRDefault="00600DC0" w:rsidP="00600DC0">
      <w:pPr>
        <w:jc w:val="both"/>
        <w:rPr>
          <w:rFonts w:ascii="Arial" w:hAnsi="Arial" w:cs="Arial"/>
        </w:rPr>
      </w:pPr>
      <w:r w:rsidRPr="00600DC0">
        <w:rPr>
          <w:rFonts w:ascii="Arial" w:hAnsi="Arial" w:cs="Arial"/>
        </w:rPr>
        <w:t xml:space="preserve">En ese orden de ideas, artículo 23 de la Ley 734 de 2002 establece que, constituye falta disciplinaria, y por lo tanto </w:t>
      </w:r>
      <w:r w:rsidRPr="00600DC0">
        <w:rPr>
          <w:rFonts w:ascii="Arial" w:hAnsi="Arial" w:cs="Arial"/>
        </w:rPr>
        <w:lastRenderedPageBreak/>
        <w:t xml:space="preserve">da lugar a la acción e imposición de la sanción correspondiente, la incursión en cualquiera de las conductas o comportamientos previstos en dicha codificación que conlleve el incumplimiento de deberes, extralimitación en el ejercicio de derechos y funciones, prohibiciones y violación del régimen de inhabilidades, incompatibilidades, impedimentos y conflicto de intereses, sin estar amparado por cualquiera de las causales de exclusión de responsabilidad contempladas en el artículo 28 de la misma ley. </w:t>
      </w:r>
    </w:p>
    <w:p w14:paraId="4929D90C" w14:textId="77777777" w:rsidR="00600DC0" w:rsidRDefault="00600DC0" w:rsidP="00600DC0">
      <w:pPr>
        <w:jc w:val="both"/>
        <w:rPr>
          <w:rFonts w:ascii="Arial" w:hAnsi="Arial" w:cs="Arial"/>
        </w:rPr>
      </w:pPr>
    </w:p>
    <w:p w14:paraId="66A84C13" w14:textId="70F3845D" w:rsidR="00600DC0" w:rsidRPr="00600DC0" w:rsidRDefault="00600DC0" w:rsidP="00600DC0">
      <w:pPr>
        <w:jc w:val="both"/>
        <w:rPr>
          <w:rFonts w:ascii="Arial" w:hAnsi="Arial" w:cs="Arial"/>
        </w:rPr>
      </w:pPr>
      <w:r w:rsidRPr="00600DC0">
        <w:rPr>
          <w:rFonts w:ascii="Arial" w:hAnsi="Arial" w:cs="Arial"/>
          <w:lang w:val="es-ES"/>
        </w:rPr>
        <w:lastRenderedPageBreak/>
        <w:t>En términos generales, puede señalarse que con la expedición de la Ley Estatutaria de Administración de Justicia (Ley 270 de 1996), el legislador estableció en los artículos 153 y 154, el catálogo de deberes y prohibiciones que rigen la actividad judicial, los cuales comportan las denominadas “</w:t>
      </w:r>
      <w:r w:rsidRPr="00600DC0">
        <w:rPr>
          <w:rFonts w:ascii="Arial" w:hAnsi="Arial" w:cs="Arial"/>
          <w:i/>
          <w:lang w:val="es-ES"/>
        </w:rPr>
        <w:t>malas conductas</w:t>
      </w:r>
      <w:r w:rsidRPr="00600DC0">
        <w:rPr>
          <w:rFonts w:ascii="Arial" w:hAnsi="Arial" w:cs="Arial"/>
          <w:lang w:val="es-ES"/>
        </w:rPr>
        <w:t xml:space="preserve">”, así: </w:t>
      </w:r>
    </w:p>
    <w:p w14:paraId="617B5C4D" w14:textId="77777777" w:rsidR="00600DC0" w:rsidRPr="00600DC0" w:rsidRDefault="00600DC0" w:rsidP="00600DC0">
      <w:pPr>
        <w:spacing w:line="360" w:lineRule="auto"/>
        <w:jc w:val="both"/>
        <w:rPr>
          <w:rFonts w:ascii="Arial" w:hAnsi="Arial" w:cs="Arial"/>
          <w:lang w:val="es-ES"/>
        </w:rPr>
      </w:pPr>
      <w:r w:rsidRPr="00600DC0">
        <w:rPr>
          <w:rFonts w:ascii="Arial" w:hAnsi="Arial" w:cs="Arial"/>
          <w:lang w:val="es-ES"/>
        </w:rPr>
        <w:t xml:space="preserve"> </w:t>
      </w:r>
    </w:p>
    <w:p w14:paraId="5490E949" w14:textId="77777777" w:rsidR="00600DC0" w:rsidRPr="00600DC0" w:rsidRDefault="00600DC0" w:rsidP="00600DC0">
      <w:pPr>
        <w:jc w:val="both"/>
        <w:rPr>
          <w:rFonts w:ascii="Arial" w:hAnsi="Arial" w:cs="Arial"/>
          <w:lang w:val="es-ES"/>
        </w:rPr>
      </w:pPr>
      <w:r w:rsidRPr="00600DC0">
        <w:rPr>
          <w:rFonts w:ascii="Arial" w:hAnsi="Arial" w:cs="Arial"/>
          <w:b/>
          <w:i/>
          <w:lang w:val="es-ES"/>
        </w:rPr>
        <w:t>“ARTÍCULO 153. DEBERES.</w:t>
      </w:r>
      <w:r w:rsidRPr="00600DC0">
        <w:rPr>
          <w:rFonts w:ascii="Arial" w:hAnsi="Arial" w:cs="Arial"/>
          <w:i/>
          <w:lang w:val="es-ES"/>
        </w:rPr>
        <w:t xml:space="preserve"> Son deberes de los funcionarios y empleados, según corresponda, los siguientes: </w:t>
      </w:r>
    </w:p>
    <w:p w14:paraId="56528443" w14:textId="77777777" w:rsidR="00600DC0" w:rsidRPr="00600DC0" w:rsidRDefault="00600DC0" w:rsidP="00600DC0">
      <w:pPr>
        <w:jc w:val="both"/>
        <w:rPr>
          <w:rFonts w:ascii="Arial" w:hAnsi="Arial" w:cs="Arial"/>
          <w:lang w:val="es-ES"/>
        </w:rPr>
      </w:pPr>
      <w:r w:rsidRPr="00600DC0">
        <w:rPr>
          <w:rFonts w:ascii="Arial" w:hAnsi="Arial" w:cs="Arial"/>
          <w:i/>
          <w:lang w:val="es-ES"/>
        </w:rPr>
        <w:t xml:space="preserve"> </w:t>
      </w:r>
    </w:p>
    <w:p w14:paraId="36A8EA03" w14:textId="77777777" w:rsidR="00600DC0" w:rsidRPr="00600DC0" w:rsidRDefault="00600DC0" w:rsidP="00600DC0">
      <w:pPr>
        <w:numPr>
          <w:ilvl w:val="0"/>
          <w:numId w:val="2"/>
        </w:numPr>
        <w:jc w:val="both"/>
        <w:rPr>
          <w:rFonts w:ascii="Arial" w:hAnsi="Arial" w:cs="Arial"/>
          <w:lang w:val="es-ES"/>
        </w:rPr>
      </w:pPr>
      <w:r w:rsidRPr="00600DC0">
        <w:rPr>
          <w:rFonts w:ascii="Arial" w:hAnsi="Arial" w:cs="Arial"/>
          <w:i/>
          <w:lang w:val="es-ES"/>
        </w:rPr>
        <w:lastRenderedPageBreak/>
        <w:t xml:space="preserve">Respetar, cumplir y, dentro de la órbita de su competencia, hacer cumplir la Constitución, las leyes y los reglamentos. </w:t>
      </w:r>
    </w:p>
    <w:p w14:paraId="09264F9B" w14:textId="77777777" w:rsidR="00600DC0" w:rsidRPr="00600DC0" w:rsidRDefault="00600DC0" w:rsidP="00600DC0">
      <w:pPr>
        <w:numPr>
          <w:ilvl w:val="0"/>
          <w:numId w:val="2"/>
        </w:numPr>
        <w:jc w:val="both"/>
        <w:rPr>
          <w:rFonts w:ascii="Arial" w:hAnsi="Arial" w:cs="Arial"/>
          <w:lang w:val="es-ES"/>
        </w:rPr>
      </w:pPr>
      <w:r w:rsidRPr="00600DC0">
        <w:rPr>
          <w:rFonts w:ascii="Arial" w:hAnsi="Arial" w:cs="Arial"/>
          <w:i/>
          <w:lang w:val="es-ES"/>
        </w:rPr>
        <w:t xml:space="preserve">Desempeñar con honorabilidad, solicitud, celeridad, eficiencia, moralidad, lealtad e imparcialidad las funciones de su cargo. </w:t>
      </w:r>
    </w:p>
    <w:p w14:paraId="1DC8B0F9" w14:textId="77777777" w:rsidR="00600DC0" w:rsidRPr="00600DC0" w:rsidRDefault="00600DC0" w:rsidP="00600DC0">
      <w:pPr>
        <w:numPr>
          <w:ilvl w:val="0"/>
          <w:numId w:val="2"/>
        </w:numPr>
        <w:jc w:val="both"/>
        <w:rPr>
          <w:rFonts w:ascii="Arial" w:hAnsi="Arial" w:cs="Arial"/>
          <w:lang w:val="es-ES"/>
        </w:rPr>
      </w:pPr>
      <w:r w:rsidRPr="00600DC0">
        <w:rPr>
          <w:rFonts w:ascii="Arial" w:hAnsi="Arial" w:cs="Arial"/>
          <w:i/>
          <w:lang w:val="es-ES"/>
        </w:rPr>
        <w:t xml:space="preserve">Obedecer y respetar a sus superiores, dar un tratamiento cortés a sus compañeros y a sus subordinados y compartir sus tareas con espíritu de solidaridad y unidad de propósito. </w:t>
      </w:r>
    </w:p>
    <w:p w14:paraId="3739F4C2" w14:textId="77777777" w:rsidR="00600DC0" w:rsidRPr="00600DC0" w:rsidRDefault="00600DC0" w:rsidP="00600DC0">
      <w:pPr>
        <w:numPr>
          <w:ilvl w:val="0"/>
          <w:numId w:val="2"/>
        </w:numPr>
        <w:jc w:val="both"/>
        <w:rPr>
          <w:rFonts w:ascii="Arial" w:hAnsi="Arial" w:cs="Arial"/>
          <w:lang w:val="es-ES"/>
        </w:rPr>
      </w:pPr>
      <w:r w:rsidRPr="00600DC0">
        <w:rPr>
          <w:rFonts w:ascii="Arial" w:hAnsi="Arial" w:cs="Arial"/>
          <w:i/>
          <w:lang w:val="es-ES"/>
        </w:rPr>
        <w:lastRenderedPageBreak/>
        <w:t xml:space="preserve">Observar permanentemente en sus relaciones con el público la consideración y cortesía debidas. </w:t>
      </w:r>
    </w:p>
    <w:p w14:paraId="456F8813" w14:textId="77777777" w:rsidR="00600DC0" w:rsidRPr="00600DC0" w:rsidRDefault="00600DC0" w:rsidP="00600DC0">
      <w:pPr>
        <w:numPr>
          <w:ilvl w:val="0"/>
          <w:numId w:val="2"/>
        </w:numPr>
        <w:jc w:val="both"/>
        <w:rPr>
          <w:rFonts w:ascii="Arial" w:hAnsi="Arial" w:cs="Arial"/>
          <w:lang w:val="es-ES"/>
        </w:rPr>
      </w:pPr>
      <w:r w:rsidRPr="00600DC0">
        <w:rPr>
          <w:rFonts w:ascii="Arial" w:hAnsi="Arial" w:cs="Arial"/>
          <w:i/>
          <w:lang w:val="es-ES"/>
        </w:rPr>
        <w:t xml:space="preserve">Realizar personalmente las tareas que les sean confiadas y responder del uso de la autoridad que les haya sido otorgada o de la ejecución de las órdenes que puede impartir, sin que en ningún caso quede exento de la responsabilidad que le incumbe por la que corresponda a sus subordinados. </w:t>
      </w:r>
    </w:p>
    <w:p w14:paraId="62C41352" w14:textId="77777777" w:rsidR="00600DC0" w:rsidRPr="00600DC0" w:rsidRDefault="00600DC0" w:rsidP="00600DC0">
      <w:pPr>
        <w:numPr>
          <w:ilvl w:val="0"/>
          <w:numId w:val="2"/>
        </w:numPr>
        <w:jc w:val="both"/>
        <w:rPr>
          <w:rFonts w:ascii="Arial" w:hAnsi="Arial" w:cs="Arial"/>
          <w:lang w:val="es-ES"/>
        </w:rPr>
      </w:pPr>
      <w:r w:rsidRPr="00600DC0">
        <w:rPr>
          <w:rFonts w:ascii="Arial" w:hAnsi="Arial" w:cs="Arial"/>
          <w:i/>
          <w:lang w:val="es-ES"/>
        </w:rPr>
        <w:t xml:space="preserve">Guardar la reserva que requieran los asuntos relacionados con su trabajo, aun después de haber cesado en </w:t>
      </w:r>
      <w:r w:rsidRPr="00600DC0">
        <w:rPr>
          <w:rFonts w:ascii="Arial" w:hAnsi="Arial" w:cs="Arial"/>
          <w:i/>
          <w:lang w:val="es-ES"/>
        </w:rPr>
        <w:lastRenderedPageBreak/>
        <w:t xml:space="preserve">el ejercicio del cargo y sin perjuicio de la obligación de denunciar cualquier hecho delictuoso. </w:t>
      </w:r>
    </w:p>
    <w:p w14:paraId="17262980" w14:textId="77777777" w:rsidR="00600DC0" w:rsidRPr="00600DC0" w:rsidRDefault="00600DC0" w:rsidP="00600DC0">
      <w:pPr>
        <w:numPr>
          <w:ilvl w:val="0"/>
          <w:numId w:val="2"/>
        </w:numPr>
        <w:jc w:val="both"/>
        <w:rPr>
          <w:rFonts w:ascii="Arial" w:hAnsi="Arial" w:cs="Arial"/>
          <w:lang w:val="es-ES"/>
        </w:rPr>
      </w:pPr>
      <w:r w:rsidRPr="00600DC0">
        <w:rPr>
          <w:rFonts w:ascii="Arial" w:hAnsi="Arial" w:cs="Arial"/>
          <w:i/>
          <w:lang w:val="es-ES"/>
        </w:rPr>
        <w:t xml:space="preserve">Observar estrictamente el horario de trabajo así como los términos fijados para atender los distintos asuntos y diligencias. </w:t>
      </w:r>
    </w:p>
    <w:p w14:paraId="2E12DEE1" w14:textId="77777777" w:rsidR="00600DC0" w:rsidRPr="00600DC0" w:rsidRDefault="00600DC0" w:rsidP="00600DC0">
      <w:pPr>
        <w:numPr>
          <w:ilvl w:val="0"/>
          <w:numId w:val="2"/>
        </w:numPr>
        <w:jc w:val="both"/>
        <w:rPr>
          <w:rFonts w:ascii="Arial" w:hAnsi="Arial" w:cs="Arial"/>
          <w:lang w:val="es-ES"/>
        </w:rPr>
      </w:pPr>
      <w:r w:rsidRPr="00600DC0">
        <w:rPr>
          <w:rFonts w:ascii="Arial" w:hAnsi="Arial" w:cs="Arial"/>
          <w:i/>
          <w:lang w:val="es-ES"/>
        </w:rPr>
        <w:t xml:space="preserve">Dedicar la totalidad del tiempo reglamentario del trabajo al desempeño de las funciones que les han sido encomendadas. </w:t>
      </w:r>
    </w:p>
    <w:p w14:paraId="24FD2D3D" w14:textId="77777777" w:rsidR="00600DC0" w:rsidRPr="00600DC0" w:rsidRDefault="00600DC0" w:rsidP="00600DC0">
      <w:pPr>
        <w:numPr>
          <w:ilvl w:val="0"/>
          <w:numId w:val="2"/>
        </w:numPr>
        <w:jc w:val="both"/>
        <w:rPr>
          <w:rFonts w:ascii="Arial" w:hAnsi="Arial" w:cs="Arial"/>
          <w:lang w:val="es-ES"/>
        </w:rPr>
      </w:pPr>
      <w:r w:rsidRPr="00600DC0">
        <w:rPr>
          <w:rFonts w:ascii="Arial" w:hAnsi="Arial" w:cs="Arial"/>
          <w:i/>
          <w:lang w:val="es-ES"/>
        </w:rPr>
        <w:t xml:space="preserve">Permanecer en el desempeño de sus funciones mientras no se haya hecho cargo de ellas quien deba reemplazarlo. </w:t>
      </w:r>
    </w:p>
    <w:p w14:paraId="1FBD4C49" w14:textId="77777777" w:rsidR="00600DC0" w:rsidRPr="00600DC0" w:rsidRDefault="00600DC0" w:rsidP="00600DC0">
      <w:pPr>
        <w:numPr>
          <w:ilvl w:val="0"/>
          <w:numId w:val="2"/>
        </w:numPr>
        <w:jc w:val="both"/>
        <w:rPr>
          <w:rFonts w:ascii="Arial" w:hAnsi="Arial" w:cs="Arial"/>
          <w:lang w:val="es-ES"/>
        </w:rPr>
      </w:pPr>
      <w:r w:rsidRPr="00600DC0">
        <w:rPr>
          <w:rFonts w:ascii="Arial" w:hAnsi="Arial" w:cs="Arial"/>
          <w:i/>
          <w:lang w:val="es-ES"/>
        </w:rPr>
        <w:lastRenderedPageBreak/>
        <w:t xml:space="preserve">Atender regularmente las actividades de capacitación y perfeccionamiento y efectuar las prácticas y los trabajos que se les impongan. </w:t>
      </w:r>
    </w:p>
    <w:p w14:paraId="3C245F2A" w14:textId="77777777" w:rsidR="00600DC0" w:rsidRPr="00600DC0" w:rsidRDefault="00600DC0" w:rsidP="00600DC0">
      <w:pPr>
        <w:numPr>
          <w:ilvl w:val="0"/>
          <w:numId w:val="2"/>
        </w:numPr>
        <w:jc w:val="both"/>
        <w:rPr>
          <w:rFonts w:ascii="Arial" w:hAnsi="Arial" w:cs="Arial"/>
          <w:lang w:val="es-ES"/>
        </w:rPr>
      </w:pPr>
      <w:r w:rsidRPr="00600DC0">
        <w:rPr>
          <w:rFonts w:ascii="Arial" w:hAnsi="Arial" w:cs="Arial"/>
          <w:i/>
          <w:lang w:val="es-ES"/>
        </w:rPr>
        <w:t xml:space="preserve">Responder por la conservación de los documentos, útiles, equipos, muebles y bienes confiados a su guarda o administración y rendir oportunamente cuenta de su utilización, y por la decorosa presentación del Despacho. </w:t>
      </w:r>
    </w:p>
    <w:p w14:paraId="5A63B582" w14:textId="77777777" w:rsidR="00600DC0" w:rsidRPr="00600DC0" w:rsidRDefault="00600DC0" w:rsidP="00600DC0">
      <w:pPr>
        <w:numPr>
          <w:ilvl w:val="0"/>
          <w:numId w:val="2"/>
        </w:numPr>
        <w:jc w:val="both"/>
        <w:rPr>
          <w:rFonts w:ascii="Arial" w:hAnsi="Arial" w:cs="Arial"/>
          <w:lang w:val="es-ES"/>
        </w:rPr>
      </w:pPr>
      <w:r w:rsidRPr="00600DC0">
        <w:rPr>
          <w:rFonts w:ascii="Arial" w:hAnsi="Arial" w:cs="Arial"/>
          <w:i/>
          <w:lang w:val="es-ES"/>
        </w:rPr>
        <w:t xml:space="preserve">Poner en conocimiento del superior los hechos que puedan perjudicar la administración y las iniciativas que se estimen útiles para el mejoramiento del servicio. </w:t>
      </w:r>
    </w:p>
    <w:p w14:paraId="3E37219B" w14:textId="77777777" w:rsidR="00600DC0" w:rsidRPr="00600DC0" w:rsidRDefault="00600DC0" w:rsidP="00600DC0">
      <w:pPr>
        <w:numPr>
          <w:ilvl w:val="0"/>
          <w:numId w:val="2"/>
        </w:numPr>
        <w:jc w:val="both"/>
        <w:rPr>
          <w:rFonts w:ascii="Arial" w:hAnsi="Arial" w:cs="Arial"/>
          <w:lang w:val="es-ES"/>
        </w:rPr>
      </w:pPr>
      <w:r w:rsidRPr="00600DC0">
        <w:rPr>
          <w:rFonts w:ascii="Arial" w:hAnsi="Arial" w:cs="Arial"/>
          <w:i/>
          <w:lang w:val="es-ES"/>
        </w:rPr>
        <w:lastRenderedPageBreak/>
        <w:t xml:space="preserve">Antes de tomar posesión del cargo; cada dos años; al retirarse del mismo, cuando la autoridad competente se lo solicite o cada vez que su patrimonio y rentas varíen significativamente, declarar bajo juramento, el monto de sus bienes y rentas. </w:t>
      </w:r>
    </w:p>
    <w:p w14:paraId="641107EE" w14:textId="77777777" w:rsidR="00600DC0" w:rsidRPr="00600DC0" w:rsidRDefault="00600DC0" w:rsidP="00600DC0">
      <w:pPr>
        <w:numPr>
          <w:ilvl w:val="0"/>
          <w:numId w:val="2"/>
        </w:numPr>
        <w:jc w:val="both"/>
        <w:rPr>
          <w:rFonts w:ascii="Arial" w:hAnsi="Arial" w:cs="Arial"/>
          <w:lang w:val="es-ES"/>
        </w:rPr>
      </w:pPr>
      <w:r w:rsidRPr="00600DC0">
        <w:rPr>
          <w:rFonts w:ascii="Arial" w:hAnsi="Arial" w:cs="Arial"/>
          <w:i/>
          <w:lang w:val="es-ES"/>
        </w:rPr>
        <w:t xml:space="preserve">Cuidar de que su presentación personal corresponda al decoro que debe caracterizar el ejercicio de su elevada misión. </w:t>
      </w:r>
    </w:p>
    <w:p w14:paraId="7C6A2061" w14:textId="77777777" w:rsidR="00600DC0" w:rsidRPr="00600DC0" w:rsidRDefault="00600DC0" w:rsidP="00600DC0">
      <w:pPr>
        <w:numPr>
          <w:ilvl w:val="0"/>
          <w:numId w:val="2"/>
        </w:numPr>
        <w:jc w:val="both"/>
        <w:rPr>
          <w:rFonts w:ascii="Arial" w:hAnsi="Arial" w:cs="Arial"/>
          <w:lang w:val="es-ES"/>
        </w:rPr>
      </w:pPr>
      <w:r w:rsidRPr="00600DC0">
        <w:rPr>
          <w:rFonts w:ascii="Arial" w:hAnsi="Arial" w:cs="Arial"/>
          <w:i/>
          <w:lang w:val="es-ES"/>
        </w:rPr>
        <w:t xml:space="preserve">Resolver los asuntos sometidos a su consideración dentro de los términos previstos en la ley y con sujeción </w:t>
      </w:r>
      <w:r w:rsidRPr="00600DC0">
        <w:rPr>
          <w:rFonts w:ascii="Arial" w:hAnsi="Arial" w:cs="Arial"/>
          <w:i/>
          <w:lang w:val="es-ES"/>
        </w:rPr>
        <w:lastRenderedPageBreak/>
        <w:t xml:space="preserve">a los principios y garantías que orientan el ejercicio de la función jurisdiccional. </w:t>
      </w:r>
    </w:p>
    <w:p w14:paraId="0E693129" w14:textId="77777777" w:rsidR="00600DC0" w:rsidRPr="00600DC0" w:rsidRDefault="00600DC0" w:rsidP="00600DC0">
      <w:pPr>
        <w:numPr>
          <w:ilvl w:val="0"/>
          <w:numId w:val="2"/>
        </w:numPr>
        <w:jc w:val="both"/>
        <w:rPr>
          <w:rFonts w:ascii="Arial" w:hAnsi="Arial" w:cs="Arial"/>
          <w:lang w:val="es-ES"/>
        </w:rPr>
      </w:pPr>
      <w:r w:rsidRPr="00600DC0">
        <w:rPr>
          <w:rFonts w:ascii="Arial" w:hAnsi="Arial" w:cs="Arial"/>
          <w:i/>
          <w:lang w:val="es-ES"/>
        </w:rPr>
        <w:t xml:space="preserve">Declarado Inexequible. </w:t>
      </w:r>
    </w:p>
    <w:p w14:paraId="748FB88D" w14:textId="77777777" w:rsidR="00600DC0" w:rsidRPr="00600DC0" w:rsidRDefault="00600DC0" w:rsidP="00600DC0">
      <w:pPr>
        <w:numPr>
          <w:ilvl w:val="0"/>
          <w:numId w:val="2"/>
        </w:numPr>
        <w:jc w:val="both"/>
        <w:rPr>
          <w:rFonts w:ascii="Arial" w:hAnsi="Arial" w:cs="Arial"/>
          <w:lang w:val="es-ES"/>
        </w:rPr>
      </w:pPr>
      <w:r w:rsidRPr="00600DC0">
        <w:rPr>
          <w:rFonts w:ascii="Arial" w:hAnsi="Arial" w:cs="Arial"/>
          <w:i/>
          <w:lang w:val="es-ES"/>
        </w:rPr>
        <w:t xml:space="preserve">Declarado INEXEQUIBLE. </w:t>
      </w:r>
    </w:p>
    <w:p w14:paraId="48A7DE13" w14:textId="77777777" w:rsidR="00600DC0" w:rsidRPr="00600DC0" w:rsidRDefault="00600DC0" w:rsidP="00600DC0">
      <w:pPr>
        <w:numPr>
          <w:ilvl w:val="0"/>
          <w:numId w:val="2"/>
        </w:numPr>
        <w:jc w:val="both"/>
        <w:rPr>
          <w:rFonts w:ascii="Arial" w:hAnsi="Arial" w:cs="Arial"/>
          <w:lang w:val="es-ES"/>
        </w:rPr>
      </w:pPr>
      <w:r w:rsidRPr="00600DC0">
        <w:rPr>
          <w:rFonts w:ascii="Arial" w:hAnsi="Arial" w:cs="Arial"/>
          <w:i/>
          <w:lang w:val="es-ES"/>
        </w:rPr>
        <w:t xml:space="preserve">Dedicarse exclusivamente a la función judicial, con la excepción prevista en el parágrafo segundo del artículo 151. </w:t>
      </w:r>
    </w:p>
    <w:p w14:paraId="6AFF6B9F" w14:textId="77777777" w:rsidR="00600DC0" w:rsidRPr="00600DC0" w:rsidRDefault="00600DC0" w:rsidP="00600DC0">
      <w:pPr>
        <w:numPr>
          <w:ilvl w:val="0"/>
          <w:numId w:val="2"/>
        </w:numPr>
        <w:jc w:val="both"/>
        <w:rPr>
          <w:rFonts w:ascii="Arial" w:hAnsi="Arial" w:cs="Arial"/>
          <w:lang w:val="es-ES"/>
        </w:rPr>
      </w:pPr>
      <w:r w:rsidRPr="00600DC0">
        <w:rPr>
          <w:rFonts w:ascii="Arial" w:hAnsi="Arial" w:cs="Arial"/>
          <w:i/>
          <w:lang w:val="es-ES"/>
        </w:rPr>
        <w:t xml:space="preserve">Residir en el lugar donde ejerce el cargo, o en otro lugar cercano de fácil e inmediata comunicación. Para este último caso se requiere autorización previa del Consejo Seccional respectivo. </w:t>
      </w:r>
    </w:p>
    <w:p w14:paraId="63D0A21A" w14:textId="77777777" w:rsidR="00600DC0" w:rsidRPr="00600DC0" w:rsidRDefault="00600DC0" w:rsidP="00600DC0">
      <w:pPr>
        <w:numPr>
          <w:ilvl w:val="0"/>
          <w:numId w:val="2"/>
        </w:numPr>
        <w:jc w:val="both"/>
        <w:rPr>
          <w:rFonts w:ascii="Arial" w:hAnsi="Arial" w:cs="Arial"/>
          <w:lang w:val="es-ES"/>
        </w:rPr>
      </w:pPr>
      <w:r w:rsidRPr="00600DC0">
        <w:rPr>
          <w:rFonts w:ascii="Arial" w:hAnsi="Arial" w:cs="Arial"/>
          <w:i/>
          <w:lang w:val="es-ES"/>
        </w:rPr>
        <w:lastRenderedPageBreak/>
        <w:t xml:space="preserve">Evitar la lentitud procesal, sancionando las maniobras dilatorias así como todos aquellos actos contrarios a los deberes de lealtad, probidad, veracidad, honradez y buena fe. </w:t>
      </w:r>
    </w:p>
    <w:p w14:paraId="55E7BCA6" w14:textId="77777777" w:rsidR="00600DC0" w:rsidRPr="00600DC0" w:rsidRDefault="00600DC0" w:rsidP="00600DC0">
      <w:pPr>
        <w:numPr>
          <w:ilvl w:val="0"/>
          <w:numId w:val="2"/>
        </w:numPr>
        <w:jc w:val="both"/>
        <w:rPr>
          <w:rFonts w:ascii="Arial" w:hAnsi="Arial" w:cs="Arial"/>
          <w:lang w:val="es-ES"/>
        </w:rPr>
      </w:pPr>
      <w:r w:rsidRPr="00600DC0">
        <w:rPr>
          <w:rFonts w:ascii="Arial" w:hAnsi="Arial" w:cs="Arial"/>
          <w:i/>
          <w:lang w:val="es-ES"/>
        </w:rPr>
        <w:t xml:space="preserve">Denegar de plano los pedidos maliciosos y rechazar los escritos y exposiciones que sean contrarios a la decencia o la respetabilidad de las personas, sin perjuicio de la respectiva sanción. </w:t>
      </w:r>
    </w:p>
    <w:p w14:paraId="363D1A27" w14:textId="77777777" w:rsidR="00600DC0" w:rsidRPr="00600DC0" w:rsidRDefault="00600DC0" w:rsidP="00600DC0">
      <w:pPr>
        <w:numPr>
          <w:ilvl w:val="0"/>
          <w:numId w:val="2"/>
        </w:numPr>
        <w:jc w:val="both"/>
        <w:rPr>
          <w:rFonts w:ascii="Arial" w:hAnsi="Arial" w:cs="Arial"/>
          <w:lang w:val="es-ES"/>
        </w:rPr>
      </w:pPr>
      <w:r w:rsidRPr="00600DC0">
        <w:rPr>
          <w:rFonts w:ascii="Arial" w:hAnsi="Arial" w:cs="Arial"/>
          <w:i/>
          <w:lang w:val="es-ES"/>
        </w:rPr>
        <w:t xml:space="preserve">Denunciar ante las autoridades competentes los casos de ejercicio ilegal de la abogacía. </w:t>
      </w:r>
    </w:p>
    <w:p w14:paraId="61210895" w14:textId="77777777" w:rsidR="00600DC0" w:rsidRPr="00600DC0" w:rsidRDefault="00600DC0" w:rsidP="00600DC0">
      <w:pPr>
        <w:numPr>
          <w:ilvl w:val="0"/>
          <w:numId w:val="2"/>
        </w:numPr>
        <w:jc w:val="both"/>
        <w:rPr>
          <w:rFonts w:ascii="Arial" w:hAnsi="Arial" w:cs="Arial"/>
          <w:lang w:val="es-ES"/>
        </w:rPr>
      </w:pPr>
      <w:r w:rsidRPr="00600DC0">
        <w:rPr>
          <w:rFonts w:ascii="Arial" w:hAnsi="Arial" w:cs="Arial"/>
          <w:i/>
          <w:lang w:val="es-ES"/>
        </w:rPr>
        <w:lastRenderedPageBreak/>
        <w:t xml:space="preserve">Cumplir con las demás obligaciones señaladas por la ley. </w:t>
      </w:r>
    </w:p>
    <w:p w14:paraId="4B5321BB" w14:textId="77777777" w:rsidR="00600DC0" w:rsidRPr="00600DC0" w:rsidRDefault="00600DC0" w:rsidP="00600DC0">
      <w:pPr>
        <w:jc w:val="both"/>
        <w:rPr>
          <w:rFonts w:ascii="Arial" w:hAnsi="Arial" w:cs="Arial"/>
          <w:lang w:val="es-ES"/>
        </w:rPr>
      </w:pPr>
      <w:r w:rsidRPr="00600DC0">
        <w:rPr>
          <w:rFonts w:ascii="Arial" w:hAnsi="Arial" w:cs="Arial"/>
          <w:b/>
          <w:i/>
          <w:lang w:val="es-ES"/>
        </w:rPr>
        <w:t xml:space="preserve"> </w:t>
      </w:r>
    </w:p>
    <w:p w14:paraId="4F41E876" w14:textId="77777777" w:rsidR="00600DC0" w:rsidRPr="00600DC0" w:rsidRDefault="00600DC0" w:rsidP="00600DC0">
      <w:pPr>
        <w:jc w:val="both"/>
        <w:rPr>
          <w:rFonts w:ascii="Arial" w:hAnsi="Arial" w:cs="Arial"/>
          <w:i/>
          <w:lang w:val="es-ES"/>
        </w:rPr>
      </w:pPr>
      <w:r w:rsidRPr="00600DC0">
        <w:rPr>
          <w:rFonts w:ascii="Arial" w:hAnsi="Arial" w:cs="Arial"/>
          <w:b/>
          <w:i/>
          <w:lang w:val="es-ES"/>
        </w:rPr>
        <w:t>ARTÍCULO 154. PROHIBICIONES.</w:t>
      </w:r>
      <w:r w:rsidRPr="00600DC0">
        <w:rPr>
          <w:rFonts w:ascii="Arial" w:hAnsi="Arial" w:cs="Arial"/>
          <w:i/>
          <w:lang w:val="es-ES"/>
        </w:rPr>
        <w:t xml:space="preserve"> A los funcionarios y empleados de la Rama Judicial, según el caso, les está prohibido: </w:t>
      </w:r>
    </w:p>
    <w:p w14:paraId="2E7FD56E" w14:textId="77777777" w:rsidR="00600DC0" w:rsidRPr="00600DC0" w:rsidRDefault="00600DC0" w:rsidP="00600DC0">
      <w:pPr>
        <w:jc w:val="both"/>
        <w:rPr>
          <w:rFonts w:ascii="Arial" w:hAnsi="Arial" w:cs="Arial"/>
          <w:lang w:val="es-ES"/>
        </w:rPr>
      </w:pPr>
    </w:p>
    <w:p w14:paraId="792B9946" w14:textId="77777777" w:rsidR="00600DC0" w:rsidRPr="00600DC0" w:rsidRDefault="00600DC0" w:rsidP="00600DC0">
      <w:pPr>
        <w:numPr>
          <w:ilvl w:val="0"/>
          <w:numId w:val="3"/>
        </w:numPr>
        <w:jc w:val="both"/>
        <w:rPr>
          <w:rFonts w:ascii="Arial" w:hAnsi="Arial" w:cs="Arial"/>
          <w:lang w:val="es-ES"/>
        </w:rPr>
      </w:pPr>
      <w:r w:rsidRPr="00600DC0">
        <w:rPr>
          <w:rFonts w:ascii="Arial" w:hAnsi="Arial" w:cs="Arial"/>
          <w:i/>
          <w:lang w:val="es-ES"/>
        </w:rPr>
        <w:t xml:space="preserve">Realizar actividades ajenas al ejercicio de sus funciones durante la jornada de trabajo, salvo la excepción prevista en el parágrafo 2o. del artículo 151. </w:t>
      </w:r>
    </w:p>
    <w:p w14:paraId="18A41B1A" w14:textId="77777777" w:rsidR="00600DC0" w:rsidRPr="00600DC0" w:rsidRDefault="00600DC0" w:rsidP="00600DC0">
      <w:pPr>
        <w:numPr>
          <w:ilvl w:val="0"/>
          <w:numId w:val="3"/>
        </w:numPr>
        <w:jc w:val="both"/>
        <w:rPr>
          <w:rFonts w:ascii="Arial" w:hAnsi="Arial" w:cs="Arial"/>
          <w:lang w:val="es-ES"/>
        </w:rPr>
      </w:pPr>
      <w:r w:rsidRPr="00600DC0">
        <w:rPr>
          <w:rFonts w:ascii="Arial" w:hAnsi="Arial" w:cs="Arial"/>
          <w:i/>
          <w:lang w:val="es-ES"/>
        </w:rPr>
        <w:lastRenderedPageBreak/>
        <w:t xml:space="preserve">Abandonar o suspender sus labores sin autorización previa. </w:t>
      </w:r>
    </w:p>
    <w:p w14:paraId="6AB073E8" w14:textId="77777777" w:rsidR="00600DC0" w:rsidRPr="00600DC0" w:rsidRDefault="00600DC0" w:rsidP="00600DC0">
      <w:pPr>
        <w:numPr>
          <w:ilvl w:val="0"/>
          <w:numId w:val="3"/>
        </w:numPr>
        <w:jc w:val="both"/>
        <w:rPr>
          <w:rFonts w:ascii="Arial" w:hAnsi="Arial" w:cs="Arial"/>
          <w:lang w:val="es-ES"/>
        </w:rPr>
      </w:pPr>
      <w:r w:rsidRPr="00600DC0">
        <w:rPr>
          <w:rFonts w:ascii="Arial" w:hAnsi="Arial" w:cs="Arial"/>
          <w:i/>
          <w:lang w:val="es-ES"/>
        </w:rPr>
        <w:t xml:space="preserve">Retardar o negar injustificadamente el despacho de los asuntos o la prestación del servicio a que estén obligados. </w:t>
      </w:r>
    </w:p>
    <w:p w14:paraId="0E5B85B8" w14:textId="77777777" w:rsidR="00600DC0" w:rsidRPr="00600DC0" w:rsidRDefault="00600DC0" w:rsidP="00600DC0">
      <w:pPr>
        <w:numPr>
          <w:ilvl w:val="0"/>
          <w:numId w:val="3"/>
        </w:numPr>
        <w:jc w:val="both"/>
        <w:rPr>
          <w:rFonts w:ascii="Arial" w:hAnsi="Arial" w:cs="Arial"/>
          <w:lang w:val="es-ES"/>
        </w:rPr>
      </w:pPr>
      <w:r w:rsidRPr="00600DC0">
        <w:rPr>
          <w:rFonts w:ascii="Arial" w:hAnsi="Arial" w:cs="Arial"/>
          <w:i/>
          <w:lang w:val="es-ES"/>
        </w:rPr>
        <w:t xml:space="preserve">Proporcionar noticias o informes e intervenir en debates de cualquier naturaleza sobre asuntos de la administración de justicia que lleguen a su conocimiento con ocasión del servicio. </w:t>
      </w:r>
    </w:p>
    <w:p w14:paraId="68258FAD" w14:textId="77777777" w:rsidR="00600DC0" w:rsidRPr="00600DC0" w:rsidRDefault="00600DC0" w:rsidP="00600DC0">
      <w:pPr>
        <w:numPr>
          <w:ilvl w:val="0"/>
          <w:numId w:val="3"/>
        </w:numPr>
        <w:jc w:val="both"/>
        <w:rPr>
          <w:rFonts w:ascii="Arial" w:hAnsi="Arial" w:cs="Arial"/>
          <w:lang w:val="es-ES"/>
        </w:rPr>
      </w:pPr>
      <w:r w:rsidRPr="00600DC0">
        <w:rPr>
          <w:rFonts w:ascii="Arial" w:hAnsi="Arial" w:cs="Arial"/>
          <w:i/>
          <w:lang w:val="es-ES"/>
        </w:rPr>
        <w:lastRenderedPageBreak/>
        <w:t xml:space="preserve">Participar en actividades que lleven a la interrupción o mengua de la prestación del servicio público de administración de justicia. </w:t>
      </w:r>
    </w:p>
    <w:p w14:paraId="0405C3A8" w14:textId="77777777" w:rsidR="00600DC0" w:rsidRPr="00600DC0" w:rsidRDefault="00600DC0" w:rsidP="00600DC0">
      <w:pPr>
        <w:numPr>
          <w:ilvl w:val="0"/>
          <w:numId w:val="3"/>
        </w:numPr>
        <w:jc w:val="both"/>
        <w:rPr>
          <w:rFonts w:ascii="Arial" w:hAnsi="Arial" w:cs="Arial"/>
          <w:lang w:val="es-ES"/>
        </w:rPr>
      </w:pPr>
      <w:r w:rsidRPr="00600DC0">
        <w:rPr>
          <w:rFonts w:ascii="Arial" w:hAnsi="Arial" w:cs="Arial"/>
          <w:i/>
          <w:lang w:val="es-ES"/>
        </w:rPr>
        <w:t xml:space="preserve">Realizar en el servicio o en la vida social actividades que puedan afectar la confianza del público u observar una conducta que pueda comprometer la dignidad de la administración de justicia. </w:t>
      </w:r>
    </w:p>
    <w:p w14:paraId="6C2FB568" w14:textId="77777777" w:rsidR="00600DC0" w:rsidRPr="00600DC0" w:rsidRDefault="00600DC0" w:rsidP="00600DC0">
      <w:pPr>
        <w:numPr>
          <w:ilvl w:val="0"/>
          <w:numId w:val="3"/>
        </w:numPr>
        <w:jc w:val="both"/>
        <w:rPr>
          <w:rFonts w:ascii="Arial" w:hAnsi="Arial" w:cs="Arial"/>
          <w:lang w:val="es-ES"/>
        </w:rPr>
      </w:pPr>
      <w:r w:rsidRPr="00600DC0">
        <w:rPr>
          <w:rFonts w:ascii="Arial" w:hAnsi="Arial" w:cs="Arial"/>
          <w:i/>
          <w:lang w:val="es-ES"/>
        </w:rPr>
        <w:t xml:space="preserve">La embriaguez habitual o el uso de sustancias prohibidas por la ley. </w:t>
      </w:r>
    </w:p>
    <w:p w14:paraId="7D4F4B84" w14:textId="77777777" w:rsidR="00600DC0" w:rsidRPr="00600DC0" w:rsidRDefault="00600DC0" w:rsidP="00600DC0">
      <w:pPr>
        <w:numPr>
          <w:ilvl w:val="0"/>
          <w:numId w:val="3"/>
        </w:numPr>
        <w:jc w:val="both"/>
        <w:rPr>
          <w:rFonts w:ascii="Arial" w:hAnsi="Arial" w:cs="Arial"/>
          <w:lang w:val="es-ES"/>
        </w:rPr>
      </w:pPr>
      <w:r w:rsidRPr="00600DC0">
        <w:rPr>
          <w:rFonts w:ascii="Arial" w:hAnsi="Arial" w:cs="Arial"/>
          <w:i/>
          <w:lang w:val="es-ES"/>
        </w:rPr>
        <w:lastRenderedPageBreak/>
        <w:t xml:space="preserve">Tomar interés directa o indirectamente en remates o ventas en pública subasta de bienes que se hagan en cualquier despacho judicial. </w:t>
      </w:r>
    </w:p>
    <w:p w14:paraId="66110727" w14:textId="77777777" w:rsidR="00600DC0" w:rsidRPr="00600DC0" w:rsidRDefault="00600DC0" w:rsidP="00600DC0">
      <w:pPr>
        <w:numPr>
          <w:ilvl w:val="0"/>
          <w:numId w:val="3"/>
        </w:numPr>
        <w:jc w:val="both"/>
        <w:rPr>
          <w:rFonts w:ascii="Arial" w:hAnsi="Arial" w:cs="Arial"/>
          <w:lang w:val="es-ES"/>
        </w:rPr>
      </w:pPr>
      <w:r w:rsidRPr="00600DC0">
        <w:rPr>
          <w:rFonts w:ascii="Arial" w:hAnsi="Arial" w:cs="Arial"/>
          <w:i/>
          <w:lang w:val="es-ES"/>
        </w:rPr>
        <w:t xml:space="preserve">Expresar y aun insinuar privadamente su opinión respecto de los asuntos que están llamados a fallar. </w:t>
      </w:r>
    </w:p>
    <w:p w14:paraId="364C5B47" w14:textId="77777777" w:rsidR="00600DC0" w:rsidRPr="00600DC0" w:rsidRDefault="00600DC0" w:rsidP="00600DC0">
      <w:pPr>
        <w:numPr>
          <w:ilvl w:val="0"/>
          <w:numId w:val="3"/>
        </w:numPr>
        <w:jc w:val="both"/>
        <w:rPr>
          <w:rFonts w:ascii="Arial" w:hAnsi="Arial" w:cs="Arial"/>
          <w:lang w:val="es-ES"/>
        </w:rPr>
      </w:pPr>
      <w:r w:rsidRPr="00600DC0">
        <w:rPr>
          <w:rFonts w:ascii="Arial" w:hAnsi="Arial" w:cs="Arial"/>
          <w:i/>
          <w:lang w:val="es-ES"/>
        </w:rPr>
        <w:t xml:space="preserve">Comprometer u ofrecer su voto, o insinuar que escogerá ésta o aquella persona al hacer nombramientos. Se sancionará con suspensión a quien se le comprobare que ha violado esta prohibición. </w:t>
      </w:r>
    </w:p>
    <w:p w14:paraId="2A569327" w14:textId="77777777" w:rsidR="00600DC0" w:rsidRPr="00600DC0" w:rsidRDefault="00600DC0" w:rsidP="00600DC0">
      <w:pPr>
        <w:numPr>
          <w:ilvl w:val="0"/>
          <w:numId w:val="3"/>
        </w:numPr>
        <w:jc w:val="both"/>
        <w:rPr>
          <w:rFonts w:ascii="Arial" w:hAnsi="Arial" w:cs="Arial"/>
          <w:lang w:val="es-ES"/>
        </w:rPr>
      </w:pPr>
      <w:r w:rsidRPr="00600DC0">
        <w:rPr>
          <w:rFonts w:ascii="Arial" w:hAnsi="Arial" w:cs="Arial"/>
          <w:i/>
          <w:lang w:val="es-ES"/>
        </w:rPr>
        <w:t xml:space="preserve">Facilitar o coadyuvar, de cualquier forma, para que personas no autorizadas por la ley ejerzan la abogacía, </w:t>
      </w:r>
      <w:r w:rsidRPr="00600DC0">
        <w:rPr>
          <w:rFonts w:ascii="Arial" w:hAnsi="Arial" w:cs="Arial"/>
          <w:i/>
          <w:lang w:val="es-ES"/>
        </w:rPr>
        <w:lastRenderedPageBreak/>
        <w:t xml:space="preserve">o suministrar a éstas datos o consejos, mostrarles expedientes, documentos u otras piezas procesales. </w:t>
      </w:r>
    </w:p>
    <w:p w14:paraId="56580945" w14:textId="77777777" w:rsidR="00600DC0" w:rsidRPr="00600DC0" w:rsidRDefault="00600DC0" w:rsidP="00600DC0">
      <w:pPr>
        <w:numPr>
          <w:ilvl w:val="0"/>
          <w:numId w:val="3"/>
        </w:numPr>
        <w:jc w:val="both"/>
        <w:rPr>
          <w:rFonts w:ascii="Arial" w:hAnsi="Arial" w:cs="Arial"/>
          <w:lang w:val="es-ES"/>
        </w:rPr>
      </w:pPr>
      <w:r w:rsidRPr="00600DC0">
        <w:rPr>
          <w:rFonts w:ascii="Arial" w:hAnsi="Arial" w:cs="Arial"/>
          <w:i/>
          <w:lang w:val="es-ES"/>
        </w:rPr>
        <w:t xml:space="preserve">Dirigir felicitaciones o censura por sus actos públicos a funcionarios y a corporaciones oficiales. </w:t>
      </w:r>
    </w:p>
    <w:p w14:paraId="0A688E8F" w14:textId="77777777" w:rsidR="00600DC0" w:rsidRPr="00600DC0" w:rsidRDefault="00600DC0" w:rsidP="00600DC0">
      <w:pPr>
        <w:numPr>
          <w:ilvl w:val="0"/>
          <w:numId w:val="3"/>
        </w:numPr>
        <w:jc w:val="both"/>
        <w:rPr>
          <w:rFonts w:ascii="Arial" w:hAnsi="Arial" w:cs="Arial"/>
          <w:lang w:val="es-ES"/>
        </w:rPr>
      </w:pPr>
      <w:r w:rsidRPr="00600DC0">
        <w:rPr>
          <w:rFonts w:ascii="Arial" w:hAnsi="Arial" w:cs="Arial"/>
          <w:i/>
          <w:lang w:val="es-ES"/>
        </w:rPr>
        <w:t xml:space="preserve">Cualquier participación en procesos políticos electorales, salvo la emisión de su voto en elecciones generales. </w:t>
      </w:r>
    </w:p>
    <w:p w14:paraId="6831CC67" w14:textId="77777777" w:rsidR="00600DC0" w:rsidRPr="00600DC0" w:rsidRDefault="00600DC0" w:rsidP="00600DC0">
      <w:pPr>
        <w:numPr>
          <w:ilvl w:val="0"/>
          <w:numId w:val="3"/>
        </w:numPr>
        <w:jc w:val="both"/>
        <w:rPr>
          <w:rFonts w:ascii="Arial" w:hAnsi="Arial" w:cs="Arial"/>
          <w:lang w:val="es-ES"/>
        </w:rPr>
      </w:pPr>
      <w:r w:rsidRPr="00600DC0">
        <w:rPr>
          <w:rFonts w:ascii="Arial" w:hAnsi="Arial" w:cs="Arial"/>
          <w:i/>
          <w:lang w:val="es-ES"/>
        </w:rPr>
        <w:t xml:space="preserve">Interesarse indebidamente, de cualquier modo que sea, en asuntos pendientes ante los demás despachos judiciales o emitir conceptos sobre ellos. </w:t>
      </w:r>
    </w:p>
    <w:p w14:paraId="597B7E0F" w14:textId="77777777" w:rsidR="00600DC0" w:rsidRPr="00600DC0" w:rsidRDefault="00600DC0" w:rsidP="00600DC0">
      <w:pPr>
        <w:numPr>
          <w:ilvl w:val="0"/>
          <w:numId w:val="3"/>
        </w:numPr>
        <w:jc w:val="both"/>
        <w:rPr>
          <w:rFonts w:ascii="Arial" w:hAnsi="Arial" w:cs="Arial"/>
          <w:lang w:val="es-ES"/>
        </w:rPr>
      </w:pPr>
      <w:r w:rsidRPr="00600DC0">
        <w:rPr>
          <w:rFonts w:ascii="Arial" w:hAnsi="Arial" w:cs="Arial"/>
          <w:i/>
          <w:lang w:val="es-ES"/>
        </w:rPr>
        <w:lastRenderedPageBreak/>
        <w:t xml:space="preserve">Recibir cualquier tipo de remuneración de los interesados en un proceso, por actividades relacionadas con el ejercicio del cargo. </w:t>
      </w:r>
    </w:p>
    <w:p w14:paraId="719FDBD7" w14:textId="77777777" w:rsidR="00600DC0" w:rsidRPr="00600DC0" w:rsidRDefault="00600DC0" w:rsidP="00600DC0">
      <w:pPr>
        <w:numPr>
          <w:ilvl w:val="0"/>
          <w:numId w:val="3"/>
        </w:numPr>
        <w:jc w:val="both"/>
        <w:rPr>
          <w:rFonts w:ascii="Arial" w:hAnsi="Arial" w:cs="Arial"/>
          <w:lang w:val="es-ES"/>
        </w:rPr>
      </w:pPr>
      <w:r w:rsidRPr="00600DC0">
        <w:rPr>
          <w:rFonts w:ascii="Arial" w:hAnsi="Arial" w:cs="Arial"/>
          <w:i/>
          <w:lang w:val="es-ES"/>
        </w:rPr>
        <w:t xml:space="preserve">Aceptar de las partes o de sus apoderados o por cuenta de ellos, donaciones, obsequios, atenciones, agasajos o sucesión testamentaria en su favor o en favor de su cónyuge, ascendientes, descendientes o hermanos. </w:t>
      </w:r>
    </w:p>
    <w:p w14:paraId="1CC1B182" w14:textId="77777777" w:rsidR="00600DC0" w:rsidRPr="00600DC0" w:rsidRDefault="00600DC0" w:rsidP="00600DC0">
      <w:pPr>
        <w:numPr>
          <w:ilvl w:val="0"/>
          <w:numId w:val="3"/>
        </w:numPr>
        <w:jc w:val="both"/>
        <w:rPr>
          <w:rFonts w:ascii="Arial" w:hAnsi="Arial" w:cs="Arial"/>
          <w:lang w:val="es-ES"/>
        </w:rPr>
      </w:pPr>
      <w:r w:rsidRPr="00600DC0">
        <w:rPr>
          <w:rFonts w:ascii="Arial" w:hAnsi="Arial" w:cs="Arial"/>
          <w:i/>
          <w:lang w:val="es-ES"/>
        </w:rPr>
        <w:t xml:space="preserve">Ejercer el comercio o la industria personalmente o como gestor, asesor, empleado, funcionario o miembro </w:t>
      </w:r>
      <w:r w:rsidRPr="00600DC0">
        <w:rPr>
          <w:rFonts w:ascii="Arial" w:hAnsi="Arial" w:cs="Arial"/>
          <w:i/>
          <w:lang w:val="es-ES"/>
        </w:rPr>
        <w:lastRenderedPageBreak/>
        <w:t xml:space="preserve">o consejero de juntas, directorios o de cualquier organismo de entidad dedicada a actividad lucrativa. </w:t>
      </w:r>
    </w:p>
    <w:p w14:paraId="4DC37901" w14:textId="77777777" w:rsidR="00600DC0" w:rsidRPr="00600DC0" w:rsidRDefault="00600DC0" w:rsidP="00600DC0">
      <w:pPr>
        <w:numPr>
          <w:ilvl w:val="0"/>
          <w:numId w:val="3"/>
        </w:numPr>
        <w:jc w:val="both"/>
        <w:rPr>
          <w:rFonts w:ascii="Arial" w:hAnsi="Arial" w:cs="Arial"/>
          <w:lang w:val="es-ES"/>
        </w:rPr>
      </w:pPr>
      <w:r w:rsidRPr="00600DC0">
        <w:rPr>
          <w:rFonts w:ascii="Arial" w:hAnsi="Arial" w:cs="Arial"/>
          <w:i/>
          <w:lang w:val="es-ES"/>
        </w:rPr>
        <w:t xml:space="preserve">Las demás señaladas en la ley.” </w:t>
      </w:r>
    </w:p>
    <w:p w14:paraId="5F05FEB7" w14:textId="77777777" w:rsidR="00600DC0" w:rsidRPr="00600DC0" w:rsidRDefault="00600DC0" w:rsidP="00600DC0">
      <w:pPr>
        <w:spacing w:line="360" w:lineRule="auto"/>
        <w:jc w:val="both"/>
        <w:rPr>
          <w:rFonts w:ascii="Arial" w:hAnsi="Arial" w:cs="Arial"/>
          <w:lang w:val="es-ES"/>
        </w:rPr>
      </w:pPr>
      <w:r w:rsidRPr="00600DC0">
        <w:rPr>
          <w:rFonts w:ascii="Arial" w:hAnsi="Arial" w:cs="Arial"/>
          <w:lang w:val="es-ES"/>
        </w:rPr>
        <w:t xml:space="preserve"> </w:t>
      </w:r>
    </w:p>
    <w:p w14:paraId="0409AD24" w14:textId="77777777" w:rsidR="00600DC0" w:rsidRPr="00600DC0" w:rsidRDefault="00600DC0" w:rsidP="00600DC0">
      <w:pPr>
        <w:jc w:val="both"/>
        <w:rPr>
          <w:rFonts w:ascii="Arial" w:hAnsi="Arial" w:cs="Arial"/>
          <w:lang w:val="es-ES"/>
        </w:rPr>
      </w:pPr>
      <w:r w:rsidRPr="00600DC0">
        <w:rPr>
          <w:rFonts w:ascii="Arial" w:hAnsi="Arial" w:cs="Arial"/>
          <w:lang w:val="es-ES"/>
        </w:rPr>
        <w:t xml:space="preserve">De otra parte, existe en el ordenamiento jurídico normas especiales que igualmente introducen otros tipos de conductas de orden disciplinario que por su especialidad son investigadas por las Salas Jurisdiccionales Disciplinarias del Consejo Superior de la Judicatura, entre las cuales se </w:t>
      </w:r>
      <w:r w:rsidRPr="00600DC0">
        <w:rPr>
          <w:rFonts w:ascii="Arial" w:hAnsi="Arial" w:cs="Arial"/>
          <w:lang w:val="es-ES"/>
        </w:rPr>
        <w:lastRenderedPageBreak/>
        <w:t>pueden citar: la Constitución Política de Colombia, Ley 734 de 2002</w:t>
      </w:r>
      <w:r w:rsidRPr="00600DC0">
        <w:rPr>
          <w:rFonts w:ascii="Arial" w:hAnsi="Arial" w:cs="Arial"/>
          <w:vertAlign w:val="superscript"/>
          <w:lang w:val="es-ES"/>
        </w:rPr>
        <w:footnoteReference w:id="1"/>
      </w:r>
      <w:r w:rsidRPr="00600DC0">
        <w:rPr>
          <w:rFonts w:ascii="Arial" w:hAnsi="Arial" w:cs="Arial"/>
          <w:lang w:val="es-ES"/>
        </w:rPr>
        <w:t>, Ley 599 de 2000</w:t>
      </w:r>
      <w:r w:rsidRPr="00600DC0">
        <w:rPr>
          <w:rFonts w:ascii="Arial" w:hAnsi="Arial" w:cs="Arial"/>
          <w:vertAlign w:val="superscript"/>
          <w:lang w:val="es-ES"/>
        </w:rPr>
        <w:footnoteReference w:id="2"/>
      </w:r>
      <w:r w:rsidRPr="00600DC0">
        <w:rPr>
          <w:rFonts w:ascii="Arial" w:hAnsi="Arial" w:cs="Arial"/>
          <w:lang w:val="es-ES"/>
        </w:rPr>
        <w:t xml:space="preserve"> y Decreto 2591 de 1991</w:t>
      </w:r>
      <w:r w:rsidRPr="00600DC0">
        <w:rPr>
          <w:rFonts w:ascii="Arial" w:hAnsi="Arial" w:cs="Arial"/>
          <w:vertAlign w:val="superscript"/>
          <w:lang w:val="es-ES"/>
        </w:rPr>
        <w:footnoteReference w:id="3"/>
      </w:r>
      <w:r w:rsidRPr="00600DC0">
        <w:rPr>
          <w:rFonts w:ascii="Arial" w:hAnsi="Arial" w:cs="Arial"/>
          <w:lang w:val="es-ES"/>
        </w:rPr>
        <w:t>.</w:t>
      </w:r>
    </w:p>
    <w:p w14:paraId="0243FED2" w14:textId="77777777" w:rsidR="00600DC0" w:rsidRPr="00600DC0" w:rsidRDefault="00600DC0" w:rsidP="00600DC0">
      <w:pPr>
        <w:jc w:val="both"/>
        <w:rPr>
          <w:rFonts w:ascii="Arial" w:hAnsi="Arial" w:cs="Arial"/>
          <w:lang w:val="es-ES"/>
        </w:rPr>
      </w:pPr>
      <w:r w:rsidRPr="00600DC0">
        <w:rPr>
          <w:rFonts w:ascii="Arial" w:hAnsi="Arial" w:cs="Arial"/>
          <w:lang w:val="es-ES"/>
        </w:rPr>
        <w:t xml:space="preserve"> </w:t>
      </w:r>
    </w:p>
    <w:p w14:paraId="05936F5F" w14:textId="77777777" w:rsidR="00600DC0" w:rsidRPr="00600DC0" w:rsidRDefault="00600DC0" w:rsidP="00600DC0">
      <w:pPr>
        <w:jc w:val="both"/>
        <w:rPr>
          <w:rFonts w:ascii="Arial" w:hAnsi="Arial" w:cs="Arial"/>
          <w:lang w:val="es-ES"/>
        </w:rPr>
      </w:pPr>
      <w:r w:rsidRPr="00600DC0">
        <w:rPr>
          <w:rFonts w:ascii="Arial" w:hAnsi="Arial" w:cs="Arial"/>
          <w:lang w:val="es-ES"/>
        </w:rPr>
        <w:t xml:space="preserve">A continuación, se reseña la información de las conductas reprochables más investigadas durante el periodo de los últimos 10 años, tales como aquellas referidas a la mora </w:t>
      </w:r>
      <w:r w:rsidRPr="00600DC0">
        <w:rPr>
          <w:rFonts w:ascii="Arial" w:hAnsi="Arial" w:cs="Arial"/>
          <w:lang w:val="es-ES"/>
        </w:rPr>
        <w:lastRenderedPageBreak/>
        <w:t xml:space="preserve">judicial, desatención de los asuntos a cargo, incumplimiento de deberes funcionales contenidos en la ley, reglamentos y Acuerdos; así mismo, por realizar actividades en la vida social que pueda afectar la confianza en la administración de justicia e incurrir en conductas de carácter delictual. Esto se ilustra de la siguiente manera: </w:t>
      </w:r>
    </w:p>
    <w:p w14:paraId="04244205" w14:textId="77777777" w:rsidR="00600DC0" w:rsidRPr="00600DC0" w:rsidRDefault="00600DC0" w:rsidP="00600DC0">
      <w:pPr>
        <w:jc w:val="both"/>
        <w:rPr>
          <w:rFonts w:ascii="Arial" w:hAnsi="Arial" w:cs="Arial"/>
          <w:lang w:val="es-ES"/>
        </w:rPr>
      </w:pPr>
    </w:p>
    <w:p w14:paraId="7E056E41" w14:textId="77777777" w:rsidR="00600DC0" w:rsidRPr="00600DC0" w:rsidRDefault="00600DC0" w:rsidP="00600DC0">
      <w:pPr>
        <w:jc w:val="both"/>
        <w:rPr>
          <w:rFonts w:ascii="Arial" w:hAnsi="Arial" w:cs="Arial"/>
          <w:b/>
          <w:lang w:val="es-ES"/>
        </w:rPr>
      </w:pPr>
      <w:r w:rsidRPr="00600DC0">
        <w:rPr>
          <w:rFonts w:ascii="Arial" w:hAnsi="Arial" w:cs="Arial"/>
          <w:b/>
          <w:lang w:val="es-ES"/>
        </w:rPr>
        <w:t xml:space="preserve">Para jueces: </w:t>
      </w:r>
      <w:r w:rsidRPr="00600DC0">
        <w:rPr>
          <w:rFonts w:ascii="Arial" w:hAnsi="Arial" w:cs="Arial"/>
          <w:b/>
          <w:lang w:val="es-ES"/>
        </w:rPr>
        <w:tab/>
        <w:t xml:space="preserve"> </w:t>
      </w:r>
      <w:r w:rsidRPr="00600DC0">
        <w:rPr>
          <w:rFonts w:ascii="Arial" w:hAnsi="Arial" w:cs="Arial"/>
          <w:b/>
          <w:lang w:val="es-ES"/>
        </w:rPr>
        <w:tab/>
        <w:t xml:space="preserve"> </w:t>
      </w:r>
      <w:r w:rsidRPr="00600DC0">
        <w:rPr>
          <w:rFonts w:ascii="Arial" w:hAnsi="Arial" w:cs="Arial"/>
          <w:b/>
          <w:lang w:val="es-ES"/>
        </w:rPr>
        <w:tab/>
        <w:t xml:space="preserve"> </w:t>
      </w:r>
      <w:r w:rsidRPr="00600DC0">
        <w:rPr>
          <w:rFonts w:ascii="Arial" w:hAnsi="Arial" w:cs="Arial"/>
          <w:b/>
          <w:lang w:val="es-ES"/>
        </w:rPr>
        <w:tab/>
        <w:t xml:space="preserve"> </w:t>
      </w:r>
      <w:r w:rsidRPr="00600DC0">
        <w:rPr>
          <w:rFonts w:ascii="Arial" w:hAnsi="Arial" w:cs="Arial"/>
          <w:b/>
          <w:lang w:val="es-ES"/>
        </w:rPr>
        <w:tab/>
        <w:t xml:space="preserve">Para Magistrados: </w:t>
      </w:r>
    </w:p>
    <w:p w14:paraId="3163AA41" w14:textId="77777777" w:rsidR="00600DC0" w:rsidRPr="00600DC0" w:rsidRDefault="00600DC0" w:rsidP="00600DC0">
      <w:pPr>
        <w:jc w:val="both"/>
        <w:rPr>
          <w:rFonts w:ascii="Arial" w:hAnsi="Arial" w:cs="Arial"/>
          <w:b/>
          <w:lang w:val="es-ES"/>
        </w:rPr>
      </w:pPr>
    </w:p>
    <w:tbl>
      <w:tblPr>
        <w:tblW w:w="8789" w:type="dxa"/>
        <w:tblInd w:w="-5" w:type="dxa"/>
        <w:tblLayout w:type="fixed"/>
        <w:tblCellMar>
          <w:top w:w="14" w:type="dxa"/>
          <w:left w:w="70" w:type="dxa"/>
          <w:bottom w:w="3" w:type="dxa"/>
          <w:right w:w="14" w:type="dxa"/>
        </w:tblCellMar>
        <w:tblLook w:val="00A0" w:firstRow="1" w:lastRow="0" w:firstColumn="1" w:lastColumn="0" w:noHBand="0" w:noVBand="0"/>
      </w:tblPr>
      <w:tblGrid>
        <w:gridCol w:w="1276"/>
        <w:gridCol w:w="1276"/>
        <w:gridCol w:w="1134"/>
        <w:gridCol w:w="850"/>
        <w:gridCol w:w="284"/>
        <w:gridCol w:w="850"/>
        <w:gridCol w:w="1134"/>
        <w:gridCol w:w="1134"/>
        <w:gridCol w:w="851"/>
      </w:tblGrid>
      <w:tr w:rsidR="00600DC0" w:rsidRPr="00600DC0" w14:paraId="32AAC834" w14:textId="77777777" w:rsidTr="0079439D">
        <w:trPr>
          <w:trHeight w:val="310"/>
        </w:trPr>
        <w:tc>
          <w:tcPr>
            <w:tcW w:w="1276" w:type="dxa"/>
            <w:tcBorders>
              <w:top w:val="single" w:sz="4" w:space="0" w:color="000000"/>
              <w:left w:val="single" w:sz="4" w:space="0" w:color="000000"/>
              <w:bottom w:val="single" w:sz="4" w:space="0" w:color="000000"/>
              <w:right w:val="single" w:sz="4" w:space="0" w:color="000000"/>
            </w:tcBorders>
          </w:tcPr>
          <w:p w14:paraId="57874F1C" w14:textId="038EEF03" w:rsidR="00600DC0" w:rsidRPr="00FE4A9E" w:rsidRDefault="00600DC0" w:rsidP="00FE4A9E">
            <w:pPr>
              <w:jc w:val="center"/>
              <w:rPr>
                <w:rFonts w:ascii="Arial" w:hAnsi="Arial" w:cs="Arial"/>
                <w:b/>
                <w:sz w:val="20"/>
                <w:szCs w:val="20"/>
                <w:lang w:val="es-ES"/>
              </w:rPr>
            </w:pPr>
            <w:r w:rsidRPr="00FE4A9E">
              <w:rPr>
                <w:rFonts w:ascii="Arial" w:hAnsi="Arial" w:cs="Arial"/>
                <w:b/>
                <w:sz w:val="20"/>
                <w:szCs w:val="20"/>
                <w:lang w:val="es-ES"/>
              </w:rPr>
              <w:t>NORMA</w:t>
            </w:r>
          </w:p>
        </w:tc>
        <w:tc>
          <w:tcPr>
            <w:tcW w:w="1276" w:type="dxa"/>
            <w:tcBorders>
              <w:top w:val="single" w:sz="4" w:space="0" w:color="000000"/>
              <w:left w:val="single" w:sz="4" w:space="0" w:color="000000"/>
              <w:bottom w:val="single" w:sz="4" w:space="0" w:color="000000"/>
              <w:right w:val="single" w:sz="4" w:space="0" w:color="000000"/>
            </w:tcBorders>
          </w:tcPr>
          <w:p w14:paraId="7CF2DAA8" w14:textId="1D73E6FC" w:rsidR="00600DC0" w:rsidRPr="00FE4A9E" w:rsidRDefault="00600DC0" w:rsidP="00FE4A9E">
            <w:pPr>
              <w:jc w:val="center"/>
              <w:rPr>
                <w:rFonts w:ascii="Arial" w:hAnsi="Arial" w:cs="Arial"/>
                <w:b/>
                <w:sz w:val="20"/>
                <w:szCs w:val="20"/>
                <w:lang w:val="es-ES"/>
              </w:rPr>
            </w:pPr>
            <w:r w:rsidRPr="00FE4A9E">
              <w:rPr>
                <w:rFonts w:ascii="Arial" w:hAnsi="Arial" w:cs="Arial"/>
                <w:b/>
                <w:sz w:val="20"/>
                <w:szCs w:val="20"/>
                <w:lang w:val="es-ES"/>
              </w:rPr>
              <w:t>ARTICULO</w:t>
            </w:r>
          </w:p>
        </w:tc>
        <w:tc>
          <w:tcPr>
            <w:tcW w:w="1134" w:type="dxa"/>
            <w:tcBorders>
              <w:top w:val="single" w:sz="4" w:space="0" w:color="000000"/>
              <w:left w:val="single" w:sz="4" w:space="0" w:color="000000"/>
              <w:bottom w:val="single" w:sz="4" w:space="0" w:color="000000"/>
              <w:right w:val="single" w:sz="4" w:space="0" w:color="000000"/>
            </w:tcBorders>
          </w:tcPr>
          <w:p w14:paraId="0BBB580B" w14:textId="0271216D" w:rsidR="00600DC0" w:rsidRPr="00FE4A9E" w:rsidRDefault="00600DC0" w:rsidP="00FE4A9E">
            <w:pPr>
              <w:jc w:val="center"/>
              <w:rPr>
                <w:rFonts w:ascii="Arial" w:hAnsi="Arial" w:cs="Arial"/>
                <w:b/>
                <w:sz w:val="20"/>
                <w:szCs w:val="20"/>
                <w:lang w:val="es-ES"/>
              </w:rPr>
            </w:pPr>
            <w:r w:rsidRPr="00FE4A9E">
              <w:rPr>
                <w:rFonts w:ascii="Arial" w:hAnsi="Arial" w:cs="Arial"/>
                <w:b/>
                <w:sz w:val="20"/>
                <w:szCs w:val="20"/>
                <w:lang w:val="es-ES"/>
              </w:rPr>
              <w:t>NUMERAL</w:t>
            </w:r>
          </w:p>
        </w:tc>
        <w:tc>
          <w:tcPr>
            <w:tcW w:w="850" w:type="dxa"/>
            <w:tcBorders>
              <w:top w:val="single" w:sz="4" w:space="0" w:color="000000"/>
              <w:left w:val="single" w:sz="4" w:space="0" w:color="000000"/>
              <w:bottom w:val="single" w:sz="4" w:space="0" w:color="000000"/>
              <w:right w:val="single" w:sz="4" w:space="0" w:color="000000"/>
            </w:tcBorders>
          </w:tcPr>
          <w:p w14:paraId="2D2D5EF6" w14:textId="491BF7D6" w:rsidR="00600DC0" w:rsidRPr="00FE4A9E" w:rsidRDefault="00600DC0" w:rsidP="00FE4A9E">
            <w:pPr>
              <w:jc w:val="center"/>
              <w:rPr>
                <w:rFonts w:ascii="Arial" w:hAnsi="Arial" w:cs="Arial"/>
                <w:sz w:val="20"/>
                <w:szCs w:val="20"/>
                <w:lang w:val="es-ES"/>
              </w:rPr>
            </w:pPr>
            <w:r w:rsidRPr="00FE4A9E">
              <w:rPr>
                <w:rFonts w:ascii="Arial" w:hAnsi="Arial" w:cs="Arial"/>
                <w:b/>
                <w:sz w:val="20"/>
                <w:szCs w:val="20"/>
                <w:lang w:val="es-ES"/>
              </w:rPr>
              <w:t>TOTAL</w:t>
            </w:r>
          </w:p>
        </w:tc>
        <w:tc>
          <w:tcPr>
            <w:tcW w:w="284" w:type="dxa"/>
            <w:vMerge w:val="restart"/>
            <w:tcBorders>
              <w:top w:val="nil"/>
              <w:left w:val="single" w:sz="4" w:space="0" w:color="000000"/>
              <w:bottom w:val="nil"/>
              <w:right w:val="single" w:sz="4" w:space="0" w:color="000000"/>
            </w:tcBorders>
          </w:tcPr>
          <w:p w14:paraId="40A0C95A" w14:textId="50FFB126" w:rsidR="00600DC0" w:rsidRPr="00FE4A9E" w:rsidRDefault="00600DC0" w:rsidP="00FE4A9E">
            <w:pPr>
              <w:jc w:val="center"/>
              <w:rPr>
                <w:rFonts w:ascii="Arial" w:hAnsi="Arial" w:cs="Arial"/>
                <w:sz w:val="20"/>
                <w:szCs w:val="20"/>
                <w:lang w:val="es-ES"/>
              </w:rPr>
            </w:pPr>
          </w:p>
          <w:p w14:paraId="73594E32" w14:textId="7C3BD891" w:rsidR="00600DC0" w:rsidRPr="00FE4A9E" w:rsidRDefault="00600DC0" w:rsidP="00FE4A9E">
            <w:pPr>
              <w:jc w:val="center"/>
              <w:rPr>
                <w:rFonts w:ascii="Arial" w:hAnsi="Arial" w:cs="Arial"/>
                <w:sz w:val="20"/>
                <w:szCs w:val="20"/>
                <w:lang w:val="es-ES"/>
              </w:rPr>
            </w:pPr>
          </w:p>
          <w:p w14:paraId="4419BF76" w14:textId="1EF023BF" w:rsidR="00600DC0" w:rsidRPr="00FE4A9E" w:rsidRDefault="00600DC0" w:rsidP="00FE4A9E">
            <w:pPr>
              <w:jc w:val="center"/>
              <w:rPr>
                <w:rFonts w:ascii="Arial" w:hAnsi="Arial" w:cs="Arial"/>
                <w:sz w:val="20"/>
                <w:szCs w:val="20"/>
                <w:lang w:val="es-ES"/>
              </w:rPr>
            </w:pPr>
          </w:p>
          <w:p w14:paraId="2AD2EFE7" w14:textId="7D980D9B" w:rsidR="00600DC0" w:rsidRPr="00FE4A9E" w:rsidRDefault="00600DC0" w:rsidP="00FE4A9E">
            <w:pPr>
              <w:jc w:val="center"/>
              <w:rPr>
                <w:rFonts w:ascii="Arial" w:hAnsi="Arial" w:cs="Arial"/>
                <w:sz w:val="20"/>
                <w:szCs w:val="20"/>
                <w:lang w:val="es-ES"/>
              </w:rPr>
            </w:pPr>
          </w:p>
          <w:p w14:paraId="794A492E" w14:textId="4D4EEE7D" w:rsidR="00600DC0" w:rsidRPr="00FE4A9E" w:rsidRDefault="00600DC0" w:rsidP="00FE4A9E">
            <w:pPr>
              <w:jc w:val="center"/>
              <w:rPr>
                <w:rFonts w:ascii="Arial" w:hAnsi="Arial" w:cs="Arial"/>
                <w:sz w:val="20"/>
                <w:szCs w:val="20"/>
                <w:lang w:val="es-ES"/>
              </w:rPr>
            </w:pPr>
          </w:p>
          <w:p w14:paraId="31E668DE" w14:textId="682022ED" w:rsidR="00600DC0" w:rsidRPr="00FE4A9E" w:rsidRDefault="00600DC0" w:rsidP="00FE4A9E">
            <w:pPr>
              <w:jc w:val="center"/>
              <w:rPr>
                <w:rFonts w:ascii="Arial" w:hAnsi="Arial" w:cs="Arial"/>
                <w:sz w:val="20"/>
                <w:szCs w:val="20"/>
                <w:lang w:val="es-ES"/>
              </w:rPr>
            </w:pPr>
          </w:p>
          <w:p w14:paraId="6F51C990" w14:textId="33E8BF0E" w:rsidR="00600DC0" w:rsidRPr="00FE4A9E" w:rsidRDefault="00600DC0" w:rsidP="00FE4A9E">
            <w:pPr>
              <w:jc w:val="center"/>
              <w:rPr>
                <w:rFonts w:ascii="Arial" w:hAnsi="Arial" w:cs="Arial"/>
                <w:sz w:val="20"/>
                <w:szCs w:val="20"/>
                <w:lang w:val="es-ES"/>
              </w:rPr>
            </w:pPr>
          </w:p>
          <w:p w14:paraId="2FAE8D01" w14:textId="02F65794" w:rsidR="00600DC0" w:rsidRPr="00FE4A9E" w:rsidRDefault="00600DC0" w:rsidP="00FE4A9E">
            <w:pPr>
              <w:jc w:val="center"/>
              <w:rPr>
                <w:rFonts w:ascii="Arial" w:hAnsi="Arial" w:cs="Arial"/>
                <w:sz w:val="20"/>
                <w:szCs w:val="20"/>
                <w:lang w:val="es-ES"/>
              </w:rPr>
            </w:pPr>
          </w:p>
          <w:p w14:paraId="56642439" w14:textId="3F8A73ED" w:rsidR="00600DC0" w:rsidRPr="00FE4A9E" w:rsidRDefault="00600DC0" w:rsidP="00FE4A9E">
            <w:pPr>
              <w:jc w:val="center"/>
              <w:rPr>
                <w:rFonts w:ascii="Arial" w:hAnsi="Arial" w:cs="Arial"/>
                <w:sz w:val="20"/>
                <w:szCs w:val="20"/>
                <w:lang w:val="es-ES"/>
              </w:rPr>
            </w:pPr>
          </w:p>
          <w:p w14:paraId="5ACE75C6" w14:textId="3D8E168E" w:rsidR="00600DC0" w:rsidRPr="00FE4A9E" w:rsidRDefault="00600DC0" w:rsidP="00FE4A9E">
            <w:pPr>
              <w:jc w:val="center"/>
              <w:rPr>
                <w:rFonts w:ascii="Arial" w:hAnsi="Arial" w:cs="Arial"/>
                <w:sz w:val="20"/>
                <w:szCs w:val="20"/>
                <w:lang w:val="es-ES"/>
              </w:rPr>
            </w:pPr>
          </w:p>
          <w:p w14:paraId="3D890951" w14:textId="0F040CB2" w:rsidR="00600DC0" w:rsidRPr="00FE4A9E" w:rsidRDefault="00600DC0" w:rsidP="00FE4A9E">
            <w:pPr>
              <w:jc w:val="center"/>
              <w:rPr>
                <w:rFonts w:ascii="Arial" w:hAnsi="Arial" w:cs="Arial"/>
                <w:sz w:val="20"/>
                <w:szCs w:val="20"/>
                <w:lang w:val="es-ES"/>
              </w:rPr>
            </w:pPr>
          </w:p>
        </w:tc>
        <w:tc>
          <w:tcPr>
            <w:tcW w:w="850" w:type="dxa"/>
            <w:tcBorders>
              <w:top w:val="single" w:sz="4" w:space="0" w:color="000000"/>
              <w:left w:val="single" w:sz="4" w:space="0" w:color="000000"/>
              <w:bottom w:val="single" w:sz="4" w:space="0" w:color="000000"/>
              <w:right w:val="single" w:sz="4" w:space="0" w:color="000000"/>
            </w:tcBorders>
          </w:tcPr>
          <w:p w14:paraId="4D3740D7" w14:textId="2967CA9A" w:rsidR="00600DC0" w:rsidRPr="00FE4A9E" w:rsidRDefault="00600DC0" w:rsidP="00FE4A9E">
            <w:pPr>
              <w:jc w:val="center"/>
              <w:rPr>
                <w:rFonts w:ascii="Arial" w:hAnsi="Arial" w:cs="Arial"/>
                <w:b/>
                <w:sz w:val="20"/>
                <w:szCs w:val="20"/>
                <w:lang w:val="es-ES"/>
              </w:rPr>
            </w:pPr>
            <w:r w:rsidRPr="00FE4A9E">
              <w:rPr>
                <w:rFonts w:ascii="Arial" w:hAnsi="Arial" w:cs="Arial"/>
                <w:b/>
                <w:sz w:val="20"/>
                <w:szCs w:val="20"/>
                <w:lang w:val="es-ES"/>
              </w:rPr>
              <w:lastRenderedPageBreak/>
              <w:t>NORMA</w:t>
            </w:r>
          </w:p>
        </w:tc>
        <w:tc>
          <w:tcPr>
            <w:tcW w:w="1134" w:type="dxa"/>
            <w:tcBorders>
              <w:top w:val="single" w:sz="4" w:space="0" w:color="000000"/>
              <w:left w:val="single" w:sz="4" w:space="0" w:color="000000"/>
              <w:bottom w:val="single" w:sz="4" w:space="0" w:color="000000"/>
              <w:right w:val="single" w:sz="4" w:space="0" w:color="000000"/>
            </w:tcBorders>
          </w:tcPr>
          <w:p w14:paraId="5BBF5ED5" w14:textId="0DD449CB" w:rsidR="00600DC0" w:rsidRPr="00FE4A9E" w:rsidRDefault="00600DC0" w:rsidP="00FE4A9E">
            <w:pPr>
              <w:jc w:val="center"/>
              <w:rPr>
                <w:rFonts w:ascii="Arial" w:hAnsi="Arial" w:cs="Arial"/>
                <w:b/>
                <w:sz w:val="20"/>
                <w:szCs w:val="20"/>
                <w:lang w:val="es-ES"/>
              </w:rPr>
            </w:pPr>
            <w:r w:rsidRPr="00FE4A9E">
              <w:rPr>
                <w:rFonts w:ascii="Arial" w:hAnsi="Arial" w:cs="Arial"/>
                <w:b/>
                <w:sz w:val="20"/>
                <w:szCs w:val="20"/>
                <w:lang w:val="es-ES"/>
              </w:rPr>
              <w:t>ARTICULO</w:t>
            </w:r>
          </w:p>
        </w:tc>
        <w:tc>
          <w:tcPr>
            <w:tcW w:w="1134" w:type="dxa"/>
            <w:tcBorders>
              <w:top w:val="single" w:sz="4" w:space="0" w:color="000000"/>
              <w:left w:val="single" w:sz="4" w:space="0" w:color="000000"/>
              <w:bottom w:val="single" w:sz="4" w:space="0" w:color="000000"/>
              <w:right w:val="single" w:sz="4" w:space="0" w:color="000000"/>
            </w:tcBorders>
          </w:tcPr>
          <w:p w14:paraId="57A5EC57" w14:textId="241FAE0A" w:rsidR="00600DC0" w:rsidRPr="00FE4A9E" w:rsidRDefault="00600DC0" w:rsidP="00FE4A9E">
            <w:pPr>
              <w:jc w:val="center"/>
              <w:rPr>
                <w:rFonts w:ascii="Arial" w:hAnsi="Arial" w:cs="Arial"/>
                <w:b/>
                <w:sz w:val="20"/>
                <w:szCs w:val="20"/>
                <w:lang w:val="es-ES"/>
              </w:rPr>
            </w:pPr>
            <w:r w:rsidRPr="00FE4A9E">
              <w:rPr>
                <w:rFonts w:ascii="Arial" w:hAnsi="Arial" w:cs="Arial"/>
                <w:b/>
                <w:sz w:val="20"/>
                <w:szCs w:val="20"/>
                <w:lang w:val="es-ES"/>
              </w:rPr>
              <w:t>NUMERAL</w:t>
            </w:r>
          </w:p>
        </w:tc>
        <w:tc>
          <w:tcPr>
            <w:tcW w:w="851" w:type="dxa"/>
            <w:tcBorders>
              <w:top w:val="single" w:sz="4" w:space="0" w:color="000000"/>
              <w:left w:val="single" w:sz="4" w:space="0" w:color="000000"/>
              <w:bottom w:val="single" w:sz="4" w:space="0" w:color="000000"/>
              <w:right w:val="single" w:sz="4" w:space="0" w:color="000000"/>
            </w:tcBorders>
          </w:tcPr>
          <w:p w14:paraId="1368B314" w14:textId="6E647F6F" w:rsidR="00600DC0" w:rsidRPr="00FE4A9E" w:rsidRDefault="00600DC0" w:rsidP="00FE4A9E">
            <w:pPr>
              <w:jc w:val="center"/>
              <w:rPr>
                <w:rFonts w:ascii="Arial" w:hAnsi="Arial" w:cs="Arial"/>
                <w:sz w:val="20"/>
                <w:szCs w:val="20"/>
                <w:lang w:val="es-ES"/>
              </w:rPr>
            </w:pPr>
            <w:r w:rsidRPr="00FE4A9E">
              <w:rPr>
                <w:rFonts w:ascii="Arial" w:hAnsi="Arial" w:cs="Arial"/>
                <w:b/>
                <w:sz w:val="20"/>
                <w:szCs w:val="20"/>
                <w:lang w:val="es-ES"/>
              </w:rPr>
              <w:t>TOTAL</w:t>
            </w:r>
          </w:p>
        </w:tc>
      </w:tr>
      <w:tr w:rsidR="00600DC0" w:rsidRPr="00600DC0" w14:paraId="5B7EEDF3" w14:textId="77777777" w:rsidTr="0079439D">
        <w:trPr>
          <w:trHeight w:val="310"/>
        </w:trPr>
        <w:tc>
          <w:tcPr>
            <w:tcW w:w="1276" w:type="dxa"/>
            <w:tcBorders>
              <w:top w:val="single" w:sz="4" w:space="0" w:color="000000"/>
              <w:left w:val="single" w:sz="4" w:space="0" w:color="000000"/>
              <w:bottom w:val="single" w:sz="4" w:space="0" w:color="000000"/>
              <w:right w:val="single" w:sz="4" w:space="0" w:color="000000"/>
            </w:tcBorders>
          </w:tcPr>
          <w:p w14:paraId="5CCF46BC" w14:textId="2079C24F"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270</w:t>
            </w:r>
          </w:p>
        </w:tc>
        <w:tc>
          <w:tcPr>
            <w:tcW w:w="1276" w:type="dxa"/>
            <w:tcBorders>
              <w:top w:val="single" w:sz="4" w:space="0" w:color="000000"/>
              <w:left w:val="single" w:sz="4" w:space="0" w:color="000000"/>
              <w:bottom w:val="single" w:sz="4" w:space="0" w:color="000000"/>
              <w:right w:val="single" w:sz="4" w:space="0" w:color="000000"/>
            </w:tcBorders>
          </w:tcPr>
          <w:p w14:paraId="16D97DF4" w14:textId="7A200346"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153</w:t>
            </w:r>
          </w:p>
        </w:tc>
        <w:tc>
          <w:tcPr>
            <w:tcW w:w="1134" w:type="dxa"/>
            <w:tcBorders>
              <w:top w:val="single" w:sz="4" w:space="0" w:color="000000"/>
              <w:left w:val="single" w:sz="4" w:space="0" w:color="000000"/>
              <w:bottom w:val="single" w:sz="4" w:space="0" w:color="000000"/>
              <w:right w:val="single" w:sz="4" w:space="0" w:color="000000"/>
            </w:tcBorders>
          </w:tcPr>
          <w:p w14:paraId="30C1C372" w14:textId="392A8592"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1</w:t>
            </w:r>
          </w:p>
        </w:tc>
        <w:tc>
          <w:tcPr>
            <w:tcW w:w="850" w:type="dxa"/>
            <w:tcBorders>
              <w:top w:val="single" w:sz="4" w:space="0" w:color="000000"/>
              <w:left w:val="single" w:sz="4" w:space="0" w:color="000000"/>
              <w:bottom w:val="single" w:sz="4" w:space="0" w:color="000000"/>
              <w:right w:val="single" w:sz="4" w:space="0" w:color="000000"/>
            </w:tcBorders>
          </w:tcPr>
          <w:p w14:paraId="1473C309" w14:textId="2F5316AB" w:rsidR="00600DC0" w:rsidRPr="00FE4A9E" w:rsidRDefault="00600DC0" w:rsidP="00FE4A9E">
            <w:pPr>
              <w:jc w:val="center"/>
              <w:rPr>
                <w:rFonts w:ascii="Arial" w:hAnsi="Arial" w:cs="Arial"/>
                <w:sz w:val="20"/>
                <w:szCs w:val="20"/>
                <w:lang w:val="es-ES"/>
              </w:rPr>
            </w:pPr>
            <w:r w:rsidRPr="00FE4A9E">
              <w:rPr>
                <w:rFonts w:ascii="Arial" w:hAnsi="Arial" w:cs="Arial"/>
                <w:b/>
                <w:sz w:val="20"/>
                <w:szCs w:val="20"/>
                <w:lang w:val="es-ES"/>
              </w:rPr>
              <w:t>583</w:t>
            </w:r>
          </w:p>
        </w:tc>
        <w:tc>
          <w:tcPr>
            <w:tcW w:w="284" w:type="dxa"/>
            <w:vMerge/>
            <w:tcBorders>
              <w:top w:val="nil"/>
              <w:left w:val="single" w:sz="4" w:space="0" w:color="000000"/>
              <w:bottom w:val="nil"/>
              <w:right w:val="single" w:sz="4" w:space="0" w:color="000000"/>
            </w:tcBorders>
          </w:tcPr>
          <w:p w14:paraId="380DE2D9" w14:textId="77777777" w:rsidR="00600DC0" w:rsidRPr="00FE4A9E" w:rsidRDefault="00600DC0" w:rsidP="00FE4A9E">
            <w:pPr>
              <w:jc w:val="center"/>
              <w:rPr>
                <w:rFonts w:ascii="Arial" w:hAnsi="Arial" w:cs="Arial"/>
                <w:sz w:val="20"/>
                <w:szCs w:val="20"/>
                <w:lang w:val="es-ES"/>
              </w:rPr>
            </w:pPr>
          </w:p>
        </w:tc>
        <w:tc>
          <w:tcPr>
            <w:tcW w:w="850" w:type="dxa"/>
            <w:tcBorders>
              <w:top w:val="single" w:sz="4" w:space="0" w:color="000000"/>
              <w:left w:val="single" w:sz="4" w:space="0" w:color="000000"/>
              <w:bottom w:val="single" w:sz="4" w:space="0" w:color="000000"/>
              <w:right w:val="single" w:sz="4" w:space="0" w:color="000000"/>
            </w:tcBorders>
          </w:tcPr>
          <w:p w14:paraId="07C4699D" w14:textId="219975CA"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734</w:t>
            </w:r>
          </w:p>
        </w:tc>
        <w:tc>
          <w:tcPr>
            <w:tcW w:w="1134" w:type="dxa"/>
            <w:tcBorders>
              <w:top w:val="single" w:sz="4" w:space="0" w:color="000000"/>
              <w:left w:val="single" w:sz="4" w:space="0" w:color="000000"/>
              <w:bottom w:val="single" w:sz="4" w:space="0" w:color="000000"/>
              <w:right w:val="single" w:sz="4" w:space="0" w:color="000000"/>
            </w:tcBorders>
          </w:tcPr>
          <w:p w14:paraId="15146A27" w14:textId="17488DCB"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196</w:t>
            </w:r>
          </w:p>
        </w:tc>
        <w:tc>
          <w:tcPr>
            <w:tcW w:w="1134" w:type="dxa"/>
            <w:tcBorders>
              <w:top w:val="single" w:sz="4" w:space="0" w:color="000000"/>
              <w:left w:val="single" w:sz="4" w:space="0" w:color="000000"/>
              <w:bottom w:val="single" w:sz="4" w:space="0" w:color="000000"/>
              <w:right w:val="single" w:sz="4" w:space="0" w:color="000000"/>
            </w:tcBorders>
          </w:tcPr>
          <w:p w14:paraId="4B3923E6" w14:textId="55745C31" w:rsidR="00600DC0" w:rsidRPr="00FE4A9E" w:rsidRDefault="00600DC0" w:rsidP="00FE4A9E">
            <w:pPr>
              <w:jc w:val="center"/>
              <w:rPr>
                <w:rFonts w:ascii="Arial" w:hAnsi="Arial" w:cs="Arial"/>
                <w:sz w:val="20"/>
                <w:szCs w:val="20"/>
                <w:lang w:val="es-ES"/>
              </w:rPr>
            </w:pPr>
          </w:p>
        </w:tc>
        <w:tc>
          <w:tcPr>
            <w:tcW w:w="851" w:type="dxa"/>
            <w:tcBorders>
              <w:top w:val="single" w:sz="4" w:space="0" w:color="000000"/>
              <w:left w:val="single" w:sz="4" w:space="0" w:color="000000"/>
              <w:bottom w:val="single" w:sz="4" w:space="0" w:color="000000"/>
              <w:right w:val="single" w:sz="4" w:space="0" w:color="000000"/>
            </w:tcBorders>
          </w:tcPr>
          <w:p w14:paraId="6A22FE34" w14:textId="6C01AD86" w:rsidR="00600DC0" w:rsidRPr="00FE4A9E" w:rsidRDefault="00600DC0" w:rsidP="00FE4A9E">
            <w:pPr>
              <w:jc w:val="center"/>
              <w:rPr>
                <w:rFonts w:ascii="Arial" w:hAnsi="Arial" w:cs="Arial"/>
                <w:sz w:val="20"/>
                <w:szCs w:val="20"/>
                <w:lang w:val="es-ES"/>
              </w:rPr>
            </w:pPr>
            <w:r w:rsidRPr="00FE4A9E">
              <w:rPr>
                <w:rFonts w:ascii="Arial" w:hAnsi="Arial" w:cs="Arial"/>
                <w:b/>
                <w:sz w:val="20"/>
                <w:szCs w:val="20"/>
                <w:lang w:val="es-ES"/>
              </w:rPr>
              <w:t>28</w:t>
            </w:r>
          </w:p>
        </w:tc>
      </w:tr>
      <w:tr w:rsidR="00600DC0" w:rsidRPr="00600DC0" w14:paraId="7E2EC58A" w14:textId="77777777" w:rsidTr="0079439D">
        <w:trPr>
          <w:trHeight w:val="310"/>
        </w:trPr>
        <w:tc>
          <w:tcPr>
            <w:tcW w:w="1276" w:type="dxa"/>
            <w:tcBorders>
              <w:top w:val="single" w:sz="4" w:space="0" w:color="000000"/>
              <w:left w:val="single" w:sz="4" w:space="0" w:color="000000"/>
              <w:bottom w:val="single" w:sz="4" w:space="0" w:color="000000"/>
              <w:right w:val="single" w:sz="4" w:space="0" w:color="000000"/>
            </w:tcBorders>
          </w:tcPr>
          <w:p w14:paraId="2F7B740C" w14:textId="176AD2D6"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734</w:t>
            </w:r>
          </w:p>
        </w:tc>
        <w:tc>
          <w:tcPr>
            <w:tcW w:w="1276" w:type="dxa"/>
            <w:tcBorders>
              <w:top w:val="single" w:sz="4" w:space="0" w:color="000000"/>
              <w:left w:val="single" w:sz="4" w:space="0" w:color="000000"/>
              <w:bottom w:val="single" w:sz="4" w:space="0" w:color="000000"/>
              <w:right w:val="single" w:sz="4" w:space="0" w:color="000000"/>
            </w:tcBorders>
          </w:tcPr>
          <w:p w14:paraId="2E1FB1FF" w14:textId="7827179B"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196</w:t>
            </w:r>
          </w:p>
        </w:tc>
        <w:tc>
          <w:tcPr>
            <w:tcW w:w="1134" w:type="dxa"/>
            <w:tcBorders>
              <w:top w:val="single" w:sz="4" w:space="0" w:color="000000"/>
              <w:left w:val="single" w:sz="4" w:space="0" w:color="000000"/>
              <w:bottom w:val="single" w:sz="4" w:space="0" w:color="000000"/>
              <w:right w:val="single" w:sz="4" w:space="0" w:color="000000"/>
            </w:tcBorders>
          </w:tcPr>
          <w:p w14:paraId="10FC61FA" w14:textId="0EC19A89" w:rsidR="00600DC0" w:rsidRPr="00FE4A9E" w:rsidRDefault="00600DC0" w:rsidP="00FE4A9E">
            <w:pPr>
              <w:jc w:val="center"/>
              <w:rPr>
                <w:rFonts w:ascii="Arial" w:hAnsi="Arial" w:cs="Arial"/>
                <w:sz w:val="20"/>
                <w:szCs w:val="20"/>
                <w:lang w:val="es-ES"/>
              </w:rPr>
            </w:pPr>
          </w:p>
        </w:tc>
        <w:tc>
          <w:tcPr>
            <w:tcW w:w="850" w:type="dxa"/>
            <w:tcBorders>
              <w:top w:val="single" w:sz="4" w:space="0" w:color="000000"/>
              <w:left w:val="single" w:sz="4" w:space="0" w:color="000000"/>
              <w:bottom w:val="single" w:sz="4" w:space="0" w:color="000000"/>
              <w:right w:val="single" w:sz="4" w:space="0" w:color="000000"/>
            </w:tcBorders>
          </w:tcPr>
          <w:p w14:paraId="3D475B3C" w14:textId="34522BBF" w:rsidR="00600DC0" w:rsidRPr="00FE4A9E" w:rsidRDefault="00600DC0" w:rsidP="00FE4A9E">
            <w:pPr>
              <w:jc w:val="center"/>
              <w:rPr>
                <w:rFonts w:ascii="Arial" w:hAnsi="Arial" w:cs="Arial"/>
                <w:sz w:val="20"/>
                <w:szCs w:val="20"/>
                <w:lang w:val="es-ES"/>
              </w:rPr>
            </w:pPr>
            <w:r w:rsidRPr="00FE4A9E">
              <w:rPr>
                <w:rFonts w:ascii="Arial" w:hAnsi="Arial" w:cs="Arial"/>
                <w:b/>
                <w:sz w:val="20"/>
                <w:szCs w:val="20"/>
                <w:lang w:val="es-ES"/>
              </w:rPr>
              <w:t>258</w:t>
            </w:r>
          </w:p>
        </w:tc>
        <w:tc>
          <w:tcPr>
            <w:tcW w:w="284" w:type="dxa"/>
            <w:vMerge/>
            <w:tcBorders>
              <w:top w:val="nil"/>
              <w:left w:val="single" w:sz="4" w:space="0" w:color="000000"/>
              <w:bottom w:val="nil"/>
              <w:right w:val="single" w:sz="4" w:space="0" w:color="000000"/>
            </w:tcBorders>
          </w:tcPr>
          <w:p w14:paraId="7583D51A" w14:textId="77777777" w:rsidR="00600DC0" w:rsidRPr="00FE4A9E" w:rsidRDefault="00600DC0" w:rsidP="00FE4A9E">
            <w:pPr>
              <w:jc w:val="center"/>
              <w:rPr>
                <w:rFonts w:ascii="Arial" w:hAnsi="Arial" w:cs="Arial"/>
                <w:sz w:val="20"/>
                <w:szCs w:val="20"/>
                <w:lang w:val="es-ES"/>
              </w:rPr>
            </w:pPr>
          </w:p>
        </w:tc>
        <w:tc>
          <w:tcPr>
            <w:tcW w:w="850" w:type="dxa"/>
            <w:tcBorders>
              <w:top w:val="single" w:sz="4" w:space="0" w:color="000000"/>
              <w:left w:val="single" w:sz="4" w:space="0" w:color="000000"/>
              <w:bottom w:val="single" w:sz="4" w:space="0" w:color="000000"/>
              <w:right w:val="single" w:sz="4" w:space="0" w:color="000000"/>
            </w:tcBorders>
          </w:tcPr>
          <w:p w14:paraId="5D932B26" w14:textId="4F651E25"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270</w:t>
            </w:r>
          </w:p>
        </w:tc>
        <w:tc>
          <w:tcPr>
            <w:tcW w:w="1134" w:type="dxa"/>
            <w:tcBorders>
              <w:top w:val="single" w:sz="4" w:space="0" w:color="000000"/>
              <w:left w:val="single" w:sz="4" w:space="0" w:color="000000"/>
              <w:bottom w:val="single" w:sz="4" w:space="0" w:color="000000"/>
              <w:right w:val="single" w:sz="4" w:space="0" w:color="000000"/>
            </w:tcBorders>
          </w:tcPr>
          <w:p w14:paraId="71EB2F70" w14:textId="75425086"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153</w:t>
            </w:r>
          </w:p>
        </w:tc>
        <w:tc>
          <w:tcPr>
            <w:tcW w:w="1134" w:type="dxa"/>
            <w:tcBorders>
              <w:top w:val="single" w:sz="4" w:space="0" w:color="000000"/>
              <w:left w:val="single" w:sz="4" w:space="0" w:color="000000"/>
              <w:bottom w:val="single" w:sz="4" w:space="0" w:color="000000"/>
              <w:right w:val="single" w:sz="4" w:space="0" w:color="000000"/>
            </w:tcBorders>
          </w:tcPr>
          <w:p w14:paraId="6687C556" w14:textId="0C1811C7"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1</w:t>
            </w:r>
          </w:p>
        </w:tc>
        <w:tc>
          <w:tcPr>
            <w:tcW w:w="851" w:type="dxa"/>
            <w:tcBorders>
              <w:top w:val="single" w:sz="4" w:space="0" w:color="000000"/>
              <w:left w:val="single" w:sz="4" w:space="0" w:color="000000"/>
              <w:bottom w:val="single" w:sz="4" w:space="0" w:color="000000"/>
              <w:right w:val="single" w:sz="4" w:space="0" w:color="000000"/>
            </w:tcBorders>
          </w:tcPr>
          <w:p w14:paraId="01AA5295" w14:textId="126EC4C1" w:rsidR="00600DC0" w:rsidRPr="00FE4A9E" w:rsidRDefault="00600DC0" w:rsidP="00FE4A9E">
            <w:pPr>
              <w:jc w:val="center"/>
              <w:rPr>
                <w:rFonts w:ascii="Arial" w:hAnsi="Arial" w:cs="Arial"/>
                <w:sz w:val="20"/>
                <w:szCs w:val="20"/>
                <w:lang w:val="es-ES"/>
              </w:rPr>
            </w:pPr>
            <w:r w:rsidRPr="00FE4A9E">
              <w:rPr>
                <w:rFonts w:ascii="Arial" w:hAnsi="Arial" w:cs="Arial"/>
                <w:b/>
                <w:sz w:val="20"/>
                <w:szCs w:val="20"/>
                <w:lang w:val="es-ES"/>
              </w:rPr>
              <w:t>22</w:t>
            </w:r>
          </w:p>
        </w:tc>
      </w:tr>
      <w:tr w:rsidR="00600DC0" w:rsidRPr="00600DC0" w14:paraId="68C98D15" w14:textId="77777777" w:rsidTr="0079439D">
        <w:trPr>
          <w:trHeight w:val="310"/>
        </w:trPr>
        <w:tc>
          <w:tcPr>
            <w:tcW w:w="1276" w:type="dxa"/>
            <w:tcBorders>
              <w:top w:val="single" w:sz="4" w:space="0" w:color="000000"/>
              <w:left w:val="single" w:sz="4" w:space="0" w:color="000000"/>
              <w:bottom w:val="single" w:sz="4" w:space="0" w:color="000000"/>
              <w:right w:val="single" w:sz="4" w:space="0" w:color="000000"/>
            </w:tcBorders>
          </w:tcPr>
          <w:p w14:paraId="635D2DCD" w14:textId="3E7EE233"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270</w:t>
            </w:r>
          </w:p>
        </w:tc>
        <w:tc>
          <w:tcPr>
            <w:tcW w:w="1276" w:type="dxa"/>
            <w:tcBorders>
              <w:top w:val="single" w:sz="4" w:space="0" w:color="000000"/>
              <w:left w:val="single" w:sz="4" w:space="0" w:color="000000"/>
              <w:bottom w:val="single" w:sz="4" w:space="0" w:color="000000"/>
              <w:right w:val="single" w:sz="4" w:space="0" w:color="000000"/>
            </w:tcBorders>
          </w:tcPr>
          <w:p w14:paraId="08B301CB" w14:textId="24B8A050"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153</w:t>
            </w:r>
          </w:p>
        </w:tc>
        <w:tc>
          <w:tcPr>
            <w:tcW w:w="1134" w:type="dxa"/>
            <w:tcBorders>
              <w:top w:val="single" w:sz="4" w:space="0" w:color="000000"/>
              <w:left w:val="single" w:sz="4" w:space="0" w:color="000000"/>
              <w:bottom w:val="single" w:sz="4" w:space="0" w:color="000000"/>
              <w:right w:val="single" w:sz="4" w:space="0" w:color="000000"/>
            </w:tcBorders>
          </w:tcPr>
          <w:p w14:paraId="565886EF" w14:textId="59EAD21C"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15</w:t>
            </w:r>
          </w:p>
        </w:tc>
        <w:tc>
          <w:tcPr>
            <w:tcW w:w="850" w:type="dxa"/>
            <w:tcBorders>
              <w:top w:val="single" w:sz="4" w:space="0" w:color="000000"/>
              <w:left w:val="single" w:sz="4" w:space="0" w:color="000000"/>
              <w:bottom w:val="single" w:sz="4" w:space="0" w:color="000000"/>
              <w:right w:val="single" w:sz="4" w:space="0" w:color="000000"/>
            </w:tcBorders>
          </w:tcPr>
          <w:p w14:paraId="1D3D75E3" w14:textId="208B6D17" w:rsidR="00600DC0" w:rsidRPr="00FE4A9E" w:rsidRDefault="00600DC0" w:rsidP="00FE4A9E">
            <w:pPr>
              <w:jc w:val="center"/>
              <w:rPr>
                <w:rFonts w:ascii="Arial" w:hAnsi="Arial" w:cs="Arial"/>
                <w:sz w:val="20"/>
                <w:szCs w:val="20"/>
                <w:lang w:val="es-ES"/>
              </w:rPr>
            </w:pPr>
            <w:r w:rsidRPr="00FE4A9E">
              <w:rPr>
                <w:rFonts w:ascii="Arial" w:hAnsi="Arial" w:cs="Arial"/>
                <w:b/>
                <w:sz w:val="20"/>
                <w:szCs w:val="20"/>
                <w:lang w:val="es-ES"/>
              </w:rPr>
              <w:t>112</w:t>
            </w:r>
          </w:p>
        </w:tc>
        <w:tc>
          <w:tcPr>
            <w:tcW w:w="284" w:type="dxa"/>
            <w:vMerge/>
            <w:tcBorders>
              <w:top w:val="nil"/>
              <w:left w:val="single" w:sz="4" w:space="0" w:color="000000"/>
              <w:bottom w:val="nil"/>
              <w:right w:val="single" w:sz="4" w:space="0" w:color="000000"/>
            </w:tcBorders>
          </w:tcPr>
          <w:p w14:paraId="59E050FE" w14:textId="77777777" w:rsidR="00600DC0" w:rsidRPr="00FE4A9E" w:rsidRDefault="00600DC0" w:rsidP="00FE4A9E">
            <w:pPr>
              <w:jc w:val="center"/>
              <w:rPr>
                <w:rFonts w:ascii="Arial" w:hAnsi="Arial" w:cs="Arial"/>
                <w:sz w:val="20"/>
                <w:szCs w:val="20"/>
                <w:lang w:val="es-ES"/>
              </w:rPr>
            </w:pPr>
          </w:p>
        </w:tc>
        <w:tc>
          <w:tcPr>
            <w:tcW w:w="850" w:type="dxa"/>
            <w:tcBorders>
              <w:top w:val="single" w:sz="4" w:space="0" w:color="000000"/>
              <w:left w:val="single" w:sz="4" w:space="0" w:color="000000"/>
              <w:bottom w:val="single" w:sz="4" w:space="0" w:color="000000"/>
              <w:right w:val="single" w:sz="4" w:space="0" w:color="000000"/>
            </w:tcBorders>
          </w:tcPr>
          <w:p w14:paraId="0D8FFDB6" w14:textId="1FE4DAEE"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270</w:t>
            </w:r>
          </w:p>
        </w:tc>
        <w:tc>
          <w:tcPr>
            <w:tcW w:w="1134" w:type="dxa"/>
            <w:tcBorders>
              <w:top w:val="single" w:sz="4" w:space="0" w:color="000000"/>
              <w:left w:val="single" w:sz="4" w:space="0" w:color="000000"/>
              <w:bottom w:val="single" w:sz="4" w:space="0" w:color="000000"/>
              <w:right w:val="single" w:sz="4" w:space="0" w:color="000000"/>
            </w:tcBorders>
          </w:tcPr>
          <w:p w14:paraId="6804F5FF" w14:textId="29AFB28E"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154</w:t>
            </w:r>
          </w:p>
        </w:tc>
        <w:tc>
          <w:tcPr>
            <w:tcW w:w="1134" w:type="dxa"/>
            <w:tcBorders>
              <w:top w:val="single" w:sz="4" w:space="0" w:color="000000"/>
              <w:left w:val="single" w:sz="4" w:space="0" w:color="000000"/>
              <w:bottom w:val="single" w:sz="4" w:space="0" w:color="000000"/>
              <w:right w:val="single" w:sz="4" w:space="0" w:color="000000"/>
            </w:tcBorders>
          </w:tcPr>
          <w:p w14:paraId="215E3166" w14:textId="5461C01C"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3</w:t>
            </w:r>
          </w:p>
        </w:tc>
        <w:tc>
          <w:tcPr>
            <w:tcW w:w="851" w:type="dxa"/>
            <w:tcBorders>
              <w:top w:val="single" w:sz="4" w:space="0" w:color="000000"/>
              <w:left w:val="single" w:sz="4" w:space="0" w:color="000000"/>
              <w:bottom w:val="single" w:sz="4" w:space="0" w:color="000000"/>
              <w:right w:val="single" w:sz="4" w:space="0" w:color="000000"/>
            </w:tcBorders>
          </w:tcPr>
          <w:p w14:paraId="3599CFE6" w14:textId="4513D9CC" w:rsidR="00600DC0" w:rsidRPr="00FE4A9E" w:rsidRDefault="00600DC0" w:rsidP="00FE4A9E">
            <w:pPr>
              <w:jc w:val="center"/>
              <w:rPr>
                <w:rFonts w:ascii="Arial" w:hAnsi="Arial" w:cs="Arial"/>
                <w:sz w:val="20"/>
                <w:szCs w:val="20"/>
                <w:lang w:val="es-ES"/>
              </w:rPr>
            </w:pPr>
            <w:r w:rsidRPr="00FE4A9E">
              <w:rPr>
                <w:rFonts w:ascii="Arial" w:hAnsi="Arial" w:cs="Arial"/>
                <w:b/>
                <w:sz w:val="20"/>
                <w:szCs w:val="20"/>
                <w:lang w:val="es-ES"/>
              </w:rPr>
              <w:t>21</w:t>
            </w:r>
          </w:p>
        </w:tc>
      </w:tr>
      <w:tr w:rsidR="00600DC0" w:rsidRPr="00600DC0" w14:paraId="3F747AB7" w14:textId="77777777" w:rsidTr="0079439D">
        <w:trPr>
          <w:trHeight w:val="310"/>
        </w:trPr>
        <w:tc>
          <w:tcPr>
            <w:tcW w:w="1276" w:type="dxa"/>
            <w:tcBorders>
              <w:top w:val="single" w:sz="4" w:space="0" w:color="000000"/>
              <w:left w:val="single" w:sz="4" w:space="0" w:color="000000"/>
              <w:bottom w:val="single" w:sz="4" w:space="0" w:color="000000"/>
              <w:right w:val="single" w:sz="4" w:space="0" w:color="000000"/>
            </w:tcBorders>
          </w:tcPr>
          <w:p w14:paraId="1736595D" w14:textId="259748F8"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270</w:t>
            </w:r>
          </w:p>
        </w:tc>
        <w:tc>
          <w:tcPr>
            <w:tcW w:w="1276" w:type="dxa"/>
            <w:tcBorders>
              <w:top w:val="single" w:sz="4" w:space="0" w:color="000000"/>
              <w:left w:val="single" w:sz="4" w:space="0" w:color="000000"/>
              <w:bottom w:val="single" w:sz="4" w:space="0" w:color="000000"/>
              <w:right w:val="single" w:sz="4" w:space="0" w:color="000000"/>
            </w:tcBorders>
          </w:tcPr>
          <w:p w14:paraId="1B0F0C7E" w14:textId="37D70E1D"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154</w:t>
            </w:r>
          </w:p>
        </w:tc>
        <w:tc>
          <w:tcPr>
            <w:tcW w:w="1134" w:type="dxa"/>
            <w:tcBorders>
              <w:top w:val="single" w:sz="4" w:space="0" w:color="000000"/>
              <w:left w:val="single" w:sz="4" w:space="0" w:color="000000"/>
              <w:bottom w:val="single" w:sz="4" w:space="0" w:color="000000"/>
              <w:right w:val="single" w:sz="4" w:space="0" w:color="000000"/>
            </w:tcBorders>
          </w:tcPr>
          <w:p w14:paraId="2B5F1118" w14:textId="504534F8"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3</w:t>
            </w:r>
          </w:p>
        </w:tc>
        <w:tc>
          <w:tcPr>
            <w:tcW w:w="850" w:type="dxa"/>
            <w:tcBorders>
              <w:top w:val="single" w:sz="4" w:space="0" w:color="000000"/>
              <w:left w:val="single" w:sz="4" w:space="0" w:color="000000"/>
              <w:bottom w:val="single" w:sz="4" w:space="0" w:color="000000"/>
              <w:right w:val="single" w:sz="4" w:space="0" w:color="000000"/>
            </w:tcBorders>
          </w:tcPr>
          <w:p w14:paraId="791F9EF5" w14:textId="0A0DDE0C" w:rsidR="00600DC0" w:rsidRPr="00FE4A9E" w:rsidRDefault="00600DC0" w:rsidP="00FE4A9E">
            <w:pPr>
              <w:jc w:val="center"/>
              <w:rPr>
                <w:rFonts w:ascii="Arial" w:hAnsi="Arial" w:cs="Arial"/>
                <w:sz w:val="20"/>
                <w:szCs w:val="20"/>
                <w:lang w:val="es-ES"/>
              </w:rPr>
            </w:pPr>
            <w:r w:rsidRPr="00FE4A9E">
              <w:rPr>
                <w:rFonts w:ascii="Arial" w:hAnsi="Arial" w:cs="Arial"/>
                <w:b/>
                <w:sz w:val="20"/>
                <w:szCs w:val="20"/>
                <w:lang w:val="es-ES"/>
              </w:rPr>
              <w:t>94</w:t>
            </w:r>
          </w:p>
        </w:tc>
        <w:tc>
          <w:tcPr>
            <w:tcW w:w="284" w:type="dxa"/>
            <w:vMerge/>
            <w:tcBorders>
              <w:top w:val="nil"/>
              <w:left w:val="single" w:sz="4" w:space="0" w:color="000000"/>
              <w:bottom w:val="nil"/>
              <w:right w:val="single" w:sz="4" w:space="0" w:color="000000"/>
            </w:tcBorders>
          </w:tcPr>
          <w:p w14:paraId="4D2203A8" w14:textId="77777777" w:rsidR="00600DC0" w:rsidRPr="00FE4A9E" w:rsidRDefault="00600DC0" w:rsidP="00FE4A9E">
            <w:pPr>
              <w:jc w:val="center"/>
              <w:rPr>
                <w:rFonts w:ascii="Arial" w:hAnsi="Arial" w:cs="Arial"/>
                <w:sz w:val="20"/>
                <w:szCs w:val="20"/>
                <w:lang w:val="es-ES"/>
              </w:rPr>
            </w:pPr>
          </w:p>
        </w:tc>
        <w:tc>
          <w:tcPr>
            <w:tcW w:w="850" w:type="dxa"/>
            <w:tcBorders>
              <w:top w:val="single" w:sz="4" w:space="0" w:color="000000"/>
              <w:left w:val="single" w:sz="4" w:space="0" w:color="000000"/>
              <w:bottom w:val="single" w:sz="4" w:space="0" w:color="000000"/>
              <w:right w:val="single" w:sz="4" w:space="0" w:color="000000"/>
            </w:tcBorders>
          </w:tcPr>
          <w:p w14:paraId="2CF3182D" w14:textId="510C1E91"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734</w:t>
            </w:r>
          </w:p>
        </w:tc>
        <w:tc>
          <w:tcPr>
            <w:tcW w:w="1134" w:type="dxa"/>
            <w:tcBorders>
              <w:top w:val="single" w:sz="4" w:space="0" w:color="000000"/>
              <w:left w:val="single" w:sz="4" w:space="0" w:color="000000"/>
              <w:bottom w:val="single" w:sz="4" w:space="0" w:color="000000"/>
              <w:right w:val="single" w:sz="4" w:space="0" w:color="000000"/>
            </w:tcBorders>
          </w:tcPr>
          <w:p w14:paraId="04F34F84" w14:textId="58FD80F5"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48</w:t>
            </w:r>
          </w:p>
        </w:tc>
        <w:tc>
          <w:tcPr>
            <w:tcW w:w="1134" w:type="dxa"/>
            <w:tcBorders>
              <w:top w:val="single" w:sz="4" w:space="0" w:color="000000"/>
              <w:left w:val="single" w:sz="4" w:space="0" w:color="000000"/>
              <w:bottom w:val="single" w:sz="4" w:space="0" w:color="000000"/>
              <w:right w:val="single" w:sz="4" w:space="0" w:color="000000"/>
            </w:tcBorders>
          </w:tcPr>
          <w:p w14:paraId="053E3447" w14:textId="10492082"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1</w:t>
            </w:r>
          </w:p>
        </w:tc>
        <w:tc>
          <w:tcPr>
            <w:tcW w:w="851" w:type="dxa"/>
            <w:tcBorders>
              <w:top w:val="single" w:sz="4" w:space="0" w:color="000000"/>
              <w:left w:val="single" w:sz="4" w:space="0" w:color="000000"/>
              <w:bottom w:val="single" w:sz="4" w:space="0" w:color="000000"/>
              <w:right w:val="single" w:sz="4" w:space="0" w:color="000000"/>
            </w:tcBorders>
          </w:tcPr>
          <w:p w14:paraId="3E68398C" w14:textId="6070C51C" w:rsidR="00600DC0" w:rsidRPr="00FE4A9E" w:rsidRDefault="00600DC0" w:rsidP="00FE4A9E">
            <w:pPr>
              <w:jc w:val="center"/>
              <w:rPr>
                <w:rFonts w:ascii="Arial" w:hAnsi="Arial" w:cs="Arial"/>
                <w:sz w:val="20"/>
                <w:szCs w:val="20"/>
                <w:lang w:val="es-ES"/>
              </w:rPr>
            </w:pPr>
            <w:r w:rsidRPr="00FE4A9E">
              <w:rPr>
                <w:rFonts w:ascii="Arial" w:hAnsi="Arial" w:cs="Arial"/>
                <w:b/>
                <w:sz w:val="20"/>
                <w:szCs w:val="20"/>
                <w:lang w:val="es-ES"/>
              </w:rPr>
              <w:t>5</w:t>
            </w:r>
          </w:p>
        </w:tc>
      </w:tr>
      <w:tr w:rsidR="00600DC0" w:rsidRPr="00600DC0" w14:paraId="6B028930" w14:textId="77777777" w:rsidTr="0079439D">
        <w:trPr>
          <w:trHeight w:val="311"/>
        </w:trPr>
        <w:tc>
          <w:tcPr>
            <w:tcW w:w="1276" w:type="dxa"/>
            <w:tcBorders>
              <w:top w:val="single" w:sz="4" w:space="0" w:color="000000"/>
              <w:left w:val="single" w:sz="4" w:space="0" w:color="000000"/>
              <w:bottom w:val="single" w:sz="4" w:space="0" w:color="000000"/>
              <w:right w:val="single" w:sz="4" w:space="0" w:color="000000"/>
            </w:tcBorders>
          </w:tcPr>
          <w:p w14:paraId="72948390" w14:textId="6146B19D"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lastRenderedPageBreak/>
              <w:t>734</w:t>
            </w:r>
          </w:p>
        </w:tc>
        <w:tc>
          <w:tcPr>
            <w:tcW w:w="1276" w:type="dxa"/>
            <w:tcBorders>
              <w:top w:val="single" w:sz="4" w:space="0" w:color="000000"/>
              <w:left w:val="single" w:sz="4" w:space="0" w:color="000000"/>
              <w:bottom w:val="single" w:sz="4" w:space="0" w:color="000000"/>
              <w:right w:val="single" w:sz="4" w:space="0" w:color="000000"/>
            </w:tcBorders>
          </w:tcPr>
          <w:p w14:paraId="46881749" w14:textId="7018CA32"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48</w:t>
            </w:r>
          </w:p>
        </w:tc>
        <w:tc>
          <w:tcPr>
            <w:tcW w:w="1134" w:type="dxa"/>
            <w:tcBorders>
              <w:top w:val="single" w:sz="4" w:space="0" w:color="000000"/>
              <w:left w:val="single" w:sz="4" w:space="0" w:color="000000"/>
              <w:bottom w:val="single" w:sz="4" w:space="0" w:color="000000"/>
              <w:right w:val="single" w:sz="4" w:space="0" w:color="000000"/>
            </w:tcBorders>
          </w:tcPr>
          <w:p w14:paraId="6DF21B9E" w14:textId="0211CB2A"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1</w:t>
            </w:r>
          </w:p>
        </w:tc>
        <w:tc>
          <w:tcPr>
            <w:tcW w:w="850" w:type="dxa"/>
            <w:tcBorders>
              <w:top w:val="single" w:sz="4" w:space="0" w:color="000000"/>
              <w:left w:val="single" w:sz="4" w:space="0" w:color="000000"/>
              <w:bottom w:val="single" w:sz="4" w:space="0" w:color="000000"/>
              <w:right w:val="single" w:sz="4" w:space="0" w:color="000000"/>
            </w:tcBorders>
          </w:tcPr>
          <w:p w14:paraId="7C1A5CE7" w14:textId="7FABCC6A" w:rsidR="00600DC0" w:rsidRPr="00FE4A9E" w:rsidRDefault="00600DC0" w:rsidP="00FE4A9E">
            <w:pPr>
              <w:jc w:val="center"/>
              <w:rPr>
                <w:rFonts w:ascii="Arial" w:hAnsi="Arial" w:cs="Arial"/>
                <w:sz w:val="20"/>
                <w:szCs w:val="20"/>
                <w:lang w:val="es-ES"/>
              </w:rPr>
            </w:pPr>
            <w:r w:rsidRPr="00FE4A9E">
              <w:rPr>
                <w:rFonts w:ascii="Arial" w:hAnsi="Arial" w:cs="Arial"/>
                <w:b/>
                <w:sz w:val="20"/>
                <w:szCs w:val="20"/>
                <w:lang w:val="es-ES"/>
              </w:rPr>
              <w:t>86</w:t>
            </w:r>
          </w:p>
        </w:tc>
        <w:tc>
          <w:tcPr>
            <w:tcW w:w="284" w:type="dxa"/>
            <w:vMerge/>
            <w:tcBorders>
              <w:top w:val="nil"/>
              <w:left w:val="single" w:sz="4" w:space="0" w:color="000000"/>
              <w:bottom w:val="nil"/>
              <w:right w:val="single" w:sz="4" w:space="0" w:color="000000"/>
            </w:tcBorders>
          </w:tcPr>
          <w:p w14:paraId="1A6B0853" w14:textId="77777777" w:rsidR="00600DC0" w:rsidRPr="00FE4A9E" w:rsidRDefault="00600DC0" w:rsidP="00FE4A9E">
            <w:pPr>
              <w:jc w:val="center"/>
              <w:rPr>
                <w:rFonts w:ascii="Arial" w:hAnsi="Arial" w:cs="Arial"/>
                <w:sz w:val="20"/>
                <w:szCs w:val="20"/>
                <w:lang w:val="es-ES"/>
              </w:rPr>
            </w:pPr>
          </w:p>
        </w:tc>
        <w:tc>
          <w:tcPr>
            <w:tcW w:w="850" w:type="dxa"/>
            <w:tcBorders>
              <w:top w:val="single" w:sz="4" w:space="0" w:color="000000"/>
              <w:left w:val="single" w:sz="4" w:space="0" w:color="000000"/>
              <w:bottom w:val="single" w:sz="4" w:space="0" w:color="000000"/>
              <w:right w:val="single" w:sz="4" w:space="0" w:color="000000"/>
            </w:tcBorders>
          </w:tcPr>
          <w:p w14:paraId="172B1C1D" w14:textId="7CCE0D9F"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2591</w:t>
            </w:r>
          </w:p>
        </w:tc>
        <w:tc>
          <w:tcPr>
            <w:tcW w:w="1134" w:type="dxa"/>
            <w:tcBorders>
              <w:top w:val="single" w:sz="4" w:space="0" w:color="000000"/>
              <w:left w:val="single" w:sz="4" w:space="0" w:color="000000"/>
              <w:bottom w:val="single" w:sz="4" w:space="0" w:color="000000"/>
              <w:right w:val="single" w:sz="4" w:space="0" w:color="000000"/>
            </w:tcBorders>
          </w:tcPr>
          <w:p w14:paraId="6BE254B5" w14:textId="07ED7B23"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6</w:t>
            </w:r>
          </w:p>
        </w:tc>
        <w:tc>
          <w:tcPr>
            <w:tcW w:w="1134" w:type="dxa"/>
            <w:tcBorders>
              <w:top w:val="single" w:sz="4" w:space="0" w:color="000000"/>
              <w:left w:val="single" w:sz="4" w:space="0" w:color="000000"/>
              <w:bottom w:val="single" w:sz="4" w:space="0" w:color="000000"/>
              <w:right w:val="single" w:sz="4" w:space="0" w:color="000000"/>
            </w:tcBorders>
          </w:tcPr>
          <w:p w14:paraId="64D88B3A" w14:textId="3C999042" w:rsidR="00600DC0" w:rsidRPr="00FE4A9E" w:rsidRDefault="00600DC0" w:rsidP="00FE4A9E">
            <w:pPr>
              <w:jc w:val="center"/>
              <w:rPr>
                <w:rFonts w:ascii="Arial" w:hAnsi="Arial" w:cs="Arial"/>
                <w:sz w:val="20"/>
                <w:szCs w:val="20"/>
                <w:lang w:val="es-ES"/>
              </w:rPr>
            </w:pPr>
          </w:p>
        </w:tc>
        <w:tc>
          <w:tcPr>
            <w:tcW w:w="851" w:type="dxa"/>
            <w:tcBorders>
              <w:top w:val="single" w:sz="4" w:space="0" w:color="000000"/>
              <w:left w:val="single" w:sz="4" w:space="0" w:color="000000"/>
              <w:bottom w:val="single" w:sz="4" w:space="0" w:color="000000"/>
              <w:right w:val="single" w:sz="4" w:space="0" w:color="000000"/>
            </w:tcBorders>
          </w:tcPr>
          <w:p w14:paraId="62622A6D" w14:textId="6A4003B3" w:rsidR="00600DC0" w:rsidRPr="00FE4A9E" w:rsidRDefault="00600DC0" w:rsidP="00FE4A9E">
            <w:pPr>
              <w:jc w:val="center"/>
              <w:rPr>
                <w:rFonts w:ascii="Arial" w:hAnsi="Arial" w:cs="Arial"/>
                <w:sz w:val="20"/>
                <w:szCs w:val="20"/>
                <w:lang w:val="es-ES"/>
              </w:rPr>
            </w:pPr>
            <w:r w:rsidRPr="00FE4A9E">
              <w:rPr>
                <w:rFonts w:ascii="Arial" w:hAnsi="Arial" w:cs="Arial"/>
                <w:b/>
                <w:sz w:val="20"/>
                <w:szCs w:val="20"/>
                <w:lang w:val="es-ES"/>
              </w:rPr>
              <w:t>3</w:t>
            </w:r>
          </w:p>
        </w:tc>
      </w:tr>
      <w:tr w:rsidR="00600DC0" w:rsidRPr="00600DC0" w14:paraId="14476CD9" w14:textId="77777777" w:rsidTr="0079439D">
        <w:trPr>
          <w:trHeight w:val="470"/>
        </w:trPr>
        <w:tc>
          <w:tcPr>
            <w:tcW w:w="1276" w:type="dxa"/>
            <w:tcBorders>
              <w:top w:val="single" w:sz="4" w:space="0" w:color="000000"/>
              <w:left w:val="single" w:sz="4" w:space="0" w:color="000000"/>
              <w:bottom w:val="single" w:sz="4" w:space="0" w:color="000000"/>
              <w:right w:val="single" w:sz="4" w:space="0" w:color="000000"/>
            </w:tcBorders>
          </w:tcPr>
          <w:p w14:paraId="5B55DE5D" w14:textId="34DACE0F"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CONST. POL. NAL</w:t>
            </w:r>
          </w:p>
        </w:tc>
        <w:tc>
          <w:tcPr>
            <w:tcW w:w="1276" w:type="dxa"/>
            <w:tcBorders>
              <w:top w:val="single" w:sz="4" w:space="0" w:color="000000"/>
              <w:left w:val="single" w:sz="4" w:space="0" w:color="000000"/>
              <w:bottom w:val="single" w:sz="4" w:space="0" w:color="000000"/>
              <w:right w:val="single" w:sz="4" w:space="0" w:color="000000"/>
            </w:tcBorders>
            <w:vAlign w:val="bottom"/>
          </w:tcPr>
          <w:p w14:paraId="08406D3B" w14:textId="491FDBBB"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86</w:t>
            </w:r>
          </w:p>
        </w:tc>
        <w:tc>
          <w:tcPr>
            <w:tcW w:w="1134" w:type="dxa"/>
            <w:tcBorders>
              <w:top w:val="single" w:sz="4" w:space="0" w:color="000000"/>
              <w:left w:val="single" w:sz="4" w:space="0" w:color="000000"/>
              <w:bottom w:val="single" w:sz="4" w:space="0" w:color="000000"/>
              <w:right w:val="single" w:sz="4" w:space="0" w:color="000000"/>
            </w:tcBorders>
            <w:vAlign w:val="bottom"/>
          </w:tcPr>
          <w:p w14:paraId="2AAB22F0" w14:textId="663D7D4F" w:rsidR="00600DC0" w:rsidRPr="00FE4A9E" w:rsidRDefault="00600DC0" w:rsidP="00FE4A9E">
            <w:pPr>
              <w:jc w:val="center"/>
              <w:rPr>
                <w:rFonts w:ascii="Arial" w:hAnsi="Arial" w:cs="Arial"/>
                <w:sz w:val="20"/>
                <w:szCs w:val="20"/>
                <w:lang w:val="es-ES"/>
              </w:rPr>
            </w:pPr>
          </w:p>
        </w:tc>
        <w:tc>
          <w:tcPr>
            <w:tcW w:w="850" w:type="dxa"/>
            <w:tcBorders>
              <w:top w:val="single" w:sz="4" w:space="0" w:color="000000"/>
              <w:left w:val="single" w:sz="4" w:space="0" w:color="000000"/>
              <w:bottom w:val="single" w:sz="4" w:space="0" w:color="000000"/>
              <w:right w:val="single" w:sz="4" w:space="0" w:color="000000"/>
            </w:tcBorders>
            <w:vAlign w:val="bottom"/>
          </w:tcPr>
          <w:p w14:paraId="02681500" w14:textId="5FFD1A83" w:rsidR="00600DC0" w:rsidRPr="00FE4A9E" w:rsidRDefault="00600DC0" w:rsidP="00FE4A9E">
            <w:pPr>
              <w:jc w:val="center"/>
              <w:rPr>
                <w:rFonts w:ascii="Arial" w:hAnsi="Arial" w:cs="Arial"/>
                <w:sz w:val="20"/>
                <w:szCs w:val="20"/>
                <w:lang w:val="es-ES"/>
              </w:rPr>
            </w:pPr>
            <w:r w:rsidRPr="00FE4A9E">
              <w:rPr>
                <w:rFonts w:ascii="Arial" w:hAnsi="Arial" w:cs="Arial"/>
                <w:b/>
                <w:sz w:val="20"/>
                <w:szCs w:val="20"/>
                <w:lang w:val="es-ES"/>
              </w:rPr>
              <w:t>70</w:t>
            </w:r>
          </w:p>
        </w:tc>
        <w:tc>
          <w:tcPr>
            <w:tcW w:w="284" w:type="dxa"/>
            <w:vMerge/>
            <w:tcBorders>
              <w:top w:val="nil"/>
              <w:left w:val="single" w:sz="4" w:space="0" w:color="000000"/>
              <w:bottom w:val="nil"/>
              <w:right w:val="single" w:sz="4" w:space="0" w:color="000000"/>
            </w:tcBorders>
          </w:tcPr>
          <w:p w14:paraId="6DFA633C" w14:textId="77777777" w:rsidR="00600DC0" w:rsidRPr="00FE4A9E" w:rsidRDefault="00600DC0" w:rsidP="00FE4A9E">
            <w:pPr>
              <w:jc w:val="center"/>
              <w:rPr>
                <w:rFonts w:ascii="Arial" w:hAnsi="Arial" w:cs="Arial"/>
                <w:sz w:val="20"/>
                <w:szCs w:val="20"/>
                <w:lang w:val="es-ES"/>
              </w:rPr>
            </w:pPr>
          </w:p>
        </w:tc>
        <w:tc>
          <w:tcPr>
            <w:tcW w:w="850" w:type="dxa"/>
            <w:tcBorders>
              <w:top w:val="single" w:sz="4" w:space="0" w:color="000000"/>
              <w:left w:val="single" w:sz="4" w:space="0" w:color="000000"/>
              <w:bottom w:val="single" w:sz="4" w:space="0" w:color="000000"/>
              <w:right w:val="single" w:sz="4" w:space="0" w:color="000000"/>
            </w:tcBorders>
            <w:vAlign w:val="bottom"/>
          </w:tcPr>
          <w:p w14:paraId="39BDE485" w14:textId="0BEEF320"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2591</w:t>
            </w:r>
          </w:p>
        </w:tc>
        <w:tc>
          <w:tcPr>
            <w:tcW w:w="1134" w:type="dxa"/>
            <w:tcBorders>
              <w:top w:val="single" w:sz="4" w:space="0" w:color="000000"/>
              <w:left w:val="single" w:sz="4" w:space="0" w:color="000000"/>
              <w:bottom w:val="single" w:sz="4" w:space="0" w:color="000000"/>
              <w:right w:val="single" w:sz="4" w:space="0" w:color="000000"/>
            </w:tcBorders>
            <w:vAlign w:val="bottom"/>
          </w:tcPr>
          <w:p w14:paraId="44F48620" w14:textId="68F1DCCD"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8</w:t>
            </w:r>
          </w:p>
        </w:tc>
        <w:tc>
          <w:tcPr>
            <w:tcW w:w="1134" w:type="dxa"/>
            <w:tcBorders>
              <w:top w:val="single" w:sz="4" w:space="0" w:color="000000"/>
              <w:left w:val="single" w:sz="4" w:space="0" w:color="000000"/>
              <w:bottom w:val="single" w:sz="4" w:space="0" w:color="000000"/>
              <w:right w:val="single" w:sz="4" w:space="0" w:color="000000"/>
            </w:tcBorders>
            <w:vAlign w:val="bottom"/>
          </w:tcPr>
          <w:p w14:paraId="73CA6239" w14:textId="21B09DEF" w:rsidR="00600DC0" w:rsidRPr="00FE4A9E" w:rsidRDefault="00600DC0" w:rsidP="00FE4A9E">
            <w:pPr>
              <w:jc w:val="center"/>
              <w:rPr>
                <w:rFonts w:ascii="Arial" w:hAnsi="Arial" w:cs="Arial"/>
                <w:sz w:val="20"/>
                <w:szCs w:val="20"/>
                <w:lang w:val="es-ES"/>
              </w:rPr>
            </w:pPr>
          </w:p>
        </w:tc>
        <w:tc>
          <w:tcPr>
            <w:tcW w:w="851" w:type="dxa"/>
            <w:tcBorders>
              <w:top w:val="single" w:sz="4" w:space="0" w:color="000000"/>
              <w:left w:val="single" w:sz="4" w:space="0" w:color="000000"/>
              <w:bottom w:val="single" w:sz="4" w:space="0" w:color="000000"/>
              <w:right w:val="single" w:sz="4" w:space="0" w:color="000000"/>
            </w:tcBorders>
            <w:vAlign w:val="bottom"/>
          </w:tcPr>
          <w:p w14:paraId="3627146D" w14:textId="0FA79E29" w:rsidR="00600DC0" w:rsidRPr="00FE4A9E" w:rsidRDefault="00600DC0" w:rsidP="00FE4A9E">
            <w:pPr>
              <w:jc w:val="center"/>
              <w:rPr>
                <w:rFonts w:ascii="Arial" w:hAnsi="Arial" w:cs="Arial"/>
                <w:sz w:val="20"/>
                <w:szCs w:val="20"/>
                <w:lang w:val="es-ES"/>
              </w:rPr>
            </w:pPr>
            <w:r w:rsidRPr="00FE4A9E">
              <w:rPr>
                <w:rFonts w:ascii="Arial" w:hAnsi="Arial" w:cs="Arial"/>
                <w:b/>
                <w:sz w:val="20"/>
                <w:szCs w:val="20"/>
                <w:lang w:val="es-ES"/>
              </w:rPr>
              <w:t>3</w:t>
            </w:r>
          </w:p>
        </w:tc>
      </w:tr>
      <w:tr w:rsidR="00600DC0" w:rsidRPr="00600DC0" w14:paraId="21613B1B" w14:textId="77777777" w:rsidTr="0079439D">
        <w:trPr>
          <w:trHeight w:val="310"/>
        </w:trPr>
        <w:tc>
          <w:tcPr>
            <w:tcW w:w="1276" w:type="dxa"/>
            <w:tcBorders>
              <w:top w:val="single" w:sz="4" w:space="0" w:color="000000"/>
              <w:left w:val="single" w:sz="4" w:space="0" w:color="000000"/>
              <w:bottom w:val="single" w:sz="4" w:space="0" w:color="000000"/>
              <w:right w:val="single" w:sz="4" w:space="0" w:color="000000"/>
            </w:tcBorders>
          </w:tcPr>
          <w:p w14:paraId="13276CBE" w14:textId="2C6B578C"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270</w:t>
            </w:r>
          </w:p>
        </w:tc>
        <w:tc>
          <w:tcPr>
            <w:tcW w:w="1276" w:type="dxa"/>
            <w:tcBorders>
              <w:top w:val="single" w:sz="4" w:space="0" w:color="000000"/>
              <w:left w:val="single" w:sz="4" w:space="0" w:color="000000"/>
              <w:bottom w:val="single" w:sz="4" w:space="0" w:color="000000"/>
              <w:right w:val="single" w:sz="4" w:space="0" w:color="000000"/>
            </w:tcBorders>
          </w:tcPr>
          <w:p w14:paraId="6A83796E" w14:textId="2D0A68BB"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153</w:t>
            </w:r>
          </w:p>
        </w:tc>
        <w:tc>
          <w:tcPr>
            <w:tcW w:w="1134" w:type="dxa"/>
            <w:tcBorders>
              <w:top w:val="single" w:sz="4" w:space="0" w:color="000000"/>
              <w:left w:val="single" w:sz="4" w:space="0" w:color="000000"/>
              <w:bottom w:val="single" w:sz="4" w:space="0" w:color="000000"/>
              <w:right w:val="single" w:sz="4" w:space="0" w:color="000000"/>
            </w:tcBorders>
          </w:tcPr>
          <w:p w14:paraId="50D66AF2" w14:textId="0360A3BB"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2</w:t>
            </w:r>
          </w:p>
        </w:tc>
        <w:tc>
          <w:tcPr>
            <w:tcW w:w="850" w:type="dxa"/>
            <w:tcBorders>
              <w:top w:val="single" w:sz="4" w:space="0" w:color="000000"/>
              <w:left w:val="single" w:sz="4" w:space="0" w:color="000000"/>
              <w:bottom w:val="single" w:sz="4" w:space="0" w:color="000000"/>
              <w:right w:val="single" w:sz="4" w:space="0" w:color="000000"/>
            </w:tcBorders>
          </w:tcPr>
          <w:p w14:paraId="4CD194AA" w14:textId="2D75EF96" w:rsidR="00600DC0" w:rsidRPr="00FE4A9E" w:rsidRDefault="00600DC0" w:rsidP="00FE4A9E">
            <w:pPr>
              <w:jc w:val="center"/>
              <w:rPr>
                <w:rFonts w:ascii="Arial" w:hAnsi="Arial" w:cs="Arial"/>
                <w:sz w:val="20"/>
                <w:szCs w:val="20"/>
                <w:lang w:val="es-ES"/>
              </w:rPr>
            </w:pPr>
            <w:r w:rsidRPr="00FE4A9E">
              <w:rPr>
                <w:rFonts w:ascii="Arial" w:hAnsi="Arial" w:cs="Arial"/>
                <w:b/>
                <w:sz w:val="20"/>
                <w:szCs w:val="20"/>
                <w:lang w:val="es-ES"/>
              </w:rPr>
              <w:t>65</w:t>
            </w:r>
          </w:p>
        </w:tc>
        <w:tc>
          <w:tcPr>
            <w:tcW w:w="284" w:type="dxa"/>
            <w:vMerge/>
            <w:tcBorders>
              <w:top w:val="nil"/>
              <w:left w:val="single" w:sz="4" w:space="0" w:color="000000"/>
              <w:bottom w:val="nil"/>
              <w:right w:val="single" w:sz="4" w:space="0" w:color="000000"/>
            </w:tcBorders>
          </w:tcPr>
          <w:p w14:paraId="1F4113ED" w14:textId="77777777" w:rsidR="00600DC0" w:rsidRPr="00FE4A9E" w:rsidRDefault="00600DC0" w:rsidP="00FE4A9E">
            <w:pPr>
              <w:jc w:val="center"/>
              <w:rPr>
                <w:rFonts w:ascii="Arial" w:hAnsi="Arial" w:cs="Arial"/>
                <w:sz w:val="20"/>
                <w:szCs w:val="20"/>
                <w:lang w:val="es-ES"/>
              </w:rPr>
            </w:pPr>
          </w:p>
        </w:tc>
        <w:tc>
          <w:tcPr>
            <w:tcW w:w="850" w:type="dxa"/>
            <w:tcBorders>
              <w:top w:val="single" w:sz="4" w:space="0" w:color="000000"/>
              <w:left w:val="single" w:sz="4" w:space="0" w:color="000000"/>
              <w:bottom w:val="single" w:sz="4" w:space="0" w:color="000000"/>
              <w:right w:val="single" w:sz="4" w:space="0" w:color="000000"/>
            </w:tcBorders>
          </w:tcPr>
          <w:p w14:paraId="1EA64098" w14:textId="20751F3E"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306</w:t>
            </w:r>
          </w:p>
        </w:tc>
        <w:tc>
          <w:tcPr>
            <w:tcW w:w="1134" w:type="dxa"/>
            <w:tcBorders>
              <w:top w:val="single" w:sz="4" w:space="0" w:color="000000"/>
              <w:left w:val="single" w:sz="4" w:space="0" w:color="000000"/>
              <w:bottom w:val="single" w:sz="4" w:space="0" w:color="000000"/>
              <w:right w:val="single" w:sz="4" w:space="0" w:color="000000"/>
            </w:tcBorders>
          </w:tcPr>
          <w:p w14:paraId="6B08C45C" w14:textId="483C4785" w:rsidR="00600DC0" w:rsidRPr="00FE4A9E" w:rsidRDefault="00600DC0" w:rsidP="00FE4A9E">
            <w:pPr>
              <w:jc w:val="center"/>
              <w:rPr>
                <w:rFonts w:ascii="Arial" w:hAnsi="Arial" w:cs="Arial"/>
                <w:sz w:val="20"/>
                <w:szCs w:val="20"/>
                <w:lang w:val="es-ES"/>
              </w:rPr>
            </w:pPr>
            <w:r w:rsidRPr="00FE4A9E">
              <w:rPr>
                <w:rFonts w:ascii="Arial" w:hAnsi="Arial" w:cs="Arial"/>
                <w:sz w:val="20"/>
                <w:szCs w:val="20"/>
                <w:lang w:val="es-ES"/>
              </w:rPr>
              <w:t>9</w:t>
            </w:r>
          </w:p>
        </w:tc>
        <w:tc>
          <w:tcPr>
            <w:tcW w:w="1134" w:type="dxa"/>
            <w:tcBorders>
              <w:top w:val="single" w:sz="4" w:space="0" w:color="000000"/>
              <w:left w:val="single" w:sz="4" w:space="0" w:color="000000"/>
              <w:bottom w:val="single" w:sz="4" w:space="0" w:color="000000"/>
              <w:right w:val="single" w:sz="4" w:space="0" w:color="000000"/>
            </w:tcBorders>
          </w:tcPr>
          <w:p w14:paraId="4A61DFA7" w14:textId="4B90836C" w:rsidR="00600DC0" w:rsidRPr="00FE4A9E" w:rsidRDefault="00600DC0" w:rsidP="00FE4A9E">
            <w:pPr>
              <w:jc w:val="center"/>
              <w:rPr>
                <w:rFonts w:ascii="Arial" w:hAnsi="Arial" w:cs="Arial"/>
                <w:sz w:val="20"/>
                <w:szCs w:val="20"/>
                <w:lang w:val="es-ES"/>
              </w:rPr>
            </w:pPr>
          </w:p>
        </w:tc>
        <w:tc>
          <w:tcPr>
            <w:tcW w:w="851" w:type="dxa"/>
            <w:tcBorders>
              <w:top w:val="single" w:sz="4" w:space="0" w:color="000000"/>
              <w:left w:val="single" w:sz="4" w:space="0" w:color="000000"/>
              <w:bottom w:val="single" w:sz="4" w:space="0" w:color="000000"/>
              <w:right w:val="single" w:sz="4" w:space="0" w:color="000000"/>
            </w:tcBorders>
          </w:tcPr>
          <w:p w14:paraId="27CDE89B" w14:textId="020E925E" w:rsidR="00600DC0" w:rsidRPr="00FE4A9E" w:rsidRDefault="00600DC0" w:rsidP="00FE4A9E">
            <w:pPr>
              <w:jc w:val="center"/>
              <w:rPr>
                <w:rFonts w:ascii="Arial" w:hAnsi="Arial" w:cs="Arial"/>
                <w:sz w:val="20"/>
                <w:szCs w:val="20"/>
                <w:lang w:val="es-ES"/>
              </w:rPr>
            </w:pPr>
            <w:r w:rsidRPr="00FE4A9E">
              <w:rPr>
                <w:rFonts w:ascii="Arial" w:hAnsi="Arial" w:cs="Arial"/>
                <w:b/>
                <w:sz w:val="20"/>
                <w:szCs w:val="20"/>
                <w:lang w:val="es-ES"/>
              </w:rPr>
              <w:t>3</w:t>
            </w:r>
          </w:p>
        </w:tc>
      </w:tr>
      <w:tr w:rsidR="00600DC0" w:rsidRPr="00600DC0" w14:paraId="4C3AA055" w14:textId="77777777" w:rsidTr="0079439D">
        <w:trPr>
          <w:trHeight w:val="310"/>
        </w:trPr>
        <w:tc>
          <w:tcPr>
            <w:tcW w:w="1276" w:type="dxa"/>
            <w:tcBorders>
              <w:top w:val="single" w:sz="4" w:space="0" w:color="000000"/>
              <w:left w:val="single" w:sz="4" w:space="0" w:color="000000"/>
              <w:bottom w:val="single" w:sz="4" w:space="0" w:color="000000"/>
              <w:right w:val="single" w:sz="4" w:space="0" w:color="000000"/>
            </w:tcBorders>
          </w:tcPr>
          <w:p w14:paraId="2A254883" w14:textId="77777777" w:rsidR="00600DC0" w:rsidRPr="00600DC0" w:rsidRDefault="00600DC0" w:rsidP="00600DC0">
            <w:pPr>
              <w:jc w:val="both"/>
              <w:rPr>
                <w:rFonts w:ascii="Arial" w:hAnsi="Arial" w:cs="Arial"/>
                <w:sz w:val="18"/>
                <w:szCs w:val="18"/>
                <w:lang w:val="es-ES"/>
              </w:rPr>
            </w:pPr>
            <w:r w:rsidRPr="00600DC0">
              <w:rPr>
                <w:rFonts w:ascii="Arial" w:hAnsi="Arial" w:cs="Arial"/>
                <w:sz w:val="18"/>
                <w:szCs w:val="18"/>
                <w:lang w:val="es-ES"/>
              </w:rPr>
              <w:t xml:space="preserve">599 </w:t>
            </w:r>
          </w:p>
        </w:tc>
        <w:tc>
          <w:tcPr>
            <w:tcW w:w="1276" w:type="dxa"/>
            <w:tcBorders>
              <w:top w:val="single" w:sz="4" w:space="0" w:color="000000"/>
              <w:left w:val="single" w:sz="4" w:space="0" w:color="000000"/>
              <w:bottom w:val="single" w:sz="4" w:space="0" w:color="000000"/>
              <w:right w:val="single" w:sz="4" w:space="0" w:color="000000"/>
            </w:tcBorders>
          </w:tcPr>
          <w:p w14:paraId="735B8AED" w14:textId="77777777" w:rsidR="00600DC0" w:rsidRPr="00600DC0" w:rsidRDefault="00600DC0" w:rsidP="00600DC0">
            <w:pPr>
              <w:jc w:val="both"/>
              <w:rPr>
                <w:rFonts w:ascii="Arial" w:hAnsi="Arial" w:cs="Arial"/>
                <w:sz w:val="18"/>
                <w:szCs w:val="18"/>
                <w:lang w:val="es-ES"/>
              </w:rPr>
            </w:pPr>
            <w:r w:rsidRPr="00600DC0">
              <w:rPr>
                <w:rFonts w:ascii="Arial" w:hAnsi="Arial" w:cs="Arial"/>
                <w:sz w:val="18"/>
                <w:szCs w:val="18"/>
                <w:lang w:val="es-ES"/>
              </w:rPr>
              <w:t xml:space="preserve">413 </w:t>
            </w:r>
          </w:p>
        </w:tc>
        <w:tc>
          <w:tcPr>
            <w:tcW w:w="1134" w:type="dxa"/>
            <w:tcBorders>
              <w:top w:val="single" w:sz="4" w:space="0" w:color="000000"/>
              <w:left w:val="single" w:sz="4" w:space="0" w:color="000000"/>
              <w:bottom w:val="single" w:sz="4" w:space="0" w:color="000000"/>
              <w:right w:val="single" w:sz="4" w:space="0" w:color="000000"/>
            </w:tcBorders>
          </w:tcPr>
          <w:p w14:paraId="19ED8EED" w14:textId="77777777" w:rsidR="00600DC0" w:rsidRPr="00600DC0" w:rsidRDefault="00600DC0" w:rsidP="00600DC0">
            <w:pPr>
              <w:jc w:val="both"/>
              <w:rPr>
                <w:rFonts w:ascii="Arial" w:hAnsi="Arial" w:cs="Arial"/>
                <w:sz w:val="18"/>
                <w:szCs w:val="18"/>
                <w:lang w:val="es-ES"/>
              </w:rPr>
            </w:pPr>
            <w:r w:rsidRPr="00600DC0">
              <w:rPr>
                <w:rFonts w:ascii="Arial" w:hAnsi="Arial" w:cs="Arial"/>
                <w:sz w:val="18"/>
                <w:szCs w:val="18"/>
                <w:lang w:val="es-ES"/>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990D212" w14:textId="77777777" w:rsidR="00600DC0" w:rsidRPr="00600DC0" w:rsidRDefault="00600DC0" w:rsidP="00600DC0">
            <w:pPr>
              <w:jc w:val="both"/>
              <w:rPr>
                <w:rFonts w:ascii="Arial" w:hAnsi="Arial" w:cs="Arial"/>
                <w:sz w:val="18"/>
                <w:szCs w:val="18"/>
                <w:lang w:val="es-ES"/>
              </w:rPr>
            </w:pPr>
            <w:r w:rsidRPr="00600DC0">
              <w:rPr>
                <w:rFonts w:ascii="Arial" w:hAnsi="Arial" w:cs="Arial"/>
                <w:b/>
                <w:sz w:val="18"/>
                <w:szCs w:val="18"/>
                <w:lang w:val="es-ES"/>
              </w:rPr>
              <w:t xml:space="preserve">57 </w:t>
            </w:r>
          </w:p>
        </w:tc>
        <w:tc>
          <w:tcPr>
            <w:tcW w:w="284" w:type="dxa"/>
            <w:vMerge/>
            <w:tcBorders>
              <w:top w:val="nil"/>
              <w:left w:val="single" w:sz="4" w:space="0" w:color="000000"/>
              <w:bottom w:val="nil"/>
              <w:right w:val="single" w:sz="4" w:space="0" w:color="000000"/>
            </w:tcBorders>
          </w:tcPr>
          <w:p w14:paraId="53D7CA50" w14:textId="77777777" w:rsidR="00600DC0" w:rsidRPr="00600DC0" w:rsidRDefault="00600DC0" w:rsidP="00600DC0">
            <w:pPr>
              <w:jc w:val="both"/>
              <w:rPr>
                <w:rFonts w:ascii="Arial" w:hAnsi="Arial" w:cs="Arial"/>
                <w:sz w:val="18"/>
                <w:szCs w:val="18"/>
                <w:lang w:val="es-ES"/>
              </w:rPr>
            </w:pPr>
          </w:p>
        </w:tc>
        <w:tc>
          <w:tcPr>
            <w:tcW w:w="850" w:type="dxa"/>
            <w:tcBorders>
              <w:top w:val="single" w:sz="4" w:space="0" w:color="000000"/>
              <w:left w:val="single" w:sz="4" w:space="0" w:color="000000"/>
              <w:bottom w:val="single" w:sz="4" w:space="0" w:color="000000"/>
              <w:right w:val="single" w:sz="4" w:space="0" w:color="000000"/>
            </w:tcBorders>
          </w:tcPr>
          <w:p w14:paraId="18794DBC" w14:textId="77777777" w:rsidR="00600DC0" w:rsidRPr="00600DC0" w:rsidRDefault="00600DC0" w:rsidP="00600DC0">
            <w:pPr>
              <w:jc w:val="both"/>
              <w:rPr>
                <w:rFonts w:ascii="Arial" w:hAnsi="Arial" w:cs="Arial"/>
                <w:sz w:val="18"/>
                <w:szCs w:val="18"/>
                <w:lang w:val="es-ES"/>
              </w:rPr>
            </w:pPr>
            <w:r w:rsidRPr="00600DC0">
              <w:rPr>
                <w:rFonts w:ascii="Arial" w:hAnsi="Arial" w:cs="Arial"/>
                <w:sz w:val="18"/>
                <w:szCs w:val="18"/>
                <w:lang w:val="es-ES"/>
              </w:rPr>
              <w:t xml:space="preserve">734 </w:t>
            </w:r>
          </w:p>
        </w:tc>
        <w:tc>
          <w:tcPr>
            <w:tcW w:w="1134" w:type="dxa"/>
            <w:tcBorders>
              <w:top w:val="single" w:sz="4" w:space="0" w:color="000000"/>
              <w:left w:val="single" w:sz="4" w:space="0" w:color="000000"/>
              <w:bottom w:val="single" w:sz="4" w:space="0" w:color="000000"/>
              <w:right w:val="single" w:sz="4" w:space="0" w:color="000000"/>
            </w:tcBorders>
          </w:tcPr>
          <w:p w14:paraId="00A7E3A4" w14:textId="77777777" w:rsidR="00600DC0" w:rsidRPr="00600DC0" w:rsidRDefault="00600DC0" w:rsidP="00600DC0">
            <w:pPr>
              <w:jc w:val="both"/>
              <w:rPr>
                <w:rFonts w:ascii="Arial" w:hAnsi="Arial" w:cs="Arial"/>
                <w:sz w:val="18"/>
                <w:szCs w:val="18"/>
                <w:lang w:val="es-ES"/>
              </w:rPr>
            </w:pPr>
            <w:r w:rsidRPr="00600DC0">
              <w:rPr>
                <w:rFonts w:ascii="Arial" w:hAnsi="Arial" w:cs="Arial"/>
                <w:sz w:val="18"/>
                <w:szCs w:val="18"/>
                <w:lang w:val="es-ES"/>
              </w:rPr>
              <w:t xml:space="preserve">323 </w:t>
            </w:r>
          </w:p>
        </w:tc>
        <w:tc>
          <w:tcPr>
            <w:tcW w:w="1134" w:type="dxa"/>
            <w:tcBorders>
              <w:top w:val="single" w:sz="4" w:space="0" w:color="000000"/>
              <w:left w:val="single" w:sz="4" w:space="0" w:color="000000"/>
              <w:bottom w:val="single" w:sz="4" w:space="0" w:color="000000"/>
              <w:right w:val="single" w:sz="4" w:space="0" w:color="000000"/>
            </w:tcBorders>
          </w:tcPr>
          <w:p w14:paraId="43D4C2D9" w14:textId="77777777" w:rsidR="00600DC0" w:rsidRPr="00600DC0" w:rsidRDefault="00600DC0" w:rsidP="00600DC0">
            <w:pPr>
              <w:jc w:val="both"/>
              <w:rPr>
                <w:rFonts w:ascii="Arial" w:hAnsi="Arial" w:cs="Arial"/>
                <w:sz w:val="18"/>
                <w:szCs w:val="18"/>
                <w:lang w:val="es-ES"/>
              </w:rPr>
            </w:pPr>
            <w:r w:rsidRPr="00600DC0">
              <w:rPr>
                <w:rFonts w:ascii="Arial" w:hAnsi="Arial" w:cs="Arial"/>
                <w:sz w:val="18"/>
                <w:szCs w:val="18"/>
                <w:lang w:val="es-ES"/>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5443E87B" w14:textId="77777777" w:rsidR="00600DC0" w:rsidRPr="00600DC0" w:rsidRDefault="00600DC0" w:rsidP="00600DC0">
            <w:pPr>
              <w:jc w:val="both"/>
              <w:rPr>
                <w:rFonts w:ascii="Arial" w:hAnsi="Arial" w:cs="Arial"/>
                <w:sz w:val="18"/>
                <w:szCs w:val="18"/>
                <w:lang w:val="es-ES"/>
              </w:rPr>
            </w:pPr>
            <w:r w:rsidRPr="00600DC0">
              <w:rPr>
                <w:rFonts w:ascii="Arial" w:hAnsi="Arial" w:cs="Arial"/>
                <w:b/>
                <w:sz w:val="18"/>
                <w:szCs w:val="18"/>
                <w:lang w:val="es-ES"/>
              </w:rPr>
              <w:t xml:space="preserve">3 </w:t>
            </w:r>
          </w:p>
        </w:tc>
      </w:tr>
      <w:tr w:rsidR="00600DC0" w:rsidRPr="00600DC0" w14:paraId="704A3DBF" w14:textId="77777777" w:rsidTr="0079439D">
        <w:trPr>
          <w:trHeight w:val="310"/>
        </w:trPr>
        <w:tc>
          <w:tcPr>
            <w:tcW w:w="1276" w:type="dxa"/>
            <w:tcBorders>
              <w:top w:val="single" w:sz="4" w:space="0" w:color="000000"/>
              <w:left w:val="single" w:sz="4" w:space="0" w:color="000000"/>
              <w:bottom w:val="single" w:sz="4" w:space="0" w:color="000000"/>
              <w:right w:val="single" w:sz="4" w:space="0" w:color="000000"/>
            </w:tcBorders>
          </w:tcPr>
          <w:p w14:paraId="0025BB11" w14:textId="77777777" w:rsidR="00600DC0" w:rsidRPr="00600DC0" w:rsidRDefault="00600DC0" w:rsidP="00600DC0">
            <w:pPr>
              <w:jc w:val="both"/>
              <w:rPr>
                <w:rFonts w:ascii="Arial" w:hAnsi="Arial" w:cs="Arial"/>
                <w:sz w:val="18"/>
                <w:szCs w:val="18"/>
                <w:lang w:val="es-ES"/>
              </w:rPr>
            </w:pPr>
            <w:r w:rsidRPr="00600DC0">
              <w:rPr>
                <w:rFonts w:ascii="Arial" w:hAnsi="Arial" w:cs="Arial"/>
                <w:sz w:val="18"/>
                <w:szCs w:val="18"/>
                <w:lang w:val="es-ES"/>
              </w:rPr>
              <w:t xml:space="preserve">111 </w:t>
            </w:r>
          </w:p>
        </w:tc>
        <w:tc>
          <w:tcPr>
            <w:tcW w:w="1276" w:type="dxa"/>
            <w:tcBorders>
              <w:top w:val="single" w:sz="4" w:space="0" w:color="000000"/>
              <w:left w:val="single" w:sz="4" w:space="0" w:color="000000"/>
              <w:bottom w:val="single" w:sz="4" w:space="0" w:color="000000"/>
              <w:right w:val="single" w:sz="4" w:space="0" w:color="000000"/>
            </w:tcBorders>
          </w:tcPr>
          <w:p w14:paraId="42863B04" w14:textId="77777777" w:rsidR="00600DC0" w:rsidRPr="00600DC0" w:rsidRDefault="00600DC0" w:rsidP="00600DC0">
            <w:pPr>
              <w:jc w:val="both"/>
              <w:rPr>
                <w:rFonts w:ascii="Arial" w:hAnsi="Arial" w:cs="Arial"/>
                <w:sz w:val="18"/>
                <w:szCs w:val="18"/>
                <w:lang w:val="es-ES"/>
              </w:rPr>
            </w:pPr>
            <w:r w:rsidRPr="00600DC0">
              <w:rPr>
                <w:rFonts w:ascii="Arial" w:hAnsi="Arial" w:cs="Arial"/>
                <w:sz w:val="18"/>
                <w:szCs w:val="18"/>
                <w:lang w:val="es-ES"/>
              </w:rPr>
              <w:t xml:space="preserve">19 </w:t>
            </w:r>
          </w:p>
        </w:tc>
        <w:tc>
          <w:tcPr>
            <w:tcW w:w="1134" w:type="dxa"/>
            <w:tcBorders>
              <w:top w:val="single" w:sz="4" w:space="0" w:color="000000"/>
              <w:left w:val="single" w:sz="4" w:space="0" w:color="000000"/>
              <w:bottom w:val="single" w:sz="4" w:space="0" w:color="000000"/>
              <w:right w:val="single" w:sz="4" w:space="0" w:color="000000"/>
            </w:tcBorders>
          </w:tcPr>
          <w:p w14:paraId="3292D901" w14:textId="77777777" w:rsidR="00600DC0" w:rsidRPr="00600DC0" w:rsidRDefault="00600DC0" w:rsidP="00600DC0">
            <w:pPr>
              <w:jc w:val="both"/>
              <w:rPr>
                <w:rFonts w:ascii="Arial" w:hAnsi="Arial" w:cs="Arial"/>
                <w:sz w:val="18"/>
                <w:szCs w:val="18"/>
                <w:lang w:val="es-ES"/>
              </w:rPr>
            </w:pPr>
            <w:r w:rsidRPr="00600DC0">
              <w:rPr>
                <w:rFonts w:ascii="Arial" w:hAnsi="Arial" w:cs="Arial"/>
                <w:sz w:val="18"/>
                <w:szCs w:val="18"/>
                <w:lang w:val="es-ES"/>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69BC757" w14:textId="77777777" w:rsidR="00600DC0" w:rsidRPr="00600DC0" w:rsidRDefault="00600DC0" w:rsidP="00600DC0">
            <w:pPr>
              <w:jc w:val="both"/>
              <w:rPr>
                <w:rFonts w:ascii="Arial" w:hAnsi="Arial" w:cs="Arial"/>
                <w:sz w:val="18"/>
                <w:szCs w:val="18"/>
                <w:lang w:val="es-ES"/>
              </w:rPr>
            </w:pPr>
            <w:r w:rsidRPr="00600DC0">
              <w:rPr>
                <w:rFonts w:ascii="Arial" w:hAnsi="Arial" w:cs="Arial"/>
                <w:b/>
                <w:sz w:val="18"/>
                <w:szCs w:val="18"/>
                <w:lang w:val="es-ES"/>
              </w:rPr>
              <w:t xml:space="preserve">42 </w:t>
            </w:r>
          </w:p>
        </w:tc>
        <w:tc>
          <w:tcPr>
            <w:tcW w:w="284" w:type="dxa"/>
            <w:vMerge/>
            <w:tcBorders>
              <w:top w:val="nil"/>
              <w:left w:val="single" w:sz="4" w:space="0" w:color="000000"/>
              <w:bottom w:val="nil"/>
              <w:right w:val="single" w:sz="4" w:space="0" w:color="000000"/>
            </w:tcBorders>
          </w:tcPr>
          <w:p w14:paraId="613B357C" w14:textId="77777777" w:rsidR="00600DC0" w:rsidRPr="00600DC0" w:rsidRDefault="00600DC0" w:rsidP="00600DC0">
            <w:pPr>
              <w:jc w:val="both"/>
              <w:rPr>
                <w:rFonts w:ascii="Arial" w:hAnsi="Arial" w:cs="Arial"/>
                <w:sz w:val="18"/>
                <w:szCs w:val="18"/>
                <w:lang w:val="es-ES"/>
              </w:rPr>
            </w:pPr>
          </w:p>
        </w:tc>
        <w:tc>
          <w:tcPr>
            <w:tcW w:w="850" w:type="dxa"/>
            <w:tcBorders>
              <w:top w:val="single" w:sz="4" w:space="0" w:color="000000"/>
              <w:left w:val="single" w:sz="4" w:space="0" w:color="000000"/>
              <w:bottom w:val="single" w:sz="4" w:space="0" w:color="000000"/>
              <w:right w:val="single" w:sz="4" w:space="0" w:color="000000"/>
            </w:tcBorders>
          </w:tcPr>
          <w:p w14:paraId="377FD0EE" w14:textId="77777777" w:rsidR="00600DC0" w:rsidRPr="00600DC0" w:rsidRDefault="00600DC0" w:rsidP="00600DC0">
            <w:pPr>
              <w:jc w:val="both"/>
              <w:rPr>
                <w:rFonts w:ascii="Arial" w:hAnsi="Arial" w:cs="Arial"/>
                <w:sz w:val="18"/>
                <w:szCs w:val="18"/>
                <w:lang w:val="es-ES"/>
              </w:rPr>
            </w:pPr>
            <w:r w:rsidRPr="00600DC0">
              <w:rPr>
                <w:rFonts w:ascii="Arial" w:hAnsi="Arial" w:cs="Arial"/>
                <w:sz w:val="18"/>
                <w:szCs w:val="18"/>
                <w:lang w:val="es-ES"/>
              </w:rPr>
              <w:t xml:space="preserve">794 </w:t>
            </w:r>
          </w:p>
        </w:tc>
        <w:tc>
          <w:tcPr>
            <w:tcW w:w="1134" w:type="dxa"/>
            <w:tcBorders>
              <w:top w:val="single" w:sz="4" w:space="0" w:color="000000"/>
              <w:left w:val="single" w:sz="4" w:space="0" w:color="000000"/>
              <w:bottom w:val="single" w:sz="4" w:space="0" w:color="000000"/>
              <w:right w:val="single" w:sz="4" w:space="0" w:color="000000"/>
            </w:tcBorders>
          </w:tcPr>
          <w:p w14:paraId="3D7F101B" w14:textId="77777777" w:rsidR="00600DC0" w:rsidRPr="00600DC0" w:rsidRDefault="00600DC0" w:rsidP="00600DC0">
            <w:pPr>
              <w:jc w:val="both"/>
              <w:rPr>
                <w:rFonts w:ascii="Arial" w:hAnsi="Arial" w:cs="Arial"/>
                <w:sz w:val="18"/>
                <w:szCs w:val="18"/>
                <w:lang w:val="es-ES"/>
              </w:rPr>
            </w:pPr>
            <w:r w:rsidRPr="00600DC0">
              <w:rPr>
                <w:rFonts w:ascii="Arial" w:hAnsi="Arial" w:cs="Arial"/>
                <w:sz w:val="18"/>
                <w:szCs w:val="18"/>
                <w:lang w:val="es-ES"/>
              </w:rPr>
              <w:t xml:space="preserve">124 </w:t>
            </w:r>
          </w:p>
        </w:tc>
        <w:tc>
          <w:tcPr>
            <w:tcW w:w="1134" w:type="dxa"/>
            <w:tcBorders>
              <w:top w:val="single" w:sz="4" w:space="0" w:color="000000"/>
              <w:left w:val="single" w:sz="4" w:space="0" w:color="000000"/>
              <w:bottom w:val="single" w:sz="4" w:space="0" w:color="000000"/>
              <w:right w:val="single" w:sz="4" w:space="0" w:color="000000"/>
            </w:tcBorders>
          </w:tcPr>
          <w:p w14:paraId="4E99A6E3" w14:textId="77777777" w:rsidR="00600DC0" w:rsidRPr="00600DC0" w:rsidRDefault="00600DC0" w:rsidP="00600DC0">
            <w:pPr>
              <w:jc w:val="both"/>
              <w:rPr>
                <w:rFonts w:ascii="Arial" w:hAnsi="Arial" w:cs="Arial"/>
                <w:sz w:val="18"/>
                <w:szCs w:val="18"/>
                <w:lang w:val="es-ES"/>
              </w:rPr>
            </w:pPr>
            <w:r w:rsidRPr="00600DC0">
              <w:rPr>
                <w:rFonts w:ascii="Arial" w:hAnsi="Arial" w:cs="Arial"/>
                <w:sz w:val="18"/>
                <w:szCs w:val="18"/>
                <w:lang w:val="es-ES"/>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77A42C73" w14:textId="77777777" w:rsidR="00600DC0" w:rsidRPr="00600DC0" w:rsidRDefault="00600DC0" w:rsidP="00600DC0">
            <w:pPr>
              <w:jc w:val="both"/>
              <w:rPr>
                <w:rFonts w:ascii="Arial" w:hAnsi="Arial" w:cs="Arial"/>
                <w:sz w:val="18"/>
                <w:szCs w:val="18"/>
                <w:lang w:val="es-ES"/>
              </w:rPr>
            </w:pPr>
            <w:r w:rsidRPr="00600DC0">
              <w:rPr>
                <w:rFonts w:ascii="Arial" w:hAnsi="Arial" w:cs="Arial"/>
                <w:b/>
                <w:sz w:val="18"/>
                <w:szCs w:val="18"/>
                <w:lang w:val="es-ES"/>
              </w:rPr>
              <w:t xml:space="preserve">3 </w:t>
            </w:r>
          </w:p>
        </w:tc>
      </w:tr>
      <w:tr w:rsidR="00600DC0" w:rsidRPr="00600DC0" w14:paraId="361DD9FB" w14:textId="77777777" w:rsidTr="0079439D">
        <w:trPr>
          <w:trHeight w:val="310"/>
        </w:trPr>
        <w:tc>
          <w:tcPr>
            <w:tcW w:w="1276" w:type="dxa"/>
            <w:tcBorders>
              <w:top w:val="single" w:sz="4" w:space="0" w:color="000000"/>
              <w:left w:val="single" w:sz="4" w:space="0" w:color="000000"/>
              <w:bottom w:val="single" w:sz="4" w:space="0" w:color="000000"/>
              <w:right w:val="single" w:sz="4" w:space="0" w:color="000000"/>
            </w:tcBorders>
          </w:tcPr>
          <w:p w14:paraId="6B2FBFE5" w14:textId="77777777" w:rsidR="00600DC0" w:rsidRPr="00600DC0" w:rsidRDefault="00600DC0" w:rsidP="00600DC0">
            <w:pPr>
              <w:jc w:val="both"/>
              <w:rPr>
                <w:rFonts w:ascii="Arial" w:hAnsi="Arial" w:cs="Arial"/>
                <w:sz w:val="18"/>
                <w:szCs w:val="18"/>
                <w:lang w:val="es-ES"/>
              </w:rPr>
            </w:pPr>
            <w:r w:rsidRPr="00600DC0">
              <w:rPr>
                <w:rFonts w:ascii="Arial" w:hAnsi="Arial" w:cs="Arial"/>
                <w:sz w:val="18"/>
                <w:szCs w:val="18"/>
                <w:lang w:val="es-ES"/>
              </w:rPr>
              <w:t xml:space="preserve">2591 </w:t>
            </w:r>
          </w:p>
        </w:tc>
        <w:tc>
          <w:tcPr>
            <w:tcW w:w="1276" w:type="dxa"/>
            <w:tcBorders>
              <w:top w:val="single" w:sz="4" w:space="0" w:color="000000"/>
              <w:left w:val="single" w:sz="4" w:space="0" w:color="000000"/>
              <w:bottom w:val="single" w:sz="4" w:space="0" w:color="000000"/>
              <w:right w:val="single" w:sz="4" w:space="0" w:color="000000"/>
            </w:tcBorders>
          </w:tcPr>
          <w:p w14:paraId="21E1A99B" w14:textId="77777777" w:rsidR="00600DC0" w:rsidRPr="00600DC0" w:rsidRDefault="00600DC0" w:rsidP="00600DC0">
            <w:pPr>
              <w:jc w:val="both"/>
              <w:rPr>
                <w:rFonts w:ascii="Arial" w:hAnsi="Arial" w:cs="Arial"/>
                <w:sz w:val="18"/>
                <w:szCs w:val="18"/>
                <w:lang w:val="es-ES"/>
              </w:rPr>
            </w:pPr>
            <w:r w:rsidRPr="00600DC0">
              <w:rPr>
                <w:rFonts w:ascii="Arial" w:hAnsi="Arial" w:cs="Arial"/>
                <w:sz w:val="18"/>
                <w:szCs w:val="18"/>
                <w:lang w:val="es-ES"/>
              </w:rPr>
              <w:t xml:space="preserve">29 </w:t>
            </w:r>
          </w:p>
        </w:tc>
        <w:tc>
          <w:tcPr>
            <w:tcW w:w="1134" w:type="dxa"/>
            <w:tcBorders>
              <w:top w:val="single" w:sz="4" w:space="0" w:color="000000"/>
              <w:left w:val="single" w:sz="4" w:space="0" w:color="000000"/>
              <w:bottom w:val="single" w:sz="4" w:space="0" w:color="000000"/>
              <w:right w:val="single" w:sz="4" w:space="0" w:color="000000"/>
            </w:tcBorders>
          </w:tcPr>
          <w:p w14:paraId="69346B0F" w14:textId="77777777" w:rsidR="00600DC0" w:rsidRPr="00600DC0" w:rsidRDefault="00600DC0" w:rsidP="00600DC0">
            <w:pPr>
              <w:jc w:val="both"/>
              <w:rPr>
                <w:rFonts w:ascii="Arial" w:hAnsi="Arial" w:cs="Arial"/>
                <w:sz w:val="18"/>
                <w:szCs w:val="18"/>
                <w:lang w:val="es-ES"/>
              </w:rPr>
            </w:pPr>
            <w:r w:rsidRPr="00600DC0">
              <w:rPr>
                <w:rFonts w:ascii="Arial" w:hAnsi="Arial" w:cs="Arial"/>
                <w:sz w:val="18"/>
                <w:szCs w:val="18"/>
                <w:lang w:val="es-ES"/>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AFC10CB" w14:textId="77777777" w:rsidR="00600DC0" w:rsidRPr="00600DC0" w:rsidRDefault="00600DC0" w:rsidP="00600DC0">
            <w:pPr>
              <w:jc w:val="both"/>
              <w:rPr>
                <w:rFonts w:ascii="Arial" w:hAnsi="Arial" w:cs="Arial"/>
                <w:sz w:val="18"/>
                <w:szCs w:val="18"/>
                <w:lang w:val="es-ES"/>
              </w:rPr>
            </w:pPr>
            <w:r w:rsidRPr="00600DC0">
              <w:rPr>
                <w:rFonts w:ascii="Arial" w:hAnsi="Arial" w:cs="Arial"/>
                <w:b/>
                <w:sz w:val="18"/>
                <w:szCs w:val="18"/>
                <w:lang w:val="es-ES"/>
              </w:rPr>
              <w:t xml:space="preserve">39 </w:t>
            </w:r>
          </w:p>
        </w:tc>
        <w:tc>
          <w:tcPr>
            <w:tcW w:w="284" w:type="dxa"/>
            <w:vMerge/>
            <w:tcBorders>
              <w:top w:val="nil"/>
              <w:left w:val="single" w:sz="4" w:space="0" w:color="000000"/>
              <w:bottom w:val="nil"/>
              <w:right w:val="single" w:sz="4" w:space="0" w:color="000000"/>
            </w:tcBorders>
          </w:tcPr>
          <w:p w14:paraId="531CF644" w14:textId="77777777" w:rsidR="00600DC0" w:rsidRPr="00600DC0" w:rsidRDefault="00600DC0" w:rsidP="00600DC0">
            <w:pPr>
              <w:jc w:val="both"/>
              <w:rPr>
                <w:rFonts w:ascii="Arial" w:hAnsi="Arial" w:cs="Arial"/>
                <w:sz w:val="18"/>
                <w:szCs w:val="18"/>
                <w:lang w:val="es-ES"/>
              </w:rPr>
            </w:pPr>
          </w:p>
        </w:tc>
        <w:tc>
          <w:tcPr>
            <w:tcW w:w="850" w:type="dxa"/>
            <w:tcBorders>
              <w:top w:val="single" w:sz="4" w:space="0" w:color="000000"/>
              <w:left w:val="single" w:sz="4" w:space="0" w:color="000000"/>
              <w:bottom w:val="single" w:sz="4" w:space="0" w:color="000000"/>
              <w:right w:val="single" w:sz="4" w:space="0" w:color="000000"/>
            </w:tcBorders>
          </w:tcPr>
          <w:p w14:paraId="1920633A" w14:textId="77777777" w:rsidR="00600DC0" w:rsidRPr="00600DC0" w:rsidRDefault="00600DC0" w:rsidP="00600DC0">
            <w:pPr>
              <w:jc w:val="both"/>
              <w:rPr>
                <w:rFonts w:ascii="Arial" w:hAnsi="Arial" w:cs="Arial"/>
                <w:sz w:val="18"/>
                <w:szCs w:val="18"/>
                <w:lang w:val="es-ES"/>
              </w:rPr>
            </w:pPr>
            <w:r w:rsidRPr="00600DC0">
              <w:rPr>
                <w:rFonts w:ascii="Arial" w:hAnsi="Arial" w:cs="Arial"/>
                <w:sz w:val="18"/>
                <w:szCs w:val="18"/>
                <w:lang w:val="es-ES"/>
              </w:rPr>
              <w:t xml:space="preserve">1400 </w:t>
            </w:r>
          </w:p>
        </w:tc>
        <w:tc>
          <w:tcPr>
            <w:tcW w:w="1134" w:type="dxa"/>
            <w:tcBorders>
              <w:top w:val="single" w:sz="4" w:space="0" w:color="000000"/>
              <w:left w:val="single" w:sz="4" w:space="0" w:color="000000"/>
              <w:bottom w:val="single" w:sz="4" w:space="0" w:color="000000"/>
              <w:right w:val="single" w:sz="4" w:space="0" w:color="000000"/>
            </w:tcBorders>
          </w:tcPr>
          <w:p w14:paraId="0A8B575B" w14:textId="77777777" w:rsidR="00600DC0" w:rsidRPr="00600DC0" w:rsidRDefault="00600DC0" w:rsidP="00600DC0">
            <w:pPr>
              <w:jc w:val="both"/>
              <w:rPr>
                <w:rFonts w:ascii="Arial" w:hAnsi="Arial" w:cs="Arial"/>
                <w:sz w:val="18"/>
                <w:szCs w:val="18"/>
                <w:lang w:val="es-ES"/>
              </w:rPr>
            </w:pPr>
            <w:r w:rsidRPr="00600DC0">
              <w:rPr>
                <w:rFonts w:ascii="Arial" w:hAnsi="Arial" w:cs="Arial"/>
                <w:sz w:val="18"/>
                <w:szCs w:val="18"/>
                <w:lang w:val="es-ES"/>
              </w:rPr>
              <w:t xml:space="preserve">304 </w:t>
            </w:r>
          </w:p>
        </w:tc>
        <w:tc>
          <w:tcPr>
            <w:tcW w:w="1134" w:type="dxa"/>
            <w:tcBorders>
              <w:top w:val="single" w:sz="4" w:space="0" w:color="000000"/>
              <w:left w:val="single" w:sz="4" w:space="0" w:color="000000"/>
              <w:bottom w:val="single" w:sz="4" w:space="0" w:color="000000"/>
              <w:right w:val="single" w:sz="4" w:space="0" w:color="000000"/>
            </w:tcBorders>
          </w:tcPr>
          <w:p w14:paraId="1EA2E2C7" w14:textId="77777777" w:rsidR="00600DC0" w:rsidRPr="00600DC0" w:rsidRDefault="00600DC0" w:rsidP="00600DC0">
            <w:pPr>
              <w:jc w:val="both"/>
              <w:rPr>
                <w:rFonts w:ascii="Arial" w:hAnsi="Arial" w:cs="Arial"/>
                <w:sz w:val="18"/>
                <w:szCs w:val="18"/>
                <w:lang w:val="es-ES"/>
              </w:rPr>
            </w:pPr>
            <w:r w:rsidRPr="00600DC0">
              <w:rPr>
                <w:rFonts w:ascii="Arial" w:hAnsi="Arial" w:cs="Arial"/>
                <w:sz w:val="18"/>
                <w:szCs w:val="18"/>
                <w:lang w:val="es-ES"/>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69E29FEB" w14:textId="77777777" w:rsidR="00600DC0" w:rsidRPr="00600DC0" w:rsidRDefault="00600DC0" w:rsidP="00600DC0">
            <w:pPr>
              <w:jc w:val="both"/>
              <w:rPr>
                <w:rFonts w:ascii="Arial" w:hAnsi="Arial" w:cs="Arial"/>
                <w:sz w:val="18"/>
                <w:szCs w:val="18"/>
                <w:lang w:val="es-ES"/>
              </w:rPr>
            </w:pPr>
            <w:r w:rsidRPr="00600DC0">
              <w:rPr>
                <w:rFonts w:ascii="Arial" w:hAnsi="Arial" w:cs="Arial"/>
                <w:b/>
                <w:sz w:val="18"/>
                <w:szCs w:val="18"/>
                <w:lang w:val="es-ES"/>
              </w:rPr>
              <w:t xml:space="preserve">2 </w:t>
            </w:r>
          </w:p>
        </w:tc>
      </w:tr>
    </w:tbl>
    <w:p w14:paraId="32404355" w14:textId="77777777" w:rsidR="00600DC0" w:rsidRPr="00FE4A9E" w:rsidRDefault="00600DC0" w:rsidP="00600DC0">
      <w:pPr>
        <w:jc w:val="both"/>
        <w:rPr>
          <w:rFonts w:ascii="Arial" w:hAnsi="Arial" w:cs="Arial"/>
          <w:sz w:val="20"/>
          <w:szCs w:val="20"/>
          <w:lang w:val="es-ES"/>
        </w:rPr>
      </w:pPr>
      <w:r w:rsidRPr="00FE4A9E">
        <w:rPr>
          <w:rFonts w:ascii="Arial" w:hAnsi="Arial" w:cs="Arial"/>
          <w:sz w:val="20"/>
          <w:szCs w:val="20"/>
          <w:lang w:val="es-ES"/>
        </w:rPr>
        <w:t xml:space="preserve">Nota: Información aportada por la Oficina de Sistemas de la Sala Jurisdiccional Disciplinaria. </w:t>
      </w:r>
    </w:p>
    <w:p w14:paraId="0B593095" w14:textId="65788589" w:rsidR="00600DC0" w:rsidRDefault="00600DC0" w:rsidP="00600DC0">
      <w:pPr>
        <w:jc w:val="both"/>
        <w:rPr>
          <w:rFonts w:ascii="Arial" w:hAnsi="Arial" w:cs="Arial"/>
          <w:lang w:val="es-ES"/>
        </w:rPr>
      </w:pPr>
    </w:p>
    <w:p w14:paraId="61B9A4A3" w14:textId="77777777" w:rsidR="00600DC0" w:rsidRPr="00600DC0" w:rsidRDefault="00600DC0" w:rsidP="00600DC0">
      <w:pPr>
        <w:pStyle w:val="ListParagraph"/>
        <w:numPr>
          <w:ilvl w:val="0"/>
          <w:numId w:val="1"/>
        </w:numPr>
        <w:jc w:val="both"/>
        <w:rPr>
          <w:rFonts w:ascii="Arial" w:hAnsi="Arial" w:cs="Arial"/>
          <w:b/>
          <w:bCs/>
        </w:rPr>
      </w:pPr>
      <w:r w:rsidRPr="00600DC0">
        <w:rPr>
          <w:rFonts w:ascii="Arial" w:hAnsi="Arial" w:cs="Arial"/>
          <w:b/>
          <w:bCs/>
        </w:rPr>
        <w:t>Por favor describa el procedimiento para la presentación de quejas disciplinarias contra los jueces. ¿Quién puede iniciar procedimientos disciplinarios contra los jueces? ¿Qué organismo es re</w:t>
      </w:r>
      <w:r w:rsidRPr="00600DC0">
        <w:rPr>
          <w:rFonts w:ascii="Arial" w:hAnsi="Arial" w:cs="Arial"/>
          <w:b/>
          <w:bCs/>
        </w:rPr>
        <w:lastRenderedPageBreak/>
        <w:t xml:space="preserve">sponsable de recibir las quejas disciplinarias y realizar las investigaciones? ¿Se pueden apelar las decisiones del órgano disciplinario ante un tribunal competente? </w:t>
      </w:r>
    </w:p>
    <w:p w14:paraId="46E321B6" w14:textId="77777777" w:rsidR="00600DC0" w:rsidRDefault="00600DC0" w:rsidP="00600DC0">
      <w:pPr>
        <w:jc w:val="both"/>
        <w:rPr>
          <w:rFonts w:ascii="Arial" w:hAnsi="Arial" w:cs="Arial"/>
          <w:b/>
          <w:bCs/>
        </w:rPr>
      </w:pPr>
    </w:p>
    <w:p w14:paraId="27A59AFB" w14:textId="782C7351" w:rsidR="00600DC0" w:rsidRDefault="00600DC0" w:rsidP="00600DC0">
      <w:pPr>
        <w:jc w:val="both"/>
        <w:rPr>
          <w:rFonts w:ascii="Arial" w:hAnsi="Arial" w:cs="Arial"/>
        </w:rPr>
      </w:pPr>
      <w:r w:rsidRPr="00600DC0">
        <w:rPr>
          <w:rFonts w:ascii="Arial" w:hAnsi="Arial" w:cs="Arial"/>
        </w:rPr>
        <w:t xml:space="preserve">Procedimiento para la queja: </w:t>
      </w:r>
    </w:p>
    <w:p w14:paraId="5C50DDAA" w14:textId="77777777" w:rsidR="00600DC0" w:rsidRPr="00600DC0" w:rsidRDefault="00600DC0" w:rsidP="00600DC0">
      <w:pPr>
        <w:jc w:val="both"/>
        <w:rPr>
          <w:rFonts w:ascii="Arial" w:hAnsi="Arial" w:cs="Arial"/>
        </w:rPr>
      </w:pPr>
    </w:p>
    <w:p w14:paraId="173752D9" w14:textId="77777777" w:rsidR="00600DC0" w:rsidRPr="00600DC0" w:rsidRDefault="00600DC0" w:rsidP="00600DC0">
      <w:pPr>
        <w:jc w:val="both"/>
        <w:rPr>
          <w:rFonts w:ascii="Arial" w:hAnsi="Arial" w:cs="Arial"/>
        </w:rPr>
      </w:pPr>
      <w:r w:rsidRPr="00600DC0">
        <w:rPr>
          <w:rFonts w:ascii="Arial" w:hAnsi="Arial" w:cs="Arial"/>
        </w:rPr>
        <w:t xml:space="preserve">De acuerdo con el artículo 69 de la Ley 734 de 2002, la acción disciplinaria se iniciará y adelantará de oficio, o por información proveniente de servidor público o de otro medio que amerite credibilidad, o por queja formulada por </w:t>
      </w:r>
      <w:r w:rsidRPr="00600DC0">
        <w:rPr>
          <w:rFonts w:ascii="Arial" w:hAnsi="Arial" w:cs="Arial"/>
        </w:rPr>
        <w:lastRenderedPageBreak/>
        <w:t xml:space="preserve">cualquier persona, y no procederá por anónimos, salvo ameriten credibilidad de acuerdo con los artículos 38 de Ley 190 de 1995 y 27 de la Ley 24 de 1992. </w:t>
      </w:r>
    </w:p>
    <w:p w14:paraId="3C24D2F1" w14:textId="77777777" w:rsidR="00600DC0" w:rsidRDefault="00600DC0" w:rsidP="00600DC0">
      <w:pPr>
        <w:jc w:val="both"/>
        <w:rPr>
          <w:rFonts w:ascii="Arial" w:hAnsi="Arial" w:cs="Arial"/>
        </w:rPr>
      </w:pPr>
    </w:p>
    <w:p w14:paraId="40720322" w14:textId="2554AAAF" w:rsidR="00600DC0" w:rsidRPr="00600DC0" w:rsidRDefault="00600DC0" w:rsidP="00600DC0">
      <w:pPr>
        <w:jc w:val="both"/>
        <w:rPr>
          <w:rFonts w:ascii="Arial" w:hAnsi="Arial" w:cs="Arial"/>
        </w:rPr>
      </w:pPr>
      <w:r w:rsidRPr="00600DC0">
        <w:rPr>
          <w:rFonts w:ascii="Arial" w:hAnsi="Arial" w:cs="Arial"/>
        </w:rPr>
        <w:t xml:space="preserve">Organismo responsable de recibir las quejas e investigar: </w:t>
      </w:r>
    </w:p>
    <w:p w14:paraId="5551B8B5" w14:textId="77777777" w:rsidR="00600DC0" w:rsidRDefault="00600DC0" w:rsidP="00600DC0">
      <w:pPr>
        <w:jc w:val="both"/>
        <w:rPr>
          <w:rFonts w:ascii="Arial" w:hAnsi="Arial" w:cs="Arial"/>
        </w:rPr>
      </w:pPr>
    </w:p>
    <w:p w14:paraId="70EF00F2" w14:textId="6BBD3972" w:rsidR="00600DC0" w:rsidRPr="00600DC0" w:rsidRDefault="00600DC0" w:rsidP="00600DC0">
      <w:pPr>
        <w:jc w:val="both"/>
        <w:rPr>
          <w:rFonts w:ascii="Arial" w:hAnsi="Arial" w:cs="Arial"/>
        </w:rPr>
      </w:pPr>
      <w:r w:rsidRPr="00600DC0">
        <w:rPr>
          <w:rFonts w:ascii="Arial" w:hAnsi="Arial" w:cs="Arial"/>
        </w:rPr>
        <w:t xml:space="preserve">Es preciso tener en cuenta que la autoridad competente para iniciar y adelantar los procedimientos disciplinarios contra los jueces, son: en primera instancia los Consejos Seccionales de la Judicatura de todo el país, y en segunda instancia el Consejo Superior de la Judicatura (hasta que </w:t>
      </w:r>
      <w:r w:rsidRPr="00600DC0">
        <w:rPr>
          <w:rFonts w:ascii="Arial" w:hAnsi="Arial" w:cs="Arial"/>
        </w:rPr>
        <w:lastRenderedPageBreak/>
        <w:t xml:space="preserve">entre en funcionamiento la Comisión Nacional de Disciplina Judicial). Por lo tanto, dichas entidades son las competentes para recibir las quejas y realizar las investigaciones correspondientes. </w:t>
      </w:r>
    </w:p>
    <w:p w14:paraId="03C86D10" w14:textId="77777777" w:rsidR="00600DC0" w:rsidRDefault="00600DC0" w:rsidP="00600DC0">
      <w:pPr>
        <w:jc w:val="both"/>
        <w:rPr>
          <w:rFonts w:ascii="Arial" w:hAnsi="Arial" w:cs="Arial"/>
        </w:rPr>
      </w:pPr>
    </w:p>
    <w:p w14:paraId="1C043CB3" w14:textId="677D63A4" w:rsidR="00600DC0" w:rsidRDefault="00600DC0" w:rsidP="00600DC0">
      <w:pPr>
        <w:jc w:val="both"/>
        <w:rPr>
          <w:rFonts w:ascii="Arial" w:hAnsi="Arial" w:cs="Arial"/>
        </w:rPr>
      </w:pPr>
      <w:r w:rsidRPr="00600DC0">
        <w:rPr>
          <w:rFonts w:ascii="Arial" w:hAnsi="Arial" w:cs="Arial"/>
        </w:rPr>
        <w:t xml:space="preserve">Apelación de las decisiones: </w:t>
      </w:r>
    </w:p>
    <w:p w14:paraId="50648563" w14:textId="77777777" w:rsidR="00600DC0" w:rsidRPr="00600DC0" w:rsidRDefault="00600DC0" w:rsidP="00600DC0">
      <w:pPr>
        <w:jc w:val="both"/>
        <w:rPr>
          <w:rFonts w:ascii="Arial" w:hAnsi="Arial" w:cs="Arial"/>
        </w:rPr>
      </w:pPr>
    </w:p>
    <w:p w14:paraId="2C8946E0" w14:textId="58618D6B" w:rsidR="00600DC0" w:rsidRPr="00600DC0" w:rsidRDefault="00600DC0" w:rsidP="00600DC0">
      <w:pPr>
        <w:jc w:val="both"/>
        <w:rPr>
          <w:rFonts w:ascii="Arial" w:hAnsi="Arial" w:cs="Arial"/>
        </w:rPr>
      </w:pPr>
      <w:r w:rsidRPr="00600DC0">
        <w:rPr>
          <w:rFonts w:ascii="Arial" w:hAnsi="Arial" w:cs="Arial"/>
        </w:rPr>
        <w:t xml:space="preserve">De acuerdo con la Ley estatutaria de Administración de Justicia (Ley 270 de 1.996), vale la pena puntualizar que en primera instancia los procesos contra los Jueces de la República son tramitados por los Consejos Seccionales de </w:t>
      </w:r>
      <w:r w:rsidRPr="00600DC0">
        <w:rPr>
          <w:rFonts w:ascii="Arial" w:hAnsi="Arial" w:cs="Arial"/>
        </w:rPr>
        <w:lastRenderedPageBreak/>
        <w:t xml:space="preserve">la Judicatura (artículo 114), y la apelación de estas decisiones es conocida por el Consejo Superior de la Judicatura (artículo 112, numeral 4). Vale la pena aclarar que, los procesos contra los magistrados de nivel de tribunal se tramitan en única instancia (artículo 112, numeral </w:t>
      </w:r>
    </w:p>
    <w:p w14:paraId="5BA7D35A" w14:textId="4D294033" w:rsidR="00600DC0" w:rsidRDefault="00600DC0" w:rsidP="00600DC0">
      <w:pPr>
        <w:jc w:val="both"/>
        <w:rPr>
          <w:rFonts w:ascii="Arial" w:hAnsi="Arial" w:cs="Arial"/>
        </w:rPr>
      </w:pPr>
    </w:p>
    <w:p w14:paraId="3BB04BDC" w14:textId="7E5B1951" w:rsidR="00600DC0" w:rsidRPr="00600DC0" w:rsidRDefault="00600DC0" w:rsidP="00600DC0">
      <w:pPr>
        <w:jc w:val="both"/>
        <w:rPr>
          <w:rFonts w:ascii="Arial" w:hAnsi="Arial" w:cs="Arial"/>
          <w:lang w:val="es-ES"/>
        </w:rPr>
      </w:pPr>
      <w:r>
        <w:rPr>
          <w:rFonts w:ascii="Arial" w:hAnsi="Arial" w:cs="Arial"/>
          <w:lang w:val="es-ES"/>
        </w:rPr>
        <w:t>Cabe adicionar que e</w:t>
      </w:r>
      <w:r w:rsidRPr="00600DC0">
        <w:rPr>
          <w:rFonts w:ascii="Arial" w:hAnsi="Arial" w:cs="Arial"/>
          <w:lang w:val="es-ES"/>
        </w:rPr>
        <w:t>l régimen disciplinario para los funcionarios judiciales de la Rama Judicial en Colombia, está regulado en el Código Disciplinario Único (Ley 734 de 2002), como norma especial para la implementación del procedi</w:t>
      </w:r>
      <w:r w:rsidRPr="00600DC0">
        <w:rPr>
          <w:rFonts w:ascii="Arial" w:hAnsi="Arial" w:cs="Arial"/>
          <w:lang w:val="es-ES"/>
        </w:rPr>
        <w:lastRenderedPageBreak/>
        <w:t xml:space="preserve">miento disciplinario. Es de resaltar que esta código disciplinario único, estable dos tipos de regímenes de servidores públicos en general, uno en </w:t>
      </w:r>
      <w:r w:rsidRPr="00600DC0">
        <w:rPr>
          <w:rFonts w:ascii="Arial" w:hAnsi="Arial" w:cs="Arial"/>
          <w:u w:val="single"/>
          <w:lang w:val="es-ES"/>
        </w:rPr>
        <w:t>sede administrativa</w:t>
      </w:r>
      <w:r w:rsidRPr="00600DC0">
        <w:rPr>
          <w:rFonts w:ascii="Arial" w:hAnsi="Arial" w:cs="Arial"/>
          <w:lang w:val="es-ES"/>
        </w:rPr>
        <w:t xml:space="preserve">, direccionado por la Procuraduría General de la Nación, y otros en </w:t>
      </w:r>
      <w:r w:rsidRPr="00600DC0">
        <w:rPr>
          <w:rFonts w:ascii="Arial" w:hAnsi="Arial" w:cs="Arial"/>
          <w:u w:val="single"/>
          <w:lang w:val="es-ES"/>
        </w:rPr>
        <w:t>sede judicial</w:t>
      </w:r>
      <w:r w:rsidRPr="00600DC0">
        <w:rPr>
          <w:rFonts w:ascii="Arial" w:hAnsi="Arial" w:cs="Arial"/>
          <w:lang w:val="es-ES"/>
        </w:rPr>
        <w:t xml:space="preserve">, en cabeza de la Sala Jurisdiccional Disciplinaria del Consejo Superior de la Judicatura, por disposición del artículo 256 de la Constitución Política y los numerales 3° y 4º del artículo 112 de la Ley 270 de 1996, para investigar a Jueces y Magistrados de la Rama Judicial. </w:t>
      </w:r>
    </w:p>
    <w:p w14:paraId="755B0991" w14:textId="77777777" w:rsidR="00600DC0" w:rsidRPr="00600DC0" w:rsidRDefault="00600DC0" w:rsidP="00600DC0">
      <w:pPr>
        <w:jc w:val="both"/>
        <w:rPr>
          <w:rFonts w:ascii="Arial" w:hAnsi="Arial" w:cs="Arial"/>
          <w:lang w:val="es-ES"/>
        </w:rPr>
      </w:pPr>
      <w:r w:rsidRPr="00600DC0">
        <w:rPr>
          <w:rFonts w:ascii="Arial" w:hAnsi="Arial" w:cs="Arial"/>
          <w:lang w:val="es-ES"/>
        </w:rPr>
        <w:t xml:space="preserve"> </w:t>
      </w:r>
    </w:p>
    <w:p w14:paraId="6C396A5C" w14:textId="77777777" w:rsidR="00FE4A9E" w:rsidRDefault="00600DC0" w:rsidP="00600DC0">
      <w:pPr>
        <w:jc w:val="both"/>
        <w:rPr>
          <w:rFonts w:ascii="Arial" w:hAnsi="Arial" w:cs="Arial"/>
          <w:lang w:val="es-ES"/>
        </w:rPr>
      </w:pPr>
      <w:r w:rsidRPr="00600DC0">
        <w:rPr>
          <w:rFonts w:ascii="Arial" w:hAnsi="Arial" w:cs="Arial"/>
          <w:lang w:val="es-ES"/>
        </w:rPr>
        <w:lastRenderedPageBreak/>
        <w:t xml:space="preserve">Bajo este panorama, se precisa que de acuerdo con lo previsto en el artículo 69 de la Ley 734 de 2002, la acción disciplinaria se inicia y adelanta de oficio, o por información proveniente de servidor público o de otro medio que amerite credibilidad, o por queja formulada por cualquier persona, y no procederá por anónimos, salvo en los eventos en que cumpla con los requisitos mínimos consagrados en </w:t>
      </w:r>
      <w:r w:rsidRPr="00600DC0">
        <w:rPr>
          <w:rFonts w:ascii="Arial" w:hAnsi="Arial" w:cs="Arial"/>
          <w:lang w:val="es-ES"/>
        </w:rPr>
        <w:lastRenderedPageBreak/>
        <w:t>los artículos</w:t>
      </w:r>
      <w:r w:rsidR="00A44757">
        <w:rPr>
          <w:rFonts w:ascii="Arial" w:hAnsi="Arial" w:cs="Arial"/>
          <w:lang w:val="es-ES"/>
        </w:rPr>
        <w:t xml:space="preserve"> 38 </w:t>
      </w:r>
      <w:r w:rsidRPr="00600DC0">
        <w:rPr>
          <w:rFonts w:ascii="Arial" w:hAnsi="Arial" w:cs="Arial"/>
          <w:lang w:val="es-ES"/>
        </w:rPr>
        <w:t>de Ley 190 de 1995</w:t>
      </w:r>
      <w:r w:rsidRPr="00FE4A9E">
        <w:rPr>
          <w:rFonts w:ascii="Arial" w:hAnsi="Arial" w:cs="Arial"/>
          <w:lang w:val="es-ES"/>
        </w:rPr>
        <w:footnoteReference w:id="4"/>
      </w:r>
      <w:r w:rsidRPr="00600DC0">
        <w:rPr>
          <w:rFonts w:ascii="Arial" w:hAnsi="Arial" w:cs="Arial"/>
          <w:lang w:val="es-ES"/>
        </w:rPr>
        <w:t xml:space="preserve"> y</w:t>
      </w:r>
      <w:hyperlink r:id="rId7" w:anchor="27">
        <w:r w:rsidRPr="00FE4A9E">
          <w:t xml:space="preserve"> </w:t>
        </w:r>
      </w:hyperlink>
      <w:hyperlink r:id="rId8" w:anchor="27">
        <w:r w:rsidRPr="00FE4A9E">
          <w:t>27</w:t>
        </w:r>
      </w:hyperlink>
      <w:hyperlink r:id="rId9" w:anchor="27">
        <w:r w:rsidRPr="00FE4A9E">
          <w:t xml:space="preserve"> </w:t>
        </w:r>
      </w:hyperlink>
      <w:r w:rsidRPr="00600DC0">
        <w:rPr>
          <w:rFonts w:ascii="Arial" w:hAnsi="Arial" w:cs="Arial"/>
          <w:lang w:val="es-ES"/>
        </w:rPr>
        <w:t>de la Ley 24 de 1992</w:t>
      </w:r>
      <w:r w:rsidRPr="00600DC0">
        <w:rPr>
          <w:rFonts w:ascii="Arial" w:hAnsi="Arial" w:cs="Arial"/>
          <w:vertAlign w:val="superscript"/>
          <w:lang w:val="es-ES"/>
        </w:rPr>
        <w:footnoteReference w:id="5"/>
      </w:r>
      <w:r w:rsidRPr="00600DC0">
        <w:rPr>
          <w:rFonts w:ascii="Arial" w:hAnsi="Arial" w:cs="Arial"/>
          <w:lang w:val="es-ES"/>
        </w:rPr>
        <w:t xml:space="preserve">. </w:t>
      </w:r>
    </w:p>
    <w:p w14:paraId="5FC70DF9" w14:textId="77777777" w:rsidR="00FE4A9E" w:rsidRDefault="00FE4A9E" w:rsidP="00600DC0">
      <w:pPr>
        <w:jc w:val="both"/>
        <w:rPr>
          <w:rFonts w:ascii="Arial" w:hAnsi="Arial" w:cs="Arial"/>
          <w:lang w:val="es-ES"/>
        </w:rPr>
      </w:pPr>
    </w:p>
    <w:p w14:paraId="408AE6ED" w14:textId="71B249D3" w:rsidR="00600DC0" w:rsidRPr="00600DC0" w:rsidRDefault="00600DC0" w:rsidP="00600DC0">
      <w:pPr>
        <w:jc w:val="both"/>
        <w:rPr>
          <w:rFonts w:ascii="Arial" w:hAnsi="Arial" w:cs="Arial"/>
          <w:lang w:val="es-ES"/>
        </w:rPr>
      </w:pPr>
      <w:r w:rsidRPr="00600DC0">
        <w:rPr>
          <w:rFonts w:ascii="Arial" w:hAnsi="Arial" w:cs="Arial"/>
          <w:lang w:val="es-ES"/>
        </w:rPr>
        <w:lastRenderedPageBreak/>
        <w:t xml:space="preserve">De igual modo, el artículo 70 </w:t>
      </w:r>
      <w:r w:rsidRPr="00600DC0">
        <w:rPr>
          <w:rFonts w:ascii="Arial" w:hAnsi="Arial" w:cs="Arial"/>
          <w:i/>
          <w:lang w:val="es-ES"/>
        </w:rPr>
        <w:t>ibídem</w:t>
      </w:r>
      <w:r w:rsidRPr="00600DC0">
        <w:rPr>
          <w:rFonts w:ascii="Arial" w:hAnsi="Arial" w:cs="Arial"/>
          <w:lang w:val="es-ES"/>
        </w:rPr>
        <w:t xml:space="preserve">, señala que el servidor público que tenga conocimiento de un hecho constitutivo de posible falta disciplinaria, si fuere competente, iniciará inmediatamente la acción correspondiente. Si no lo fuere, pondrá el hecho en conocimiento de la autoridad competente, adjuntando las pruebas que tuviere, siendo éstas las formas como se inicia la acción disciplinaria. </w:t>
      </w:r>
    </w:p>
    <w:p w14:paraId="2BC9F7A1" w14:textId="77777777" w:rsidR="00600DC0" w:rsidRPr="00600DC0" w:rsidRDefault="00600DC0" w:rsidP="00600DC0">
      <w:pPr>
        <w:jc w:val="both"/>
        <w:rPr>
          <w:rFonts w:ascii="Arial" w:hAnsi="Arial" w:cs="Arial"/>
          <w:lang w:val="es-ES"/>
        </w:rPr>
      </w:pPr>
      <w:r w:rsidRPr="00600DC0">
        <w:rPr>
          <w:rFonts w:ascii="Arial" w:hAnsi="Arial" w:cs="Arial"/>
          <w:lang w:val="es-ES"/>
        </w:rPr>
        <w:t xml:space="preserve"> </w:t>
      </w:r>
    </w:p>
    <w:p w14:paraId="7E2D93AE" w14:textId="77777777" w:rsidR="00600DC0" w:rsidRPr="00600DC0" w:rsidRDefault="00600DC0" w:rsidP="00600DC0">
      <w:pPr>
        <w:jc w:val="both"/>
        <w:rPr>
          <w:rFonts w:ascii="Arial" w:hAnsi="Arial" w:cs="Arial"/>
          <w:lang w:val="es-ES"/>
        </w:rPr>
      </w:pPr>
      <w:r w:rsidRPr="00600DC0">
        <w:rPr>
          <w:rFonts w:ascii="Arial" w:hAnsi="Arial" w:cs="Arial"/>
          <w:lang w:val="es-ES"/>
        </w:rPr>
        <w:t>De otra parte, en el caso de las investigaciones disciplinarias en contra de Jueces y Magistrados, es decir, de funcio</w:t>
      </w:r>
      <w:r w:rsidRPr="00600DC0">
        <w:rPr>
          <w:rFonts w:ascii="Arial" w:hAnsi="Arial" w:cs="Arial"/>
          <w:lang w:val="es-ES"/>
        </w:rPr>
        <w:lastRenderedPageBreak/>
        <w:t xml:space="preserve">narios judiciales, es una competencia atribuida exclusivamente a </w:t>
      </w:r>
      <w:r w:rsidRPr="00600DC0">
        <w:rPr>
          <w:rFonts w:ascii="Arial" w:hAnsi="Arial" w:cs="Arial"/>
          <w:b/>
          <w:lang w:val="es-ES"/>
        </w:rPr>
        <w:t>la Sala Jurisdiccional Disciplinaria</w:t>
      </w:r>
      <w:r w:rsidRPr="00600DC0">
        <w:rPr>
          <w:rFonts w:ascii="Arial" w:hAnsi="Arial" w:cs="Arial"/>
          <w:lang w:val="es-ES"/>
        </w:rPr>
        <w:t xml:space="preserve">, bajo el contexto de una decisión de carácter jurisdiccional, de conformidad con lo establecido en el artículo 194 del Código Disciplinario Único. </w:t>
      </w:r>
    </w:p>
    <w:p w14:paraId="35878341" w14:textId="77777777" w:rsidR="00600DC0" w:rsidRPr="00600DC0" w:rsidRDefault="00600DC0" w:rsidP="00600DC0">
      <w:pPr>
        <w:jc w:val="both"/>
        <w:rPr>
          <w:rFonts w:ascii="Arial" w:hAnsi="Arial" w:cs="Arial"/>
          <w:lang w:val="es-ES"/>
        </w:rPr>
      </w:pPr>
      <w:r w:rsidRPr="00600DC0">
        <w:rPr>
          <w:rFonts w:ascii="Arial" w:hAnsi="Arial" w:cs="Arial"/>
          <w:lang w:val="es-ES"/>
        </w:rPr>
        <w:t xml:space="preserve"> </w:t>
      </w:r>
    </w:p>
    <w:p w14:paraId="2AC336FF" w14:textId="77777777" w:rsidR="00600DC0" w:rsidRPr="00600DC0" w:rsidRDefault="00600DC0" w:rsidP="00600DC0">
      <w:pPr>
        <w:jc w:val="both"/>
        <w:rPr>
          <w:rFonts w:ascii="Arial" w:hAnsi="Arial" w:cs="Arial"/>
          <w:lang w:val="es-ES"/>
        </w:rPr>
      </w:pPr>
      <w:r w:rsidRPr="00600DC0">
        <w:rPr>
          <w:rFonts w:ascii="Arial" w:hAnsi="Arial" w:cs="Arial"/>
          <w:lang w:val="es-ES"/>
        </w:rPr>
        <w:t xml:space="preserve">En cuanto a la estructura de la Jurisdicción Disciplinaria, la Ley Estatutaria de la Administración de Justicia (Ley 270 de 1996) estableció en el numeral 4° del artículo 112, la </w:t>
      </w:r>
      <w:r w:rsidRPr="00600DC0">
        <w:rPr>
          <w:rFonts w:ascii="Arial" w:hAnsi="Arial" w:cs="Arial"/>
          <w:b/>
          <w:lang w:val="es-ES"/>
        </w:rPr>
        <w:t>doble instancia</w:t>
      </w:r>
      <w:r w:rsidRPr="00600DC0">
        <w:rPr>
          <w:rFonts w:ascii="Arial" w:hAnsi="Arial" w:cs="Arial"/>
          <w:lang w:val="es-ES"/>
        </w:rPr>
        <w:t xml:space="preserve"> en procesos disciplinarios tramitados con</w:t>
      </w:r>
      <w:r w:rsidRPr="00600DC0">
        <w:rPr>
          <w:rFonts w:ascii="Arial" w:hAnsi="Arial" w:cs="Arial"/>
          <w:lang w:val="es-ES"/>
        </w:rPr>
        <w:lastRenderedPageBreak/>
        <w:t>tra jueces de la República en las Salas Jurisdiccionales Disciplinarias de los Consejos Seccionales del país, con lo cual las decisiones de éstos, pueden ser apeladas o consultadas y conocidas por el superior jerárquico. En relación a los Magistrados, la investigación se surte en un procedimiento de única instancia, con lo cual cuentan con los recursos establecidos para su procedimiento.</w:t>
      </w:r>
    </w:p>
    <w:p w14:paraId="4290CE8D" w14:textId="07E72D9E" w:rsidR="00600DC0" w:rsidRDefault="00600DC0" w:rsidP="00600DC0">
      <w:pPr>
        <w:jc w:val="both"/>
        <w:rPr>
          <w:rFonts w:ascii="Arial" w:hAnsi="Arial" w:cs="Arial"/>
          <w:lang w:val="es-ES"/>
        </w:rPr>
      </w:pPr>
    </w:p>
    <w:p w14:paraId="776AB409" w14:textId="77777777" w:rsidR="00600DC0" w:rsidRPr="00600DC0" w:rsidRDefault="00600DC0" w:rsidP="00600DC0">
      <w:pPr>
        <w:numPr>
          <w:ilvl w:val="0"/>
          <w:numId w:val="4"/>
        </w:numPr>
        <w:jc w:val="both"/>
        <w:rPr>
          <w:rFonts w:ascii="Arial" w:hAnsi="Arial" w:cs="Arial"/>
          <w:b/>
          <w:bCs/>
        </w:rPr>
      </w:pPr>
      <w:r w:rsidRPr="00600DC0">
        <w:rPr>
          <w:rFonts w:ascii="Arial" w:hAnsi="Arial" w:cs="Arial"/>
          <w:b/>
          <w:bCs/>
        </w:rPr>
        <w:t xml:space="preserve">Sírvase proporcionar información relativa a las sanciones disciplinarias que pueden imponerse a un </w:t>
      </w:r>
      <w:r w:rsidRPr="00600DC0">
        <w:rPr>
          <w:rFonts w:ascii="Arial" w:hAnsi="Arial" w:cs="Arial"/>
          <w:b/>
          <w:bCs/>
        </w:rPr>
        <w:lastRenderedPageBreak/>
        <w:t xml:space="preserve">juez si se le declara culpable de mala conducta profesional. ¿están estas sanciones codificadas en la legislación nacional y/o los códigos de ética profesional? </w:t>
      </w:r>
    </w:p>
    <w:p w14:paraId="7ABF47F1" w14:textId="77777777" w:rsidR="00600DC0" w:rsidRDefault="00600DC0" w:rsidP="00600DC0">
      <w:pPr>
        <w:jc w:val="both"/>
        <w:rPr>
          <w:rFonts w:ascii="Arial" w:hAnsi="Arial" w:cs="Arial"/>
          <w:b/>
          <w:bCs/>
        </w:rPr>
      </w:pPr>
    </w:p>
    <w:p w14:paraId="63CF7861" w14:textId="331A2D42" w:rsidR="00600DC0" w:rsidRDefault="00600DC0" w:rsidP="00600DC0">
      <w:pPr>
        <w:jc w:val="both"/>
        <w:rPr>
          <w:rFonts w:ascii="Arial" w:hAnsi="Arial" w:cs="Arial"/>
          <w:lang w:val="es-ES"/>
        </w:rPr>
      </w:pPr>
      <w:r w:rsidRPr="00600DC0">
        <w:rPr>
          <w:rFonts w:ascii="Arial" w:hAnsi="Arial" w:cs="Arial"/>
          <w:lang w:val="es-ES"/>
        </w:rPr>
        <w:t xml:space="preserve">De acuerdo con el artículo 63 de la Ley 734 de 2002, las sanciones que se pueden imponer a los Jueces de la República son: </w:t>
      </w:r>
    </w:p>
    <w:p w14:paraId="0E46F8FF" w14:textId="77777777" w:rsidR="00600DC0" w:rsidRPr="00600DC0" w:rsidRDefault="00600DC0" w:rsidP="00600DC0">
      <w:pPr>
        <w:jc w:val="both"/>
        <w:rPr>
          <w:rFonts w:ascii="Arial" w:hAnsi="Arial" w:cs="Arial"/>
          <w:lang w:val="es-ES"/>
        </w:rPr>
      </w:pPr>
    </w:p>
    <w:p w14:paraId="294A0126" w14:textId="77777777" w:rsidR="00600DC0" w:rsidRPr="00600DC0" w:rsidRDefault="00600DC0" w:rsidP="00600DC0">
      <w:pPr>
        <w:tabs>
          <w:tab w:val="num" w:pos="1440"/>
        </w:tabs>
        <w:jc w:val="both"/>
        <w:rPr>
          <w:rFonts w:ascii="Arial" w:hAnsi="Arial" w:cs="Arial"/>
          <w:lang w:val="es-ES"/>
        </w:rPr>
      </w:pPr>
      <w:r w:rsidRPr="00600DC0">
        <w:rPr>
          <w:rFonts w:ascii="Arial" w:hAnsi="Arial" w:cs="Arial"/>
          <w:lang w:val="es-ES"/>
        </w:rPr>
        <w:t xml:space="preserve">-  Destitución para el caso de faltas gravísimas realizadas con dolo o culpa gravísima. </w:t>
      </w:r>
    </w:p>
    <w:p w14:paraId="171AD577" w14:textId="77777777" w:rsidR="00600DC0" w:rsidRPr="00600DC0" w:rsidRDefault="00600DC0" w:rsidP="00600DC0">
      <w:pPr>
        <w:tabs>
          <w:tab w:val="num" w:pos="1440"/>
        </w:tabs>
        <w:jc w:val="both"/>
        <w:rPr>
          <w:rFonts w:ascii="Arial" w:hAnsi="Arial" w:cs="Arial"/>
          <w:lang w:val="es-ES"/>
        </w:rPr>
      </w:pPr>
      <w:r w:rsidRPr="00600DC0">
        <w:rPr>
          <w:rFonts w:ascii="Arial" w:hAnsi="Arial" w:cs="Arial"/>
          <w:lang w:val="es-ES"/>
        </w:rPr>
        <w:lastRenderedPageBreak/>
        <w:t xml:space="preserve">-  Suspensión en el ejercicio del cargo para las faltas graves realizadas con dolo o </w:t>
      </w:r>
    </w:p>
    <w:p w14:paraId="7B7BF4B8" w14:textId="77777777" w:rsidR="00600DC0" w:rsidRPr="00600DC0" w:rsidRDefault="00600DC0" w:rsidP="00600DC0">
      <w:pPr>
        <w:jc w:val="both"/>
        <w:rPr>
          <w:rFonts w:ascii="Arial" w:hAnsi="Arial" w:cs="Arial"/>
          <w:lang w:val="es-ES"/>
        </w:rPr>
      </w:pPr>
      <w:r w:rsidRPr="00600DC0">
        <w:rPr>
          <w:rFonts w:ascii="Arial" w:hAnsi="Arial" w:cs="Arial"/>
          <w:lang w:val="es-ES"/>
        </w:rPr>
        <w:t xml:space="preserve">culpa y las gravísimas diferentes a las anteriores. </w:t>
      </w:r>
    </w:p>
    <w:p w14:paraId="5D68236A" w14:textId="3CA39BBD" w:rsidR="00600DC0" w:rsidRDefault="00600DC0" w:rsidP="00600DC0">
      <w:pPr>
        <w:tabs>
          <w:tab w:val="num" w:pos="1440"/>
        </w:tabs>
        <w:jc w:val="both"/>
        <w:rPr>
          <w:rFonts w:ascii="Arial" w:hAnsi="Arial" w:cs="Arial"/>
          <w:lang w:val="es-ES"/>
        </w:rPr>
      </w:pPr>
      <w:r w:rsidRPr="00600DC0">
        <w:rPr>
          <w:rFonts w:ascii="Arial" w:hAnsi="Arial" w:cs="Arial"/>
          <w:lang w:val="es-ES"/>
        </w:rPr>
        <w:t xml:space="preserve">-  Multa para las faltas leves dolosas. </w:t>
      </w:r>
    </w:p>
    <w:p w14:paraId="6B9A79EC" w14:textId="77777777" w:rsidR="00A44757" w:rsidRDefault="00A44757" w:rsidP="00600DC0">
      <w:pPr>
        <w:tabs>
          <w:tab w:val="num" w:pos="1440"/>
        </w:tabs>
        <w:jc w:val="both"/>
        <w:rPr>
          <w:rFonts w:ascii="Arial" w:hAnsi="Arial" w:cs="Arial"/>
          <w:lang w:val="es-ES"/>
        </w:rPr>
      </w:pPr>
    </w:p>
    <w:p w14:paraId="4EA5027F" w14:textId="77777777" w:rsidR="0087776F" w:rsidRPr="0087776F" w:rsidRDefault="0087776F" w:rsidP="0087776F">
      <w:pPr>
        <w:tabs>
          <w:tab w:val="num" w:pos="1440"/>
        </w:tabs>
        <w:jc w:val="both"/>
        <w:rPr>
          <w:rFonts w:ascii="Arial" w:hAnsi="Arial" w:cs="Arial"/>
          <w:lang w:val="es-ES"/>
        </w:rPr>
      </w:pPr>
      <w:r w:rsidRPr="0087776F">
        <w:rPr>
          <w:rFonts w:ascii="Arial" w:hAnsi="Arial" w:cs="Arial"/>
          <w:lang w:val="es-ES"/>
        </w:rPr>
        <w:t xml:space="preserve">La Ley 734 de 2002 en sus artículos 44 y 45, estableció las clases de sanciones disciplinarias, definiéndolas en estos términos: </w:t>
      </w:r>
    </w:p>
    <w:p w14:paraId="2B5D99A8" w14:textId="77777777" w:rsidR="0087776F" w:rsidRPr="0087776F" w:rsidRDefault="0087776F" w:rsidP="0087776F">
      <w:pPr>
        <w:tabs>
          <w:tab w:val="num" w:pos="1440"/>
        </w:tabs>
        <w:jc w:val="both"/>
        <w:rPr>
          <w:rFonts w:ascii="Arial" w:hAnsi="Arial" w:cs="Arial"/>
          <w:lang w:val="es-ES"/>
        </w:rPr>
      </w:pPr>
      <w:r w:rsidRPr="0087776F">
        <w:rPr>
          <w:rFonts w:ascii="Arial" w:hAnsi="Arial" w:cs="Arial"/>
          <w:lang w:val="es-ES"/>
        </w:rPr>
        <w:t xml:space="preserve"> </w:t>
      </w:r>
    </w:p>
    <w:p w14:paraId="40DC7B80" w14:textId="77777777" w:rsidR="0087776F" w:rsidRPr="0087776F" w:rsidRDefault="0087776F" w:rsidP="0087776F">
      <w:pPr>
        <w:numPr>
          <w:ilvl w:val="0"/>
          <w:numId w:val="5"/>
        </w:numPr>
        <w:tabs>
          <w:tab w:val="num" w:pos="1440"/>
        </w:tabs>
        <w:jc w:val="both"/>
        <w:rPr>
          <w:rFonts w:ascii="Arial" w:hAnsi="Arial" w:cs="Arial"/>
          <w:lang w:val="es-CO"/>
        </w:rPr>
      </w:pPr>
      <w:r w:rsidRPr="0087776F">
        <w:rPr>
          <w:rFonts w:ascii="Arial" w:hAnsi="Arial" w:cs="Arial"/>
          <w:lang w:val="es-CO"/>
        </w:rPr>
        <w:lastRenderedPageBreak/>
        <w:t xml:space="preserve">La </w:t>
      </w:r>
      <w:r w:rsidRPr="0087776F">
        <w:rPr>
          <w:rFonts w:ascii="Arial" w:hAnsi="Arial" w:cs="Arial"/>
          <w:b/>
          <w:lang w:val="es-CO"/>
        </w:rPr>
        <w:t>destitución e inhabilidad general</w:t>
      </w:r>
      <w:r w:rsidRPr="0087776F">
        <w:rPr>
          <w:rFonts w:ascii="Arial" w:hAnsi="Arial" w:cs="Arial"/>
          <w:lang w:val="es-CO"/>
        </w:rPr>
        <w:t xml:space="preserve"> implica la terminación de la relación del servidor público con la administración, sin que importe que sea de libre nombramiento y remoción, de carrera o elección; la desvinculación del cargo; la terminación del contrato de trabajo. En todos estos eventos esta sanción comporta la imposibilidad de ejercer la función pública en cualquier cargo o función, por el término señalado en el fallo, y la exclusión del escalafón o carrera.   </w:t>
      </w:r>
    </w:p>
    <w:p w14:paraId="657AC38D" w14:textId="77777777" w:rsidR="0087776F" w:rsidRPr="0087776F" w:rsidRDefault="0087776F" w:rsidP="0087776F">
      <w:pPr>
        <w:numPr>
          <w:ilvl w:val="0"/>
          <w:numId w:val="5"/>
        </w:numPr>
        <w:tabs>
          <w:tab w:val="num" w:pos="1440"/>
        </w:tabs>
        <w:jc w:val="both"/>
        <w:rPr>
          <w:rFonts w:ascii="Arial" w:hAnsi="Arial" w:cs="Arial"/>
          <w:lang w:val="es-CO"/>
        </w:rPr>
      </w:pPr>
      <w:r w:rsidRPr="0087776F">
        <w:rPr>
          <w:rFonts w:ascii="Arial" w:hAnsi="Arial" w:cs="Arial"/>
          <w:lang w:val="es-CO"/>
        </w:rPr>
        <w:t xml:space="preserve">La </w:t>
      </w:r>
      <w:r w:rsidRPr="0087776F">
        <w:rPr>
          <w:rFonts w:ascii="Arial" w:hAnsi="Arial" w:cs="Arial"/>
          <w:b/>
          <w:lang w:val="es-CO"/>
        </w:rPr>
        <w:t xml:space="preserve">suspensión </w:t>
      </w:r>
      <w:r w:rsidRPr="0087776F">
        <w:rPr>
          <w:rFonts w:ascii="Arial" w:hAnsi="Arial" w:cs="Arial"/>
          <w:lang w:val="es-CO"/>
        </w:rPr>
        <w:t xml:space="preserve">implica la separación del ejercicio del cargo en cuyo desempeño se originó la falta disciplinaria </w:t>
      </w:r>
      <w:r w:rsidRPr="0087776F">
        <w:rPr>
          <w:rFonts w:ascii="Arial" w:hAnsi="Arial" w:cs="Arial"/>
          <w:lang w:val="es-CO"/>
        </w:rPr>
        <w:lastRenderedPageBreak/>
        <w:t xml:space="preserve">y la inhabilidad especial, la imposibilidad de ejercer la función pública, en cualquier cargo distinto de aquel, por el término señalado en el fallo. </w:t>
      </w:r>
    </w:p>
    <w:p w14:paraId="31ACE133" w14:textId="77777777" w:rsidR="0087776F" w:rsidRPr="0087776F" w:rsidRDefault="0087776F" w:rsidP="0087776F">
      <w:pPr>
        <w:numPr>
          <w:ilvl w:val="0"/>
          <w:numId w:val="5"/>
        </w:numPr>
        <w:tabs>
          <w:tab w:val="num" w:pos="1440"/>
        </w:tabs>
        <w:jc w:val="both"/>
        <w:rPr>
          <w:rFonts w:ascii="Arial" w:hAnsi="Arial" w:cs="Arial"/>
          <w:lang w:val="es-CO"/>
        </w:rPr>
      </w:pPr>
      <w:r w:rsidRPr="0087776F">
        <w:rPr>
          <w:rFonts w:ascii="Arial" w:hAnsi="Arial" w:cs="Arial"/>
          <w:lang w:val="es-CO"/>
        </w:rPr>
        <w:t xml:space="preserve">La </w:t>
      </w:r>
      <w:r w:rsidRPr="0087776F">
        <w:rPr>
          <w:rFonts w:ascii="Arial" w:hAnsi="Arial" w:cs="Arial"/>
          <w:b/>
          <w:lang w:val="es-CO"/>
        </w:rPr>
        <w:t>multa</w:t>
      </w:r>
      <w:r w:rsidRPr="0087776F">
        <w:rPr>
          <w:rFonts w:ascii="Arial" w:hAnsi="Arial" w:cs="Arial"/>
          <w:lang w:val="es-CO"/>
        </w:rPr>
        <w:t xml:space="preserve"> es una sanción de carácter pecuniario. </w:t>
      </w:r>
    </w:p>
    <w:p w14:paraId="5048275C" w14:textId="2CDFC29E" w:rsidR="0087776F" w:rsidRDefault="0087776F" w:rsidP="0087776F">
      <w:pPr>
        <w:numPr>
          <w:ilvl w:val="0"/>
          <w:numId w:val="5"/>
        </w:numPr>
        <w:tabs>
          <w:tab w:val="num" w:pos="1440"/>
        </w:tabs>
        <w:jc w:val="both"/>
        <w:rPr>
          <w:rFonts w:ascii="Arial" w:hAnsi="Arial" w:cs="Arial"/>
          <w:lang w:val="es-CO"/>
        </w:rPr>
      </w:pPr>
      <w:r w:rsidRPr="0087776F">
        <w:rPr>
          <w:rFonts w:ascii="Arial" w:hAnsi="Arial" w:cs="Arial"/>
          <w:lang w:val="es-CO"/>
        </w:rPr>
        <w:t xml:space="preserve">La </w:t>
      </w:r>
      <w:r w:rsidRPr="0087776F">
        <w:rPr>
          <w:rFonts w:ascii="Arial" w:hAnsi="Arial" w:cs="Arial"/>
          <w:b/>
          <w:lang w:val="es-CO"/>
        </w:rPr>
        <w:t>amonestación escrita</w:t>
      </w:r>
      <w:r w:rsidRPr="0087776F">
        <w:rPr>
          <w:rFonts w:ascii="Arial" w:hAnsi="Arial" w:cs="Arial"/>
          <w:lang w:val="es-CO"/>
        </w:rPr>
        <w:t xml:space="preserve"> implica un llamado de atención formal, por escrito, que debe registrarse en la hoja de vida. </w:t>
      </w:r>
    </w:p>
    <w:p w14:paraId="1F3A025D" w14:textId="77777777" w:rsidR="0087776F" w:rsidRPr="0087776F" w:rsidRDefault="0087776F" w:rsidP="0087776F">
      <w:pPr>
        <w:ind w:left="720"/>
        <w:jc w:val="both"/>
        <w:rPr>
          <w:rFonts w:ascii="Arial" w:hAnsi="Arial" w:cs="Arial"/>
          <w:lang w:val="es-CO"/>
        </w:rPr>
      </w:pPr>
    </w:p>
    <w:p w14:paraId="7B1AD959" w14:textId="0F7970E5" w:rsidR="0087776F" w:rsidRDefault="0087776F" w:rsidP="0087776F">
      <w:pPr>
        <w:tabs>
          <w:tab w:val="num" w:pos="1440"/>
        </w:tabs>
        <w:jc w:val="both"/>
        <w:rPr>
          <w:rFonts w:ascii="Arial" w:hAnsi="Arial" w:cs="Arial"/>
          <w:lang w:val="es-ES"/>
        </w:rPr>
      </w:pPr>
      <w:r w:rsidRPr="0087776F">
        <w:rPr>
          <w:rFonts w:ascii="Arial" w:hAnsi="Arial" w:cs="Arial"/>
          <w:lang w:val="es-ES"/>
        </w:rPr>
        <w:t xml:space="preserve">En suma, se tiene que este régimen sancionatorio está plenamente identificado en la Ley 734 de 2002, que rige la </w:t>
      </w:r>
      <w:r w:rsidRPr="0087776F">
        <w:rPr>
          <w:rFonts w:ascii="Arial" w:hAnsi="Arial" w:cs="Arial"/>
          <w:lang w:val="es-ES"/>
        </w:rPr>
        <w:lastRenderedPageBreak/>
        <w:t>actividad jurisdiccional disciplinaria, siendo este el instrumento para la imposición de sanciones a Jueces y Magistrados de la Rama Judicial de Colombia ante el incumplimiento de sus deberes funcionales, habiéndose señalado por el legislador criterios para la graduación de la sanción, tal como se indica en el artículo 47 ibídem</w:t>
      </w:r>
      <w:r w:rsidRPr="0087776F">
        <w:rPr>
          <w:rFonts w:ascii="Arial" w:hAnsi="Arial" w:cs="Arial"/>
          <w:vertAlign w:val="superscript"/>
          <w:lang w:val="es-ES"/>
        </w:rPr>
        <w:footnoteReference w:id="6"/>
      </w:r>
      <w:r w:rsidRPr="0087776F">
        <w:rPr>
          <w:rFonts w:ascii="Arial" w:hAnsi="Arial" w:cs="Arial"/>
          <w:lang w:val="es-ES"/>
        </w:rPr>
        <w:t xml:space="preserve">. </w:t>
      </w:r>
    </w:p>
    <w:p w14:paraId="40ECC321" w14:textId="56069CD5" w:rsidR="0087776F" w:rsidRDefault="0087776F" w:rsidP="0087776F">
      <w:pPr>
        <w:tabs>
          <w:tab w:val="num" w:pos="1440"/>
        </w:tabs>
        <w:jc w:val="both"/>
        <w:rPr>
          <w:rFonts w:ascii="Arial" w:hAnsi="Arial" w:cs="Arial"/>
          <w:lang w:val="es-ES"/>
        </w:rPr>
      </w:pPr>
    </w:p>
    <w:p w14:paraId="29A46F14" w14:textId="77777777" w:rsidR="0087776F" w:rsidRPr="0087776F" w:rsidRDefault="0087776F" w:rsidP="0087776F">
      <w:pPr>
        <w:numPr>
          <w:ilvl w:val="0"/>
          <w:numId w:val="4"/>
        </w:numPr>
        <w:jc w:val="both"/>
        <w:rPr>
          <w:rFonts w:ascii="Arial" w:hAnsi="Arial" w:cs="Arial"/>
          <w:b/>
          <w:bCs/>
        </w:rPr>
      </w:pPr>
      <w:r w:rsidRPr="0087776F">
        <w:rPr>
          <w:rFonts w:ascii="Arial" w:hAnsi="Arial" w:cs="Arial"/>
          <w:b/>
          <w:bCs/>
        </w:rPr>
        <w:t xml:space="preserve">Sírvase proporcionar información detallada, incluidos datos desglosados, sobre el numero de jueces que han sido objeto de procedimientos disciplinarios en los últimos 10 años. ¿Cuántos de ellos fueron </w:t>
      </w:r>
      <w:r w:rsidRPr="0087776F">
        <w:rPr>
          <w:rFonts w:ascii="Arial" w:hAnsi="Arial" w:cs="Arial"/>
          <w:b/>
          <w:bCs/>
        </w:rPr>
        <w:lastRenderedPageBreak/>
        <w:t xml:space="preserve">declarados culpables de mala conducta disciplinaria? ¿Cuántos de ellos fueron apartados de su cargo? </w:t>
      </w:r>
    </w:p>
    <w:p w14:paraId="7358E33D" w14:textId="77777777" w:rsidR="0087776F" w:rsidRPr="00600DC0" w:rsidRDefault="0087776F" w:rsidP="00600DC0">
      <w:pPr>
        <w:tabs>
          <w:tab w:val="num" w:pos="1440"/>
        </w:tabs>
        <w:jc w:val="both"/>
        <w:rPr>
          <w:rFonts w:ascii="Arial" w:hAnsi="Arial" w:cs="Arial"/>
          <w:lang w:val="es-ES"/>
        </w:rPr>
      </w:pPr>
    </w:p>
    <w:p w14:paraId="1B4B327B" w14:textId="77777777" w:rsidR="0087776F" w:rsidRPr="0087776F" w:rsidRDefault="0087776F" w:rsidP="0087776F">
      <w:pPr>
        <w:jc w:val="both"/>
        <w:rPr>
          <w:rFonts w:ascii="Arial" w:hAnsi="Arial" w:cs="Arial"/>
          <w:lang w:val="es-ES"/>
        </w:rPr>
      </w:pPr>
      <w:r w:rsidRPr="0087776F">
        <w:rPr>
          <w:rFonts w:ascii="Arial" w:hAnsi="Arial" w:cs="Arial"/>
          <w:lang w:val="es-ES"/>
        </w:rPr>
        <w:t xml:space="preserve">De lo referido en precedencia, se puede afirmar que en los últimos 10 años, la Sala Jurisdiccional Disciplinaria ha impuesto o confirmado las siguientes sanciones disciplinarias a Jueces y Magistrados de la Rama Judicial, así: </w:t>
      </w:r>
    </w:p>
    <w:p w14:paraId="2EDC6436" w14:textId="77777777" w:rsidR="0087776F" w:rsidRPr="0087776F" w:rsidRDefault="0087776F" w:rsidP="0087776F">
      <w:pPr>
        <w:jc w:val="both"/>
        <w:rPr>
          <w:rFonts w:ascii="Arial" w:hAnsi="Arial" w:cs="Arial"/>
          <w:b/>
          <w:lang w:val="es-ES"/>
        </w:rPr>
      </w:pPr>
    </w:p>
    <w:p w14:paraId="57FD490D" w14:textId="34386157" w:rsidR="0087776F" w:rsidRPr="0087776F" w:rsidRDefault="0087776F" w:rsidP="0087776F">
      <w:pPr>
        <w:jc w:val="both"/>
        <w:rPr>
          <w:rFonts w:ascii="Arial" w:hAnsi="Arial" w:cs="Arial"/>
          <w:b/>
          <w:lang w:val="es-ES"/>
        </w:rPr>
      </w:pPr>
      <w:r w:rsidRPr="0087776F">
        <w:rPr>
          <w:rFonts w:ascii="Arial" w:hAnsi="Arial" w:cs="Arial"/>
          <w:b/>
          <w:lang w:val="es-ES"/>
        </w:rPr>
        <w:t xml:space="preserve"> Para Jueces</w:t>
      </w:r>
      <w:r w:rsidR="00A44757">
        <w:rPr>
          <w:rFonts w:ascii="Arial" w:hAnsi="Arial" w:cs="Arial"/>
          <w:b/>
          <w:lang w:val="es-ES"/>
        </w:rPr>
        <w:tab/>
      </w:r>
      <w:r w:rsidR="00A44757">
        <w:rPr>
          <w:rFonts w:ascii="Arial" w:hAnsi="Arial" w:cs="Arial"/>
          <w:b/>
          <w:lang w:val="es-ES"/>
        </w:rPr>
        <w:tab/>
      </w:r>
      <w:r w:rsidR="00A44757">
        <w:rPr>
          <w:rFonts w:ascii="Arial" w:hAnsi="Arial" w:cs="Arial"/>
          <w:b/>
          <w:lang w:val="es-ES"/>
        </w:rPr>
        <w:tab/>
      </w:r>
      <w:r w:rsidRPr="0087776F">
        <w:rPr>
          <w:rFonts w:ascii="Arial" w:hAnsi="Arial" w:cs="Arial"/>
          <w:b/>
          <w:lang w:val="es-ES"/>
        </w:rPr>
        <w:tab/>
      </w:r>
      <w:r w:rsidRPr="0087776F">
        <w:rPr>
          <w:rFonts w:ascii="Arial" w:hAnsi="Arial" w:cs="Arial"/>
          <w:b/>
          <w:lang w:val="es-ES"/>
        </w:rPr>
        <w:tab/>
      </w:r>
      <w:r w:rsidRPr="0087776F">
        <w:rPr>
          <w:rFonts w:ascii="Arial" w:hAnsi="Arial" w:cs="Arial"/>
          <w:b/>
          <w:lang w:val="es-ES"/>
        </w:rPr>
        <w:tab/>
        <w:t xml:space="preserve">Para Magistrados </w:t>
      </w:r>
    </w:p>
    <w:tbl>
      <w:tblPr>
        <w:tblW w:w="8909" w:type="dxa"/>
        <w:tblInd w:w="80" w:type="dxa"/>
        <w:tblCellMar>
          <w:left w:w="0" w:type="dxa"/>
          <w:right w:w="0" w:type="dxa"/>
        </w:tblCellMar>
        <w:tblLook w:val="00A0" w:firstRow="1" w:lastRow="0" w:firstColumn="1" w:lastColumn="0" w:noHBand="0" w:noVBand="0"/>
      </w:tblPr>
      <w:tblGrid>
        <w:gridCol w:w="4799"/>
        <w:gridCol w:w="4110"/>
      </w:tblGrid>
      <w:tr w:rsidR="0087776F" w:rsidRPr="00FE4A9E" w14:paraId="2B8C7244" w14:textId="77777777" w:rsidTr="0079439D">
        <w:trPr>
          <w:trHeight w:val="3861"/>
        </w:trPr>
        <w:tc>
          <w:tcPr>
            <w:tcW w:w="4810" w:type="dxa"/>
            <w:tcBorders>
              <w:top w:val="nil"/>
              <w:left w:val="nil"/>
              <w:bottom w:val="nil"/>
              <w:right w:val="nil"/>
            </w:tcBorders>
          </w:tcPr>
          <w:p w14:paraId="2AE864F8" w14:textId="77777777" w:rsidR="0087776F" w:rsidRPr="00FE4A9E" w:rsidRDefault="0087776F" w:rsidP="00FE4A9E">
            <w:pPr>
              <w:jc w:val="center"/>
              <w:rPr>
                <w:rFonts w:ascii="Arial" w:hAnsi="Arial" w:cs="Arial"/>
                <w:sz w:val="20"/>
                <w:szCs w:val="20"/>
                <w:lang w:val="es-ES"/>
              </w:rPr>
            </w:pPr>
          </w:p>
          <w:tbl>
            <w:tblPr>
              <w:tblW w:w="4457" w:type="dxa"/>
              <w:tblCellMar>
                <w:top w:w="13" w:type="dxa"/>
                <w:left w:w="70" w:type="dxa"/>
                <w:bottom w:w="4" w:type="dxa"/>
                <w:right w:w="3" w:type="dxa"/>
              </w:tblCellMar>
              <w:tblLook w:val="00A0" w:firstRow="1" w:lastRow="0" w:firstColumn="1" w:lastColumn="0" w:noHBand="0" w:noVBand="0"/>
            </w:tblPr>
            <w:tblGrid>
              <w:gridCol w:w="3541"/>
              <w:gridCol w:w="916"/>
            </w:tblGrid>
            <w:tr w:rsidR="0087776F" w:rsidRPr="00FE4A9E" w14:paraId="7C5477ED" w14:textId="77777777" w:rsidTr="0079439D">
              <w:trPr>
                <w:trHeight w:val="310"/>
              </w:trPr>
              <w:tc>
                <w:tcPr>
                  <w:tcW w:w="3542" w:type="dxa"/>
                  <w:tcBorders>
                    <w:top w:val="single" w:sz="4" w:space="0" w:color="000000"/>
                    <w:left w:val="single" w:sz="4" w:space="0" w:color="000000"/>
                    <w:bottom w:val="single" w:sz="4" w:space="0" w:color="000000"/>
                    <w:right w:val="single" w:sz="4" w:space="0" w:color="000000"/>
                  </w:tcBorders>
                </w:tcPr>
                <w:p w14:paraId="3076517D" w14:textId="4827F6F6"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TIPO DE SANCION</w:t>
                  </w:r>
                </w:p>
              </w:tc>
              <w:tc>
                <w:tcPr>
                  <w:tcW w:w="916" w:type="dxa"/>
                  <w:tcBorders>
                    <w:top w:val="single" w:sz="4" w:space="0" w:color="000000"/>
                    <w:left w:val="single" w:sz="4" w:space="0" w:color="000000"/>
                    <w:bottom w:val="single" w:sz="4" w:space="0" w:color="000000"/>
                    <w:right w:val="single" w:sz="4" w:space="0" w:color="000000"/>
                  </w:tcBorders>
                </w:tcPr>
                <w:p w14:paraId="4621089E" w14:textId="403A241E"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TOTAL</w:t>
                  </w:r>
                </w:p>
              </w:tc>
            </w:tr>
            <w:tr w:rsidR="0087776F" w:rsidRPr="00FE4A9E" w14:paraId="66A26DC5" w14:textId="77777777" w:rsidTr="0079439D">
              <w:trPr>
                <w:trHeight w:val="376"/>
              </w:trPr>
              <w:tc>
                <w:tcPr>
                  <w:tcW w:w="3542" w:type="dxa"/>
                  <w:tcBorders>
                    <w:top w:val="single" w:sz="4" w:space="0" w:color="000000"/>
                    <w:left w:val="single" w:sz="4" w:space="0" w:color="000000"/>
                    <w:bottom w:val="single" w:sz="4" w:space="0" w:color="000000"/>
                    <w:right w:val="single" w:sz="4" w:space="0" w:color="000000"/>
                  </w:tcBorders>
                  <w:vAlign w:val="bottom"/>
                </w:tcPr>
                <w:p w14:paraId="4F89B9D4" w14:textId="11886A31"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Amonestación</w:t>
                  </w:r>
                </w:p>
                <w:p w14:paraId="71AAE83C" w14:textId="77777777" w:rsidR="0087776F" w:rsidRPr="00FE4A9E" w:rsidRDefault="0087776F" w:rsidP="00FE4A9E">
                  <w:pPr>
                    <w:jc w:val="center"/>
                    <w:rPr>
                      <w:rFonts w:ascii="Arial" w:hAnsi="Arial" w:cs="Arial"/>
                      <w:sz w:val="20"/>
                      <w:szCs w:val="20"/>
                      <w:lang w:val="es-ES"/>
                    </w:rPr>
                  </w:pPr>
                </w:p>
              </w:tc>
              <w:tc>
                <w:tcPr>
                  <w:tcW w:w="916" w:type="dxa"/>
                  <w:tcBorders>
                    <w:top w:val="single" w:sz="4" w:space="0" w:color="000000"/>
                    <w:left w:val="single" w:sz="4" w:space="0" w:color="000000"/>
                    <w:bottom w:val="single" w:sz="4" w:space="0" w:color="000000"/>
                    <w:right w:val="single" w:sz="4" w:space="0" w:color="000000"/>
                  </w:tcBorders>
                  <w:vAlign w:val="bottom"/>
                </w:tcPr>
                <w:p w14:paraId="449C270E" w14:textId="395EA4BB"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9</w:t>
                  </w:r>
                </w:p>
                <w:p w14:paraId="3593153C" w14:textId="77777777" w:rsidR="0087776F" w:rsidRPr="00FE4A9E" w:rsidRDefault="0087776F" w:rsidP="00FE4A9E">
                  <w:pPr>
                    <w:jc w:val="center"/>
                    <w:rPr>
                      <w:rFonts w:ascii="Arial" w:hAnsi="Arial" w:cs="Arial"/>
                      <w:sz w:val="20"/>
                      <w:szCs w:val="20"/>
                      <w:lang w:val="es-ES"/>
                    </w:rPr>
                  </w:pPr>
                </w:p>
              </w:tc>
            </w:tr>
            <w:tr w:rsidR="0087776F" w:rsidRPr="00FE4A9E" w14:paraId="79B88162" w14:textId="77777777" w:rsidTr="0079439D">
              <w:trPr>
                <w:trHeight w:val="560"/>
              </w:trPr>
              <w:tc>
                <w:tcPr>
                  <w:tcW w:w="3542" w:type="dxa"/>
                  <w:tcBorders>
                    <w:top w:val="single" w:sz="4" w:space="0" w:color="000000"/>
                    <w:left w:val="single" w:sz="4" w:space="0" w:color="000000"/>
                    <w:bottom w:val="single" w:sz="4" w:space="0" w:color="000000"/>
                    <w:right w:val="single" w:sz="4" w:space="0" w:color="000000"/>
                  </w:tcBorders>
                </w:tcPr>
                <w:p w14:paraId="005A09A5" w14:textId="7EE265FB"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Amonestación Escrita - Anotación a la HV</w:t>
                  </w:r>
                </w:p>
              </w:tc>
              <w:tc>
                <w:tcPr>
                  <w:tcW w:w="916" w:type="dxa"/>
                  <w:tcBorders>
                    <w:top w:val="single" w:sz="4" w:space="0" w:color="000000"/>
                    <w:left w:val="single" w:sz="4" w:space="0" w:color="000000"/>
                    <w:bottom w:val="single" w:sz="4" w:space="0" w:color="000000"/>
                    <w:right w:val="single" w:sz="4" w:space="0" w:color="000000"/>
                  </w:tcBorders>
                  <w:vAlign w:val="bottom"/>
                </w:tcPr>
                <w:p w14:paraId="1930A1B6" w14:textId="4E6F5C66"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37</w:t>
                  </w:r>
                </w:p>
              </w:tc>
            </w:tr>
            <w:tr w:rsidR="0087776F" w:rsidRPr="00FE4A9E" w14:paraId="26E4D224" w14:textId="77777777" w:rsidTr="0079439D">
              <w:trPr>
                <w:trHeight w:val="310"/>
              </w:trPr>
              <w:tc>
                <w:tcPr>
                  <w:tcW w:w="3542" w:type="dxa"/>
                  <w:tcBorders>
                    <w:top w:val="single" w:sz="4" w:space="0" w:color="000000"/>
                    <w:left w:val="single" w:sz="4" w:space="0" w:color="000000"/>
                    <w:bottom w:val="single" w:sz="4" w:space="0" w:color="000000"/>
                    <w:right w:val="single" w:sz="4" w:space="0" w:color="000000"/>
                  </w:tcBorders>
                </w:tcPr>
                <w:p w14:paraId="364872A3" w14:textId="2138859B"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Destitución</w:t>
                  </w:r>
                </w:p>
              </w:tc>
              <w:tc>
                <w:tcPr>
                  <w:tcW w:w="916" w:type="dxa"/>
                  <w:tcBorders>
                    <w:top w:val="single" w:sz="4" w:space="0" w:color="000000"/>
                    <w:left w:val="single" w:sz="4" w:space="0" w:color="000000"/>
                    <w:bottom w:val="single" w:sz="4" w:space="0" w:color="000000"/>
                    <w:right w:val="single" w:sz="4" w:space="0" w:color="000000"/>
                  </w:tcBorders>
                </w:tcPr>
                <w:p w14:paraId="1462A1C5" w14:textId="106A48E7"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5</w:t>
                  </w:r>
                </w:p>
              </w:tc>
            </w:tr>
            <w:tr w:rsidR="0087776F" w:rsidRPr="00FE4A9E" w14:paraId="2AB7DDDB" w14:textId="77777777" w:rsidTr="0079439D">
              <w:trPr>
                <w:trHeight w:val="310"/>
              </w:trPr>
              <w:tc>
                <w:tcPr>
                  <w:tcW w:w="3542" w:type="dxa"/>
                  <w:tcBorders>
                    <w:top w:val="single" w:sz="4" w:space="0" w:color="000000"/>
                    <w:left w:val="single" w:sz="4" w:space="0" w:color="000000"/>
                    <w:bottom w:val="single" w:sz="4" w:space="0" w:color="000000"/>
                    <w:right w:val="single" w:sz="4" w:space="0" w:color="000000"/>
                  </w:tcBorders>
                </w:tcPr>
                <w:p w14:paraId="335E852C" w14:textId="587B853B"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Destitución e Inhabilidad</w:t>
                  </w:r>
                </w:p>
              </w:tc>
              <w:tc>
                <w:tcPr>
                  <w:tcW w:w="916" w:type="dxa"/>
                  <w:tcBorders>
                    <w:top w:val="single" w:sz="4" w:space="0" w:color="000000"/>
                    <w:left w:val="single" w:sz="4" w:space="0" w:color="000000"/>
                    <w:bottom w:val="single" w:sz="4" w:space="0" w:color="000000"/>
                    <w:right w:val="single" w:sz="4" w:space="0" w:color="000000"/>
                  </w:tcBorders>
                </w:tcPr>
                <w:p w14:paraId="4C27B782" w14:textId="15B314EF"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102</w:t>
                  </w:r>
                </w:p>
              </w:tc>
            </w:tr>
            <w:tr w:rsidR="0087776F" w:rsidRPr="00FE4A9E" w14:paraId="6F2E3950" w14:textId="77777777" w:rsidTr="0079439D">
              <w:trPr>
                <w:trHeight w:val="565"/>
              </w:trPr>
              <w:tc>
                <w:tcPr>
                  <w:tcW w:w="3542" w:type="dxa"/>
                  <w:tcBorders>
                    <w:top w:val="single" w:sz="4" w:space="0" w:color="000000"/>
                    <w:left w:val="single" w:sz="4" w:space="0" w:color="000000"/>
                    <w:bottom w:val="single" w:sz="4" w:space="0" w:color="000000"/>
                    <w:right w:val="single" w:sz="4" w:space="0" w:color="000000"/>
                  </w:tcBorders>
                </w:tcPr>
                <w:p w14:paraId="6AC6D60D" w14:textId="1236C8E7"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Destitución e Inhabilidad Permanente y General</w:t>
                  </w:r>
                </w:p>
              </w:tc>
              <w:tc>
                <w:tcPr>
                  <w:tcW w:w="916" w:type="dxa"/>
                  <w:tcBorders>
                    <w:top w:val="single" w:sz="4" w:space="0" w:color="000000"/>
                    <w:left w:val="single" w:sz="4" w:space="0" w:color="000000"/>
                    <w:bottom w:val="single" w:sz="4" w:space="0" w:color="000000"/>
                    <w:right w:val="single" w:sz="4" w:space="0" w:color="000000"/>
                  </w:tcBorders>
                  <w:vAlign w:val="bottom"/>
                </w:tcPr>
                <w:p w14:paraId="690E931A" w14:textId="5AC6029C"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1</w:t>
                  </w:r>
                </w:p>
              </w:tc>
            </w:tr>
            <w:tr w:rsidR="0087776F" w:rsidRPr="00FE4A9E" w14:paraId="4FDF9687" w14:textId="77777777" w:rsidTr="0079439D">
              <w:trPr>
                <w:trHeight w:val="311"/>
              </w:trPr>
              <w:tc>
                <w:tcPr>
                  <w:tcW w:w="3542" w:type="dxa"/>
                  <w:tcBorders>
                    <w:top w:val="single" w:sz="4" w:space="0" w:color="000000"/>
                    <w:left w:val="single" w:sz="4" w:space="0" w:color="000000"/>
                    <w:bottom w:val="single" w:sz="4" w:space="0" w:color="000000"/>
                    <w:right w:val="single" w:sz="4" w:space="0" w:color="000000"/>
                  </w:tcBorders>
                </w:tcPr>
                <w:p w14:paraId="5B59AF57" w14:textId="795EF974"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Multa</w:t>
                  </w:r>
                </w:p>
              </w:tc>
              <w:tc>
                <w:tcPr>
                  <w:tcW w:w="916" w:type="dxa"/>
                  <w:tcBorders>
                    <w:top w:val="single" w:sz="4" w:space="0" w:color="000000"/>
                    <w:left w:val="single" w:sz="4" w:space="0" w:color="000000"/>
                    <w:bottom w:val="single" w:sz="4" w:space="0" w:color="000000"/>
                    <w:right w:val="single" w:sz="4" w:space="0" w:color="000000"/>
                  </w:tcBorders>
                </w:tcPr>
                <w:p w14:paraId="1AA8916C" w14:textId="4B94CEBA"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32</w:t>
                  </w:r>
                </w:p>
              </w:tc>
            </w:tr>
            <w:tr w:rsidR="0087776F" w:rsidRPr="00FE4A9E" w14:paraId="34F3BC9C" w14:textId="77777777" w:rsidTr="0079439D">
              <w:trPr>
                <w:trHeight w:val="310"/>
              </w:trPr>
              <w:tc>
                <w:tcPr>
                  <w:tcW w:w="3542" w:type="dxa"/>
                  <w:tcBorders>
                    <w:top w:val="single" w:sz="4" w:space="0" w:color="000000"/>
                    <w:left w:val="single" w:sz="4" w:space="0" w:color="000000"/>
                    <w:bottom w:val="single" w:sz="4" w:space="0" w:color="000000"/>
                    <w:right w:val="single" w:sz="4" w:space="0" w:color="000000"/>
                  </w:tcBorders>
                </w:tcPr>
                <w:p w14:paraId="4F9E9F05" w14:textId="26CB8B84"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Multa e Inhabilidad</w:t>
                  </w:r>
                </w:p>
              </w:tc>
              <w:tc>
                <w:tcPr>
                  <w:tcW w:w="916" w:type="dxa"/>
                  <w:tcBorders>
                    <w:top w:val="single" w:sz="4" w:space="0" w:color="000000"/>
                    <w:left w:val="single" w:sz="4" w:space="0" w:color="000000"/>
                    <w:bottom w:val="single" w:sz="4" w:space="0" w:color="000000"/>
                    <w:right w:val="single" w:sz="4" w:space="0" w:color="000000"/>
                  </w:tcBorders>
                </w:tcPr>
                <w:p w14:paraId="134764D3" w14:textId="69B4078A"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4</w:t>
                  </w:r>
                </w:p>
              </w:tc>
            </w:tr>
            <w:tr w:rsidR="0087776F" w:rsidRPr="00FE4A9E" w14:paraId="0F5A3F14" w14:textId="77777777" w:rsidTr="0079439D">
              <w:trPr>
                <w:trHeight w:val="310"/>
              </w:trPr>
              <w:tc>
                <w:tcPr>
                  <w:tcW w:w="3542" w:type="dxa"/>
                  <w:tcBorders>
                    <w:top w:val="single" w:sz="4" w:space="0" w:color="000000"/>
                    <w:left w:val="single" w:sz="4" w:space="0" w:color="000000"/>
                    <w:bottom w:val="single" w:sz="4" w:space="0" w:color="000000"/>
                    <w:right w:val="single" w:sz="4" w:space="0" w:color="000000"/>
                  </w:tcBorders>
                </w:tcPr>
                <w:p w14:paraId="05976ADE" w14:textId="3A922900"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Suspensión</w:t>
                  </w:r>
                </w:p>
              </w:tc>
              <w:tc>
                <w:tcPr>
                  <w:tcW w:w="916" w:type="dxa"/>
                  <w:tcBorders>
                    <w:top w:val="single" w:sz="4" w:space="0" w:color="000000"/>
                    <w:left w:val="single" w:sz="4" w:space="0" w:color="000000"/>
                    <w:bottom w:val="single" w:sz="4" w:space="0" w:color="000000"/>
                    <w:right w:val="single" w:sz="4" w:space="0" w:color="000000"/>
                  </w:tcBorders>
                </w:tcPr>
                <w:p w14:paraId="1CEB70FC" w14:textId="143BC61C"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459</w:t>
                  </w:r>
                </w:p>
              </w:tc>
            </w:tr>
            <w:tr w:rsidR="0087776F" w:rsidRPr="00FE4A9E" w14:paraId="260F3FCF" w14:textId="77777777" w:rsidTr="0079439D">
              <w:trPr>
                <w:trHeight w:val="310"/>
              </w:trPr>
              <w:tc>
                <w:tcPr>
                  <w:tcW w:w="3542" w:type="dxa"/>
                  <w:tcBorders>
                    <w:top w:val="single" w:sz="4" w:space="0" w:color="000000"/>
                    <w:left w:val="single" w:sz="4" w:space="0" w:color="000000"/>
                    <w:bottom w:val="single" w:sz="4" w:space="0" w:color="000000"/>
                    <w:right w:val="single" w:sz="4" w:space="0" w:color="000000"/>
                  </w:tcBorders>
                </w:tcPr>
                <w:p w14:paraId="14329957" w14:textId="542BE33B"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Suspensión e Inhabilidad</w:t>
                  </w:r>
                </w:p>
              </w:tc>
              <w:tc>
                <w:tcPr>
                  <w:tcW w:w="916" w:type="dxa"/>
                  <w:tcBorders>
                    <w:top w:val="single" w:sz="4" w:space="0" w:color="000000"/>
                    <w:left w:val="single" w:sz="4" w:space="0" w:color="000000"/>
                    <w:bottom w:val="single" w:sz="4" w:space="0" w:color="000000"/>
                    <w:right w:val="single" w:sz="4" w:space="0" w:color="000000"/>
                  </w:tcBorders>
                </w:tcPr>
                <w:p w14:paraId="7431657C" w14:textId="32B93E14"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181</w:t>
                  </w:r>
                </w:p>
              </w:tc>
            </w:tr>
          </w:tbl>
          <w:p w14:paraId="320FA21F" w14:textId="77777777" w:rsidR="0087776F" w:rsidRPr="00FE4A9E" w:rsidRDefault="0087776F" w:rsidP="00FE4A9E">
            <w:pPr>
              <w:jc w:val="center"/>
              <w:rPr>
                <w:rFonts w:ascii="Arial" w:hAnsi="Arial" w:cs="Arial"/>
                <w:sz w:val="20"/>
                <w:szCs w:val="20"/>
                <w:lang w:val="es-ES"/>
              </w:rPr>
            </w:pPr>
          </w:p>
        </w:tc>
        <w:tc>
          <w:tcPr>
            <w:tcW w:w="4099" w:type="dxa"/>
            <w:tcBorders>
              <w:top w:val="nil"/>
              <w:left w:val="nil"/>
              <w:bottom w:val="nil"/>
              <w:right w:val="nil"/>
            </w:tcBorders>
          </w:tcPr>
          <w:p w14:paraId="1CCB4266" w14:textId="77777777" w:rsidR="0087776F" w:rsidRPr="00FE4A9E" w:rsidRDefault="0087776F" w:rsidP="00FE4A9E">
            <w:pPr>
              <w:jc w:val="center"/>
              <w:rPr>
                <w:rFonts w:ascii="Arial" w:hAnsi="Arial" w:cs="Arial"/>
                <w:sz w:val="20"/>
                <w:szCs w:val="20"/>
                <w:lang w:val="es-ES"/>
              </w:rPr>
            </w:pPr>
          </w:p>
          <w:tbl>
            <w:tblPr>
              <w:tblW w:w="3747" w:type="dxa"/>
              <w:tblInd w:w="353" w:type="dxa"/>
              <w:tblCellMar>
                <w:top w:w="13" w:type="dxa"/>
                <w:left w:w="70" w:type="dxa"/>
                <w:bottom w:w="4" w:type="dxa"/>
                <w:right w:w="4" w:type="dxa"/>
              </w:tblCellMar>
              <w:tblLook w:val="00A0" w:firstRow="1" w:lastRow="0" w:firstColumn="1" w:lastColumn="0" w:noHBand="0" w:noVBand="0"/>
            </w:tblPr>
            <w:tblGrid>
              <w:gridCol w:w="2831"/>
              <w:gridCol w:w="916"/>
            </w:tblGrid>
            <w:tr w:rsidR="0087776F" w:rsidRPr="00FE4A9E" w14:paraId="04DD5BAC" w14:textId="77777777" w:rsidTr="0079439D">
              <w:trPr>
                <w:trHeight w:val="310"/>
              </w:trPr>
              <w:tc>
                <w:tcPr>
                  <w:tcW w:w="2831" w:type="dxa"/>
                  <w:tcBorders>
                    <w:top w:val="single" w:sz="4" w:space="0" w:color="000000"/>
                    <w:left w:val="single" w:sz="4" w:space="0" w:color="000000"/>
                    <w:bottom w:val="single" w:sz="4" w:space="0" w:color="000000"/>
                    <w:right w:val="single" w:sz="4" w:space="0" w:color="000000"/>
                  </w:tcBorders>
                </w:tcPr>
                <w:p w14:paraId="3CBF134E" w14:textId="078F5179"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TIPO DE SANCIÓN</w:t>
                  </w:r>
                </w:p>
              </w:tc>
              <w:tc>
                <w:tcPr>
                  <w:tcW w:w="916" w:type="dxa"/>
                  <w:tcBorders>
                    <w:top w:val="single" w:sz="4" w:space="0" w:color="000000"/>
                    <w:left w:val="single" w:sz="4" w:space="0" w:color="000000"/>
                    <w:bottom w:val="single" w:sz="4" w:space="0" w:color="000000"/>
                    <w:right w:val="single" w:sz="4" w:space="0" w:color="000000"/>
                  </w:tcBorders>
                </w:tcPr>
                <w:p w14:paraId="09545F6C" w14:textId="20353805"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TOTAL</w:t>
                  </w:r>
                </w:p>
              </w:tc>
            </w:tr>
            <w:tr w:rsidR="0087776F" w:rsidRPr="00FE4A9E" w14:paraId="09066CFD" w14:textId="77777777" w:rsidTr="0079439D">
              <w:trPr>
                <w:trHeight w:val="566"/>
              </w:trPr>
              <w:tc>
                <w:tcPr>
                  <w:tcW w:w="2831" w:type="dxa"/>
                  <w:tcBorders>
                    <w:top w:val="single" w:sz="4" w:space="0" w:color="000000"/>
                    <w:left w:val="single" w:sz="4" w:space="0" w:color="000000"/>
                    <w:bottom w:val="single" w:sz="4" w:space="0" w:color="000000"/>
                    <w:right w:val="single" w:sz="4" w:space="0" w:color="000000"/>
                  </w:tcBorders>
                </w:tcPr>
                <w:p w14:paraId="3B129A1F" w14:textId="34B2DFF9"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Amonestación Escrita - Anotación a la HV</w:t>
                  </w:r>
                </w:p>
              </w:tc>
              <w:tc>
                <w:tcPr>
                  <w:tcW w:w="916" w:type="dxa"/>
                  <w:tcBorders>
                    <w:top w:val="single" w:sz="4" w:space="0" w:color="000000"/>
                    <w:left w:val="single" w:sz="4" w:space="0" w:color="000000"/>
                    <w:bottom w:val="single" w:sz="4" w:space="0" w:color="000000"/>
                    <w:right w:val="single" w:sz="4" w:space="0" w:color="000000"/>
                  </w:tcBorders>
                  <w:vAlign w:val="bottom"/>
                </w:tcPr>
                <w:p w14:paraId="53AF596C" w14:textId="4D472A39"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1</w:t>
                  </w:r>
                </w:p>
              </w:tc>
            </w:tr>
            <w:tr w:rsidR="0087776F" w:rsidRPr="00FE4A9E" w14:paraId="7AC74252" w14:textId="77777777" w:rsidTr="0079439D">
              <w:trPr>
                <w:trHeight w:val="560"/>
              </w:trPr>
              <w:tc>
                <w:tcPr>
                  <w:tcW w:w="2831" w:type="dxa"/>
                  <w:tcBorders>
                    <w:top w:val="single" w:sz="4" w:space="0" w:color="000000"/>
                    <w:left w:val="single" w:sz="4" w:space="0" w:color="000000"/>
                    <w:bottom w:val="single" w:sz="4" w:space="0" w:color="000000"/>
                    <w:right w:val="single" w:sz="4" w:space="0" w:color="000000"/>
                  </w:tcBorders>
                  <w:vAlign w:val="bottom"/>
                </w:tcPr>
                <w:p w14:paraId="568FD6D6" w14:textId="3E2BB396"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Destitución</w:t>
                  </w:r>
                </w:p>
              </w:tc>
              <w:tc>
                <w:tcPr>
                  <w:tcW w:w="916" w:type="dxa"/>
                  <w:tcBorders>
                    <w:top w:val="single" w:sz="4" w:space="0" w:color="000000"/>
                    <w:left w:val="single" w:sz="4" w:space="0" w:color="000000"/>
                    <w:bottom w:val="single" w:sz="4" w:space="0" w:color="000000"/>
                    <w:right w:val="single" w:sz="4" w:space="0" w:color="000000"/>
                  </w:tcBorders>
                  <w:vAlign w:val="bottom"/>
                </w:tcPr>
                <w:p w14:paraId="6731C108" w14:textId="2D954408"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1</w:t>
                  </w:r>
                </w:p>
              </w:tc>
            </w:tr>
            <w:tr w:rsidR="0087776F" w:rsidRPr="00FE4A9E" w14:paraId="6AE7C694" w14:textId="77777777" w:rsidTr="0079439D">
              <w:trPr>
                <w:trHeight w:val="310"/>
              </w:trPr>
              <w:tc>
                <w:tcPr>
                  <w:tcW w:w="2831" w:type="dxa"/>
                  <w:tcBorders>
                    <w:top w:val="single" w:sz="4" w:space="0" w:color="000000"/>
                    <w:left w:val="single" w:sz="4" w:space="0" w:color="000000"/>
                    <w:bottom w:val="single" w:sz="4" w:space="0" w:color="000000"/>
                    <w:right w:val="single" w:sz="4" w:space="0" w:color="000000"/>
                  </w:tcBorders>
                </w:tcPr>
                <w:p w14:paraId="49482BA4" w14:textId="525FA5C5"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Destitución e Inhabilidad</w:t>
                  </w:r>
                </w:p>
              </w:tc>
              <w:tc>
                <w:tcPr>
                  <w:tcW w:w="916" w:type="dxa"/>
                  <w:tcBorders>
                    <w:top w:val="single" w:sz="4" w:space="0" w:color="000000"/>
                    <w:left w:val="single" w:sz="4" w:space="0" w:color="000000"/>
                    <w:bottom w:val="single" w:sz="4" w:space="0" w:color="000000"/>
                    <w:right w:val="single" w:sz="4" w:space="0" w:color="000000"/>
                  </w:tcBorders>
                </w:tcPr>
                <w:p w14:paraId="70BF0320" w14:textId="3A675F9E"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6</w:t>
                  </w:r>
                </w:p>
              </w:tc>
            </w:tr>
            <w:tr w:rsidR="0087776F" w:rsidRPr="00FE4A9E" w14:paraId="7BD3E0F2" w14:textId="77777777" w:rsidTr="0079439D">
              <w:trPr>
                <w:trHeight w:val="310"/>
              </w:trPr>
              <w:tc>
                <w:tcPr>
                  <w:tcW w:w="2831" w:type="dxa"/>
                  <w:tcBorders>
                    <w:top w:val="single" w:sz="4" w:space="0" w:color="000000"/>
                    <w:left w:val="single" w:sz="4" w:space="0" w:color="000000"/>
                    <w:bottom w:val="single" w:sz="4" w:space="0" w:color="000000"/>
                    <w:right w:val="single" w:sz="4" w:space="0" w:color="000000"/>
                  </w:tcBorders>
                </w:tcPr>
                <w:p w14:paraId="58BA0198" w14:textId="2ACBFD34"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Multa</w:t>
                  </w:r>
                </w:p>
              </w:tc>
              <w:tc>
                <w:tcPr>
                  <w:tcW w:w="916" w:type="dxa"/>
                  <w:tcBorders>
                    <w:top w:val="single" w:sz="4" w:space="0" w:color="000000"/>
                    <w:left w:val="single" w:sz="4" w:space="0" w:color="000000"/>
                    <w:bottom w:val="single" w:sz="4" w:space="0" w:color="000000"/>
                    <w:right w:val="single" w:sz="4" w:space="0" w:color="000000"/>
                  </w:tcBorders>
                </w:tcPr>
                <w:p w14:paraId="72DBF85C" w14:textId="6EBD6E55"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1</w:t>
                  </w:r>
                </w:p>
              </w:tc>
            </w:tr>
            <w:tr w:rsidR="0087776F" w:rsidRPr="00FE4A9E" w14:paraId="7F56858C" w14:textId="77777777" w:rsidTr="0079439D">
              <w:trPr>
                <w:trHeight w:val="565"/>
              </w:trPr>
              <w:tc>
                <w:tcPr>
                  <w:tcW w:w="2831" w:type="dxa"/>
                  <w:tcBorders>
                    <w:top w:val="single" w:sz="4" w:space="0" w:color="000000"/>
                    <w:left w:val="single" w:sz="4" w:space="0" w:color="000000"/>
                    <w:bottom w:val="single" w:sz="4" w:space="0" w:color="000000"/>
                    <w:right w:val="single" w:sz="4" w:space="0" w:color="000000"/>
                  </w:tcBorders>
                  <w:vAlign w:val="bottom"/>
                </w:tcPr>
                <w:p w14:paraId="0A69AA1D" w14:textId="743EA6CA"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Suspensión</w:t>
                  </w:r>
                </w:p>
              </w:tc>
              <w:tc>
                <w:tcPr>
                  <w:tcW w:w="916" w:type="dxa"/>
                  <w:tcBorders>
                    <w:top w:val="single" w:sz="4" w:space="0" w:color="000000"/>
                    <w:left w:val="single" w:sz="4" w:space="0" w:color="000000"/>
                    <w:bottom w:val="single" w:sz="4" w:space="0" w:color="000000"/>
                    <w:right w:val="single" w:sz="4" w:space="0" w:color="000000"/>
                  </w:tcBorders>
                  <w:vAlign w:val="bottom"/>
                </w:tcPr>
                <w:p w14:paraId="12AFDA4D" w14:textId="22919396"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33</w:t>
                  </w:r>
                </w:p>
              </w:tc>
            </w:tr>
            <w:tr w:rsidR="0087776F" w:rsidRPr="00FE4A9E" w14:paraId="66AB8C88" w14:textId="77777777" w:rsidTr="0079439D">
              <w:trPr>
                <w:trHeight w:val="311"/>
              </w:trPr>
              <w:tc>
                <w:tcPr>
                  <w:tcW w:w="2831" w:type="dxa"/>
                  <w:tcBorders>
                    <w:top w:val="single" w:sz="4" w:space="0" w:color="000000"/>
                    <w:left w:val="single" w:sz="4" w:space="0" w:color="000000"/>
                    <w:bottom w:val="single" w:sz="4" w:space="0" w:color="000000"/>
                    <w:right w:val="single" w:sz="4" w:space="0" w:color="000000"/>
                  </w:tcBorders>
                </w:tcPr>
                <w:p w14:paraId="354E5A4D" w14:textId="45D7B33D"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Suspensión e Inhabilidad</w:t>
                  </w:r>
                </w:p>
              </w:tc>
              <w:tc>
                <w:tcPr>
                  <w:tcW w:w="916" w:type="dxa"/>
                  <w:tcBorders>
                    <w:top w:val="single" w:sz="4" w:space="0" w:color="000000"/>
                    <w:left w:val="single" w:sz="4" w:space="0" w:color="000000"/>
                    <w:bottom w:val="single" w:sz="4" w:space="0" w:color="000000"/>
                    <w:right w:val="single" w:sz="4" w:space="0" w:color="000000"/>
                  </w:tcBorders>
                </w:tcPr>
                <w:p w14:paraId="19EAFAFD" w14:textId="7F040B84"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6</w:t>
                  </w:r>
                </w:p>
              </w:tc>
            </w:tr>
            <w:tr w:rsidR="0087776F" w:rsidRPr="00FE4A9E" w14:paraId="3C1A9F69" w14:textId="77777777" w:rsidTr="0079439D">
              <w:trPr>
                <w:trHeight w:val="310"/>
              </w:trPr>
              <w:tc>
                <w:tcPr>
                  <w:tcW w:w="2831" w:type="dxa"/>
                  <w:tcBorders>
                    <w:top w:val="single" w:sz="4" w:space="0" w:color="000000"/>
                    <w:left w:val="single" w:sz="4" w:space="0" w:color="000000"/>
                    <w:bottom w:val="single" w:sz="4" w:space="0" w:color="000000"/>
                    <w:right w:val="single" w:sz="4" w:space="0" w:color="000000"/>
                  </w:tcBorders>
                </w:tcPr>
                <w:p w14:paraId="5E3B2854" w14:textId="593AB76B"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Suspensión y Multa</w:t>
                  </w:r>
                </w:p>
              </w:tc>
              <w:tc>
                <w:tcPr>
                  <w:tcW w:w="916" w:type="dxa"/>
                  <w:tcBorders>
                    <w:top w:val="single" w:sz="4" w:space="0" w:color="000000"/>
                    <w:left w:val="single" w:sz="4" w:space="0" w:color="000000"/>
                    <w:bottom w:val="single" w:sz="4" w:space="0" w:color="000000"/>
                    <w:right w:val="single" w:sz="4" w:space="0" w:color="000000"/>
                  </w:tcBorders>
                </w:tcPr>
                <w:p w14:paraId="1E870013" w14:textId="3C9B7670" w:rsidR="0087776F" w:rsidRPr="00FE4A9E" w:rsidRDefault="0087776F" w:rsidP="00FE4A9E">
                  <w:pPr>
                    <w:jc w:val="center"/>
                    <w:rPr>
                      <w:rFonts w:ascii="Arial" w:hAnsi="Arial" w:cs="Arial"/>
                      <w:sz w:val="20"/>
                      <w:szCs w:val="20"/>
                      <w:lang w:val="es-ES"/>
                    </w:rPr>
                  </w:pPr>
                  <w:r w:rsidRPr="00FE4A9E">
                    <w:rPr>
                      <w:rFonts w:ascii="Arial" w:hAnsi="Arial" w:cs="Arial"/>
                      <w:sz w:val="20"/>
                      <w:szCs w:val="20"/>
                      <w:lang w:val="es-ES"/>
                    </w:rPr>
                    <w:t>1</w:t>
                  </w:r>
                </w:p>
              </w:tc>
            </w:tr>
          </w:tbl>
          <w:p w14:paraId="6462560F" w14:textId="77777777" w:rsidR="0087776F" w:rsidRPr="00FE4A9E" w:rsidRDefault="0087776F" w:rsidP="00FE4A9E">
            <w:pPr>
              <w:jc w:val="center"/>
              <w:rPr>
                <w:rFonts w:ascii="Arial" w:hAnsi="Arial" w:cs="Arial"/>
                <w:sz w:val="20"/>
                <w:szCs w:val="20"/>
                <w:lang w:val="es-ES"/>
              </w:rPr>
            </w:pPr>
          </w:p>
        </w:tc>
      </w:tr>
    </w:tbl>
    <w:p w14:paraId="460854FF" w14:textId="331B761D" w:rsidR="0087776F" w:rsidRPr="00FE4A9E" w:rsidRDefault="0087776F" w:rsidP="00FE4A9E">
      <w:pPr>
        <w:rPr>
          <w:rFonts w:ascii="Arial" w:hAnsi="Arial" w:cs="Arial"/>
          <w:sz w:val="20"/>
          <w:szCs w:val="20"/>
          <w:lang w:val="es-ES"/>
        </w:rPr>
      </w:pPr>
    </w:p>
    <w:p w14:paraId="48B1A09D" w14:textId="77777777" w:rsidR="0087776F" w:rsidRPr="00FE4A9E" w:rsidRDefault="0087776F" w:rsidP="0087776F">
      <w:pPr>
        <w:jc w:val="both"/>
        <w:rPr>
          <w:rFonts w:ascii="Arial" w:hAnsi="Arial" w:cs="Arial"/>
          <w:sz w:val="20"/>
          <w:szCs w:val="20"/>
          <w:lang w:val="es-ES"/>
        </w:rPr>
      </w:pPr>
      <w:r w:rsidRPr="00FE4A9E">
        <w:rPr>
          <w:rFonts w:ascii="Arial" w:hAnsi="Arial" w:cs="Arial"/>
          <w:sz w:val="20"/>
          <w:szCs w:val="20"/>
          <w:lang w:val="es-ES"/>
        </w:rPr>
        <w:t xml:space="preserve">Nota: Información suministrada por la Oficina de Sistemas de la Sala Jurisdiccional Disciplinaria.  </w:t>
      </w:r>
    </w:p>
    <w:p w14:paraId="616B890A" w14:textId="77777777" w:rsidR="0087776F" w:rsidRPr="0087776F" w:rsidRDefault="0087776F" w:rsidP="0087776F">
      <w:pPr>
        <w:jc w:val="both"/>
        <w:rPr>
          <w:rFonts w:ascii="Arial" w:hAnsi="Arial" w:cs="Arial"/>
          <w:lang w:val="es-ES"/>
        </w:rPr>
      </w:pPr>
    </w:p>
    <w:p w14:paraId="757534F3" w14:textId="77777777" w:rsidR="0087776F" w:rsidRPr="0087776F" w:rsidRDefault="0087776F" w:rsidP="0087776F">
      <w:pPr>
        <w:jc w:val="both"/>
        <w:rPr>
          <w:rFonts w:ascii="Arial" w:hAnsi="Arial" w:cs="Arial"/>
          <w:lang w:val="es-ES"/>
        </w:rPr>
      </w:pPr>
      <w:r w:rsidRPr="0087776F">
        <w:rPr>
          <w:rFonts w:ascii="Arial" w:hAnsi="Arial" w:cs="Arial"/>
          <w:lang w:val="es-ES"/>
        </w:rPr>
        <w:t xml:space="preserve">Nótese de lo anterior, que se han sancionado alrededor de un total de 880 funcionarios judiciales, de los cuales fueron </w:t>
      </w:r>
      <w:r w:rsidRPr="0087776F">
        <w:rPr>
          <w:rFonts w:ascii="Arial" w:hAnsi="Arial" w:cs="Arial"/>
          <w:lang w:val="es-ES"/>
        </w:rPr>
        <w:lastRenderedPageBreak/>
        <w:t xml:space="preserve">apartados definitivamente del cargo un total de 115 servidores judiciales, y de manera transitoria 723, esto dentro del tiempo solicitado en el informe, pues a lo largo del histórico de la Sala Jurisdiccional Disciplinaria se han sancionado 2.796 funcionarios judiciales, entre los cuales se encuentran fiscales de diferentes categorías. </w:t>
      </w:r>
    </w:p>
    <w:p w14:paraId="2C7D32D5" w14:textId="77777777" w:rsidR="0087776F" w:rsidRPr="0087776F" w:rsidRDefault="0087776F" w:rsidP="0087776F">
      <w:pPr>
        <w:jc w:val="both"/>
        <w:rPr>
          <w:rFonts w:ascii="Arial" w:hAnsi="Arial" w:cs="Arial"/>
          <w:lang w:val="es-ES"/>
        </w:rPr>
      </w:pPr>
      <w:r w:rsidRPr="0087776F">
        <w:rPr>
          <w:rFonts w:ascii="Arial" w:hAnsi="Arial" w:cs="Arial"/>
          <w:lang w:val="es-ES"/>
        </w:rPr>
        <w:t xml:space="preserve"> </w:t>
      </w:r>
    </w:p>
    <w:p w14:paraId="5A13E63A" w14:textId="4F44E98E" w:rsidR="0087776F" w:rsidRPr="0087776F" w:rsidRDefault="0087776F" w:rsidP="0087776F">
      <w:pPr>
        <w:jc w:val="both"/>
        <w:rPr>
          <w:rFonts w:ascii="Arial" w:hAnsi="Arial" w:cs="Arial"/>
          <w:lang w:val="es-ES"/>
        </w:rPr>
      </w:pPr>
      <w:r w:rsidRPr="0087776F">
        <w:rPr>
          <w:rFonts w:ascii="Arial" w:hAnsi="Arial" w:cs="Arial"/>
          <w:lang w:val="es-ES"/>
        </w:rPr>
        <w:t>Por último, se adjunta los soportes digitales en archivo Excel de la información suministrada por la Oficina de Siste</w:t>
      </w:r>
      <w:r w:rsidRPr="0087776F">
        <w:rPr>
          <w:rFonts w:ascii="Arial" w:hAnsi="Arial" w:cs="Arial"/>
          <w:lang w:val="es-ES"/>
        </w:rPr>
        <w:lastRenderedPageBreak/>
        <w:t>mas de la Sala Jurisdiccional Disciplinaria, sobre las sanciones a jueces entre el 11</w:t>
      </w:r>
      <w:r w:rsidR="00A33DB9">
        <w:rPr>
          <w:rFonts w:ascii="Arial" w:hAnsi="Arial" w:cs="Arial"/>
          <w:lang w:val="es-ES"/>
        </w:rPr>
        <w:t xml:space="preserve"> </w:t>
      </w:r>
      <w:r w:rsidRPr="0087776F">
        <w:rPr>
          <w:rFonts w:ascii="Arial" w:hAnsi="Arial" w:cs="Arial"/>
          <w:lang w:val="es-ES"/>
        </w:rPr>
        <w:t xml:space="preserve">de enero de 2010 y el 22 de abril de 2020. </w:t>
      </w:r>
    </w:p>
    <w:p w14:paraId="4ACDBD2C" w14:textId="430AA929" w:rsidR="00600DC0" w:rsidRDefault="00600DC0" w:rsidP="00600DC0">
      <w:pPr>
        <w:jc w:val="both"/>
        <w:rPr>
          <w:rFonts w:ascii="Arial" w:hAnsi="Arial" w:cs="Arial"/>
          <w:lang w:val="es-ES"/>
        </w:rPr>
      </w:pPr>
    </w:p>
    <w:p w14:paraId="7F2E3EE5" w14:textId="77777777" w:rsidR="0087776F" w:rsidRPr="0087776F" w:rsidRDefault="0087776F" w:rsidP="0087776F">
      <w:pPr>
        <w:numPr>
          <w:ilvl w:val="0"/>
          <w:numId w:val="4"/>
        </w:numPr>
        <w:jc w:val="both"/>
        <w:rPr>
          <w:rFonts w:ascii="Arial" w:hAnsi="Arial" w:cs="Arial"/>
          <w:b/>
          <w:bCs/>
        </w:rPr>
      </w:pPr>
      <w:r w:rsidRPr="0087776F">
        <w:rPr>
          <w:rFonts w:ascii="Arial" w:hAnsi="Arial" w:cs="Arial"/>
          <w:b/>
          <w:bCs/>
        </w:rPr>
        <w:t xml:space="preserve">¿Puede un juez estar sujeto a responsabilidad civil y/o responsabilidad penal como resultado del ejercicio de sus funciones? Si es así, ¿en que casos? ¿Quién puede presentar una queja contra el Juez? ¿Qué autoridad sería competente para juzgar estos casos? </w:t>
      </w:r>
    </w:p>
    <w:p w14:paraId="0B08532E" w14:textId="7F3FBFE5" w:rsidR="0087776F" w:rsidRDefault="0087776F" w:rsidP="00600DC0">
      <w:pPr>
        <w:jc w:val="both"/>
        <w:rPr>
          <w:rFonts w:ascii="Arial" w:hAnsi="Arial" w:cs="Arial"/>
        </w:rPr>
      </w:pPr>
    </w:p>
    <w:p w14:paraId="53445E1A" w14:textId="0328904B" w:rsidR="0087776F" w:rsidRDefault="0087776F" w:rsidP="0087776F">
      <w:pPr>
        <w:jc w:val="both"/>
        <w:rPr>
          <w:rFonts w:ascii="Arial" w:hAnsi="Arial" w:cs="Arial"/>
        </w:rPr>
      </w:pPr>
      <w:r w:rsidRPr="0087776F">
        <w:rPr>
          <w:rFonts w:ascii="Arial" w:hAnsi="Arial" w:cs="Arial"/>
        </w:rPr>
        <w:lastRenderedPageBreak/>
        <w:t xml:space="preserve">Además de lo relativo a la responsabilidad disciplinaria, el ordenamiento jurídico colombiano cuenta con disposiciones independientes que precisan, por separado, la responsabilidad patrimonial y también penal de los servidores públicos, veamos: </w:t>
      </w:r>
    </w:p>
    <w:p w14:paraId="46342F30" w14:textId="77777777" w:rsidR="0087776F" w:rsidRPr="0087776F" w:rsidRDefault="0087776F" w:rsidP="0087776F">
      <w:pPr>
        <w:jc w:val="both"/>
        <w:rPr>
          <w:rFonts w:ascii="Arial" w:hAnsi="Arial" w:cs="Arial"/>
        </w:rPr>
      </w:pPr>
    </w:p>
    <w:p w14:paraId="00DAF806" w14:textId="3CD9300C" w:rsidR="0087776F" w:rsidRPr="0087776F" w:rsidRDefault="0087776F" w:rsidP="0087776F">
      <w:pPr>
        <w:jc w:val="both"/>
        <w:rPr>
          <w:rFonts w:ascii="Arial" w:hAnsi="Arial" w:cs="Arial"/>
          <w:b/>
          <w:bCs/>
        </w:rPr>
      </w:pPr>
      <w:r w:rsidRPr="0087776F">
        <w:rPr>
          <w:rFonts w:ascii="Arial" w:hAnsi="Arial" w:cs="Arial"/>
          <w:b/>
          <w:bCs/>
        </w:rPr>
        <w:t xml:space="preserve">Responsabilidad civil (patrimonial): </w:t>
      </w:r>
    </w:p>
    <w:p w14:paraId="731511A0" w14:textId="77777777" w:rsidR="0087776F" w:rsidRPr="0087776F" w:rsidRDefault="0087776F" w:rsidP="0087776F">
      <w:pPr>
        <w:jc w:val="both"/>
        <w:rPr>
          <w:rFonts w:ascii="Arial" w:hAnsi="Arial" w:cs="Arial"/>
        </w:rPr>
      </w:pPr>
    </w:p>
    <w:p w14:paraId="6B69A9DC" w14:textId="0A521C17" w:rsidR="0087776F" w:rsidRDefault="0087776F" w:rsidP="0087776F">
      <w:pPr>
        <w:jc w:val="both"/>
        <w:rPr>
          <w:rFonts w:ascii="Arial" w:hAnsi="Arial" w:cs="Arial"/>
        </w:rPr>
      </w:pPr>
      <w:r w:rsidRPr="0087776F">
        <w:rPr>
          <w:rFonts w:ascii="Arial" w:hAnsi="Arial" w:cs="Arial"/>
        </w:rPr>
        <w:t xml:space="preserve">El punto de partida de este tipo de responsabilidad es el artículo 90 de la Constitución Política, el cual establece que, el Estado responderá patrimonialmente por los daños </w:t>
      </w:r>
      <w:r w:rsidRPr="0087776F">
        <w:rPr>
          <w:rFonts w:ascii="Arial" w:hAnsi="Arial" w:cs="Arial"/>
        </w:rPr>
        <w:lastRenderedPageBreak/>
        <w:t xml:space="preserve">antijurídicos que le sean imputables, causados por la acción o la omisión de las autoridades. Así mismo, precisa que, en aquellos eventos en los cuales el Estado es condenado a la reparación patrimonial por los daños que hubiere ocasionado, siendo estos, consecuencia de la conducta dolosa o gravemente culposa de un agente suyo (servidor público), el estado tiene el deber de repetir contra dicho servidor, es decir, recobrarle los recursos a este. </w:t>
      </w:r>
    </w:p>
    <w:p w14:paraId="0B0C66AA" w14:textId="77777777" w:rsidR="0087776F" w:rsidRPr="0087776F" w:rsidRDefault="0087776F" w:rsidP="0087776F">
      <w:pPr>
        <w:jc w:val="both"/>
        <w:rPr>
          <w:rFonts w:ascii="Arial" w:hAnsi="Arial" w:cs="Arial"/>
        </w:rPr>
      </w:pPr>
    </w:p>
    <w:p w14:paraId="4FA65927" w14:textId="77777777" w:rsidR="0087776F" w:rsidRPr="0087776F" w:rsidRDefault="0087776F" w:rsidP="0087776F">
      <w:pPr>
        <w:jc w:val="both"/>
        <w:rPr>
          <w:rFonts w:ascii="Arial" w:hAnsi="Arial" w:cs="Arial"/>
        </w:rPr>
      </w:pPr>
      <w:r w:rsidRPr="0087776F">
        <w:rPr>
          <w:rFonts w:ascii="Arial" w:hAnsi="Arial" w:cs="Arial"/>
        </w:rPr>
        <w:t xml:space="preserve">Al respecto, los artículos 65 y 71 de la Ley 270 de 1996 (Estatuto de administración de justicia), establecen: </w:t>
      </w:r>
    </w:p>
    <w:p w14:paraId="124D0BB8" w14:textId="77777777" w:rsidR="0087776F" w:rsidRDefault="0087776F" w:rsidP="0087776F">
      <w:pPr>
        <w:jc w:val="both"/>
        <w:rPr>
          <w:rFonts w:ascii="Arial" w:hAnsi="Arial" w:cs="Arial"/>
          <w:i/>
          <w:iCs/>
        </w:rPr>
      </w:pPr>
    </w:p>
    <w:p w14:paraId="64F53513" w14:textId="2D3B8780" w:rsidR="0087776F" w:rsidRDefault="0087776F" w:rsidP="0087776F">
      <w:pPr>
        <w:ind w:left="720"/>
        <w:jc w:val="both"/>
        <w:rPr>
          <w:rFonts w:ascii="Arial" w:hAnsi="Arial" w:cs="Arial"/>
        </w:rPr>
      </w:pPr>
      <w:r w:rsidRPr="0087776F">
        <w:rPr>
          <w:rFonts w:ascii="Arial" w:hAnsi="Arial" w:cs="Arial"/>
          <w:i/>
          <w:iCs/>
        </w:rPr>
        <w:t>Artículo 65</w:t>
      </w:r>
      <w:r w:rsidR="00FA2ADB" w:rsidRPr="00FA2ADB">
        <w:rPr>
          <w:rFonts w:ascii="Arial" w:hAnsi="Arial" w:cs="Arial"/>
          <w:i/>
          <w:iCs/>
          <w:lang w:val="en-US"/>
        </w:rPr>
        <w:t>.</w:t>
      </w:r>
      <w:r w:rsidRPr="0087776F">
        <w:rPr>
          <w:rFonts w:ascii="Arial" w:hAnsi="Arial" w:cs="Arial"/>
          <w:i/>
          <w:iCs/>
        </w:rPr>
        <w:t xml:space="preserve"> El Estado responderá patrimonialmente por los daños antijurídicos que le sean imputables, causados por la acción o la omisión de sus agentes judiciales. </w:t>
      </w:r>
    </w:p>
    <w:p w14:paraId="412AC216" w14:textId="77777777" w:rsidR="0087776F" w:rsidRDefault="0087776F" w:rsidP="0087776F">
      <w:pPr>
        <w:ind w:left="720"/>
        <w:jc w:val="both"/>
        <w:rPr>
          <w:rFonts w:ascii="Arial" w:hAnsi="Arial" w:cs="Arial"/>
        </w:rPr>
      </w:pPr>
      <w:r w:rsidRPr="0087776F">
        <w:rPr>
          <w:rFonts w:ascii="Arial" w:hAnsi="Arial" w:cs="Arial"/>
          <w:i/>
          <w:iCs/>
        </w:rPr>
        <w:t xml:space="preserve">En los términos del inciso anterior el Estado responderá por el defectuoso funcionamiento de la administración de justicia, por el error jurisdiccional y por la privación injusta de la libertad. </w:t>
      </w:r>
    </w:p>
    <w:p w14:paraId="461D25A4" w14:textId="205A3EDF" w:rsidR="0087776F" w:rsidRPr="0087776F" w:rsidRDefault="0087776F" w:rsidP="0087776F">
      <w:pPr>
        <w:ind w:left="720"/>
        <w:jc w:val="both"/>
        <w:rPr>
          <w:rFonts w:ascii="Arial" w:hAnsi="Arial" w:cs="Arial"/>
        </w:rPr>
      </w:pPr>
      <w:r w:rsidRPr="0087776F">
        <w:rPr>
          <w:rFonts w:ascii="Arial" w:hAnsi="Arial" w:cs="Arial"/>
          <w:i/>
          <w:iCs/>
        </w:rPr>
        <w:t xml:space="preserve">Artículo 71. En el evento de ser condenado el Estado a la reparación patrimonial por un daño antijurídico que </w:t>
      </w:r>
      <w:r w:rsidRPr="0087776F">
        <w:rPr>
          <w:rFonts w:ascii="Arial" w:hAnsi="Arial" w:cs="Arial"/>
          <w:i/>
          <w:iCs/>
        </w:rPr>
        <w:lastRenderedPageBreak/>
        <w:t xml:space="preserve">haya sido consecuencia de la conducta dolosa o gravemente culposa de un agente suyo, aquél deberá repetir contra éste. </w:t>
      </w:r>
    </w:p>
    <w:p w14:paraId="4CA85ED4" w14:textId="77777777" w:rsidR="0087776F" w:rsidRDefault="0087776F" w:rsidP="0087776F">
      <w:pPr>
        <w:jc w:val="both"/>
        <w:rPr>
          <w:rFonts w:ascii="Arial" w:hAnsi="Arial" w:cs="Arial"/>
        </w:rPr>
      </w:pPr>
    </w:p>
    <w:p w14:paraId="6739DE91" w14:textId="5FCA0314" w:rsidR="0087776F" w:rsidRDefault="0087776F" w:rsidP="0087776F">
      <w:pPr>
        <w:jc w:val="both"/>
        <w:rPr>
          <w:rFonts w:ascii="Arial" w:hAnsi="Arial" w:cs="Arial"/>
        </w:rPr>
      </w:pPr>
      <w:r w:rsidRPr="0087776F">
        <w:rPr>
          <w:rFonts w:ascii="Arial" w:hAnsi="Arial" w:cs="Arial"/>
        </w:rPr>
        <w:t xml:space="preserve">Los casos en los que se contempla la responsabilidad civil del Estado por las actuaciones de los jueces y magistrados se encuentran establecidos de manera taxativa en el inciso segundo del artículo 65 del Estatuto de Justicia. Asimismo, en los artículos 66 a 70 de dicha normativa, se amplía la descripción de estos eventos. </w:t>
      </w:r>
    </w:p>
    <w:p w14:paraId="63E4FE57" w14:textId="62FE34E8" w:rsidR="00FA2ADB" w:rsidRDefault="00FA2ADB" w:rsidP="0087776F">
      <w:pPr>
        <w:jc w:val="both"/>
        <w:rPr>
          <w:rFonts w:ascii="Arial" w:hAnsi="Arial" w:cs="Arial"/>
        </w:rPr>
      </w:pPr>
    </w:p>
    <w:p w14:paraId="4ABDAE75" w14:textId="61BE5BAF" w:rsidR="00FA2ADB" w:rsidRDefault="00FA2ADB" w:rsidP="00FA2ADB">
      <w:pPr>
        <w:jc w:val="both"/>
        <w:rPr>
          <w:rFonts w:ascii="Arial" w:hAnsi="Arial" w:cs="Arial"/>
          <w:bCs/>
          <w:lang w:val="es-ES"/>
        </w:rPr>
      </w:pPr>
      <w:r w:rsidRPr="00FA2ADB">
        <w:rPr>
          <w:rFonts w:ascii="Arial" w:hAnsi="Arial" w:cs="Arial"/>
          <w:bCs/>
          <w:lang w:val="es-ES"/>
        </w:rPr>
        <w:lastRenderedPageBreak/>
        <w:t>El capítulo VI, artículos 65 a 69 de esta ley desarrolla la responsabilidad del Estado, de sus funcionarios y empleados judiciales. Así pues, el artículo 65 estipula que el Estado Colombiano será responsable patrimonialmente por:</w:t>
      </w:r>
    </w:p>
    <w:p w14:paraId="5ED0360B" w14:textId="77777777" w:rsidR="00FA2ADB" w:rsidRPr="00FA2ADB" w:rsidRDefault="00FA2ADB" w:rsidP="00FA2ADB">
      <w:pPr>
        <w:jc w:val="both"/>
        <w:rPr>
          <w:rFonts w:ascii="Arial" w:hAnsi="Arial" w:cs="Arial"/>
          <w:bCs/>
          <w:lang w:val="es-ES"/>
        </w:rPr>
      </w:pPr>
    </w:p>
    <w:p w14:paraId="69DAA6A7" w14:textId="77777777" w:rsidR="00FA2ADB" w:rsidRPr="00FA2ADB" w:rsidRDefault="00FA2ADB" w:rsidP="00FA2ADB">
      <w:pPr>
        <w:numPr>
          <w:ilvl w:val="0"/>
          <w:numId w:val="9"/>
        </w:numPr>
        <w:jc w:val="both"/>
        <w:rPr>
          <w:rFonts w:ascii="Arial" w:hAnsi="Arial" w:cs="Arial"/>
          <w:b/>
          <w:bCs/>
          <w:lang w:val="es-CO"/>
        </w:rPr>
      </w:pPr>
      <w:r w:rsidRPr="00FA2ADB">
        <w:rPr>
          <w:rFonts w:ascii="Arial" w:hAnsi="Arial" w:cs="Arial"/>
          <w:b/>
          <w:bCs/>
          <w:lang w:val="es-CO"/>
        </w:rPr>
        <w:t>El defectuoso funcionamiento de la administración de justicia.</w:t>
      </w:r>
      <w:r w:rsidRPr="00FA2ADB">
        <w:rPr>
          <w:rFonts w:ascii="Arial" w:hAnsi="Arial" w:cs="Arial"/>
          <w:lang w:val="es-CO"/>
        </w:rPr>
        <w:t xml:space="preserve"> Toda persona que haya sufrido un daño antijurídico, a consecuencia de la función jurisdiccional tendrá derecho a obtener la consiguiente reparación.</w:t>
      </w:r>
    </w:p>
    <w:p w14:paraId="043840F1" w14:textId="77777777" w:rsidR="00FA2ADB" w:rsidRPr="00FA2ADB" w:rsidRDefault="00FA2ADB" w:rsidP="00FA2ADB">
      <w:pPr>
        <w:jc w:val="both"/>
        <w:rPr>
          <w:rFonts w:ascii="Arial" w:hAnsi="Arial" w:cs="Arial"/>
          <w:b/>
          <w:bCs/>
          <w:lang w:val="es-CO"/>
        </w:rPr>
      </w:pPr>
    </w:p>
    <w:p w14:paraId="7D202315" w14:textId="74B637C2" w:rsidR="00FA2ADB" w:rsidRDefault="00FA2ADB" w:rsidP="00FA2ADB">
      <w:pPr>
        <w:jc w:val="both"/>
        <w:rPr>
          <w:rFonts w:ascii="Arial" w:hAnsi="Arial" w:cs="Arial"/>
          <w:lang w:val="es-CO"/>
        </w:rPr>
      </w:pPr>
      <w:r w:rsidRPr="00FA2ADB">
        <w:rPr>
          <w:rFonts w:ascii="Arial" w:hAnsi="Arial" w:cs="Arial"/>
          <w:lang w:val="es-CO"/>
        </w:rPr>
        <w:lastRenderedPageBreak/>
        <w:t>Sobre el particular, el Consejo de Estado</w:t>
      </w:r>
      <w:r w:rsidRPr="00FA2ADB">
        <w:rPr>
          <w:rFonts w:ascii="Arial" w:hAnsi="Arial" w:cs="Arial"/>
          <w:vertAlign w:val="superscript"/>
          <w:lang w:val="es-CO"/>
        </w:rPr>
        <w:footnoteReference w:id="7"/>
      </w:r>
      <w:r w:rsidRPr="00FA2ADB">
        <w:rPr>
          <w:rFonts w:ascii="Arial" w:hAnsi="Arial" w:cs="Arial"/>
          <w:lang w:val="es-CO"/>
        </w:rPr>
        <w:t xml:space="preserve"> declaró que el daño antijurídico producido, “ocurre como consecuencia de que el servicio de administración de justicia ha funcionado mal, no ha funcionado, o ha funcionado en forma tardía. Puede ser por diversos factores tales como: la complejidad del asunto, el comportamiento del recurrente, la forma como haya sido llevado el caso, el volumen de trabajo que </w:t>
      </w:r>
      <w:r w:rsidRPr="00FA2ADB">
        <w:rPr>
          <w:rFonts w:ascii="Arial" w:hAnsi="Arial" w:cs="Arial"/>
          <w:lang w:val="es-CO"/>
        </w:rPr>
        <w:lastRenderedPageBreak/>
        <w:t>tenga el despacho de conocimiento y los estándares de funcionamiento, que no están referidos a los términos que se señalan en la ley, sino al promedio de duración de los procesos del tipo por el que se demanda la mora”.</w:t>
      </w:r>
    </w:p>
    <w:p w14:paraId="0D85FFAC" w14:textId="77777777" w:rsidR="00FA2ADB" w:rsidRPr="00FA2ADB" w:rsidRDefault="00FA2ADB" w:rsidP="00FA2ADB">
      <w:pPr>
        <w:jc w:val="both"/>
        <w:rPr>
          <w:rFonts w:ascii="Arial" w:hAnsi="Arial" w:cs="Arial"/>
          <w:b/>
          <w:bCs/>
          <w:lang w:val="es-CO"/>
        </w:rPr>
      </w:pPr>
    </w:p>
    <w:p w14:paraId="54EECC0C" w14:textId="77777777" w:rsidR="00FA2ADB" w:rsidRPr="00FA2ADB" w:rsidRDefault="00FA2ADB" w:rsidP="00FA2ADB">
      <w:pPr>
        <w:jc w:val="both"/>
        <w:rPr>
          <w:rFonts w:ascii="Arial" w:hAnsi="Arial" w:cs="Arial"/>
          <w:lang w:val="es-CO"/>
        </w:rPr>
      </w:pPr>
      <w:r w:rsidRPr="00FA2ADB">
        <w:rPr>
          <w:rFonts w:ascii="Arial" w:hAnsi="Arial" w:cs="Arial"/>
          <w:lang w:val="es-CO"/>
        </w:rPr>
        <w:t>Así mismo, recuerda que “es un título de imputación de carácter subjetivo y lo componen las siguientes características:</w:t>
      </w:r>
    </w:p>
    <w:p w14:paraId="6816C618" w14:textId="77777777" w:rsidR="00FA2ADB" w:rsidRPr="00FA2ADB" w:rsidRDefault="00FA2ADB" w:rsidP="00FA2ADB">
      <w:pPr>
        <w:jc w:val="both"/>
        <w:rPr>
          <w:rFonts w:ascii="Arial" w:hAnsi="Arial" w:cs="Arial"/>
          <w:lang w:val="es-CO"/>
        </w:rPr>
      </w:pPr>
      <w:r w:rsidRPr="00FA2ADB">
        <w:rPr>
          <w:rFonts w:ascii="Arial" w:hAnsi="Arial" w:cs="Arial"/>
          <w:lang w:val="es-CO"/>
        </w:rPr>
        <w:t> </w:t>
      </w:r>
    </w:p>
    <w:p w14:paraId="4CBA6979" w14:textId="77777777" w:rsidR="00FA2ADB" w:rsidRPr="00FA2ADB" w:rsidRDefault="00FA2ADB" w:rsidP="00FA2ADB">
      <w:pPr>
        <w:jc w:val="both"/>
        <w:rPr>
          <w:rFonts w:ascii="Arial" w:hAnsi="Arial" w:cs="Arial"/>
          <w:lang w:val="es-CO"/>
        </w:rPr>
      </w:pPr>
      <w:r w:rsidRPr="00FA2ADB">
        <w:rPr>
          <w:rFonts w:ascii="Arial" w:hAnsi="Arial" w:cs="Arial"/>
          <w:b/>
          <w:bCs/>
          <w:lang w:val="es-CO"/>
        </w:rPr>
        <w:lastRenderedPageBreak/>
        <w:t>i.</w:t>
      </w:r>
      <w:r w:rsidRPr="00FA2ADB">
        <w:rPr>
          <w:rFonts w:ascii="Arial" w:hAnsi="Arial" w:cs="Arial"/>
          <w:lang w:val="es-CO"/>
        </w:rPr>
        <w:t> Se produce frente a actuaciones u omisiones, diferentes a las decisiones judiciales, necesarias para adelantar un proceso o ejecutar una providencia.</w:t>
      </w:r>
    </w:p>
    <w:p w14:paraId="266D303C" w14:textId="77777777" w:rsidR="00FA2ADB" w:rsidRPr="00FA2ADB" w:rsidRDefault="00FA2ADB" w:rsidP="00FA2ADB">
      <w:pPr>
        <w:jc w:val="both"/>
        <w:rPr>
          <w:rFonts w:ascii="Arial" w:hAnsi="Arial" w:cs="Arial"/>
          <w:lang w:val="es-CO"/>
        </w:rPr>
      </w:pPr>
      <w:r w:rsidRPr="00FA2ADB">
        <w:rPr>
          <w:rFonts w:ascii="Arial" w:hAnsi="Arial" w:cs="Arial"/>
          <w:lang w:val="es-CO"/>
        </w:rPr>
        <w:t> </w:t>
      </w:r>
    </w:p>
    <w:p w14:paraId="45E02924" w14:textId="77777777" w:rsidR="00FA2ADB" w:rsidRPr="00FA2ADB" w:rsidRDefault="00FA2ADB" w:rsidP="00FA2ADB">
      <w:pPr>
        <w:jc w:val="both"/>
        <w:rPr>
          <w:rFonts w:ascii="Arial" w:hAnsi="Arial" w:cs="Arial"/>
          <w:lang w:val="es-CO"/>
        </w:rPr>
      </w:pPr>
      <w:r w:rsidRPr="00FA2ADB">
        <w:rPr>
          <w:rFonts w:ascii="Arial" w:hAnsi="Arial" w:cs="Arial"/>
          <w:b/>
          <w:bCs/>
          <w:lang w:val="es-CO"/>
        </w:rPr>
        <w:t>ii.</w:t>
      </w:r>
      <w:r w:rsidRPr="00FA2ADB">
        <w:rPr>
          <w:rFonts w:ascii="Arial" w:hAnsi="Arial" w:cs="Arial"/>
          <w:lang w:val="es-CO"/>
        </w:rPr>
        <w:t> Puede provenir de los funcionarios judiciales, particulares que ejerzan facultades jurisdiccionales, empleados, agentes o auxiliares de la justicia.</w:t>
      </w:r>
    </w:p>
    <w:p w14:paraId="43971E86" w14:textId="77777777" w:rsidR="00FA2ADB" w:rsidRPr="00FA2ADB" w:rsidRDefault="00FA2ADB" w:rsidP="00FA2ADB">
      <w:pPr>
        <w:jc w:val="both"/>
        <w:rPr>
          <w:rFonts w:ascii="Arial" w:hAnsi="Arial" w:cs="Arial"/>
          <w:lang w:val="es-CO"/>
        </w:rPr>
      </w:pPr>
    </w:p>
    <w:p w14:paraId="177AC95B" w14:textId="68AE1611" w:rsidR="00FA2ADB" w:rsidRDefault="00FA2ADB" w:rsidP="00FA2ADB">
      <w:pPr>
        <w:jc w:val="both"/>
        <w:rPr>
          <w:rFonts w:ascii="Arial" w:hAnsi="Arial" w:cs="Arial"/>
          <w:lang w:val="es-CO"/>
        </w:rPr>
      </w:pPr>
      <w:r w:rsidRPr="00FA2ADB">
        <w:rPr>
          <w:rFonts w:ascii="Arial" w:hAnsi="Arial" w:cs="Arial"/>
          <w:b/>
          <w:bCs/>
          <w:lang w:val="es-CO"/>
        </w:rPr>
        <w:t>iii.</w:t>
      </w:r>
      <w:r w:rsidRPr="00FA2ADB">
        <w:rPr>
          <w:rFonts w:ascii="Arial" w:hAnsi="Arial" w:cs="Arial"/>
          <w:lang w:val="es-CO"/>
        </w:rPr>
        <w:t> Debe tener un funcionamiento anormal, partiendo de una comparación de lo que debería considerarse como un ejercicio adecuado de la función judicial. </w:t>
      </w:r>
    </w:p>
    <w:p w14:paraId="799166EF" w14:textId="77777777" w:rsidR="00FA2ADB" w:rsidRPr="00FA2ADB" w:rsidRDefault="00FA2ADB" w:rsidP="00FA2ADB">
      <w:pPr>
        <w:jc w:val="both"/>
        <w:rPr>
          <w:rFonts w:ascii="Arial" w:hAnsi="Arial" w:cs="Arial"/>
          <w:lang w:val="es-CO"/>
        </w:rPr>
      </w:pPr>
    </w:p>
    <w:p w14:paraId="5C8B7742" w14:textId="5A26DA14" w:rsidR="00FA2ADB" w:rsidRDefault="00FA2ADB" w:rsidP="00FA2ADB">
      <w:pPr>
        <w:jc w:val="both"/>
        <w:rPr>
          <w:rFonts w:ascii="Arial" w:hAnsi="Arial" w:cs="Arial"/>
          <w:lang w:val="es-CO"/>
        </w:rPr>
      </w:pPr>
      <w:r w:rsidRPr="00FA2ADB">
        <w:rPr>
          <w:rFonts w:ascii="Arial" w:hAnsi="Arial" w:cs="Arial"/>
          <w:b/>
          <w:lang w:val="es-CO"/>
        </w:rPr>
        <w:t>iv</w:t>
      </w:r>
      <w:r w:rsidRPr="00FA2ADB">
        <w:rPr>
          <w:rFonts w:ascii="Arial" w:hAnsi="Arial" w:cs="Arial"/>
          <w:lang w:val="es-CO"/>
        </w:rPr>
        <w:t>. El funcionamiento debe ser anormal, basado en una comparación de lo que debería ser el adecuado”.</w:t>
      </w:r>
    </w:p>
    <w:p w14:paraId="1F8929D4" w14:textId="77777777" w:rsidR="00FA2ADB" w:rsidRPr="00FA2ADB" w:rsidRDefault="00FA2ADB" w:rsidP="00FA2ADB">
      <w:pPr>
        <w:jc w:val="both"/>
        <w:rPr>
          <w:rFonts w:ascii="Arial" w:hAnsi="Arial" w:cs="Arial"/>
          <w:lang w:val="es-CO"/>
        </w:rPr>
      </w:pPr>
    </w:p>
    <w:p w14:paraId="6D6AF897" w14:textId="77777777" w:rsidR="00FA2ADB" w:rsidRPr="00FA2ADB" w:rsidRDefault="00FA2ADB" w:rsidP="00FA2ADB">
      <w:pPr>
        <w:numPr>
          <w:ilvl w:val="0"/>
          <w:numId w:val="9"/>
        </w:numPr>
        <w:jc w:val="both"/>
        <w:rPr>
          <w:rFonts w:ascii="Arial" w:hAnsi="Arial" w:cs="Arial"/>
          <w:b/>
          <w:bCs/>
          <w:lang w:val="es-CO"/>
        </w:rPr>
      </w:pPr>
      <w:r w:rsidRPr="00FA2ADB">
        <w:rPr>
          <w:rFonts w:ascii="Arial" w:hAnsi="Arial" w:cs="Arial"/>
          <w:b/>
          <w:bCs/>
          <w:lang w:val="es-CO"/>
        </w:rPr>
        <w:t xml:space="preserve">Por el error jurisdiccional. </w:t>
      </w:r>
      <w:r w:rsidRPr="00FA2ADB">
        <w:rPr>
          <w:rFonts w:ascii="Arial" w:hAnsi="Arial" w:cs="Arial"/>
          <w:bCs/>
          <w:lang w:val="es-CO"/>
        </w:rPr>
        <w:t>Cometido por una autoridad investida de facultad jurisdiccional, en el curso de un proceso y se materializa en una providencia (decisión que emite un juez o magistrado) contraria a la ley.</w:t>
      </w:r>
    </w:p>
    <w:p w14:paraId="3BCF9BFC" w14:textId="77777777" w:rsidR="00FA2ADB" w:rsidRPr="00FA2ADB" w:rsidRDefault="00FA2ADB" w:rsidP="00FA2ADB">
      <w:pPr>
        <w:jc w:val="both"/>
        <w:rPr>
          <w:rFonts w:ascii="Arial" w:hAnsi="Arial" w:cs="Arial"/>
          <w:b/>
          <w:bCs/>
          <w:lang w:val="es-CO"/>
        </w:rPr>
      </w:pPr>
    </w:p>
    <w:p w14:paraId="269FF860" w14:textId="77777777" w:rsidR="00FA2ADB" w:rsidRPr="00FA2ADB" w:rsidRDefault="00FA2ADB" w:rsidP="00FA2ADB">
      <w:pPr>
        <w:jc w:val="both"/>
        <w:rPr>
          <w:rFonts w:ascii="Arial" w:hAnsi="Arial" w:cs="Arial"/>
          <w:bCs/>
          <w:lang w:val="es-CO"/>
        </w:rPr>
      </w:pPr>
      <w:r w:rsidRPr="00FA2ADB">
        <w:rPr>
          <w:rFonts w:ascii="Arial" w:hAnsi="Arial" w:cs="Arial"/>
          <w:lang w:val="es-CO"/>
        </w:rPr>
        <w:lastRenderedPageBreak/>
        <w:t>Al respecto, el Consejo de Estado</w:t>
      </w:r>
      <w:r w:rsidRPr="00FA2ADB">
        <w:rPr>
          <w:rFonts w:ascii="Arial" w:hAnsi="Arial" w:cs="Arial"/>
          <w:vertAlign w:val="superscript"/>
          <w:lang w:val="es-CO"/>
        </w:rPr>
        <w:footnoteReference w:id="8"/>
      </w:r>
      <w:r w:rsidRPr="00FA2ADB">
        <w:rPr>
          <w:rFonts w:ascii="Arial" w:hAnsi="Arial" w:cs="Arial"/>
          <w:lang w:val="es-CO"/>
        </w:rPr>
        <w:t>, manifestó que e</w:t>
      </w:r>
      <w:r w:rsidRPr="00FA2ADB">
        <w:rPr>
          <w:rFonts w:ascii="Arial" w:hAnsi="Arial" w:cs="Arial"/>
          <w:bCs/>
          <w:lang w:val="es-CO"/>
        </w:rPr>
        <w:t>se error judicial puede ser de diversos tipos:</w:t>
      </w:r>
    </w:p>
    <w:p w14:paraId="62084EF1" w14:textId="77777777" w:rsidR="00FA2ADB" w:rsidRPr="00FA2ADB" w:rsidRDefault="00FA2ADB" w:rsidP="00FA2ADB">
      <w:pPr>
        <w:jc w:val="both"/>
        <w:rPr>
          <w:rFonts w:ascii="Arial" w:hAnsi="Arial" w:cs="Arial"/>
          <w:b/>
          <w:bCs/>
          <w:lang w:val="es-CO"/>
        </w:rPr>
      </w:pPr>
    </w:p>
    <w:p w14:paraId="73C96C1C" w14:textId="77777777" w:rsidR="00FA2ADB" w:rsidRPr="00FA2ADB" w:rsidRDefault="00FA2ADB" w:rsidP="00FA2ADB">
      <w:pPr>
        <w:numPr>
          <w:ilvl w:val="0"/>
          <w:numId w:val="8"/>
        </w:numPr>
        <w:jc w:val="both"/>
        <w:rPr>
          <w:rFonts w:ascii="Arial" w:hAnsi="Arial" w:cs="Arial"/>
          <w:bCs/>
          <w:lang w:val="es-CO"/>
        </w:rPr>
      </w:pPr>
      <w:r w:rsidRPr="00FA2ADB">
        <w:rPr>
          <w:rFonts w:ascii="Arial" w:hAnsi="Arial" w:cs="Arial"/>
          <w:b/>
          <w:lang w:val="es-CO"/>
        </w:rPr>
        <w:t>“Error de hecho</w:t>
      </w:r>
      <w:r w:rsidRPr="00FA2ADB">
        <w:rPr>
          <w:rFonts w:ascii="Arial" w:hAnsi="Arial" w:cs="Arial"/>
          <w:lang w:val="es-CO"/>
        </w:rPr>
        <w:t xml:space="preserve">, que implica una equívoca percepción respecto de las personas, de la naturaleza de la decisión </w:t>
      </w:r>
      <w:r w:rsidRPr="00FA2ADB">
        <w:rPr>
          <w:rFonts w:ascii="Arial" w:hAnsi="Arial" w:cs="Arial"/>
          <w:lang w:val="es-CO"/>
        </w:rPr>
        <w:lastRenderedPageBreak/>
        <w:t>judicial, en cuanto al objeto de la decisión y a los motivos de la misma.</w:t>
      </w:r>
    </w:p>
    <w:p w14:paraId="114551FB" w14:textId="77777777" w:rsidR="00FA2ADB" w:rsidRPr="00FA2ADB" w:rsidRDefault="00FA2ADB" w:rsidP="00FA2ADB">
      <w:pPr>
        <w:jc w:val="both"/>
        <w:rPr>
          <w:rFonts w:ascii="Arial" w:hAnsi="Arial" w:cs="Arial"/>
          <w:bCs/>
          <w:lang w:val="es-CO"/>
        </w:rPr>
      </w:pPr>
    </w:p>
    <w:p w14:paraId="2B66BB90" w14:textId="77777777" w:rsidR="00FA2ADB" w:rsidRPr="00FA2ADB" w:rsidRDefault="00FA2ADB" w:rsidP="00FA2ADB">
      <w:pPr>
        <w:numPr>
          <w:ilvl w:val="0"/>
          <w:numId w:val="8"/>
        </w:numPr>
        <w:jc w:val="both"/>
        <w:rPr>
          <w:rFonts w:ascii="Arial" w:hAnsi="Arial" w:cs="Arial"/>
          <w:lang w:val="es-CO"/>
        </w:rPr>
      </w:pPr>
      <w:r w:rsidRPr="00FA2ADB">
        <w:rPr>
          <w:rFonts w:ascii="Arial" w:hAnsi="Arial" w:cs="Arial"/>
          <w:b/>
          <w:lang w:val="es-CO"/>
        </w:rPr>
        <w:t>Error de derecho</w:t>
      </w:r>
      <w:r w:rsidRPr="00FA2ADB">
        <w:rPr>
          <w:rFonts w:ascii="Arial" w:hAnsi="Arial" w:cs="Arial"/>
          <w:lang w:val="es-CO"/>
        </w:rPr>
        <w:t>, el cual puede concretarse en cuatro modalidades específicas:</w:t>
      </w:r>
    </w:p>
    <w:p w14:paraId="1F3651B1" w14:textId="77777777" w:rsidR="00FA2ADB" w:rsidRPr="00FA2ADB" w:rsidRDefault="00FA2ADB" w:rsidP="006F2E4C">
      <w:pPr>
        <w:ind w:left="1440"/>
        <w:jc w:val="both"/>
        <w:rPr>
          <w:rFonts w:ascii="Arial" w:hAnsi="Arial" w:cs="Arial"/>
          <w:lang w:val="es-ES"/>
        </w:rPr>
      </w:pPr>
      <w:r w:rsidRPr="00FA2ADB">
        <w:rPr>
          <w:rFonts w:ascii="Arial" w:hAnsi="Arial" w:cs="Arial"/>
          <w:lang w:val="es-ES"/>
        </w:rPr>
        <w:t>i. Violación directa del orden positivo. </w:t>
      </w:r>
    </w:p>
    <w:p w14:paraId="01E8A6A1" w14:textId="77777777" w:rsidR="00FA2ADB" w:rsidRPr="00FA2ADB" w:rsidRDefault="00FA2ADB" w:rsidP="006F2E4C">
      <w:pPr>
        <w:ind w:left="1440"/>
        <w:jc w:val="both"/>
        <w:rPr>
          <w:rFonts w:ascii="Arial" w:hAnsi="Arial" w:cs="Arial"/>
          <w:lang w:val="es-ES"/>
        </w:rPr>
      </w:pPr>
      <w:r w:rsidRPr="00FA2ADB">
        <w:rPr>
          <w:rFonts w:ascii="Arial" w:hAnsi="Arial" w:cs="Arial"/>
          <w:lang w:val="es-ES"/>
        </w:rPr>
        <w:t>ii. Falsa interpretación del orden positivo. </w:t>
      </w:r>
    </w:p>
    <w:p w14:paraId="554D3239" w14:textId="77777777" w:rsidR="00FA2ADB" w:rsidRPr="00FA2ADB" w:rsidRDefault="00FA2ADB" w:rsidP="006F2E4C">
      <w:pPr>
        <w:ind w:left="1440"/>
        <w:jc w:val="both"/>
        <w:rPr>
          <w:rFonts w:ascii="Arial" w:hAnsi="Arial" w:cs="Arial"/>
          <w:lang w:val="es-ES"/>
        </w:rPr>
      </w:pPr>
      <w:r w:rsidRPr="00FA2ADB">
        <w:rPr>
          <w:rFonts w:ascii="Arial" w:hAnsi="Arial" w:cs="Arial"/>
          <w:lang w:val="es-ES"/>
        </w:rPr>
        <w:t>iii. Errónea interpretación del orden positivo. </w:t>
      </w:r>
    </w:p>
    <w:p w14:paraId="0D8C9658" w14:textId="77777777" w:rsidR="00FA2ADB" w:rsidRPr="00FA2ADB" w:rsidRDefault="00FA2ADB" w:rsidP="006F2E4C">
      <w:pPr>
        <w:ind w:left="1440"/>
        <w:jc w:val="both"/>
        <w:rPr>
          <w:rFonts w:ascii="Arial" w:hAnsi="Arial" w:cs="Arial"/>
          <w:lang w:val="es-ES"/>
        </w:rPr>
      </w:pPr>
      <w:r w:rsidRPr="00FA2ADB">
        <w:rPr>
          <w:rFonts w:ascii="Arial" w:hAnsi="Arial" w:cs="Arial"/>
          <w:lang w:val="es-ES"/>
        </w:rPr>
        <w:t>iv. La violación por aplicación indebida del orden positivo.</w:t>
      </w:r>
      <w:r w:rsidRPr="00FA2ADB">
        <w:rPr>
          <w:rFonts w:ascii="Arial" w:hAnsi="Arial" w:cs="Arial"/>
          <w:lang w:val="es-ES"/>
        </w:rPr>
        <w:tab/>
      </w:r>
    </w:p>
    <w:p w14:paraId="65706C15" w14:textId="77777777" w:rsidR="00FA2ADB" w:rsidRPr="00FA2ADB" w:rsidRDefault="00FA2ADB" w:rsidP="00FA2ADB">
      <w:pPr>
        <w:jc w:val="both"/>
        <w:rPr>
          <w:rFonts w:ascii="Arial" w:hAnsi="Arial" w:cs="Arial"/>
          <w:lang w:val="es-ES"/>
        </w:rPr>
      </w:pPr>
    </w:p>
    <w:p w14:paraId="24EF51B9" w14:textId="77777777" w:rsidR="00FA2ADB" w:rsidRPr="00FA2ADB" w:rsidRDefault="00FA2ADB" w:rsidP="006F2E4C">
      <w:pPr>
        <w:ind w:left="720"/>
        <w:jc w:val="both"/>
        <w:rPr>
          <w:rFonts w:ascii="Arial" w:hAnsi="Arial" w:cs="Arial"/>
          <w:lang w:val="es-ES"/>
        </w:rPr>
      </w:pPr>
      <w:r w:rsidRPr="00FA2ADB">
        <w:rPr>
          <w:rFonts w:ascii="Arial" w:hAnsi="Arial" w:cs="Arial"/>
          <w:lang w:val="es-ES"/>
        </w:rPr>
        <w:lastRenderedPageBreak/>
        <w:t>El error normativo o de derecho supone equivocaciones en la aplicación del derecho, pues se aplicó al caso concreto una norma que no era relevante o se dejó de aplicar una directa o indirectamente aplicable al mismo, y cuando se aplicaron normas inexistentes o derogadas u otros similares”.</w:t>
      </w:r>
    </w:p>
    <w:p w14:paraId="0C1EF5DC" w14:textId="77777777" w:rsidR="00FA2ADB" w:rsidRPr="00FA2ADB" w:rsidRDefault="00FA2ADB" w:rsidP="00FA2ADB">
      <w:pPr>
        <w:jc w:val="both"/>
        <w:rPr>
          <w:rFonts w:ascii="Arial" w:hAnsi="Arial" w:cs="Arial"/>
          <w:lang w:val="es-ES"/>
        </w:rPr>
      </w:pPr>
    </w:p>
    <w:p w14:paraId="1ACAAF9F" w14:textId="6C166774" w:rsidR="00FA2ADB" w:rsidRDefault="00FA2ADB" w:rsidP="006F2E4C">
      <w:pPr>
        <w:ind w:left="720"/>
        <w:jc w:val="both"/>
        <w:rPr>
          <w:rFonts w:ascii="Arial" w:hAnsi="Arial" w:cs="Arial"/>
          <w:lang w:val="es-ES"/>
        </w:rPr>
      </w:pPr>
      <w:r w:rsidRPr="00FA2ADB">
        <w:rPr>
          <w:rFonts w:ascii="Arial" w:hAnsi="Arial" w:cs="Arial"/>
          <w:lang w:val="es-ES"/>
        </w:rPr>
        <w:t>De igual modo, el Consejo de Estado resaltó que para que proceda la referida responsabilidad es necesario que el afectado interponga los recursos de ley y que la providencia contentiva del error se encuentre en firme.</w:t>
      </w:r>
    </w:p>
    <w:p w14:paraId="328BCB3F" w14:textId="77777777" w:rsidR="00FA2ADB" w:rsidRPr="00FA2ADB" w:rsidRDefault="00FA2ADB" w:rsidP="00FA2ADB">
      <w:pPr>
        <w:jc w:val="both"/>
        <w:rPr>
          <w:rFonts w:ascii="Arial" w:hAnsi="Arial" w:cs="Arial"/>
          <w:lang w:val="es-ES"/>
        </w:rPr>
      </w:pPr>
    </w:p>
    <w:p w14:paraId="6CC0312A" w14:textId="3800FE56" w:rsidR="00FA2ADB" w:rsidRPr="00FA2ADB" w:rsidRDefault="00FA2ADB" w:rsidP="00FA2ADB">
      <w:pPr>
        <w:numPr>
          <w:ilvl w:val="0"/>
          <w:numId w:val="10"/>
        </w:numPr>
        <w:jc w:val="both"/>
        <w:rPr>
          <w:rFonts w:ascii="Arial" w:hAnsi="Arial" w:cs="Arial"/>
          <w:bCs/>
          <w:lang w:val="es-CO"/>
        </w:rPr>
      </w:pPr>
      <w:r w:rsidRPr="00FA2ADB">
        <w:rPr>
          <w:rFonts w:ascii="Arial" w:hAnsi="Arial" w:cs="Arial"/>
          <w:b/>
          <w:bCs/>
          <w:lang w:val="es-CO"/>
        </w:rPr>
        <w:t>Por la privación injusta de la libertad</w:t>
      </w:r>
      <w:r w:rsidRPr="00FA2ADB">
        <w:rPr>
          <w:rFonts w:ascii="Arial" w:hAnsi="Arial" w:cs="Arial"/>
          <w:bCs/>
          <w:lang w:val="es-CO"/>
        </w:rPr>
        <w:t xml:space="preserve">. </w:t>
      </w:r>
      <w:r w:rsidRPr="00FA2ADB">
        <w:rPr>
          <w:rFonts w:ascii="Arial" w:hAnsi="Arial" w:cs="Arial"/>
          <w:lang w:val="es-CO"/>
        </w:rPr>
        <w:t>Toda persona que haya sido privada injustamente de la libertad podrá demandar al Estado la reparación de perjuicios.</w:t>
      </w:r>
    </w:p>
    <w:p w14:paraId="192A09E7" w14:textId="77777777" w:rsidR="00FA2ADB" w:rsidRPr="00FA2ADB" w:rsidRDefault="00FA2ADB" w:rsidP="00FA2ADB">
      <w:pPr>
        <w:ind w:left="720"/>
        <w:jc w:val="both"/>
        <w:rPr>
          <w:rFonts w:ascii="Arial" w:hAnsi="Arial" w:cs="Arial"/>
          <w:bCs/>
          <w:lang w:val="es-CO"/>
        </w:rPr>
      </w:pPr>
    </w:p>
    <w:p w14:paraId="242B0043" w14:textId="04CA1D6B" w:rsidR="00FA2ADB" w:rsidRDefault="00FA2ADB" w:rsidP="00FA2ADB">
      <w:pPr>
        <w:jc w:val="both"/>
        <w:rPr>
          <w:rFonts w:ascii="Arial" w:hAnsi="Arial" w:cs="Arial"/>
          <w:lang w:val="es-ES"/>
        </w:rPr>
      </w:pPr>
      <w:r w:rsidRPr="00FA2ADB">
        <w:rPr>
          <w:rFonts w:ascii="Arial" w:hAnsi="Arial" w:cs="Arial"/>
          <w:lang w:val="es-ES"/>
        </w:rPr>
        <w:t>Sobre el tema, puede mencionarse que en la sentencia C-37 de1996</w:t>
      </w:r>
      <w:r w:rsidRPr="00FA2ADB">
        <w:rPr>
          <w:rFonts w:ascii="Arial" w:hAnsi="Arial" w:cs="Arial"/>
          <w:vertAlign w:val="superscript"/>
          <w:lang w:val="es-ES"/>
        </w:rPr>
        <w:footnoteReference w:id="9"/>
      </w:r>
      <w:r w:rsidRPr="00FA2ADB">
        <w:rPr>
          <w:rFonts w:ascii="Arial" w:hAnsi="Arial" w:cs="Arial"/>
          <w:lang w:val="es-ES"/>
        </w:rPr>
        <w:t xml:space="preserve">, la Corte Constitucional al realizar el estudio del </w:t>
      </w:r>
      <w:r w:rsidRPr="00FA2ADB">
        <w:rPr>
          <w:rFonts w:ascii="Arial" w:hAnsi="Arial" w:cs="Arial"/>
          <w:lang w:val="es-ES"/>
        </w:rPr>
        <w:lastRenderedPageBreak/>
        <w:t xml:space="preserve">artículo 68 de la Ley 270 de 1996, que desarrolló la privación injusta de la libertad, consideró que no merecía objeción alguna, toda vez, que su fundamento constitucional se encuentra en los artículos 6o, 28, 29 y 90 de la Carta. Sin embargo, aclaró que “el término “injustamente” se refiere a una actuación abiertamente desproporcionada y violatoria de los procedimientos legales, de forma tal, que se torne </w:t>
      </w:r>
      <w:r w:rsidRPr="00FA2ADB">
        <w:rPr>
          <w:rFonts w:ascii="Arial" w:hAnsi="Arial" w:cs="Arial"/>
          <w:lang w:val="es-ES"/>
        </w:rPr>
        <w:lastRenderedPageBreak/>
        <w:t xml:space="preserve">evidente que la privación de la libertad no ha sido ni apropiada, ni razonada ni conforme a derecho, sino abiertamente arbitraria. De lo contrario, se estaría permitiendo que en todos los casos en que una persona es privada de su libertad y si se considera en forma subjetiva, aún de mala fe, que su detención es injusta, procedería en forma automática a la reparación de los perjuicios, con grave lesión para el patrimonio del Estado, que es el común de todos los asociados”. </w:t>
      </w:r>
    </w:p>
    <w:p w14:paraId="58D73576" w14:textId="77777777" w:rsidR="00FA2ADB" w:rsidRPr="00FA2ADB" w:rsidRDefault="00FA2ADB" w:rsidP="00FA2ADB">
      <w:pPr>
        <w:jc w:val="both"/>
        <w:rPr>
          <w:rFonts w:ascii="Arial" w:hAnsi="Arial" w:cs="Arial"/>
          <w:lang w:val="es-ES"/>
        </w:rPr>
      </w:pPr>
    </w:p>
    <w:p w14:paraId="20B5C250" w14:textId="532AD46C" w:rsidR="00FA2ADB" w:rsidRDefault="00FA2ADB" w:rsidP="00FA2ADB">
      <w:pPr>
        <w:jc w:val="both"/>
        <w:rPr>
          <w:rFonts w:ascii="Arial" w:hAnsi="Arial" w:cs="Arial"/>
          <w:bCs/>
          <w:lang w:val="es-ES"/>
        </w:rPr>
      </w:pPr>
      <w:r w:rsidRPr="00FA2ADB">
        <w:rPr>
          <w:rFonts w:ascii="Arial" w:hAnsi="Arial" w:cs="Arial"/>
          <w:bCs/>
          <w:lang w:val="es-ES"/>
        </w:rPr>
        <w:lastRenderedPageBreak/>
        <w:t>Por otro lado, el artículo 71 de la citada Ley 270 de 1996, consagra la responsabilidad del funcionario y del empleado judicial, en caso de ser condenado el Estado a la reparación patrimonial por un daño antijurídico, como resultado de la conducta dolosa o gravemente culposa de un agente suyo, aquél deberá repetir contra éste.</w:t>
      </w:r>
    </w:p>
    <w:p w14:paraId="2D2403EF" w14:textId="77777777" w:rsidR="00FA2ADB" w:rsidRPr="00FA2ADB" w:rsidRDefault="00FA2ADB" w:rsidP="00FA2ADB">
      <w:pPr>
        <w:jc w:val="both"/>
        <w:rPr>
          <w:rFonts w:ascii="Arial" w:hAnsi="Arial" w:cs="Arial"/>
          <w:bCs/>
          <w:lang w:val="es-ES"/>
        </w:rPr>
      </w:pPr>
    </w:p>
    <w:p w14:paraId="77EC44D6" w14:textId="77777777" w:rsidR="00FA2ADB" w:rsidRPr="00FA2ADB" w:rsidRDefault="00FA2ADB" w:rsidP="00FA2ADB">
      <w:pPr>
        <w:jc w:val="both"/>
        <w:rPr>
          <w:rFonts w:ascii="Arial" w:hAnsi="Arial" w:cs="Arial"/>
          <w:lang w:val="es-ES"/>
        </w:rPr>
      </w:pPr>
      <w:r w:rsidRPr="00FA2ADB">
        <w:rPr>
          <w:rFonts w:ascii="Arial" w:hAnsi="Arial" w:cs="Arial"/>
          <w:lang w:val="es-ES"/>
        </w:rPr>
        <w:t>En ese orden, se presume que constituye culpa grave o dolo cualquiera de las siguientes conductas:</w:t>
      </w:r>
    </w:p>
    <w:p w14:paraId="77686121" w14:textId="77777777" w:rsidR="00FA2ADB" w:rsidRDefault="00FA2ADB" w:rsidP="00FA2ADB">
      <w:pPr>
        <w:jc w:val="both"/>
        <w:rPr>
          <w:rFonts w:ascii="Arial" w:hAnsi="Arial" w:cs="Arial"/>
          <w:b/>
          <w:lang w:val="es-ES"/>
        </w:rPr>
      </w:pPr>
    </w:p>
    <w:p w14:paraId="3E19B469" w14:textId="59B7B35A" w:rsidR="00FA2ADB" w:rsidRPr="00FA2ADB" w:rsidRDefault="00FA2ADB" w:rsidP="00FA2ADB">
      <w:pPr>
        <w:jc w:val="both"/>
        <w:rPr>
          <w:rFonts w:ascii="Arial" w:hAnsi="Arial" w:cs="Arial"/>
          <w:lang w:val="es-ES"/>
        </w:rPr>
      </w:pPr>
      <w:r w:rsidRPr="00FA2ADB">
        <w:rPr>
          <w:rFonts w:ascii="Arial" w:hAnsi="Arial" w:cs="Arial"/>
          <w:b/>
          <w:lang w:val="es-ES"/>
        </w:rPr>
        <w:lastRenderedPageBreak/>
        <w:t>1</w:t>
      </w:r>
      <w:r w:rsidRPr="00FA2ADB">
        <w:rPr>
          <w:rFonts w:ascii="Arial" w:hAnsi="Arial" w:cs="Arial"/>
          <w:lang w:val="es-ES"/>
        </w:rPr>
        <w:t>. La violación de normas de derecho sustancial o procesal, determinada por error inexcusable.</w:t>
      </w:r>
    </w:p>
    <w:p w14:paraId="7B2B04EB" w14:textId="77777777" w:rsidR="00FA2ADB" w:rsidRPr="00FA2ADB" w:rsidRDefault="00FA2ADB" w:rsidP="00FA2ADB">
      <w:pPr>
        <w:jc w:val="both"/>
        <w:rPr>
          <w:rFonts w:ascii="Arial" w:hAnsi="Arial" w:cs="Arial"/>
          <w:lang w:val="es-ES"/>
        </w:rPr>
      </w:pPr>
      <w:r w:rsidRPr="00FA2ADB">
        <w:rPr>
          <w:rFonts w:ascii="Arial" w:hAnsi="Arial" w:cs="Arial"/>
          <w:b/>
          <w:lang w:val="es-ES"/>
        </w:rPr>
        <w:t>2</w:t>
      </w:r>
      <w:r w:rsidRPr="00FA2ADB">
        <w:rPr>
          <w:rFonts w:ascii="Arial" w:hAnsi="Arial" w:cs="Arial"/>
          <w:lang w:val="es-ES"/>
        </w:rPr>
        <w:t>. El pronunciamiento de una decisión cualquiera, restrictiva de la libertad física de las personas, por fuera de los casos expresamente previstos en la ley o sin la debida motivación.</w:t>
      </w:r>
    </w:p>
    <w:p w14:paraId="3C68B756" w14:textId="77777777" w:rsidR="00FA2ADB" w:rsidRPr="00FA2ADB" w:rsidRDefault="00FA2ADB" w:rsidP="00FA2ADB">
      <w:pPr>
        <w:jc w:val="both"/>
        <w:rPr>
          <w:rFonts w:ascii="Arial" w:hAnsi="Arial" w:cs="Arial"/>
          <w:lang w:val="es-ES"/>
        </w:rPr>
      </w:pPr>
      <w:r w:rsidRPr="00FA2ADB">
        <w:rPr>
          <w:rFonts w:ascii="Arial" w:hAnsi="Arial" w:cs="Arial"/>
          <w:b/>
          <w:lang w:val="es-ES"/>
        </w:rPr>
        <w:t>3</w:t>
      </w:r>
      <w:r w:rsidRPr="00FA2ADB">
        <w:rPr>
          <w:rFonts w:ascii="Arial" w:hAnsi="Arial" w:cs="Arial"/>
          <w:lang w:val="es-ES"/>
        </w:rPr>
        <w:t xml:space="preserve">. La negativa arbitraria o el incumplimiento injustificado de los términos previstos por la ley procesal para el ejercicio de la función de administrar justicia o la realización de actos propios de su oficio, salvo que hubiere podido evitarse el perjuicio con el empleo de recurso </w:t>
      </w:r>
    </w:p>
    <w:p w14:paraId="4D40984C" w14:textId="77777777" w:rsidR="00FA2ADB" w:rsidRPr="0087776F" w:rsidRDefault="00FA2ADB" w:rsidP="0087776F">
      <w:pPr>
        <w:jc w:val="both"/>
        <w:rPr>
          <w:rFonts w:ascii="Arial" w:hAnsi="Arial" w:cs="Arial"/>
          <w:lang w:val="es-ES"/>
        </w:rPr>
      </w:pPr>
    </w:p>
    <w:p w14:paraId="321C4049" w14:textId="7A631C3B" w:rsidR="0087776F" w:rsidRDefault="0087776F" w:rsidP="0087776F">
      <w:pPr>
        <w:jc w:val="both"/>
        <w:rPr>
          <w:rFonts w:ascii="Arial" w:hAnsi="Arial" w:cs="Arial"/>
        </w:rPr>
      </w:pPr>
      <w:r w:rsidRPr="0087776F">
        <w:rPr>
          <w:rFonts w:ascii="Arial" w:hAnsi="Arial" w:cs="Arial"/>
        </w:rPr>
        <w:t xml:space="preserve">La titularidad de dicha acción se encuentra en cabeza del Estado, quien podrá formularla a través del representante legal de la entidad estatal condenada, conforme a lo previsto en el inciso segundo del artículo 72 de la Ley 270 de 1996. </w:t>
      </w:r>
    </w:p>
    <w:p w14:paraId="289DE535" w14:textId="77777777" w:rsidR="0087776F" w:rsidRPr="0087776F" w:rsidRDefault="0087776F" w:rsidP="0087776F">
      <w:pPr>
        <w:jc w:val="both"/>
        <w:rPr>
          <w:rFonts w:ascii="Arial" w:hAnsi="Arial" w:cs="Arial"/>
        </w:rPr>
      </w:pPr>
    </w:p>
    <w:p w14:paraId="286F53D6" w14:textId="67B3C817" w:rsidR="00FA2ADB" w:rsidRPr="0087776F" w:rsidRDefault="0087776F" w:rsidP="0087776F">
      <w:pPr>
        <w:jc w:val="both"/>
        <w:rPr>
          <w:rFonts w:ascii="Arial" w:hAnsi="Arial" w:cs="Arial"/>
        </w:rPr>
      </w:pPr>
      <w:r w:rsidRPr="0087776F">
        <w:rPr>
          <w:rFonts w:ascii="Arial" w:hAnsi="Arial" w:cs="Arial"/>
        </w:rPr>
        <w:t xml:space="preserve">En cuanto a la autoridad competente para juzgar los casos, tenemos que, frente a la acción de reparación directa por responsabilidad civil del Estado, cuando la cuantía de esta </w:t>
      </w:r>
      <w:r w:rsidRPr="0087776F">
        <w:rPr>
          <w:rFonts w:ascii="Arial" w:hAnsi="Arial" w:cs="Arial"/>
        </w:rPr>
        <w:lastRenderedPageBreak/>
        <w:t xml:space="preserve">no supere los 500 salarios mínimos legales mensuales vigentes, es de competencia de los juzgados administrativos en primera instancia; de ahí en adelante, la competencia corresponde a los tribunales administrativos. </w:t>
      </w:r>
    </w:p>
    <w:p w14:paraId="4BB1BEA9" w14:textId="4C6EE311" w:rsidR="0087776F" w:rsidRDefault="0087776F" w:rsidP="00600DC0">
      <w:pPr>
        <w:jc w:val="both"/>
        <w:rPr>
          <w:rFonts w:ascii="Arial" w:hAnsi="Arial" w:cs="Arial"/>
        </w:rPr>
      </w:pPr>
    </w:p>
    <w:p w14:paraId="54A7B97C" w14:textId="1C671AD4" w:rsidR="0087776F" w:rsidRDefault="0087776F" w:rsidP="0087776F">
      <w:pPr>
        <w:jc w:val="both"/>
        <w:rPr>
          <w:rFonts w:ascii="Arial" w:hAnsi="Arial" w:cs="Arial"/>
        </w:rPr>
      </w:pPr>
      <w:r w:rsidRPr="0087776F">
        <w:rPr>
          <w:rFonts w:ascii="Arial" w:hAnsi="Arial" w:cs="Arial"/>
        </w:rPr>
        <w:t xml:space="preserve">En la acción de repetición será competente el juez o tribunal que haya conocido la acción de reparación directa. </w:t>
      </w:r>
    </w:p>
    <w:p w14:paraId="3A7CF342" w14:textId="77777777" w:rsidR="0087776F" w:rsidRPr="0087776F" w:rsidRDefault="0087776F" w:rsidP="0087776F">
      <w:pPr>
        <w:jc w:val="both"/>
        <w:rPr>
          <w:rFonts w:ascii="Arial" w:hAnsi="Arial" w:cs="Arial"/>
        </w:rPr>
      </w:pPr>
    </w:p>
    <w:p w14:paraId="4183B066" w14:textId="668D0650" w:rsidR="0087776F" w:rsidRDefault="0087776F" w:rsidP="0087776F">
      <w:pPr>
        <w:jc w:val="both"/>
        <w:rPr>
          <w:rFonts w:ascii="Arial" w:hAnsi="Arial" w:cs="Arial"/>
        </w:rPr>
      </w:pPr>
      <w:r w:rsidRPr="0087776F">
        <w:rPr>
          <w:rFonts w:ascii="Arial" w:hAnsi="Arial" w:cs="Arial"/>
        </w:rPr>
        <w:t xml:space="preserve">Esta legislación fue posteriormente complementada por el Congreso de la República con la expedición de la Ley 678 </w:t>
      </w:r>
      <w:r w:rsidRPr="0087776F">
        <w:rPr>
          <w:rFonts w:ascii="Arial" w:hAnsi="Arial" w:cs="Arial"/>
        </w:rPr>
        <w:lastRenderedPageBreak/>
        <w:t xml:space="preserve">de 2.001 </w:t>
      </w:r>
      <w:r w:rsidRPr="0087776F">
        <w:rPr>
          <w:rFonts w:ascii="Arial" w:hAnsi="Arial" w:cs="Arial"/>
          <w:i/>
          <w:iCs/>
        </w:rPr>
        <w:t xml:space="preserve">“Por medio de la cual se reglamenta la determinación de responsabilidad patrimonial de los agentes del Estado a través del ejercicio de la acción de repetición o de llamamiento en garantía con fines de repetición”. </w:t>
      </w:r>
      <w:r w:rsidRPr="0087776F">
        <w:rPr>
          <w:rFonts w:ascii="Arial" w:hAnsi="Arial" w:cs="Arial"/>
        </w:rPr>
        <w:t xml:space="preserve">Esta Ley desarrolla de forma amplia el trámite de responsabilidad patrimonial: </w:t>
      </w:r>
    </w:p>
    <w:p w14:paraId="4B381503" w14:textId="77777777" w:rsidR="0087776F" w:rsidRPr="0087776F" w:rsidRDefault="0087776F" w:rsidP="0087776F">
      <w:pPr>
        <w:jc w:val="both"/>
        <w:rPr>
          <w:rFonts w:ascii="Arial" w:hAnsi="Arial" w:cs="Arial"/>
        </w:rPr>
      </w:pPr>
    </w:p>
    <w:p w14:paraId="1DDC74BC" w14:textId="5EB6C369" w:rsidR="0087776F" w:rsidRDefault="0087776F" w:rsidP="0087776F">
      <w:pPr>
        <w:numPr>
          <w:ilvl w:val="0"/>
          <w:numId w:val="7"/>
        </w:numPr>
        <w:jc w:val="both"/>
        <w:rPr>
          <w:rFonts w:ascii="Arial" w:hAnsi="Arial" w:cs="Arial"/>
        </w:rPr>
      </w:pPr>
      <w:r w:rsidRPr="0087776F">
        <w:rPr>
          <w:rFonts w:ascii="Arial" w:hAnsi="Arial" w:cs="Arial"/>
          <w:i/>
          <w:iCs/>
        </w:rPr>
        <w:t>Acción de repetición</w:t>
      </w:r>
      <w:r w:rsidRPr="0087776F">
        <w:rPr>
          <w:rFonts w:ascii="Arial" w:hAnsi="Arial" w:cs="Arial"/>
        </w:rPr>
        <w:t xml:space="preserve">: se trata de una acción civil de carácter patrimonial que el Estado colombiano debe ejercer contra sus agentes (servidores o exservidores), </w:t>
      </w:r>
      <w:r w:rsidRPr="0087776F">
        <w:rPr>
          <w:rFonts w:ascii="Arial" w:hAnsi="Arial" w:cs="Arial"/>
        </w:rPr>
        <w:lastRenderedPageBreak/>
        <w:t xml:space="preserve">que con su conducta hayan dado lugar a un reconocimiento indemnizatorio por parte del Estado, proveniente de una condena, conciliación y otra terminación del conflicto. Esta acción se ejerce también contra los funcionarios de la Rama Judicial (art. 2, parágrafo 3). </w:t>
      </w:r>
    </w:p>
    <w:p w14:paraId="247374B4" w14:textId="77777777" w:rsidR="006F2E4C" w:rsidRDefault="006F2E4C" w:rsidP="006F2E4C">
      <w:pPr>
        <w:ind w:left="720"/>
        <w:jc w:val="both"/>
        <w:rPr>
          <w:rFonts w:ascii="Arial" w:hAnsi="Arial" w:cs="Arial"/>
        </w:rPr>
      </w:pPr>
    </w:p>
    <w:p w14:paraId="1B7AE4D9" w14:textId="7F3B1742" w:rsidR="0087776F" w:rsidRDefault="0087776F" w:rsidP="0087776F">
      <w:pPr>
        <w:ind w:left="720"/>
        <w:jc w:val="both"/>
        <w:rPr>
          <w:rFonts w:ascii="Arial" w:hAnsi="Arial" w:cs="Arial"/>
        </w:rPr>
      </w:pPr>
      <w:r w:rsidRPr="0087776F">
        <w:rPr>
          <w:rFonts w:ascii="Arial" w:hAnsi="Arial" w:cs="Arial"/>
        </w:rPr>
        <w:t xml:space="preserve">Esto supone que, el ciudadano o usuario afectado por el defectuoso funcionamiento de la administración de justicia, debe demandar judicialmente al Estado colombiano por los hechos que correspondan, de modo que, en el </w:t>
      </w:r>
      <w:r w:rsidRPr="0087776F">
        <w:rPr>
          <w:rFonts w:ascii="Arial" w:hAnsi="Arial" w:cs="Arial"/>
        </w:rPr>
        <w:lastRenderedPageBreak/>
        <w:t xml:space="preserve">evento de resultar condenado, es el Estado quien inicialmente responde o paga la indemnización respectiva. Posteriormente, el Estado tiene el deber de ejercer la acción de repetición (recobro) contra el funcionario judicial que dio origen al daño. </w:t>
      </w:r>
    </w:p>
    <w:p w14:paraId="18F8494C" w14:textId="77777777" w:rsidR="0087776F" w:rsidRPr="0087776F" w:rsidRDefault="0087776F" w:rsidP="0087776F">
      <w:pPr>
        <w:ind w:left="720"/>
        <w:jc w:val="both"/>
        <w:rPr>
          <w:rFonts w:ascii="Arial" w:hAnsi="Arial" w:cs="Arial"/>
        </w:rPr>
      </w:pPr>
    </w:p>
    <w:p w14:paraId="17897E7D" w14:textId="7C50E3E5" w:rsidR="0087776F" w:rsidRDefault="0087776F" w:rsidP="0087776F">
      <w:pPr>
        <w:pStyle w:val="ListParagraph"/>
        <w:numPr>
          <w:ilvl w:val="0"/>
          <w:numId w:val="7"/>
        </w:numPr>
        <w:jc w:val="both"/>
        <w:rPr>
          <w:rFonts w:ascii="Arial" w:hAnsi="Arial" w:cs="Arial"/>
        </w:rPr>
      </w:pPr>
      <w:r w:rsidRPr="0087776F">
        <w:rPr>
          <w:rFonts w:ascii="Arial" w:hAnsi="Arial" w:cs="Arial"/>
          <w:i/>
          <w:iCs/>
        </w:rPr>
        <w:t>Llamamiento en garantía</w:t>
      </w:r>
      <w:r w:rsidRPr="0087776F">
        <w:rPr>
          <w:rFonts w:ascii="Arial" w:hAnsi="Arial" w:cs="Arial"/>
        </w:rPr>
        <w:t xml:space="preserve">: en el tramite de los procesos judiciales que se instauran contra el Estado colombiano persiguiendo indemnizaciones, el Estado puede ejercer como estrategia de defensa, el llamado en garantía de </w:t>
      </w:r>
      <w:r w:rsidRPr="0087776F">
        <w:rPr>
          <w:rFonts w:ascii="Arial" w:hAnsi="Arial" w:cs="Arial"/>
        </w:rPr>
        <w:lastRenderedPageBreak/>
        <w:t xml:space="preserve">los servidores -en este caso Jueces de la República- respecto de los cuales exista prueba sumaria de responsabilidad con dolo o culpa grave, frente al hecho reparable (artículo 19). </w:t>
      </w:r>
    </w:p>
    <w:p w14:paraId="4643C579" w14:textId="77777777" w:rsidR="006F2E4C" w:rsidRDefault="006F2E4C" w:rsidP="006F2E4C">
      <w:pPr>
        <w:pStyle w:val="ListParagraph"/>
        <w:jc w:val="both"/>
        <w:rPr>
          <w:rFonts w:ascii="Arial" w:hAnsi="Arial" w:cs="Arial"/>
        </w:rPr>
      </w:pPr>
    </w:p>
    <w:p w14:paraId="1C89EEA6" w14:textId="35F51DEB" w:rsidR="0087776F" w:rsidRPr="0087776F" w:rsidRDefault="0087776F" w:rsidP="0087776F">
      <w:pPr>
        <w:pStyle w:val="ListParagraph"/>
        <w:jc w:val="both"/>
        <w:rPr>
          <w:rFonts w:ascii="Arial" w:hAnsi="Arial" w:cs="Arial"/>
        </w:rPr>
      </w:pPr>
      <w:r w:rsidRPr="0087776F">
        <w:rPr>
          <w:rFonts w:ascii="Arial" w:hAnsi="Arial" w:cs="Arial"/>
        </w:rPr>
        <w:t xml:space="preserve">Esta posibilidad permite que, en el mismo proceso en el que se resuelve la responsabilidad del Estado, se resuelva la responsabilidad del servidor público, sin necesidad de trámite posterior. </w:t>
      </w:r>
    </w:p>
    <w:p w14:paraId="223D73BB" w14:textId="77777777" w:rsidR="0087776F" w:rsidRDefault="0087776F" w:rsidP="0087776F">
      <w:pPr>
        <w:jc w:val="both"/>
        <w:rPr>
          <w:rFonts w:ascii="Arial" w:hAnsi="Arial" w:cs="Arial"/>
        </w:rPr>
      </w:pPr>
    </w:p>
    <w:p w14:paraId="72950788" w14:textId="771008B9" w:rsidR="0087776F" w:rsidRDefault="0087776F" w:rsidP="0087776F">
      <w:pPr>
        <w:jc w:val="both"/>
        <w:rPr>
          <w:rFonts w:ascii="Arial" w:hAnsi="Arial" w:cs="Arial"/>
        </w:rPr>
      </w:pPr>
      <w:r w:rsidRPr="0087776F">
        <w:rPr>
          <w:rFonts w:ascii="Arial" w:hAnsi="Arial" w:cs="Arial"/>
        </w:rPr>
        <w:lastRenderedPageBreak/>
        <w:t xml:space="preserve">Entonces, puede decirse que, el ordenamiento jurídico colombiano tiene un esquema en el cual es el Estado quien responde patrimonialmente frente a los usuarios. Posteriormente, el Estado recobra los dineros que haya tenido que pagar, ejerciendo la acción de repetición o el llamamiento en garantía contra el servidor público (Jueces de la República en este caso). </w:t>
      </w:r>
    </w:p>
    <w:p w14:paraId="3D2B9067" w14:textId="4B4F882C" w:rsidR="00FA2ADB" w:rsidRDefault="00FA2ADB" w:rsidP="0087776F">
      <w:pPr>
        <w:jc w:val="both"/>
        <w:rPr>
          <w:rFonts w:ascii="Arial" w:hAnsi="Arial" w:cs="Arial"/>
        </w:rPr>
      </w:pPr>
    </w:p>
    <w:p w14:paraId="4AEBE040" w14:textId="6965875F" w:rsidR="00FA2ADB" w:rsidRPr="00FA2ADB" w:rsidRDefault="00FA2ADB" w:rsidP="00FA2ADB">
      <w:pPr>
        <w:jc w:val="both"/>
        <w:rPr>
          <w:rFonts w:ascii="Arial" w:hAnsi="Arial" w:cs="Arial"/>
          <w:lang w:val="es-ES"/>
        </w:rPr>
      </w:pPr>
      <w:r>
        <w:rPr>
          <w:rFonts w:ascii="Arial" w:hAnsi="Arial" w:cs="Arial"/>
          <w:lang w:val="es-ES"/>
        </w:rPr>
        <w:t>Respecto a la pregunta sobre quién puede presentar la queja, cabe aclarar que, e</w:t>
      </w:r>
      <w:r w:rsidRPr="00FA2ADB">
        <w:rPr>
          <w:rFonts w:ascii="Arial" w:hAnsi="Arial" w:cs="Arial"/>
          <w:lang w:val="es-ES"/>
        </w:rPr>
        <w:t xml:space="preserve">n los términos del artículo 90 de la Constitución Política de Colombia, la persona interesada </w:t>
      </w:r>
      <w:r w:rsidRPr="00FA2ADB">
        <w:rPr>
          <w:rFonts w:ascii="Arial" w:hAnsi="Arial" w:cs="Arial"/>
          <w:lang w:val="es-ES"/>
        </w:rPr>
        <w:lastRenderedPageBreak/>
        <w:t>podrá demandar directamente la reparación del daño antijurídico producido por la acción u omisión de los agentes del Estado.</w:t>
      </w:r>
    </w:p>
    <w:p w14:paraId="5606DDD3" w14:textId="77777777" w:rsidR="00FA2ADB" w:rsidRPr="00FA2ADB" w:rsidRDefault="00FA2ADB" w:rsidP="00FA2ADB">
      <w:pPr>
        <w:jc w:val="both"/>
        <w:rPr>
          <w:rFonts w:ascii="Arial" w:hAnsi="Arial" w:cs="Arial"/>
          <w:lang w:val="es-ES"/>
        </w:rPr>
      </w:pPr>
    </w:p>
    <w:p w14:paraId="4527E822" w14:textId="30FB8168" w:rsidR="00FA2ADB" w:rsidRPr="006F2E4C" w:rsidRDefault="00FA2ADB" w:rsidP="00FA2ADB">
      <w:pPr>
        <w:jc w:val="both"/>
        <w:rPr>
          <w:rFonts w:ascii="Arial" w:hAnsi="Arial" w:cs="Arial"/>
        </w:rPr>
      </w:pPr>
      <w:r w:rsidRPr="00FA2ADB">
        <w:rPr>
          <w:rFonts w:ascii="Arial" w:hAnsi="Arial" w:cs="Arial"/>
          <w:lang w:val="es-ES"/>
        </w:rPr>
        <w:t>De igual modo, el artículo 92 de la Carta, habilita el deber de cualquier persona natural o jurídica para solicitar de la autoridad competente la aplicación de las sanciones penales o disciplinarias derivadas de la conducta de las autoridades públicas</w:t>
      </w:r>
      <w:r w:rsidR="006F2E4C" w:rsidRPr="006F2E4C">
        <w:rPr>
          <w:rFonts w:ascii="Arial" w:hAnsi="Arial" w:cs="Arial"/>
        </w:rPr>
        <w:t>.</w:t>
      </w:r>
    </w:p>
    <w:p w14:paraId="31688AC8" w14:textId="77777777" w:rsidR="00FA2ADB" w:rsidRDefault="00FA2ADB" w:rsidP="0087776F">
      <w:pPr>
        <w:jc w:val="both"/>
        <w:rPr>
          <w:rFonts w:ascii="Arial" w:hAnsi="Arial" w:cs="Arial"/>
        </w:rPr>
      </w:pPr>
    </w:p>
    <w:p w14:paraId="11FFA842" w14:textId="77777777" w:rsidR="0087776F" w:rsidRPr="0087776F" w:rsidRDefault="0087776F" w:rsidP="0087776F">
      <w:pPr>
        <w:jc w:val="both"/>
        <w:rPr>
          <w:rFonts w:ascii="Arial" w:hAnsi="Arial" w:cs="Arial"/>
        </w:rPr>
      </w:pPr>
    </w:p>
    <w:p w14:paraId="5A4ED335" w14:textId="77777777" w:rsidR="0087776F" w:rsidRPr="0087776F" w:rsidRDefault="0087776F" w:rsidP="0087776F">
      <w:pPr>
        <w:jc w:val="both"/>
        <w:rPr>
          <w:rFonts w:ascii="Arial" w:hAnsi="Arial" w:cs="Arial"/>
          <w:b/>
          <w:bCs/>
        </w:rPr>
      </w:pPr>
      <w:r w:rsidRPr="0087776F">
        <w:rPr>
          <w:rFonts w:ascii="Arial" w:hAnsi="Arial" w:cs="Arial"/>
          <w:b/>
          <w:bCs/>
        </w:rPr>
        <w:lastRenderedPageBreak/>
        <w:t xml:space="preserve">Responsabilidad penal: </w:t>
      </w:r>
    </w:p>
    <w:p w14:paraId="079F3E60" w14:textId="77777777" w:rsidR="0087776F" w:rsidRDefault="0087776F" w:rsidP="0087776F">
      <w:pPr>
        <w:jc w:val="both"/>
        <w:rPr>
          <w:rFonts w:ascii="Arial" w:hAnsi="Arial" w:cs="Arial"/>
        </w:rPr>
      </w:pPr>
    </w:p>
    <w:p w14:paraId="1D097A30" w14:textId="17E6AD9E" w:rsidR="0087776F" w:rsidRPr="0087776F" w:rsidRDefault="0087776F" w:rsidP="0087776F">
      <w:pPr>
        <w:jc w:val="both"/>
        <w:rPr>
          <w:rFonts w:ascii="Arial" w:hAnsi="Arial" w:cs="Arial"/>
        </w:rPr>
      </w:pPr>
      <w:r w:rsidRPr="0087776F">
        <w:rPr>
          <w:rFonts w:ascii="Arial" w:hAnsi="Arial" w:cs="Arial"/>
        </w:rPr>
        <w:t xml:space="preserve">Sumado a lo anterior (responsabilidades disciplinaria y patrimonial), el ordenamiento jurídico colombiano cuenta con un catalogo de delitos penales previsto en la Ley 599 de 2000, de manera que, en el evento de que los Jueces de la República incurran en alguno de los tipos o delitos expresamente previstos podrá ser juzgado y condenado conforme a las ritualidades señaladas en el código de procedimiento penal (Ley 906 de 2004). </w:t>
      </w:r>
    </w:p>
    <w:p w14:paraId="5509E196" w14:textId="5B032924" w:rsidR="0087776F" w:rsidRDefault="0087776F" w:rsidP="00600DC0">
      <w:pPr>
        <w:jc w:val="both"/>
        <w:rPr>
          <w:rFonts w:ascii="Arial" w:hAnsi="Arial" w:cs="Arial"/>
        </w:rPr>
      </w:pPr>
    </w:p>
    <w:p w14:paraId="4699AC92" w14:textId="77777777" w:rsidR="0087776F" w:rsidRDefault="0087776F" w:rsidP="0087776F">
      <w:pPr>
        <w:jc w:val="both"/>
        <w:rPr>
          <w:rFonts w:ascii="Arial" w:hAnsi="Arial" w:cs="Arial"/>
        </w:rPr>
      </w:pPr>
      <w:r w:rsidRPr="0087776F">
        <w:rPr>
          <w:rFonts w:ascii="Arial" w:hAnsi="Arial" w:cs="Arial"/>
        </w:rPr>
        <w:lastRenderedPageBreak/>
        <w:t>La Ley 599 de 2000, tipifica delitos contra la administración pública, en los cuales el sujeto activo es un servidor público, entre los cuales se resaltan los siguientes:</w:t>
      </w:r>
    </w:p>
    <w:p w14:paraId="163EF762" w14:textId="7C4A39D5" w:rsidR="0087776F" w:rsidRPr="0087776F" w:rsidRDefault="0087776F" w:rsidP="0087776F">
      <w:pPr>
        <w:jc w:val="both"/>
        <w:rPr>
          <w:rFonts w:ascii="Arial" w:hAnsi="Arial" w:cs="Arial"/>
        </w:rPr>
      </w:pPr>
      <w:r w:rsidRPr="0087776F">
        <w:rPr>
          <w:rFonts w:ascii="Arial" w:hAnsi="Arial" w:cs="Arial"/>
        </w:rPr>
        <w:t xml:space="preserve"> </w:t>
      </w:r>
    </w:p>
    <w:p w14:paraId="08A52B6B" w14:textId="77777777" w:rsidR="0087776F" w:rsidRPr="0087776F" w:rsidRDefault="0087776F" w:rsidP="0087776F">
      <w:pPr>
        <w:rPr>
          <w:rFonts w:ascii="Arial" w:hAnsi="Arial" w:cs="Arial"/>
        </w:rPr>
      </w:pPr>
      <w:r w:rsidRPr="0087776F">
        <w:rPr>
          <w:rFonts w:ascii="Arial" w:hAnsi="Arial" w:cs="Arial"/>
        </w:rPr>
        <w:t>Artículo 340. Concierto para delinquir.</w:t>
      </w:r>
      <w:r w:rsidRPr="0087776F">
        <w:rPr>
          <w:rFonts w:ascii="Arial" w:hAnsi="Arial" w:cs="Arial"/>
        </w:rPr>
        <w:br/>
        <w:t>Artículo 397. Peculado por apropiación.</w:t>
      </w:r>
      <w:r w:rsidRPr="0087776F">
        <w:rPr>
          <w:rFonts w:ascii="Arial" w:hAnsi="Arial" w:cs="Arial"/>
        </w:rPr>
        <w:br/>
        <w:t>Artículo 398. Peculado por uso.</w:t>
      </w:r>
      <w:r w:rsidRPr="0087776F">
        <w:rPr>
          <w:rFonts w:ascii="Arial" w:hAnsi="Arial" w:cs="Arial"/>
        </w:rPr>
        <w:br/>
        <w:t>Artículo 399. Peculado por aplicación oficial diferente.</w:t>
      </w:r>
      <w:r w:rsidRPr="0087776F">
        <w:rPr>
          <w:rFonts w:ascii="Arial" w:hAnsi="Arial" w:cs="Arial"/>
        </w:rPr>
        <w:br/>
        <w:t xml:space="preserve">Artículo 399-a. Peculado por aplicación oficial diferente frente a recursos de la seguridad social. </w:t>
      </w:r>
    </w:p>
    <w:p w14:paraId="437F5FEB" w14:textId="77777777" w:rsidR="0087776F" w:rsidRPr="0087776F" w:rsidRDefault="0087776F" w:rsidP="0087776F">
      <w:pPr>
        <w:rPr>
          <w:rFonts w:ascii="Arial" w:hAnsi="Arial" w:cs="Arial"/>
        </w:rPr>
      </w:pPr>
      <w:r w:rsidRPr="0087776F">
        <w:rPr>
          <w:rFonts w:ascii="Arial" w:hAnsi="Arial" w:cs="Arial"/>
        </w:rPr>
        <w:lastRenderedPageBreak/>
        <w:t>Artículo 400. Peculado culposo.</w:t>
      </w:r>
      <w:r w:rsidRPr="0087776F">
        <w:rPr>
          <w:rFonts w:ascii="Arial" w:hAnsi="Arial" w:cs="Arial"/>
        </w:rPr>
        <w:br/>
        <w:t>Artículo 400a. Peculado culposo frente a recursos de la seguridad social integral. Artículo 403. Destino de recursos del tesoro para el estímulo o beneficio indebido de explotadores y comerciantes de metales preciosos.</w:t>
      </w:r>
      <w:r w:rsidRPr="0087776F">
        <w:rPr>
          <w:rFonts w:ascii="Arial" w:hAnsi="Arial" w:cs="Arial"/>
        </w:rPr>
        <w:br/>
        <w:t>Artículo 404. Concusión.</w:t>
      </w:r>
      <w:r w:rsidRPr="0087776F">
        <w:rPr>
          <w:rFonts w:ascii="Arial" w:hAnsi="Arial" w:cs="Arial"/>
        </w:rPr>
        <w:br/>
        <w:t>Artículo 405. Cohecho propio.</w:t>
      </w:r>
      <w:r w:rsidRPr="0087776F">
        <w:rPr>
          <w:rFonts w:ascii="Arial" w:hAnsi="Arial" w:cs="Arial"/>
        </w:rPr>
        <w:br/>
        <w:t>Artículo 406. Cohecho impropio.</w:t>
      </w:r>
      <w:r w:rsidRPr="0087776F">
        <w:rPr>
          <w:rFonts w:ascii="Arial" w:hAnsi="Arial" w:cs="Arial"/>
        </w:rPr>
        <w:br/>
        <w:t>De la celebración indebida de contratos</w:t>
      </w:r>
      <w:r w:rsidRPr="0087776F">
        <w:rPr>
          <w:rFonts w:ascii="Arial" w:hAnsi="Arial" w:cs="Arial"/>
        </w:rPr>
        <w:br/>
        <w:t>Artículo 408. Violación del régimen legal o constitucional de inhabilidades e incompatibilidades.</w:t>
      </w:r>
      <w:r w:rsidRPr="0087776F">
        <w:rPr>
          <w:rFonts w:ascii="Arial" w:hAnsi="Arial" w:cs="Arial"/>
        </w:rPr>
        <w:br/>
      </w:r>
      <w:r w:rsidRPr="0087776F">
        <w:rPr>
          <w:rFonts w:ascii="Arial" w:hAnsi="Arial" w:cs="Arial"/>
        </w:rPr>
        <w:lastRenderedPageBreak/>
        <w:t>Artículo 410. Contrato sin cumplimiento de requisitos legales. &gt;</w:t>
      </w:r>
      <w:r w:rsidRPr="0087776F">
        <w:rPr>
          <w:rFonts w:ascii="Arial" w:hAnsi="Arial" w:cs="Arial"/>
        </w:rPr>
        <w:br/>
        <w:t>Artículo 411. Tráfico de influencias de servidor público.</w:t>
      </w:r>
      <w:r w:rsidRPr="0087776F">
        <w:rPr>
          <w:rFonts w:ascii="Arial" w:hAnsi="Arial" w:cs="Arial"/>
        </w:rPr>
        <w:br/>
        <w:t>Artículo 412. Enriquecimiento ilícito.</w:t>
      </w:r>
      <w:r w:rsidRPr="0087776F">
        <w:rPr>
          <w:rFonts w:ascii="Arial" w:hAnsi="Arial" w:cs="Arial"/>
        </w:rPr>
        <w:br/>
        <w:t>Artículo 413. Prevaricato por acción.</w:t>
      </w:r>
      <w:r w:rsidRPr="0087776F">
        <w:rPr>
          <w:rFonts w:ascii="Arial" w:hAnsi="Arial" w:cs="Arial"/>
        </w:rPr>
        <w:br/>
        <w:t>Artículo 414. Prevaricato por omisión.</w:t>
      </w:r>
      <w:r w:rsidRPr="0087776F">
        <w:rPr>
          <w:rFonts w:ascii="Arial" w:hAnsi="Arial" w:cs="Arial"/>
        </w:rPr>
        <w:br/>
        <w:t>Artículo 416. Abuso de autoridad por acto arbitrario e injusto.</w:t>
      </w:r>
      <w:r w:rsidRPr="0087776F">
        <w:rPr>
          <w:rFonts w:ascii="Arial" w:hAnsi="Arial" w:cs="Arial"/>
        </w:rPr>
        <w:br/>
        <w:t>Artículo 417. Abuso de autoridad por omisión de denuncia.</w:t>
      </w:r>
      <w:r w:rsidRPr="0087776F">
        <w:rPr>
          <w:rFonts w:ascii="Arial" w:hAnsi="Arial" w:cs="Arial"/>
        </w:rPr>
        <w:br/>
        <w:t>Artículo 418. Revelación de secreto</w:t>
      </w:r>
      <w:r w:rsidRPr="0087776F">
        <w:rPr>
          <w:rFonts w:ascii="Arial" w:hAnsi="Arial" w:cs="Arial"/>
        </w:rPr>
        <w:br/>
        <w:t xml:space="preserve">Artículo 419. utilización de asunto sometido a secreto o </w:t>
      </w:r>
      <w:r w:rsidRPr="0087776F">
        <w:rPr>
          <w:rFonts w:ascii="Arial" w:hAnsi="Arial" w:cs="Arial"/>
        </w:rPr>
        <w:lastRenderedPageBreak/>
        <w:t>reserva.</w:t>
      </w:r>
      <w:r w:rsidRPr="0087776F">
        <w:rPr>
          <w:rFonts w:ascii="Arial" w:hAnsi="Arial" w:cs="Arial"/>
        </w:rPr>
        <w:br/>
        <w:t>Artículo 420. Utilización indebida de información oficial privilegiada.</w:t>
      </w:r>
      <w:r w:rsidRPr="0087776F">
        <w:rPr>
          <w:rFonts w:ascii="Arial" w:hAnsi="Arial" w:cs="Arial"/>
        </w:rPr>
        <w:br/>
        <w:t>Artículo 421. Asesoramiento y otras actuaciones ilegales</w:t>
      </w:r>
      <w:r w:rsidRPr="0087776F">
        <w:rPr>
          <w:rFonts w:ascii="Arial" w:hAnsi="Arial" w:cs="Arial"/>
        </w:rPr>
        <w:br/>
        <w:t>Artículo 422. Intervención en política.</w:t>
      </w:r>
      <w:r w:rsidRPr="0087776F">
        <w:rPr>
          <w:rFonts w:ascii="Arial" w:hAnsi="Arial" w:cs="Arial"/>
        </w:rPr>
        <w:br/>
        <w:t xml:space="preserve">Artículo 423. Empleo ilegal de la fuerza pública. </w:t>
      </w:r>
    </w:p>
    <w:p w14:paraId="5431B13D" w14:textId="77777777" w:rsidR="0087776F" w:rsidRDefault="0087776F" w:rsidP="0087776F">
      <w:pPr>
        <w:jc w:val="both"/>
        <w:rPr>
          <w:rFonts w:ascii="Arial" w:hAnsi="Arial" w:cs="Arial"/>
        </w:rPr>
      </w:pPr>
    </w:p>
    <w:p w14:paraId="088F8F1E" w14:textId="107E3130" w:rsidR="0087776F" w:rsidRPr="0087776F" w:rsidRDefault="0087776F" w:rsidP="0087776F">
      <w:pPr>
        <w:jc w:val="both"/>
        <w:rPr>
          <w:rFonts w:ascii="Arial" w:hAnsi="Arial" w:cs="Arial"/>
        </w:rPr>
      </w:pPr>
      <w:r w:rsidRPr="0087776F">
        <w:rPr>
          <w:rFonts w:ascii="Arial" w:hAnsi="Arial" w:cs="Arial"/>
        </w:rPr>
        <w:t xml:space="preserve">De otro lado, en concordancia con lo establecido en el artículo 67 de la Ley 906 de 2004 Código de Procedimiento Penal, toda persona tiene el deber de denunciar a la autoridad los delitos de cuya comisión tenga conocimiento y que </w:t>
      </w:r>
      <w:r w:rsidRPr="0087776F">
        <w:rPr>
          <w:rFonts w:ascii="Arial" w:hAnsi="Arial" w:cs="Arial"/>
        </w:rPr>
        <w:lastRenderedPageBreak/>
        <w:t xml:space="preserve">deban investigarse de oficio, excepto en los casos señalados en el artículo 68 de dicha normativa, estos son, cuando la denuncia sea contra sí mismo, contra su cónyuge, compañero o compañera permanente o contra sus parientes dentro del cuarto grado de consanguinidad o civil, o segundo de afinidad, ni cuando medie el secreto profesional. </w:t>
      </w:r>
    </w:p>
    <w:p w14:paraId="104F4696" w14:textId="77777777" w:rsidR="0087776F" w:rsidRDefault="0087776F" w:rsidP="0087776F">
      <w:pPr>
        <w:jc w:val="both"/>
        <w:rPr>
          <w:rFonts w:ascii="Arial" w:hAnsi="Arial" w:cs="Arial"/>
        </w:rPr>
      </w:pPr>
    </w:p>
    <w:p w14:paraId="06723616" w14:textId="116950D9" w:rsidR="0087776F" w:rsidRPr="0087776F" w:rsidRDefault="0087776F" w:rsidP="0087776F">
      <w:pPr>
        <w:jc w:val="both"/>
        <w:rPr>
          <w:rFonts w:ascii="Arial" w:hAnsi="Arial" w:cs="Arial"/>
        </w:rPr>
      </w:pPr>
      <w:r w:rsidRPr="0087776F">
        <w:rPr>
          <w:rFonts w:ascii="Arial" w:hAnsi="Arial" w:cs="Arial"/>
        </w:rPr>
        <w:t>Asimismo, respecto de la autoridad competente para investigar las conductas con implicaciones penales, el artículo 66 de la precita ley, establece que la titularidad y obligato</w:t>
      </w:r>
      <w:r w:rsidRPr="0087776F">
        <w:rPr>
          <w:rFonts w:ascii="Arial" w:hAnsi="Arial" w:cs="Arial"/>
        </w:rPr>
        <w:lastRenderedPageBreak/>
        <w:t xml:space="preserve">riedad del ejercicio de la acción penal se encuentra en cabeza del Estado, a través de la Fiscalía General de la Nación. </w:t>
      </w:r>
    </w:p>
    <w:p w14:paraId="4214226B" w14:textId="77777777" w:rsidR="0087776F" w:rsidRDefault="0087776F" w:rsidP="0087776F">
      <w:pPr>
        <w:jc w:val="both"/>
        <w:rPr>
          <w:rFonts w:ascii="Arial" w:hAnsi="Arial" w:cs="Arial"/>
        </w:rPr>
      </w:pPr>
    </w:p>
    <w:p w14:paraId="6691A8B5" w14:textId="77072984" w:rsidR="0087776F" w:rsidRDefault="0087776F" w:rsidP="0087776F">
      <w:pPr>
        <w:jc w:val="both"/>
        <w:rPr>
          <w:rFonts w:ascii="Arial" w:hAnsi="Arial" w:cs="Arial"/>
        </w:rPr>
      </w:pPr>
      <w:r w:rsidRPr="0087776F">
        <w:rPr>
          <w:rFonts w:ascii="Arial" w:hAnsi="Arial" w:cs="Arial"/>
        </w:rPr>
        <w:t xml:space="preserve">Respecto de la autoridad que conoce del juzgamiento y sanción las conductas punibles desarrolladas por jueces y magistrados como servidores públicos, tenemos que la Ley 906 de 2004, establece la competencia en los jueces penales del circuito. </w:t>
      </w:r>
    </w:p>
    <w:p w14:paraId="68D09D45" w14:textId="262E44B2" w:rsidR="00FA2ADB" w:rsidRDefault="00FA2ADB" w:rsidP="0087776F">
      <w:pPr>
        <w:jc w:val="both"/>
        <w:rPr>
          <w:rFonts w:ascii="Arial" w:hAnsi="Arial" w:cs="Arial"/>
        </w:rPr>
      </w:pPr>
    </w:p>
    <w:p w14:paraId="7E1C579E" w14:textId="48B049F2" w:rsidR="00FA2ADB" w:rsidRDefault="00FA2ADB" w:rsidP="00FA2ADB">
      <w:pPr>
        <w:jc w:val="both"/>
        <w:rPr>
          <w:rFonts w:ascii="Arial" w:hAnsi="Arial" w:cs="Arial"/>
          <w:lang w:val="es-ES"/>
        </w:rPr>
      </w:pPr>
      <w:r w:rsidRPr="00FA2ADB">
        <w:rPr>
          <w:rFonts w:ascii="Arial" w:hAnsi="Arial" w:cs="Arial"/>
          <w:lang w:val="en-US"/>
        </w:rPr>
        <w:lastRenderedPageBreak/>
        <w:t>Adicionalmente cabe anotar que</w:t>
      </w:r>
      <w:r w:rsidR="00FE4A9E">
        <w:rPr>
          <w:rFonts w:ascii="Arial" w:hAnsi="Arial" w:cs="Arial"/>
          <w:lang w:val="en-US"/>
        </w:rPr>
        <w:t>,</w:t>
      </w:r>
      <w:r w:rsidRPr="00FA2ADB">
        <w:rPr>
          <w:rFonts w:ascii="Arial" w:hAnsi="Arial" w:cs="Arial"/>
          <w:lang w:val="en-US"/>
        </w:rPr>
        <w:t xml:space="preserve"> </w:t>
      </w:r>
      <w:r w:rsidR="00FE4A9E">
        <w:rPr>
          <w:rFonts w:ascii="Arial" w:hAnsi="Arial" w:cs="Arial"/>
          <w:lang w:val="es-ES"/>
        </w:rPr>
        <w:t>e</w:t>
      </w:r>
      <w:r w:rsidRPr="00FA2ADB">
        <w:rPr>
          <w:rFonts w:ascii="Arial" w:hAnsi="Arial" w:cs="Arial"/>
          <w:lang w:val="es-ES"/>
        </w:rPr>
        <w:t>l Código Penal Colombiano (Ley 599 de 2000) contiene los siguientes delitos contra la administración pública:</w:t>
      </w:r>
    </w:p>
    <w:p w14:paraId="31002181" w14:textId="77777777" w:rsidR="00FA2ADB" w:rsidRPr="00FA2ADB" w:rsidRDefault="00FA2ADB" w:rsidP="00FA2ADB">
      <w:pPr>
        <w:jc w:val="both"/>
        <w:rPr>
          <w:rFonts w:ascii="Arial" w:hAnsi="Arial" w:cs="Arial"/>
          <w:lang w:val="es-ES"/>
        </w:rPr>
      </w:pPr>
    </w:p>
    <w:p w14:paraId="205A4F7F" w14:textId="77777777" w:rsidR="00FA2ADB" w:rsidRPr="00FA2ADB" w:rsidRDefault="00FA2ADB" w:rsidP="00FA2ADB">
      <w:pPr>
        <w:numPr>
          <w:ilvl w:val="0"/>
          <w:numId w:val="11"/>
        </w:numPr>
        <w:jc w:val="both"/>
        <w:rPr>
          <w:rFonts w:ascii="Arial" w:hAnsi="Arial" w:cs="Arial"/>
          <w:lang w:val="es-CO"/>
        </w:rPr>
      </w:pPr>
      <w:r w:rsidRPr="00FA2ADB">
        <w:rPr>
          <w:rFonts w:ascii="Arial" w:hAnsi="Arial" w:cs="Arial"/>
          <w:lang w:val="es-CO"/>
        </w:rPr>
        <w:t>Concusión. (Artículo 404). “</w:t>
      </w:r>
      <w:r w:rsidRPr="00FA2ADB">
        <w:rPr>
          <w:rFonts w:ascii="Arial" w:hAnsi="Arial" w:cs="Arial"/>
          <w:i/>
          <w:lang w:val="es-CO"/>
        </w:rPr>
        <w:t xml:space="preserve">El servidor público que reciba para sí o para otro, dinero u otra utilidad, o acepte promesa remuneratoria, directa o indirectamente, para retardar u omitir un acto propio de su cargo, o para ejecutar uno contrario a sus deberes oficiales, incurrirá en prisión de ochenta (80) a ciento cuarenta y cuatro (144) meses, multa de sesenta y seis punto sesenta y seis </w:t>
      </w:r>
      <w:r w:rsidRPr="00FA2ADB">
        <w:rPr>
          <w:rFonts w:ascii="Arial" w:hAnsi="Arial" w:cs="Arial"/>
          <w:i/>
          <w:lang w:val="es-CO"/>
        </w:rPr>
        <w:lastRenderedPageBreak/>
        <w:t>(66.66) a ciento cincuenta (150) salarios mínimos legales mensuales vigentes, e inhabilitación para el ejercicio de derechos y funciones públicas de ochenta (80) a ciento cuarenta y cuatro (144) meses”</w:t>
      </w:r>
      <w:r w:rsidRPr="00FA2ADB">
        <w:rPr>
          <w:rFonts w:ascii="Arial" w:hAnsi="Arial" w:cs="Arial"/>
          <w:lang w:val="es-CO"/>
        </w:rPr>
        <w:t>.</w:t>
      </w:r>
    </w:p>
    <w:p w14:paraId="43A881CB" w14:textId="77777777" w:rsidR="00FA2ADB" w:rsidRPr="00FA2ADB" w:rsidRDefault="00FA2ADB" w:rsidP="00FA2ADB">
      <w:pPr>
        <w:jc w:val="both"/>
        <w:rPr>
          <w:rFonts w:ascii="Arial" w:hAnsi="Arial" w:cs="Arial"/>
          <w:lang w:val="es-CO"/>
        </w:rPr>
      </w:pPr>
    </w:p>
    <w:p w14:paraId="32882D9A" w14:textId="77777777" w:rsidR="00FA2ADB" w:rsidRPr="00FA2ADB" w:rsidRDefault="00FA2ADB" w:rsidP="00FA2ADB">
      <w:pPr>
        <w:numPr>
          <w:ilvl w:val="0"/>
          <w:numId w:val="11"/>
        </w:numPr>
        <w:jc w:val="both"/>
        <w:rPr>
          <w:rFonts w:ascii="Arial" w:hAnsi="Arial" w:cs="Arial"/>
          <w:i/>
          <w:lang w:val="es-CO"/>
        </w:rPr>
      </w:pPr>
      <w:r w:rsidRPr="00FA2ADB">
        <w:rPr>
          <w:rFonts w:ascii="Arial" w:hAnsi="Arial" w:cs="Arial"/>
          <w:lang w:val="es-CO"/>
        </w:rPr>
        <w:t xml:space="preserve">Cohecho Propio. (Artículo 405). </w:t>
      </w:r>
      <w:r w:rsidRPr="00FA2ADB">
        <w:rPr>
          <w:rFonts w:ascii="Arial" w:hAnsi="Arial" w:cs="Arial"/>
          <w:i/>
          <w:lang w:val="es-CO"/>
        </w:rPr>
        <w:t xml:space="preserve">“El servidor público que reciba para sí o para otro, dinero u otra utilidad, o acepte promesa remuneratoria, directa o indirectamente, para retardar u omitir un acto propio de su cargo, o para ejecutar uno contrario a sus deberes oficiales, incurrirá en prisión de ochenta (80) a ciento cuarenta y cuatro </w:t>
      </w:r>
      <w:r w:rsidRPr="00FA2ADB">
        <w:rPr>
          <w:rFonts w:ascii="Arial" w:hAnsi="Arial" w:cs="Arial"/>
          <w:i/>
          <w:lang w:val="es-CO"/>
        </w:rPr>
        <w:lastRenderedPageBreak/>
        <w:t>(144) meses, multa de sesenta y seis punto sesenta y seis (66.66) a ciento cincuenta (150) salarios mínimos legales mensuales vigentes, e inhabilitación para el ejercicio de derechos y funciones públicas de ochenta (80) a ciento cuarenta y cuatro (144) meses”.</w:t>
      </w:r>
    </w:p>
    <w:p w14:paraId="2D4A3328" w14:textId="77777777" w:rsidR="00FA2ADB" w:rsidRPr="00FA2ADB" w:rsidRDefault="00FA2ADB" w:rsidP="00FA2ADB">
      <w:pPr>
        <w:jc w:val="both"/>
        <w:rPr>
          <w:rFonts w:ascii="Arial" w:hAnsi="Arial" w:cs="Arial"/>
          <w:i/>
          <w:lang w:val="es-CO"/>
        </w:rPr>
      </w:pPr>
    </w:p>
    <w:p w14:paraId="192022A7" w14:textId="77777777" w:rsidR="00FA2ADB" w:rsidRDefault="00FA2ADB" w:rsidP="00FA2ADB">
      <w:pPr>
        <w:numPr>
          <w:ilvl w:val="0"/>
          <w:numId w:val="11"/>
        </w:numPr>
        <w:jc w:val="both"/>
        <w:rPr>
          <w:rFonts w:ascii="Arial" w:hAnsi="Arial" w:cs="Arial"/>
          <w:i/>
          <w:lang w:val="es-CO"/>
        </w:rPr>
      </w:pPr>
      <w:r w:rsidRPr="00FA2ADB">
        <w:rPr>
          <w:rFonts w:ascii="Arial" w:hAnsi="Arial" w:cs="Arial"/>
          <w:lang w:val="es-CO"/>
        </w:rPr>
        <w:t>Cohecho Impropio. (Artículo 406). “</w:t>
      </w:r>
      <w:r w:rsidRPr="00FA2ADB">
        <w:rPr>
          <w:rFonts w:ascii="Arial" w:hAnsi="Arial" w:cs="Arial"/>
          <w:i/>
          <w:lang w:val="es-CO"/>
        </w:rPr>
        <w:t>El servidor público que acepte para sí o para otro, dinero u otra utilidad o promesa remuneratoria, directa o indirecta, por acto que deba ejecutar en el desempeño de sus funciones, incu</w:t>
      </w:r>
      <w:r w:rsidRPr="00FA2ADB">
        <w:rPr>
          <w:rFonts w:ascii="Arial" w:hAnsi="Arial" w:cs="Arial"/>
          <w:i/>
          <w:lang w:val="es-CO"/>
        </w:rPr>
        <w:lastRenderedPageBreak/>
        <w:t>rrirá en prisión de sesenta y cuatro (64) a ciento veintiséis (126) meses, multa de sesenta y seis punto sesenta y seis (66.66) a ciento cincuenta (150) salarios mínimos legales mensuales vigentes, e inhabilitación para el ejercicio de derechos y funciones públicas de ochenta (80) a ciento cuarenta y cuatro (144) meses.</w:t>
      </w:r>
    </w:p>
    <w:p w14:paraId="00DE18A5" w14:textId="77777777" w:rsidR="00FA2ADB" w:rsidRDefault="00FA2ADB" w:rsidP="00FA2ADB">
      <w:pPr>
        <w:pStyle w:val="ListParagraph"/>
        <w:rPr>
          <w:rFonts w:ascii="Arial" w:hAnsi="Arial" w:cs="Arial"/>
          <w:i/>
          <w:lang w:val="es-ES"/>
        </w:rPr>
      </w:pPr>
    </w:p>
    <w:p w14:paraId="1C4F2657" w14:textId="24B7CA76" w:rsidR="00FA2ADB" w:rsidRPr="00FA2ADB" w:rsidRDefault="00FA2ADB" w:rsidP="00FA2ADB">
      <w:pPr>
        <w:ind w:left="786"/>
        <w:jc w:val="both"/>
        <w:rPr>
          <w:rFonts w:ascii="Arial" w:hAnsi="Arial" w:cs="Arial"/>
          <w:i/>
          <w:lang w:val="es-CO"/>
        </w:rPr>
      </w:pPr>
      <w:r w:rsidRPr="00FA2ADB">
        <w:rPr>
          <w:rFonts w:ascii="Arial" w:hAnsi="Arial" w:cs="Arial"/>
          <w:i/>
          <w:lang w:val="es-ES"/>
        </w:rPr>
        <w:t xml:space="preserve">El servidor público que reciba dinero u otra utilidad de persona que tenga interés en asunto </w:t>
      </w:r>
      <w:r w:rsidRPr="00FA2ADB">
        <w:rPr>
          <w:rFonts w:ascii="Arial" w:hAnsi="Arial" w:cs="Arial"/>
          <w:i/>
          <w:lang w:val="es-ES"/>
        </w:rPr>
        <w:tab/>
        <w:t xml:space="preserve">sometido a su conocimiento, incurrirá en prisión de treinta y dos (32) a noventa (90) </w:t>
      </w:r>
      <w:r w:rsidRPr="00FA2ADB">
        <w:rPr>
          <w:rFonts w:ascii="Arial" w:hAnsi="Arial" w:cs="Arial"/>
          <w:i/>
          <w:lang w:val="es-ES"/>
        </w:rPr>
        <w:tab/>
        <w:t xml:space="preserve">meses, multa de cuarenta (40) a setenta y </w:t>
      </w:r>
      <w:r w:rsidRPr="00FA2ADB">
        <w:rPr>
          <w:rFonts w:ascii="Arial" w:hAnsi="Arial" w:cs="Arial"/>
          <w:i/>
          <w:lang w:val="es-ES"/>
        </w:rPr>
        <w:lastRenderedPageBreak/>
        <w:t>cinco (75) salarios mínimos legales mensuales vigentes,</w:t>
      </w:r>
      <w:r w:rsidR="00A53F85">
        <w:rPr>
          <w:rFonts w:ascii="Arial" w:hAnsi="Arial" w:cs="Arial"/>
          <w:i/>
          <w:lang w:val="es-ES"/>
        </w:rPr>
        <w:t xml:space="preserve"> </w:t>
      </w:r>
      <w:r w:rsidRPr="00FA2ADB">
        <w:rPr>
          <w:rFonts w:ascii="Arial" w:hAnsi="Arial" w:cs="Arial"/>
          <w:i/>
          <w:lang w:val="es-ES"/>
        </w:rPr>
        <w:t>e inhabilitación para el ejercicio de derechos y funciones públicas por  ochenta (80) meses”.</w:t>
      </w:r>
    </w:p>
    <w:p w14:paraId="2FBC0F83" w14:textId="77777777" w:rsidR="00FA2ADB" w:rsidRPr="00FA2ADB" w:rsidRDefault="00FA2ADB" w:rsidP="00FA2ADB">
      <w:pPr>
        <w:ind w:left="786"/>
        <w:jc w:val="both"/>
        <w:rPr>
          <w:rFonts w:ascii="Arial" w:hAnsi="Arial" w:cs="Arial"/>
          <w:i/>
          <w:lang w:val="es-CO"/>
        </w:rPr>
      </w:pPr>
    </w:p>
    <w:p w14:paraId="237E9067" w14:textId="77777777" w:rsidR="00FA2ADB" w:rsidRPr="00FA2ADB" w:rsidRDefault="00FA2ADB" w:rsidP="00FA2ADB">
      <w:pPr>
        <w:numPr>
          <w:ilvl w:val="0"/>
          <w:numId w:val="11"/>
        </w:numPr>
        <w:jc w:val="both"/>
        <w:rPr>
          <w:rFonts w:ascii="Arial" w:hAnsi="Arial" w:cs="Arial"/>
          <w:i/>
          <w:lang w:val="es-CO"/>
        </w:rPr>
      </w:pPr>
      <w:r w:rsidRPr="00FA2ADB">
        <w:rPr>
          <w:rFonts w:ascii="Arial" w:hAnsi="Arial" w:cs="Arial"/>
          <w:i/>
          <w:lang w:val="es-CO"/>
        </w:rPr>
        <w:t xml:space="preserve">Cohecho para dar u ofrecer. </w:t>
      </w:r>
      <w:r w:rsidRPr="00FA2ADB">
        <w:rPr>
          <w:rFonts w:ascii="Arial" w:hAnsi="Arial" w:cs="Arial"/>
          <w:lang w:val="es-CO"/>
        </w:rPr>
        <w:t>(Artículo 407).</w:t>
      </w:r>
      <w:r w:rsidRPr="00FA2ADB">
        <w:rPr>
          <w:rFonts w:ascii="Arial" w:hAnsi="Arial" w:cs="Arial"/>
          <w:i/>
          <w:lang w:val="es-CO"/>
        </w:rPr>
        <w:t xml:space="preserve"> “El que dé u ofrezca dinero u otra utilidad a servidor público, en los casos previstos en los dos artículos anteriores, incurrirá en prisión de cuarenta y ocho (48) a ciento ocho (108) meses, multa de sesenta y seis punto sesenta y seis (66.66) a ciento cincuenta (150) salarios mínimos legales mensuales vigentes, e inhabilitación para el ejercicio de </w:t>
      </w:r>
      <w:r w:rsidRPr="00FA2ADB">
        <w:rPr>
          <w:rFonts w:ascii="Arial" w:hAnsi="Arial" w:cs="Arial"/>
          <w:i/>
          <w:lang w:val="es-CO"/>
        </w:rPr>
        <w:lastRenderedPageBreak/>
        <w:t xml:space="preserve">derechos y funciones públicas de ochenta (80) a ciento cuarenta y cuatro (144) meses”. </w:t>
      </w:r>
    </w:p>
    <w:p w14:paraId="49768D1E" w14:textId="77777777" w:rsidR="00FA2ADB" w:rsidRPr="00FA2ADB" w:rsidRDefault="00FA2ADB" w:rsidP="00FA2ADB">
      <w:pPr>
        <w:jc w:val="both"/>
        <w:rPr>
          <w:rFonts w:ascii="Arial" w:hAnsi="Arial" w:cs="Arial"/>
          <w:i/>
          <w:lang w:val="es-CO"/>
        </w:rPr>
      </w:pPr>
    </w:p>
    <w:p w14:paraId="64109F99" w14:textId="77777777" w:rsidR="00FA2ADB" w:rsidRPr="00FA2ADB" w:rsidRDefault="00FA2ADB" w:rsidP="00FA2ADB">
      <w:pPr>
        <w:numPr>
          <w:ilvl w:val="0"/>
          <w:numId w:val="11"/>
        </w:numPr>
        <w:jc w:val="both"/>
        <w:rPr>
          <w:rFonts w:ascii="Arial" w:hAnsi="Arial" w:cs="Arial"/>
          <w:i/>
          <w:lang w:val="es-CO"/>
        </w:rPr>
      </w:pPr>
      <w:r w:rsidRPr="00FA2ADB">
        <w:rPr>
          <w:rFonts w:ascii="Arial" w:hAnsi="Arial" w:cs="Arial"/>
          <w:lang w:val="es-CO"/>
        </w:rPr>
        <w:t>Tráfico de influencias de servidor público. (Artículo 411). “</w:t>
      </w:r>
      <w:r w:rsidRPr="00FA2ADB">
        <w:rPr>
          <w:rFonts w:ascii="Arial" w:hAnsi="Arial" w:cs="Arial"/>
          <w:i/>
          <w:lang w:val="es-CO"/>
        </w:rPr>
        <w:t xml:space="preserve">El servidor público que utilice indebidamente, en provecho propio o de un tercero, influencias derivadas del ejercicio del cargo o de la función, con el fin de obtener cualquier beneficio de parte de servidor público en asunto que éste se encuentre conociendo o haya de conocer, incurrirá en prisión de sesenta y cuatro (64) a ciento cuarenta y cuatro (144) meses, multa de ciento </w:t>
      </w:r>
      <w:r w:rsidRPr="00FA2ADB">
        <w:rPr>
          <w:rFonts w:ascii="Arial" w:hAnsi="Arial" w:cs="Arial"/>
          <w:i/>
          <w:lang w:val="es-CO"/>
        </w:rPr>
        <w:lastRenderedPageBreak/>
        <w:t>treinta y tres punto treinta y tres (133.33) a trescientos (300) salarios mínimos legales mensuales vigentes, e inhabilitación para el ejercicio de derechos y funciones públicas de ochenta (80) a ciento cuarenta y cuatro (144) meses”.</w:t>
      </w:r>
    </w:p>
    <w:p w14:paraId="6CC79968" w14:textId="77777777" w:rsidR="00FA2ADB" w:rsidRPr="00FA2ADB" w:rsidRDefault="00FA2ADB" w:rsidP="00FA2ADB">
      <w:pPr>
        <w:jc w:val="both"/>
        <w:rPr>
          <w:rFonts w:ascii="Arial" w:hAnsi="Arial" w:cs="Arial"/>
          <w:i/>
          <w:lang w:val="es-CO"/>
        </w:rPr>
      </w:pPr>
    </w:p>
    <w:p w14:paraId="4055090B" w14:textId="77777777" w:rsidR="00FA2ADB" w:rsidRPr="00FA2ADB" w:rsidRDefault="00FA2ADB" w:rsidP="00FA2ADB">
      <w:pPr>
        <w:numPr>
          <w:ilvl w:val="0"/>
          <w:numId w:val="11"/>
        </w:numPr>
        <w:jc w:val="both"/>
        <w:rPr>
          <w:rFonts w:ascii="Arial" w:hAnsi="Arial" w:cs="Arial"/>
          <w:i/>
          <w:lang w:val="es-CO"/>
        </w:rPr>
      </w:pPr>
      <w:r w:rsidRPr="00FA2ADB">
        <w:rPr>
          <w:rFonts w:ascii="Arial" w:hAnsi="Arial" w:cs="Arial"/>
          <w:lang w:val="es-CO"/>
        </w:rPr>
        <w:t>Enriquecimiento ilícito. (Artículo 412)</w:t>
      </w:r>
      <w:r w:rsidRPr="00FA2ADB">
        <w:rPr>
          <w:rFonts w:ascii="Arial" w:hAnsi="Arial" w:cs="Arial"/>
          <w:i/>
          <w:lang w:val="es-CO"/>
        </w:rPr>
        <w:t xml:space="preserve">.”El servidor público, o quien haya desempeñado funciones públicas, que durante su vinculación con la administración o dentro de los cinco (5) años posteriores a su desvinculación, </w:t>
      </w:r>
      <w:r w:rsidRPr="00FA2ADB">
        <w:rPr>
          <w:rFonts w:ascii="Arial" w:hAnsi="Arial" w:cs="Arial"/>
          <w:i/>
          <w:lang w:val="es-CO"/>
        </w:rPr>
        <w:lastRenderedPageBreak/>
        <w:t>obtenga, para sí o para otro, incremento patrimonial injustificado, incurrirá, siempre que la conducta no constituya otro delito, en prisión de nueve (9) a quince (15) años, multa equivalente al doble del valor del enriquecimiento sin que supere el equivalente a cincuenta mil (50.000) salarios mínimos legales mensuales vigentes, e inhabilitación para el ejercicio de derechos y funciones públicas de noventa y seis (96) a ciento ochenta (180) meses”.</w:t>
      </w:r>
    </w:p>
    <w:p w14:paraId="1948B1F5" w14:textId="77777777" w:rsidR="00FA2ADB" w:rsidRPr="00FA2ADB" w:rsidRDefault="00FA2ADB" w:rsidP="00FA2ADB">
      <w:pPr>
        <w:jc w:val="both"/>
        <w:rPr>
          <w:rFonts w:ascii="Arial" w:hAnsi="Arial" w:cs="Arial"/>
          <w:lang w:val="es-CO"/>
        </w:rPr>
      </w:pPr>
    </w:p>
    <w:p w14:paraId="14DFB802" w14:textId="77777777" w:rsidR="00FA2ADB" w:rsidRPr="00FA2ADB" w:rsidRDefault="00FA2ADB" w:rsidP="00FA2ADB">
      <w:pPr>
        <w:numPr>
          <w:ilvl w:val="0"/>
          <w:numId w:val="11"/>
        </w:numPr>
        <w:jc w:val="both"/>
        <w:rPr>
          <w:rFonts w:ascii="Arial" w:hAnsi="Arial" w:cs="Arial"/>
          <w:i/>
          <w:lang w:val="es-CO"/>
        </w:rPr>
      </w:pPr>
      <w:r w:rsidRPr="00FA2ADB">
        <w:rPr>
          <w:rFonts w:ascii="Arial" w:hAnsi="Arial" w:cs="Arial"/>
          <w:lang w:val="es-CO"/>
        </w:rPr>
        <w:lastRenderedPageBreak/>
        <w:t>Prevaricato por acción. (Artículo 413). “</w:t>
      </w:r>
      <w:r w:rsidRPr="00FA2ADB">
        <w:rPr>
          <w:rFonts w:ascii="Arial" w:hAnsi="Arial" w:cs="Arial"/>
          <w:i/>
          <w:lang w:val="es-CO"/>
        </w:rPr>
        <w:t>El servidor público que profiera resolución, dictamen o concepto manifiestamente contrario a la ley, incurrirá en prisión de cuarenta y ocho (48) a ciento cuarenta y cuatro (144) meses, multa de sesenta y seis punto sesenta y seis (66.66) a trescientos (300) salarios mínimos legales mensuales vigentes, e inhabilitación para el ejercicio de derechos y funciones públicas de ochenta (80) a ciento cuarenta y cuatro (144) meses”.</w:t>
      </w:r>
    </w:p>
    <w:p w14:paraId="65A2DA73" w14:textId="77777777" w:rsidR="00FA2ADB" w:rsidRPr="00FA2ADB" w:rsidRDefault="00FA2ADB" w:rsidP="00FA2ADB">
      <w:pPr>
        <w:jc w:val="both"/>
        <w:rPr>
          <w:rFonts w:ascii="Arial" w:hAnsi="Arial" w:cs="Arial"/>
          <w:lang w:val="es-CO"/>
        </w:rPr>
      </w:pPr>
    </w:p>
    <w:p w14:paraId="33A350AF" w14:textId="77777777" w:rsidR="00FA2ADB" w:rsidRPr="00FA2ADB" w:rsidRDefault="00FA2ADB" w:rsidP="00FA2ADB">
      <w:pPr>
        <w:numPr>
          <w:ilvl w:val="0"/>
          <w:numId w:val="11"/>
        </w:numPr>
        <w:jc w:val="both"/>
        <w:rPr>
          <w:rFonts w:ascii="Arial" w:hAnsi="Arial" w:cs="Arial"/>
          <w:i/>
          <w:lang w:val="es-CO"/>
        </w:rPr>
      </w:pPr>
      <w:r w:rsidRPr="00FA2ADB">
        <w:rPr>
          <w:rFonts w:ascii="Arial" w:hAnsi="Arial" w:cs="Arial"/>
          <w:lang w:val="es-CO"/>
        </w:rPr>
        <w:lastRenderedPageBreak/>
        <w:t>Prevaricato por omisión. (Artículo 414). “</w:t>
      </w:r>
      <w:r w:rsidRPr="00FA2ADB">
        <w:rPr>
          <w:rFonts w:ascii="Arial" w:hAnsi="Arial" w:cs="Arial"/>
          <w:i/>
          <w:lang w:val="es-CO"/>
        </w:rPr>
        <w:t>El servidor público que omita, retarde, rehuse o deniegue un acto propio de sus funciones, incurrirá en prisión de treinta y dos (32) a noventa (90) meses, multa de trece punto treinta y tres (13.33) a setenta y cinco (75) salarios mínimos legales mensuales vigentes, e inhabilitación para el ejercicio de derechos y funciones públicas por ochenta (80) meses”.</w:t>
      </w:r>
    </w:p>
    <w:p w14:paraId="4692F875" w14:textId="77777777" w:rsidR="00FA2ADB" w:rsidRPr="0087776F" w:rsidRDefault="00FA2ADB" w:rsidP="0087776F">
      <w:pPr>
        <w:jc w:val="both"/>
        <w:rPr>
          <w:rFonts w:ascii="Arial" w:hAnsi="Arial" w:cs="Arial"/>
          <w:lang w:val="en-US"/>
        </w:rPr>
      </w:pPr>
    </w:p>
    <w:p w14:paraId="234E3FB8" w14:textId="473EFD58" w:rsidR="0087776F" w:rsidRDefault="0087776F" w:rsidP="00600DC0">
      <w:pPr>
        <w:jc w:val="both"/>
        <w:rPr>
          <w:rFonts w:ascii="Arial" w:hAnsi="Arial" w:cs="Arial"/>
        </w:rPr>
      </w:pPr>
    </w:p>
    <w:p w14:paraId="3A571E19" w14:textId="77777777" w:rsidR="00FA2ADB" w:rsidRPr="00FA2ADB" w:rsidRDefault="00FA2ADB" w:rsidP="00FA2ADB">
      <w:pPr>
        <w:numPr>
          <w:ilvl w:val="0"/>
          <w:numId w:val="4"/>
        </w:numPr>
        <w:jc w:val="both"/>
        <w:rPr>
          <w:rFonts w:ascii="Arial" w:hAnsi="Arial" w:cs="Arial"/>
          <w:b/>
          <w:bCs/>
        </w:rPr>
      </w:pPr>
      <w:r w:rsidRPr="00FA2ADB">
        <w:rPr>
          <w:rFonts w:ascii="Arial" w:hAnsi="Arial" w:cs="Arial"/>
          <w:b/>
          <w:bCs/>
        </w:rPr>
        <w:lastRenderedPageBreak/>
        <w:t xml:space="preserve">Sírvase proporcionar información detallada, incluidos datos desglosados, sobre el número de jueces que han sido objeto de procedimientos de responsabilidad civil / penal en los últimos diez años. ¿Cuántos de ellos fueron declarados responsables por la comisión de errores judiciales? ¿Cuál fue el resultado de estos procedimientos? </w:t>
      </w:r>
    </w:p>
    <w:p w14:paraId="74445E92" w14:textId="77777777" w:rsidR="00FA2ADB" w:rsidRDefault="00FA2ADB" w:rsidP="00FA2ADB">
      <w:pPr>
        <w:jc w:val="both"/>
        <w:rPr>
          <w:rFonts w:ascii="Arial" w:hAnsi="Arial" w:cs="Arial"/>
          <w:b/>
          <w:bCs/>
        </w:rPr>
      </w:pPr>
    </w:p>
    <w:p w14:paraId="65519810" w14:textId="76930826" w:rsidR="00FA2ADB" w:rsidRDefault="00FA2ADB" w:rsidP="00FA2ADB">
      <w:pPr>
        <w:jc w:val="both"/>
        <w:rPr>
          <w:rFonts w:ascii="Arial" w:hAnsi="Arial" w:cs="Arial"/>
        </w:rPr>
      </w:pPr>
      <w:r w:rsidRPr="00FA2ADB">
        <w:rPr>
          <w:rFonts w:ascii="Arial" w:hAnsi="Arial" w:cs="Arial"/>
        </w:rPr>
        <w:t xml:space="preserve">Dicha información puede ser consultada con el Consejo Superior de la Judicatura, entidad que tiene a su cargo la administración de los sistemas de información y estadística de </w:t>
      </w:r>
      <w:r w:rsidRPr="00FA2ADB">
        <w:rPr>
          <w:rFonts w:ascii="Arial" w:hAnsi="Arial" w:cs="Arial"/>
        </w:rPr>
        <w:lastRenderedPageBreak/>
        <w:t xml:space="preserve">la gestión judicial, y la coordinación del Sistema Nacional de Estadísticas Judiciales de acuerdo con los artículos 106 y 107 de la Ley 270 de 1996. </w:t>
      </w:r>
    </w:p>
    <w:p w14:paraId="01AC7E4A" w14:textId="51758053" w:rsidR="00FA2ADB" w:rsidRDefault="00FA2ADB" w:rsidP="00FA2ADB">
      <w:pPr>
        <w:jc w:val="both"/>
        <w:rPr>
          <w:rFonts w:ascii="Arial" w:hAnsi="Arial" w:cs="Arial"/>
        </w:rPr>
      </w:pPr>
    </w:p>
    <w:p w14:paraId="23C8C6C6" w14:textId="5D46A276" w:rsidR="00FA2ADB" w:rsidRDefault="00FA2ADB" w:rsidP="00FA2ADB">
      <w:pPr>
        <w:jc w:val="both"/>
        <w:rPr>
          <w:rFonts w:ascii="Arial" w:hAnsi="Arial" w:cs="Arial"/>
          <w:lang w:val="es-ES"/>
        </w:rPr>
      </w:pPr>
      <w:r>
        <w:rPr>
          <w:rFonts w:ascii="Arial" w:hAnsi="Arial" w:cs="Arial"/>
          <w:lang w:val="es-ES"/>
        </w:rPr>
        <w:t xml:space="preserve">Sobre el particular, </w:t>
      </w:r>
      <w:r w:rsidRPr="00FA2ADB">
        <w:rPr>
          <w:rFonts w:ascii="Arial" w:hAnsi="Arial" w:cs="Arial"/>
          <w:lang w:val="es-ES"/>
        </w:rPr>
        <w:t>el Sistema de Información de la Rama Judicial – SIERJU cuenta únicamente con datos sobre movimiento de procesos; es decir, ingresos, egresos e inventarios, desagregado por tipo de proceso, sin detallar las partes procesales ni pretensiones de los procesos; motivo por el cual   no es posible aportar en forma detallada lo solicitado en esta pregunta.</w:t>
      </w:r>
    </w:p>
    <w:p w14:paraId="79D37DC1" w14:textId="77777777" w:rsidR="00FA2ADB" w:rsidRPr="00FA2ADB" w:rsidRDefault="00FA2ADB" w:rsidP="00FA2ADB">
      <w:pPr>
        <w:jc w:val="both"/>
        <w:rPr>
          <w:rFonts w:ascii="Arial" w:hAnsi="Arial" w:cs="Arial"/>
        </w:rPr>
      </w:pPr>
    </w:p>
    <w:p w14:paraId="5689E0D3" w14:textId="77777777" w:rsidR="00FA2ADB" w:rsidRPr="0087776F" w:rsidRDefault="00FA2ADB" w:rsidP="00600DC0">
      <w:pPr>
        <w:jc w:val="both"/>
        <w:rPr>
          <w:rFonts w:ascii="Arial" w:hAnsi="Arial" w:cs="Arial"/>
        </w:rPr>
      </w:pPr>
    </w:p>
    <w:sectPr w:rsidR="00FA2ADB" w:rsidRPr="0087776F" w:rsidSect="0085485A">
      <w:headerReference w:type="default" r:id="rId10"/>
      <w:footerReference w:type="default" r:id="rId11"/>
      <w:pgSz w:w="11900" w:h="16840"/>
      <w:pgMar w:top="169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02C0B" w14:textId="77777777" w:rsidR="004B1D30" w:rsidRDefault="004B1D30" w:rsidP="00600DC0">
      <w:r>
        <w:separator/>
      </w:r>
    </w:p>
  </w:endnote>
  <w:endnote w:type="continuationSeparator" w:id="0">
    <w:p w14:paraId="43B22DC6" w14:textId="77777777" w:rsidR="004B1D30" w:rsidRDefault="004B1D30" w:rsidP="0060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547233"/>
      <w:docPartObj>
        <w:docPartGallery w:val="Page Numbers (Bottom of Page)"/>
        <w:docPartUnique/>
      </w:docPartObj>
    </w:sdtPr>
    <w:sdtEndPr/>
    <w:sdtContent>
      <w:p w14:paraId="0FF3CF02" w14:textId="570AC129" w:rsidR="00552FDD" w:rsidRDefault="00552FDD">
        <w:pPr>
          <w:pStyle w:val="Footer"/>
          <w:jc w:val="center"/>
        </w:pPr>
        <w:r>
          <w:fldChar w:fldCharType="begin"/>
        </w:r>
        <w:r>
          <w:instrText>PAGE   \* MERGEFORMAT</w:instrText>
        </w:r>
        <w:r>
          <w:fldChar w:fldCharType="separate"/>
        </w:r>
        <w:r w:rsidR="00C93837" w:rsidRPr="00C93837">
          <w:rPr>
            <w:noProof/>
            <w:lang w:val="es-ES"/>
          </w:rPr>
          <w:t>1</w:t>
        </w:r>
        <w:r>
          <w:fldChar w:fldCharType="end"/>
        </w:r>
      </w:p>
    </w:sdtContent>
  </w:sdt>
  <w:p w14:paraId="7D809F5D" w14:textId="77777777" w:rsidR="00552FDD" w:rsidRDefault="00552F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A3563" w14:textId="77777777" w:rsidR="004B1D30" w:rsidRDefault="004B1D30" w:rsidP="00600DC0">
      <w:r>
        <w:separator/>
      </w:r>
    </w:p>
  </w:footnote>
  <w:footnote w:type="continuationSeparator" w:id="0">
    <w:p w14:paraId="6E45F1FB" w14:textId="77777777" w:rsidR="004B1D30" w:rsidRDefault="004B1D30" w:rsidP="00600DC0">
      <w:r>
        <w:continuationSeparator/>
      </w:r>
    </w:p>
  </w:footnote>
  <w:footnote w:id="1">
    <w:p w14:paraId="6663E2DA" w14:textId="77777777" w:rsidR="00600DC0" w:rsidRPr="00A53F85" w:rsidRDefault="00600DC0" w:rsidP="00600DC0">
      <w:pPr>
        <w:pStyle w:val="FootnoteText"/>
        <w:rPr>
          <w:rFonts w:ascii="Arial" w:hAnsi="Arial" w:cs="Arial"/>
        </w:rPr>
      </w:pPr>
      <w:r w:rsidRPr="00A53F85">
        <w:rPr>
          <w:rStyle w:val="FootnoteReference"/>
          <w:rFonts w:ascii="Arial" w:hAnsi="Arial" w:cs="Arial"/>
        </w:rPr>
        <w:footnoteRef/>
      </w:r>
      <w:r w:rsidRPr="00A53F85">
        <w:rPr>
          <w:rFonts w:ascii="Arial" w:hAnsi="Arial" w:cs="Arial"/>
        </w:rPr>
        <w:t xml:space="preserve"> </w:t>
      </w:r>
      <w:r w:rsidRPr="00A53F85">
        <w:rPr>
          <w:rFonts w:ascii="Arial" w:eastAsia="Times New Roman" w:hAnsi="Arial" w:cs="Arial"/>
        </w:rPr>
        <w:t>Código Disciplinario Único</w:t>
      </w:r>
    </w:p>
  </w:footnote>
  <w:footnote w:id="2">
    <w:p w14:paraId="2102B045" w14:textId="77777777" w:rsidR="00600DC0" w:rsidRPr="00A53F85" w:rsidRDefault="00600DC0" w:rsidP="00600DC0">
      <w:pPr>
        <w:rPr>
          <w:rFonts w:ascii="Arial" w:hAnsi="Arial" w:cs="Arial"/>
          <w:sz w:val="20"/>
          <w:szCs w:val="20"/>
        </w:rPr>
      </w:pPr>
      <w:r w:rsidRPr="00A53F85">
        <w:rPr>
          <w:rStyle w:val="FootnoteReference"/>
          <w:rFonts w:ascii="Arial" w:hAnsi="Arial" w:cs="Arial"/>
          <w:sz w:val="20"/>
          <w:szCs w:val="20"/>
        </w:rPr>
        <w:footnoteRef/>
      </w:r>
      <w:r w:rsidRPr="00A53F85">
        <w:rPr>
          <w:rFonts w:ascii="Arial" w:hAnsi="Arial" w:cs="Arial"/>
          <w:sz w:val="20"/>
          <w:szCs w:val="20"/>
        </w:rPr>
        <w:t xml:space="preserve"> Código Penal Colombiano</w:t>
      </w:r>
    </w:p>
  </w:footnote>
  <w:footnote w:id="3">
    <w:p w14:paraId="7F311031" w14:textId="77777777" w:rsidR="00600DC0" w:rsidRPr="00A53F85" w:rsidRDefault="00600DC0" w:rsidP="00600DC0">
      <w:pPr>
        <w:pStyle w:val="FootnoteText"/>
        <w:rPr>
          <w:rFonts w:ascii="Arial" w:hAnsi="Arial" w:cs="Arial"/>
        </w:rPr>
      </w:pPr>
      <w:r w:rsidRPr="00A53F85">
        <w:rPr>
          <w:rStyle w:val="FootnoteReference"/>
          <w:rFonts w:ascii="Arial" w:hAnsi="Arial" w:cs="Arial"/>
        </w:rPr>
        <w:footnoteRef/>
      </w:r>
      <w:r w:rsidRPr="00A53F85">
        <w:rPr>
          <w:rFonts w:ascii="Arial" w:hAnsi="Arial" w:cs="Arial"/>
        </w:rPr>
        <w:t xml:space="preserve"> Por el cual se reglamenta la acción de tutela consagrada en el artículo 86 de la Constitución Política.</w:t>
      </w:r>
    </w:p>
  </w:footnote>
  <w:footnote w:id="4">
    <w:p w14:paraId="1E219B12" w14:textId="47CB7C6D" w:rsidR="00600DC0" w:rsidRPr="00A53F85" w:rsidRDefault="00600DC0" w:rsidP="00600DC0">
      <w:pPr>
        <w:pStyle w:val="FootnoteText"/>
        <w:jc w:val="both"/>
        <w:rPr>
          <w:rFonts w:ascii="Arial" w:hAnsi="Arial" w:cs="Arial"/>
        </w:rPr>
      </w:pPr>
      <w:r w:rsidRPr="00A53F85">
        <w:rPr>
          <w:rStyle w:val="FootnoteReference"/>
          <w:rFonts w:ascii="Arial" w:hAnsi="Arial" w:cs="Arial"/>
          <w:i/>
        </w:rPr>
        <w:footnoteRef/>
      </w:r>
      <w:r w:rsidRPr="00A53F85">
        <w:rPr>
          <w:rFonts w:ascii="Arial" w:hAnsi="Arial" w:cs="Arial"/>
          <w:i/>
        </w:rPr>
        <w:t xml:space="preserve"> “Por la cual se dictan normas tendientes a preservar la moralidad en la Administración Pública y se fijan disposiciones con el fin de erradicar la corrupción administrativa. ARTICULO 38. Lo dispuesto en el artículo 27 numeral 1º de la Ley 24 de 1992 se aplicará en materia penal y disciplinaria, a menos que existan medios probatorios suficientes sobre la comisión de un delito o infracción disciplinaria que permitan adelantar la actuación de oficio”.</w:t>
      </w:r>
    </w:p>
  </w:footnote>
  <w:footnote w:id="5">
    <w:p w14:paraId="0A46D17E" w14:textId="77777777" w:rsidR="00600DC0" w:rsidRPr="00A53F85" w:rsidRDefault="00600DC0" w:rsidP="00600DC0">
      <w:pPr>
        <w:pStyle w:val="FootnoteText"/>
        <w:jc w:val="both"/>
        <w:rPr>
          <w:rFonts w:ascii="Arial" w:hAnsi="Arial" w:cs="Arial"/>
          <w:i/>
          <w:lang w:val="es-CO" w:eastAsia="es-CO"/>
        </w:rPr>
      </w:pPr>
      <w:r w:rsidRPr="00A53F85">
        <w:rPr>
          <w:rStyle w:val="FootnoteReference"/>
          <w:rFonts w:ascii="Arial" w:hAnsi="Arial" w:cs="Arial"/>
        </w:rPr>
        <w:footnoteRef/>
      </w:r>
      <w:r w:rsidRPr="00A53F85">
        <w:rPr>
          <w:rFonts w:ascii="Arial" w:hAnsi="Arial" w:cs="Arial"/>
        </w:rPr>
        <w:t xml:space="preserve"> “</w:t>
      </w:r>
      <w:r w:rsidRPr="00A53F85">
        <w:rPr>
          <w:rFonts w:ascii="Arial" w:hAnsi="Arial" w:cs="Arial"/>
          <w:i/>
          <w:color w:val="000000"/>
        </w:rPr>
        <w:t>Por la cual se establecen la organización y funcionamiento de la Defensoría del Pueblo y se dictan otras disposiciones en desarrollo del artículo </w:t>
      </w:r>
      <w:hyperlink r:id="rId1" w:anchor="283" w:history="1">
        <w:r w:rsidRPr="00A53F85">
          <w:rPr>
            <w:rStyle w:val="Hyperlink"/>
            <w:rFonts w:ascii="Arial" w:eastAsia="Arial Unicode MS" w:hAnsi="Arial" w:cs="Arial"/>
            <w:i/>
            <w:color w:val="000000"/>
          </w:rPr>
          <w:t>283</w:t>
        </w:r>
      </w:hyperlink>
      <w:r w:rsidRPr="00A53F85">
        <w:rPr>
          <w:rFonts w:ascii="Arial" w:hAnsi="Arial" w:cs="Arial"/>
          <w:i/>
          <w:color w:val="000000"/>
        </w:rPr>
        <w:t> de la Constitución Política de Colombia.</w:t>
      </w:r>
      <w:bookmarkStart w:id="1" w:name="27"/>
      <w:bookmarkEnd w:id="1"/>
      <w:r w:rsidRPr="00A53F85">
        <w:rPr>
          <w:rFonts w:ascii="Arial" w:hAnsi="Arial" w:cs="Arial"/>
          <w:i/>
          <w:color w:val="000000"/>
        </w:rPr>
        <w:t xml:space="preserve"> </w:t>
      </w:r>
      <w:r w:rsidRPr="00A53F85">
        <w:rPr>
          <w:rFonts w:ascii="Arial" w:hAnsi="Arial" w:cs="Arial"/>
          <w:bCs/>
          <w:i/>
          <w:color w:val="000000"/>
        </w:rPr>
        <w:t>ARTÍCULO 27.</w:t>
      </w:r>
      <w:r w:rsidRPr="00A53F85">
        <w:rPr>
          <w:rFonts w:ascii="Arial" w:hAnsi="Arial" w:cs="Arial"/>
          <w:i/>
          <w:color w:val="000000"/>
        </w:rPr>
        <w:t> </w:t>
      </w:r>
      <w:r w:rsidRPr="00A53F85">
        <w:rPr>
          <w:rFonts w:ascii="Arial" w:hAnsi="Arial" w:cs="Arial"/>
          <w:i/>
        </w:rPr>
        <w:t>Para la recepción y trámite de quejas esta Dirección se ceñirá a las siguientes reglas:</w:t>
      </w:r>
    </w:p>
    <w:p w14:paraId="59DF7AFB" w14:textId="77777777" w:rsidR="00600DC0" w:rsidRPr="00A53F85" w:rsidRDefault="00600DC0" w:rsidP="00FE4A9E">
      <w:pPr>
        <w:ind w:left="720"/>
        <w:rPr>
          <w:rFonts w:ascii="Arial" w:hAnsi="Arial" w:cs="Arial"/>
          <w:i/>
          <w:sz w:val="20"/>
          <w:szCs w:val="20"/>
        </w:rPr>
      </w:pPr>
      <w:r w:rsidRPr="00A53F85">
        <w:rPr>
          <w:rFonts w:ascii="Arial" w:hAnsi="Arial" w:cs="Arial"/>
          <w:b/>
          <w:i/>
          <w:sz w:val="20"/>
          <w:szCs w:val="20"/>
        </w:rPr>
        <w:t>1</w:t>
      </w:r>
      <w:r w:rsidRPr="00A53F85">
        <w:rPr>
          <w:rFonts w:ascii="Arial" w:hAnsi="Arial" w:cs="Arial"/>
          <w:i/>
          <w:sz w:val="20"/>
          <w:szCs w:val="20"/>
        </w:rPr>
        <w:t>. Inadmitirá quejas que sean anónimas o aquellas que carezcan de fundamento. Esta prohibición será obligatoria para todo el Ministerio Público.</w:t>
      </w:r>
    </w:p>
    <w:p w14:paraId="6D7DCF77" w14:textId="77777777" w:rsidR="00600DC0" w:rsidRPr="00A53F85" w:rsidRDefault="00600DC0" w:rsidP="00FE4A9E">
      <w:pPr>
        <w:ind w:left="720"/>
        <w:rPr>
          <w:rFonts w:ascii="Arial" w:hAnsi="Arial" w:cs="Arial"/>
          <w:i/>
          <w:sz w:val="20"/>
          <w:szCs w:val="20"/>
        </w:rPr>
      </w:pPr>
      <w:r w:rsidRPr="00A53F85">
        <w:rPr>
          <w:rFonts w:ascii="Arial" w:hAnsi="Arial" w:cs="Arial"/>
          <w:b/>
          <w:i/>
          <w:sz w:val="20"/>
          <w:szCs w:val="20"/>
        </w:rPr>
        <w:t>2</w:t>
      </w:r>
      <w:r w:rsidRPr="00A53F85">
        <w:rPr>
          <w:rFonts w:ascii="Arial" w:hAnsi="Arial" w:cs="Arial"/>
          <w:i/>
          <w:sz w:val="20"/>
          <w:szCs w:val="20"/>
        </w:rPr>
        <w:t>. Las quejas que involucren a algún servidor del Estado serán remitidas a la entidad respectiva para que en un plazo no mayor a cinco días informe por escrito al solicitante, con copia a la Defensoría remitente, el trámite y la gestión cumplida.</w:t>
      </w:r>
    </w:p>
    <w:p w14:paraId="0E8CF1BC" w14:textId="77777777" w:rsidR="00600DC0" w:rsidRPr="00A53F85" w:rsidRDefault="00600DC0" w:rsidP="00FE4A9E">
      <w:pPr>
        <w:ind w:left="720"/>
        <w:rPr>
          <w:rFonts w:ascii="Arial" w:hAnsi="Arial" w:cs="Arial"/>
          <w:i/>
          <w:sz w:val="20"/>
          <w:szCs w:val="20"/>
        </w:rPr>
      </w:pPr>
      <w:r w:rsidRPr="00A53F85">
        <w:rPr>
          <w:rFonts w:ascii="Arial" w:hAnsi="Arial" w:cs="Arial"/>
          <w:b/>
          <w:i/>
          <w:sz w:val="20"/>
          <w:szCs w:val="20"/>
        </w:rPr>
        <w:t>3</w:t>
      </w:r>
      <w:r w:rsidRPr="00A53F85">
        <w:rPr>
          <w:rFonts w:ascii="Arial" w:hAnsi="Arial" w:cs="Arial"/>
          <w:i/>
          <w:sz w:val="20"/>
          <w:szCs w:val="20"/>
        </w:rPr>
        <w:t>. La negativa o negligencia a responder constituye falta grave, sancionada con destitución del cargo y será tomada como entorpecimiento de las labores del Defensor. En estos casos el Defensor podrá incluir el nombre del funcionario renuente en el informe al Congreso o divulgar a la opinión pública, sin perjuicio de las sanciones disciplinarias a que haya lugar.</w:t>
      </w:r>
    </w:p>
    <w:p w14:paraId="5022632E" w14:textId="77777777" w:rsidR="00600DC0" w:rsidRPr="00A53F85" w:rsidRDefault="00600DC0" w:rsidP="00FE4A9E">
      <w:pPr>
        <w:ind w:left="720"/>
        <w:rPr>
          <w:rFonts w:ascii="Arial" w:hAnsi="Arial" w:cs="Arial"/>
          <w:i/>
          <w:sz w:val="20"/>
          <w:szCs w:val="20"/>
        </w:rPr>
      </w:pPr>
      <w:r w:rsidRPr="00A53F85">
        <w:rPr>
          <w:rFonts w:ascii="Arial" w:hAnsi="Arial" w:cs="Arial"/>
          <w:b/>
          <w:i/>
          <w:sz w:val="20"/>
          <w:szCs w:val="20"/>
        </w:rPr>
        <w:t>4</w:t>
      </w:r>
      <w:r w:rsidRPr="00A53F85">
        <w:rPr>
          <w:rFonts w:ascii="Arial" w:hAnsi="Arial" w:cs="Arial"/>
          <w:i/>
          <w:sz w:val="20"/>
          <w:szCs w:val="20"/>
        </w:rPr>
        <w:t>. Cuando las circunstancias lo aconsejen se podrá mantener bajo reserva la identidad del quejoso, salvo las excepciones legales”.</w:t>
      </w:r>
    </w:p>
    <w:p w14:paraId="5243CA28" w14:textId="77777777" w:rsidR="00600DC0" w:rsidRPr="00A53F85" w:rsidRDefault="00600DC0" w:rsidP="00600DC0">
      <w:pPr>
        <w:rPr>
          <w:rFonts w:ascii="Arial" w:hAnsi="Arial" w:cs="Arial"/>
          <w:sz w:val="20"/>
          <w:szCs w:val="20"/>
        </w:rPr>
      </w:pPr>
    </w:p>
  </w:footnote>
  <w:footnote w:id="6">
    <w:p w14:paraId="50111EDF" w14:textId="39DECEE9" w:rsidR="0087776F" w:rsidRPr="00A53F85" w:rsidRDefault="0087776F" w:rsidP="0087776F">
      <w:pPr>
        <w:pStyle w:val="NormalWeb"/>
        <w:jc w:val="both"/>
        <w:rPr>
          <w:rFonts w:ascii="Arial" w:hAnsi="Arial" w:cs="Arial"/>
          <w:bCs/>
          <w:color w:val="000000"/>
          <w:sz w:val="20"/>
          <w:szCs w:val="20"/>
        </w:rPr>
      </w:pPr>
      <w:r w:rsidRPr="00A53F85">
        <w:rPr>
          <w:rStyle w:val="FootnoteReference"/>
          <w:rFonts w:ascii="Arial" w:hAnsi="Arial" w:cs="Arial"/>
          <w:sz w:val="20"/>
          <w:szCs w:val="20"/>
        </w:rPr>
        <w:footnoteRef/>
      </w:r>
      <w:bookmarkStart w:id="2" w:name="47"/>
      <w:bookmarkEnd w:id="2"/>
      <w:r w:rsidR="00A53F85" w:rsidRPr="00A53F85">
        <w:rPr>
          <w:rFonts w:ascii="Arial" w:hAnsi="Arial" w:cs="Arial"/>
          <w:sz w:val="20"/>
          <w:szCs w:val="20"/>
          <w:lang w:val="en-US"/>
        </w:rPr>
        <w:t xml:space="preserve"> </w:t>
      </w:r>
      <w:r w:rsidRPr="00A53F85">
        <w:rPr>
          <w:rFonts w:ascii="Arial" w:hAnsi="Arial" w:cs="Arial"/>
          <w:sz w:val="20"/>
          <w:szCs w:val="20"/>
        </w:rPr>
        <w:t xml:space="preserve">CRITERIOS </w:t>
      </w:r>
      <w:r w:rsidRPr="00A53F85">
        <w:rPr>
          <w:rFonts w:ascii="Arial" w:hAnsi="Arial" w:cs="Arial"/>
          <w:bCs/>
          <w:color w:val="000000"/>
          <w:sz w:val="20"/>
          <w:szCs w:val="20"/>
        </w:rPr>
        <w:t>PARA LA GRADUACIÓN DE LA SANCIÓN</w:t>
      </w:r>
      <w:r w:rsidRPr="00A53F85">
        <w:rPr>
          <w:rFonts w:ascii="Arial" w:hAnsi="Arial" w:cs="Arial"/>
          <w:b/>
          <w:bCs/>
          <w:color w:val="BE9E55"/>
          <w:sz w:val="20"/>
          <w:szCs w:val="20"/>
        </w:rPr>
        <w:t>.</w:t>
      </w:r>
      <w:r w:rsidRPr="00A53F85">
        <w:rPr>
          <w:rFonts w:ascii="Arial" w:hAnsi="Arial" w:cs="Arial"/>
          <w:b/>
          <w:bCs/>
          <w:color w:val="000000"/>
          <w:sz w:val="20"/>
          <w:szCs w:val="20"/>
        </w:rPr>
        <w:t> &lt;</w:t>
      </w:r>
      <w:r w:rsidRPr="00A53F85">
        <w:rPr>
          <w:rFonts w:ascii="Arial" w:hAnsi="Arial" w:cs="Arial"/>
          <w:bCs/>
          <w:color w:val="000000"/>
          <w:sz w:val="20"/>
          <w:szCs w:val="20"/>
        </w:rPr>
        <w:t>Artículo derogado a partir del 1 de julio de 2021, por el artículo </w:t>
      </w:r>
      <w:hyperlink r:id="rId2" w:anchor="265" w:history="1">
        <w:r w:rsidRPr="00A53F85">
          <w:rPr>
            <w:rStyle w:val="Hyperlink"/>
            <w:rFonts w:ascii="Arial" w:hAnsi="Arial" w:cs="Arial"/>
            <w:bCs/>
            <w:color w:val="000000"/>
            <w:sz w:val="20"/>
            <w:szCs w:val="20"/>
          </w:rPr>
          <w:t>265</w:t>
        </w:r>
      </w:hyperlink>
      <w:r w:rsidRPr="00A53F85">
        <w:rPr>
          <w:rFonts w:ascii="Arial" w:hAnsi="Arial" w:cs="Arial"/>
          <w:bCs/>
          <w:color w:val="000000"/>
          <w:sz w:val="20"/>
          <w:szCs w:val="20"/>
        </w:rPr>
        <w:t> de la Ley 1952 de 2019&gt;</w:t>
      </w:r>
    </w:p>
    <w:p w14:paraId="3BDA2E73" w14:textId="77777777" w:rsidR="0087776F" w:rsidRPr="00A53F85" w:rsidRDefault="0087776F" w:rsidP="0087776F">
      <w:pPr>
        <w:pStyle w:val="NormalWeb"/>
        <w:jc w:val="both"/>
        <w:rPr>
          <w:rFonts w:ascii="Arial" w:hAnsi="Arial" w:cs="Arial"/>
          <w:color w:val="4B4949"/>
          <w:sz w:val="20"/>
          <w:szCs w:val="20"/>
        </w:rPr>
      </w:pPr>
    </w:p>
    <w:p w14:paraId="3C34B8A9" w14:textId="77777777" w:rsidR="0087776F" w:rsidRPr="00FE4A9E" w:rsidRDefault="0087776F" w:rsidP="00FE4A9E">
      <w:pPr>
        <w:pStyle w:val="NormalWeb"/>
        <w:ind w:left="720"/>
        <w:jc w:val="both"/>
        <w:rPr>
          <w:rFonts w:ascii="Arial" w:hAnsi="Arial" w:cs="Arial"/>
          <w:sz w:val="20"/>
          <w:szCs w:val="20"/>
        </w:rPr>
      </w:pPr>
      <w:r w:rsidRPr="00FE4A9E">
        <w:rPr>
          <w:rFonts w:ascii="Arial" w:hAnsi="Arial" w:cs="Arial"/>
          <w:b/>
          <w:sz w:val="20"/>
          <w:szCs w:val="20"/>
        </w:rPr>
        <w:t>1</w:t>
      </w:r>
      <w:r w:rsidRPr="00FE4A9E">
        <w:rPr>
          <w:rFonts w:ascii="Arial" w:hAnsi="Arial" w:cs="Arial"/>
          <w:sz w:val="20"/>
          <w:szCs w:val="20"/>
        </w:rPr>
        <w:t>. La cuantía de la multa y el término de duración de la suspensión e inhabilidad se fijarán de acuerdo con los siguientes criterios:</w:t>
      </w:r>
    </w:p>
    <w:p w14:paraId="4D9CFECA" w14:textId="77777777" w:rsidR="0087776F" w:rsidRPr="00FE4A9E" w:rsidRDefault="0087776F" w:rsidP="00FE4A9E">
      <w:pPr>
        <w:pStyle w:val="NormalWeb"/>
        <w:ind w:left="720"/>
        <w:jc w:val="both"/>
        <w:rPr>
          <w:rFonts w:ascii="Arial" w:hAnsi="Arial" w:cs="Arial"/>
          <w:sz w:val="20"/>
          <w:szCs w:val="20"/>
        </w:rPr>
      </w:pPr>
      <w:r w:rsidRPr="00FE4A9E">
        <w:rPr>
          <w:rFonts w:ascii="Arial" w:hAnsi="Arial" w:cs="Arial"/>
          <w:sz w:val="20"/>
          <w:szCs w:val="20"/>
        </w:rPr>
        <w:t>a) Haber sido sancionado fiscal o disciplinariamente dentro de los cinco años anteriores a la comisión de la conducta que se investiga;</w:t>
      </w:r>
    </w:p>
    <w:p w14:paraId="1AE76B98" w14:textId="77777777" w:rsidR="0087776F" w:rsidRPr="00FE4A9E" w:rsidRDefault="0087776F" w:rsidP="00FE4A9E">
      <w:pPr>
        <w:pStyle w:val="NormalWeb"/>
        <w:ind w:firstLine="720"/>
        <w:jc w:val="both"/>
        <w:rPr>
          <w:rFonts w:ascii="Arial" w:hAnsi="Arial" w:cs="Arial"/>
          <w:sz w:val="20"/>
          <w:szCs w:val="20"/>
        </w:rPr>
      </w:pPr>
      <w:r w:rsidRPr="00FE4A9E">
        <w:rPr>
          <w:rFonts w:ascii="Arial" w:hAnsi="Arial" w:cs="Arial"/>
          <w:sz w:val="20"/>
          <w:szCs w:val="20"/>
        </w:rPr>
        <w:t>b) La diligencia y eficiencia demostrada en el desempeño del cargo o de la función;</w:t>
      </w:r>
    </w:p>
    <w:p w14:paraId="3B176263" w14:textId="77777777" w:rsidR="0087776F" w:rsidRPr="00FE4A9E" w:rsidRDefault="0087776F" w:rsidP="00FE4A9E">
      <w:pPr>
        <w:pStyle w:val="NormalWeb"/>
        <w:ind w:firstLine="720"/>
        <w:jc w:val="both"/>
        <w:rPr>
          <w:rFonts w:ascii="Arial" w:hAnsi="Arial" w:cs="Arial"/>
          <w:sz w:val="20"/>
          <w:szCs w:val="20"/>
        </w:rPr>
      </w:pPr>
      <w:r w:rsidRPr="00FE4A9E">
        <w:rPr>
          <w:rFonts w:ascii="Arial" w:hAnsi="Arial" w:cs="Arial"/>
          <w:sz w:val="20"/>
          <w:szCs w:val="20"/>
        </w:rPr>
        <w:t>c) Atribuir la responsabilidad infundadamente a un tercero;</w:t>
      </w:r>
    </w:p>
    <w:p w14:paraId="0B264456" w14:textId="77777777" w:rsidR="0087776F" w:rsidRPr="00FE4A9E" w:rsidRDefault="0087776F" w:rsidP="00FE4A9E">
      <w:pPr>
        <w:pStyle w:val="NormalWeb"/>
        <w:ind w:firstLine="720"/>
        <w:jc w:val="both"/>
        <w:rPr>
          <w:rFonts w:ascii="Arial" w:hAnsi="Arial" w:cs="Arial"/>
          <w:sz w:val="20"/>
          <w:szCs w:val="20"/>
        </w:rPr>
      </w:pPr>
      <w:r w:rsidRPr="00FE4A9E">
        <w:rPr>
          <w:rFonts w:ascii="Arial" w:hAnsi="Arial" w:cs="Arial"/>
          <w:sz w:val="20"/>
          <w:szCs w:val="20"/>
        </w:rPr>
        <w:t>d) La confesión de la falta </w:t>
      </w:r>
      <w:r w:rsidRPr="00FE4A9E">
        <w:rPr>
          <w:rFonts w:ascii="Arial" w:hAnsi="Arial" w:cs="Arial"/>
          <w:sz w:val="20"/>
          <w:szCs w:val="20"/>
          <w:u w:val="single"/>
        </w:rPr>
        <w:t>antes de la formulación de cargos</w:t>
      </w:r>
      <w:r w:rsidRPr="00FE4A9E">
        <w:rPr>
          <w:rFonts w:ascii="Arial" w:hAnsi="Arial" w:cs="Arial"/>
          <w:sz w:val="20"/>
          <w:szCs w:val="20"/>
        </w:rPr>
        <w:t>;</w:t>
      </w:r>
    </w:p>
    <w:p w14:paraId="56185EF3" w14:textId="77777777" w:rsidR="0087776F" w:rsidRPr="00FE4A9E" w:rsidRDefault="0087776F" w:rsidP="00FE4A9E">
      <w:pPr>
        <w:pStyle w:val="NormalWeb"/>
        <w:ind w:firstLine="720"/>
        <w:jc w:val="both"/>
        <w:rPr>
          <w:rFonts w:ascii="Arial" w:hAnsi="Arial" w:cs="Arial"/>
          <w:sz w:val="20"/>
          <w:szCs w:val="20"/>
        </w:rPr>
      </w:pPr>
      <w:r w:rsidRPr="00FE4A9E">
        <w:rPr>
          <w:rFonts w:ascii="Arial" w:hAnsi="Arial" w:cs="Arial"/>
          <w:sz w:val="20"/>
          <w:szCs w:val="20"/>
        </w:rPr>
        <w:t>e) Haber procurado, por iniciativa propia, resarcir el daño o compensar el perjuicio causado;</w:t>
      </w:r>
    </w:p>
    <w:p w14:paraId="7FFF6398" w14:textId="77777777" w:rsidR="0087776F" w:rsidRPr="00FE4A9E" w:rsidRDefault="0087776F" w:rsidP="00FE4A9E">
      <w:pPr>
        <w:pStyle w:val="NormalWeb"/>
        <w:ind w:left="720"/>
        <w:jc w:val="both"/>
        <w:rPr>
          <w:rFonts w:ascii="Arial" w:hAnsi="Arial" w:cs="Arial"/>
          <w:sz w:val="20"/>
          <w:szCs w:val="20"/>
        </w:rPr>
      </w:pPr>
      <w:r w:rsidRPr="00FE4A9E">
        <w:rPr>
          <w:rFonts w:ascii="Arial" w:hAnsi="Arial" w:cs="Arial"/>
          <w:sz w:val="20"/>
          <w:szCs w:val="20"/>
        </w:rPr>
        <w:t>f) Haber devuelto, restituido o reparado, según el caso, el bien afectado con la conducta constitutiva de la falta, siempre que la devolución, restitución o reparación no se hubieren decretado en otro proceso;</w:t>
      </w:r>
    </w:p>
    <w:p w14:paraId="039CBDD3" w14:textId="77777777" w:rsidR="0087776F" w:rsidRPr="00FE4A9E" w:rsidRDefault="0087776F" w:rsidP="00FE4A9E">
      <w:pPr>
        <w:pStyle w:val="NormalWeb"/>
        <w:ind w:left="720"/>
        <w:jc w:val="both"/>
        <w:rPr>
          <w:rFonts w:ascii="Arial" w:hAnsi="Arial" w:cs="Arial"/>
          <w:sz w:val="20"/>
          <w:szCs w:val="20"/>
        </w:rPr>
      </w:pPr>
      <w:r w:rsidRPr="00FE4A9E">
        <w:rPr>
          <w:rFonts w:ascii="Arial" w:hAnsi="Arial" w:cs="Arial"/>
          <w:sz w:val="20"/>
          <w:szCs w:val="20"/>
        </w:rPr>
        <w:t>g) El grave daño social de la conducta;</w:t>
      </w:r>
    </w:p>
    <w:p w14:paraId="2F2B0804" w14:textId="77777777" w:rsidR="0087776F" w:rsidRPr="00FE4A9E" w:rsidRDefault="0087776F" w:rsidP="00FE4A9E">
      <w:pPr>
        <w:pStyle w:val="NormalWeb"/>
        <w:ind w:left="720"/>
        <w:jc w:val="both"/>
        <w:rPr>
          <w:rFonts w:ascii="Arial" w:hAnsi="Arial" w:cs="Arial"/>
          <w:sz w:val="20"/>
          <w:szCs w:val="20"/>
        </w:rPr>
      </w:pPr>
      <w:r w:rsidRPr="00FE4A9E">
        <w:rPr>
          <w:rFonts w:ascii="Arial" w:hAnsi="Arial" w:cs="Arial"/>
          <w:sz w:val="20"/>
          <w:szCs w:val="20"/>
        </w:rPr>
        <w:t>h) La afectación a derechos fundamentales;</w:t>
      </w:r>
    </w:p>
    <w:p w14:paraId="20DF5C6B" w14:textId="77777777" w:rsidR="0087776F" w:rsidRPr="00FE4A9E" w:rsidRDefault="0087776F" w:rsidP="00FE4A9E">
      <w:pPr>
        <w:pStyle w:val="NormalWeb"/>
        <w:ind w:left="720"/>
        <w:jc w:val="both"/>
        <w:rPr>
          <w:rFonts w:ascii="Arial" w:hAnsi="Arial" w:cs="Arial"/>
          <w:sz w:val="20"/>
          <w:szCs w:val="20"/>
        </w:rPr>
      </w:pPr>
      <w:r w:rsidRPr="00FE4A9E">
        <w:rPr>
          <w:rFonts w:ascii="Arial" w:hAnsi="Arial" w:cs="Arial"/>
          <w:sz w:val="20"/>
          <w:szCs w:val="20"/>
        </w:rPr>
        <w:t>i) El conocimiento de la ilicitud;</w:t>
      </w:r>
    </w:p>
    <w:p w14:paraId="33E93BFB" w14:textId="77777777" w:rsidR="0087776F" w:rsidRPr="00FE4A9E" w:rsidRDefault="0087776F" w:rsidP="00FE4A9E">
      <w:pPr>
        <w:pStyle w:val="NormalWeb"/>
        <w:ind w:left="720"/>
        <w:jc w:val="both"/>
        <w:rPr>
          <w:rFonts w:ascii="Arial" w:hAnsi="Arial" w:cs="Arial"/>
          <w:sz w:val="20"/>
          <w:szCs w:val="20"/>
        </w:rPr>
      </w:pPr>
      <w:r w:rsidRPr="00FE4A9E">
        <w:rPr>
          <w:rFonts w:ascii="Arial" w:hAnsi="Arial" w:cs="Arial"/>
          <w:sz w:val="20"/>
          <w:szCs w:val="20"/>
        </w:rPr>
        <w:t xml:space="preserve"> j) Pertenecer el servidor público al nivel directivo o ejecutivo de la entidad.</w:t>
      </w:r>
    </w:p>
    <w:p w14:paraId="15AECE20" w14:textId="77777777" w:rsidR="0087776F" w:rsidRPr="00FE4A9E" w:rsidRDefault="0087776F" w:rsidP="00FE4A9E">
      <w:pPr>
        <w:pStyle w:val="NormalWeb"/>
        <w:ind w:left="720"/>
        <w:jc w:val="both"/>
        <w:rPr>
          <w:rFonts w:ascii="Arial" w:hAnsi="Arial" w:cs="Arial"/>
          <w:sz w:val="20"/>
          <w:szCs w:val="20"/>
        </w:rPr>
      </w:pPr>
      <w:r w:rsidRPr="00FE4A9E">
        <w:rPr>
          <w:rFonts w:ascii="Arial" w:hAnsi="Arial" w:cs="Arial"/>
          <w:b/>
          <w:sz w:val="20"/>
          <w:szCs w:val="20"/>
        </w:rPr>
        <w:t>2</w:t>
      </w:r>
      <w:r w:rsidRPr="00FE4A9E">
        <w:rPr>
          <w:rFonts w:ascii="Arial" w:hAnsi="Arial" w:cs="Arial"/>
          <w:sz w:val="20"/>
          <w:szCs w:val="20"/>
        </w:rPr>
        <w:t>. A quien, con una o varias acciones u omisiones, infrinja varias disposiciones de la ley disciplinaria o varias veces la misma disposición, se le graduará la sanción de acuerdo con los siguientes criterios:</w:t>
      </w:r>
    </w:p>
    <w:p w14:paraId="6E264F1B" w14:textId="77777777" w:rsidR="0087776F" w:rsidRPr="00FE4A9E" w:rsidRDefault="0087776F" w:rsidP="00FE4A9E">
      <w:pPr>
        <w:pStyle w:val="NormalWeb"/>
        <w:ind w:left="720"/>
        <w:jc w:val="both"/>
        <w:rPr>
          <w:rFonts w:ascii="Arial" w:hAnsi="Arial" w:cs="Arial"/>
          <w:sz w:val="20"/>
          <w:szCs w:val="20"/>
        </w:rPr>
      </w:pPr>
      <w:r w:rsidRPr="00FE4A9E">
        <w:rPr>
          <w:rFonts w:ascii="Arial" w:hAnsi="Arial" w:cs="Arial"/>
          <w:sz w:val="20"/>
          <w:szCs w:val="20"/>
        </w:rPr>
        <w:t>a) Si la sanción más grave es la destitución e inhabilidad general, esta última se incrementará hasta en otro tanto, sin exceder el máximo legal;</w:t>
      </w:r>
    </w:p>
    <w:p w14:paraId="4EB5A276" w14:textId="77777777" w:rsidR="0087776F" w:rsidRPr="00FE4A9E" w:rsidRDefault="0087776F" w:rsidP="00FE4A9E">
      <w:pPr>
        <w:pStyle w:val="NormalWeb"/>
        <w:ind w:left="720"/>
        <w:jc w:val="both"/>
        <w:rPr>
          <w:rFonts w:ascii="Arial" w:hAnsi="Arial" w:cs="Arial"/>
          <w:sz w:val="20"/>
          <w:szCs w:val="20"/>
        </w:rPr>
      </w:pPr>
      <w:r w:rsidRPr="00FE4A9E">
        <w:rPr>
          <w:rFonts w:ascii="Arial" w:hAnsi="Arial" w:cs="Arial"/>
          <w:sz w:val="20"/>
          <w:szCs w:val="20"/>
        </w:rPr>
        <w:t>b) Si la sanción más grave es la suspensión e inhabilidad especial, se incrementará hasta en otro tanto, sin exceder el máximo legal;</w:t>
      </w:r>
    </w:p>
    <w:p w14:paraId="29267930" w14:textId="77777777" w:rsidR="0087776F" w:rsidRPr="00FE4A9E" w:rsidRDefault="0087776F" w:rsidP="00FE4A9E">
      <w:pPr>
        <w:pStyle w:val="NormalWeb"/>
        <w:ind w:left="720"/>
        <w:jc w:val="both"/>
        <w:rPr>
          <w:rFonts w:ascii="Arial" w:hAnsi="Arial" w:cs="Arial"/>
          <w:sz w:val="20"/>
          <w:szCs w:val="20"/>
        </w:rPr>
      </w:pPr>
      <w:r w:rsidRPr="00FE4A9E">
        <w:rPr>
          <w:rFonts w:ascii="Arial" w:hAnsi="Arial" w:cs="Arial"/>
          <w:sz w:val="20"/>
          <w:szCs w:val="20"/>
        </w:rPr>
        <w:t>c) Si la sanción más grave es la suspensión, esta se incrementará hasta en otro tanto, sin exceder el máximo legal;</w:t>
      </w:r>
    </w:p>
    <w:p w14:paraId="4403E4A1" w14:textId="77777777" w:rsidR="0087776F" w:rsidRPr="00FE4A9E" w:rsidRDefault="0087776F" w:rsidP="00FE4A9E">
      <w:pPr>
        <w:pStyle w:val="NormalWeb"/>
        <w:ind w:left="720"/>
        <w:jc w:val="both"/>
        <w:rPr>
          <w:rFonts w:ascii="Arial" w:hAnsi="Arial" w:cs="Arial"/>
          <w:sz w:val="20"/>
          <w:szCs w:val="20"/>
        </w:rPr>
      </w:pPr>
      <w:r w:rsidRPr="00FE4A9E">
        <w:rPr>
          <w:rFonts w:ascii="Arial" w:hAnsi="Arial" w:cs="Arial"/>
          <w:sz w:val="20"/>
          <w:szCs w:val="20"/>
        </w:rPr>
        <w:t>d) Si las sanciones son de multa se impondrá la más grave aumentada en otro tanto, sin exceder el máximo legal;</w:t>
      </w:r>
    </w:p>
    <w:p w14:paraId="6466C52F" w14:textId="77777777" w:rsidR="0087776F" w:rsidRPr="00A53F85" w:rsidRDefault="0087776F" w:rsidP="0087776F">
      <w:pPr>
        <w:pStyle w:val="NormalWeb"/>
        <w:spacing w:line="270" w:lineRule="atLeast"/>
        <w:jc w:val="both"/>
        <w:rPr>
          <w:rFonts w:ascii="Arial" w:hAnsi="Arial" w:cs="Arial"/>
          <w:sz w:val="20"/>
          <w:szCs w:val="20"/>
        </w:rPr>
      </w:pPr>
    </w:p>
  </w:footnote>
  <w:footnote w:id="7">
    <w:p w14:paraId="184E43C6" w14:textId="77777777" w:rsidR="00FA2ADB" w:rsidRPr="00A53F85" w:rsidRDefault="00FA2ADB" w:rsidP="00FA2ADB">
      <w:pPr>
        <w:jc w:val="both"/>
        <w:rPr>
          <w:rFonts w:ascii="Arial" w:hAnsi="Arial" w:cs="Arial"/>
          <w:sz w:val="20"/>
          <w:szCs w:val="20"/>
        </w:rPr>
      </w:pPr>
      <w:r w:rsidRPr="00A53F85">
        <w:rPr>
          <w:rStyle w:val="FootnoteReference"/>
          <w:rFonts w:ascii="Arial" w:hAnsi="Arial" w:cs="Arial"/>
          <w:sz w:val="20"/>
          <w:szCs w:val="20"/>
        </w:rPr>
        <w:footnoteRef/>
      </w:r>
      <w:r w:rsidRPr="00A53F85">
        <w:rPr>
          <w:rFonts w:ascii="Arial" w:hAnsi="Arial" w:cs="Arial"/>
          <w:sz w:val="20"/>
          <w:szCs w:val="20"/>
        </w:rPr>
        <w:t xml:space="preserve"> </w:t>
      </w:r>
      <w:r w:rsidRPr="00A53F85">
        <w:rPr>
          <w:rStyle w:val="Strong"/>
          <w:rFonts w:ascii="Arial" w:hAnsi="Arial" w:cs="Arial"/>
          <w:b w:val="0"/>
          <w:bCs/>
          <w:sz w:val="20"/>
          <w:szCs w:val="20"/>
        </w:rPr>
        <w:t xml:space="preserve">Consejo de Estado Sección Tercera, Sentencia 25000233600020140109701 (55999), Sep. 21/17 </w:t>
      </w:r>
      <w:r w:rsidRPr="00A53F85">
        <w:rPr>
          <w:rFonts w:ascii="Arial" w:hAnsi="Arial" w:cs="Arial"/>
          <w:b/>
          <w:sz w:val="20"/>
          <w:szCs w:val="20"/>
        </w:rPr>
        <w:t xml:space="preserve">Consejero </w:t>
      </w:r>
      <w:r w:rsidRPr="00A53F85">
        <w:rPr>
          <w:rFonts w:ascii="Arial" w:hAnsi="Arial" w:cs="Arial"/>
          <w:sz w:val="20"/>
          <w:szCs w:val="20"/>
        </w:rPr>
        <w:t>Ponente: Dr. Ramiro Pazos Guerrero.</w:t>
      </w:r>
    </w:p>
    <w:p w14:paraId="0D8ABB21" w14:textId="77777777" w:rsidR="00FA2ADB" w:rsidRPr="00A53F85" w:rsidRDefault="00FA2ADB" w:rsidP="00FA2ADB">
      <w:pPr>
        <w:jc w:val="both"/>
        <w:rPr>
          <w:rFonts w:ascii="Arial" w:hAnsi="Arial" w:cs="Arial"/>
          <w:sz w:val="20"/>
          <w:szCs w:val="20"/>
        </w:rPr>
      </w:pPr>
    </w:p>
  </w:footnote>
  <w:footnote w:id="8">
    <w:p w14:paraId="1E399D4F" w14:textId="77777777" w:rsidR="00FA2ADB" w:rsidRPr="00A53F85" w:rsidRDefault="00FA2ADB" w:rsidP="00FA2ADB">
      <w:pPr>
        <w:shd w:val="clear" w:color="auto" w:fill="FFFFFF"/>
        <w:rPr>
          <w:rFonts w:ascii="Arial" w:hAnsi="Arial" w:cs="Arial"/>
          <w:color w:val="333333"/>
          <w:sz w:val="20"/>
          <w:szCs w:val="20"/>
          <w:lang w:eastAsia="es-CO"/>
        </w:rPr>
      </w:pPr>
      <w:r w:rsidRPr="00A53F85">
        <w:rPr>
          <w:rStyle w:val="FootnoteReference"/>
          <w:rFonts w:ascii="Arial" w:hAnsi="Arial" w:cs="Arial"/>
          <w:sz w:val="20"/>
          <w:szCs w:val="20"/>
        </w:rPr>
        <w:footnoteRef/>
      </w:r>
      <w:r w:rsidRPr="00A53F85">
        <w:rPr>
          <w:rFonts w:ascii="Arial" w:hAnsi="Arial" w:cs="Arial"/>
          <w:sz w:val="20"/>
          <w:szCs w:val="20"/>
        </w:rPr>
        <w:t xml:space="preserve"> </w:t>
      </w:r>
      <w:r w:rsidRPr="00A53F85">
        <w:rPr>
          <w:rFonts w:ascii="Arial" w:hAnsi="Arial" w:cs="Arial"/>
          <w:color w:val="333333"/>
          <w:sz w:val="20"/>
          <w:szCs w:val="20"/>
          <w:lang w:eastAsia="es-CO"/>
        </w:rPr>
        <w:t>Consejo de Estado Sección Tercera, Sentencia 76001233100020020178501 (39515), Nov. 15/17.</w:t>
      </w:r>
      <w:r w:rsidRPr="00A53F85">
        <w:rPr>
          <w:rFonts w:ascii="Arial" w:hAnsi="Arial" w:cs="Arial"/>
          <w:color w:val="000000"/>
          <w:sz w:val="20"/>
          <w:szCs w:val="20"/>
        </w:rPr>
        <w:t>Consejero Ponente: Dr. Jaime Orlando Santofimio Gamboa.</w:t>
      </w:r>
    </w:p>
    <w:p w14:paraId="23549BA5" w14:textId="77777777" w:rsidR="00FA2ADB" w:rsidRPr="00A53F85" w:rsidRDefault="00FA2ADB" w:rsidP="00FA2ADB">
      <w:pPr>
        <w:shd w:val="clear" w:color="auto" w:fill="FFFFFF"/>
        <w:rPr>
          <w:rFonts w:ascii="Arial" w:hAnsi="Arial" w:cs="Arial"/>
          <w:sz w:val="20"/>
          <w:szCs w:val="20"/>
        </w:rPr>
      </w:pPr>
    </w:p>
  </w:footnote>
  <w:footnote w:id="9">
    <w:p w14:paraId="7FE3C867" w14:textId="77777777" w:rsidR="00FA2ADB" w:rsidRPr="00A53F85" w:rsidRDefault="00FA2ADB" w:rsidP="00FA2ADB">
      <w:pPr>
        <w:pStyle w:val="FootnoteText"/>
        <w:rPr>
          <w:rFonts w:ascii="Arial" w:hAnsi="Arial" w:cs="Arial"/>
        </w:rPr>
      </w:pPr>
      <w:r w:rsidRPr="00A53F85">
        <w:rPr>
          <w:rStyle w:val="FootnoteReference"/>
          <w:rFonts w:ascii="Arial" w:hAnsi="Arial" w:cs="Arial"/>
        </w:rPr>
        <w:footnoteRef/>
      </w:r>
      <w:r w:rsidRPr="00A53F85">
        <w:rPr>
          <w:rFonts w:ascii="Arial" w:hAnsi="Arial" w:cs="Arial"/>
        </w:rPr>
        <w:t xml:space="preserve"> Corte Constitucional, Revisión constitucional del proyecto de ley número 58/94 Senado y 264/95 Cámara, “</w:t>
      </w:r>
      <w:r w:rsidRPr="00A53F85">
        <w:rPr>
          <w:rFonts w:ascii="Arial" w:hAnsi="Arial" w:cs="Arial"/>
          <w:i/>
        </w:rPr>
        <w:t>Estatutaria de la Administración de Justicia”</w:t>
      </w:r>
      <w:r w:rsidRPr="00A53F85">
        <w:rPr>
          <w:rFonts w:ascii="Arial" w:hAnsi="Arial" w:cs="Arial"/>
        </w:rPr>
        <w:t>.</w:t>
      </w:r>
    </w:p>
    <w:p w14:paraId="608C11D9" w14:textId="77777777" w:rsidR="00FA2ADB" w:rsidRDefault="00FA2ADB" w:rsidP="00FA2ADB">
      <w:pPr>
        <w:pStyle w:val="FootnoteText"/>
      </w:pPr>
    </w:p>
    <w:p w14:paraId="7895AA8A" w14:textId="77777777" w:rsidR="00FA2ADB" w:rsidRDefault="00FA2ADB" w:rsidP="00FA2AD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094C8" w14:textId="0D2EFA98" w:rsidR="0085485A" w:rsidRDefault="00FE4A9E">
    <w:pPr>
      <w:pStyle w:val="Header"/>
    </w:pPr>
    <w:r>
      <w:rPr>
        <w:noProof/>
        <w:lang w:eastAsia="en-GB"/>
      </w:rPr>
      <w:drawing>
        <wp:inline distT="0" distB="0" distL="0" distR="0" wp14:anchorId="040623ED" wp14:editId="7A9CDB04">
          <wp:extent cx="3303270" cy="657225"/>
          <wp:effectExtent l="0" t="0" r="0" b="9525"/>
          <wp:docPr id="25" name="Imagen 25"/>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bwMode="auto">
                  <a:xfrm>
                    <a:off x="0" y="0"/>
                    <a:ext cx="3303270" cy="657225"/>
                  </a:xfrm>
                  <a:prstGeom prst="rect">
                    <a:avLst/>
                  </a:prstGeom>
                  <a:ln>
                    <a:noFill/>
                  </a:ln>
                  <a:extLst>
                    <a:ext uri="{53640926-AAD7-44D8-BBD7-CCE9431645EC}">
                      <a14:shadowObscured xmlns:a14="http://schemas.microsoft.com/office/drawing/2010/main"/>
                    </a:ext>
                  </a:extLst>
                </pic:spPr>
              </pic:pic>
            </a:graphicData>
          </a:graphic>
        </wp:inline>
      </w:drawing>
    </w:r>
  </w:p>
  <w:p w14:paraId="544F3327" w14:textId="164D44AB" w:rsidR="0085485A" w:rsidRDefault="008548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04175"/>
    <w:multiLevelType w:val="hybridMultilevel"/>
    <w:tmpl w:val="173231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45387E"/>
    <w:multiLevelType w:val="hybridMultilevel"/>
    <w:tmpl w:val="BBD434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ADB5D4C"/>
    <w:multiLevelType w:val="multilevel"/>
    <w:tmpl w:val="0DDE6728"/>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0B7240"/>
    <w:multiLevelType w:val="hybridMultilevel"/>
    <w:tmpl w:val="B59E08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E57563F"/>
    <w:multiLevelType w:val="hybridMultilevel"/>
    <w:tmpl w:val="A5A2D2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F5E4AB6"/>
    <w:multiLevelType w:val="hybridMultilevel"/>
    <w:tmpl w:val="DEF631A8"/>
    <w:lvl w:ilvl="0" w:tplc="5E403F3A">
      <w:start w:val="1"/>
      <w:numFmt w:val="decimal"/>
      <w:lvlText w:val="%1."/>
      <w:lvlJc w:val="left"/>
      <w:pPr>
        <w:ind w:left="786" w:hanging="360"/>
      </w:pPr>
      <w:rPr>
        <w:rFonts w:ascii="Arial" w:hAnsi="Arial" w:cs="Arial" w:hint="default"/>
        <w:b/>
        <w:sz w:val="22"/>
        <w:szCs w:val="22"/>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2303F70"/>
    <w:multiLevelType w:val="multilevel"/>
    <w:tmpl w:val="1ECE39CC"/>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0E6EEE"/>
    <w:multiLevelType w:val="hybridMultilevel"/>
    <w:tmpl w:val="B768C5AC"/>
    <w:lvl w:ilvl="0" w:tplc="F3DCD59C">
      <w:start w:val="1"/>
      <w:numFmt w:val="decimal"/>
      <w:lvlText w:val="%1."/>
      <w:lvlJc w:val="left"/>
      <w:pPr>
        <w:ind w:left="920"/>
      </w:pPr>
      <w:rPr>
        <w:rFonts w:ascii="Arial" w:eastAsia="Times New Roman" w:hAnsi="Arial" w:cs="Arial"/>
        <w:b w:val="0"/>
        <w:i/>
        <w:iCs/>
        <w:strike w:val="0"/>
        <w:dstrike w:val="0"/>
        <w:color w:val="000000"/>
        <w:sz w:val="18"/>
        <w:szCs w:val="18"/>
        <w:u w:val="none" w:color="000000"/>
        <w:vertAlign w:val="baseline"/>
      </w:rPr>
    </w:lvl>
    <w:lvl w:ilvl="1" w:tplc="70A4B8D8">
      <w:start w:val="1"/>
      <w:numFmt w:val="lowerLetter"/>
      <w:lvlText w:val="%2"/>
      <w:lvlJc w:val="left"/>
      <w:pPr>
        <w:ind w:left="1375"/>
      </w:pPr>
      <w:rPr>
        <w:rFonts w:ascii="Arial" w:eastAsia="Times New Roman" w:hAnsi="Arial" w:cs="Arial"/>
        <w:b w:val="0"/>
        <w:i/>
        <w:iCs/>
        <w:strike w:val="0"/>
        <w:dstrike w:val="0"/>
        <w:color w:val="000000"/>
        <w:sz w:val="22"/>
        <w:szCs w:val="22"/>
        <w:u w:val="none" w:color="000000"/>
        <w:vertAlign w:val="baseline"/>
      </w:rPr>
    </w:lvl>
    <w:lvl w:ilvl="2" w:tplc="B5DC3560">
      <w:start w:val="1"/>
      <w:numFmt w:val="lowerRoman"/>
      <w:lvlText w:val="%3"/>
      <w:lvlJc w:val="left"/>
      <w:pPr>
        <w:ind w:left="2095"/>
      </w:pPr>
      <w:rPr>
        <w:rFonts w:ascii="Arial" w:eastAsia="Times New Roman" w:hAnsi="Arial" w:cs="Arial"/>
        <w:b w:val="0"/>
        <w:i/>
        <w:iCs/>
        <w:strike w:val="0"/>
        <w:dstrike w:val="0"/>
        <w:color w:val="000000"/>
        <w:sz w:val="22"/>
        <w:szCs w:val="22"/>
        <w:u w:val="none" w:color="000000"/>
        <w:vertAlign w:val="baseline"/>
      </w:rPr>
    </w:lvl>
    <w:lvl w:ilvl="3" w:tplc="EAB6CCBC">
      <w:start w:val="1"/>
      <w:numFmt w:val="decimal"/>
      <w:lvlText w:val="%4"/>
      <w:lvlJc w:val="left"/>
      <w:pPr>
        <w:ind w:left="2815"/>
      </w:pPr>
      <w:rPr>
        <w:rFonts w:ascii="Arial" w:eastAsia="Times New Roman" w:hAnsi="Arial" w:cs="Arial"/>
        <w:b w:val="0"/>
        <w:i/>
        <w:iCs/>
        <w:strike w:val="0"/>
        <w:dstrike w:val="0"/>
        <w:color w:val="000000"/>
        <w:sz w:val="22"/>
        <w:szCs w:val="22"/>
        <w:u w:val="none" w:color="000000"/>
        <w:vertAlign w:val="baseline"/>
      </w:rPr>
    </w:lvl>
    <w:lvl w:ilvl="4" w:tplc="DF6832DC">
      <w:start w:val="1"/>
      <w:numFmt w:val="lowerLetter"/>
      <w:lvlText w:val="%5"/>
      <w:lvlJc w:val="left"/>
      <w:pPr>
        <w:ind w:left="3535"/>
      </w:pPr>
      <w:rPr>
        <w:rFonts w:ascii="Arial" w:eastAsia="Times New Roman" w:hAnsi="Arial" w:cs="Arial"/>
        <w:b w:val="0"/>
        <w:i/>
        <w:iCs/>
        <w:strike w:val="0"/>
        <w:dstrike w:val="0"/>
        <w:color w:val="000000"/>
        <w:sz w:val="22"/>
        <w:szCs w:val="22"/>
        <w:u w:val="none" w:color="000000"/>
        <w:vertAlign w:val="baseline"/>
      </w:rPr>
    </w:lvl>
    <w:lvl w:ilvl="5" w:tplc="8C2E6A1E">
      <w:start w:val="1"/>
      <w:numFmt w:val="lowerRoman"/>
      <w:lvlText w:val="%6"/>
      <w:lvlJc w:val="left"/>
      <w:pPr>
        <w:ind w:left="4255"/>
      </w:pPr>
      <w:rPr>
        <w:rFonts w:ascii="Arial" w:eastAsia="Times New Roman" w:hAnsi="Arial" w:cs="Arial"/>
        <w:b w:val="0"/>
        <w:i/>
        <w:iCs/>
        <w:strike w:val="0"/>
        <w:dstrike w:val="0"/>
        <w:color w:val="000000"/>
        <w:sz w:val="22"/>
        <w:szCs w:val="22"/>
        <w:u w:val="none" w:color="000000"/>
        <w:vertAlign w:val="baseline"/>
      </w:rPr>
    </w:lvl>
    <w:lvl w:ilvl="6" w:tplc="72640AAA">
      <w:start w:val="1"/>
      <w:numFmt w:val="decimal"/>
      <w:lvlText w:val="%7"/>
      <w:lvlJc w:val="left"/>
      <w:pPr>
        <w:ind w:left="4975"/>
      </w:pPr>
      <w:rPr>
        <w:rFonts w:ascii="Arial" w:eastAsia="Times New Roman" w:hAnsi="Arial" w:cs="Arial"/>
        <w:b w:val="0"/>
        <w:i/>
        <w:iCs/>
        <w:strike w:val="0"/>
        <w:dstrike w:val="0"/>
        <w:color w:val="000000"/>
        <w:sz w:val="22"/>
        <w:szCs w:val="22"/>
        <w:u w:val="none" w:color="000000"/>
        <w:vertAlign w:val="baseline"/>
      </w:rPr>
    </w:lvl>
    <w:lvl w:ilvl="7" w:tplc="6DFCE40E">
      <w:start w:val="1"/>
      <w:numFmt w:val="lowerLetter"/>
      <w:lvlText w:val="%8"/>
      <w:lvlJc w:val="left"/>
      <w:pPr>
        <w:ind w:left="5695"/>
      </w:pPr>
      <w:rPr>
        <w:rFonts w:ascii="Arial" w:eastAsia="Times New Roman" w:hAnsi="Arial" w:cs="Arial"/>
        <w:b w:val="0"/>
        <w:i/>
        <w:iCs/>
        <w:strike w:val="0"/>
        <w:dstrike w:val="0"/>
        <w:color w:val="000000"/>
        <w:sz w:val="22"/>
        <w:szCs w:val="22"/>
        <w:u w:val="none" w:color="000000"/>
        <w:vertAlign w:val="baseline"/>
      </w:rPr>
    </w:lvl>
    <w:lvl w:ilvl="8" w:tplc="7F1E3BA0">
      <w:start w:val="1"/>
      <w:numFmt w:val="lowerRoman"/>
      <w:lvlText w:val="%9"/>
      <w:lvlJc w:val="left"/>
      <w:pPr>
        <w:ind w:left="6415"/>
      </w:pPr>
      <w:rPr>
        <w:rFonts w:ascii="Arial" w:eastAsia="Times New Roman" w:hAnsi="Arial" w:cs="Arial"/>
        <w:b w:val="0"/>
        <w:i/>
        <w:iCs/>
        <w:strike w:val="0"/>
        <w:dstrike w:val="0"/>
        <w:color w:val="000000"/>
        <w:sz w:val="22"/>
        <w:szCs w:val="22"/>
        <w:u w:val="none" w:color="000000"/>
        <w:vertAlign w:val="baseline"/>
      </w:rPr>
    </w:lvl>
  </w:abstractNum>
  <w:abstractNum w:abstractNumId="8" w15:restartNumberingAfterBreak="0">
    <w:nsid w:val="5C7711B0"/>
    <w:multiLevelType w:val="hybridMultilevel"/>
    <w:tmpl w:val="9CA4D930"/>
    <w:lvl w:ilvl="0" w:tplc="80B07248">
      <w:start w:val="1"/>
      <w:numFmt w:val="decimal"/>
      <w:lvlText w:val="%1."/>
      <w:lvlJc w:val="left"/>
      <w:pPr>
        <w:ind w:left="920"/>
      </w:pPr>
      <w:rPr>
        <w:rFonts w:ascii="Arial" w:eastAsia="Times New Roman" w:hAnsi="Arial" w:cs="Arial"/>
        <w:b w:val="0"/>
        <w:i/>
        <w:iCs/>
        <w:strike w:val="0"/>
        <w:dstrike w:val="0"/>
        <w:color w:val="000000"/>
        <w:sz w:val="18"/>
        <w:szCs w:val="18"/>
        <w:u w:val="none" w:color="000000"/>
        <w:vertAlign w:val="baseline"/>
      </w:rPr>
    </w:lvl>
    <w:lvl w:ilvl="1" w:tplc="196A746E">
      <w:start w:val="1"/>
      <w:numFmt w:val="lowerLetter"/>
      <w:lvlText w:val="%2"/>
      <w:lvlJc w:val="left"/>
      <w:pPr>
        <w:ind w:left="1206"/>
      </w:pPr>
      <w:rPr>
        <w:rFonts w:ascii="Arial" w:eastAsia="Times New Roman" w:hAnsi="Arial" w:cs="Arial"/>
        <w:b w:val="0"/>
        <w:i/>
        <w:iCs/>
        <w:strike w:val="0"/>
        <w:dstrike w:val="0"/>
        <w:color w:val="000000"/>
        <w:sz w:val="22"/>
        <w:szCs w:val="22"/>
        <w:u w:val="none" w:color="000000"/>
        <w:vertAlign w:val="baseline"/>
      </w:rPr>
    </w:lvl>
    <w:lvl w:ilvl="2" w:tplc="1F764012">
      <w:start w:val="1"/>
      <w:numFmt w:val="lowerRoman"/>
      <w:lvlText w:val="%3"/>
      <w:lvlJc w:val="left"/>
      <w:pPr>
        <w:ind w:left="1926"/>
      </w:pPr>
      <w:rPr>
        <w:rFonts w:ascii="Arial" w:eastAsia="Times New Roman" w:hAnsi="Arial" w:cs="Arial"/>
        <w:b w:val="0"/>
        <w:i/>
        <w:iCs/>
        <w:strike w:val="0"/>
        <w:dstrike w:val="0"/>
        <w:color w:val="000000"/>
        <w:sz w:val="22"/>
        <w:szCs w:val="22"/>
        <w:u w:val="none" w:color="000000"/>
        <w:vertAlign w:val="baseline"/>
      </w:rPr>
    </w:lvl>
    <w:lvl w:ilvl="3" w:tplc="4CACB3F2">
      <w:start w:val="1"/>
      <w:numFmt w:val="decimal"/>
      <w:lvlText w:val="%4"/>
      <w:lvlJc w:val="left"/>
      <w:pPr>
        <w:ind w:left="2646"/>
      </w:pPr>
      <w:rPr>
        <w:rFonts w:ascii="Arial" w:eastAsia="Times New Roman" w:hAnsi="Arial" w:cs="Arial"/>
        <w:b w:val="0"/>
        <w:i/>
        <w:iCs/>
        <w:strike w:val="0"/>
        <w:dstrike w:val="0"/>
        <w:color w:val="000000"/>
        <w:sz w:val="22"/>
        <w:szCs w:val="22"/>
        <w:u w:val="none" w:color="000000"/>
        <w:vertAlign w:val="baseline"/>
      </w:rPr>
    </w:lvl>
    <w:lvl w:ilvl="4" w:tplc="FA5E8D48">
      <w:start w:val="1"/>
      <w:numFmt w:val="lowerLetter"/>
      <w:lvlText w:val="%5"/>
      <w:lvlJc w:val="left"/>
      <w:pPr>
        <w:ind w:left="3366"/>
      </w:pPr>
      <w:rPr>
        <w:rFonts w:ascii="Arial" w:eastAsia="Times New Roman" w:hAnsi="Arial" w:cs="Arial"/>
        <w:b w:val="0"/>
        <w:i/>
        <w:iCs/>
        <w:strike w:val="0"/>
        <w:dstrike w:val="0"/>
        <w:color w:val="000000"/>
        <w:sz w:val="22"/>
        <w:szCs w:val="22"/>
        <w:u w:val="none" w:color="000000"/>
        <w:vertAlign w:val="baseline"/>
      </w:rPr>
    </w:lvl>
    <w:lvl w:ilvl="5" w:tplc="7AD6E9D0">
      <w:start w:val="1"/>
      <w:numFmt w:val="lowerRoman"/>
      <w:lvlText w:val="%6"/>
      <w:lvlJc w:val="left"/>
      <w:pPr>
        <w:ind w:left="4086"/>
      </w:pPr>
      <w:rPr>
        <w:rFonts w:ascii="Arial" w:eastAsia="Times New Roman" w:hAnsi="Arial" w:cs="Arial"/>
        <w:b w:val="0"/>
        <w:i/>
        <w:iCs/>
        <w:strike w:val="0"/>
        <w:dstrike w:val="0"/>
        <w:color w:val="000000"/>
        <w:sz w:val="22"/>
        <w:szCs w:val="22"/>
        <w:u w:val="none" w:color="000000"/>
        <w:vertAlign w:val="baseline"/>
      </w:rPr>
    </w:lvl>
    <w:lvl w:ilvl="6" w:tplc="57EC4B5C">
      <w:start w:val="1"/>
      <w:numFmt w:val="decimal"/>
      <w:lvlText w:val="%7"/>
      <w:lvlJc w:val="left"/>
      <w:pPr>
        <w:ind w:left="4806"/>
      </w:pPr>
      <w:rPr>
        <w:rFonts w:ascii="Arial" w:eastAsia="Times New Roman" w:hAnsi="Arial" w:cs="Arial"/>
        <w:b w:val="0"/>
        <w:i/>
        <w:iCs/>
        <w:strike w:val="0"/>
        <w:dstrike w:val="0"/>
        <w:color w:val="000000"/>
        <w:sz w:val="22"/>
        <w:szCs w:val="22"/>
        <w:u w:val="none" w:color="000000"/>
        <w:vertAlign w:val="baseline"/>
      </w:rPr>
    </w:lvl>
    <w:lvl w:ilvl="7" w:tplc="831E95B6">
      <w:start w:val="1"/>
      <w:numFmt w:val="lowerLetter"/>
      <w:lvlText w:val="%8"/>
      <w:lvlJc w:val="left"/>
      <w:pPr>
        <w:ind w:left="5526"/>
      </w:pPr>
      <w:rPr>
        <w:rFonts w:ascii="Arial" w:eastAsia="Times New Roman" w:hAnsi="Arial" w:cs="Arial"/>
        <w:b w:val="0"/>
        <w:i/>
        <w:iCs/>
        <w:strike w:val="0"/>
        <w:dstrike w:val="0"/>
        <w:color w:val="000000"/>
        <w:sz w:val="22"/>
        <w:szCs w:val="22"/>
        <w:u w:val="none" w:color="000000"/>
        <w:vertAlign w:val="baseline"/>
      </w:rPr>
    </w:lvl>
    <w:lvl w:ilvl="8" w:tplc="DDB64382">
      <w:start w:val="1"/>
      <w:numFmt w:val="lowerRoman"/>
      <w:lvlText w:val="%9"/>
      <w:lvlJc w:val="left"/>
      <w:pPr>
        <w:ind w:left="6246"/>
      </w:pPr>
      <w:rPr>
        <w:rFonts w:ascii="Arial" w:eastAsia="Times New Roman" w:hAnsi="Arial" w:cs="Arial"/>
        <w:b w:val="0"/>
        <w:i/>
        <w:iCs/>
        <w:strike w:val="0"/>
        <w:dstrike w:val="0"/>
        <w:color w:val="000000"/>
        <w:sz w:val="22"/>
        <w:szCs w:val="22"/>
        <w:u w:val="none" w:color="000000"/>
        <w:vertAlign w:val="baseline"/>
      </w:rPr>
    </w:lvl>
  </w:abstractNum>
  <w:abstractNum w:abstractNumId="9" w15:restartNumberingAfterBreak="0">
    <w:nsid w:val="5D2D620B"/>
    <w:multiLevelType w:val="hybridMultilevel"/>
    <w:tmpl w:val="44E438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3BD7B39"/>
    <w:multiLevelType w:val="multilevel"/>
    <w:tmpl w:val="F49E02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8"/>
  </w:num>
  <w:num w:numId="4">
    <w:abstractNumId w:val="2"/>
  </w:num>
  <w:num w:numId="5">
    <w:abstractNumId w:val="9"/>
  </w:num>
  <w:num w:numId="6">
    <w:abstractNumId w:val="10"/>
  </w:num>
  <w:num w:numId="7">
    <w:abstractNumId w:val="6"/>
  </w:num>
  <w:num w:numId="8">
    <w:abstractNumId w:val="4"/>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A4F"/>
    <w:rsid w:val="00203A4F"/>
    <w:rsid w:val="004B1D30"/>
    <w:rsid w:val="00552FDD"/>
    <w:rsid w:val="00600DC0"/>
    <w:rsid w:val="006F2E4C"/>
    <w:rsid w:val="0085485A"/>
    <w:rsid w:val="0087776F"/>
    <w:rsid w:val="00A33DB9"/>
    <w:rsid w:val="00A44757"/>
    <w:rsid w:val="00A53F85"/>
    <w:rsid w:val="00C93837"/>
    <w:rsid w:val="00CF2308"/>
    <w:rsid w:val="00E94333"/>
    <w:rsid w:val="00EA3E41"/>
    <w:rsid w:val="00FA2ADB"/>
    <w:rsid w:val="00FE4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84EEC"/>
  <w15:chartTrackingRefBased/>
  <w15:docId w15:val="{24F0048A-5BDE-3C4B-8BE4-AF5F1C0E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03A4F"/>
  </w:style>
  <w:style w:type="character" w:customStyle="1" w:styleId="markl2nwjr5l9">
    <w:name w:val="markl2nwjr5l9"/>
    <w:basedOn w:val="DefaultParagraphFont"/>
    <w:rsid w:val="00203A4F"/>
  </w:style>
  <w:style w:type="paragraph" w:styleId="ListParagraph">
    <w:name w:val="List Paragraph"/>
    <w:basedOn w:val="Normal"/>
    <w:uiPriority w:val="34"/>
    <w:qFormat/>
    <w:rsid w:val="00600DC0"/>
    <w:pPr>
      <w:ind w:left="720"/>
      <w:contextualSpacing/>
    </w:pPr>
  </w:style>
  <w:style w:type="paragraph" w:styleId="NormalWeb">
    <w:name w:val="Normal (Web)"/>
    <w:basedOn w:val="Normal"/>
    <w:uiPriority w:val="99"/>
    <w:semiHidden/>
    <w:unhideWhenUsed/>
    <w:rsid w:val="00600DC0"/>
    <w:rPr>
      <w:rFonts w:ascii="Times New Roman" w:hAnsi="Times New Roman" w:cs="Times New Roman"/>
    </w:rPr>
  </w:style>
  <w:style w:type="paragraph" w:styleId="FootnoteText">
    <w:name w:val="footnote text"/>
    <w:basedOn w:val="Normal"/>
    <w:link w:val="FootnoteTextChar"/>
    <w:rsid w:val="00600DC0"/>
    <w:rPr>
      <w:rFonts w:ascii="Times New Roman" w:eastAsia="Calibri" w:hAnsi="Times New Roman" w:cs="Times New Roman"/>
      <w:sz w:val="20"/>
      <w:szCs w:val="20"/>
      <w:lang w:val="es-ES" w:eastAsia="es-ES"/>
    </w:rPr>
  </w:style>
  <w:style w:type="character" w:customStyle="1" w:styleId="FootnoteTextChar">
    <w:name w:val="Footnote Text Char"/>
    <w:basedOn w:val="DefaultParagraphFont"/>
    <w:link w:val="FootnoteText"/>
    <w:rsid w:val="00600DC0"/>
    <w:rPr>
      <w:rFonts w:ascii="Times New Roman" w:eastAsia="Calibri" w:hAnsi="Times New Roman" w:cs="Times New Roman"/>
      <w:sz w:val="20"/>
      <w:szCs w:val="20"/>
      <w:lang w:val="es-ES" w:eastAsia="es-ES"/>
    </w:rPr>
  </w:style>
  <w:style w:type="character" w:styleId="FootnoteReference">
    <w:name w:val="footnote reference"/>
    <w:basedOn w:val="DefaultParagraphFont"/>
    <w:semiHidden/>
    <w:rsid w:val="00600DC0"/>
    <w:rPr>
      <w:vertAlign w:val="superscript"/>
    </w:rPr>
  </w:style>
  <w:style w:type="character" w:styleId="Hyperlink">
    <w:name w:val="Hyperlink"/>
    <w:basedOn w:val="DefaultParagraphFont"/>
    <w:rsid w:val="00600DC0"/>
    <w:rPr>
      <w:color w:val="0563C1"/>
      <w:u w:val="single"/>
    </w:rPr>
  </w:style>
  <w:style w:type="character" w:customStyle="1" w:styleId="UnresolvedMention">
    <w:name w:val="Unresolved Mention"/>
    <w:basedOn w:val="DefaultParagraphFont"/>
    <w:uiPriority w:val="99"/>
    <w:semiHidden/>
    <w:unhideWhenUsed/>
    <w:rsid w:val="00600DC0"/>
    <w:rPr>
      <w:color w:val="605E5C"/>
      <w:shd w:val="clear" w:color="auto" w:fill="E1DFDD"/>
    </w:rPr>
  </w:style>
  <w:style w:type="character" w:styleId="Strong">
    <w:name w:val="Strong"/>
    <w:basedOn w:val="DefaultParagraphFont"/>
    <w:qFormat/>
    <w:rsid w:val="00FA2ADB"/>
    <w:rPr>
      <w:b/>
    </w:rPr>
  </w:style>
  <w:style w:type="paragraph" w:styleId="Header">
    <w:name w:val="header"/>
    <w:basedOn w:val="Normal"/>
    <w:link w:val="HeaderChar"/>
    <w:unhideWhenUsed/>
    <w:rsid w:val="0085485A"/>
    <w:pPr>
      <w:tabs>
        <w:tab w:val="center" w:pos="4513"/>
        <w:tab w:val="right" w:pos="9026"/>
      </w:tabs>
    </w:pPr>
  </w:style>
  <w:style w:type="character" w:customStyle="1" w:styleId="HeaderChar">
    <w:name w:val="Header Char"/>
    <w:basedOn w:val="DefaultParagraphFont"/>
    <w:link w:val="Header"/>
    <w:uiPriority w:val="99"/>
    <w:rsid w:val="0085485A"/>
  </w:style>
  <w:style w:type="paragraph" w:styleId="Footer">
    <w:name w:val="footer"/>
    <w:basedOn w:val="Normal"/>
    <w:link w:val="FooterChar"/>
    <w:uiPriority w:val="99"/>
    <w:unhideWhenUsed/>
    <w:rsid w:val="0085485A"/>
    <w:pPr>
      <w:tabs>
        <w:tab w:val="center" w:pos="4513"/>
        <w:tab w:val="right" w:pos="9026"/>
      </w:tabs>
    </w:pPr>
  </w:style>
  <w:style w:type="character" w:customStyle="1" w:styleId="FooterChar">
    <w:name w:val="Footer Char"/>
    <w:basedOn w:val="DefaultParagraphFont"/>
    <w:link w:val="Footer"/>
    <w:uiPriority w:val="99"/>
    <w:rsid w:val="00854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0464">
      <w:bodyDiv w:val="1"/>
      <w:marLeft w:val="0"/>
      <w:marRight w:val="0"/>
      <w:marTop w:val="0"/>
      <w:marBottom w:val="0"/>
      <w:divBdr>
        <w:top w:val="none" w:sz="0" w:space="0" w:color="auto"/>
        <w:left w:val="none" w:sz="0" w:space="0" w:color="auto"/>
        <w:bottom w:val="none" w:sz="0" w:space="0" w:color="auto"/>
        <w:right w:val="none" w:sz="0" w:space="0" w:color="auto"/>
      </w:divBdr>
      <w:divsChild>
        <w:div w:id="1542597748">
          <w:marLeft w:val="0"/>
          <w:marRight w:val="0"/>
          <w:marTop w:val="0"/>
          <w:marBottom w:val="0"/>
          <w:divBdr>
            <w:top w:val="none" w:sz="0" w:space="0" w:color="auto"/>
            <w:left w:val="none" w:sz="0" w:space="0" w:color="auto"/>
            <w:bottom w:val="none" w:sz="0" w:space="0" w:color="auto"/>
            <w:right w:val="none" w:sz="0" w:space="0" w:color="auto"/>
          </w:divBdr>
          <w:divsChild>
            <w:div w:id="1959985892">
              <w:marLeft w:val="0"/>
              <w:marRight w:val="0"/>
              <w:marTop w:val="0"/>
              <w:marBottom w:val="0"/>
              <w:divBdr>
                <w:top w:val="none" w:sz="0" w:space="0" w:color="auto"/>
                <w:left w:val="none" w:sz="0" w:space="0" w:color="auto"/>
                <w:bottom w:val="none" w:sz="0" w:space="0" w:color="auto"/>
                <w:right w:val="none" w:sz="0" w:space="0" w:color="auto"/>
              </w:divBdr>
              <w:divsChild>
                <w:div w:id="127640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8112">
      <w:bodyDiv w:val="1"/>
      <w:marLeft w:val="0"/>
      <w:marRight w:val="0"/>
      <w:marTop w:val="0"/>
      <w:marBottom w:val="0"/>
      <w:divBdr>
        <w:top w:val="none" w:sz="0" w:space="0" w:color="auto"/>
        <w:left w:val="none" w:sz="0" w:space="0" w:color="auto"/>
        <w:bottom w:val="none" w:sz="0" w:space="0" w:color="auto"/>
        <w:right w:val="none" w:sz="0" w:space="0" w:color="auto"/>
      </w:divBdr>
      <w:divsChild>
        <w:div w:id="1206913879">
          <w:marLeft w:val="0"/>
          <w:marRight w:val="0"/>
          <w:marTop w:val="0"/>
          <w:marBottom w:val="0"/>
          <w:divBdr>
            <w:top w:val="none" w:sz="0" w:space="0" w:color="auto"/>
            <w:left w:val="none" w:sz="0" w:space="0" w:color="auto"/>
            <w:bottom w:val="none" w:sz="0" w:space="0" w:color="auto"/>
            <w:right w:val="none" w:sz="0" w:space="0" w:color="auto"/>
          </w:divBdr>
          <w:divsChild>
            <w:div w:id="1231040480">
              <w:marLeft w:val="0"/>
              <w:marRight w:val="0"/>
              <w:marTop w:val="0"/>
              <w:marBottom w:val="0"/>
              <w:divBdr>
                <w:top w:val="none" w:sz="0" w:space="0" w:color="auto"/>
                <w:left w:val="none" w:sz="0" w:space="0" w:color="auto"/>
                <w:bottom w:val="none" w:sz="0" w:space="0" w:color="auto"/>
                <w:right w:val="none" w:sz="0" w:space="0" w:color="auto"/>
              </w:divBdr>
              <w:divsChild>
                <w:div w:id="112233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20938">
      <w:bodyDiv w:val="1"/>
      <w:marLeft w:val="0"/>
      <w:marRight w:val="0"/>
      <w:marTop w:val="0"/>
      <w:marBottom w:val="0"/>
      <w:divBdr>
        <w:top w:val="none" w:sz="0" w:space="0" w:color="auto"/>
        <w:left w:val="none" w:sz="0" w:space="0" w:color="auto"/>
        <w:bottom w:val="none" w:sz="0" w:space="0" w:color="auto"/>
        <w:right w:val="none" w:sz="0" w:space="0" w:color="auto"/>
      </w:divBdr>
      <w:divsChild>
        <w:div w:id="177476176">
          <w:marLeft w:val="0"/>
          <w:marRight w:val="0"/>
          <w:marTop w:val="0"/>
          <w:marBottom w:val="0"/>
          <w:divBdr>
            <w:top w:val="none" w:sz="0" w:space="0" w:color="auto"/>
            <w:left w:val="none" w:sz="0" w:space="0" w:color="auto"/>
            <w:bottom w:val="none" w:sz="0" w:space="0" w:color="auto"/>
            <w:right w:val="none" w:sz="0" w:space="0" w:color="auto"/>
          </w:divBdr>
          <w:divsChild>
            <w:div w:id="2002654667">
              <w:marLeft w:val="0"/>
              <w:marRight w:val="0"/>
              <w:marTop w:val="0"/>
              <w:marBottom w:val="0"/>
              <w:divBdr>
                <w:top w:val="none" w:sz="0" w:space="0" w:color="auto"/>
                <w:left w:val="none" w:sz="0" w:space="0" w:color="auto"/>
                <w:bottom w:val="none" w:sz="0" w:space="0" w:color="auto"/>
                <w:right w:val="none" w:sz="0" w:space="0" w:color="auto"/>
              </w:divBdr>
              <w:divsChild>
                <w:div w:id="127228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29973">
      <w:bodyDiv w:val="1"/>
      <w:marLeft w:val="0"/>
      <w:marRight w:val="0"/>
      <w:marTop w:val="0"/>
      <w:marBottom w:val="0"/>
      <w:divBdr>
        <w:top w:val="none" w:sz="0" w:space="0" w:color="auto"/>
        <w:left w:val="none" w:sz="0" w:space="0" w:color="auto"/>
        <w:bottom w:val="none" w:sz="0" w:space="0" w:color="auto"/>
        <w:right w:val="none" w:sz="0" w:space="0" w:color="auto"/>
      </w:divBdr>
      <w:divsChild>
        <w:div w:id="742263168">
          <w:marLeft w:val="0"/>
          <w:marRight w:val="0"/>
          <w:marTop w:val="0"/>
          <w:marBottom w:val="0"/>
          <w:divBdr>
            <w:top w:val="none" w:sz="0" w:space="0" w:color="auto"/>
            <w:left w:val="none" w:sz="0" w:space="0" w:color="auto"/>
            <w:bottom w:val="none" w:sz="0" w:space="0" w:color="auto"/>
            <w:right w:val="none" w:sz="0" w:space="0" w:color="auto"/>
          </w:divBdr>
          <w:divsChild>
            <w:div w:id="1230310472">
              <w:marLeft w:val="0"/>
              <w:marRight w:val="0"/>
              <w:marTop w:val="0"/>
              <w:marBottom w:val="0"/>
              <w:divBdr>
                <w:top w:val="none" w:sz="0" w:space="0" w:color="auto"/>
                <w:left w:val="none" w:sz="0" w:space="0" w:color="auto"/>
                <w:bottom w:val="none" w:sz="0" w:space="0" w:color="auto"/>
                <w:right w:val="none" w:sz="0" w:space="0" w:color="auto"/>
              </w:divBdr>
              <w:divsChild>
                <w:div w:id="80304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8691">
      <w:bodyDiv w:val="1"/>
      <w:marLeft w:val="0"/>
      <w:marRight w:val="0"/>
      <w:marTop w:val="0"/>
      <w:marBottom w:val="0"/>
      <w:divBdr>
        <w:top w:val="none" w:sz="0" w:space="0" w:color="auto"/>
        <w:left w:val="none" w:sz="0" w:space="0" w:color="auto"/>
        <w:bottom w:val="none" w:sz="0" w:space="0" w:color="auto"/>
        <w:right w:val="none" w:sz="0" w:space="0" w:color="auto"/>
      </w:divBdr>
      <w:divsChild>
        <w:div w:id="98523810">
          <w:marLeft w:val="0"/>
          <w:marRight w:val="0"/>
          <w:marTop w:val="0"/>
          <w:marBottom w:val="0"/>
          <w:divBdr>
            <w:top w:val="none" w:sz="0" w:space="0" w:color="auto"/>
            <w:left w:val="none" w:sz="0" w:space="0" w:color="auto"/>
            <w:bottom w:val="none" w:sz="0" w:space="0" w:color="auto"/>
            <w:right w:val="none" w:sz="0" w:space="0" w:color="auto"/>
          </w:divBdr>
          <w:divsChild>
            <w:div w:id="1121874031">
              <w:marLeft w:val="0"/>
              <w:marRight w:val="0"/>
              <w:marTop w:val="0"/>
              <w:marBottom w:val="0"/>
              <w:divBdr>
                <w:top w:val="none" w:sz="0" w:space="0" w:color="auto"/>
                <w:left w:val="none" w:sz="0" w:space="0" w:color="auto"/>
                <w:bottom w:val="none" w:sz="0" w:space="0" w:color="auto"/>
                <w:right w:val="none" w:sz="0" w:space="0" w:color="auto"/>
              </w:divBdr>
              <w:divsChild>
                <w:div w:id="117992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90445">
      <w:bodyDiv w:val="1"/>
      <w:marLeft w:val="0"/>
      <w:marRight w:val="0"/>
      <w:marTop w:val="0"/>
      <w:marBottom w:val="0"/>
      <w:divBdr>
        <w:top w:val="none" w:sz="0" w:space="0" w:color="auto"/>
        <w:left w:val="none" w:sz="0" w:space="0" w:color="auto"/>
        <w:bottom w:val="none" w:sz="0" w:space="0" w:color="auto"/>
        <w:right w:val="none" w:sz="0" w:space="0" w:color="auto"/>
      </w:divBdr>
      <w:divsChild>
        <w:div w:id="376704812">
          <w:marLeft w:val="0"/>
          <w:marRight w:val="0"/>
          <w:marTop w:val="0"/>
          <w:marBottom w:val="0"/>
          <w:divBdr>
            <w:top w:val="none" w:sz="0" w:space="0" w:color="auto"/>
            <w:left w:val="none" w:sz="0" w:space="0" w:color="auto"/>
            <w:bottom w:val="none" w:sz="0" w:space="0" w:color="auto"/>
            <w:right w:val="none" w:sz="0" w:space="0" w:color="auto"/>
          </w:divBdr>
          <w:divsChild>
            <w:div w:id="2120174941">
              <w:marLeft w:val="0"/>
              <w:marRight w:val="0"/>
              <w:marTop w:val="0"/>
              <w:marBottom w:val="0"/>
              <w:divBdr>
                <w:top w:val="none" w:sz="0" w:space="0" w:color="auto"/>
                <w:left w:val="none" w:sz="0" w:space="0" w:color="auto"/>
                <w:bottom w:val="none" w:sz="0" w:space="0" w:color="auto"/>
                <w:right w:val="none" w:sz="0" w:space="0" w:color="auto"/>
              </w:divBdr>
              <w:divsChild>
                <w:div w:id="2440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265987">
      <w:bodyDiv w:val="1"/>
      <w:marLeft w:val="0"/>
      <w:marRight w:val="0"/>
      <w:marTop w:val="0"/>
      <w:marBottom w:val="0"/>
      <w:divBdr>
        <w:top w:val="none" w:sz="0" w:space="0" w:color="auto"/>
        <w:left w:val="none" w:sz="0" w:space="0" w:color="auto"/>
        <w:bottom w:val="none" w:sz="0" w:space="0" w:color="auto"/>
        <w:right w:val="none" w:sz="0" w:space="0" w:color="auto"/>
      </w:divBdr>
      <w:divsChild>
        <w:div w:id="1228301817">
          <w:marLeft w:val="0"/>
          <w:marRight w:val="0"/>
          <w:marTop w:val="0"/>
          <w:marBottom w:val="0"/>
          <w:divBdr>
            <w:top w:val="none" w:sz="0" w:space="0" w:color="auto"/>
            <w:left w:val="none" w:sz="0" w:space="0" w:color="auto"/>
            <w:bottom w:val="none" w:sz="0" w:space="0" w:color="auto"/>
            <w:right w:val="none" w:sz="0" w:space="0" w:color="auto"/>
          </w:divBdr>
          <w:divsChild>
            <w:div w:id="1807625348">
              <w:marLeft w:val="0"/>
              <w:marRight w:val="0"/>
              <w:marTop w:val="0"/>
              <w:marBottom w:val="0"/>
              <w:divBdr>
                <w:top w:val="none" w:sz="0" w:space="0" w:color="auto"/>
                <w:left w:val="none" w:sz="0" w:space="0" w:color="auto"/>
                <w:bottom w:val="none" w:sz="0" w:space="0" w:color="auto"/>
                <w:right w:val="none" w:sz="0" w:space="0" w:color="auto"/>
              </w:divBdr>
              <w:divsChild>
                <w:div w:id="127960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32002">
      <w:bodyDiv w:val="1"/>
      <w:marLeft w:val="0"/>
      <w:marRight w:val="0"/>
      <w:marTop w:val="0"/>
      <w:marBottom w:val="0"/>
      <w:divBdr>
        <w:top w:val="none" w:sz="0" w:space="0" w:color="auto"/>
        <w:left w:val="none" w:sz="0" w:space="0" w:color="auto"/>
        <w:bottom w:val="none" w:sz="0" w:space="0" w:color="auto"/>
        <w:right w:val="none" w:sz="0" w:space="0" w:color="auto"/>
      </w:divBdr>
      <w:divsChild>
        <w:div w:id="1237134340">
          <w:marLeft w:val="0"/>
          <w:marRight w:val="0"/>
          <w:marTop w:val="0"/>
          <w:marBottom w:val="0"/>
          <w:divBdr>
            <w:top w:val="none" w:sz="0" w:space="0" w:color="auto"/>
            <w:left w:val="none" w:sz="0" w:space="0" w:color="auto"/>
            <w:bottom w:val="none" w:sz="0" w:space="0" w:color="auto"/>
            <w:right w:val="none" w:sz="0" w:space="0" w:color="auto"/>
          </w:divBdr>
          <w:divsChild>
            <w:div w:id="546069482">
              <w:marLeft w:val="0"/>
              <w:marRight w:val="0"/>
              <w:marTop w:val="0"/>
              <w:marBottom w:val="0"/>
              <w:divBdr>
                <w:top w:val="none" w:sz="0" w:space="0" w:color="auto"/>
                <w:left w:val="none" w:sz="0" w:space="0" w:color="auto"/>
                <w:bottom w:val="none" w:sz="0" w:space="0" w:color="auto"/>
                <w:right w:val="none" w:sz="0" w:space="0" w:color="auto"/>
              </w:divBdr>
              <w:divsChild>
                <w:div w:id="68440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547056">
      <w:bodyDiv w:val="1"/>
      <w:marLeft w:val="0"/>
      <w:marRight w:val="0"/>
      <w:marTop w:val="0"/>
      <w:marBottom w:val="0"/>
      <w:divBdr>
        <w:top w:val="none" w:sz="0" w:space="0" w:color="auto"/>
        <w:left w:val="none" w:sz="0" w:space="0" w:color="auto"/>
        <w:bottom w:val="none" w:sz="0" w:space="0" w:color="auto"/>
        <w:right w:val="none" w:sz="0" w:space="0" w:color="auto"/>
      </w:divBdr>
      <w:divsChild>
        <w:div w:id="1284267600">
          <w:marLeft w:val="0"/>
          <w:marRight w:val="0"/>
          <w:marTop w:val="0"/>
          <w:marBottom w:val="0"/>
          <w:divBdr>
            <w:top w:val="none" w:sz="0" w:space="0" w:color="auto"/>
            <w:left w:val="none" w:sz="0" w:space="0" w:color="auto"/>
            <w:bottom w:val="none" w:sz="0" w:space="0" w:color="auto"/>
            <w:right w:val="none" w:sz="0" w:space="0" w:color="auto"/>
          </w:divBdr>
          <w:divsChild>
            <w:div w:id="818154115">
              <w:marLeft w:val="0"/>
              <w:marRight w:val="0"/>
              <w:marTop w:val="0"/>
              <w:marBottom w:val="0"/>
              <w:divBdr>
                <w:top w:val="none" w:sz="0" w:space="0" w:color="auto"/>
                <w:left w:val="none" w:sz="0" w:space="0" w:color="auto"/>
                <w:bottom w:val="none" w:sz="0" w:space="0" w:color="auto"/>
                <w:right w:val="none" w:sz="0" w:space="0" w:color="auto"/>
              </w:divBdr>
              <w:divsChild>
                <w:div w:id="108858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721959">
      <w:bodyDiv w:val="1"/>
      <w:marLeft w:val="0"/>
      <w:marRight w:val="0"/>
      <w:marTop w:val="0"/>
      <w:marBottom w:val="0"/>
      <w:divBdr>
        <w:top w:val="none" w:sz="0" w:space="0" w:color="auto"/>
        <w:left w:val="none" w:sz="0" w:space="0" w:color="auto"/>
        <w:bottom w:val="none" w:sz="0" w:space="0" w:color="auto"/>
        <w:right w:val="none" w:sz="0" w:space="0" w:color="auto"/>
      </w:divBdr>
      <w:divsChild>
        <w:div w:id="655382599">
          <w:marLeft w:val="0"/>
          <w:marRight w:val="0"/>
          <w:marTop w:val="0"/>
          <w:marBottom w:val="0"/>
          <w:divBdr>
            <w:top w:val="none" w:sz="0" w:space="0" w:color="auto"/>
            <w:left w:val="none" w:sz="0" w:space="0" w:color="auto"/>
            <w:bottom w:val="none" w:sz="0" w:space="0" w:color="auto"/>
            <w:right w:val="none" w:sz="0" w:space="0" w:color="auto"/>
          </w:divBdr>
          <w:divsChild>
            <w:div w:id="1740322180">
              <w:marLeft w:val="0"/>
              <w:marRight w:val="0"/>
              <w:marTop w:val="0"/>
              <w:marBottom w:val="0"/>
              <w:divBdr>
                <w:top w:val="none" w:sz="0" w:space="0" w:color="auto"/>
                <w:left w:val="none" w:sz="0" w:space="0" w:color="auto"/>
                <w:bottom w:val="none" w:sz="0" w:space="0" w:color="auto"/>
                <w:right w:val="none" w:sz="0" w:space="0" w:color="auto"/>
              </w:divBdr>
              <w:divsChild>
                <w:div w:id="6683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29997">
      <w:bodyDiv w:val="1"/>
      <w:marLeft w:val="0"/>
      <w:marRight w:val="0"/>
      <w:marTop w:val="0"/>
      <w:marBottom w:val="0"/>
      <w:divBdr>
        <w:top w:val="none" w:sz="0" w:space="0" w:color="auto"/>
        <w:left w:val="none" w:sz="0" w:space="0" w:color="auto"/>
        <w:bottom w:val="none" w:sz="0" w:space="0" w:color="auto"/>
        <w:right w:val="none" w:sz="0" w:space="0" w:color="auto"/>
      </w:divBdr>
      <w:divsChild>
        <w:div w:id="1515918376">
          <w:marLeft w:val="0"/>
          <w:marRight w:val="0"/>
          <w:marTop w:val="0"/>
          <w:marBottom w:val="0"/>
          <w:divBdr>
            <w:top w:val="none" w:sz="0" w:space="0" w:color="auto"/>
            <w:left w:val="none" w:sz="0" w:space="0" w:color="auto"/>
            <w:bottom w:val="none" w:sz="0" w:space="0" w:color="auto"/>
            <w:right w:val="none" w:sz="0" w:space="0" w:color="auto"/>
          </w:divBdr>
          <w:divsChild>
            <w:div w:id="920526395">
              <w:marLeft w:val="0"/>
              <w:marRight w:val="0"/>
              <w:marTop w:val="0"/>
              <w:marBottom w:val="0"/>
              <w:divBdr>
                <w:top w:val="none" w:sz="0" w:space="0" w:color="auto"/>
                <w:left w:val="none" w:sz="0" w:space="0" w:color="auto"/>
                <w:bottom w:val="none" w:sz="0" w:space="0" w:color="auto"/>
                <w:right w:val="none" w:sz="0" w:space="0" w:color="auto"/>
              </w:divBdr>
              <w:divsChild>
                <w:div w:id="196191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50165">
      <w:bodyDiv w:val="1"/>
      <w:marLeft w:val="0"/>
      <w:marRight w:val="0"/>
      <w:marTop w:val="0"/>
      <w:marBottom w:val="0"/>
      <w:divBdr>
        <w:top w:val="none" w:sz="0" w:space="0" w:color="auto"/>
        <w:left w:val="none" w:sz="0" w:space="0" w:color="auto"/>
        <w:bottom w:val="none" w:sz="0" w:space="0" w:color="auto"/>
        <w:right w:val="none" w:sz="0" w:space="0" w:color="auto"/>
      </w:divBdr>
      <w:divsChild>
        <w:div w:id="932250679">
          <w:marLeft w:val="0"/>
          <w:marRight w:val="0"/>
          <w:marTop w:val="0"/>
          <w:marBottom w:val="0"/>
          <w:divBdr>
            <w:top w:val="none" w:sz="0" w:space="0" w:color="auto"/>
            <w:left w:val="none" w:sz="0" w:space="0" w:color="auto"/>
            <w:bottom w:val="none" w:sz="0" w:space="0" w:color="auto"/>
            <w:right w:val="none" w:sz="0" w:space="0" w:color="auto"/>
          </w:divBdr>
          <w:divsChild>
            <w:div w:id="745804626">
              <w:marLeft w:val="0"/>
              <w:marRight w:val="0"/>
              <w:marTop w:val="0"/>
              <w:marBottom w:val="0"/>
              <w:divBdr>
                <w:top w:val="none" w:sz="0" w:space="0" w:color="auto"/>
                <w:left w:val="none" w:sz="0" w:space="0" w:color="auto"/>
                <w:bottom w:val="none" w:sz="0" w:space="0" w:color="auto"/>
                <w:right w:val="none" w:sz="0" w:space="0" w:color="auto"/>
              </w:divBdr>
              <w:divsChild>
                <w:div w:id="969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50661">
      <w:bodyDiv w:val="1"/>
      <w:marLeft w:val="0"/>
      <w:marRight w:val="0"/>
      <w:marTop w:val="0"/>
      <w:marBottom w:val="0"/>
      <w:divBdr>
        <w:top w:val="none" w:sz="0" w:space="0" w:color="auto"/>
        <w:left w:val="none" w:sz="0" w:space="0" w:color="auto"/>
        <w:bottom w:val="none" w:sz="0" w:space="0" w:color="auto"/>
        <w:right w:val="none" w:sz="0" w:space="0" w:color="auto"/>
      </w:divBdr>
      <w:divsChild>
        <w:div w:id="1514104030">
          <w:marLeft w:val="0"/>
          <w:marRight w:val="0"/>
          <w:marTop w:val="0"/>
          <w:marBottom w:val="0"/>
          <w:divBdr>
            <w:top w:val="none" w:sz="0" w:space="0" w:color="auto"/>
            <w:left w:val="none" w:sz="0" w:space="0" w:color="auto"/>
            <w:bottom w:val="none" w:sz="0" w:space="0" w:color="auto"/>
            <w:right w:val="none" w:sz="0" w:space="0" w:color="auto"/>
          </w:divBdr>
          <w:divsChild>
            <w:div w:id="1990868138">
              <w:marLeft w:val="0"/>
              <w:marRight w:val="0"/>
              <w:marTop w:val="0"/>
              <w:marBottom w:val="0"/>
              <w:divBdr>
                <w:top w:val="none" w:sz="0" w:space="0" w:color="auto"/>
                <w:left w:val="none" w:sz="0" w:space="0" w:color="auto"/>
                <w:bottom w:val="none" w:sz="0" w:space="0" w:color="auto"/>
                <w:right w:val="none" w:sz="0" w:space="0" w:color="auto"/>
              </w:divBdr>
              <w:divsChild>
                <w:div w:id="39074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85401">
      <w:bodyDiv w:val="1"/>
      <w:marLeft w:val="0"/>
      <w:marRight w:val="0"/>
      <w:marTop w:val="0"/>
      <w:marBottom w:val="0"/>
      <w:divBdr>
        <w:top w:val="none" w:sz="0" w:space="0" w:color="auto"/>
        <w:left w:val="none" w:sz="0" w:space="0" w:color="auto"/>
        <w:bottom w:val="none" w:sz="0" w:space="0" w:color="auto"/>
        <w:right w:val="none" w:sz="0" w:space="0" w:color="auto"/>
      </w:divBdr>
      <w:divsChild>
        <w:div w:id="2119370147">
          <w:marLeft w:val="0"/>
          <w:marRight w:val="0"/>
          <w:marTop w:val="0"/>
          <w:marBottom w:val="0"/>
          <w:divBdr>
            <w:top w:val="none" w:sz="0" w:space="0" w:color="auto"/>
            <w:left w:val="none" w:sz="0" w:space="0" w:color="auto"/>
            <w:bottom w:val="none" w:sz="0" w:space="0" w:color="auto"/>
            <w:right w:val="none" w:sz="0" w:space="0" w:color="auto"/>
          </w:divBdr>
          <w:divsChild>
            <w:div w:id="1313213421">
              <w:marLeft w:val="0"/>
              <w:marRight w:val="0"/>
              <w:marTop w:val="0"/>
              <w:marBottom w:val="0"/>
              <w:divBdr>
                <w:top w:val="none" w:sz="0" w:space="0" w:color="auto"/>
                <w:left w:val="none" w:sz="0" w:space="0" w:color="auto"/>
                <w:bottom w:val="none" w:sz="0" w:space="0" w:color="auto"/>
                <w:right w:val="none" w:sz="0" w:space="0" w:color="auto"/>
              </w:divBdr>
              <w:divsChild>
                <w:div w:id="142037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57474">
      <w:bodyDiv w:val="1"/>
      <w:marLeft w:val="0"/>
      <w:marRight w:val="0"/>
      <w:marTop w:val="0"/>
      <w:marBottom w:val="0"/>
      <w:divBdr>
        <w:top w:val="none" w:sz="0" w:space="0" w:color="auto"/>
        <w:left w:val="none" w:sz="0" w:space="0" w:color="auto"/>
        <w:bottom w:val="none" w:sz="0" w:space="0" w:color="auto"/>
        <w:right w:val="none" w:sz="0" w:space="0" w:color="auto"/>
      </w:divBdr>
      <w:divsChild>
        <w:div w:id="775637256">
          <w:marLeft w:val="0"/>
          <w:marRight w:val="0"/>
          <w:marTop w:val="0"/>
          <w:marBottom w:val="0"/>
          <w:divBdr>
            <w:top w:val="none" w:sz="0" w:space="0" w:color="auto"/>
            <w:left w:val="none" w:sz="0" w:space="0" w:color="auto"/>
            <w:bottom w:val="none" w:sz="0" w:space="0" w:color="auto"/>
            <w:right w:val="none" w:sz="0" w:space="0" w:color="auto"/>
          </w:divBdr>
          <w:divsChild>
            <w:div w:id="1879201302">
              <w:marLeft w:val="0"/>
              <w:marRight w:val="0"/>
              <w:marTop w:val="0"/>
              <w:marBottom w:val="0"/>
              <w:divBdr>
                <w:top w:val="none" w:sz="0" w:space="0" w:color="auto"/>
                <w:left w:val="none" w:sz="0" w:space="0" w:color="auto"/>
                <w:bottom w:val="none" w:sz="0" w:space="0" w:color="auto"/>
                <w:right w:val="none" w:sz="0" w:space="0" w:color="auto"/>
              </w:divBdr>
              <w:divsChild>
                <w:div w:id="203079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48432">
      <w:bodyDiv w:val="1"/>
      <w:marLeft w:val="0"/>
      <w:marRight w:val="0"/>
      <w:marTop w:val="0"/>
      <w:marBottom w:val="0"/>
      <w:divBdr>
        <w:top w:val="none" w:sz="0" w:space="0" w:color="auto"/>
        <w:left w:val="none" w:sz="0" w:space="0" w:color="auto"/>
        <w:bottom w:val="none" w:sz="0" w:space="0" w:color="auto"/>
        <w:right w:val="none" w:sz="0" w:space="0" w:color="auto"/>
      </w:divBdr>
      <w:divsChild>
        <w:div w:id="2094087775">
          <w:marLeft w:val="0"/>
          <w:marRight w:val="0"/>
          <w:marTop w:val="0"/>
          <w:marBottom w:val="0"/>
          <w:divBdr>
            <w:top w:val="none" w:sz="0" w:space="0" w:color="auto"/>
            <w:left w:val="none" w:sz="0" w:space="0" w:color="auto"/>
            <w:bottom w:val="none" w:sz="0" w:space="0" w:color="auto"/>
            <w:right w:val="none" w:sz="0" w:space="0" w:color="auto"/>
          </w:divBdr>
          <w:divsChild>
            <w:div w:id="1656912671">
              <w:marLeft w:val="0"/>
              <w:marRight w:val="0"/>
              <w:marTop w:val="0"/>
              <w:marBottom w:val="0"/>
              <w:divBdr>
                <w:top w:val="none" w:sz="0" w:space="0" w:color="auto"/>
                <w:left w:val="none" w:sz="0" w:space="0" w:color="auto"/>
                <w:bottom w:val="none" w:sz="0" w:space="0" w:color="auto"/>
                <w:right w:val="none" w:sz="0" w:space="0" w:color="auto"/>
              </w:divBdr>
              <w:divsChild>
                <w:div w:id="13453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89826">
      <w:bodyDiv w:val="1"/>
      <w:marLeft w:val="0"/>
      <w:marRight w:val="0"/>
      <w:marTop w:val="0"/>
      <w:marBottom w:val="0"/>
      <w:divBdr>
        <w:top w:val="none" w:sz="0" w:space="0" w:color="auto"/>
        <w:left w:val="none" w:sz="0" w:space="0" w:color="auto"/>
        <w:bottom w:val="none" w:sz="0" w:space="0" w:color="auto"/>
        <w:right w:val="none" w:sz="0" w:space="0" w:color="auto"/>
      </w:divBdr>
    </w:div>
    <w:div w:id="1706563633">
      <w:bodyDiv w:val="1"/>
      <w:marLeft w:val="0"/>
      <w:marRight w:val="0"/>
      <w:marTop w:val="0"/>
      <w:marBottom w:val="0"/>
      <w:divBdr>
        <w:top w:val="none" w:sz="0" w:space="0" w:color="auto"/>
        <w:left w:val="none" w:sz="0" w:space="0" w:color="auto"/>
        <w:bottom w:val="none" w:sz="0" w:space="0" w:color="auto"/>
        <w:right w:val="none" w:sz="0" w:space="0" w:color="auto"/>
      </w:divBdr>
      <w:divsChild>
        <w:div w:id="740326324">
          <w:marLeft w:val="0"/>
          <w:marRight w:val="0"/>
          <w:marTop w:val="0"/>
          <w:marBottom w:val="0"/>
          <w:divBdr>
            <w:top w:val="none" w:sz="0" w:space="0" w:color="auto"/>
            <w:left w:val="none" w:sz="0" w:space="0" w:color="auto"/>
            <w:bottom w:val="none" w:sz="0" w:space="0" w:color="auto"/>
            <w:right w:val="none" w:sz="0" w:space="0" w:color="auto"/>
          </w:divBdr>
          <w:divsChild>
            <w:div w:id="941764986">
              <w:marLeft w:val="0"/>
              <w:marRight w:val="0"/>
              <w:marTop w:val="0"/>
              <w:marBottom w:val="0"/>
              <w:divBdr>
                <w:top w:val="none" w:sz="0" w:space="0" w:color="auto"/>
                <w:left w:val="none" w:sz="0" w:space="0" w:color="auto"/>
                <w:bottom w:val="none" w:sz="0" w:space="0" w:color="auto"/>
                <w:right w:val="none" w:sz="0" w:space="0" w:color="auto"/>
              </w:divBdr>
              <w:divsChild>
                <w:div w:id="178861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130749">
      <w:bodyDiv w:val="1"/>
      <w:marLeft w:val="0"/>
      <w:marRight w:val="0"/>
      <w:marTop w:val="0"/>
      <w:marBottom w:val="0"/>
      <w:divBdr>
        <w:top w:val="none" w:sz="0" w:space="0" w:color="auto"/>
        <w:left w:val="none" w:sz="0" w:space="0" w:color="auto"/>
        <w:bottom w:val="none" w:sz="0" w:space="0" w:color="auto"/>
        <w:right w:val="none" w:sz="0" w:space="0" w:color="auto"/>
      </w:divBdr>
      <w:divsChild>
        <w:div w:id="430079945">
          <w:marLeft w:val="0"/>
          <w:marRight w:val="0"/>
          <w:marTop w:val="0"/>
          <w:marBottom w:val="0"/>
          <w:divBdr>
            <w:top w:val="none" w:sz="0" w:space="0" w:color="auto"/>
            <w:left w:val="none" w:sz="0" w:space="0" w:color="auto"/>
            <w:bottom w:val="none" w:sz="0" w:space="0" w:color="auto"/>
            <w:right w:val="none" w:sz="0" w:space="0" w:color="auto"/>
          </w:divBdr>
          <w:divsChild>
            <w:div w:id="586042497">
              <w:marLeft w:val="0"/>
              <w:marRight w:val="0"/>
              <w:marTop w:val="0"/>
              <w:marBottom w:val="0"/>
              <w:divBdr>
                <w:top w:val="none" w:sz="0" w:space="0" w:color="auto"/>
                <w:left w:val="none" w:sz="0" w:space="0" w:color="auto"/>
                <w:bottom w:val="none" w:sz="0" w:space="0" w:color="auto"/>
                <w:right w:val="none" w:sz="0" w:space="0" w:color="auto"/>
              </w:divBdr>
              <w:divsChild>
                <w:div w:id="109833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05639">
      <w:bodyDiv w:val="1"/>
      <w:marLeft w:val="0"/>
      <w:marRight w:val="0"/>
      <w:marTop w:val="0"/>
      <w:marBottom w:val="0"/>
      <w:divBdr>
        <w:top w:val="none" w:sz="0" w:space="0" w:color="auto"/>
        <w:left w:val="none" w:sz="0" w:space="0" w:color="auto"/>
        <w:bottom w:val="none" w:sz="0" w:space="0" w:color="auto"/>
        <w:right w:val="none" w:sz="0" w:space="0" w:color="auto"/>
      </w:divBdr>
      <w:divsChild>
        <w:div w:id="100271401">
          <w:marLeft w:val="0"/>
          <w:marRight w:val="0"/>
          <w:marTop w:val="0"/>
          <w:marBottom w:val="0"/>
          <w:divBdr>
            <w:top w:val="none" w:sz="0" w:space="0" w:color="auto"/>
            <w:left w:val="none" w:sz="0" w:space="0" w:color="auto"/>
            <w:bottom w:val="none" w:sz="0" w:space="0" w:color="auto"/>
            <w:right w:val="none" w:sz="0" w:space="0" w:color="auto"/>
          </w:divBdr>
          <w:divsChild>
            <w:div w:id="1047294600">
              <w:marLeft w:val="0"/>
              <w:marRight w:val="0"/>
              <w:marTop w:val="0"/>
              <w:marBottom w:val="0"/>
              <w:divBdr>
                <w:top w:val="none" w:sz="0" w:space="0" w:color="auto"/>
                <w:left w:val="none" w:sz="0" w:space="0" w:color="auto"/>
                <w:bottom w:val="none" w:sz="0" w:space="0" w:color="auto"/>
                <w:right w:val="none" w:sz="0" w:space="0" w:color="auto"/>
              </w:divBdr>
              <w:divsChild>
                <w:div w:id="13437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600494">
      <w:bodyDiv w:val="1"/>
      <w:marLeft w:val="0"/>
      <w:marRight w:val="0"/>
      <w:marTop w:val="0"/>
      <w:marBottom w:val="0"/>
      <w:divBdr>
        <w:top w:val="none" w:sz="0" w:space="0" w:color="auto"/>
        <w:left w:val="none" w:sz="0" w:space="0" w:color="auto"/>
        <w:bottom w:val="none" w:sz="0" w:space="0" w:color="auto"/>
        <w:right w:val="none" w:sz="0" w:space="0" w:color="auto"/>
      </w:divBdr>
      <w:divsChild>
        <w:div w:id="751656206">
          <w:marLeft w:val="0"/>
          <w:marRight w:val="0"/>
          <w:marTop w:val="0"/>
          <w:marBottom w:val="0"/>
          <w:divBdr>
            <w:top w:val="none" w:sz="0" w:space="0" w:color="auto"/>
            <w:left w:val="none" w:sz="0" w:space="0" w:color="auto"/>
            <w:bottom w:val="none" w:sz="0" w:space="0" w:color="auto"/>
            <w:right w:val="none" w:sz="0" w:space="0" w:color="auto"/>
          </w:divBdr>
          <w:divsChild>
            <w:div w:id="78255971">
              <w:marLeft w:val="0"/>
              <w:marRight w:val="0"/>
              <w:marTop w:val="0"/>
              <w:marBottom w:val="0"/>
              <w:divBdr>
                <w:top w:val="none" w:sz="0" w:space="0" w:color="auto"/>
                <w:left w:val="none" w:sz="0" w:space="0" w:color="auto"/>
                <w:bottom w:val="none" w:sz="0" w:space="0" w:color="auto"/>
                <w:right w:val="none" w:sz="0" w:space="0" w:color="auto"/>
              </w:divBdr>
              <w:divsChild>
                <w:div w:id="16162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11522">
      <w:bodyDiv w:val="1"/>
      <w:marLeft w:val="0"/>
      <w:marRight w:val="0"/>
      <w:marTop w:val="0"/>
      <w:marBottom w:val="0"/>
      <w:divBdr>
        <w:top w:val="none" w:sz="0" w:space="0" w:color="auto"/>
        <w:left w:val="none" w:sz="0" w:space="0" w:color="auto"/>
        <w:bottom w:val="none" w:sz="0" w:space="0" w:color="auto"/>
        <w:right w:val="none" w:sz="0" w:space="0" w:color="auto"/>
      </w:divBdr>
      <w:divsChild>
        <w:div w:id="309216414">
          <w:marLeft w:val="0"/>
          <w:marRight w:val="0"/>
          <w:marTop w:val="0"/>
          <w:marBottom w:val="0"/>
          <w:divBdr>
            <w:top w:val="none" w:sz="0" w:space="0" w:color="auto"/>
            <w:left w:val="none" w:sz="0" w:space="0" w:color="auto"/>
            <w:bottom w:val="none" w:sz="0" w:space="0" w:color="auto"/>
            <w:right w:val="none" w:sz="0" w:space="0" w:color="auto"/>
          </w:divBdr>
          <w:divsChild>
            <w:div w:id="228882527">
              <w:marLeft w:val="0"/>
              <w:marRight w:val="0"/>
              <w:marTop w:val="0"/>
              <w:marBottom w:val="0"/>
              <w:divBdr>
                <w:top w:val="none" w:sz="0" w:space="0" w:color="auto"/>
                <w:left w:val="none" w:sz="0" w:space="0" w:color="auto"/>
                <w:bottom w:val="none" w:sz="0" w:space="0" w:color="auto"/>
                <w:right w:val="none" w:sz="0" w:space="0" w:color="auto"/>
              </w:divBdr>
              <w:divsChild>
                <w:div w:id="164581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3452">
      <w:bodyDiv w:val="1"/>
      <w:marLeft w:val="0"/>
      <w:marRight w:val="0"/>
      <w:marTop w:val="0"/>
      <w:marBottom w:val="0"/>
      <w:divBdr>
        <w:top w:val="none" w:sz="0" w:space="0" w:color="auto"/>
        <w:left w:val="none" w:sz="0" w:space="0" w:color="auto"/>
        <w:bottom w:val="none" w:sz="0" w:space="0" w:color="auto"/>
        <w:right w:val="none" w:sz="0" w:space="0" w:color="auto"/>
      </w:divBdr>
      <w:divsChild>
        <w:div w:id="1129281444">
          <w:marLeft w:val="0"/>
          <w:marRight w:val="0"/>
          <w:marTop w:val="0"/>
          <w:marBottom w:val="0"/>
          <w:divBdr>
            <w:top w:val="none" w:sz="0" w:space="0" w:color="auto"/>
            <w:left w:val="none" w:sz="0" w:space="0" w:color="auto"/>
            <w:bottom w:val="none" w:sz="0" w:space="0" w:color="auto"/>
            <w:right w:val="none" w:sz="0" w:space="0" w:color="auto"/>
          </w:divBdr>
          <w:divsChild>
            <w:div w:id="341131781">
              <w:marLeft w:val="0"/>
              <w:marRight w:val="0"/>
              <w:marTop w:val="0"/>
              <w:marBottom w:val="0"/>
              <w:divBdr>
                <w:top w:val="none" w:sz="0" w:space="0" w:color="auto"/>
                <w:left w:val="none" w:sz="0" w:space="0" w:color="auto"/>
                <w:bottom w:val="none" w:sz="0" w:space="0" w:color="auto"/>
                <w:right w:val="none" w:sz="0" w:space="0" w:color="auto"/>
              </w:divBdr>
              <w:divsChild>
                <w:div w:id="160245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caldiabogota.gov.co/sisjur/normas/Norma1.jsp?i=1568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lcaldiabogota.gov.co/sisjur/normas/Norma1.jsp?i=15688"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lcaldiabogota.gov.co/sisjur/normas/Norma1.jsp?i=15688" TargetMode="External"/><Relationship Id="rId14"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2" Type="http://schemas.openxmlformats.org/officeDocument/2006/relationships/hyperlink" Target="http://www.secretariasenado.gov.co/senado/basedoc/ley_1952_2019_pr006.html" TargetMode="External"/><Relationship Id="rId1" Type="http://schemas.openxmlformats.org/officeDocument/2006/relationships/hyperlink" Target="http://www.secretariasenado.gov.co/senado/basedoc/constitucion_politica_1991_pr009.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EA6AF5-6F9C-4A6D-9852-A4F55A882472}"/>
</file>

<file path=customXml/itemProps2.xml><?xml version="1.0" encoding="utf-8"?>
<ds:datastoreItem xmlns:ds="http://schemas.openxmlformats.org/officeDocument/2006/customXml" ds:itemID="{001A7F1A-4D5F-4186-B81E-2B3B08B2A41E}"/>
</file>

<file path=customXml/itemProps3.xml><?xml version="1.0" encoding="utf-8"?>
<ds:datastoreItem xmlns:ds="http://schemas.openxmlformats.org/officeDocument/2006/customXml" ds:itemID="{FAB2EDD6-E420-49D3-9836-6CD6D4702286}"/>
</file>

<file path=docProps/app.xml><?xml version="1.0" encoding="utf-8"?>
<Properties xmlns="http://schemas.openxmlformats.org/officeDocument/2006/extended-properties" xmlns:vt="http://schemas.openxmlformats.org/officeDocument/2006/docPropsVTypes">
  <Template>Normal.dotm</Template>
  <TotalTime>1</TotalTime>
  <Pages>16</Pages>
  <Words>5937</Words>
  <Characters>33841</Characters>
  <Application>Microsoft Office Word</Application>
  <DocSecurity>4</DocSecurity>
  <Lines>282</Lines>
  <Paragraphs>79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39699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moreno</dc:creator>
  <cp:keywords/>
  <dc:description/>
  <cp:lastModifiedBy>SENSI Stefano</cp:lastModifiedBy>
  <cp:revision>2</cp:revision>
  <dcterms:created xsi:type="dcterms:W3CDTF">2020-05-14T15:52:00Z</dcterms:created>
  <dcterms:modified xsi:type="dcterms:W3CDTF">2020-05-14T15:52:00Z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