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08C080B" w14:textId="2FFF63A1" w:rsidR="00BB08A1" w:rsidRDefault="005D2437" w:rsidP="00FA5BA7">
      <w:pPr>
        <w:pBdr>
          <w:bottom w:val="single" w:sz="12" w:space="1" w:color="auto"/>
        </w:pBdr>
        <w:jc w:val="center"/>
        <w:rPr>
          <w:rFonts w:ascii="Verdana" w:hAnsi="Verdana" w:cs="Times New Roman"/>
          <w:b/>
          <w:bCs/>
          <w:sz w:val="19"/>
          <w:szCs w:val="19"/>
        </w:rPr>
      </w:pPr>
      <w:r>
        <w:rPr>
          <w:rFonts w:ascii="Verdana" w:hAnsi="Verdana" w:cs="Times New Roman"/>
          <w:b/>
          <w:bCs/>
          <w:noProof/>
          <w:sz w:val="19"/>
          <w:szCs w:val="19"/>
          <w:lang w:eastAsia="en-GB"/>
        </w:rPr>
        <mc:AlternateContent>
          <mc:Choice Requires="wps">
            <w:drawing>
              <wp:anchor distT="0" distB="0" distL="114300" distR="114300" simplePos="0" relativeHeight="251659264" behindDoc="0" locked="0" layoutInCell="1" allowOverlap="0" wp14:anchorId="146DF0EA" wp14:editId="4630A141">
                <wp:simplePos x="0" y="0"/>
                <wp:positionH relativeFrom="column">
                  <wp:posOffset>3504565</wp:posOffset>
                </wp:positionH>
                <wp:positionV relativeFrom="page">
                  <wp:posOffset>1079500</wp:posOffset>
                </wp:positionV>
                <wp:extent cx="2743200" cy="869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69950"/>
                        </a:xfrm>
                        <a:prstGeom prst="rect">
                          <a:avLst/>
                        </a:prstGeom>
                        <a:noFill/>
                        <a:ln>
                          <a:noFill/>
                        </a:ln>
                        <a:extLst>
                          <a:ext uri="{909E8E84-426E-40dd-AFC4-6F175D3DCCD1}">
                            <a14:hiddenFill xmlns=""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EC4CCBD" w14:textId="77777777" w:rsidR="005D2437" w:rsidRPr="005D2437" w:rsidRDefault="005D2437" w:rsidP="005D2437">
                            <w:pPr>
                              <w:widowControl w:val="0"/>
                              <w:tabs>
                                <w:tab w:val="left" w:pos="0"/>
                                <w:tab w:val="left" w:pos="6379"/>
                              </w:tabs>
                              <w:autoSpaceDE w:val="0"/>
                              <w:autoSpaceDN w:val="0"/>
                              <w:adjustRightInd w:val="0"/>
                              <w:spacing w:line="240" w:lineRule="auto"/>
                              <w:contextualSpacing/>
                              <w:rPr>
                                <w:rFonts w:ascii="Verdana" w:hAnsi="Verdana"/>
                                <w:b/>
                                <w:color w:val="4F81BD"/>
                                <w:sz w:val="14"/>
                                <w:szCs w:val="14"/>
                                <w:lang w:eastAsia="fr-FR"/>
                              </w:rPr>
                            </w:pPr>
                            <w:r w:rsidRPr="005D2437">
                              <w:rPr>
                                <w:rFonts w:ascii="Verdana" w:hAnsi="Verdana"/>
                                <w:color w:val="4F81BD"/>
                                <w:sz w:val="6"/>
                                <w:szCs w:val="6"/>
                                <w:lang w:eastAsia="fr-FR"/>
                              </w:rPr>
                              <w:t xml:space="preserve">           </w:t>
                            </w:r>
                            <w:r w:rsidRPr="005D2437">
                              <w:rPr>
                                <w:rFonts w:ascii="Verdana" w:hAnsi="Verdana"/>
                                <w:b/>
                                <w:color w:val="1F497D"/>
                                <w:sz w:val="14"/>
                                <w:szCs w:val="14"/>
                                <w:lang w:eastAsia="fr-FR"/>
                              </w:rPr>
                              <w:t>Advocates for Justice and Human Rights</w:t>
                            </w:r>
                          </w:p>
                          <w:p w14:paraId="0EEF60DB" w14:textId="77777777" w:rsidR="005D2437" w:rsidRPr="005D2437" w:rsidRDefault="005D2437" w:rsidP="005D2437">
                            <w:pPr>
                              <w:widowControl w:val="0"/>
                              <w:tabs>
                                <w:tab w:val="left" w:pos="0"/>
                                <w:tab w:val="left" w:pos="6379"/>
                              </w:tabs>
                              <w:autoSpaceDE w:val="0"/>
                              <w:autoSpaceDN w:val="0"/>
                              <w:adjustRightInd w:val="0"/>
                              <w:spacing w:line="240" w:lineRule="auto"/>
                              <w:contextualSpacing/>
                              <w:rPr>
                                <w:rFonts w:ascii="Verdana" w:hAnsi="Verdana"/>
                                <w:color w:val="4F81BD"/>
                                <w:sz w:val="6"/>
                                <w:szCs w:val="6"/>
                                <w:lang w:eastAsia="fr-FR"/>
                              </w:rPr>
                            </w:pPr>
                            <w:r w:rsidRPr="005D2437">
                              <w:rPr>
                                <w:rFonts w:ascii="Verdana" w:hAnsi="Verdana"/>
                                <w:color w:val="4F81BD"/>
                                <w:sz w:val="6"/>
                                <w:szCs w:val="6"/>
                                <w:lang w:eastAsia="fr-FR"/>
                              </w:rPr>
                              <w:t xml:space="preserve">   </w:t>
                            </w:r>
                          </w:p>
                          <w:p w14:paraId="10635E25" w14:textId="77777777" w:rsidR="005D2437" w:rsidRPr="00AA762A" w:rsidRDefault="005D2437" w:rsidP="005D2437">
                            <w:pPr>
                              <w:widowControl w:val="0"/>
                              <w:tabs>
                                <w:tab w:val="left" w:pos="0"/>
                                <w:tab w:val="left" w:pos="6379"/>
                              </w:tabs>
                              <w:autoSpaceDE w:val="0"/>
                              <w:autoSpaceDN w:val="0"/>
                              <w:adjustRightInd w:val="0"/>
                              <w:spacing w:line="240" w:lineRule="auto"/>
                              <w:contextualSpacing/>
                              <w:rPr>
                                <w:rFonts w:ascii="Verdana" w:hAnsi="Verdana"/>
                                <w:color w:val="4F81BD"/>
                                <w:sz w:val="14"/>
                                <w:szCs w:val="14"/>
                                <w:lang w:val="fr-FR" w:eastAsia="fr-FR"/>
                              </w:rPr>
                            </w:pPr>
                            <w:r w:rsidRPr="005D2437">
                              <w:rPr>
                                <w:rFonts w:ascii="Verdana" w:hAnsi="Verdana"/>
                                <w:color w:val="4F81BD"/>
                                <w:sz w:val="14"/>
                                <w:szCs w:val="14"/>
                                <w:lang w:eastAsia="fr-FR"/>
                              </w:rPr>
                              <w:t xml:space="preserve">                                                  </w:t>
                            </w:r>
                            <w:r w:rsidRPr="00AA762A">
                              <w:rPr>
                                <w:rFonts w:ascii="Verdana" w:hAnsi="Verdana"/>
                                <w:color w:val="4F81BD"/>
                                <w:sz w:val="14"/>
                                <w:szCs w:val="14"/>
                                <w:lang w:val="fr-FR" w:eastAsia="fr-FR"/>
                              </w:rPr>
                              <w:t>P.O. Box 91</w:t>
                            </w:r>
                          </w:p>
                          <w:p w14:paraId="4F1F67D7" w14:textId="77777777" w:rsidR="005D2437" w:rsidRPr="00AA762A" w:rsidRDefault="005D2437" w:rsidP="005D2437">
                            <w:pPr>
                              <w:widowControl w:val="0"/>
                              <w:tabs>
                                <w:tab w:val="left" w:pos="0"/>
                                <w:tab w:val="left" w:pos="6379"/>
                              </w:tabs>
                              <w:autoSpaceDE w:val="0"/>
                              <w:autoSpaceDN w:val="0"/>
                              <w:adjustRightInd w:val="0"/>
                              <w:spacing w:line="240" w:lineRule="auto"/>
                              <w:contextualSpacing/>
                              <w:rPr>
                                <w:rFonts w:ascii="Verdana" w:hAnsi="Verdana"/>
                                <w:color w:val="4F81BD"/>
                                <w:sz w:val="14"/>
                                <w:szCs w:val="14"/>
                                <w:lang w:val="fr-FR" w:eastAsia="fr-FR"/>
                              </w:rPr>
                            </w:pPr>
                            <w:r w:rsidRPr="00AA762A">
                              <w:rPr>
                                <w:rFonts w:ascii="Verdana" w:hAnsi="Verdana"/>
                                <w:color w:val="4F81BD"/>
                                <w:sz w:val="14"/>
                                <w:szCs w:val="14"/>
                                <w:lang w:val="fr-FR" w:eastAsia="fr-FR"/>
                              </w:rPr>
                              <w:t xml:space="preserve">      </w:t>
                            </w:r>
                            <w:r>
                              <w:rPr>
                                <w:rFonts w:ascii="Verdana" w:hAnsi="Verdana"/>
                                <w:color w:val="4F81BD"/>
                                <w:sz w:val="14"/>
                                <w:szCs w:val="14"/>
                                <w:lang w:val="fr-FR" w:eastAsia="fr-FR"/>
                              </w:rPr>
                              <w:t xml:space="preserve">                                            </w:t>
                            </w:r>
                            <w:r w:rsidRPr="00AA762A">
                              <w:rPr>
                                <w:rFonts w:ascii="Verdana" w:hAnsi="Verdana"/>
                                <w:color w:val="4F81BD"/>
                                <w:sz w:val="14"/>
                                <w:szCs w:val="14"/>
                                <w:lang w:val="fr-FR" w:eastAsia="fr-FR"/>
                              </w:rPr>
                              <w:t>Rue des Bains 33</w:t>
                            </w:r>
                          </w:p>
                          <w:p w14:paraId="02DF7801" w14:textId="77777777" w:rsidR="005D2437" w:rsidRPr="00BD6330" w:rsidRDefault="005D2437" w:rsidP="005D2437">
                            <w:pPr>
                              <w:widowControl w:val="0"/>
                              <w:tabs>
                                <w:tab w:val="left" w:pos="0"/>
                                <w:tab w:val="left" w:pos="6379"/>
                              </w:tabs>
                              <w:autoSpaceDE w:val="0"/>
                              <w:autoSpaceDN w:val="0"/>
                              <w:adjustRightInd w:val="0"/>
                              <w:spacing w:line="240" w:lineRule="auto"/>
                              <w:contextualSpacing/>
                              <w:rPr>
                                <w:rFonts w:ascii="Verdana" w:hAnsi="Verdana"/>
                                <w:color w:val="4F81BD"/>
                                <w:sz w:val="14"/>
                                <w:szCs w:val="14"/>
                                <w:lang w:eastAsia="fr-FR"/>
                              </w:rPr>
                            </w:pPr>
                            <w:r w:rsidRPr="00AA762A">
                              <w:rPr>
                                <w:rFonts w:ascii="Verdana" w:hAnsi="Verdana"/>
                                <w:color w:val="4F81BD"/>
                                <w:sz w:val="14"/>
                                <w:szCs w:val="14"/>
                                <w:lang w:val="fr-FR" w:eastAsia="fr-FR"/>
                              </w:rPr>
                              <w:t xml:space="preserve">      </w:t>
                            </w:r>
                            <w:r>
                              <w:rPr>
                                <w:rFonts w:ascii="Verdana" w:hAnsi="Verdana"/>
                                <w:color w:val="4F81BD"/>
                                <w:sz w:val="14"/>
                                <w:szCs w:val="14"/>
                                <w:lang w:val="fr-FR" w:eastAsia="fr-FR"/>
                              </w:rPr>
                              <w:t xml:space="preserve">                                            </w:t>
                            </w:r>
                            <w:r w:rsidRPr="00BD6330">
                              <w:rPr>
                                <w:rFonts w:ascii="Verdana" w:hAnsi="Verdana"/>
                                <w:color w:val="4F81BD"/>
                                <w:sz w:val="14"/>
                                <w:szCs w:val="14"/>
                                <w:lang w:eastAsia="fr-FR"/>
                              </w:rPr>
                              <w:t>CH 1211 Geneva 8</w:t>
                            </w:r>
                          </w:p>
                          <w:p w14:paraId="520B6A1F" w14:textId="33CA9ED1" w:rsidR="005D2437" w:rsidRDefault="005D2437" w:rsidP="005D2437">
                            <w:pPr>
                              <w:widowControl w:val="0"/>
                              <w:tabs>
                                <w:tab w:val="left" w:pos="0"/>
                                <w:tab w:val="left" w:pos="6379"/>
                              </w:tabs>
                              <w:autoSpaceDE w:val="0"/>
                              <w:autoSpaceDN w:val="0"/>
                              <w:adjustRightInd w:val="0"/>
                              <w:spacing w:line="240" w:lineRule="auto"/>
                              <w:contextualSpacing/>
                              <w:rPr>
                                <w:rFonts w:ascii="Verdana" w:hAnsi="Verdana"/>
                                <w:color w:val="4F81BD"/>
                                <w:sz w:val="14"/>
                                <w:szCs w:val="14"/>
                                <w:lang w:eastAsia="fr-FR"/>
                              </w:rPr>
                            </w:pPr>
                            <w:r w:rsidRPr="00BD6330">
                              <w:rPr>
                                <w:rFonts w:ascii="Verdana" w:hAnsi="Verdana"/>
                                <w:color w:val="4F81BD"/>
                                <w:sz w:val="14"/>
                                <w:szCs w:val="14"/>
                                <w:lang w:eastAsia="fr-FR"/>
                              </w:rPr>
                              <w:t xml:space="preserve">      </w:t>
                            </w:r>
                            <w:r>
                              <w:rPr>
                                <w:rFonts w:ascii="Verdana" w:hAnsi="Verdana"/>
                                <w:color w:val="4F81BD"/>
                                <w:sz w:val="14"/>
                                <w:szCs w:val="14"/>
                                <w:lang w:eastAsia="fr-FR"/>
                              </w:rPr>
                              <w:t xml:space="preserve">                                            </w:t>
                            </w:r>
                            <w:r w:rsidRPr="00BD6330">
                              <w:rPr>
                                <w:rFonts w:ascii="Verdana" w:hAnsi="Verdana"/>
                                <w:color w:val="4F81BD"/>
                                <w:sz w:val="14"/>
                                <w:szCs w:val="14"/>
                                <w:lang w:eastAsia="fr-FR"/>
                              </w:rPr>
                              <w:t>Switzerland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6DF0EA" id="_x0000_t202" coordsize="21600,21600" o:spt="202" path="m,l,21600r21600,l21600,xe">
                <v:stroke joinstyle="miter"/>
                <v:path gradientshapeok="t" o:connecttype="rect"/>
              </v:shapetype>
              <v:shape id="Text Box 2" o:spid="_x0000_s1026" type="#_x0000_t202" style="position:absolute;left:0;text-align:left;margin-left:275.95pt;margin-top:85pt;width:3in;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" o:allowoverlap="f" filled="f" stroked="f">
                <v:textbox inset=",7.2pt,,7.2pt">
                  <w:txbxContent>
                    <w:p w14:paraId="6EC4CCBD" w14:textId="77777777" w:rsidR="005D2437" w:rsidRPr="005D2437" w:rsidRDefault="005D2437" w:rsidP="005D2437">
                      <w:pPr>
                        <w:widowControl w:val="0"/>
                        <w:tabs>
                          <w:tab w:val="left" w:pos="0"/>
                          <w:tab w:val="left" w:pos="6379"/>
                        </w:tabs>
                        <w:autoSpaceDE w:val="0"/>
                        <w:autoSpaceDN w:val="0"/>
                        <w:adjustRightInd w:val="0"/>
                        <w:spacing w:line="240" w:lineRule="auto"/>
                        <w:contextualSpacing/>
                        <w:rPr>
                          <w:rFonts w:ascii="Verdana" w:hAnsi="Verdana"/>
                          <w:b/>
                          <w:color w:val="4F81BD"/>
                          <w:sz w:val="14"/>
                          <w:szCs w:val="14"/>
                          <w:lang w:eastAsia="fr-FR"/>
                        </w:rPr>
                      </w:pPr>
                      <w:r w:rsidRPr="005D2437">
                        <w:rPr>
                          <w:rFonts w:ascii="Verdana" w:hAnsi="Verdana"/>
                          <w:color w:val="4F81BD"/>
                          <w:sz w:val="6"/>
                          <w:szCs w:val="6"/>
                          <w:lang w:eastAsia="fr-FR"/>
                        </w:rPr>
                        <w:t xml:space="preserve">           </w:t>
                      </w:r>
                      <w:r w:rsidRPr="005D2437">
                        <w:rPr>
                          <w:rFonts w:ascii="Verdana" w:hAnsi="Verdana"/>
                          <w:b/>
                          <w:color w:val="1F497D"/>
                          <w:sz w:val="14"/>
                          <w:szCs w:val="14"/>
                          <w:lang w:eastAsia="fr-FR"/>
                        </w:rPr>
                        <w:t>Advocates for Justice and Human Rights</w:t>
                      </w:r>
                    </w:p>
                    <w:p w14:paraId="0EEF60DB" w14:textId="77777777" w:rsidR="005D2437" w:rsidRPr="005D2437" w:rsidRDefault="005D2437" w:rsidP="005D2437">
                      <w:pPr>
                        <w:widowControl w:val="0"/>
                        <w:tabs>
                          <w:tab w:val="left" w:pos="0"/>
                          <w:tab w:val="left" w:pos="6379"/>
                        </w:tabs>
                        <w:autoSpaceDE w:val="0"/>
                        <w:autoSpaceDN w:val="0"/>
                        <w:adjustRightInd w:val="0"/>
                        <w:spacing w:line="240" w:lineRule="auto"/>
                        <w:contextualSpacing/>
                        <w:rPr>
                          <w:rFonts w:ascii="Verdana" w:hAnsi="Verdana"/>
                          <w:color w:val="4F81BD"/>
                          <w:sz w:val="6"/>
                          <w:szCs w:val="6"/>
                          <w:lang w:eastAsia="fr-FR"/>
                        </w:rPr>
                      </w:pPr>
                      <w:r w:rsidRPr="005D2437">
                        <w:rPr>
                          <w:rFonts w:ascii="Verdana" w:hAnsi="Verdana"/>
                          <w:color w:val="4F81BD"/>
                          <w:sz w:val="6"/>
                          <w:szCs w:val="6"/>
                          <w:lang w:eastAsia="fr-FR"/>
                        </w:rPr>
                        <w:t xml:space="preserve">   </w:t>
                      </w:r>
                    </w:p>
                    <w:p w14:paraId="10635E25" w14:textId="77777777" w:rsidR="005D2437" w:rsidRPr="00AA762A" w:rsidRDefault="005D2437" w:rsidP="005D2437">
                      <w:pPr>
                        <w:widowControl w:val="0"/>
                        <w:tabs>
                          <w:tab w:val="left" w:pos="0"/>
                          <w:tab w:val="left" w:pos="6379"/>
                        </w:tabs>
                        <w:autoSpaceDE w:val="0"/>
                        <w:autoSpaceDN w:val="0"/>
                        <w:adjustRightInd w:val="0"/>
                        <w:spacing w:line="240" w:lineRule="auto"/>
                        <w:contextualSpacing/>
                        <w:rPr>
                          <w:rFonts w:ascii="Verdana" w:hAnsi="Verdana"/>
                          <w:color w:val="4F81BD"/>
                          <w:sz w:val="14"/>
                          <w:szCs w:val="14"/>
                          <w:lang w:val="fr-FR" w:eastAsia="fr-FR"/>
                        </w:rPr>
                      </w:pPr>
                      <w:r w:rsidRPr="005D2437">
                        <w:rPr>
                          <w:rFonts w:ascii="Verdana" w:hAnsi="Verdana"/>
                          <w:color w:val="4F81BD"/>
                          <w:sz w:val="14"/>
                          <w:szCs w:val="14"/>
                          <w:lang w:eastAsia="fr-FR"/>
                        </w:rPr>
                        <w:t xml:space="preserve">                                                  </w:t>
                      </w:r>
                      <w:r w:rsidRPr="00AA762A">
                        <w:rPr>
                          <w:rFonts w:ascii="Verdana" w:hAnsi="Verdana"/>
                          <w:color w:val="4F81BD"/>
                          <w:sz w:val="14"/>
                          <w:szCs w:val="14"/>
                          <w:lang w:val="fr-FR" w:eastAsia="fr-FR"/>
                        </w:rPr>
                        <w:t>P.O. Box 91</w:t>
                      </w:r>
                    </w:p>
                    <w:p w14:paraId="4F1F67D7" w14:textId="77777777" w:rsidR="005D2437" w:rsidRPr="00AA762A" w:rsidRDefault="005D2437" w:rsidP="005D2437">
                      <w:pPr>
                        <w:widowControl w:val="0"/>
                        <w:tabs>
                          <w:tab w:val="left" w:pos="0"/>
                          <w:tab w:val="left" w:pos="6379"/>
                        </w:tabs>
                        <w:autoSpaceDE w:val="0"/>
                        <w:autoSpaceDN w:val="0"/>
                        <w:adjustRightInd w:val="0"/>
                        <w:spacing w:line="240" w:lineRule="auto"/>
                        <w:contextualSpacing/>
                        <w:rPr>
                          <w:rFonts w:ascii="Verdana" w:hAnsi="Verdana"/>
                          <w:color w:val="4F81BD"/>
                          <w:sz w:val="14"/>
                          <w:szCs w:val="14"/>
                          <w:lang w:val="fr-FR" w:eastAsia="fr-FR"/>
                        </w:rPr>
                      </w:pPr>
                      <w:r w:rsidRPr="00AA762A">
                        <w:rPr>
                          <w:rFonts w:ascii="Verdana" w:hAnsi="Verdana"/>
                          <w:color w:val="4F81BD"/>
                          <w:sz w:val="14"/>
                          <w:szCs w:val="14"/>
                          <w:lang w:val="fr-FR" w:eastAsia="fr-FR"/>
                        </w:rPr>
                        <w:t xml:space="preserve">      </w:t>
                      </w:r>
                      <w:r>
                        <w:rPr>
                          <w:rFonts w:ascii="Verdana" w:hAnsi="Verdana"/>
                          <w:color w:val="4F81BD"/>
                          <w:sz w:val="14"/>
                          <w:szCs w:val="14"/>
                          <w:lang w:val="fr-FR" w:eastAsia="fr-FR"/>
                        </w:rPr>
                        <w:t xml:space="preserve">                                            </w:t>
                      </w:r>
                      <w:r w:rsidRPr="00AA762A">
                        <w:rPr>
                          <w:rFonts w:ascii="Verdana" w:hAnsi="Verdana"/>
                          <w:color w:val="4F81BD"/>
                          <w:sz w:val="14"/>
                          <w:szCs w:val="14"/>
                          <w:lang w:val="fr-FR" w:eastAsia="fr-FR"/>
                        </w:rPr>
                        <w:t>Rue des Bains 33</w:t>
                      </w:r>
                    </w:p>
                    <w:p w14:paraId="02DF7801" w14:textId="77777777" w:rsidR="005D2437" w:rsidRPr="00BD6330" w:rsidRDefault="005D2437" w:rsidP="005D2437">
                      <w:pPr>
                        <w:widowControl w:val="0"/>
                        <w:tabs>
                          <w:tab w:val="left" w:pos="0"/>
                          <w:tab w:val="left" w:pos="6379"/>
                        </w:tabs>
                        <w:autoSpaceDE w:val="0"/>
                        <w:autoSpaceDN w:val="0"/>
                        <w:adjustRightInd w:val="0"/>
                        <w:spacing w:line="240" w:lineRule="auto"/>
                        <w:contextualSpacing/>
                        <w:rPr>
                          <w:rFonts w:ascii="Verdana" w:hAnsi="Verdana"/>
                          <w:color w:val="4F81BD"/>
                          <w:sz w:val="14"/>
                          <w:szCs w:val="14"/>
                          <w:lang w:eastAsia="fr-FR"/>
                        </w:rPr>
                      </w:pPr>
                      <w:r w:rsidRPr="00AA762A">
                        <w:rPr>
                          <w:rFonts w:ascii="Verdana" w:hAnsi="Verdana"/>
                          <w:color w:val="4F81BD"/>
                          <w:sz w:val="14"/>
                          <w:szCs w:val="14"/>
                          <w:lang w:val="fr-FR" w:eastAsia="fr-FR"/>
                        </w:rPr>
                        <w:t xml:space="preserve">      </w:t>
                      </w:r>
                      <w:r>
                        <w:rPr>
                          <w:rFonts w:ascii="Verdana" w:hAnsi="Verdana"/>
                          <w:color w:val="4F81BD"/>
                          <w:sz w:val="14"/>
                          <w:szCs w:val="14"/>
                          <w:lang w:val="fr-FR" w:eastAsia="fr-FR"/>
                        </w:rPr>
                        <w:t xml:space="preserve">                                            </w:t>
                      </w:r>
                      <w:r w:rsidRPr="00BD6330">
                        <w:rPr>
                          <w:rFonts w:ascii="Verdana" w:hAnsi="Verdana"/>
                          <w:color w:val="4F81BD"/>
                          <w:sz w:val="14"/>
                          <w:szCs w:val="14"/>
                          <w:lang w:eastAsia="fr-FR"/>
                        </w:rPr>
                        <w:t>CH 1211 Geneva 8</w:t>
                      </w:r>
                    </w:p>
                    <w:p w14:paraId="520B6A1F" w14:textId="33CA9ED1" w:rsidR="005D2437" w:rsidRDefault="005D2437" w:rsidP="005D2437">
                      <w:pPr>
                        <w:widowControl w:val="0"/>
                        <w:tabs>
                          <w:tab w:val="left" w:pos="0"/>
                          <w:tab w:val="left" w:pos="6379"/>
                        </w:tabs>
                        <w:autoSpaceDE w:val="0"/>
                        <w:autoSpaceDN w:val="0"/>
                        <w:adjustRightInd w:val="0"/>
                        <w:spacing w:line="240" w:lineRule="auto"/>
                        <w:contextualSpacing/>
                        <w:rPr>
                          <w:rFonts w:ascii="Verdana" w:hAnsi="Verdana"/>
                          <w:color w:val="4F81BD"/>
                          <w:sz w:val="14"/>
                          <w:szCs w:val="14"/>
                          <w:lang w:eastAsia="fr-FR"/>
                        </w:rPr>
                      </w:pPr>
                      <w:r w:rsidRPr="00BD6330">
                        <w:rPr>
                          <w:rFonts w:ascii="Verdana" w:hAnsi="Verdana"/>
                          <w:color w:val="4F81BD"/>
                          <w:sz w:val="14"/>
                          <w:szCs w:val="14"/>
                          <w:lang w:eastAsia="fr-FR"/>
                        </w:rPr>
                        <w:t xml:space="preserve">      </w:t>
                      </w:r>
                      <w:r>
                        <w:rPr>
                          <w:rFonts w:ascii="Verdana" w:hAnsi="Verdana"/>
                          <w:color w:val="4F81BD"/>
                          <w:sz w:val="14"/>
                          <w:szCs w:val="14"/>
                          <w:lang w:eastAsia="fr-FR"/>
                        </w:rPr>
                        <w:t xml:space="preserve">                                            </w:t>
                      </w:r>
                      <w:r w:rsidRPr="00BD6330">
                        <w:rPr>
                          <w:rFonts w:ascii="Verdana" w:hAnsi="Verdana"/>
                          <w:color w:val="4F81BD"/>
                          <w:sz w:val="14"/>
                          <w:szCs w:val="14"/>
                          <w:lang w:eastAsia="fr-FR"/>
                        </w:rPr>
                        <w:t>Switzerland</w:t>
                      </w:r>
                    </w:p>
                  </w:txbxContent>
                </v:textbox>
                <w10:wrap anchory="page"/>
              </v:shape>
            </w:pict>
          </mc:Fallback>
        </mc:AlternateContent>
      </w:r>
      <w:r>
        <w:rPr>
          <w:rFonts w:ascii="Verdana" w:hAnsi="Verdana" w:cs="Times New Roman"/>
          <w:b/>
          <w:bCs/>
          <w:noProof/>
          <w:sz w:val="19"/>
          <w:szCs w:val="19"/>
          <w:lang w:eastAsia="en-GB"/>
        </w:rPr>
        <w:drawing>
          <wp:anchor distT="0" distB="0" distL="114300" distR="114300" simplePos="0" relativeHeight="251658240" behindDoc="0" locked="0" layoutInCell="1" allowOverlap="1" wp14:anchorId="58C00A36" wp14:editId="3066A6B2">
            <wp:simplePos x="0" y="0"/>
            <wp:positionH relativeFrom="column">
              <wp:posOffset>3747135</wp:posOffset>
            </wp:positionH>
            <wp:positionV relativeFrom="page">
              <wp:posOffset>273685</wp:posOffset>
            </wp:positionV>
            <wp:extent cx="1991995" cy="759460"/>
            <wp:effectExtent l="0" t="0" r="8255" b="2540"/>
            <wp:wrapThrough wrapText="bothSides">
              <wp:wrapPolygon edited="0">
                <wp:start x="0" y="0"/>
                <wp:lineTo x="0" y="21130"/>
                <wp:lineTo x="21483" y="21130"/>
                <wp:lineTo x="21483" y="0"/>
                <wp:lineTo x="0" y="0"/>
              </wp:wrapPolygon>
            </wp:wrapThrough>
            <wp:docPr id="1" name="Picture 1" descr="Description: Description: Description: Description: icj_logo_rgb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icj_logo_rgb_engl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1995"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ED04A" w14:textId="21E999D3" w:rsidR="000813F4" w:rsidRDefault="000813F4" w:rsidP="00FA5BA7">
      <w:pPr>
        <w:pBdr>
          <w:bottom w:val="single" w:sz="12" w:space="1" w:color="auto"/>
        </w:pBdr>
        <w:jc w:val="center"/>
        <w:rPr>
          <w:rFonts w:ascii="Verdana" w:hAnsi="Verdana" w:cs="Times New Roman"/>
          <w:b/>
          <w:bCs/>
          <w:sz w:val="19"/>
          <w:szCs w:val="19"/>
        </w:rPr>
      </w:pPr>
    </w:p>
    <w:p w14:paraId="19BEFFB5" w14:textId="2DF3689C" w:rsidR="000813F4" w:rsidRDefault="000813F4" w:rsidP="00FA5BA7">
      <w:pPr>
        <w:pBdr>
          <w:bottom w:val="single" w:sz="12" w:space="1" w:color="auto"/>
        </w:pBdr>
        <w:jc w:val="center"/>
        <w:rPr>
          <w:rFonts w:ascii="Verdana" w:hAnsi="Verdana" w:cs="Times New Roman"/>
          <w:b/>
          <w:bCs/>
          <w:sz w:val="19"/>
          <w:szCs w:val="19"/>
        </w:rPr>
      </w:pPr>
    </w:p>
    <w:p w14:paraId="6E00F339" w14:textId="357FC7A5" w:rsidR="005D2437" w:rsidRDefault="005D2437" w:rsidP="00FA5BA7">
      <w:pPr>
        <w:pBdr>
          <w:bottom w:val="single" w:sz="12" w:space="1" w:color="auto"/>
        </w:pBdr>
        <w:jc w:val="center"/>
        <w:rPr>
          <w:rFonts w:ascii="Verdana" w:hAnsi="Verdana" w:cs="Times New Roman"/>
          <w:b/>
          <w:bCs/>
          <w:sz w:val="19"/>
          <w:szCs w:val="19"/>
        </w:rPr>
      </w:pPr>
    </w:p>
    <w:p w14:paraId="0A0D1AD2" w14:textId="77777777" w:rsidR="005D2437" w:rsidRPr="00562991" w:rsidRDefault="005D2437" w:rsidP="00FA5BA7">
      <w:pPr>
        <w:pBdr>
          <w:bottom w:val="single" w:sz="12" w:space="1" w:color="auto"/>
        </w:pBdr>
        <w:jc w:val="center"/>
        <w:rPr>
          <w:rFonts w:ascii="Verdana" w:hAnsi="Verdana" w:cs="Times New Roman"/>
          <w:b/>
          <w:bCs/>
          <w:sz w:val="19"/>
          <w:szCs w:val="19"/>
        </w:rPr>
      </w:pPr>
    </w:p>
    <w:p w14:paraId="56079979" w14:textId="513CB22B" w:rsidR="006A4A11" w:rsidRPr="00562991" w:rsidRDefault="00AF3DB0" w:rsidP="00FA5BA7">
      <w:pPr>
        <w:jc w:val="center"/>
        <w:rPr>
          <w:rFonts w:ascii="Verdana" w:hAnsi="Verdana" w:cs="Times New Roman"/>
          <w:b/>
          <w:bCs/>
          <w:sz w:val="19"/>
          <w:szCs w:val="19"/>
        </w:rPr>
      </w:pPr>
      <w:r w:rsidRPr="00562991">
        <w:rPr>
          <w:rFonts w:ascii="Verdana" w:hAnsi="Verdana" w:cs="Times New Roman"/>
          <w:b/>
          <w:bCs/>
          <w:sz w:val="19"/>
          <w:szCs w:val="19"/>
        </w:rPr>
        <w:t>S</w:t>
      </w:r>
      <w:r w:rsidR="00FA5BA7" w:rsidRPr="00562991">
        <w:rPr>
          <w:rFonts w:ascii="Verdana" w:hAnsi="Verdana" w:cs="Times New Roman"/>
          <w:b/>
          <w:bCs/>
          <w:sz w:val="19"/>
          <w:szCs w:val="19"/>
        </w:rPr>
        <w:t xml:space="preserve">ubmission </w:t>
      </w:r>
      <w:r w:rsidR="00903008" w:rsidRPr="00562991">
        <w:rPr>
          <w:rFonts w:ascii="Verdana" w:hAnsi="Verdana" w:cs="Times New Roman"/>
          <w:b/>
          <w:bCs/>
          <w:sz w:val="19"/>
          <w:szCs w:val="19"/>
        </w:rPr>
        <w:t>to the report on</w:t>
      </w:r>
      <w:r w:rsidR="00FA5BA7" w:rsidRPr="00562991">
        <w:rPr>
          <w:rFonts w:ascii="Verdana" w:hAnsi="Verdana" w:cs="Times New Roman"/>
          <w:b/>
          <w:bCs/>
          <w:sz w:val="19"/>
          <w:szCs w:val="19"/>
        </w:rPr>
        <w:t xml:space="preserve"> disciplinary, civil and criminal liability of judges</w:t>
      </w:r>
    </w:p>
    <w:p w14:paraId="5B0789EB" w14:textId="77777777" w:rsidR="00AF3DB0" w:rsidRPr="00562991" w:rsidRDefault="00AF3DB0" w:rsidP="00AF3DB0">
      <w:pPr>
        <w:jc w:val="center"/>
        <w:rPr>
          <w:rFonts w:ascii="Verdana" w:hAnsi="Verdana" w:cs="Times New Roman"/>
          <w:b/>
          <w:bCs/>
          <w:sz w:val="19"/>
          <w:szCs w:val="19"/>
        </w:rPr>
      </w:pPr>
      <w:r w:rsidRPr="00562991">
        <w:rPr>
          <w:rFonts w:ascii="Verdana" w:hAnsi="Verdana" w:cs="Times New Roman"/>
          <w:b/>
          <w:bCs/>
          <w:sz w:val="19"/>
          <w:szCs w:val="19"/>
        </w:rPr>
        <w:t>International Commission of Jurists</w:t>
      </w:r>
    </w:p>
    <w:p w14:paraId="2632C91F" w14:textId="08481942" w:rsidR="00FA5BA7" w:rsidRPr="00562991" w:rsidRDefault="00562991" w:rsidP="00FA5BA7">
      <w:pPr>
        <w:pBdr>
          <w:bottom w:val="single" w:sz="12" w:space="1" w:color="auto"/>
        </w:pBdr>
        <w:spacing w:line="480" w:lineRule="auto"/>
        <w:jc w:val="center"/>
        <w:rPr>
          <w:rFonts w:ascii="Verdana" w:hAnsi="Verdana" w:cs="Times New Roman"/>
          <w:b/>
          <w:bCs/>
          <w:sz w:val="19"/>
          <w:szCs w:val="19"/>
        </w:rPr>
      </w:pPr>
      <w:r>
        <w:rPr>
          <w:rFonts w:ascii="Verdana" w:hAnsi="Verdana" w:cs="Times New Roman"/>
          <w:b/>
          <w:bCs/>
          <w:sz w:val="19"/>
          <w:szCs w:val="19"/>
        </w:rPr>
        <w:t>May</w:t>
      </w:r>
      <w:r w:rsidR="00FA5BA7" w:rsidRPr="00562991">
        <w:rPr>
          <w:rFonts w:ascii="Verdana" w:hAnsi="Verdana" w:cs="Times New Roman"/>
          <w:b/>
          <w:bCs/>
          <w:sz w:val="19"/>
          <w:szCs w:val="19"/>
        </w:rPr>
        <w:t xml:space="preserve"> 2020</w:t>
      </w:r>
    </w:p>
    <w:p w14:paraId="5ADCE931" w14:textId="77777777" w:rsidR="00BB08A1" w:rsidRPr="00562991" w:rsidRDefault="00BB08A1" w:rsidP="00FA5BA7">
      <w:pPr>
        <w:ind w:firstLine="720"/>
        <w:jc w:val="both"/>
        <w:rPr>
          <w:rFonts w:ascii="Verdana" w:hAnsi="Verdana" w:cs="Times New Roman"/>
          <w:sz w:val="19"/>
          <w:szCs w:val="19"/>
        </w:rPr>
      </w:pPr>
    </w:p>
    <w:p w14:paraId="62AB6B0E" w14:textId="3493B30F" w:rsidR="00562991" w:rsidRDefault="00184537" w:rsidP="00FA5BA7">
      <w:pPr>
        <w:ind w:firstLine="720"/>
        <w:jc w:val="both"/>
        <w:rPr>
          <w:rFonts w:ascii="Verdana" w:hAnsi="Verdana" w:cs="Times New Roman"/>
          <w:sz w:val="19"/>
          <w:szCs w:val="19"/>
        </w:rPr>
      </w:pPr>
      <w:r w:rsidRPr="00562991">
        <w:rPr>
          <w:rFonts w:ascii="Verdana" w:hAnsi="Verdana" w:cs="Times New Roman"/>
          <w:sz w:val="19"/>
          <w:szCs w:val="19"/>
        </w:rPr>
        <w:t>The I</w:t>
      </w:r>
      <w:r w:rsidR="00FA5BA7" w:rsidRPr="00562991">
        <w:rPr>
          <w:rFonts w:ascii="Verdana" w:hAnsi="Verdana" w:cs="Times New Roman"/>
          <w:sz w:val="19"/>
          <w:szCs w:val="19"/>
        </w:rPr>
        <w:t>nternational Commission of Jurists (IC</w:t>
      </w:r>
      <w:r w:rsidRPr="00562991">
        <w:rPr>
          <w:rFonts w:ascii="Verdana" w:hAnsi="Verdana" w:cs="Times New Roman"/>
          <w:sz w:val="19"/>
          <w:szCs w:val="19"/>
        </w:rPr>
        <w:t>J</w:t>
      </w:r>
      <w:r w:rsidR="00FA5BA7" w:rsidRPr="00562991">
        <w:rPr>
          <w:rFonts w:ascii="Verdana" w:hAnsi="Verdana" w:cs="Times New Roman"/>
          <w:sz w:val="19"/>
          <w:szCs w:val="19"/>
        </w:rPr>
        <w:t>)</w:t>
      </w:r>
      <w:r w:rsidRPr="00562991">
        <w:rPr>
          <w:rFonts w:ascii="Verdana" w:hAnsi="Verdana" w:cs="Times New Roman"/>
          <w:sz w:val="19"/>
          <w:szCs w:val="19"/>
        </w:rPr>
        <w:t xml:space="preserve"> </w:t>
      </w:r>
      <w:r w:rsidR="00E96533">
        <w:rPr>
          <w:rFonts w:ascii="Verdana" w:hAnsi="Verdana" w:cs="Times New Roman"/>
          <w:sz w:val="19"/>
          <w:szCs w:val="19"/>
        </w:rPr>
        <w:t>is pleased to provide this submission in response to a call for input by the UN Special Rapporteur on the Independence of Judges and Lawyers, for information on disciplinary, civil and criminal liability of judges.</w:t>
      </w:r>
    </w:p>
    <w:p w14:paraId="21491DD1" w14:textId="0D09ACD3" w:rsidR="000813F4" w:rsidRDefault="000813F4" w:rsidP="00FA5BA7">
      <w:pPr>
        <w:ind w:firstLine="720"/>
        <w:jc w:val="both"/>
        <w:rPr>
          <w:rFonts w:ascii="Verdana" w:hAnsi="Verdana" w:cs="Times New Roman"/>
          <w:sz w:val="19"/>
          <w:szCs w:val="19"/>
        </w:rPr>
      </w:pPr>
    </w:p>
    <w:p w14:paraId="4737E295" w14:textId="7EE138AB" w:rsidR="000813F4" w:rsidRDefault="000813F4" w:rsidP="000813F4">
      <w:pPr>
        <w:pStyle w:val="Heading1"/>
      </w:pPr>
      <w:r>
        <w:t>ICJ Practitioners Guide no 13 on Judicial Accountability</w:t>
      </w:r>
    </w:p>
    <w:p w14:paraId="3F785706" w14:textId="77777777" w:rsidR="000813F4" w:rsidRPr="000813F4" w:rsidRDefault="000813F4" w:rsidP="000813F4"/>
    <w:p w14:paraId="654D11C4" w14:textId="06738AE8" w:rsidR="00E96533" w:rsidRPr="00562991" w:rsidRDefault="00E96533" w:rsidP="00FA5BA7">
      <w:pPr>
        <w:ind w:firstLine="720"/>
        <w:jc w:val="both"/>
        <w:rPr>
          <w:rFonts w:ascii="Verdana" w:hAnsi="Verdana" w:cs="Times New Roman"/>
          <w:sz w:val="19"/>
          <w:szCs w:val="19"/>
        </w:rPr>
      </w:pPr>
      <w:r>
        <w:rPr>
          <w:rFonts w:ascii="Verdana" w:hAnsi="Verdana" w:cs="Times New Roman"/>
          <w:sz w:val="19"/>
          <w:szCs w:val="19"/>
        </w:rPr>
        <w:lastRenderedPageBreak/>
        <w:t xml:space="preserve">The ICJ addressed in detail international standards and best practices in relation to relevant mechanisms and processes in its 2016 publication, </w:t>
      </w:r>
      <w:r>
        <w:rPr>
          <w:rFonts w:ascii="Verdana" w:hAnsi="Verdana" w:cs="Times New Roman"/>
          <w:i/>
          <w:iCs/>
          <w:sz w:val="19"/>
          <w:szCs w:val="19"/>
        </w:rPr>
        <w:t>ICJ Practitioners’ Guide no. 13: Judicial Accountability</w:t>
      </w:r>
      <w:r>
        <w:rPr>
          <w:rFonts w:ascii="Verdana" w:hAnsi="Verdana" w:cs="Times New Roman"/>
          <w:sz w:val="19"/>
          <w:szCs w:val="19"/>
        </w:rPr>
        <w:t xml:space="preserve">, available here: </w:t>
      </w:r>
      <w:hyperlink r:id="rId9" w:history="1">
        <w:r w:rsidR="000813F4" w:rsidRPr="00C91C6F">
          <w:rPr>
            <w:rStyle w:val="Hyperlink"/>
            <w:rFonts w:ascii="Verdana" w:hAnsi="Verdana" w:cs="Times New Roman"/>
            <w:sz w:val="19"/>
            <w:szCs w:val="19"/>
          </w:rPr>
          <w:t>https://www.icj.org/wp-content/uploads/2016/06/Universal-PG-13-Judicial-Accountability-Publications-Reports-Practitioners-Guide-2016-ENG.pdf</w:t>
        </w:r>
      </w:hyperlink>
      <w:r w:rsidR="000813F4">
        <w:rPr>
          <w:rFonts w:ascii="Verdana" w:hAnsi="Verdana" w:cs="Times New Roman"/>
          <w:sz w:val="19"/>
          <w:szCs w:val="19"/>
        </w:rPr>
        <w:t xml:space="preserve"> </w:t>
      </w:r>
      <w:r>
        <w:rPr>
          <w:rFonts w:ascii="Verdana" w:hAnsi="Verdana" w:cs="Times New Roman"/>
          <w:sz w:val="19"/>
          <w:szCs w:val="19"/>
        </w:rPr>
        <w:t xml:space="preserve"> </w:t>
      </w:r>
    </w:p>
    <w:p w14:paraId="5D85984C" w14:textId="64444DB6" w:rsidR="000813F4" w:rsidRDefault="000813F4" w:rsidP="00FA5BA7">
      <w:pPr>
        <w:ind w:firstLine="720"/>
        <w:jc w:val="both"/>
        <w:rPr>
          <w:rFonts w:ascii="Verdana" w:hAnsi="Verdana" w:cs="Times New Roman"/>
          <w:sz w:val="19"/>
          <w:szCs w:val="19"/>
        </w:rPr>
      </w:pPr>
      <w:r>
        <w:rPr>
          <w:rFonts w:ascii="Verdana" w:hAnsi="Verdana" w:cs="Times New Roman"/>
          <w:sz w:val="19"/>
          <w:szCs w:val="19"/>
        </w:rPr>
        <w:t>This submission supplements the content of Practitioners Guide no 13 with additional information about the situation in Europe and Central Asia, and the Middle East North Africa regions.</w:t>
      </w:r>
    </w:p>
    <w:p w14:paraId="5A3EC18A" w14:textId="06AF4C30" w:rsidR="000813F4" w:rsidRDefault="000813F4" w:rsidP="00FA5BA7">
      <w:pPr>
        <w:ind w:firstLine="720"/>
        <w:jc w:val="both"/>
        <w:rPr>
          <w:rFonts w:ascii="Verdana" w:hAnsi="Verdana" w:cs="Times New Roman"/>
          <w:sz w:val="19"/>
          <w:szCs w:val="19"/>
        </w:rPr>
      </w:pPr>
    </w:p>
    <w:p w14:paraId="0E0A7A19" w14:textId="7A26026D" w:rsidR="000813F4" w:rsidRDefault="000813F4" w:rsidP="000813F4">
      <w:pPr>
        <w:pStyle w:val="Heading1"/>
      </w:pPr>
      <w:r>
        <w:lastRenderedPageBreak/>
        <w:t>Europe and Central Asia</w:t>
      </w:r>
    </w:p>
    <w:p w14:paraId="2ACEE28D" w14:textId="77777777" w:rsidR="000813F4" w:rsidRDefault="000813F4" w:rsidP="00FA5BA7">
      <w:pPr>
        <w:ind w:firstLine="720"/>
        <w:jc w:val="both"/>
        <w:rPr>
          <w:rFonts w:ascii="Verdana" w:hAnsi="Verdana" w:cs="Times New Roman"/>
          <w:sz w:val="19"/>
          <w:szCs w:val="19"/>
        </w:rPr>
      </w:pPr>
    </w:p>
    <w:p w14:paraId="3D9A0311" w14:textId="19A4ACCB" w:rsidR="00184537" w:rsidRPr="00562991" w:rsidRDefault="00562991" w:rsidP="00FA5BA7">
      <w:pPr>
        <w:ind w:firstLine="720"/>
        <w:jc w:val="both"/>
        <w:rPr>
          <w:rFonts w:ascii="Verdana" w:hAnsi="Verdana" w:cs="Times New Roman"/>
          <w:sz w:val="19"/>
          <w:szCs w:val="19"/>
        </w:rPr>
      </w:pPr>
      <w:r w:rsidRPr="00562991">
        <w:rPr>
          <w:rFonts w:ascii="Verdana" w:hAnsi="Verdana" w:cs="Times New Roman"/>
          <w:sz w:val="19"/>
          <w:szCs w:val="19"/>
        </w:rPr>
        <w:t xml:space="preserve">The ICJ </w:t>
      </w:r>
      <w:r w:rsidR="00184537" w:rsidRPr="00562991">
        <w:rPr>
          <w:rFonts w:ascii="Verdana" w:hAnsi="Verdana" w:cs="Times New Roman"/>
          <w:sz w:val="19"/>
          <w:szCs w:val="19"/>
        </w:rPr>
        <w:t xml:space="preserve">has repeatedly expressed concerns about the </w:t>
      </w:r>
      <w:r w:rsidR="00184537" w:rsidRPr="00562991">
        <w:rPr>
          <w:rFonts w:ascii="Verdana" w:hAnsi="Verdana" w:cs="Times New Roman"/>
          <w:b/>
          <w:bCs/>
          <w:sz w:val="19"/>
          <w:szCs w:val="19"/>
        </w:rPr>
        <w:t>number of judges that have been subject to disciplinary proceedings</w:t>
      </w:r>
      <w:r w:rsidR="00184537" w:rsidRPr="00562991">
        <w:rPr>
          <w:rFonts w:ascii="Verdana" w:hAnsi="Verdana" w:cs="Times New Roman"/>
          <w:sz w:val="19"/>
          <w:szCs w:val="19"/>
        </w:rPr>
        <w:t xml:space="preserve"> in </w:t>
      </w:r>
      <w:r w:rsidR="00354AD7" w:rsidRPr="00562991">
        <w:rPr>
          <w:rFonts w:ascii="Verdana" w:hAnsi="Verdana" w:cs="Times New Roman"/>
          <w:sz w:val="19"/>
          <w:szCs w:val="19"/>
        </w:rPr>
        <w:t xml:space="preserve">several </w:t>
      </w:r>
      <w:r w:rsidR="00184537" w:rsidRPr="00562991">
        <w:rPr>
          <w:rFonts w:ascii="Verdana" w:hAnsi="Verdana" w:cs="Times New Roman"/>
          <w:sz w:val="19"/>
          <w:szCs w:val="19"/>
        </w:rPr>
        <w:t>countries of Europe and Central Asia, as a strategy to undermine their independence and impartiality.</w:t>
      </w:r>
      <w:r w:rsidR="00513BF5" w:rsidRPr="00562991">
        <w:rPr>
          <w:rFonts w:ascii="Verdana" w:hAnsi="Verdana" w:cs="Times New Roman"/>
          <w:sz w:val="19"/>
          <w:szCs w:val="19"/>
        </w:rPr>
        <w:t xml:space="preserve"> M</w:t>
      </w:r>
      <w:r w:rsidR="00A438CB" w:rsidRPr="00562991">
        <w:rPr>
          <w:rFonts w:ascii="Verdana" w:hAnsi="Verdana" w:cs="Times New Roman"/>
          <w:sz w:val="19"/>
          <w:szCs w:val="19"/>
        </w:rPr>
        <w:t xml:space="preserve">any of the sanctions were </w:t>
      </w:r>
      <w:r w:rsidR="00A438CB" w:rsidRPr="00562991">
        <w:rPr>
          <w:rFonts w:ascii="Verdana" w:hAnsi="Verdana" w:cs="Times New Roman"/>
          <w:b/>
          <w:bCs/>
          <w:sz w:val="19"/>
          <w:szCs w:val="19"/>
        </w:rPr>
        <w:t xml:space="preserve">not previously established by law </w:t>
      </w:r>
      <w:r w:rsidR="00A438CB" w:rsidRPr="00562991">
        <w:rPr>
          <w:rFonts w:ascii="Verdana" w:hAnsi="Verdana" w:cs="Times New Roman"/>
          <w:sz w:val="19"/>
          <w:szCs w:val="19"/>
        </w:rPr>
        <w:t xml:space="preserve">or were imposed through a procedure that did </w:t>
      </w:r>
      <w:r w:rsidR="00A438CB" w:rsidRPr="00562991">
        <w:rPr>
          <w:rFonts w:ascii="Verdana" w:hAnsi="Verdana" w:cs="Times New Roman"/>
          <w:b/>
          <w:bCs/>
          <w:sz w:val="19"/>
          <w:szCs w:val="19"/>
        </w:rPr>
        <w:t xml:space="preserve">not meet the procedural requirements </w:t>
      </w:r>
      <w:r w:rsidR="00A438CB" w:rsidRPr="00562991">
        <w:rPr>
          <w:rFonts w:ascii="Verdana" w:hAnsi="Verdana" w:cs="Times New Roman"/>
          <w:sz w:val="19"/>
          <w:szCs w:val="19"/>
        </w:rPr>
        <w:t xml:space="preserve">established by law. Furthermore, the ICJ has repeatedly reported </w:t>
      </w:r>
      <w:r w:rsidR="00A438CB" w:rsidRPr="00562991">
        <w:rPr>
          <w:rFonts w:ascii="Verdana" w:hAnsi="Verdana" w:cs="Times New Roman"/>
          <w:b/>
          <w:bCs/>
          <w:sz w:val="19"/>
          <w:szCs w:val="19"/>
        </w:rPr>
        <w:t>other measures</w:t>
      </w:r>
      <w:r w:rsidR="00A438CB" w:rsidRPr="00562991">
        <w:rPr>
          <w:rFonts w:ascii="Verdana" w:hAnsi="Verdana" w:cs="Times New Roman"/>
          <w:sz w:val="19"/>
          <w:szCs w:val="19"/>
        </w:rPr>
        <w:t xml:space="preserve"> different than disciplinary </w:t>
      </w:r>
      <w:r w:rsidR="00A438CB" w:rsidRPr="00562991">
        <w:rPr>
          <w:rFonts w:ascii="Verdana" w:hAnsi="Verdana" w:cs="Times New Roman"/>
          <w:sz w:val="19"/>
          <w:szCs w:val="19"/>
        </w:rPr>
        <w:lastRenderedPageBreak/>
        <w:t xml:space="preserve">proceedings that have been used to interfere with </w:t>
      </w:r>
      <w:r w:rsidR="00513BF5" w:rsidRPr="00562991">
        <w:rPr>
          <w:rFonts w:ascii="Verdana" w:hAnsi="Verdana" w:cs="Times New Roman"/>
          <w:sz w:val="19"/>
          <w:szCs w:val="19"/>
        </w:rPr>
        <w:t xml:space="preserve">the </w:t>
      </w:r>
      <w:r w:rsidR="00A438CB" w:rsidRPr="00562991">
        <w:rPr>
          <w:rFonts w:ascii="Verdana" w:hAnsi="Verdana" w:cs="Times New Roman"/>
          <w:sz w:val="19"/>
          <w:szCs w:val="19"/>
        </w:rPr>
        <w:t xml:space="preserve">independence of judges, including transfers to </w:t>
      </w:r>
      <w:r w:rsidR="00513BF5" w:rsidRPr="00562991">
        <w:rPr>
          <w:rFonts w:ascii="Verdana" w:hAnsi="Verdana" w:cs="Times New Roman"/>
          <w:sz w:val="19"/>
          <w:szCs w:val="19"/>
        </w:rPr>
        <w:t xml:space="preserve">different </w:t>
      </w:r>
      <w:r w:rsidR="00A438CB" w:rsidRPr="00562991">
        <w:rPr>
          <w:rFonts w:ascii="Verdana" w:hAnsi="Verdana" w:cs="Times New Roman"/>
          <w:sz w:val="19"/>
          <w:szCs w:val="19"/>
        </w:rPr>
        <w:t>courts or other forms of coercion or pressure.</w:t>
      </w:r>
      <w:r w:rsidR="002F52C9" w:rsidRPr="00562991">
        <w:rPr>
          <w:rFonts w:ascii="Verdana" w:hAnsi="Verdana" w:cs="Times New Roman"/>
          <w:sz w:val="19"/>
          <w:szCs w:val="19"/>
        </w:rPr>
        <w:t xml:space="preserve"> In this contribution, the ICJ provides evidence of such practice obtained during its work on the Russian Federation, Poland, Hungary, Serbia and Turkey.</w:t>
      </w:r>
      <w:r w:rsidR="00A438CB" w:rsidRPr="00562991">
        <w:rPr>
          <w:rFonts w:ascii="Verdana" w:hAnsi="Verdana" w:cs="Times New Roman"/>
          <w:sz w:val="19"/>
          <w:szCs w:val="19"/>
        </w:rPr>
        <w:t xml:space="preserve"> </w:t>
      </w:r>
    </w:p>
    <w:p w14:paraId="34EBB0ED" w14:textId="71D7CC4C" w:rsidR="007442FD" w:rsidRPr="00562991" w:rsidRDefault="003A2528" w:rsidP="00FA5BA7">
      <w:pPr>
        <w:ind w:firstLine="720"/>
        <w:jc w:val="both"/>
        <w:rPr>
          <w:rFonts w:ascii="Verdana" w:hAnsi="Verdana" w:cs="Times New Roman"/>
          <w:sz w:val="19"/>
          <w:szCs w:val="19"/>
        </w:rPr>
      </w:pPr>
      <w:r w:rsidRPr="00562991">
        <w:rPr>
          <w:rFonts w:ascii="Verdana" w:hAnsi="Verdana" w:cs="Times New Roman"/>
          <w:sz w:val="19"/>
          <w:szCs w:val="19"/>
        </w:rPr>
        <w:t>In</w:t>
      </w:r>
      <w:r w:rsidR="00235733" w:rsidRPr="00562991">
        <w:rPr>
          <w:rFonts w:ascii="Verdana" w:hAnsi="Verdana" w:cs="Times New Roman"/>
          <w:sz w:val="19"/>
          <w:szCs w:val="19"/>
        </w:rPr>
        <w:t xml:space="preserve"> the </w:t>
      </w:r>
      <w:r w:rsidR="00235733" w:rsidRPr="00562991">
        <w:rPr>
          <w:rFonts w:ascii="Verdana" w:hAnsi="Verdana" w:cs="Times New Roman"/>
          <w:b/>
          <w:bCs/>
          <w:sz w:val="19"/>
          <w:szCs w:val="19"/>
        </w:rPr>
        <w:t>Russian Federation</w:t>
      </w:r>
      <w:r w:rsidR="00235733" w:rsidRPr="00562991">
        <w:rPr>
          <w:rFonts w:ascii="Verdana" w:hAnsi="Verdana" w:cs="Times New Roman"/>
          <w:sz w:val="19"/>
          <w:szCs w:val="19"/>
        </w:rPr>
        <w:t xml:space="preserve">, </w:t>
      </w:r>
      <w:r w:rsidR="000E4BCD" w:rsidRPr="00562991">
        <w:rPr>
          <w:rFonts w:ascii="Verdana" w:hAnsi="Verdana" w:cs="Times New Roman"/>
          <w:sz w:val="19"/>
          <w:szCs w:val="19"/>
        </w:rPr>
        <w:t xml:space="preserve">the security of tenure of </w:t>
      </w:r>
      <w:r w:rsidR="00410DD6" w:rsidRPr="00562991">
        <w:rPr>
          <w:rFonts w:ascii="Verdana" w:hAnsi="Verdana" w:cs="Times New Roman"/>
          <w:sz w:val="19"/>
          <w:szCs w:val="19"/>
        </w:rPr>
        <w:t xml:space="preserve">judges </w:t>
      </w:r>
      <w:r w:rsidR="004C200B" w:rsidRPr="00562991">
        <w:rPr>
          <w:rFonts w:ascii="Verdana" w:hAnsi="Verdana" w:cs="Times New Roman"/>
          <w:sz w:val="19"/>
          <w:szCs w:val="19"/>
        </w:rPr>
        <w:t xml:space="preserve">is not </w:t>
      </w:r>
      <w:r w:rsidR="00C420D4" w:rsidRPr="00562991">
        <w:rPr>
          <w:rFonts w:ascii="Verdana" w:hAnsi="Verdana" w:cs="Times New Roman"/>
          <w:sz w:val="19"/>
          <w:szCs w:val="19"/>
        </w:rPr>
        <w:t>sufficient</w:t>
      </w:r>
      <w:r w:rsidR="004C200B" w:rsidRPr="00562991">
        <w:rPr>
          <w:rFonts w:ascii="Verdana" w:hAnsi="Verdana" w:cs="Times New Roman"/>
          <w:sz w:val="19"/>
          <w:szCs w:val="19"/>
        </w:rPr>
        <w:t xml:space="preserve"> and </w:t>
      </w:r>
      <w:r w:rsidR="004463F6" w:rsidRPr="00562991">
        <w:rPr>
          <w:rFonts w:ascii="Verdana" w:hAnsi="Verdana" w:cs="Times New Roman"/>
          <w:sz w:val="19"/>
          <w:szCs w:val="19"/>
        </w:rPr>
        <w:t xml:space="preserve">is particularly </w:t>
      </w:r>
      <w:r w:rsidR="002F52C9" w:rsidRPr="00562991">
        <w:rPr>
          <w:rFonts w:ascii="Verdana" w:hAnsi="Verdana" w:cs="Times New Roman"/>
          <w:sz w:val="19"/>
          <w:szCs w:val="19"/>
        </w:rPr>
        <w:t>undermined</w:t>
      </w:r>
      <w:r w:rsidR="000E4BCD" w:rsidRPr="00562991">
        <w:rPr>
          <w:rFonts w:ascii="Verdana" w:hAnsi="Verdana" w:cs="Times New Roman"/>
          <w:sz w:val="19"/>
          <w:szCs w:val="19"/>
        </w:rPr>
        <w:t xml:space="preserve"> </w:t>
      </w:r>
      <w:r w:rsidR="004B0236" w:rsidRPr="00562991">
        <w:rPr>
          <w:rFonts w:ascii="Verdana" w:hAnsi="Verdana" w:cs="Times New Roman"/>
          <w:sz w:val="19"/>
          <w:szCs w:val="19"/>
        </w:rPr>
        <w:t xml:space="preserve">though </w:t>
      </w:r>
      <w:r w:rsidR="00410DD6" w:rsidRPr="00562991">
        <w:rPr>
          <w:rFonts w:ascii="Verdana" w:hAnsi="Verdana" w:cs="Times New Roman"/>
          <w:sz w:val="19"/>
          <w:szCs w:val="19"/>
        </w:rPr>
        <w:t>dismiss</w:t>
      </w:r>
      <w:r w:rsidR="00C420D4" w:rsidRPr="00562991">
        <w:rPr>
          <w:rFonts w:ascii="Verdana" w:hAnsi="Verdana" w:cs="Times New Roman"/>
          <w:sz w:val="19"/>
          <w:szCs w:val="19"/>
        </w:rPr>
        <w:t>als</w:t>
      </w:r>
      <w:r w:rsidR="00410DD6" w:rsidRPr="00562991">
        <w:rPr>
          <w:rFonts w:ascii="Verdana" w:hAnsi="Verdana" w:cs="Times New Roman"/>
          <w:sz w:val="19"/>
          <w:szCs w:val="19"/>
        </w:rPr>
        <w:t xml:space="preserve"> </w:t>
      </w:r>
      <w:r w:rsidR="000E4BCD" w:rsidRPr="00562991">
        <w:rPr>
          <w:rFonts w:ascii="Verdana" w:hAnsi="Verdana" w:cs="Times New Roman"/>
          <w:sz w:val="19"/>
          <w:szCs w:val="19"/>
        </w:rPr>
        <w:t>on arbitrary grounds which may jeopardise the independence of the judiciary</w:t>
      </w:r>
      <w:r w:rsidR="00410DD6" w:rsidRPr="00562991">
        <w:rPr>
          <w:rFonts w:ascii="Verdana" w:hAnsi="Verdana" w:cs="Times New Roman"/>
          <w:sz w:val="19"/>
          <w:szCs w:val="19"/>
        </w:rPr>
        <w:t>.</w:t>
      </w:r>
      <w:r w:rsidR="00E83BC1" w:rsidRPr="00562991">
        <w:rPr>
          <w:rStyle w:val="FootnoteReference"/>
          <w:rFonts w:ascii="Verdana" w:hAnsi="Verdana" w:cs="Times New Roman"/>
          <w:sz w:val="19"/>
          <w:szCs w:val="19"/>
        </w:rPr>
        <w:footnoteReference w:id="1"/>
      </w:r>
      <w:r w:rsidR="00410DD6" w:rsidRPr="00562991">
        <w:rPr>
          <w:rFonts w:ascii="Verdana" w:hAnsi="Verdana" w:cs="Times New Roman"/>
          <w:sz w:val="19"/>
          <w:szCs w:val="19"/>
        </w:rPr>
        <w:t xml:space="preserve"> </w:t>
      </w:r>
      <w:r w:rsidR="00C420D4" w:rsidRPr="00562991">
        <w:rPr>
          <w:rFonts w:ascii="Verdana" w:hAnsi="Verdana" w:cs="Times New Roman"/>
          <w:sz w:val="19"/>
          <w:szCs w:val="19"/>
        </w:rPr>
        <w:t>D</w:t>
      </w:r>
      <w:r w:rsidR="00FE5326" w:rsidRPr="00562991">
        <w:rPr>
          <w:rFonts w:ascii="Verdana" w:hAnsi="Verdana" w:cs="Times New Roman"/>
          <w:sz w:val="19"/>
          <w:szCs w:val="19"/>
        </w:rPr>
        <w:t xml:space="preserve">uring its </w:t>
      </w:r>
      <w:r w:rsidR="001A0F4C" w:rsidRPr="00562991">
        <w:rPr>
          <w:rFonts w:ascii="Verdana" w:hAnsi="Verdana" w:cs="Times New Roman"/>
          <w:sz w:val="19"/>
          <w:szCs w:val="19"/>
        </w:rPr>
        <w:t>mission</w:t>
      </w:r>
      <w:r w:rsidR="00184537" w:rsidRPr="00562991">
        <w:rPr>
          <w:rFonts w:ascii="Verdana" w:hAnsi="Verdana" w:cs="Times New Roman"/>
          <w:sz w:val="19"/>
          <w:szCs w:val="19"/>
        </w:rPr>
        <w:t xml:space="preserve">s </w:t>
      </w:r>
      <w:r w:rsidR="00FE5326" w:rsidRPr="00562991">
        <w:rPr>
          <w:rFonts w:ascii="Verdana" w:hAnsi="Verdana" w:cs="Times New Roman"/>
          <w:sz w:val="19"/>
          <w:szCs w:val="19"/>
        </w:rPr>
        <w:t>to the Russian Federation</w:t>
      </w:r>
      <w:r w:rsidR="002F52C9" w:rsidRPr="00562991">
        <w:rPr>
          <w:rFonts w:ascii="Verdana" w:hAnsi="Verdana" w:cs="Times New Roman"/>
          <w:sz w:val="19"/>
          <w:szCs w:val="19"/>
        </w:rPr>
        <w:t>,</w:t>
      </w:r>
      <w:r w:rsidR="00FE5326" w:rsidRPr="00562991">
        <w:rPr>
          <w:rFonts w:ascii="Verdana" w:hAnsi="Verdana" w:cs="Times New Roman"/>
          <w:sz w:val="19"/>
          <w:szCs w:val="19"/>
        </w:rPr>
        <w:t xml:space="preserve"> </w:t>
      </w:r>
      <w:r w:rsidR="00C420D4" w:rsidRPr="00562991">
        <w:rPr>
          <w:rFonts w:ascii="Verdana" w:hAnsi="Verdana" w:cs="Times New Roman"/>
          <w:sz w:val="19"/>
          <w:szCs w:val="19"/>
        </w:rPr>
        <w:t xml:space="preserve">the </w:t>
      </w:r>
      <w:r w:rsidR="00C420D4" w:rsidRPr="00562991">
        <w:rPr>
          <w:rFonts w:ascii="Verdana" w:hAnsi="Verdana" w:cs="Times New Roman"/>
          <w:sz w:val="19"/>
          <w:szCs w:val="19"/>
        </w:rPr>
        <w:lastRenderedPageBreak/>
        <w:t xml:space="preserve">ICJ </w:t>
      </w:r>
      <w:r w:rsidR="001A0F4C" w:rsidRPr="00562991">
        <w:rPr>
          <w:rFonts w:ascii="Verdana" w:hAnsi="Verdana" w:cs="Times New Roman"/>
          <w:sz w:val="19"/>
          <w:szCs w:val="19"/>
        </w:rPr>
        <w:t>heard from</w:t>
      </w:r>
      <w:r w:rsidR="00FE5326" w:rsidRPr="00562991">
        <w:rPr>
          <w:rFonts w:ascii="Verdana" w:hAnsi="Verdana" w:cs="Times New Roman"/>
          <w:sz w:val="19"/>
          <w:szCs w:val="19"/>
        </w:rPr>
        <w:t xml:space="preserve"> </w:t>
      </w:r>
      <w:r w:rsidR="007442FD" w:rsidRPr="00562991">
        <w:rPr>
          <w:rFonts w:ascii="Verdana" w:hAnsi="Verdana" w:cs="Times New Roman"/>
          <w:sz w:val="19"/>
          <w:szCs w:val="19"/>
        </w:rPr>
        <w:t xml:space="preserve">a number of </w:t>
      </w:r>
      <w:r w:rsidR="00FE5326" w:rsidRPr="00562991">
        <w:rPr>
          <w:rFonts w:ascii="Verdana" w:hAnsi="Verdana" w:cs="Times New Roman"/>
          <w:sz w:val="19"/>
          <w:szCs w:val="19"/>
        </w:rPr>
        <w:t xml:space="preserve">former </w:t>
      </w:r>
      <w:r w:rsidR="007442FD" w:rsidRPr="00562991">
        <w:rPr>
          <w:rFonts w:ascii="Verdana" w:hAnsi="Verdana" w:cs="Times New Roman"/>
          <w:sz w:val="19"/>
          <w:szCs w:val="19"/>
        </w:rPr>
        <w:t>and</w:t>
      </w:r>
      <w:r w:rsidR="00FE5326" w:rsidRPr="00562991">
        <w:rPr>
          <w:rFonts w:ascii="Verdana" w:hAnsi="Verdana" w:cs="Times New Roman"/>
          <w:sz w:val="19"/>
          <w:szCs w:val="19"/>
        </w:rPr>
        <w:t xml:space="preserve"> sitting</w:t>
      </w:r>
      <w:r w:rsidR="001A0F4C" w:rsidRPr="00562991">
        <w:rPr>
          <w:rFonts w:ascii="Verdana" w:hAnsi="Verdana" w:cs="Times New Roman"/>
          <w:sz w:val="19"/>
          <w:szCs w:val="19"/>
        </w:rPr>
        <w:t xml:space="preserve"> judges </w:t>
      </w:r>
      <w:r w:rsidR="007442FD" w:rsidRPr="00562991">
        <w:rPr>
          <w:rFonts w:ascii="Verdana" w:hAnsi="Verdana" w:cs="Times New Roman"/>
          <w:sz w:val="19"/>
          <w:szCs w:val="19"/>
        </w:rPr>
        <w:t>as well as from</w:t>
      </w:r>
      <w:r w:rsidR="001A0F4C" w:rsidRPr="00562991">
        <w:rPr>
          <w:rFonts w:ascii="Verdana" w:hAnsi="Verdana" w:cs="Times New Roman"/>
          <w:sz w:val="19"/>
          <w:szCs w:val="19"/>
        </w:rPr>
        <w:t xml:space="preserve"> experts that the number of dismissals of judges in the Russian Federation each year is unusually large by comparison with other States</w:t>
      </w:r>
      <w:r w:rsidR="00184537" w:rsidRPr="00562991">
        <w:rPr>
          <w:rFonts w:ascii="Verdana" w:hAnsi="Verdana" w:cs="Times New Roman"/>
          <w:sz w:val="19"/>
          <w:szCs w:val="19"/>
        </w:rPr>
        <w:t>.</w:t>
      </w:r>
      <w:r w:rsidR="001A0F4C" w:rsidRPr="00562991">
        <w:rPr>
          <w:rStyle w:val="FootnoteReference"/>
          <w:rFonts w:ascii="Verdana" w:hAnsi="Verdana" w:cs="Times New Roman"/>
          <w:sz w:val="19"/>
          <w:szCs w:val="19"/>
        </w:rPr>
        <w:footnoteReference w:id="2"/>
      </w:r>
      <w:r w:rsidR="001A0F4C" w:rsidRPr="00562991">
        <w:rPr>
          <w:rFonts w:ascii="Verdana" w:hAnsi="Verdana" w:cs="Times New Roman"/>
          <w:sz w:val="19"/>
          <w:szCs w:val="19"/>
        </w:rPr>
        <w:t xml:space="preserve"> On average, some 40 to 50 judges are dismissed each year following disciplinary proceedings</w:t>
      </w:r>
      <w:r w:rsidR="00184537" w:rsidRPr="00562991">
        <w:rPr>
          <w:rFonts w:ascii="Verdana" w:hAnsi="Verdana" w:cs="Times New Roman"/>
          <w:sz w:val="19"/>
          <w:szCs w:val="19"/>
        </w:rPr>
        <w:t>.</w:t>
      </w:r>
      <w:r w:rsidR="001A0F4C" w:rsidRPr="00562991">
        <w:rPr>
          <w:rStyle w:val="FootnoteReference"/>
          <w:rFonts w:ascii="Verdana" w:hAnsi="Verdana" w:cs="Times New Roman"/>
          <w:sz w:val="19"/>
          <w:szCs w:val="19"/>
        </w:rPr>
        <w:footnoteReference w:id="3"/>
      </w:r>
      <w:r w:rsidR="001A0F4C" w:rsidRPr="00562991">
        <w:rPr>
          <w:rFonts w:ascii="Verdana" w:hAnsi="Verdana" w:cs="Times New Roman"/>
          <w:sz w:val="19"/>
          <w:szCs w:val="19"/>
        </w:rPr>
        <w:t xml:space="preserve"> </w:t>
      </w:r>
      <w:r w:rsidR="007442FD" w:rsidRPr="00562991">
        <w:rPr>
          <w:rFonts w:ascii="Verdana" w:hAnsi="Verdana" w:cs="Times New Roman"/>
          <w:sz w:val="19"/>
          <w:szCs w:val="19"/>
        </w:rPr>
        <w:t>I</w:t>
      </w:r>
      <w:r w:rsidR="00184537" w:rsidRPr="00562991">
        <w:rPr>
          <w:rFonts w:ascii="Verdana" w:hAnsi="Verdana" w:cs="Times New Roman"/>
          <w:sz w:val="19"/>
          <w:szCs w:val="19"/>
        </w:rPr>
        <w:t xml:space="preserve">t should be noted that </w:t>
      </w:r>
      <w:r w:rsidR="001A0F4C" w:rsidRPr="00562991">
        <w:rPr>
          <w:rFonts w:ascii="Verdana" w:hAnsi="Verdana" w:cs="Times New Roman"/>
          <w:sz w:val="19"/>
          <w:szCs w:val="19"/>
        </w:rPr>
        <w:t xml:space="preserve">the impact of disciplinary action goes far beyond the specific </w:t>
      </w:r>
      <w:r w:rsidR="00933EEA" w:rsidRPr="00562991">
        <w:rPr>
          <w:rFonts w:ascii="Verdana" w:hAnsi="Verdana" w:cs="Times New Roman"/>
          <w:sz w:val="19"/>
          <w:szCs w:val="19"/>
        </w:rPr>
        <w:t>judges</w:t>
      </w:r>
      <w:r w:rsidR="001A0F4C" w:rsidRPr="00562991">
        <w:rPr>
          <w:rFonts w:ascii="Verdana" w:hAnsi="Verdana" w:cs="Times New Roman"/>
          <w:sz w:val="19"/>
          <w:szCs w:val="19"/>
        </w:rPr>
        <w:t xml:space="preserve"> dismissed: </w:t>
      </w:r>
      <w:r w:rsidR="002F52C9" w:rsidRPr="00562991">
        <w:rPr>
          <w:rFonts w:ascii="Verdana" w:hAnsi="Verdana" w:cs="Times New Roman"/>
          <w:sz w:val="19"/>
          <w:szCs w:val="19"/>
        </w:rPr>
        <w:t xml:space="preserve">the ICJ has </w:t>
      </w:r>
      <w:r w:rsidR="00FF4000">
        <w:rPr>
          <w:rFonts w:ascii="Verdana" w:hAnsi="Verdana" w:cs="Times New Roman"/>
          <w:sz w:val="19"/>
          <w:szCs w:val="19"/>
        </w:rPr>
        <w:t>received</w:t>
      </w:r>
      <w:r w:rsidR="002F52C9" w:rsidRPr="00562991">
        <w:rPr>
          <w:rFonts w:ascii="Verdana" w:hAnsi="Verdana" w:cs="Times New Roman"/>
          <w:sz w:val="19"/>
          <w:szCs w:val="19"/>
        </w:rPr>
        <w:t xml:space="preserve"> report</w:t>
      </w:r>
      <w:r w:rsidR="00FF4000">
        <w:rPr>
          <w:rFonts w:ascii="Verdana" w:hAnsi="Verdana" w:cs="Times New Roman"/>
          <w:sz w:val="19"/>
          <w:szCs w:val="19"/>
        </w:rPr>
        <w:t>s</w:t>
      </w:r>
      <w:r w:rsidR="002F52C9" w:rsidRPr="00562991">
        <w:rPr>
          <w:rFonts w:ascii="Verdana" w:hAnsi="Verdana" w:cs="Times New Roman"/>
          <w:sz w:val="19"/>
          <w:szCs w:val="19"/>
        </w:rPr>
        <w:t xml:space="preserve"> of</w:t>
      </w:r>
      <w:r w:rsidR="001A0F4C" w:rsidRPr="00562991">
        <w:rPr>
          <w:rFonts w:ascii="Verdana" w:hAnsi="Verdana" w:cs="Times New Roman"/>
          <w:sz w:val="19"/>
          <w:szCs w:val="19"/>
        </w:rPr>
        <w:t xml:space="preserve"> </w:t>
      </w:r>
      <w:r w:rsidR="009351B4" w:rsidRPr="00562991">
        <w:rPr>
          <w:rFonts w:ascii="Verdana" w:hAnsi="Verdana" w:cs="Times New Roman"/>
          <w:sz w:val="19"/>
          <w:szCs w:val="19"/>
        </w:rPr>
        <w:t xml:space="preserve">many </w:t>
      </w:r>
      <w:r w:rsidR="001A0F4C" w:rsidRPr="00562991">
        <w:rPr>
          <w:rFonts w:ascii="Verdana" w:hAnsi="Verdana" w:cs="Times New Roman"/>
          <w:sz w:val="19"/>
          <w:szCs w:val="19"/>
        </w:rPr>
        <w:t xml:space="preserve">cases of </w:t>
      </w:r>
      <w:r w:rsidR="009351B4" w:rsidRPr="00562991">
        <w:rPr>
          <w:rFonts w:ascii="Verdana" w:hAnsi="Verdana" w:cs="Times New Roman"/>
          <w:sz w:val="19"/>
          <w:szCs w:val="19"/>
        </w:rPr>
        <w:lastRenderedPageBreak/>
        <w:t xml:space="preserve">arbitrary </w:t>
      </w:r>
      <w:r w:rsidR="001A0F4C" w:rsidRPr="00562991">
        <w:rPr>
          <w:rFonts w:ascii="Verdana" w:hAnsi="Verdana" w:cs="Times New Roman"/>
          <w:sz w:val="19"/>
          <w:szCs w:val="19"/>
        </w:rPr>
        <w:t xml:space="preserve">warnings and frequent instances </w:t>
      </w:r>
      <w:r w:rsidR="009351B4" w:rsidRPr="00562991">
        <w:rPr>
          <w:rFonts w:ascii="Verdana" w:hAnsi="Verdana" w:cs="Times New Roman"/>
          <w:sz w:val="19"/>
          <w:szCs w:val="19"/>
        </w:rPr>
        <w:t xml:space="preserve">of </w:t>
      </w:r>
      <w:r w:rsidR="001A0F4C" w:rsidRPr="00562991">
        <w:rPr>
          <w:rFonts w:ascii="Verdana" w:hAnsi="Verdana" w:cs="Times New Roman"/>
          <w:sz w:val="19"/>
          <w:szCs w:val="19"/>
        </w:rPr>
        <w:t>pressur</w:t>
      </w:r>
      <w:r w:rsidR="009351B4" w:rsidRPr="00562991">
        <w:rPr>
          <w:rFonts w:ascii="Verdana" w:hAnsi="Verdana" w:cs="Times New Roman"/>
          <w:sz w:val="19"/>
          <w:szCs w:val="19"/>
        </w:rPr>
        <w:t>e on judges</w:t>
      </w:r>
      <w:r w:rsidR="001A0F4C" w:rsidRPr="00562991">
        <w:rPr>
          <w:rFonts w:ascii="Verdana" w:hAnsi="Verdana" w:cs="Times New Roman"/>
          <w:sz w:val="19"/>
          <w:szCs w:val="19"/>
        </w:rPr>
        <w:t xml:space="preserve"> to resign under the threat of disciplinary proceedings</w:t>
      </w:r>
      <w:r w:rsidR="009351B4" w:rsidRPr="00562991">
        <w:rPr>
          <w:rFonts w:ascii="Verdana" w:hAnsi="Verdana" w:cs="Times New Roman"/>
          <w:sz w:val="19"/>
          <w:szCs w:val="19"/>
        </w:rPr>
        <w:t>, which may further undermine judges’ ability to administer judges in an independent manner</w:t>
      </w:r>
      <w:r w:rsidR="00184537" w:rsidRPr="00562991">
        <w:rPr>
          <w:rFonts w:ascii="Verdana" w:hAnsi="Verdana" w:cs="Times New Roman"/>
          <w:sz w:val="19"/>
          <w:szCs w:val="19"/>
        </w:rPr>
        <w:t>.</w:t>
      </w:r>
      <w:r w:rsidR="001A0F4C" w:rsidRPr="00562991">
        <w:rPr>
          <w:rStyle w:val="FootnoteReference"/>
          <w:rFonts w:ascii="Verdana" w:hAnsi="Verdana" w:cs="Times New Roman"/>
          <w:sz w:val="19"/>
          <w:szCs w:val="19"/>
        </w:rPr>
        <w:footnoteReference w:id="4"/>
      </w:r>
      <w:r w:rsidR="001A0F4C" w:rsidRPr="00562991">
        <w:rPr>
          <w:rFonts w:ascii="Verdana" w:hAnsi="Verdana" w:cs="Times New Roman"/>
          <w:sz w:val="19"/>
          <w:szCs w:val="19"/>
        </w:rPr>
        <w:t xml:space="preserve"> </w:t>
      </w:r>
    </w:p>
    <w:p w14:paraId="2E3D5FCC" w14:textId="14AC8F2A" w:rsidR="00235733" w:rsidRPr="00562991" w:rsidRDefault="00FE5326" w:rsidP="00FA5BA7">
      <w:pPr>
        <w:ind w:firstLine="720"/>
        <w:jc w:val="both"/>
        <w:rPr>
          <w:rFonts w:ascii="Verdana" w:hAnsi="Verdana" w:cs="Times New Roman"/>
          <w:sz w:val="19"/>
          <w:szCs w:val="19"/>
        </w:rPr>
      </w:pPr>
      <w:r w:rsidRPr="00562991">
        <w:rPr>
          <w:rFonts w:ascii="Verdana" w:hAnsi="Verdana" w:cs="Times New Roman"/>
          <w:sz w:val="19"/>
          <w:szCs w:val="19"/>
        </w:rPr>
        <w:t xml:space="preserve">For instance, Judge Olga </w:t>
      </w:r>
      <w:proofErr w:type="spellStart"/>
      <w:r w:rsidRPr="00562991">
        <w:rPr>
          <w:rFonts w:ascii="Verdana" w:hAnsi="Verdana" w:cs="Times New Roman"/>
          <w:sz w:val="19"/>
          <w:szCs w:val="19"/>
        </w:rPr>
        <w:t>Kudeshkina</w:t>
      </w:r>
      <w:proofErr w:type="spellEnd"/>
      <w:r w:rsidRPr="00562991">
        <w:rPr>
          <w:rFonts w:ascii="Verdana" w:hAnsi="Verdana" w:cs="Times New Roman"/>
          <w:sz w:val="19"/>
          <w:szCs w:val="19"/>
        </w:rPr>
        <w:t xml:space="preserve"> was dismissed from her judicial position following critical statements she made concerning the pressure to which she had been subjected. She was said to have “</w:t>
      </w:r>
      <w:r w:rsidRPr="00562991">
        <w:rPr>
          <w:rFonts w:ascii="Verdana" w:hAnsi="Verdana" w:cs="Times New Roman"/>
          <w:i/>
          <w:iCs/>
          <w:sz w:val="19"/>
          <w:szCs w:val="19"/>
        </w:rPr>
        <w:t xml:space="preserve">undermined public confidence that the judiciary in Russia are independent and impartial; consequently, many citizens were </w:t>
      </w:r>
      <w:r w:rsidRPr="00562991">
        <w:rPr>
          <w:rFonts w:ascii="Verdana" w:hAnsi="Verdana" w:cs="Times New Roman"/>
          <w:i/>
          <w:iCs/>
          <w:sz w:val="19"/>
          <w:szCs w:val="19"/>
        </w:rPr>
        <w:lastRenderedPageBreak/>
        <w:t>led to believe, erroneously, that all judges in this country are unprincipled, biased and venal, that in exercising their functions they only pursue their own mercenary ends or other selfish goals and interests</w:t>
      </w:r>
      <w:r w:rsidRPr="00562991">
        <w:rPr>
          <w:rFonts w:ascii="Verdana" w:hAnsi="Verdana" w:cs="Times New Roman"/>
          <w:sz w:val="19"/>
          <w:szCs w:val="19"/>
        </w:rPr>
        <w:t>”.</w:t>
      </w:r>
      <w:r w:rsidRPr="00562991">
        <w:rPr>
          <w:rStyle w:val="FootnoteReference"/>
          <w:rFonts w:ascii="Verdana" w:hAnsi="Verdana" w:cs="Times New Roman"/>
          <w:sz w:val="19"/>
          <w:szCs w:val="19"/>
        </w:rPr>
        <w:footnoteReference w:id="5"/>
      </w:r>
      <w:r w:rsidRPr="00562991">
        <w:rPr>
          <w:rFonts w:ascii="Verdana" w:hAnsi="Verdana" w:cs="Times New Roman"/>
          <w:sz w:val="19"/>
          <w:szCs w:val="19"/>
        </w:rPr>
        <w:t xml:space="preserve"> Despite the decision of the </w:t>
      </w:r>
      <w:r w:rsidR="006F0DEF" w:rsidRPr="00562991">
        <w:rPr>
          <w:rFonts w:ascii="Verdana" w:hAnsi="Verdana" w:cs="Times New Roman"/>
          <w:sz w:val="19"/>
          <w:szCs w:val="19"/>
        </w:rPr>
        <w:t>European Court of Human Rights</w:t>
      </w:r>
      <w:r w:rsidRPr="00562991">
        <w:rPr>
          <w:rFonts w:ascii="Verdana" w:hAnsi="Verdana" w:cs="Times New Roman"/>
          <w:sz w:val="19"/>
          <w:szCs w:val="19"/>
        </w:rPr>
        <w:t xml:space="preserve"> in her favour, </w:t>
      </w:r>
      <w:r w:rsidR="006F0DEF" w:rsidRPr="00562991">
        <w:rPr>
          <w:rFonts w:ascii="Verdana" w:hAnsi="Verdana" w:cs="Times New Roman"/>
          <w:sz w:val="19"/>
          <w:szCs w:val="19"/>
        </w:rPr>
        <w:t xml:space="preserve">she </w:t>
      </w:r>
      <w:r w:rsidRPr="00562991">
        <w:rPr>
          <w:rFonts w:ascii="Verdana" w:hAnsi="Verdana" w:cs="Times New Roman"/>
          <w:sz w:val="19"/>
          <w:szCs w:val="19"/>
        </w:rPr>
        <w:t xml:space="preserve">has not been reinstated as a judge. This decision was appealed to the Supreme Court, which </w:t>
      </w:r>
      <w:r w:rsidR="006F0DEF" w:rsidRPr="00562991">
        <w:rPr>
          <w:rFonts w:ascii="Verdana" w:hAnsi="Verdana" w:cs="Times New Roman"/>
          <w:sz w:val="19"/>
          <w:szCs w:val="19"/>
        </w:rPr>
        <w:t>also rejected her reinstatement</w:t>
      </w:r>
      <w:r w:rsidRPr="00562991">
        <w:rPr>
          <w:rFonts w:ascii="Verdana" w:hAnsi="Verdana" w:cs="Times New Roman"/>
          <w:sz w:val="19"/>
          <w:szCs w:val="19"/>
        </w:rPr>
        <w:t>.</w:t>
      </w:r>
    </w:p>
    <w:p w14:paraId="6DDC9688" w14:textId="203BB6DB" w:rsidR="00FA5BA7" w:rsidRPr="00562991" w:rsidRDefault="005B5DBA" w:rsidP="00DF7B91">
      <w:pPr>
        <w:ind w:firstLine="720"/>
        <w:jc w:val="both"/>
        <w:rPr>
          <w:rFonts w:ascii="Verdana" w:hAnsi="Verdana" w:cs="Times New Roman"/>
          <w:sz w:val="19"/>
          <w:szCs w:val="19"/>
        </w:rPr>
      </w:pPr>
      <w:r w:rsidRPr="00562991">
        <w:rPr>
          <w:rFonts w:ascii="Verdana" w:hAnsi="Verdana" w:cs="Times New Roman"/>
          <w:sz w:val="19"/>
          <w:szCs w:val="19"/>
        </w:rPr>
        <w:t>According to the procedure, it is the</w:t>
      </w:r>
      <w:r w:rsidR="00601126" w:rsidRPr="00562991">
        <w:rPr>
          <w:rFonts w:ascii="Verdana" w:hAnsi="Verdana" w:cs="Times New Roman"/>
          <w:sz w:val="19"/>
          <w:szCs w:val="19"/>
        </w:rPr>
        <w:t xml:space="preserve"> Court President </w:t>
      </w:r>
      <w:r w:rsidRPr="00562991">
        <w:rPr>
          <w:rFonts w:ascii="Verdana" w:hAnsi="Verdana" w:cs="Times New Roman"/>
          <w:sz w:val="19"/>
          <w:szCs w:val="19"/>
        </w:rPr>
        <w:t xml:space="preserve">who </w:t>
      </w:r>
      <w:r w:rsidR="00601126" w:rsidRPr="00562991">
        <w:rPr>
          <w:rFonts w:ascii="Verdana" w:hAnsi="Verdana" w:cs="Times New Roman"/>
          <w:sz w:val="19"/>
          <w:szCs w:val="19"/>
        </w:rPr>
        <w:t xml:space="preserve">makes a recommendation for the termination of a judge’s functions on a </w:t>
      </w:r>
      <w:r w:rsidR="00601126" w:rsidRPr="00562991">
        <w:rPr>
          <w:rFonts w:ascii="Verdana" w:hAnsi="Verdana" w:cs="Times New Roman"/>
          <w:sz w:val="19"/>
          <w:szCs w:val="19"/>
        </w:rPr>
        <w:lastRenderedPageBreak/>
        <w:t>disciplinary basis and after an initial investigation stage</w:t>
      </w:r>
      <w:r w:rsidR="002E0BBF" w:rsidRPr="00562991">
        <w:rPr>
          <w:rFonts w:ascii="Verdana" w:hAnsi="Verdana" w:cs="Times New Roman"/>
          <w:sz w:val="19"/>
          <w:szCs w:val="19"/>
        </w:rPr>
        <w:t>, t</w:t>
      </w:r>
      <w:r w:rsidR="00601126" w:rsidRPr="00562991">
        <w:rPr>
          <w:rFonts w:ascii="Verdana" w:hAnsi="Verdana" w:cs="Times New Roman"/>
          <w:sz w:val="19"/>
          <w:szCs w:val="19"/>
        </w:rPr>
        <w:t>he Q</w:t>
      </w:r>
      <w:r w:rsidR="000F2569" w:rsidRPr="00562991">
        <w:rPr>
          <w:rFonts w:ascii="Verdana" w:hAnsi="Verdana" w:cs="Times New Roman"/>
          <w:sz w:val="19"/>
          <w:szCs w:val="19"/>
        </w:rPr>
        <w:t xml:space="preserve">ualification </w:t>
      </w:r>
      <w:r w:rsidR="00601126" w:rsidRPr="00562991">
        <w:rPr>
          <w:rFonts w:ascii="Verdana" w:hAnsi="Verdana" w:cs="Times New Roman"/>
          <w:sz w:val="19"/>
          <w:szCs w:val="19"/>
        </w:rPr>
        <w:t>C</w:t>
      </w:r>
      <w:r w:rsidR="000F2569" w:rsidRPr="00562991">
        <w:rPr>
          <w:rFonts w:ascii="Verdana" w:hAnsi="Verdana" w:cs="Times New Roman"/>
          <w:sz w:val="19"/>
          <w:szCs w:val="19"/>
        </w:rPr>
        <w:t xml:space="preserve">ollegium of </w:t>
      </w:r>
      <w:r w:rsidR="00601126" w:rsidRPr="00562991">
        <w:rPr>
          <w:rFonts w:ascii="Verdana" w:hAnsi="Verdana" w:cs="Times New Roman"/>
          <w:sz w:val="19"/>
          <w:szCs w:val="19"/>
        </w:rPr>
        <w:t>J</w:t>
      </w:r>
      <w:r w:rsidR="000F2569" w:rsidRPr="00562991">
        <w:rPr>
          <w:rFonts w:ascii="Verdana" w:hAnsi="Verdana" w:cs="Times New Roman"/>
          <w:sz w:val="19"/>
          <w:szCs w:val="19"/>
        </w:rPr>
        <w:t>udges</w:t>
      </w:r>
      <w:r w:rsidR="002E0BBF" w:rsidRPr="00562991">
        <w:rPr>
          <w:rFonts w:ascii="Verdana" w:hAnsi="Verdana" w:cs="Times New Roman"/>
          <w:sz w:val="19"/>
          <w:szCs w:val="19"/>
        </w:rPr>
        <w:t xml:space="preserve"> holds a session where the relevant material and evidence are to be considered.</w:t>
      </w:r>
      <w:r w:rsidR="00601126" w:rsidRPr="00562991">
        <w:rPr>
          <w:rStyle w:val="FootnoteReference"/>
          <w:rFonts w:ascii="Verdana" w:hAnsi="Verdana" w:cs="Times New Roman"/>
          <w:sz w:val="19"/>
          <w:szCs w:val="19"/>
        </w:rPr>
        <w:footnoteReference w:id="6"/>
      </w:r>
      <w:r w:rsidR="002E0BBF" w:rsidRPr="00562991">
        <w:rPr>
          <w:rFonts w:ascii="Verdana" w:hAnsi="Verdana" w:cs="Times New Roman"/>
          <w:sz w:val="19"/>
          <w:szCs w:val="19"/>
        </w:rPr>
        <w:t xml:space="preserve"> </w:t>
      </w:r>
      <w:r w:rsidR="000F2569" w:rsidRPr="00562991">
        <w:rPr>
          <w:rFonts w:ascii="Verdana" w:hAnsi="Verdana" w:cs="Times New Roman"/>
          <w:sz w:val="19"/>
          <w:szCs w:val="19"/>
        </w:rPr>
        <w:t xml:space="preserve">In this </w:t>
      </w:r>
      <w:r w:rsidRPr="00562991">
        <w:rPr>
          <w:rFonts w:ascii="Verdana" w:hAnsi="Verdana" w:cs="Times New Roman"/>
          <w:sz w:val="19"/>
          <w:szCs w:val="19"/>
        </w:rPr>
        <w:t>regard</w:t>
      </w:r>
      <w:r w:rsidR="000F2569" w:rsidRPr="00562991">
        <w:rPr>
          <w:rFonts w:ascii="Verdana" w:hAnsi="Verdana" w:cs="Times New Roman"/>
          <w:sz w:val="19"/>
          <w:szCs w:val="19"/>
        </w:rPr>
        <w:t xml:space="preserve">, </w:t>
      </w:r>
      <w:r w:rsidR="003E6F2E" w:rsidRPr="00562991">
        <w:rPr>
          <w:rFonts w:ascii="Verdana" w:hAnsi="Verdana" w:cs="Times New Roman"/>
          <w:sz w:val="19"/>
          <w:szCs w:val="19"/>
        </w:rPr>
        <w:t>concern</w:t>
      </w:r>
      <w:r w:rsidRPr="00562991">
        <w:rPr>
          <w:rFonts w:ascii="Verdana" w:hAnsi="Verdana" w:cs="Times New Roman"/>
          <w:sz w:val="19"/>
          <w:szCs w:val="19"/>
        </w:rPr>
        <w:t>s over the significant powers of court presidents, their</w:t>
      </w:r>
      <w:r w:rsidR="00FA5BA7" w:rsidRPr="00562991">
        <w:rPr>
          <w:rFonts w:ascii="Verdana" w:hAnsi="Verdana" w:cs="Times New Roman"/>
          <w:sz w:val="19"/>
          <w:szCs w:val="19"/>
        </w:rPr>
        <w:t xml:space="preserve"> impartiality and objectivity </w:t>
      </w:r>
      <w:r w:rsidRPr="00562991">
        <w:rPr>
          <w:rFonts w:ascii="Verdana" w:hAnsi="Verdana" w:cs="Times New Roman"/>
          <w:sz w:val="19"/>
          <w:szCs w:val="19"/>
        </w:rPr>
        <w:t>were expressed on multiple occasions</w:t>
      </w:r>
      <w:r w:rsidR="004876F5" w:rsidRPr="00562991">
        <w:rPr>
          <w:rFonts w:ascii="Verdana" w:hAnsi="Verdana" w:cs="Times New Roman"/>
          <w:sz w:val="19"/>
          <w:szCs w:val="19"/>
        </w:rPr>
        <w:t>.</w:t>
      </w:r>
      <w:r w:rsidR="00FA5BA7" w:rsidRPr="00562991">
        <w:rPr>
          <w:rStyle w:val="FootnoteReference"/>
          <w:rFonts w:ascii="Verdana" w:hAnsi="Verdana" w:cs="Times New Roman"/>
          <w:sz w:val="19"/>
          <w:szCs w:val="19"/>
        </w:rPr>
        <w:footnoteReference w:id="7"/>
      </w:r>
      <w:r w:rsidR="00FA5BA7" w:rsidRPr="00562991">
        <w:rPr>
          <w:rFonts w:ascii="Verdana" w:hAnsi="Verdana" w:cs="Times New Roman"/>
          <w:sz w:val="19"/>
          <w:szCs w:val="19"/>
        </w:rPr>
        <w:t xml:space="preserve"> Even if</w:t>
      </w:r>
      <w:r w:rsidR="001667ED" w:rsidRPr="00562991">
        <w:rPr>
          <w:rFonts w:ascii="Verdana" w:hAnsi="Verdana" w:cs="Times New Roman"/>
          <w:sz w:val="19"/>
          <w:szCs w:val="19"/>
        </w:rPr>
        <w:t xml:space="preserve"> it is</w:t>
      </w:r>
      <w:r w:rsidR="00FA5BA7" w:rsidRPr="00562991">
        <w:rPr>
          <w:rFonts w:ascii="Verdana" w:hAnsi="Verdana" w:cs="Times New Roman"/>
          <w:sz w:val="19"/>
          <w:szCs w:val="19"/>
        </w:rPr>
        <w:t xml:space="preserve"> qualification collegiums</w:t>
      </w:r>
      <w:r w:rsidR="001667ED" w:rsidRPr="00562991">
        <w:rPr>
          <w:rFonts w:ascii="Verdana" w:hAnsi="Verdana" w:cs="Times New Roman"/>
          <w:sz w:val="19"/>
          <w:szCs w:val="19"/>
        </w:rPr>
        <w:t xml:space="preserve"> that eventual consider</w:t>
      </w:r>
      <w:r w:rsidR="00FA5BA7" w:rsidRPr="00562991">
        <w:rPr>
          <w:rFonts w:ascii="Verdana" w:hAnsi="Verdana" w:cs="Times New Roman"/>
          <w:sz w:val="19"/>
          <w:szCs w:val="19"/>
        </w:rPr>
        <w:t xml:space="preserve"> dismissal</w:t>
      </w:r>
      <w:r w:rsidR="001667ED" w:rsidRPr="00562991">
        <w:rPr>
          <w:rFonts w:ascii="Verdana" w:hAnsi="Verdana" w:cs="Times New Roman"/>
          <w:sz w:val="19"/>
          <w:szCs w:val="19"/>
        </w:rPr>
        <w:t>s</w:t>
      </w:r>
      <w:r w:rsidR="00FA5BA7" w:rsidRPr="00562991">
        <w:rPr>
          <w:rFonts w:ascii="Verdana" w:hAnsi="Verdana" w:cs="Times New Roman"/>
          <w:sz w:val="19"/>
          <w:szCs w:val="19"/>
        </w:rPr>
        <w:t xml:space="preserve"> of judges</w:t>
      </w:r>
      <w:r w:rsidR="001667ED" w:rsidRPr="00562991">
        <w:rPr>
          <w:rFonts w:ascii="Verdana" w:hAnsi="Verdana" w:cs="Times New Roman"/>
          <w:sz w:val="19"/>
          <w:szCs w:val="19"/>
        </w:rPr>
        <w:t xml:space="preserve">, </w:t>
      </w:r>
      <w:r w:rsidR="00FA5BA7" w:rsidRPr="00562991">
        <w:rPr>
          <w:rFonts w:ascii="Verdana" w:hAnsi="Verdana" w:cs="Times New Roman"/>
          <w:sz w:val="19"/>
          <w:szCs w:val="19"/>
        </w:rPr>
        <w:t>they are dependent and highly influenced by court presidents, that in practice are</w:t>
      </w:r>
      <w:r w:rsidR="001667ED" w:rsidRPr="00562991">
        <w:rPr>
          <w:rFonts w:ascii="Verdana" w:hAnsi="Verdana" w:cs="Times New Roman"/>
          <w:sz w:val="19"/>
          <w:szCs w:val="19"/>
        </w:rPr>
        <w:t xml:space="preserve"> said to be</w:t>
      </w:r>
      <w:r w:rsidR="00FA5BA7" w:rsidRPr="00562991">
        <w:rPr>
          <w:rFonts w:ascii="Verdana" w:hAnsi="Verdana" w:cs="Times New Roman"/>
          <w:sz w:val="19"/>
          <w:szCs w:val="19"/>
        </w:rPr>
        <w:t xml:space="preserve"> the ones who often take the </w:t>
      </w:r>
      <w:r w:rsidR="00FA5BA7" w:rsidRPr="00562991">
        <w:rPr>
          <w:rFonts w:ascii="Verdana" w:hAnsi="Verdana" w:cs="Times New Roman"/>
          <w:sz w:val="19"/>
          <w:szCs w:val="19"/>
        </w:rPr>
        <w:lastRenderedPageBreak/>
        <w:t>decision</w:t>
      </w:r>
      <w:r w:rsidR="004876F5" w:rsidRPr="00562991">
        <w:rPr>
          <w:rFonts w:ascii="Verdana" w:hAnsi="Verdana" w:cs="Times New Roman"/>
          <w:sz w:val="19"/>
          <w:szCs w:val="19"/>
        </w:rPr>
        <w:t>.</w:t>
      </w:r>
      <w:r w:rsidR="00FA5BA7" w:rsidRPr="00562991">
        <w:rPr>
          <w:rStyle w:val="FootnoteReference"/>
          <w:rFonts w:ascii="Verdana" w:hAnsi="Verdana" w:cs="Times New Roman"/>
          <w:sz w:val="19"/>
          <w:szCs w:val="19"/>
        </w:rPr>
        <w:footnoteReference w:id="8"/>
      </w:r>
      <w:r w:rsidR="00FA5BA7" w:rsidRPr="00562991">
        <w:rPr>
          <w:rFonts w:ascii="Verdana" w:hAnsi="Verdana" w:cs="Times New Roman"/>
          <w:sz w:val="19"/>
          <w:szCs w:val="19"/>
        </w:rPr>
        <w:t xml:space="preserve"> </w:t>
      </w:r>
      <w:r w:rsidR="00DC71FC" w:rsidRPr="00562991">
        <w:rPr>
          <w:rFonts w:ascii="Verdana" w:hAnsi="Verdana" w:cs="Times New Roman"/>
          <w:sz w:val="19"/>
          <w:szCs w:val="19"/>
        </w:rPr>
        <w:t>Besides</w:t>
      </w:r>
      <w:r w:rsidR="00FA5BA7" w:rsidRPr="00562991">
        <w:rPr>
          <w:rFonts w:ascii="Verdana" w:hAnsi="Verdana" w:cs="Times New Roman"/>
          <w:sz w:val="19"/>
          <w:szCs w:val="19"/>
        </w:rPr>
        <w:t>, court president</w:t>
      </w:r>
      <w:r w:rsidR="00DC71FC" w:rsidRPr="00562991">
        <w:rPr>
          <w:rFonts w:ascii="Verdana" w:hAnsi="Verdana" w:cs="Times New Roman"/>
          <w:sz w:val="19"/>
          <w:szCs w:val="19"/>
        </w:rPr>
        <w:t>s</w:t>
      </w:r>
      <w:r w:rsidR="004876F5" w:rsidRPr="00562991">
        <w:rPr>
          <w:rFonts w:ascii="Verdana" w:hAnsi="Verdana" w:cs="Times New Roman"/>
          <w:sz w:val="19"/>
          <w:szCs w:val="19"/>
        </w:rPr>
        <w:t xml:space="preserve">, </w:t>
      </w:r>
      <w:r w:rsidR="00FA5BA7" w:rsidRPr="00562991">
        <w:rPr>
          <w:rFonts w:ascii="Verdana" w:hAnsi="Verdana" w:cs="Times New Roman"/>
          <w:sz w:val="19"/>
          <w:szCs w:val="19"/>
        </w:rPr>
        <w:t>who submitted the motion for disciplinary action against the judge</w:t>
      </w:r>
      <w:r w:rsidR="006E24BE" w:rsidRPr="00562991">
        <w:rPr>
          <w:rFonts w:ascii="Verdana" w:hAnsi="Verdana" w:cs="Times New Roman"/>
          <w:sz w:val="19"/>
          <w:szCs w:val="19"/>
        </w:rPr>
        <w:t>,</w:t>
      </w:r>
      <w:r w:rsidR="00FA5BA7" w:rsidRPr="00562991">
        <w:rPr>
          <w:rFonts w:ascii="Verdana" w:hAnsi="Verdana" w:cs="Times New Roman"/>
          <w:sz w:val="19"/>
          <w:szCs w:val="19"/>
        </w:rPr>
        <w:t xml:space="preserve"> </w:t>
      </w:r>
      <w:r w:rsidR="00DC71FC" w:rsidRPr="00562991">
        <w:rPr>
          <w:rFonts w:ascii="Verdana" w:hAnsi="Verdana" w:cs="Times New Roman"/>
          <w:sz w:val="19"/>
          <w:szCs w:val="19"/>
        </w:rPr>
        <w:t xml:space="preserve">can </w:t>
      </w:r>
      <w:r w:rsidR="00DB42AB" w:rsidRPr="00562991">
        <w:rPr>
          <w:rFonts w:ascii="Verdana" w:hAnsi="Verdana" w:cs="Times New Roman"/>
          <w:sz w:val="19"/>
          <w:szCs w:val="19"/>
        </w:rPr>
        <w:t xml:space="preserve">further influence the process by </w:t>
      </w:r>
      <w:r w:rsidR="00DC71FC" w:rsidRPr="00562991">
        <w:rPr>
          <w:rFonts w:ascii="Verdana" w:hAnsi="Verdana" w:cs="Times New Roman"/>
          <w:sz w:val="19"/>
          <w:szCs w:val="19"/>
        </w:rPr>
        <w:t>attend</w:t>
      </w:r>
      <w:r w:rsidR="00DB42AB" w:rsidRPr="00562991">
        <w:rPr>
          <w:rFonts w:ascii="Verdana" w:hAnsi="Verdana" w:cs="Times New Roman"/>
          <w:sz w:val="19"/>
          <w:szCs w:val="19"/>
        </w:rPr>
        <w:t>ing</w:t>
      </w:r>
      <w:r w:rsidR="00DC71FC" w:rsidRPr="00562991">
        <w:rPr>
          <w:rFonts w:ascii="Verdana" w:hAnsi="Verdana" w:cs="Times New Roman"/>
          <w:sz w:val="19"/>
          <w:szCs w:val="19"/>
        </w:rPr>
        <w:t xml:space="preserve"> disciplinary hearings</w:t>
      </w:r>
      <w:r w:rsidR="004876F5" w:rsidRPr="00562991">
        <w:rPr>
          <w:rFonts w:ascii="Verdana" w:hAnsi="Verdana" w:cs="Times New Roman"/>
          <w:sz w:val="19"/>
          <w:szCs w:val="19"/>
        </w:rPr>
        <w:t>.</w:t>
      </w:r>
      <w:r w:rsidR="00FA5BA7" w:rsidRPr="00562991">
        <w:rPr>
          <w:rStyle w:val="FootnoteReference"/>
          <w:rFonts w:ascii="Verdana" w:hAnsi="Verdana" w:cs="Times New Roman"/>
          <w:sz w:val="19"/>
          <w:szCs w:val="19"/>
        </w:rPr>
        <w:footnoteReference w:id="9"/>
      </w:r>
      <w:r w:rsidR="004876F5" w:rsidRPr="00562991">
        <w:rPr>
          <w:rFonts w:ascii="Verdana" w:hAnsi="Verdana" w:cs="Times New Roman"/>
          <w:sz w:val="19"/>
          <w:szCs w:val="19"/>
        </w:rPr>
        <w:t xml:space="preserve"> </w:t>
      </w:r>
      <w:r w:rsidR="00DB42AB" w:rsidRPr="00562991">
        <w:rPr>
          <w:rFonts w:ascii="Verdana" w:hAnsi="Verdana" w:cs="Times New Roman"/>
          <w:sz w:val="19"/>
          <w:szCs w:val="19"/>
        </w:rPr>
        <w:t>I</w:t>
      </w:r>
      <w:r w:rsidR="00FA5BA7" w:rsidRPr="00562991">
        <w:rPr>
          <w:rFonts w:ascii="Verdana" w:hAnsi="Verdana" w:cs="Times New Roman"/>
          <w:sz w:val="19"/>
          <w:szCs w:val="19"/>
        </w:rPr>
        <w:t>t was also reported that the dismissal procedure is often a mere formality</w:t>
      </w:r>
      <w:r w:rsidR="00DC71FC" w:rsidRPr="00562991">
        <w:rPr>
          <w:rFonts w:ascii="Verdana" w:hAnsi="Verdana" w:cs="Times New Roman"/>
          <w:sz w:val="19"/>
          <w:szCs w:val="19"/>
        </w:rPr>
        <w:t xml:space="preserve"> while actual decisions are taken within the bureaucracy and not at the disciplinary hearings</w:t>
      </w:r>
      <w:r w:rsidR="004876F5" w:rsidRPr="00562991">
        <w:rPr>
          <w:rFonts w:ascii="Verdana" w:hAnsi="Verdana" w:cs="Times New Roman"/>
          <w:sz w:val="19"/>
          <w:szCs w:val="19"/>
        </w:rPr>
        <w:t>.</w:t>
      </w:r>
      <w:r w:rsidR="00FA5BA7" w:rsidRPr="00562991">
        <w:rPr>
          <w:rStyle w:val="FootnoteReference"/>
          <w:rFonts w:ascii="Verdana" w:hAnsi="Verdana" w:cs="Times New Roman"/>
          <w:sz w:val="19"/>
          <w:szCs w:val="19"/>
        </w:rPr>
        <w:footnoteReference w:id="10"/>
      </w:r>
      <w:r w:rsidR="004876F5" w:rsidRPr="00562991">
        <w:rPr>
          <w:rFonts w:ascii="Verdana" w:hAnsi="Verdana" w:cs="Times New Roman"/>
          <w:sz w:val="19"/>
          <w:szCs w:val="19"/>
        </w:rPr>
        <w:t xml:space="preserve"> </w:t>
      </w:r>
      <w:r w:rsidR="00100A3A" w:rsidRPr="00562991">
        <w:rPr>
          <w:rFonts w:ascii="Verdana" w:hAnsi="Verdana" w:cs="Times New Roman"/>
          <w:sz w:val="19"/>
          <w:szCs w:val="19"/>
        </w:rPr>
        <w:t xml:space="preserve">Moreover, recent amendments to the Constitution proposed by the President </w:t>
      </w:r>
      <w:r w:rsidR="006C2750" w:rsidRPr="00562991">
        <w:rPr>
          <w:rFonts w:ascii="Verdana" w:hAnsi="Verdana" w:cs="Times New Roman"/>
          <w:sz w:val="19"/>
          <w:szCs w:val="19"/>
        </w:rPr>
        <w:t xml:space="preserve">of the Russian Federation </w:t>
      </w:r>
      <w:r w:rsidR="00100A3A" w:rsidRPr="00562991">
        <w:rPr>
          <w:rFonts w:ascii="Verdana" w:hAnsi="Verdana" w:cs="Times New Roman"/>
          <w:sz w:val="19"/>
          <w:szCs w:val="19"/>
        </w:rPr>
        <w:t xml:space="preserve">to the </w:t>
      </w:r>
      <w:r w:rsidR="00100A3A" w:rsidRPr="00562991">
        <w:rPr>
          <w:rFonts w:ascii="Verdana" w:hAnsi="Verdana" w:cs="Times New Roman"/>
          <w:sz w:val="19"/>
          <w:szCs w:val="19"/>
        </w:rPr>
        <w:lastRenderedPageBreak/>
        <w:t>Federal Assembly</w:t>
      </w:r>
      <w:r w:rsidR="006C2750" w:rsidRPr="00562991">
        <w:rPr>
          <w:rFonts w:ascii="Verdana" w:hAnsi="Verdana" w:cs="Times New Roman"/>
          <w:sz w:val="19"/>
          <w:szCs w:val="19"/>
        </w:rPr>
        <w:t xml:space="preserve"> (Upper Chamber of the Parliament)</w:t>
      </w:r>
      <w:r w:rsidR="00100A3A" w:rsidRPr="00562991">
        <w:rPr>
          <w:rFonts w:ascii="Verdana" w:hAnsi="Verdana" w:cs="Times New Roman"/>
          <w:sz w:val="19"/>
          <w:szCs w:val="19"/>
        </w:rPr>
        <w:t xml:space="preserve"> might jeopardize the </w:t>
      </w:r>
      <w:r w:rsidR="006C2750" w:rsidRPr="00562991">
        <w:rPr>
          <w:rFonts w:ascii="Verdana" w:hAnsi="Verdana" w:cs="Times New Roman"/>
          <w:sz w:val="19"/>
          <w:szCs w:val="19"/>
        </w:rPr>
        <w:t xml:space="preserve">independence of the </w:t>
      </w:r>
      <w:r w:rsidR="00100A3A" w:rsidRPr="00562991">
        <w:rPr>
          <w:rFonts w:ascii="Verdana" w:hAnsi="Verdana" w:cs="Times New Roman"/>
          <w:sz w:val="19"/>
          <w:szCs w:val="19"/>
        </w:rPr>
        <w:t>Constitutional Court</w:t>
      </w:r>
      <w:r w:rsidR="004A689B" w:rsidRPr="00562991">
        <w:rPr>
          <w:rFonts w:ascii="Verdana" w:hAnsi="Verdana" w:cs="Times New Roman"/>
          <w:sz w:val="19"/>
          <w:szCs w:val="19"/>
        </w:rPr>
        <w:t xml:space="preserve">, </w:t>
      </w:r>
      <w:r w:rsidR="006C2750" w:rsidRPr="00562991">
        <w:rPr>
          <w:rFonts w:ascii="Verdana" w:hAnsi="Verdana" w:cs="Times New Roman"/>
          <w:sz w:val="19"/>
          <w:szCs w:val="19"/>
        </w:rPr>
        <w:t xml:space="preserve">the </w:t>
      </w:r>
      <w:r w:rsidR="004A689B" w:rsidRPr="00562991">
        <w:rPr>
          <w:rFonts w:ascii="Verdana" w:hAnsi="Verdana" w:cs="Times New Roman"/>
          <w:sz w:val="19"/>
          <w:szCs w:val="19"/>
        </w:rPr>
        <w:t xml:space="preserve">Supreme Court and </w:t>
      </w:r>
      <w:r w:rsidR="006C2750" w:rsidRPr="00562991">
        <w:rPr>
          <w:rFonts w:ascii="Verdana" w:hAnsi="Verdana" w:cs="Times New Roman"/>
          <w:sz w:val="19"/>
          <w:szCs w:val="19"/>
        </w:rPr>
        <w:t xml:space="preserve">other </w:t>
      </w:r>
      <w:r w:rsidR="004A689B" w:rsidRPr="00562991">
        <w:rPr>
          <w:rFonts w:ascii="Verdana" w:hAnsi="Verdana" w:cs="Times New Roman"/>
          <w:sz w:val="19"/>
          <w:szCs w:val="19"/>
        </w:rPr>
        <w:t>appeals and cassation court</w:t>
      </w:r>
      <w:r w:rsidR="00100A3A" w:rsidRPr="00562991">
        <w:rPr>
          <w:rFonts w:ascii="Verdana" w:hAnsi="Verdana" w:cs="Times New Roman"/>
          <w:sz w:val="19"/>
          <w:szCs w:val="19"/>
        </w:rPr>
        <w:t>s’ independence, since</w:t>
      </w:r>
      <w:r w:rsidR="006C2750" w:rsidRPr="00562991">
        <w:rPr>
          <w:rFonts w:ascii="Verdana" w:hAnsi="Verdana" w:cs="Times New Roman"/>
          <w:sz w:val="19"/>
          <w:szCs w:val="19"/>
        </w:rPr>
        <w:t xml:space="preserve"> dismissal of judges of these courts</w:t>
      </w:r>
      <w:r w:rsidR="00100A3A" w:rsidRPr="00562991">
        <w:rPr>
          <w:rFonts w:ascii="Verdana" w:hAnsi="Verdana" w:cs="Times New Roman"/>
          <w:sz w:val="19"/>
          <w:szCs w:val="19"/>
        </w:rPr>
        <w:t xml:space="preserve"> would no</w:t>
      </w:r>
      <w:r w:rsidR="006C2750" w:rsidRPr="00562991">
        <w:rPr>
          <w:rFonts w:ascii="Verdana" w:hAnsi="Verdana" w:cs="Times New Roman"/>
          <w:sz w:val="19"/>
          <w:szCs w:val="19"/>
        </w:rPr>
        <w:t xml:space="preserve"> longer</w:t>
      </w:r>
      <w:r w:rsidR="00100A3A" w:rsidRPr="00562991">
        <w:rPr>
          <w:rFonts w:ascii="Verdana" w:hAnsi="Verdana" w:cs="Times New Roman"/>
          <w:sz w:val="19"/>
          <w:szCs w:val="19"/>
        </w:rPr>
        <w:t xml:space="preserve"> require </w:t>
      </w:r>
      <w:r w:rsidR="006C2750" w:rsidRPr="00562991">
        <w:rPr>
          <w:rFonts w:ascii="Verdana" w:hAnsi="Verdana" w:cs="Times New Roman"/>
          <w:sz w:val="19"/>
          <w:szCs w:val="19"/>
        </w:rPr>
        <w:t>initiation</w:t>
      </w:r>
      <w:r w:rsidR="00100A3A" w:rsidRPr="00562991">
        <w:rPr>
          <w:rFonts w:ascii="Verdana" w:hAnsi="Verdana" w:cs="Times New Roman"/>
          <w:sz w:val="19"/>
          <w:szCs w:val="19"/>
        </w:rPr>
        <w:t xml:space="preserve"> </w:t>
      </w:r>
      <w:r w:rsidR="006C2750" w:rsidRPr="00562991">
        <w:rPr>
          <w:rFonts w:ascii="Verdana" w:hAnsi="Verdana" w:cs="Times New Roman"/>
          <w:sz w:val="19"/>
          <w:szCs w:val="19"/>
        </w:rPr>
        <w:t>and even decision by</w:t>
      </w:r>
      <w:r w:rsidR="00100A3A" w:rsidRPr="00562991">
        <w:rPr>
          <w:rFonts w:ascii="Verdana" w:hAnsi="Verdana" w:cs="Times New Roman"/>
          <w:sz w:val="19"/>
          <w:szCs w:val="19"/>
        </w:rPr>
        <w:t xml:space="preserve"> the judiciary.</w:t>
      </w:r>
      <w:r w:rsidR="00100A3A" w:rsidRPr="00562991">
        <w:rPr>
          <w:rStyle w:val="FootnoteReference"/>
          <w:rFonts w:ascii="Verdana" w:hAnsi="Verdana" w:cs="Times New Roman"/>
          <w:sz w:val="19"/>
          <w:szCs w:val="19"/>
        </w:rPr>
        <w:footnoteReference w:id="11"/>
      </w:r>
    </w:p>
    <w:p w14:paraId="7A1A39A3" w14:textId="59111570" w:rsidR="00A61711" w:rsidRPr="00562991" w:rsidRDefault="00DC71FC" w:rsidP="00A61711">
      <w:pPr>
        <w:ind w:firstLine="720"/>
        <w:jc w:val="both"/>
        <w:rPr>
          <w:rFonts w:ascii="Verdana" w:hAnsi="Verdana" w:cs="Times New Roman"/>
          <w:sz w:val="19"/>
          <w:szCs w:val="19"/>
        </w:rPr>
      </w:pPr>
      <w:r w:rsidRPr="00562991">
        <w:rPr>
          <w:rFonts w:ascii="Verdana" w:hAnsi="Verdana" w:cs="Times New Roman"/>
          <w:sz w:val="19"/>
          <w:szCs w:val="19"/>
        </w:rPr>
        <w:t>T</w:t>
      </w:r>
      <w:r w:rsidR="00A61711" w:rsidRPr="00562991">
        <w:rPr>
          <w:rFonts w:ascii="Verdana" w:hAnsi="Verdana" w:cs="Times New Roman"/>
          <w:sz w:val="19"/>
          <w:szCs w:val="19"/>
        </w:rPr>
        <w:t xml:space="preserve">he ICJ </w:t>
      </w:r>
      <w:r w:rsidRPr="00562991">
        <w:rPr>
          <w:rFonts w:ascii="Verdana" w:hAnsi="Verdana" w:cs="Times New Roman"/>
          <w:sz w:val="19"/>
          <w:szCs w:val="19"/>
        </w:rPr>
        <w:t xml:space="preserve">has been </w:t>
      </w:r>
      <w:r w:rsidR="00A61711" w:rsidRPr="00562991">
        <w:rPr>
          <w:rFonts w:ascii="Verdana" w:hAnsi="Verdana" w:cs="Times New Roman"/>
          <w:sz w:val="19"/>
          <w:szCs w:val="19"/>
        </w:rPr>
        <w:t xml:space="preserve">consistently </w:t>
      </w:r>
      <w:r w:rsidR="005568D4" w:rsidRPr="00562991">
        <w:rPr>
          <w:rFonts w:ascii="Verdana" w:hAnsi="Verdana" w:cs="Times New Roman"/>
          <w:sz w:val="19"/>
          <w:szCs w:val="19"/>
        </w:rPr>
        <w:t xml:space="preserve">informed </w:t>
      </w:r>
      <w:r w:rsidR="00A61711" w:rsidRPr="00562991">
        <w:rPr>
          <w:rFonts w:ascii="Verdana" w:hAnsi="Verdana" w:cs="Times New Roman"/>
          <w:sz w:val="19"/>
          <w:szCs w:val="19"/>
        </w:rPr>
        <w:t xml:space="preserve">that </w:t>
      </w:r>
      <w:r w:rsidR="006E24BE" w:rsidRPr="00562991">
        <w:rPr>
          <w:rFonts w:ascii="Verdana" w:hAnsi="Verdana" w:cs="Times New Roman"/>
          <w:sz w:val="19"/>
          <w:szCs w:val="19"/>
        </w:rPr>
        <w:t xml:space="preserve">the process of promotions is largely based on the </w:t>
      </w:r>
      <w:r w:rsidR="00A61711" w:rsidRPr="00562991">
        <w:rPr>
          <w:rFonts w:ascii="Verdana" w:hAnsi="Verdana" w:cs="Times New Roman"/>
          <w:sz w:val="19"/>
          <w:szCs w:val="19"/>
        </w:rPr>
        <w:t xml:space="preserve">loyalty of judges and political sensitivity, while independent and principled judges have lesser </w:t>
      </w:r>
      <w:r w:rsidR="00A61711" w:rsidRPr="00562991">
        <w:rPr>
          <w:rFonts w:ascii="Verdana" w:hAnsi="Verdana" w:cs="Times New Roman"/>
          <w:sz w:val="19"/>
          <w:szCs w:val="19"/>
        </w:rPr>
        <w:lastRenderedPageBreak/>
        <w:t>chances to be promoted or appointed as court president</w:t>
      </w:r>
      <w:r w:rsidR="005568D4" w:rsidRPr="00562991">
        <w:rPr>
          <w:rFonts w:ascii="Verdana" w:hAnsi="Verdana" w:cs="Times New Roman"/>
          <w:sz w:val="19"/>
          <w:szCs w:val="19"/>
        </w:rPr>
        <w:t>s</w:t>
      </w:r>
      <w:r w:rsidR="00A61711" w:rsidRPr="00562991">
        <w:rPr>
          <w:rFonts w:ascii="Verdana" w:hAnsi="Verdana" w:cs="Times New Roman"/>
          <w:sz w:val="19"/>
          <w:szCs w:val="19"/>
        </w:rPr>
        <w:t>.</w:t>
      </w:r>
      <w:r w:rsidR="00A61711" w:rsidRPr="00562991">
        <w:rPr>
          <w:rStyle w:val="FootnoteReference"/>
          <w:rFonts w:ascii="Verdana" w:hAnsi="Verdana" w:cs="Times New Roman"/>
          <w:sz w:val="19"/>
          <w:szCs w:val="19"/>
        </w:rPr>
        <w:footnoteReference w:id="12"/>
      </w:r>
      <w:r w:rsidR="00A61711" w:rsidRPr="00562991">
        <w:rPr>
          <w:rFonts w:ascii="Verdana" w:hAnsi="Verdana" w:cs="Times New Roman"/>
          <w:sz w:val="19"/>
          <w:szCs w:val="19"/>
        </w:rPr>
        <w:t xml:space="preserve"> Among the measures used to interference in judges’ independenc</w:t>
      </w:r>
      <w:r w:rsidR="0022276D" w:rsidRPr="00562991">
        <w:rPr>
          <w:rFonts w:ascii="Verdana" w:hAnsi="Verdana" w:cs="Times New Roman"/>
          <w:sz w:val="19"/>
          <w:szCs w:val="19"/>
        </w:rPr>
        <w:t>e</w:t>
      </w:r>
      <w:r w:rsidR="00A61711" w:rsidRPr="00562991">
        <w:rPr>
          <w:rFonts w:ascii="Verdana" w:hAnsi="Verdana" w:cs="Times New Roman"/>
          <w:sz w:val="19"/>
          <w:szCs w:val="19"/>
        </w:rPr>
        <w:t xml:space="preserve">, ranging from manipulation of promotions or benefits to applying direct pressure on judges, “telephone justice” has been systematically denounced. In fact, judges were said to be often directly instructed on how to resolve a case. The ICJ’s interlocutors also stressed the fact that as judges are aware of the expectations of a particular outcome in a case over which they preside, there is often no need to give direct instructions. When such expectations are not met, a judicial decision may be overturned or </w:t>
      </w:r>
      <w:r w:rsidR="00A61711" w:rsidRPr="00562991">
        <w:rPr>
          <w:rFonts w:ascii="Verdana" w:hAnsi="Verdana" w:cs="Times New Roman"/>
          <w:sz w:val="19"/>
          <w:szCs w:val="19"/>
        </w:rPr>
        <w:lastRenderedPageBreak/>
        <w:t>not implemented and the judge may face discipline as a result of having issued an “erroneous” decision.</w:t>
      </w:r>
      <w:r w:rsidR="00A61711" w:rsidRPr="00562991">
        <w:rPr>
          <w:rStyle w:val="FootnoteReference"/>
          <w:rFonts w:ascii="Verdana" w:hAnsi="Verdana" w:cs="Times New Roman"/>
          <w:sz w:val="19"/>
          <w:szCs w:val="19"/>
        </w:rPr>
        <w:footnoteReference w:id="13"/>
      </w:r>
      <w:r w:rsidR="00A61711" w:rsidRPr="00562991">
        <w:rPr>
          <w:rFonts w:ascii="Verdana" w:hAnsi="Verdana" w:cs="Times New Roman"/>
          <w:sz w:val="19"/>
          <w:szCs w:val="19"/>
        </w:rPr>
        <w:t xml:space="preserve"> One dismissed judge was genuinely surprised at the mission’s “ignorance” about the de facto obligation of judges to receive instructions on certain cases from court presidents.</w:t>
      </w:r>
      <w:r w:rsidR="00A61711" w:rsidRPr="00562991">
        <w:rPr>
          <w:rStyle w:val="FootnoteReference"/>
          <w:rFonts w:ascii="Verdana" w:hAnsi="Verdana" w:cs="Times New Roman"/>
          <w:sz w:val="19"/>
          <w:szCs w:val="19"/>
        </w:rPr>
        <w:footnoteReference w:id="14"/>
      </w:r>
      <w:r w:rsidR="00A61711" w:rsidRPr="00562991">
        <w:rPr>
          <w:rFonts w:ascii="Verdana" w:hAnsi="Verdana" w:cs="Times New Roman"/>
          <w:sz w:val="19"/>
          <w:szCs w:val="19"/>
        </w:rPr>
        <w:t xml:space="preserve"> The mission was told that there has been an increase of telephone justice and a broadening of other means of exerting influence upon judges. The practice of the president directing instructions as to the expected outcome of cases is said </w:t>
      </w:r>
      <w:r w:rsidR="00A61711" w:rsidRPr="00562991">
        <w:rPr>
          <w:rFonts w:ascii="Verdana" w:hAnsi="Verdana" w:cs="Times New Roman"/>
          <w:sz w:val="19"/>
          <w:szCs w:val="19"/>
        </w:rPr>
        <w:lastRenderedPageBreak/>
        <w:t>to be routine.</w:t>
      </w:r>
      <w:r w:rsidR="00A61711" w:rsidRPr="00562991">
        <w:rPr>
          <w:rStyle w:val="FootnoteReference"/>
          <w:rFonts w:ascii="Verdana" w:hAnsi="Verdana" w:cs="Times New Roman"/>
          <w:sz w:val="19"/>
          <w:szCs w:val="19"/>
        </w:rPr>
        <w:footnoteReference w:id="15"/>
      </w:r>
      <w:r w:rsidR="00A61711" w:rsidRPr="00562991">
        <w:rPr>
          <w:rFonts w:ascii="Verdana" w:hAnsi="Verdana" w:cs="Times New Roman"/>
          <w:sz w:val="19"/>
          <w:szCs w:val="19"/>
        </w:rPr>
        <w:t xml:space="preserve"> Furthermore, </w:t>
      </w:r>
      <w:r w:rsidR="006E24BE" w:rsidRPr="00562991">
        <w:rPr>
          <w:rFonts w:ascii="Verdana" w:hAnsi="Verdana" w:cs="Times New Roman"/>
          <w:sz w:val="19"/>
          <w:szCs w:val="19"/>
        </w:rPr>
        <w:t xml:space="preserve">the process of assignment of cases can also interfere with judges’ independence. Indeed, </w:t>
      </w:r>
      <w:r w:rsidR="00A61711" w:rsidRPr="00562991">
        <w:rPr>
          <w:rFonts w:ascii="Verdana" w:hAnsi="Verdana" w:cs="Times New Roman"/>
          <w:sz w:val="19"/>
          <w:szCs w:val="19"/>
        </w:rPr>
        <w:t>Court Presidents can also abuse their power: it has been reported to the ICJ that the power of Court Presidents to assign cases has been abused on occasion to create a situation where a judge is overburdened with cases and, therefore, may be subject to disciplinary proceedings for delay.</w:t>
      </w:r>
      <w:r w:rsidR="00A61711" w:rsidRPr="00562991">
        <w:rPr>
          <w:rStyle w:val="FootnoteReference"/>
          <w:rFonts w:ascii="Verdana" w:hAnsi="Verdana" w:cs="Times New Roman"/>
          <w:sz w:val="19"/>
          <w:szCs w:val="19"/>
        </w:rPr>
        <w:footnoteReference w:id="16"/>
      </w:r>
    </w:p>
    <w:p w14:paraId="2D042440" w14:textId="22D0C6ED" w:rsidR="008F4ABC" w:rsidRPr="00562991" w:rsidRDefault="00272992" w:rsidP="008F4ABC">
      <w:pPr>
        <w:ind w:firstLine="720"/>
        <w:jc w:val="both"/>
        <w:rPr>
          <w:rFonts w:ascii="Verdana" w:hAnsi="Verdana" w:cs="Times New Roman"/>
          <w:sz w:val="19"/>
          <w:szCs w:val="19"/>
        </w:rPr>
      </w:pPr>
      <w:r w:rsidRPr="00562991">
        <w:rPr>
          <w:rFonts w:ascii="Verdana" w:hAnsi="Verdana" w:cs="Times New Roman"/>
          <w:sz w:val="19"/>
          <w:szCs w:val="19"/>
        </w:rPr>
        <w:lastRenderedPageBreak/>
        <w:t xml:space="preserve">It should be noted that important reforms </w:t>
      </w:r>
      <w:r w:rsidR="00AF11D9" w:rsidRPr="00562991">
        <w:rPr>
          <w:rFonts w:ascii="Verdana" w:hAnsi="Verdana" w:cs="Times New Roman"/>
          <w:sz w:val="19"/>
          <w:szCs w:val="19"/>
        </w:rPr>
        <w:t xml:space="preserve">in the </w:t>
      </w:r>
      <w:r w:rsidR="00AF11D9" w:rsidRPr="00562991">
        <w:rPr>
          <w:rFonts w:ascii="Verdana" w:hAnsi="Verdana" w:cs="Times New Roman"/>
          <w:b/>
          <w:bCs/>
          <w:sz w:val="19"/>
          <w:szCs w:val="19"/>
        </w:rPr>
        <w:t>Russian Federation</w:t>
      </w:r>
      <w:r w:rsidR="00AF11D9" w:rsidRPr="00562991">
        <w:rPr>
          <w:rFonts w:ascii="Verdana" w:hAnsi="Verdana" w:cs="Times New Roman"/>
          <w:sz w:val="19"/>
          <w:szCs w:val="19"/>
        </w:rPr>
        <w:t xml:space="preserve"> </w:t>
      </w:r>
      <w:r w:rsidRPr="00562991">
        <w:rPr>
          <w:rFonts w:ascii="Verdana" w:hAnsi="Verdana" w:cs="Times New Roman"/>
          <w:sz w:val="19"/>
          <w:szCs w:val="19"/>
        </w:rPr>
        <w:t>have been put in place, including the abolition of the three-year probationary period for new judges and the introduction of random allocation of cases in some courts.</w:t>
      </w:r>
      <w:r w:rsidRPr="00562991">
        <w:rPr>
          <w:rStyle w:val="FootnoteReference"/>
          <w:rFonts w:ascii="Verdana" w:hAnsi="Verdana" w:cs="Times New Roman"/>
          <w:sz w:val="19"/>
          <w:szCs w:val="19"/>
        </w:rPr>
        <w:footnoteReference w:id="17"/>
      </w:r>
      <w:r w:rsidRPr="00562991">
        <w:rPr>
          <w:rFonts w:ascii="Verdana" w:hAnsi="Verdana" w:cs="Times New Roman"/>
          <w:sz w:val="19"/>
          <w:szCs w:val="19"/>
        </w:rPr>
        <w:t xml:space="preserve"> </w:t>
      </w:r>
      <w:r w:rsidR="00BC3D53" w:rsidRPr="00562991">
        <w:rPr>
          <w:rFonts w:ascii="Verdana" w:hAnsi="Verdana" w:cs="Times New Roman"/>
          <w:sz w:val="19"/>
          <w:szCs w:val="19"/>
        </w:rPr>
        <w:t>T</w:t>
      </w:r>
      <w:r w:rsidR="008F4ABC" w:rsidRPr="00562991">
        <w:rPr>
          <w:rFonts w:ascii="Verdana" w:hAnsi="Verdana" w:cs="Times New Roman"/>
          <w:sz w:val="19"/>
          <w:szCs w:val="19"/>
        </w:rPr>
        <w:t>he ICJ has</w:t>
      </w:r>
      <w:r w:rsidR="00BC3D53" w:rsidRPr="00562991">
        <w:rPr>
          <w:rFonts w:ascii="Verdana" w:hAnsi="Verdana" w:cs="Times New Roman"/>
          <w:sz w:val="19"/>
          <w:szCs w:val="19"/>
        </w:rPr>
        <w:t xml:space="preserve"> also</w:t>
      </w:r>
      <w:r w:rsidR="008F4ABC" w:rsidRPr="00562991">
        <w:rPr>
          <w:rFonts w:ascii="Verdana" w:hAnsi="Verdana" w:cs="Times New Roman"/>
          <w:sz w:val="19"/>
          <w:szCs w:val="19"/>
        </w:rPr>
        <w:t xml:space="preserve"> welcomed </w:t>
      </w:r>
      <w:r w:rsidR="00AF11D9" w:rsidRPr="00562991">
        <w:rPr>
          <w:rFonts w:ascii="Verdana" w:hAnsi="Verdana" w:cs="Times New Roman"/>
          <w:sz w:val="19"/>
          <w:szCs w:val="19"/>
        </w:rPr>
        <w:t>the</w:t>
      </w:r>
      <w:r w:rsidR="00087D37" w:rsidRPr="00562991">
        <w:rPr>
          <w:rFonts w:ascii="Verdana" w:hAnsi="Verdana" w:cs="Times New Roman"/>
          <w:sz w:val="19"/>
          <w:szCs w:val="19"/>
        </w:rPr>
        <w:t xml:space="preserve"> </w:t>
      </w:r>
      <w:r w:rsidR="00AF11D9" w:rsidRPr="00562991">
        <w:rPr>
          <w:rFonts w:ascii="Verdana" w:hAnsi="Verdana" w:cs="Times New Roman"/>
          <w:sz w:val="19"/>
          <w:szCs w:val="19"/>
        </w:rPr>
        <w:t>introduction</w:t>
      </w:r>
      <w:r w:rsidR="008F4ABC" w:rsidRPr="00562991">
        <w:rPr>
          <w:rFonts w:ascii="Verdana" w:hAnsi="Verdana" w:cs="Times New Roman"/>
          <w:sz w:val="19"/>
          <w:szCs w:val="19"/>
        </w:rPr>
        <w:t xml:space="preserve"> of</w:t>
      </w:r>
      <w:r w:rsidR="00AF11D9" w:rsidRPr="00562991">
        <w:rPr>
          <w:rFonts w:ascii="Verdana" w:hAnsi="Verdana" w:cs="Times New Roman"/>
          <w:sz w:val="19"/>
          <w:szCs w:val="19"/>
        </w:rPr>
        <w:t xml:space="preserve"> the</w:t>
      </w:r>
      <w:r w:rsidR="008F4ABC" w:rsidRPr="00562991">
        <w:rPr>
          <w:rFonts w:ascii="Verdana" w:hAnsi="Verdana" w:cs="Times New Roman"/>
          <w:sz w:val="19"/>
          <w:szCs w:val="19"/>
        </w:rPr>
        <w:t xml:space="preserve"> statute</w:t>
      </w:r>
      <w:r w:rsidR="00832EAD" w:rsidRPr="00562991">
        <w:rPr>
          <w:rFonts w:ascii="Verdana" w:hAnsi="Verdana" w:cs="Times New Roman"/>
          <w:sz w:val="19"/>
          <w:szCs w:val="19"/>
        </w:rPr>
        <w:t xml:space="preserve"> of limitations for</w:t>
      </w:r>
      <w:r w:rsidR="008F4ABC" w:rsidRPr="00562991">
        <w:rPr>
          <w:rFonts w:ascii="Verdana" w:hAnsi="Verdana" w:cs="Times New Roman"/>
          <w:sz w:val="19"/>
          <w:szCs w:val="19"/>
        </w:rPr>
        <w:t xml:space="preserve"> </w:t>
      </w:r>
      <w:r w:rsidR="00087D37" w:rsidRPr="00562991">
        <w:rPr>
          <w:rFonts w:ascii="Verdana" w:hAnsi="Verdana" w:cs="Times New Roman"/>
          <w:sz w:val="19"/>
          <w:szCs w:val="19"/>
        </w:rPr>
        <w:t xml:space="preserve">an alleged </w:t>
      </w:r>
      <w:r w:rsidR="00AF11D9" w:rsidRPr="00562991">
        <w:rPr>
          <w:rFonts w:ascii="Verdana" w:hAnsi="Verdana" w:cs="Times New Roman"/>
          <w:sz w:val="19"/>
          <w:szCs w:val="19"/>
        </w:rPr>
        <w:t xml:space="preserve">judicial </w:t>
      </w:r>
      <w:r w:rsidR="00087D37" w:rsidRPr="00562991">
        <w:rPr>
          <w:rFonts w:ascii="Verdana" w:hAnsi="Verdana" w:cs="Times New Roman"/>
          <w:sz w:val="19"/>
          <w:szCs w:val="19"/>
        </w:rPr>
        <w:t>misconduct which lead to</w:t>
      </w:r>
      <w:r w:rsidR="008F4ABC" w:rsidRPr="00562991">
        <w:rPr>
          <w:rFonts w:ascii="Verdana" w:hAnsi="Verdana" w:cs="Times New Roman"/>
          <w:sz w:val="19"/>
          <w:szCs w:val="19"/>
        </w:rPr>
        <w:t xml:space="preserve"> a disciplinary </w:t>
      </w:r>
      <w:r w:rsidR="00087D37" w:rsidRPr="00562991">
        <w:rPr>
          <w:rFonts w:ascii="Verdana" w:hAnsi="Verdana" w:cs="Times New Roman"/>
          <w:sz w:val="19"/>
          <w:szCs w:val="19"/>
        </w:rPr>
        <w:t xml:space="preserve">sanction </w:t>
      </w:r>
      <w:r w:rsidR="008F4ABC" w:rsidRPr="00562991">
        <w:rPr>
          <w:rFonts w:ascii="Verdana" w:hAnsi="Verdana" w:cs="Times New Roman"/>
          <w:sz w:val="19"/>
          <w:szCs w:val="19"/>
        </w:rPr>
        <w:t>against a judge</w:t>
      </w:r>
      <w:r w:rsidR="00087D37" w:rsidRPr="00562991">
        <w:rPr>
          <w:rFonts w:ascii="Verdana" w:hAnsi="Verdana" w:cs="Times New Roman"/>
          <w:sz w:val="19"/>
          <w:szCs w:val="19"/>
        </w:rPr>
        <w:t xml:space="preserve">, including a termination </w:t>
      </w:r>
      <w:proofErr w:type="gramStart"/>
      <w:r w:rsidR="00087D37" w:rsidRPr="00562991">
        <w:rPr>
          <w:rFonts w:ascii="Verdana" w:hAnsi="Verdana" w:cs="Times New Roman"/>
          <w:sz w:val="19"/>
          <w:szCs w:val="19"/>
        </w:rPr>
        <w:t>of  judicial</w:t>
      </w:r>
      <w:proofErr w:type="gramEnd"/>
      <w:r w:rsidR="00087D37" w:rsidRPr="00562991">
        <w:rPr>
          <w:rFonts w:ascii="Verdana" w:hAnsi="Verdana" w:cs="Times New Roman"/>
          <w:sz w:val="19"/>
          <w:szCs w:val="19"/>
        </w:rPr>
        <w:t xml:space="preserve"> offic</w:t>
      </w:r>
      <w:r w:rsidR="00AF0BF4" w:rsidRPr="00562991">
        <w:rPr>
          <w:rFonts w:ascii="Verdana" w:hAnsi="Verdana" w:cs="Times New Roman"/>
          <w:sz w:val="19"/>
          <w:szCs w:val="19"/>
        </w:rPr>
        <w:t>e</w:t>
      </w:r>
      <w:r w:rsidR="00087D37" w:rsidRPr="00562991">
        <w:rPr>
          <w:rFonts w:ascii="Verdana" w:hAnsi="Verdana" w:cs="Times New Roman"/>
          <w:sz w:val="19"/>
          <w:szCs w:val="19"/>
        </w:rPr>
        <w:t>.</w:t>
      </w:r>
      <w:r w:rsidR="008F4ABC" w:rsidRPr="00562991">
        <w:rPr>
          <w:rFonts w:ascii="Verdana" w:hAnsi="Verdana" w:cs="Times New Roman"/>
          <w:sz w:val="19"/>
          <w:szCs w:val="19"/>
        </w:rPr>
        <w:t xml:space="preserve"> </w:t>
      </w:r>
      <w:r w:rsidR="00AF0BF4" w:rsidRPr="00562991">
        <w:rPr>
          <w:rFonts w:ascii="Verdana" w:hAnsi="Verdana" w:cs="Times New Roman"/>
          <w:sz w:val="19"/>
          <w:szCs w:val="19"/>
        </w:rPr>
        <w:t xml:space="preserve">In practice, this lead to situations where judges faced risk of dismissal or </w:t>
      </w:r>
      <w:r w:rsidR="00AF0BF4" w:rsidRPr="00562991">
        <w:rPr>
          <w:rFonts w:ascii="Verdana" w:hAnsi="Verdana" w:cs="Times New Roman"/>
          <w:sz w:val="19"/>
          <w:szCs w:val="19"/>
        </w:rPr>
        <w:lastRenderedPageBreak/>
        <w:t xml:space="preserve">discipline throughout their career for any possible misconduct regardless of when it happened and if judges could effectively present any evidence in their defence. </w:t>
      </w:r>
      <w:r w:rsidR="00087D37" w:rsidRPr="00562991">
        <w:rPr>
          <w:rFonts w:ascii="Verdana" w:hAnsi="Verdana" w:cs="Times New Roman"/>
          <w:sz w:val="19"/>
          <w:szCs w:val="19"/>
        </w:rPr>
        <w:t xml:space="preserve">The procedure </w:t>
      </w:r>
      <w:r w:rsidR="008F4ABC" w:rsidRPr="00562991">
        <w:rPr>
          <w:rFonts w:ascii="Verdana" w:hAnsi="Verdana" w:cs="Times New Roman"/>
          <w:sz w:val="19"/>
          <w:szCs w:val="19"/>
        </w:rPr>
        <w:t>was modified</w:t>
      </w:r>
      <w:r w:rsidR="00087D37" w:rsidRPr="00562991">
        <w:rPr>
          <w:rFonts w:ascii="Verdana" w:hAnsi="Verdana" w:cs="Times New Roman"/>
          <w:sz w:val="19"/>
          <w:szCs w:val="19"/>
        </w:rPr>
        <w:t xml:space="preserve"> to </w:t>
      </w:r>
      <w:r w:rsidR="008F4ABC" w:rsidRPr="00562991">
        <w:rPr>
          <w:rFonts w:ascii="Verdana" w:hAnsi="Verdana" w:cs="Times New Roman"/>
          <w:sz w:val="19"/>
          <w:szCs w:val="19"/>
        </w:rPr>
        <w:t>require that disciplinary action must be taken within two years of the time of the alleged misconduct or six months from the moment the misconduct became known, provided that this knowledge is attained within two years of the alleged misconduct.</w:t>
      </w:r>
      <w:r w:rsidR="008F4ABC" w:rsidRPr="00562991">
        <w:rPr>
          <w:rStyle w:val="FootnoteReference"/>
          <w:rFonts w:ascii="Verdana" w:hAnsi="Verdana" w:cs="Times New Roman"/>
          <w:sz w:val="19"/>
          <w:szCs w:val="19"/>
        </w:rPr>
        <w:footnoteReference w:id="18"/>
      </w:r>
      <w:r w:rsidR="008F4ABC" w:rsidRPr="00562991">
        <w:rPr>
          <w:rFonts w:ascii="Verdana" w:hAnsi="Verdana" w:cs="Times New Roman"/>
          <w:sz w:val="19"/>
          <w:szCs w:val="19"/>
        </w:rPr>
        <w:t xml:space="preserve"> </w:t>
      </w:r>
    </w:p>
    <w:p w14:paraId="15B7465D" w14:textId="5ED0B284" w:rsidR="00A438CB" w:rsidRPr="00562991" w:rsidRDefault="00184537" w:rsidP="00A5210A">
      <w:pPr>
        <w:ind w:firstLine="720"/>
        <w:jc w:val="both"/>
        <w:rPr>
          <w:rFonts w:ascii="Verdana" w:hAnsi="Verdana" w:cs="Times New Roman"/>
          <w:sz w:val="19"/>
          <w:szCs w:val="19"/>
        </w:rPr>
      </w:pPr>
      <w:r w:rsidRPr="00562991">
        <w:rPr>
          <w:rFonts w:ascii="Verdana" w:hAnsi="Verdana" w:cs="Times New Roman"/>
          <w:sz w:val="19"/>
          <w:szCs w:val="19"/>
        </w:rPr>
        <w:lastRenderedPageBreak/>
        <w:t xml:space="preserve">In the same vein, the ICJ has reported several cases of unjustified disciplinary proceedings initiated against judges in </w:t>
      </w:r>
      <w:r w:rsidRPr="00562991">
        <w:rPr>
          <w:rFonts w:ascii="Verdana" w:hAnsi="Verdana" w:cs="Times New Roman"/>
          <w:b/>
          <w:bCs/>
          <w:sz w:val="19"/>
          <w:szCs w:val="19"/>
        </w:rPr>
        <w:t>Poland</w:t>
      </w:r>
      <w:r w:rsidRPr="00562991">
        <w:rPr>
          <w:rFonts w:ascii="Verdana" w:hAnsi="Verdana" w:cs="Times New Roman"/>
          <w:sz w:val="19"/>
          <w:szCs w:val="19"/>
        </w:rPr>
        <w:t xml:space="preserve">, </w:t>
      </w:r>
      <w:r w:rsidR="007C3A09" w:rsidRPr="00562991">
        <w:rPr>
          <w:rFonts w:ascii="Verdana" w:hAnsi="Verdana" w:cs="Times New Roman"/>
          <w:sz w:val="19"/>
          <w:szCs w:val="19"/>
        </w:rPr>
        <w:t>including Krystian Markiewicz, Chairperson of the Polish Judges’ Association “</w:t>
      </w:r>
      <w:proofErr w:type="spellStart"/>
      <w:r w:rsidR="007C3A09" w:rsidRPr="00562991">
        <w:rPr>
          <w:rFonts w:ascii="Verdana" w:hAnsi="Verdana" w:cs="Times New Roman"/>
          <w:sz w:val="19"/>
          <w:szCs w:val="19"/>
        </w:rPr>
        <w:t>Iustitia</w:t>
      </w:r>
      <w:proofErr w:type="spellEnd"/>
      <w:r w:rsidR="007C3A09" w:rsidRPr="00562991">
        <w:rPr>
          <w:rFonts w:ascii="Verdana" w:hAnsi="Verdana" w:cs="Times New Roman"/>
          <w:sz w:val="19"/>
          <w:szCs w:val="19"/>
        </w:rPr>
        <w:t xml:space="preserve">”. </w:t>
      </w:r>
      <w:r w:rsidR="00D81B6B" w:rsidRPr="00562991">
        <w:rPr>
          <w:rFonts w:ascii="Verdana" w:hAnsi="Verdana" w:cs="Times New Roman"/>
          <w:sz w:val="19"/>
          <w:szCs w:val="19"/>
        </w:rPr>
        <w:t xml:space="preserve">Krystian Markiewicz was </w:t>
      </w:r>
      <w:r w:rsidR="008325F5" w:rsidRPr="00562991">
        <w:rPr>
          <w:rFonts w:ascii="Verdana" w:hAnsi="Verdana" w:cs="Times New Roman"/>
          <w:sz w:val="19"/>
          <w:szCs w:val="19"/>
        </w:rPr>
        <w:t xml:space="preserve">a </w:t>
      </w:r>
      <w:r w:rsidR="00D81B6B" w:rsidRPr="00562991">
        <w:rPr>
          <w:rFonts w:ascii="Verdana" w:hAnsi="Verdana" w:cs="Times New Roman"/>
          <w:sz w:val="19"/>
          <w:szCs w:val="19"/>
        </w:rPr>
        <w:t>judge of the District Court in Katowice and had repeatedly spoken in public debate</w:t>
      </w:r>
      <w:r w:rsidR="00DD0F0A" w:rsidRPr="00562991">
        <w:rPr>
          <w:rFonts w:ascii="Verdana" w:hAnsi="Verdana" w:cs="Times New Roman"/>
          <w:sz w:val="19"/>
          <w:szCs w:val="19"/>
        </w:rPr>
        <w:t>s</w:t>
      </w:r>
      <w:r w:rsidR="00D81B6B" w:rsidRPr="00562991">
        <w:rPr>
          <w:rFonts w:ascii="Verdana" w:hAnsi="Verdana" w:cs="Times New Roman"/>
          <w:sz w:val="19"/>
          <w:szCs w:val="19"/>
        </w:rPr>
        <w:t xml:space="preserve"> on the state of the rule of law in Poland</w:t>
      </w:r>
      <w:r w:rsidR="008325F5" w:rsidRPr="00562991">
        <w:rPr>
          <w:rFonts w:ascii="Verdana" w:hAnsi="Verdana" w:cs="Times New Roman"/>
          <w:sz w:val="19"/>
          <w:szCs w:val="19"/>
        </w:rPr>
        <w:t>, openly criticising the lack of judicial independence.</w:t>
      </w:r>
      <w:r w:rsidR="008325F5" w:rsidRPr="00562991">
        <w:rPr>
          <w:rStyle w:val="FootnoteReference"/>
          <w:rFonts w:ascii="Verdana" w:hAnsi="Verdana" w:cs="Times New Roman"/>
          <w:sz w:val="19"/>
          <w:szCs w:val="19"/>
        </w:rPr>
        <w:footnoteReference w:id="19"/>
      </w:r>
      <w:r w:rsidR="008325F5" w:rsidRPr="00562991">
        <w:rPr>
          <w:rFonts w:ascii="Verdana" w:hAnsi="Verdana" w:cs="Times New Roman"/>
          <w:sz w:val="19"/>
          <w:szCs w:val="19"/>
        </w:rPr>
        <w:t xml:space="preserve"> </w:t>
      </w:r>
      <w:r w:rsidR="002A2DBE" w:rsidRPr="00562991">
        <w:rPr>
          <w:rFonts w:ascii="Verdana" w:hAnsi="Verdana" w:cs="Times New Roman"/>
          <w:sz w:val="19"/>
          <w:szCs w:val="19"/>
        </w:rPr>
        <w:t xml:space="preserve">Judge Krystian Markiewicz received on several occasions summons to appear as a witness in the framework of disciplinary proceedings initiated against other </w:t>
      </w:r>
      <w:r w:rsidR="002A2DBE" w:rsidRPr="00562991">
        <w:rPr>
          <w:rFonts w:ascii="Verdana" w:hAnsi="Verdana" w:cs="Times New Roman"/>
          <w:sz w:val="19"/>
          <w:szCs w:val="19"/>
        </w:rPr>
        <w:lastRenderedPageBreak/>
        <w:t>judges, accused of organising and posting on social network entries which violated the rules of professional ethics.</w:t>
      </w:r>
      <w:r w:rsidR="002A2DBE" w:rsidRPr="00562991">
        <w:rPr>
          <w:rStyle w:val="FootnoteReference"/>
          <w:rFonts w:ascii="Verdana" w:hAnsi="Verdana" w:cs="Times New Roman"/>
          <w:sz w:val="19"/>
          <w:szCs w:val="19"/>
        </w:rPr>
        <w:footnoteReference w:id="20"/>
      </w:r>
      <w:r w:rsidR="002A2DBE" w:rsidRPr="00562991">
        <w:rPr>
          <w:rFonts w:ascii="Verdana" w:hAnsi="Verdana" w:cs="Times New Roman"/>
          <w:sz w:val="19"/>
          <w:szCs w:val="19"/>
        </w:rPr>
        <w:t xml:space="preserve"> </w:t>
      </w:r>
      <w:r w:rsidR="008325F5" w:rsidRPr="00562991">
        <w:rPr>
          <w:rFonts w:ascii="Verdana" w:hAnsi="Verdana" w:cs="Times New Roman"/>
          <w:sz w:val="19"/>
          <w:szCs w:val="19"/>
        </w:rPr>
        <w:t xml:space="preserve">Having rejected to appear on </w:t>
      </w:r>
      <w:r w:rsidR="002A2DBE" w:rsidRPr="00562991">
        <w:rPr>
          <w:rFonts w:ascii="Verdana" w:hAnsi="Verdana" w:cs="Times New Roman"/>
          <w:sz w:val="19"/>
          <w:szCs w:val="19"/>
        </w:rPr>
        <w:t xml:space="preserve">these </w:t>
      </w:r>
      <w:r w:rsidR="008325F5" w:rsidRPr="00562991">
        <w:rPr>
          <w:rFonts w:ascii="Verdana" w:hAnsi="Verdana" w:cs="Times New Roman"/>
          <w:sz w:val="19"/>
          <w:szCs w:val="19"/>
        </w:rPr>
        <w:t>summons</w:t>
      </w:r>
      <w:r w:rsidR="004700EE" w:rsidRPr="00562991">
        <w:rPr>
          <w:rFonts w:ascii="Verdana" w:hAnsi="Verdana" w:cs="Times New Roman"/>
          <w:sz w:val="19"/>
          <w:szCs w:val="19"/>
        </w:rPr>
        <w:t xml:space="preserve">, </w:t>
      </w:r>
      <w:r w:rsidR="008325F5" w:rsidRPr="00562991">
        <w:rPr>
          <w:rFonts w:ascii="Verdana" w:hAnsi="Verdana" w:cs="Times New Roman"/>
          <w:sz w:val="19"/>
          <w:szCs w:val="19"/>
        </w:rPr>
        <w:t>that</w:t>
      </w:r>
      <w:r w:rsidR="004700EE" w:rsidRPr="00562991">
        <w:rPr>
          <w:rFonts w:ascii="Verdana" w:hAnsi="Verdana" w:cs="Times New Roman"/>
          <w:sz w:val="19"/>
          <w:szCs w:val="19"/>
        </w:rPr>
        <w:t xml:space="preserve"> he</w:t>
      </w:r>
      <w:r w:rsidR="008325F5" w:rsidRPr="00562991">
        <w:rPr>
          <w:rFonts w:ascii="Verdana" w:hAnsi="Verdana" w:cs="Times New Roman"/>
          <w:sz w:val="19"/>
          <w:szCs w:val="19"/>
        </w:rPr>
        <w:t xml:space="preserve"> considered to lack</w:t>
      </w:r>
      <w:r w:rsidR="002A2DBE" w:rsidRPr="00562991">
        <w:rPr>
          <w:rFonts w:ascii="Verdana" w:hAnsi="Verdana" w:cs="Times New Roman"/>
          <w:sz w:val="19"/>
          <w:szCs w:val="19"/>
        </w:rPr>
        <w:t xml:space="preserve"> the minimum</w:t>
      </w:r>
      <w:r w:rsidR="008325F5" w:rsidRPr="00562991">
        <w:rPr>
          <w:rFonts w:ascii="Verdana" w:hAnsi="Verdana" w:cs="Times New Roman"/>
          <w:sz w:val="19"/>
          <w:szCs w:val="19"/>
        </w:rPr>
        <w:t xml:space="preserve"> guarantees of impartiality, </w:t>
      </w:r>
      <w:r w:rsidR="004700EE" w:rsidRPr="00562991">
        <w:rPr>
          <w:rFonts w:ascii="Verdana" w:hAnsi="Verdana" w:cs="Times New Roman"/>
          <w:sz w:val="19"/>
          <w:szCs w:val="19"/>
        </w:rPr>
        <w:t xml:space="preserve">judge Markiewicz </w:t>
      </w:r>
      <w:r w:rsidR="008325F5" w:rsidRPr="00562991">
        <w:rPr>
          <w:rFonts w:ascii="Verdana" w:hAnsi="Verdana" w:cs="Times New Roman"/>
          <w:sz w:val="19"/>
          <w:szCs w:val="19"/>
        </w:rPr>
        <w:t>was accused of violating the dignity of the office</w:t>
      </w:r>
      <w:r w:rsidR="00A5210A" w:rsidRPr="00562991">
        <w:rPr>
          <w:rFonts w:ascii="Verdana" w:hAnsi="Verdana" w:cs="Times New Roman"/>
          <w:sz w:val="19"/>
          <w:szCs w:val="19"/>
        </w:rPr>
        <w:t>.</w:t>
      </w:r>
      <w:r w:rsidR="00A5210A" w:rsidRPr="00562991">
        <w:rPr>
          <w:rStyle w:val="FootnoteReference"/>
          <w:rFonts w:ascii="Verdana" w:hAnsi="Verdana" w:cs="Times New Roman"/>
          <w:sz w:val="19"/>
          <w:szCs w:val="19"/>
        </w:rPr>
        <w:t xml:space="preserve"> </w:t>
      </w:r>
      <w:r w:rsidR="00A5210A" w:rsidRPr="00562991">
        <w:rPr>
          <w:rStyle w:val="FootnoteReference"/>
          <w:rFonts w:ascii="Verdana" w:hAnsi="Verdana" w:cs="Times New Roman"/>
          <w:sz w:val="19"/>
          <w:szCs w:val="19"/>
        </w:rPr>
        <w:footnoteReference w:id="21"/>
      </w:r>
      <w:r w:rsidR="00A5210A" w:rsidRPr="00562991">
        <w:rPr>
          <w:rFonts w:ascii="Verdana" w:hAnsi="Verdana" w:cs="Times New Roman"/>
          <w:sz w:val="19"/>
          <w:szCs w:val="19"/>
        </w:rPr>
        <w:t xml:space="preserve"> He was </w:t>
      </w:r>
      <w:r w:rsidR="008325F5" w:rsidRPr="00562991">
        <w:rPr>
          <w:rFonts w:ascii="Verdana" w:hAnsi="Verdana" w:cs="Times New Roman"/>
          <w:sz w:val="19"/>
          <w:szCs w:val="19"/>
        </w:rPr>
        <w:t>finally charged with 55 charges of disciplinary misconduct</w:t>
      </w:r>
      <w:r w:rsidR="00A5210A" w:rsidRPr="00562991">
        <w:rPr>
          <w:rFonts w:ascii="Verdana" w:hAnsi="Verdana" w:cs="Times New Roman"/>
          <w:sz w:val="19"/>
          <w:szCs w:val="19"/>
        </w:rPr>
        <w:t xml:space="preserve">, including disrespect for Poland’s legal order by questioning the independence and legality of the National Council of the Judiciary and the constitutionality of the Disciplinary Chamber of the Supreme Court, </w:t>
      </w:r>
      <w:r w:rsidR="00A5210A" w:rsidRPr="00562991">
        <w:rPr>
          <w:rFonts w:ascii="Verdana" w:hAnsi="Verdana" w:cs="Times New Roman"/>
          <w:sz w:val="19"/>
          <w:szCs w:val="19"/>
        </w:rPr>
        <w:lastRenderedPageBreak/>
        <w:t>as well as calling for appeals to the Disciplinary Chamber to be suspended</w:t>
      </w:r>
      <w:r w:rsidR="008325F5" w:rsidRPr="00562991">
        <w:rPr>
          <w:rFonts w:ascii="Verdana" w:hAnsi="Verdana" w:cs="Times New Roman"/>
          <w:sz w:val="19"/>
          <w:szCs w:val="19"/>
        </w:rPr>
        <w:t>.</w:t>
      </w:r>
      <w:r w:rsidR="00A5210A" w:rsidRPr="00562991">
        <w:rPr>
          <w:rStyle w:val="FootnoteReference"/>
          <w:rFonts w:ascii="Verdana" w:hAnsi="Verdana" w:cs="Times New Roman"/>
          <w:sz w:val="19"/>
          <w:szCs w:val="19"/>
        </w:rPr>
        <w:footnoteReference w:id="22"/>
      </w:r>
      <w:r w:rsidR="008325F5" w:rsidRPr="00562991">
        <w:rPr>
          <w:rFonts w:ascii="Verdana" w:hAnsi="Verdana" w:cs="Times New Roman"/>
          <w:sz w:val="19"/>
          <w:szCs w:val="19"/>
        </w:rPr>
        <w:t xml:space="preserve"> </w:t>
      </w:r>
      <w:r w:rsidR="007C3A09" w:rsidRPr="00562991">
        <w:rPr>
          <w:rFonts w:ascii="Verdana" w:hAnsi="Verdana" w:cs="Times New Roman"/>
          <w:sz w:val="19"/>
          <w:szCs w:val="19"/>
        </w:rPr>
        <w:t xml:space="preserve">The disciplinary action against Judge Markiewicz came within a week of the decision to suspend with immediate effect district Judge Pawel </w:t>
      </w:r>
      <w:proofErr w:type="spellStart"/>
      <w:r w:rsidR="007C3A09" w:rsidRPr="00562991">
        <w:rPr>
          <w:rFonts w:ascii="Verdana" w:hAnsi="Verdana" w:cs="Times New Roman"/>
          <w:sz w:val="19"/>
          <w:szCs w:val="19"/>
        </w:rPr>
        <w:t>Juszczyszyn</w:t>
      </w:r>
      <w:proofErr w:type="spellEnd"/>
      <w:r w:rsidR="007C3A09" w:rsidRPr="00562991">
        <w:rPr>
          <w:rFonts w:ascii="Verdana" w:hAnsi="Verdana" w:cs="Times New Roman"/>
          <w:sz w:val="19"/>
          <w:szCs w:val="19"/>
        </w:rPr>
        <w:t>, who, in presiding over an appeal, questioned the impartiality of the judge who had delivered the original verdict as a result of being elected by the National Council for the Judiciary.</w:t>
      </w:r>
      <w:r w:rsidR="007C3A09" w:rsidRPr="00562991">
        <w:rPr>
          <w:rStyle w:val="FootnoteReference"/>
          <w:rFonts w:ascii="Verdana" w:hAnsi="Verdana" w:cs="Times New Roman"/>
          <w:sz w:val="19"/>
          <w:szCs w:val="19"/>
        </w:rPr>
        <w:footnoteReference w:id="23"/>
      </w:r>
      <w:r w:rsidR="007C3A09" w:rsidRPr="00562991">
        <w:rPr>
          <w:rFonts w:ascii="Verdana" w:hAnsi="Verdana" w:cs="Times New Roman"/>
          <w:sz w:val="19"/>
          <w:szCs w:val="19"/>
        </w:rPr>
        <w:t xml:space="preserve"> </w:t>
      </w:r>
      <w:r w:rsidR="009D1299" w:rsidRPr="00562991">
        <w:rPr>
          <w:rFonts w:ascii="Verdana" w:hAnsi="Verdana" w:cs="Times New Roman"/>
          <w:sz w:val="19"/>
          <w:szCs w:val="19"/>
        </w:rPr>
        <w:t xml:space="preserve">Judge Pawel </w:t>
      </w:r>
      <w:proofErr w:type="spellStart"/>
      <w:r w:rsidR="009D1299" w:rsidRPr="00562991">
        <w:rPr>
          <w:rFonts w:ascii="Verdana" w:hAnsi="Verdana" w:cs="Times New Roman"/>
          <w:sz w:val="19"/>
          <w:szCs w:val="19"/>
        </w:rPr>
        <w:t>Juszczyszyn</w:t>
      </w:r>
      <w:proofErr w:type="spellEnd"/>
      <w:r w:rsidR="009D1299" w:rsidRPr="00562991">
        <w:rPr>
          <w:rFonts w:ascii="Verdana" w:hAnsi="Verdana" w:cs="Times New Roman"/>
          <w:sz w:val="19"/>
          <w:szCs w:val="19"/>
        </w:rPr>
        <w:t xml:space="preserve"> was in </w:t>
      </w:r>
      <w:r w:rsidR="009D1299" w:rsidRPr="00562991">
        <w:rPr>
          <w:rFonts w:ascii="Verdana" w:hAnsi="Verdana" w:cs="Times New Roman"/>
          <w:sz w:val="19"/>
          <w:szCs w:val="19"/>
        </w:rPr>
        <w:lastRenderedPageBreak/>
        <w:t>charge of assessing the legal status of the National Council of the Judiciary for the application of the CJEU judgement of 19 November 2019. His findings met with the immediate reaction of the disciplinary system that accused him of committing an offence of abuse of power by assessing the legality of the election of members of the National Council of the Judiciary.</w:t>
      </w:r>
      <w:r w:rsidR="009D1299" w:rsidRPr="00562991">
        <w:rPr>
          <w:rStyle w:val="FootnoteReference"/>
          <w:rFonts w:ascii="Verdana" w:hAnsi="Verdana" w:cs="Times New Roman"/>
          <w:sz w:val="19"/>
          <w:szCs w:val="19"/>
        </w:rPr>
        <w:footnoteReference w:id="24"/>
      </w:r>
      <w:r w:rsidR="009D1299" w:rsidRPr="00562991">
        <w:rPr>
          <w:rFonts w:ascii="Verdana" w:hAnsi="Verdana" w:cs="Times New Roman"/>
          <w:sz w:val="19"/>
          <w:szCs w:val="19"/>
        </w:rPr>
        <w:t xml:space="preserve"> On 4 February 2020, the Disciplinary Chamber decided to suspend him in official duties with a reduction of the remuneration of 40% for the duration of his suspension.</w:t>
      </w:r>
      <w:r w:rsidR="009D1299" w:rsidRPr="00562991">
        <w:rPr>
          <w:rStyle w:val="FootnoteReference"/>
          <w:rFonts w:ascii="Verdana" w:hAnsi="Verdana" w:cs="Times New Roman"/>
          <w:sz w:val="19"/>
          <w:szCs w:val="19"/>
        </w:rPr>
        <w:footnoteReference w:id="25"/>
      </w:r>
      <w:r w:rsidR="00A5210A" w:rsidRPr="00562991">
        <w:rPr>
          <w:rFonts w:ascii="Verdana" w:hAnsi="Verdana" w:cs="Times New Roman"/>
          <w:sz w:val="19"/>
          <w:szCs w:val="19"/>
        </w:rPr>
        <w:t xml:space="preserve"> </w:t>
      </w:r>
      <w:r w:rsidR="00113DBC" w:rsidRPr="00562991">
        <w:rPr>
          <w:rFonts w:ascii="Verdana" w:hAnsi="Verdana" w:cs="Times New Roman"/>
          <w:sz w:val="19"/>
          <w:szCs w:val="19"/>
        </w:rPr>
        <w:t xml:space="preserve">Moreover, the ICJ has also condemned </w:t>
      </w:r>
      <w:r w:rsidR="00113DBC" w:rsidRPr="00562991">
        <w:rPr>
          <w:rFonts w:ascii="Verdana" w:hAnsi="Verdana" w:cs="Times New Roman"/>
          <w:sz w:val="19"/>
          <w:szCs w:val="19"/>
        </w:rPr>
        <w:lastRenderedPageBreak/>
        <w:t xml:space="preserve">the forced retirement of 27 out of 72 judges of the Supreme Court of Poland, including the President of the Court, </w:t>
      </w:r>
      <w:proofErr w:type="spellStart"/>
      <w:r w:rsidR="00113DBC" w:rsidRPr="00562991">
        <w:rPr>
          <w:rFonts w:ascii="Verdana" w:hAnsi="Verdana" w:cs="Times New Roman"/>
          <w:sz w:val="19"/>
          <w:szCs w:val="19"/>
        </w:rPr>
        <w:t>Malgorzata</w:t>
      </w:r>
      <w:proofErr w:type="spellEnd"/>
      <w:r w:rsidR="00113DBC" w:rsidRPr="00562991">
        <w:rPr>
          <w:rFonts w:ascii="Verdana" w:hAnsi="Verdana" w:cs="Times New Roman"/>
          <w:sz w:val="19"/>
          <w:szCs w:val="19"/>
        </w:rPr>
        <w:t xml:space="preserve"> </w:t>
      </w:r>
      <w:proofErr w:type="spellStart"/>
      <w:r w:rsidR="00113DBC" w:rsidRPr="00562991">
        <w:rPr>
          <w:rFonts w:ascii="Verdana" w:hAnsi="Verdana" w:cs="Times New Roman"/>
          <w:sz w:val="19"/>
          <w:szCs w:val="19"/>
        </w:rPr>
        <w:t>Gersdorf</w:t>
      </w:r>
      <w:proofErr w:type="spellEnd"/>
      <w:r w:rsidR="00113DBC" w:rsidRPr="00562991">
        <w:rPr>
          <w:rFonts w:ascii="Verdana" w:hAnsi="Verdana" w:cs="Times New Roman"/>
          <w:sz w:val="19"/>
          <w:szCs w:val="19"/>
        </w:rPr>
        <w:t xml:space="preserve">, which constituted an arbitrary </w:t>
      </w:r>
      <w:r w:rsidR="009344B7" w:rsidRPr="00562991">
        <w:rPr>
          <w:rFonts w:ascii="Verdana" w:hAnsi="Verdana" w:cs="Times New Roman"/>
          <w:sz w:val="19"/>
          <w:szCs w:val="19"/>
        </w:rPr>
        <w:t xml:space="preserve">and disguised </w:t>
      </w:r>
      <w:r w:rsidR="00113DBC" w:rsidRPr="00562991">
        <w:rPr>
          <w:rFonts w:ascii="Verdana" w:hAnsi="Verdana" w:cs="Times New Roman"/>
          <w:sz w:val="19"/>
          <w:szCs w:val="19"/>
        </w:rPr>
        <w:t>dismissal of judges gravely undermining the independence of the judiciary</w:t>
      </w:r>
      <w:r w:rsidR="00A438CB" w:rsidRPr="00562991">
        <w:rPr>
          <w:rFonts w:ascii="Verdana" w:hAnsi="Verdana" w:cs="Times New Roman"/>
          <w:sz w:val="19"/>
          <w:szCs w:val="19"/>
        </w:rPr>
        <w:t>.</w:t>
      </w:r>
      <w:r w:rsidR="00113DBC" w:rsidRPr="00562991">
        <w:rPr>
          <w:rStyle w:val="FootnoteReference"/>
          <w:rFonts w:ascii="Verdana" w:hAnsi="Verdana" w:cs="Times New Roman"/>
          <w:sz w:val="19"/>
          <w:szCs w:val="19"/>
        </w:rPr>
        <w:footnoteReference w:id="26"/>
      </w:r>
    </w:p>
    <w:p w14:paraId="2DB4046E" w14:textId="63F534DF" w:rsidR="00FA366C" w:rsidRPr="00562991" w:rsidRDefault="00E34B0D" w:rsidP="00A5210A">
      <w:pPr>
        <w:ind w:firstLine="720"/>
        <w:jc w:val="both"/>
        <w:rPr>
          <w:rFonts w:ascii="Verdana" w:hAnsi="Verdana" w:cs="Times New Roman"/>
          <w:sz w:val="19"/>
          <w:szCs w:val="19"/>
        </w:rPr>
      </w:pPr>
      <w:r w:rsidRPr="00562991">
        <w:rPr>
          <w:rFonts w:ascii="Verdana" w:hAnsi="Verdana" w:cs="Times New Roman"/>
          <w:sz w:val="19"/>
          <w:szCs w:val="19"/>
        </w:rPr>
        <w:t>I</w:t>
      </w:r>
      <w:r w:rsidR="00DF7B91" w:rsidRPr="00562991">
        <w:rPr>
          <w:rFonts w:ascii="Verdana" w:hAnsi="Verdana" w:cs="Times New Roman"/>
          <w:sz w:val="19"/>
          <w:szCs w:val="19"/>
        </w:rPr>
        <w:t xml:space="preserve">n recent years, the independence of the judiciary in </w:t>
      </w:r>
      <w:r w:rsidRPr="00562991">
        <w:rPr>
          <w:rFonts w:ascii="Verdana" w:hAnsi="Verdana" w:cs="Times New Roman"/>
          <w:b/>
          <w:bCs/>
          <w:sz w:val="19"/>
          <w:szCs w:val="19"/>
        </w:rPr>
        <w:t>Poland</w:t>
      </w:r>
      <w:r w:rsidR="00DF7B91" w:rsidRPr="00562991">
        <w:rPr>
          <w:rFonts w:ascii="Verdana" w:hAnsi="Verdana" w:cs="Times New Roman"/>
          <w:sz w:val="19"/>
          <w:szCs w:val="19"/>
        </w:rPr>
        <w:t xml:space="preserve"> has been systematically undermined</w:t>
      </w:r>
      <w:r w:rsidR="00E24331" w:rsidRPr="00562991">
        <w:rPr>
          <w:rFonts w:ascii="Verdana" w:hAnsi="Verdana" w:cs="Times New Roman"/>
          <w:sz w:val="19"/>
          <w:szCs w:val="19"/>
        </w:rPr>
        <w:t xml:space="preserve"> including</w:t>
      </w:r>
      <w:r w:rsidR="00DF7B91" w:rsidRPr="00562991">
        <w:rPr>
          <w:rFonts w:ascii="Verdana" w:hAnsi="Verdana" w:cs="Times New Roman"/>
          <w:sz w:val="19"/>
          <w:szCs w:val="19"/>
        </w:rPr>
        <w:t xml:space="preserve"> </w:t>
      </w:r>
      <w:r w:rsidR="00A5210A" w:rsidRPr="00562991">
        <w:rPr>
          <w:rFonts w:ascii="Verdana" w:hAnsi="Verdana" w:cs="Times New Roman"/>
          <w:sz w:val="19"/>
          <w:szCs w:val="19"/>
        </w:rPr>
        <w:t xml:space="preserve">with </w:t>
      </w:r>
      <w:r w:rsidR="00E24331" w:rsidRPr="00562991">
        <w:rPr>
          <w:rFonts w:ascii="Verdana" w:hAnsi="Verdana" w:cs="Times New Roman"/>
          <w:sz w:val="19"/>
          <w:szCs w:val="19"/>
        </w:rPr>
        <w:t>the 2018</w:t>
      </w:r>
      <w:r w:rsidR="00B2227E" w:rsidRPr="00562991">
        <w:rPr>
          <w:rFonts w:ascii="Verdana" w:hAnsi="Verdana" w:cs="Times New Roman"/>
          <w:sz w:val="19"/>
          <w:szCs w:val="19"/>
        </w:rPr>
        <w:t xml:space="preserve"> </w:t>
      </w:r>
      <w:r w:rsidR="003A5540" w:rsidRPr="00562991">
        <w:rPr>
          <w:rFonts w:ascii="Verdana" w:hAnsi="Verdana" w:cs="Times New Roman"/>
          <w:sz w:val="19"/>
          <w:szCs w:val="19"/>
        </w:rPr>
        <w:t>Law on the Supreme Court</w:t>
      </w:r>
      <w:r w:rsidR="00DF7B91" w:rsidRPr="00562991">
        <w:rPr>
          <w:rFonts w:ascii="Verdana" w:hAnsi="Verdana" w:cs="Times New Roman"/>
          <w:sz w:val="19"/>
          <w:szCs w:val="19"/>
        </w:rPr>
        <w:t xml:space="preserve"> that have sought to force the dismissal of </w:t>
      </w:r>
      <w:r w:rsidR="00DF7B91" w:rsidRPr="00562991">
        <w:rPr>
          <w:rFonts w:ascii="Verdana" w:hAnsi="Verdana" w:cs="Times New Roman"/>
          <w:sz w:val="19"/>
          <w:szCs w:val="19"/>
        </w:rPr>
        <w:lastRenderedPageBreak/>
        <w:t>judges by lowering the mandatory retirement age</w:t>
      </w:r>
      <w:r w:rsidRPr="00562991">
        <w:rPr>
          <w:rFonts w:ascii="Verdana" w:hAnsi="Verdana" w:cs="Times New Roman"/>
          <w:sz w:val="19"/>
          <w:szCs w:val="19"/>
        </w:rPr>
        <w:t>.</w:t>
      </w:r>
      <w:r w:rsidR="00DF7B91" w:rsidRPr="00562991">
        <w:rPr>
          <w:rStyle w:val="FootnoteReference"/>
          <w:rFonts w:ascii="Verdana" w:hAnsi="Verdana" w:cs="Times New Roman"/>
          <w:sz w:val="19"/>
          <w:szCs w:val="19"/>
        </w:rPr>
        <w:footnoteReference w:id="27"/>
      </w:r>
      <w:r w:rsidRPr="00562991">
        <w:rPr>
          <w:rFonts w:ascii="Verdana" w:hAnsi="Verdana" w:cs="Times New Roman"/>
          <w:sz w:val="19"/>
          <w:szCs w:val="19"/>
        </w:rPr>
        <w:t xml:space="preserve"> The proceeding of dismissal is also highly politized since members of the Disciplinary Chamber of the Supreme Court are selected by the National Council of the Judiciary, the majority members of which are selected by the Polish Parliament.</w:t>
      </w:r>
      <w:r w:rsidRPr="00562991">
        <w:rPr>
          <w:rStyle w:val="FootnoteReference"/>
          <w:rFonts w:ascii="Verdana" w:hAnsi="Verdana" w:cs="Times New Roman"/>
          <w:sz w:val="19"/>
          <w:szCs w:val="19"/>
        </w:rPr>
        <w:footnoteReference w:id="28"/>
      </w:r>
      <w:r w:rsidRPr="00562991">
        <w:rPr>
          <w:rFonts w:ascii="Verdana" w:hAnsi="Verdana" w:cs="Times New Roman"/>
          <w:sz w:val="19"/>
          <w:szCs w:val="19"/>
        </w:rPr>
        <w:t xml:space="preserve"> In fact, in October 2019, the </w:t>
      </w:r>
      <w:r w:rsidRPr="00562991">
        <w:rPr>
          <w:rFonts w:ascii="Verdana" w:hAnsi="Verdana" w:cs="Times New Roman"/>
          <w:sz w:val="19"/>
          <w:szCs w:val="19"/>
        </w:rPr>
        <w:lastRenderedPageBreak/>
        <w:t>European Commission referred Poland to the CJEU on the grounds that the disciplinary regime for judges undermined their independence</w:t>
      </w:r>
      <w:r w:rsidRPr="00562991">
        <w:rPr>
          <w:rStyle w:val="FootnoteReference"/>
          <w:rFonts w:ascii="Verdana" w:hAnsi="Verdana" w:cs="Times New Roman"/>
          <w:sz w:val="19"/>
          <w:szCs w:val="19"/>
        </w:rPr>
        <w:footnoteReference w:id="29"/>
      </w:r>
      <w:r w:rsidRPr="00562991">
        <w:rPr>
          <w:rFonts w:ascii="Verdana" w:hAnsi="Verdana" w:cs="Times New Roman"/>
          <w:sz w:val="19"/>
          <w:szCs w:val="19"/>
        </w:rPr>
        <w:t>; and the CJEU held that lowering the retirement age of judges of the Supreme Court providing discretionary power to the President to allow a judge to remain in office was contrary to the principle of effective judicial protection.</w:t>
      </w:r>
      <w:r w:rsidRPr="00562991">
        <w:rPr>
          <w:rStyle w:val="FootnoteReference"/>
          <w:rFonts w:ascii="Verdana" w:hAnsi="Verdana" w:cs="Times New Roman"/>
          <w:sz w:val="19"/>
          <w:szCs w:val="19"/>
        </w:rPr>
        <w:footnoteReference w:id="30"/>
      </w:r>
      <w:r w:rsidRPr="00562991">
        <w:rPr>
          <w:rFonts w:ascii="Verdana" w:hAnsi="Verdana" w:cs="Times New Roman"/>
          <w:sz w:val="19"/>
          <w:szCs w:val="19"/>
        </w:rPr>
        <w:t xml:space="preserve"> It also held that low</w:t>
      </w:r>
      <w:r w:rsidRPr="00562991">
        <w:rPr>
          <w:rFonts w:ascii="Verdana" w:hAnsi="Verdana" w:cs="Times New Roman"/>
          <w:sz w:val="19"/>
          <w:szCs w:val="19"/>
        </w:rPr>
        <w:lastRenderedPageBreak/>
        <w:t>ering the pension age of Polish judges giving the power to maintain them in office to the Minister of Judice was a violation of the independence of the judiciary.</w:t>
      </w:r>
      <w:r w:rsidRPr="00562991">
        <w:rPr>
          <w:rStyle w:val="FootnoteReference"/>
          <w:rFonts w:ascii="Verdana" w:hAnsi="Verdana" w:cs="Times New Roman"/>
          <w:sz w:val="19"/>
          <w:szCs w:val="19"/>
        </w:rPr>
        <w:footnoteReference w:id="31"/>
      </w:r>
      <w:r w:rsidRPr="00562991">
        <w:rPr>
          <w:rFonts w:ascii="Verdana" w:hAnsi="Verdana" w:cs="Times New Roman"/>
          <w:sz w:val="19"/>
          <w:szCs w:val="19"/>
        </w:rPr>
        <w:t xml:space="preserve"> Despite t</w:t>
      </w:r>
      <w:r w:rsidR="00DF7B91" w:rsidRPr="00562991">
        <w:rPr>
          <w:rFonts w:ascii="Verdana" w:hAnsi="Verdana" w:cs="Times New Roman"/>
          <w:sz w:val="19"/>
          <w:szCs w:val="19"/>
        </w:rPr>
        <w:t>he ICJ call</w:t>
      </w:r>
      <w:r w:rsidR="00A5210A" w:rsidRPr="00562991">
        <w:rPr>
          <w:rFonts w:ascii="Verdana" w:hAnsi="Verdana" w:cs="Times New Roman"/>
          <w:sz w:val="19"/>
          <w:szCs w:val="19"/>
        </w:rPr>
        <w:t xml:space="preserve"> </w:t>
      </w:r>
      <w:r w:rsidR="00DF7B91" w:rsidRPr="00562991">
        <w:rPr>
          <w:rFonts w:ascii="Verdana" w:hAnsi="Verdana" w:cs="Times New Roman"/>
          <w:sz w:val="19"/>
          <w:szCs w:val="19"/>
        </w:rPr>
        <w:t>on</w:t>
      </w:r>
      <w:r w:rsidR="00EC09BB" w:rsidRPr="00562991">
        <w:rPr>
          <w:rFonts w:ascii="Verdana" w:hAnsi="Verdana" w:cs="Times New Roman"/>
          <w:sz w:val="19"/>
          <w:szCs w:val="19"/>
        </w:rPr>
        <w:t xml:space="preserve"> the</w:t>
      </w:r>
      <w:r w:rsidR="00DF7B91" w:rsidRPr="00562991">
        <w:rPr>
          <w:rFonts w:ascii="Verdana" w:hAnsi="Verdana" w:cs="Times New Roman"/>
          <w:sz w:val="19"/>
          <w:szCs w:val="19"/>
        </w:rPr>
        <w:t xml:space="preserve"> Polish </w:t>
      </w:r>
      <w:r w:rsidR="00EC09BB" w:rsidRPr="00562991">
        <w:rPr>
          <w:rFonts w:ascii="Verdana" w:hAnsi="Verdana" w:cs="Times New Roman"/>
          <w:sz w:val="19"/>
          <w:szCs w:val="19"/>
        </w:rPr>
        <w:t>Parliament</w:t>
      </w:r>
      <w:r w:rsidR="00DF7B91" w:rsidRPr="00562991">
        <w:rPr>
          <w:rFonts w:ascii="Verdana" w:hAnsi="Verdana" w:cs="Times New Roman"/>
          <w:sz w:val="19"/>
          <w:szCs w:val="19"/>
        </w:rPr>
        <w:t xml:space="preserve"> to drop a draft law that would put judges at risk of disciplinary action, since it fores</w:t>
      </w:r>
      <w:r w:rsidR="00396810" w:rsidRPr="00562991">
        <w:rPr>
          <w:rFonts w:ascii="Verdana" w:hAnsi="Verdana" w:cs="Times New Roman"/>
          <w:sz w:val="19"/>
          <w:szCs w:val="19"/>
        </w:rPr>
        <w:t>aw</w:t>
      </w:r>
      <w:r w:rsidR="00DF7B91" w:rsidRPr="00562991">
        <w:rPr>
          <w:rFonts w:ascii="Verdana" w:hAnsi="Verdana" w:cs="Times New Roman"/>
          <w:sz w:val="19"/>
          <w:szCs w:val="19"/>
        </w:rPr>
        <w:t xml:space="preserve"> disciplinary penalties for legitimate criticism of judicial reforms, such as questioning the status </w:t>
      </w:r>
      <w:r w:rsidR="00DF7B91" w:rsidRPr="00562991">
        <w:rPr>
          <w:rFonts w:ascii="Verdana" w:hAnsi="Verdana" w:cs="Times New Roman"/>
          <w:sz w:val="19"/>
          <w:szCs w:val="19"/>
        </w:rPr>
        <w:lastRenderedPageBreak/>
        <w:t>of Polish judges and “political engagement”</w:t>
      </w:r>
      <w:r w:rsidRPr="00562991">
        <w:rPr>
          <w:rStyle w:val="FootnoteReference"/>
          <w:rFonts w:ascii="Verdana" w:hAnsi="Verdana" w:cs="Times New Roman"/>
          <w:sz w:val="19"/>
          <w:szCs w:val="19"/>
        </w:rPr>
        <w:t xml:space="preserve"> </w:t>
      </w:r>
      <w:r w:rsidRPr="00562991">
        <w:rPr>
          <w:rStyle w:val="FootnoteReference"/>
          <w:rFonts w:ascii="Verdana" w:hAnsi="Verdana" w:cs="Times New Roman"/>
          <w:sz w:val="19"/>
          <w:szCs w:val="19"/>
        </w:rPr>
        <w:footnoteReference w:id="32"/>
      </w:r>
      <w:r w:rsidRPr="00562991">
        <w:rPr>
          <w:rFonts w:ascii="Verdana" w:hAnsi="Verdana" w:cs="Times New Roman"/>
          <w:sz w:val="19"/>
          <w:szCs w:val="19"/>
        </w:rPr>
        <w:t>;</w:t>
      </w:r>
      <w:r w:rsidR="00DF7B91" w:rsidRPr="00562991">
        <w:rPr>
          <w:rFonts w:ascii="Verdana" w:hAnsi="Verdana" w:cs="Times New Roman"/>
          <w:sz w:val="19"/>
          <w:szCs w:val="19"/>
        </w:rPr>
        <w:t xml:space="preserve"> on 23 January 2020 the Polish House of Representatives passed the amendments to the laws of the judiciary, effectively implementing the changes.</w:t>
      </w:r>
      <w:r w:rsidRPr="00562991">
        <w:rPr>
          <w:rFonts w:ascii="Verdana" w:hAnsi="Verdana" w:cs="Times New Roman"/>
          <w:sz w:val="19"/>
          <w:szCs w:val="19"/>
        </w:rPr>
        <w:t xml:space="preserve"> </w:t>
      </w:r>
      <w:r w:rsidR="00DF7B91" w:rsidRPr="00562991">
        <w:rPr>
          <w:rFonts w:ascii="Verdana" w:hAnsi="Verdana" w:cs="Times New Roman"/>
          <w:sz w:val="19"/>
          <w:szCs w:val="19"/>
        </w:rPr>
        <w:t xml:space="preserve">The ICJ has firmly criticized </w:t>
      </w:r>
      <w:r w:rsidR="00B2227E" w:rsidRPr="00562991">
        <w:rPr>
          <w:rFonts w:ascii="Verdana" w:hAnsi="Verdana" w:cs="Times New Roman"/>
          <w:sz w:val="19"/>
          <w:szCs w:val="19"/>
        </w:rPr>
        <w:t>the</w:t>
      </w:r>
      <w:r w:rsidR="00DF7B91" w:rsidRPr="00562991">
        <w:rPr>
          <w:rFonts w:ascii="Verdana" w:hAnsi="Verdana" w:cs="Times New Roman"/>
          <w:sz w:val="19"/>
          <w:szCs w:val="19"/>
        </w:rPr>
        <w:t xml:space="preserve"> law</w:t>
      </w:r>
      <w:r w:rsidRPr="00562991">
        <w:rPr>
          <w:rFonts w:ascii="Verdana" w:hAnsi="Verdana" w:cs="Times New Roman"/>
          <w:sz w:val="19"/>
          <w:szCs w:val="19"/>
        </w:rPr>
        <w:t>.</w:t>
      </w:r>
      <w:r w:rsidR="00DF7B91" w:rsidRPr="00562991">
        <w:rPr>
          <w:rStyle w:val="FootnoteReference"/>
          <w:rFonts w:ascii="Verdana" w:hAnsi="Verdana" w:cs="Times New Roman"/>
          <w:sz w:val="19"/>
          <w:szCs w:val="19"/>
        </w:rPr>
        <w:footnoteReference w:id="33"/>
      </w:r>
      <w:r w:rsidR="00DF7B91" w:rsidRPr="00562991">
        <w:rPr>
          <w:rFonts w:ascii="Verdana" w:hAnsi="Verdana" w:cs="Times New Roman"/>
          <w:sz w:val="19"/>
          <w:szCs w:val="19"/>
        </w:rPr>
        <w:t xml:space="preserve"> </w:t>
      </w:r>
      <w:r w:rsidR="00A5210A" w:rsidRPr="00562991">
        <w:rPr>
          <w:rFonts w:ascii="Verdana" w:hAnsi="Verdana" w:cs="Times New Roman"/>
          <w:sz w:val="19"/>
          <w:szCs w:val="19"/>
        </w:rPr>
        <w:t xml:space="preserve"> </w:t>
      </w:r>
    </w:p>
    <w:p w14:paraId="62A9CF5E" w14:textId="052E8707" w:rsidR="001B3909" w:rsidRPr="00562991" w:rsidRDefault="00A5210A" w:rsidP="00A5210A">
      <w:pPr>
        <w:ind w:firstLine="720"/>
        <w:jc w:val="both"/>
        <w:rPr>
          <w:rFonts w:ascii="Verdana" w:hAnsi="Verdana" w:cs="Times New Roman"/>
          <w:sz w:val="19"/>
          <w:szCs w:val="19"/>
        </w:rPr>
      </w:pPr>
      <w:r w:rsidRPr="00562991">
        <w:rPr>
          <w:rFonts w:ascii="Verdana" w:hAnsi="Verdana" w:cs="Times New Roman"/>
          <w:sz w:val="19"/>
          <w:szCs w:val="19"/>
        </w:rPr>
        <w:lastRenderedPageBreak/>
        <w:t xml:space="preserve">In this context, it is worth mentioning that 3 April 2019, the European Commission launched infringement proceedings against Poland for the new disciplinary system; and, subsequently, on 10 October 2019, it launched a complaint against Poland on the same grounds, considering that the Disciplinary Chamber attached to the Supreme Court does not fulfil the requirements of independence and impartiality. </w:t>
      </w:r>
      <w:r w:rsidR="003A5540" w:rsidRPr="00562991">
        <w:rPr>
          <w:rFonts w:ascii="Verdana" w:hAnsi="Verdana" w:cs="Times New Roman"/>
          <w:sz w:val="19"/>
          <w:szCs w:val="19"/>
        </w:rPr>
        <w:t>Recently</w:t>
      </w:r>
      <w:r w:rsidRPr="00562991">
        <w:rPr>
          <w:rFonts w:ascii="Verdana" w:hAnsi="Verdana" w:cs="Times New Roman"/>
          <w:sz w:val="19"/>
          <w:szCs w:val="19"/>
        </w:rPr>
        <w:t xml:space="preserve">, the 8 April 2020, the Court of Justice of the European Union granted the Commission’s application for interim measures against Poland (C-791/19 R), immediately suspending the application of the provisions on the law granting powers to the Disciplinary Chamber of the Supreme </w:t>
      </w:r>
      <w:r w:rsidRPr="00562991">
        <w:rPr>
          <w:rFonts w:ascii="Verdana" w:hAnsi="Verdana" w:cs="Times New Roman"/>
          <w:sz w:val="19"/>
          <w:szCs w:val="19"/>
        </w:rPr>
        <w:lastRenderedPageBreak/>
        <w:t>Court.</w:t>
      </w:r>
      <w:r w:rsidRPr="00562991">
        <w:rPr>
          <w:rStyle w:val="FootnoteReference"/>
          <w:rFonts w:ascii="Verdana" w:hAnsi="Verdana" w:cs="Times New Roman"/>
          <w:sz w:val="19"/>
          <w:szCs w:val="19"/>
        </w:rPr>
        <w:footnoteReference w:id="34"/>
      </w:r>
      <w:r w:rsidRPr="00562991">
        <w:rPr>
          <w:rFonts w:ascii="Verdana" w:hAnsi="Verdana" w:cs="Times New Roman"/>
          <w:sz w:val="19"/>
          <w:szCs w:val="19"/>
        </w:rPr>
        <w:t xml:space="preserve"> The Court’s decision has exposed the lack of independence of the Disciplinary </w:t>
      </w:r>
      <w:proofErr w:type="gramStart"/>
      <w:r w:rsidRPr="00562991">
        <w:rPr>
          <w:rFonts w:ascii="Verdana" w:hAnsi="Verdana" w:cs="Times New Roman"/>
          <w:sz w:val="19"/>
          <w:szCs w:val="19"/>
        </w:rPr>
        <w:t>Chamber, that</w:t>
      </w:r>
      <w:proofErr w:type="gramEnd"/>
      <w:r w:rsidRPr="00562991">
        <w:rPr>
          <w:rFonts w:ascii="Verdana" w:hAnsi="Verdana" w:cs="Times New Roman"/>
          <w:sz w:val="19"/>
          <w:szCs w:val="19"/>
        </w:rPr>
        <w:t xml:space="preserve"> is selected by the new National Council of the Judiciary</w:t>
      </w:r>
      <w:r w:rsidR="003A5540" w:rsidRPr="00562991">
        <w:rPr>
          <w:rFonts w:ascii="Verdana" w:hAnsi="Verdana" w:cs="Times New Roman"/>
          <w:sz w:val="19"/>
          <w:szCs w:val="19"/>
        </w:rPr>
        <w:t>, confirming the criticisms put forward by the same judges that suffered from dismissal on the basis of the same declarations</w:t>
      </w:r>
      <w:r w:rsidRPr="00562991">
        <w:rPr>
          <w:rFonts w:ascii="Verdana" w:hAnsi="Verdana" w:cs="Times New Roman"/>
          <w:sz w:val="19"/>
          <w:szCs w:val="19"/>
        </w:rPr>
        <w:t xml:space="preserve">. However, Poland’s officials have responded suggesting they might not follow the court’s order, to the extent that Sebastian </w:t>
      </w:r>
      <w:proofErr w:type="spellStart"/>
      <w:r w:rsidRPr="00562991">
        <w:rPr>
          <w:rFonts w:ascii="Verdana" w:hAnsi="Verdana" w:cs="Times New Roman"/>
          <w:sz w:val="19"/>
          <w:szCs w:val="19"/>
        </w:rPr>
        <w:t>Kaleta</w:t>
      </w:r>
      <w:proofErr w:type="spellEnd"/>
      <w:r w:rsidRPr="00562991">
        <w:rPr>
          <w:rFonts w:ascii="Verdana" w:hAnsi="Verdana" w:cs="Times New Roman"/>
          <w:sz w:val="19"/>
          <w:szCs w:val="19"/>
        </w:rPr>
        <w:t xml:space="preserve">, a deputy justice minister, has </w:t>
      </w:r>
      <w:r w:rsidRPr="00562991">
        <w:rPr>
          <w:rFonts w:ascii="Verdana" w:hAnsi="Verdana" w:cs="Times New Roman"/>
          <w:sz w:val="19"/>
          <w:szCs w:val="19"/>
        </w:rPr>
        <w:lastRenderedPageBreak/>
        <w:t>stated that “</w:t>
      </w:r>
      <w:r w:rsidRPr="00562991">
        <w:rPr>
          <w:rFonts w:ascii="Verdana" w:hAnsi="Verdana" w:cs="Times New Roman"/>
          <w:i/>
          <w:iCs/>
          <w:sz w:val="19"/>
          <w:szCs w:val="19"/>
        </w:rPr>
        <w:t>no power to evaluate or suspend constitutional organs of any member states</w:t>
      </w:r>
      <w:r w:rsidRPr="00562991">
        <w:rPr>
          <w:rFonts w:ascii="Verdana" w:hAnsi="Verdana" w:cs="Times New Roman"/>
          <w:sz w:val="19"/>
          <w:szCs w:val="19"/>
        </w:rPr>
        <w:t>” was given to the European Court.</w:t>
      </w:r>
      <w:r w:rsidRPr="00562991">
        <w:rPr>
          <w:rStyle w:val="FootnoteReference"/>
          <w:rFonts w:ascii="Verdana" w:hAnsi="Verdana" w:cs="Times New Roman"/>
          <w:sz w:val="19"/>
          <w:szCs w:val="19"/>
        </w:rPr>
        <w:footnoteReference w:id="35"/>
      </w:r>
      <w:r w:rsidRPr="00562991">
        <w:rPr>
          <w:rFonts w:ascii="Verdana" w:hAnsi="Verdana" w:cs="Times New Roman"/>
          <w:sz w:val="19"/>
          <w:szCs w:val="19"/>
        </w:rPr>
        <w:t xml:space="preserve"> </w:t>
      </w:r>
    </w:p>
    <w:p w14:paraId="28730DFE" w14:textId="27DB866C" w:rsidR="00CF4511" w:rsidRPr="00562991" w:rsidRDefault="00CF4511" w:rsidP="00A5210A">
      <w:pPr>
        <w:ind w:firstLine="720"/>
        <w:jc w:val="both"/>
        <w:rPr>
          <w:rFonts w:ascii="Verdana" w:hAnsi="Verdana" w:cs="Times New Roman"/>
          <w:sz w:val="19"/>
          <w:szCs w:val="19"/>
        </w:rPr>
      </w:pPr>
      <w:r w:rsidRPr="00562991">
        <w:rPr>
          <w:rFonts w:ascii="Verdana" w:hAnsi="Verdana" w:cs="Times New Roman"/>
          <w:sz w:val="19"/>
          <w:szCs w:val="19"/>
        </w:rPr>
        <w:t xml:space="preserve">Among additional measures used in </w:t>
      </w:r>
      <w:r w:rsidRPr="00562991">
        <w:rPr>
          <w:rFonts w:ascii="Verdana" w:hAnsi="Verdana" w:cs="Times New Roman"/>
          <w:b/>
          <w:bCs/>
          <w:sz w:val="19"/>
          <w:szCs w:val="19"/>
        </w:rPr>
        <w:t xml:space="preserve">Poland </w:t>
      </w:r>
      <w:r w:rsidRPr="00562991">
        <w:rPr>
          <w:rFonts w:ascii="Verdana" w:hAnsi="Verdana" w:cs="Times New Roman"/>
          <w:sz w:val="19"/>
          <w:szCs w:val="19"/>
        </w:rPr>
        <w:t>to impact the independence of the judiciary different than disciplinary proceedings, the ICJ has identified the proce</w:t>
      </w:r>
      <w:r w:rsidR="00FA366C" w:rsidRPr="00562991">
        <w:rPr>
          <w:rFonts w:ascii="Verdana" w:hAnsi="Verdana" w:cs="Times New Roman"/>
          <w:sz w:val="19"/>
          <w:szCs w:val="19"/>
        </w:rPr>
        <w:t>dures</w:t>
      </w:r>
      <w:r w:rsidRPr="00562991">
        <w:rPr>
          <w:rFonts w:ascii="Verdana" w:hAnsi="Verdana" w:cs="Times New Roman"/>
          <w:sz w:val="19"/>
          <w:szCs w:val="19"/>
        </w:rPr>
        <w:t xml:space="preserve"> for appointment of judges. Indeed, the appointment procedure has been brought under political control </w:t>
      </w:r>
      <w:r w:rsidR="007D6C3C" w:rsidRPr="00562991">
        <w:rPr>
          <w:rFonts w:ascii="Verdana" w:hAnsi="Verdana" w:cs="Times New Roman"/>
          <w:sz w:val="19"/>
          <w:szCs w:val="19"/>
        </w:rPr>
        <w:t>through the</w:t>
      </w:r>
      <w:r w:rsidRPr="00562991">
        <w:rPr>
          <w:rFonts w:ascii="Verdana" w:hAnsi="Verdana" w:cs="Times New Roman"/>
          <w:sz w:val="19"/>
          <w:szCs w:val="19"/>
        </w:rPr>
        <w:t xml:space="preserve"> re-structing the National Council of the Judiciary (NCJ), with a majority of its members selected by </w:t>
      </w:r>
      <w:r w:rsidRPr="00562991">
        <w:rPr>
          <w:rFonts w:ascii="Verdana" w:hAnsi="Verdana" w:cs="Times New Roman"/>
          <w:sz w:val="19"/>
          <w:szCs w:val="19"/>
        </w:rPr>
        <w:lastRenderedPageBreak/>
        <w:t>the Polish Parliament.</w:t>
      </w:r>
      <w:r w:rsidRPr="00562991">
        <w:rPr>
          <w:rStyle w:val="FootnoteReference"/>
          <w:rFonts w:ascii="Verdana" w:hAnsi="Verdana" w:cs="Times New Roman"/>
          <w:sz w:val="19"/>
          <w:szCs w:val="19"/>
        </w:rPr>
        <w:footnoteReference w:id="36"/>
      </w:r>
      <w:r w:rsidRPr="00562991">
        <w:rPr>
          <w:rFonts w:ascii="Verdana" w:hAnsi="Verdana" w:cs="Times New Roman"/>
          <w:sz w:val="19"/>
          <w:szCs w:val="19"/>
        </w:rPr>
        <w:t xml:space="preserve"> Assigning concrete cases to specific judges might be also an avenue for ensuring a certain ruling in the matter. </w:t>
      </w:r>
    </w:p>
    <w:p w14:paraId="2E024274" w14:textId="64FED668" w:rsidR="00E34B0D" w:rsidRPr="00562991" w:rsidRDefault="000715A7" w:rsidP="00CF4511">
      <w:pPr>
        <w:ind w:firstLine="720"/>
        <w:jc w:val="both"/>
        <w:rPr>
          <w:rFonts w:ascii="Verdana" w:hAnsi="Verdana" w:cs="Times New Roman"/>
          <w:sz w:val="19"/>
          <w:szCs w:val="19"/>
        </w:rPr>
      </w:pPr>
      <w:r w:rsidRPr="00562991">
        <w:rPr>
          <w:rFonts w:ascii="Verdana" w:hAnsi="Verdana" w:cs="Times New Roman"/>
          <w:sz w:val="19"/>
          <w:szCs w:val="19"/>
        </w:rPr>
        <w:t xml:space="preserve">Furthermore, concerning </w:t>
      </w:r>
      <w:r w:rsidRPr="00562991">
        <w:rPr>
          <w:rFonts w:ascii="Verdana" w:hAnsi="Verdana" w:cs="Times New Roman"/>
          <w:b/>
          <w:bCs/>
          <w:sz w:val="19"/>
          <w:szCs w:val="19"/>
        </w:rPr>
        <w:t>Serbia,</w:t>
      </w:r>
      <w:r w:rsidR="00E34B0D" w:rsidRPr="00562991">
        <w:rPr>
          <w:rFonts w:ascii="Verdana" w:hAnsi="Verdana" w:cs="Times New Roman"/>
          <w:sz w:val="19"/>
          <w:szCs w:val="19"/>
        </w:rPr>
        <w:t xml:space="preserve"> </w:t>
      </w:r>
      <w:r w:rsidR="00EA101D" w:rsidRPr="00562991">
        <w:rPr>
          <w:rFonts w:ascii="Verdana" w:hAnsi="Verdana" w:cs="Times New Roman"/>
          <w:sz w:val="19"/>
          <w:szCs w:val="19"/>
        </w:rPr>
        <w:t xml:space="preserve">the ICJ manifests as well its </w:t>
      </w:r>
      <w:r w:rsidR="007D6C3C" w:rsidRPr="00562991">
        <w:rPr>
          <w:rFonts w:ascii="Verdana" w:hAnsi="Verdana" w:cs="Times New Roman"/>
          <w:sz w:val="19"/>
          <w:szCs w:val="19"/>
        </w:rPr>
        <w:t>concern</w:t>
      </w:r>
      <w:r w:rsidR="00EA101D" w:rsidRPr="00562991">
        <w:rPr>
          <w:rFonts w:ascii="Verdana" w:hAnsi="Verdana" w:cs="Times New Roman"/>
          <w:sz w:val="19"/>
          <w:szCs w:val="19"/>
        </w:rPr>
        <w:t xml:space="preserve"> regarding disciplinary procedures, for which offences are not </w:t>
      </w:r>
      <w:r w:rsidR="001B3909" w:rsidRPr="00562991">
        <w:rPr>
          <w:rFonts w:ascii="Verdana" w:hAnsi="Verdana" w:cs="Times New Roman"/>
          <w:sz w:val="19"/>
          <w:szCs w:val="19"/>
        </w:rPr>
        <w:t xml:space="preserve">sufficiently </w:t>
      </w:r>
      <w:r w:rsidR="00EA101D" w:rsidRPr="00562991">
        <w:rPr>
          <w:rFonts w:ascii="Verdana" w:hAnsi="Verdana" w:cs="Times New Roman"/>
          <w:sz w:val="19"/>
          <w:szCs w:val="19"/>
        </w:rPr>
        <w:t>defined and transparency is not fully ensured</w:t>
      </w:r>
      <w:r w:rsidR="00007445" w:rsidRPr="00562991">
        <w:rPr>
          <w:rFonts w:ascii="Verdana" w:hAnsi="Verdana" w:cs="Times New Roman"/>
          <w:sz w:val="19"/>
          <w:szCs w:val="19"/>
        </w:rPr>
        <w:t>.</w:t>
      </w:r>
      <w:r w:rsidR="00007445" w:rsidRPr="00562991">
        <w:rPr>
          <w:rStyle w:val="FootnoteReference"/>
          <w:rFonts w:ascii="Verdana" w:hAnsi="Verdana" w:cs="Times New Roman"/>
          <w:sz w:val="19"/>
          <w:szCs w:val="19"/>
        </w:rPr>
        <w:footnoteReference w:id="37"/>
      </w:r>
      <w:r w:rsidR="00EA101D" w:rsidRPr="00562991">
        <w:rPr>
          <w:rFonts w:ascii="Verdana" w:hAnsi="Verdana" w:cs="Times New Roman"/>
          <w:sz w:val="19"/>
          <w:szCs w:val="19"/>
        </w:rPr>
        <w:t xml:space="preserve">  </w:t>
      </w:r>
      <w:r w:rsidR="00007445" w:rsidRPr="00562991">
        <w:rPr>
          <w:rFonts w:ascii="Verdana" w:hAnsi="Verdana" w:cs="Times New Roman"/>
          <w:sz w:val="19"/>
          <w:szCs w:val="19"/>
        </w:rPr>
        <w:lastRenderedPageBreak/>
        <w:t xml:space="preserve">The ICJ is concerned by the existence of </w:t>
      </w:r>
      <w:r w:rsidR="00BC04DA" w:rsidRPr="00562991">
        <w:rPr>
          <w:rFonts w:ascii="Verdana" w:hAnsi="Verdana" w:cs="Times New Roman"/>
          <w:sz w:val="19"/>
          <w:szCs w:val="19"/>
        </w:rPr>
        <w:t xml:space="preserve">disciplinary charges against judges that have been speaking freely about the challenges faced by the judiciary, particularly in the public debate about the amendments proposed to the Constitution in September </w:t>
      </w:r>
      <w:proofErr w:type="gramStart"/>
      <w:r w:rsidR="00BC04DA" w:rsidRPr="00562991">
        <w:rPr>
          <w:rFonts w:ascii="Verdana" w:hAnsi="Verdana" w:cs="Times New Roman"/>
          <w:sz w:val="19"/>
          <w:szCs w:val="19"/>
        </w:rPr>
        <w:t>2019, that</w:t>
      </w:r>
      <w:proofErr w:type="gramEnd"/>
      <w:r w:rsidR="00BC04DA" w:rsidRPr="00562991">
        <w:rPr>
          <w:rFonts w:ascii="Verdana" w:hAnsi="Verdana" w:cs="Times New Roman"/>
          <w:sz w:val="19"/>
          <w:szCs w:val="19"/>
        </w:rPr>
        <w:t xml:space="preserve"> included new grounds for dismissal of judges.</w:t>
      </w:r>
      <w:r w:rsidR="00BC04DA" w:rsidRPr="00562991">
        <w:rPr>
          <w:rStyle w:val="FootnoteReference"/>
          <w:rFonts w:ascii="Verdana" w:hAnsi="Verdana" w:cs="Times New Roman"/>
          <w:sz w:val="19"/>
          <w:szCs w:val="19"/>
        </w:rPr>
        <w:footnoteReference w:id="38"/>
      </w:r>
      <w:r w:rsidR="00BC04DA" w:rsidRPr="00562991">
        <w:rPr>
          <w:rFonts w:ascii="Verdana" w:hAnsi="Verdana" w:cs="Times New Roman"/>
          <w:sz w:val="19"/>
          <w:szCs w:val="19"/>
        </w:rPr>
        <w:t xml:space="preserve"> Among the grounds, “</w:t>
      </w:r>
      <w:r w:rsidR="00BC04DA" w:rsidRPr="00562991">
        <w:rPr>
          <w:rFonts w:ascii="Verdana" w:hAnsi="Verdana" w:cs="Times New Roman"/>
          <w:i/>
          <w:iCs/>
          <w:sz w:val="19"/>
          <w:szCs w:val="19"/>
        </w:rPr>
        <w:t>if a judge performed the judicial functions incompetently</w:t>
      </w:r>
      <w:r w:rsidR="00BC04DA" w:rsidRPr="00562991">
        <w:rPr>
          <w:rFonts w:ascii="Verdana" w:hAnsi="Verdana" w:cs="Times New Roman"/>
          <w:sz w:val="19"/>
          <w:szCs w:val="19"/>
        </w:rPr>
        <w:t>” was incorporated</w:t>
      </w:r>
      <w:r w:rsidR="00EA101D" w:rsidRPr="00562991">
        <w:rPr>
          <w:rFonts w:ascii="Verdana" w:hAnsi="Verdana" w:cs="Times New Roman"/>
          <w:sz w:val="19"/>
          <w:szCs w:val="19"/>
        </w:rPr>
        <w:t xml:space="preserve">, which amounts to an extremely </w:t>
      </w:r>
      <w:r w:rsidR="00EA101D" w:rsidRPr="00562991">
        <w:rPr>
          <w:rFonts w:ascii="Verdana" w:hAnsi="Verdana" w:cs="Times New Roman"/>
          <w:sz w:val="19"/>
          <w:szCs w:val="19"/>
        </w:rPr>
        <w:lastRenderedPageBreak/>
        <w:t>vague provision.</w:t>
      </w:r>
      <w:r w:rsidR="00EA101D" w:rsidRPr="00562991">
        <w:rPr>
          <w:rStyle w:val="FootnoteReference"/>
          <w:rFonts w:ascii="Verdana" w:hAnsi="Verdana" w:cs="Times New Roman"/>
          <w:sz w:val="19"/>
          <w:szCs w:val="19"/>
        </w:rPr>
        <w:footnoteReference w:id="39"/>
      </w:r>
      <w:r w:rsidR="00EA101D" w:rsidRPr="00562991">
        <w:rPr>
          <w:rFonts w:ascii="Verdana" w:hAnsi="Verdana" w:cs="Times New Roman"/>
          <w:sz w:val="19"/>
          <w:szCs w:val="19"/>
        </w:rPr>
        <w:t xml:space="preserve"> However, following the Opinion issued by the Venice Commission on this matter</w:t>
      </w:r>
      <w:r w:rsidR="00EA101D" w:rsidRPr="00562991">
        <w:rPr>
          <w:rStyle w:val="FootnoteReference"/>
          <w:rFonts w:ascii="Verdana" w:hAnsi="Verdana" w:cs="Times New Roman"/>
          <w:sz w:val="19"/>
          <w:szCs w:val="19"/>
        </w:rPr>
        <w:footnoteReference w:id="40"/>
      </w:r>
      <w:r w:rsidR="00EA101D" w:rsidRPr="00562991">
        <w:rPr>
          <w:rFonts w:ascii="Verdana" w:hAnsi="Verdana" w:cs="Times New Roman"/>
          <w:sz w:val="19"/>
          <w:szCs w:val="19"/>
        </w:rPr>
        <w:t xml:space="preserve">, the Serbian authorities introduced a number of positive changes clarifying </w:t>
      </w:r>
      <w:r w:rsidR="00EB39C8" w:rsidRPr="00562991">
        <w:rPr>
          <w:rFonts w:ascii="Verdana" w:hAnsi="Verdana" w:cs="Times New Roman"/>
          <w:sz w:val="19"/>
          <w:szCs w:val="19"/>
        </w:rPr>
        <w:t>the</w:t>
      </w:r>
      <w:r w:rsidR="00EA101D" w:rsidRPr="00562991">
        <w:rPr>
          <w:rFonts w:ascii="Verdana" w:hAnsi="Verdana" w:cs="Times New Roman"/>
          <w:sz w:val="19"/>
          <w:szCs w:val="19"/>
        </w:rPr>
        <w:t xml:space="preserve"> meaning</w:t>
      </w:r>
      <w:r w:rsidR="00EB39C8" w:rsidRPr="00562991">
        <w:rPr>
          <w:rFonts w:ascii="Verdana" w:hAnsi="Verdana" w:cs="Times New Roman"/>
          <w:sz w:val="19"/>
          <w:szCs w:val="19"/>
        </w:rPr>
        <w:t xml:space="preserve"> of this provision</w:t>
      </w:r>
      <w:r w:rsidR="007D6C3C" w:rsidRPr="00562991">
        <w:rPr>
          <w:rFonts w:ascii="Verdana" w:hAnsi="Verdana" w:cs="Times New Roman"/>
          <w:sz w:val="19"/>
          <w:szCs w:val="19"/>
        </w:rPr>
        <w:t>. The amendments</w:t>
      </w:r>
      <w:r w:rsidR="00EA101D" w:rsidRPr="00562991">
        <w:rPr>
          <w:rFonts w:ascii="Verdana" w:hAnsi="Verdana" w:cs="Times New Roman"/>
          <w:sz w:val="19"/>
          <w:szCs w:val="19"/>
        </w:rPr>
        <w:t xml:space="preserve"> have not yet been adopted</w:t>
      </w:r>
      <w:r w:rsidR="00EB39C8" w:rsidRPr="00562991">
        <w:rPr>
          <w:rFonts w:ascii="Verdana" w:hAnsi="Verdana" w:cs="Times New Roman"/>
          <w:sz w:val="19"/>
          <w:szCs w:val="19"/>
        </w:rPr>
        <w:t xml:space="preserve"> </w:t>
      </w:r>
      <w:r w:rsidR="007D6C3C" w:rsidRPr="00562991">
        <w:rPr>
          <w:rFonts w:ascii="Verdana" w:hAnsi="Verdana" w:cs="Times New Roman"/>
          <w:sz w:val="19"/>
          <w:szCs w:val="19"/>
        </w:rPr>
        <w:t xml:space="preserve">as they are </w:t>
      </w:r>
      <w:r w:rsidR="00EB39C8" w:rsidRPr="00562991">
        <w:rPr>
          <w:rFonts w:ascii="Verdana" w:hAnsi="Verdana" w:cs="Times New Roman"/>
          <w:sz w:val="19"/>
          <w:szCs w:val="19"/>
        </w:rPr>
        <w:t xml:space="preserve">awaiting for a </w:t>
      </w:r>
      <w:r w:rsidR="007D6C3C" w:rsidRPr="00562991">
        <w:rPr>
          <w:rFonts w:ascii="Verdana" w:hAnsi="Verdana" w:cs="Times New Roman"/>
          <w:sz w:val="19"/>
          <w:szCs w:val="19"/>
        </w:rPr>
        <w:t xml:space="preserve">confirmatory </w:t>
      </w:r>
      <w:r w:rsidR="00EB39C8" w:rsidRPr="00562991">
        <w:rPr>
          <w:rFonts w:ascii="Verdana" w:hAnsi="Verdana" w:cs="Times New Roman"/>
          <w:sz w:val="19"/>
          <w:szCs w:val="19"/>
        </w:rPr>
        <w:t xml:space="preserve">referendum to be held in </w:t>
      </w:r>
      <w:r w:rsidR="00EB39C8" w:rsidRPr="00562991">
        <w:rPr>
          <w:rFonts w:ascii="Verdana" w:hAnsi="Verdana" w:cs="Times New Roman"/>
          <w:sz w:val="19"/>
          <w:szCs w:val="19"/>
        </w:rPr>
        <w:lastRenderedPageBreak/>
        <w:t>2020</w:t>
      </w:r>
      <w:r w:rsidR="00EA101D" w:rsidRPr="00562991">
        <w:rPr>
          <w:rFonts w:ascii="Verdana" w:hAnsi="Verdana" w:cs="Times New Roman"/>
          <w:sz w:val="19"/>
          <w:szCs w:val="19"/>
        </w:rPr>
        <w:t>.</w:t>
      </w:r>
      <w:r w:rsidR="00EA101D" w:rsidRPr="00562991">
        <w:rPr>
          <w:rStyle w:val="FootnoteReference"/>
          <w:rFonts w:ascii="Verdana" w:hAnsi="Verdana" w:cs="Times New Roman"/>
          <w:sz w:val="19"/>
          <w:szCs w:val="19"/>
        </w:rPr>
        <w:footnoteReference w:id="41"/>
      </w:r>
      <w:r w:rsidR="00BC04DA" w:rsidRPr="00562991">
        <w:rPr>
          <w:rFonts w:ascii="Verdana" w:hAnsi="Verdana" w:cs="Times New Roman"/>
          <w:sz w:val="19"/>
          <w:szCs w:val="19"/>
        </w:rPr>
        <w:t xml:space="preserve"> </w:t>
      </w:r>
      <w:r w:rsidR="007D6C3C" w:rsidRPr="00562991">
        <w:rPr>
          <w:rFonts w:ascii="Verdana" w:hAnsi="Verdana" w:cs="Times New Roman"/>
          <w:sz w:val="19"/>
          <w:szCs w:val="19"/>
        </w:rPr>
        <w:t>T</w:t>
      </w:r>
      <w:r w:rsidR="00EB39C8" w:rsidRPr="00562991">
        <w:rPr>
          <w:rFonts w:ascii="Verdana" w:hAnsi="Verdana" w:cs="Times New Roman"/>
          <w:sz w:val="19"/>
          <w:szCs w:val="19"/>
        </w:rPr>
        <w:t>he European Commission has recently called Serbia to strengthen the independence of the judiciary and the autonomy of the prosecution, including through amendments to constitutional and legislative provisions related to disciplinary proceedings of judges, a recommendation that it had also done in 2018.</w:t>
      </w:r>
      <w:r w:rsidR="00EB39C8" w:rsidRPr="00562991">
        <w:rPr>
          <w:rStyle w:val="FootnoteReference"/>
          <w:rFonts w:ascii="Verdana" w:hAnsi="Verdana" w:cs="Times New Roman"/>
          <w:sz w:val="19"/>
          <w:szCs w:val="19"/>
        </w:rPr>
        <w:footnoteReference w:id="42"/>
      </w:r>
      <w:r w:rsidR="00EB39C8" w:rsidRPr="00562991">
        <w:rPr>
          <w:rFonts w:ascii="Verdana" w:hAnsi="Verdana" w:cs="Times New Roman"/>
          <w:sz w:val="19"/>
          <w:szCs w:val="19"/>
        </w:rPr>
        <w:t xml:space="preserve"> </w:t>
      </w:r>
      <w:r w:rsidR="00E34B0D" w:rsidRPr="00562991">
        <w:rPr>
          <w:rFonts w:ascii="Verdana" w:hAnsi="Verdana" w:cs="Times New Roman"/>
          <w:sz w:val="19"/>
          <w:szCs w:val="19"/>
        </w:rPr>
        <w:t xml:space="preserve"> </w:t>
      </w:r>
      <w:r w:rsidR="001B3909" w:rsidRPr="00562991">
        <w:rPr>
          <w:rFonts w:ascii="Verdana" w:hAnsi="Verdana" w:cs="Times New Roman"/>
          <w:sz w:val="19"/>
          <w:szCs w:val="19"/>
        </w:rPr>
        <w:t>R</w:t>
      </w:r>
      <w:r w:rsidR="00E34B0D" w:rsidRPr="00562991">
        <w:rPr>
          <w:rFonts w:ascii="Verdana" w:hAnsi="Verdana" w:cs="Times New Roman"/>
          <w:sz w:val="19"/>
          <w:szCs w:val="19"/>
        </w:rPr>
        <w:t>e</w:t>
      </w:r>
      <w:r w:rsidR="00E34B0D" w:rsidRPr="00562991">
        <w:rPr>
          <w:rFonts w:ascii="Verdana" w:hAnsi="Verdana" w:cs="Times New Roman"/>
          <w:sz w:val="19"/>
          <w:szCs w:val="19"/>
        </w:rPr>
        <w:lastRenderedPageBreak/>
        <w:t>garding the legal basis,</w:t>
      </w:r>
      <w:r w:rsidR="00B2227E" w:rsidRPr="00562991">
        <w:rPr>
          <w:rFonts w:ascii="Verdana" w:hAnsi="Verdana" w:cs="Times New Roman"/>
          <w:sz w:val="19"/>
          <w:szCs w:val="19"/>
        </w:rPr>
        <w:t xml:space="preserve"> during its 2015 mission,</w:t>
      </w:r>
      <w:r w:rsidR="006071CD">
        <w:rPr>
          <w:rFonts w:ascii="Verdana" w:hAnsi="Verdana" w:cs="Times New Roman"/>
          <w:sz w:val="19"/>
          <w:szCs w:val="19"/>
        </w:rPr>
        <w:t xml:space="preserve"> </w:t>
      </w:r>
      <w:r w:rsidR="00E34B0D" w:rsidRPr="00562991">
        <w:rPr>
          <w:rFonts w:ascii="Verdana" w:hAnsi="Verdana" w:cs="Times New Roman"/>
          <w:sz w:val="19"/>
          <w:szCs w:val="19"/>
        </w:rPr>
        <w:t xml:space="preserve">the ICJ </w:t>
      </w:r>
      <w:r w:rsidR="00B2227E" w:rsidRPr="00562991">
        <w:rPr>
          <w:rFonts w:ascii="Verdana" w:hAnsi="Verdana" w:cs="Times New Roman"/>
          <w:sz w:val="19"/>
          <w:szCs w:val="19"/>
        </w:rPr>
        <w:t>was</w:t>
      </w:r>
      <w:r w:rsidR="001B3909" w:rsidRPr="00562991">
        <w:rPr>
          <w:rFonts w:ascii="Verdana" w:hAnsi="Verdana" w:cs="Times New Roman"/>
          <w:sz w:val="19"/>
          <w:szCs w:val="19"/>
        </w:rPr>
        <w:t xml:space="preserve"> further </w:t>
      </w:r>
      <w:r w:rsidR="00E34B0D" w:rsidRPr="00562991">
        <w:rPr>
          <w:rFonts w:ascii="Verdana" w:hAnsi="Verdana" w:cs="Times New Roman"/>
          <w:sz w:val="19"/>
          <w:szCs w:val="19"/>
        </w:rPr>
        <w:t xml:space="preserve">concerned at the importance given to unsatisfactory marks in evaluations as a ground for dismissal of judges, specially taking into consideration that the system of evaluations is mainly based </w:t>
      </w:r>
      <w:r w:rsidR="00E34B0D" w:rsidRPr="00562991">
        <w:rPr>
          <w:rFonts w:ascii="Verdana" w:hAnsi="Verdana" w:cs="Times New Roman"/>
          <w:sz w:val="19"/>
          <w:szCs w:val="19"/>
        </w:rPr>
        <w:lastRenderedPageBreak/>
        <w:t>on quantitative data.</w:t>
      </w:r>
      <w:r w:rsidR="00E34B0D" w:rsidRPr="00562991">
        <w:rPr>
          <w:rStyle w:val="FootnoteReference"/>
          <w:rFonts w:ascii="Verdana" w:hAnsi="Verdana" w:cs="Times New Roman"/>
          <w:sz w:val="19"/>
          <w:szCs w:val="19"/>
        </w:rPr>
        <w:footnoteReference w:id="43"/>
      </w:r>
      <w:r w:rsidR="00E34B0D" w:rsidRPr="00562991">
        <w:rPr>
          <w:rFonts w:ascii="Verdana" w:hAnsi="Verdana" w:cs="Times New Roman"/>
          <w:sz w:val="19"/>
          <w:szCs w:val="19"/>
        </w:rPr>
        <w:t xml:space="preserve"> Concerning procedural guarantees, although the ICJ mission was informed that affected persons could file criminal complaints under a criminal offence of judicial abuse of power in cases of dismissal, it was repeatedly told that almost all the complaints are dismissed by the public prosecutor who is supposed to investigate them. In fact, it was reported as the criminal offence with the highest dismissal rate.</w:t>
      </w:r>
      <w:r w:rsidR="00E34B0D" w:rsidRPr="00562991">
        <w:rPr>
          <w:rStyle w:val="FootnoteReference"/>
          <w:rFonts w:ascii="Verdana" w:hAnsi="Verdana" w:cs="Times New Roman"/>
          <w:sz w:val="19"/>
          <w:szCs w:val="19"/>
        </w:rPr>
        <w:footnoteReference w:id="44"/>
      </w:r>
      <w:r w:rsidR="00E34B0D" w:rsidRPr="00562991">
        <w:rPr>
          <w:rFonts w:ascii="Verdana" w:hAnsi="Verdana" w:cs="Times New Roman"/>
          <w:sz w:val="19"/>
          <w:szCs w:val="19"/>
        </w:rPr>
        <w:t xml:space="preserve"> </w:t>
      </w:r>
      <w:r w:rsidR="00D3343B" w:rsidRPr="00562991">
        <w:rPr>
          <w:rFonts w:ascii="Verdana" w:hAnsi="Verdana" w:cs="Times New Roman"/>
          <w:sz w:val="19"/>
          <w:szCs w:val="19"/>
        </w:rPr>
        <w:t xml:space="preserve">In addition, the ICJ has expressed concern from a systematic point of view, that the </w:t>
      </w:r>
      <w:r w:rsidR="00D3343B" w:rsidRPr="00562991">
        <w:rPr>
          <w:rFonts w:ascii="Verdana" w:hAnsi="Verdana" w:cs="Times New Roman"/>
          <w:sz w:val="19"/>
          <w:szCs w:val="19"/>
        </w:rPr>
        <w:lastRenderedPageBreak/>
        <w:t>High Judicial Council did not have an established and codified procedure for protection of judges from attacks to their independence.</w:t>
      </w:r>
      <w:r w:rsidR="00D3343B" w:rsidRPr="00562991">
        <w:rPr>
          <w:rStyle w:val="FootnoteReference"/>
          <w:rFonts w:ascii="Verdana" w:hAnsi="Verdana" w:cs="Times New Roman"/>
          <w:sz w:val="19"/>
          <w:szCs w:val="19"/>
        </w:rPr>
        <w:footnoteReference w:id="45"/>
      </w:r>
      <w:r w:rsidR="00D3343B" w:rsidRPr="00562991">
        <w:rPr>
          <w:rFonts w:ascii="Verdana" w:hAnsi="Verdana" w:cs="Times New Roman"/>
          <w:sz w:val="19"/>
          <w:szCs w:val="19"/>
        </w:rPr>
        <w:t xml:space="preserve"> </w:t>
      </w:r>
      <w:r w:rsidR="00CF4511" w:rsidRPr="00562991">
        <w:rPr>
          <w:rFonts w:ascii="Verdana" w:hAnsi="Verdana" w:cs="Times New Roman"/>
          <w:sz w:val="19"/>
          <w:szCs w:val="19"/>
        </w:rPr>
        <w:t xml:space="preserve">In the ICJ’s visit to Serbia in 2015, the mission identified shortcomings in the High Judicial Council and the State Prosecutorial Council, bodies in charge of the self-governance of the judiciary and the prosecution service, including lack of effective procedures of evaluation of the work of judges, misuse of such procedures to impose conformity in decisions, a strong hierarchical system in practice in the judiciary undermining internal independence and appointment, selection and dismissal procedures open </w:t>
      </w:r>
      <w:r w:rsidR="00CF4511" w:rsidRPr="00562991">
        <w:rPr>
          <w:rFonts w:ascii="Verdana" w:hAnsi="Verdana" w:cs="Times New Roman"/>
          <w:sz w:val="19"/>
          <w:szCs w:val="19"/>
        </w:rPr>
        <w:lastRenderedPageBreak/>
        <w:t>to direct and indirect political influence.</w:t>
      </w:r>
      <w:r w:rsidR="00CF4511" w:rsidRPr="00562991">
        <w:rPr>
          <w:rStyle w:val="FootnoteReference"/>
          <w:rFonts w:ascii="Verdana" w:hAnsi="Verdana" w:cs="Times New Roman"/>
          <w:sz w:val="19"/>
          <w:szCs w:val="19"/>
        </w:rPr>
        <w:footnoteReference w:id="46"/>
      </w:r>
      <w:r w:rsidR="00CF4511" w:rsidRPr="00562991">
        <w:rPr>
          <w:rFonts w:ascii="Verdana" w:hAnsi="Verdana" w:cs="Times New Roman"/>
          <w:sz w:val="19"/>
          <w:szCs w:val="19"/>
        </w:rPr>
        <w:t xml:space="preserve"> </w:t>
      </w:r>
      <w:r w:rsidR="00E34B0D" w:rsidRPr="00562991">
        <w:rPr>
          <w:rFonts w:ascii="Verdana" w:hAnsi="Verdana" w:cs="Times New Roman"/>
          <w:sz w:val="19"/>
          <w:szCs w:val="19"/>
        </w:rPr>
        <w:t>Furthermore, the ICJ has expressed concerns as to the involvement of the National Assembly in the appointment and dismissal of judges.</w:t>
      </w:r>
      <w:r w:rsidR="00E34B0D" w:rsidRPr="00562991">
        <w:rPr>
          <w:rStyle w:val="FootnoteReference"/>
          <w:rFonts w:ascii="Verdana" w:hAnsi="Verdana" w:cs="Times New Roman"/>
          <w:sz w:val="19"/>
          <w:szCs w:val="19"/>
        </w:rPr>
        <w:footnoteReference w:id="47"/>
      </w:r>
    </w:p>
    <w:p w14:paraId="50BECE12" w14:textId="77777777" w:rsidR="007D6C3C" w:rsidRPr="00562991" w:rsidRDefault="00A438CB" w:rsidP="001B3909">
      <w:pPr>
        <w:ind w:firstLine="720"/>
        <w:jc w:val="both"/>
        <w:rPr>
          <w:rFonts w:ascii="Verdana" w:hAnsi="Verdana" w:cs="Times New Roman"/>
          <w:sz w:val="19"/>
          <w:szCs w:val="19"/>
        </w:rPr>
      </w:pPr>
      <w:r w:rsidRPr="00562991">
        <w:rPr>
          <w:rFonts w:ascii="Verdana" w:hAnsi="Verdana" w:cs="Times New Roman"/>
          <w:sz w:val="19"/>
          <w:szCs w:val="19"/>
        </w:rPr>
        <w:t xml:space="preserve">The </w:t>
      </w:r>
      <w:r w:rsidR="00933EEA" w:rsidRPr="00562991">
        <w:rPr>
          <w:rFonts w:ascii="Verdana" w:hAnsi="Verdana" w:cs="Times New Roman"/>
          <w:sz w:val="19"/>
          <w:szCs w:val="19"/>
        </w:rPr>
        <w:t xml:space="preserve">ICJ has </w:t>
      </w:r>
      <w:r w:rsidRPr="00562991">
        <w:rPr>
          <w:rFonts w:ascii="Verdana" w:hAnsi="Verdana" w:cs="Times New Roman"/>
          <w:sz w:val="19"/>
          <w:szCs w:val="19"/>
        </w:rPr>
        <w:t xml:space="preserve">also </w:t>
      </w:r>
      <w:r w:rsidR="00933EEA" w:rsidRPr="00562991">
        <w:rPr>
          <w:rFonts w:ascii="Verdana" w:hAnsi="Verdana" w:cs="Times New Roman"/>
          <w:sz w:val="19"/>
          <w:szCs w:val="19"/>
        </w:rPr>
        <w:t>expressed concerns</w:t>
      </w:r>
      <w:r w:rsidRPr="00562991">
        <w:rPr>
          <w:rFonts w:ascii="Verdana" w:hAnsi="Verdana" w:cs="Times New Roman"/>
          <w:sz w:val="19"/>
          <w:szCs w:val="19"/>
        </w:rPr>
        <w:t xml:space="preserve"> about the situation</w:t>
      </w:r>
      <w:r w:rsidR="007420A5" w:rsidRPr="00562991">
        <w:rPr>
          <w:rFonts w:ascii="Verdana" w:hAnsi="Verdana" w:cs="Times New Roman"/>
          <w:sz w:val="19"/>
          <w:szCs w:val="19"/>
        </w:rPr>
        <w:t xml:space="preserve"> of the independence of the judiciary</w:t>
      </w:r>
      <w:r w:rsidRPr="00562991">
        <w:rPr>
          <w:rFonts w:ascii="Verdana" w:hAnsi="Verdana" w:cs="Times New Roman"/>
          <w:sz w:val="19"/>
          <w:szCs w:val="19"/>
        </w:rPr>
        <w:t xml:space="preserve"> in </w:t>
      </w:r>
      <w:r w:rsidRPr="00562991">
        <w:rPr>
          <w:rFonts w:ascii="Verdana" w:hAnsi="Verdana" w:cs="Times New Roman"/>
          <w:b/>
          <w:bCs/>
          <w:sz w:val="19"/>
          <w:szCs w:val="19"/>
        </w:rPr>
        <w:t>Turkey</w:t>
      </w:r>
      <w:r w:rsidR="001B3909" w:rsidRPr="00562991">
        <w:rPr>
          <w:rFonts w:ascii="Verdana" w:hAnsi="Verdana" w:cs="Times New Roman"/>
          <w:b/>
          <w:bCs/>
          <w:sz w:val="19"/>
          <w:szCs w:val="19"/>
        </w:rPr>
        <w:t xml:space="preserve">. </w:t>
      </w:r>
      <w:r w:rsidR="001B3909" w:rsidRPr="00562991">
        <w:rPr>
          <w:rFonts w:ascii="Verdana" w:hAnsi="Verdana" w:cs="Times New Roman"/>
          <w:sz w:val="19"/>
          <w:szCs w:val="19"/>
        </w:rPr>
        <w:t xml:space="preserve">With regard to the procedure of dismissal, although international law requires dismissal </w:t>
      </w:r>
      <w:r w:rsidR="001B3909" w:rsidRPr="00562991">
        <w:rPr>
          <w:rFonts w:ascii="Verdana" w:hAnsi="Verdana" w:cs="Times New Roman"/>
          <w:sz w:val="19"/>
          <w:szCs w:val="19"/>
        </w:rPr>
        <w:lastRenderedPageBreak/>
        <w:t xml:space="preserve">procedures to be conducted through a fair hearing before an independent authority, the ICJ expressed in its 2018 report </w:t>
      </w:r>
      <w:r w:rsidR="001B3909" w:rsidRPr="00562991">
        <w:rPr>
          <w:rFonts w:ascii="Verdana" w:hAnsi="Verdana" w:cs="Times New Roman"/>
          <w:i/>
          <w:iCs/>
          <w:sz w:val="19"/>
          <w:szCs w:val="19"/>
        </w:rPr>
        <w:t>Justice Suspended</w:t>
      </w:r>
      <w:r w:rsidR="001B3909" w:rsidRPr="00562991">
        <w:rPr>
          <w:rFonts w:ascii="Verdana" w:hAnsi="Verdana" w:cs="Times New Roman"/>
          <w:sz w:val="19"/>
          <w:szCs w:val="19"/>
        </w:rPr>
        <w:t xml:space="preserve"> that, within the current constitutional framework, the Council of Judges and Prosecutors is not provided with the guarantees necessary to ensure its institutional independence.</w:t>
      </w:r>
      <w:r w:rsidR="001B3909" w:rsidRPr="00562991">
        <w:rPr>
          <w:rStyle w:val="FootnoteReference"/>
          <w:rFonts w:ascii="Verdana" w:hAnsi="Verdana" w:cs="Times New Roman"/>
          <w:sz w:val="19"/>
          <w:szCs w:val="19"/>
        </w:rPr>
        <w:footnoteReference w:id="48"/>
      </w:r>
      <w:r w:rsidR="001B3909" w:rsidRPr="00562991">
        <w:rPr>
          <w:rFonts w:ascii="Verdana" w:hAnsi="Verdana" w:cs="Times New Roman"/>
          <w:sz w:val="19"/>
          <w:szCs w:val="19"/>
        </w:rPr>
        <w:t xml:space="preserve"> </w:t>
      </w:r>
    </w:p>
    <w:p w14:paraId="71271553" w14:textId="77777777" w:rsidR="007D6C3C" w:rsidRPr="00562991" w:rsidRDefault="007D6C3C" w:rsidP="007D6C3C">
      <w:pPr>
        <w:ind w:firstLine="720"/>
        <w:jc w:val="both"/>
        <w:rPr>
          <w:rFonts w:ascii="Verdana" w:hAnsi="Verdana" w:cs="Times New Roman"/>
          <w:sz w:val="19"/>
          <w:szCs w:val="19"/>
        </w:rPr>
      </w:pPr>
      <w:r w:rsidRPr="00562991">
        <w:rPr>
          <w:rFonts w:ascii="Verdana" w:hAnsi="Verdana" w:cs="Times New Roman"/>
          <w:sz w:val="19"/>
          <w:szCs w:val="19"/>
        </w:rPr>
        <w:t xml:space="preserve">The ICJ has observed that the summary and mass dismissal of around 30 percent of active judges and prosecutors in </w:t>
      </w:r>
      <w:r w:rsidRPr="00562991">
        <w:rPr>
          <w:rFonts w:ascii="Verdana" w:hAnsi="Verdana" w:cs="Times New Roman"/>
          <w:b/>
          <w:bCs/>
          <w:sz w:val="19"/>
          <w:szCs w:val="19"/>
        </w:rPr>
        <w:t xml:space="preserve">Turkey </w:t>
      </w:r>
      <w:r w:rsidRPr="00562991">
        <w:rPr>
          <w:rFonts w:ascii="Verdana" w:hAnsi="Verdana" w:cs="Times New Roman"/>
          <w:sz w:val="19"/>
          <w:szCs w:val="19"/>
        </w:rPr>
        <w:lastRenderedPageBreak/>
        <w:t>following the attempted coup, and the mass arrest of judges, have weakened the justice system, frequently based in imprecise, unclear or vague allegations of association with the organization FETÖ/PDY.</w:t>
      </w:r>
      <w:r w:rsidRPr="00562991">
        <w:rPr>
          <w:rStyle w:val="FootnoteReference"/>
          <w:rFonts w:ascii="Verdana" w:hAnsi="Verdana" w:cs="Times New Roman"/>
          <w:sz w:val="19"/>
          <w:szCs w:val="19"/>
        </w:rPr>
        <w:footnoteReference w:id="49"/>
      </w:r>
      <w:r w:rsidRPr="00562991">
        <w:rPr>
          <w:rFonts w:ascii="Verdana" w:hAnsi="Verdana" w:cs="Times New Roman"/>
          <w:sz w:val="19"/>
          <w:szCs w:val="19"/>
        </w:rPr>
        <w:t xml:space="preserve"> In fact, on 4 August 2016, the Constitutional Court dismissed two of its members, </w:t>
      </w:r>
      <w:proofErr w:type="spellStart"/>
      <w:r w:rsidRPr="00562991">
        <w:rPr>
          <w:rFonts w:ascii="Verdana" w:hAnsi="Verdana" w:cs="Times New Roman"/>
          <w:sz w:val="19"/>
          <w:szCs w:val="19"/>
        </w:rPr>
        <w:t>Alparslan</w:t>
      </w:r>
      <w:proofErr w:type="spellEnd"/>
      <w:r w:rsidRPr="00562991">
        <w:rPr>
          <w:rFonts w:ascii="Verdana" w:hAnsi="Verdana" w:cs="Times New Roman"/>
          <w:sz w:val="19"/>
          <w:szCs w:val="19"/>
        </w:rPr>
        <w:t xml:space="preserve"> </w:t>
      </w:r>
      <w:proofErr w:type="spellStart"/>
      <w:r w:rsidRPr="00562991">
        <w:rPr>
          <w:rFonts w:ascii="Verdana" w:hAnsi="Verdana" w:cs="Times New Roman"/>
          <w:sz w:val="19"/>
          <w:szCs w:val="19"/>
        </w:rPr>
        <w:t>Altan</w:t>
      </w:r>
      <w:proofErr w:type="spellEnd"/>
      <w:r w:rsidRPr="00562991">
        <w:rPr>
          <w:rFonts w:ascii="Verdana" w:hAnsi="Verdana" w:cs="Times New Roman"/>
          <w:sz w:val="19"/>
          <w:szCs w:val="19"/>
        </w:rPr>
        <w:t xml:space="preserve"> and </w:t>
      </w:r>
      <w:proofErr w:type="spellStart"/>
      <w:r w:rsidRPr="00562991">
        <w:rPr>
          <w:rFonts w:ascii="Verdana" w:hAnsi="Verdana" w:cs="Times New Roman"/>
          <w:sz w:val="19"/>
          <w:szCs w:val="19"/>
        </w:rPr>
        <w:t>Erdal</w:t>
      </w:r>
      <w:proofErr w:type="spellEnd"/>
      <w:r w:rsidRPr="00562991">
        <w:rPr>
          <w:rFonts w:ascii="Verdana" w:hAnsi="Verdana" w:cs="Times New Roman"/>
          <w:sz w:val="19"/>
          <w:szCs w:val="19"/>
        </w:rPr>
        <w:t xml:space="preserve"> </w:t>
      </w:r>
      <w:proofErr w:type="spellStart"/>
      <w:r w:rsidRPr="00562991">
        <w:rPr>
          <w:rFonts w:ascii="Verdana" w:hAnsi="Verdana" w:cs="Times New Roman"/>
          <w:sz w:val="19"/>
          <w:szCs w:val="19"/>
        </w:rPr>
        <w:t>Tercan</w:t>
      </w:r>
      <w:proofErr w:type="spellEnd"/>
      <w:r w:rsidRPr="00562991">
        <w:rPr>
          <w:rFonts w:ascii="Verdana" w:hAnsi="Verdana" w:cs="Times New Roman"/>
          <w:sz w:val="19"/>
          <w:szCs w:val="19"/>
        </w:rPr>
        <w:t xml:space="preserve">, after they had been taken into custody, under orders of the Ankara Chief's Public Prosecutor's Office of 16 July 2016 purportedly </w:t>
      </w:r>
      <w:r w:rsidRPr="00562991">
        <w:rPr>
          <w:rFonts w:ascii="Verdana" w:hAnsi="Verdana" w:cs="Times New Roman"/>
          <w:sz w:val="19"/>
          <w:szCs w:val="19"/>
        </w:rPr>
        <w:lastRenderedPageBreak/>
        <w:t>to prevent their fleeing the country or absconding.</w:t>
      </w:r>
      <w:r w:rsidRPr="00562991">
        <w:rPr>
          <w:rStyle w:val="FootnoteReference"/>
          <w:rFonts w:ascii="Verdana" w:hAnsi="Verdana" w:cs="Times New Roman"/>
          <w:sz w:val="19"/>
          <w:szCs w:val="19"/>
        </w:rPr>
        <w:footnoteReference w:id="50"/>
      </w:r>
      <w:r w:rsidRPr="00562991">
        <w:rPr>
          <w:rFonts w:ascii="Verdana" w:hAnsi="Verdana" w:cs="Times New Roman"/>
          <w:sz w:val="19"/>
          <w:szCs w:val="19"/>
        </w:rPr>
        <w:t xml:space="preserve"> The arrest warrant was confirmed by the Ankara Magistrate's Judge on 20 July 2016 that authorized their detention on remand and charged them with "being a member of an armed terrorist organization".</w:t>
      </w:r>
      <w:r w:rsidRPr="00562991">
        <w:rPr>
          <w:rStyle w:val="FootnoteReference"/>
          <w:rFonts w:ascii="Verdana" w:hAnsi="Verdana" w:cs="Times New Roman"/>
          <w:sz w:val="19"/>
          <w:szCs w:val="19"/>
        </w:rPr>
        <w:footnoteReference w:id="51"/>
      </w:r>
      <w:r w:rsidRPr="00562991">
        <w:rPr>
          <w:rFonts w:ascii="Verdana" w:hAnsi="Verdana" w:cs="Times New Roman"/>
          <w:sz w:val="19"/>
          <w:szCs w:val="19"/>
        </w:rPr>
        <w:t xml:space="preserve"> Moreover, five members of the High Council of Judges and Prosecutors, Mustafa Kemal </w:t>
      </w:r>
      <w:proofErr w:type="spellStart"/>
      <w:r w:rsidRPr="00562991">
        <w:rPr>
          <w:rFonts w:ascii="Verdana" w:hAnsi="Verdana" w:cs="Times New Roman"/>
          <w:sz w:val="19"/>
          <w:szCs w:val="19"/>
        </w:rPr>
        <w:t>Özçelik</w:t>
      </w:r>
      <w:proofErr w:type="spellEnd"/>
      <w:r w:rsidRPr="00562991">
        <w:rPr>
          <w:rFonts w:ascii="Verdana" w:hAnsi="Verdana" w:cs="Times New Roman"/>
          <w:sz w:val="19"/>
          <w:szCs w:val="19"/>
        </w:rPr>
        <w:t xml:space="preserve">, </w:t>
      </w:r>
      <w:proofErr w:type="spellStart"/>
      <w:r w:rsidRPr="00562991">
        <w:rPr>
          <w:rFonts w:ascii="Verdana" w:hAnsi="Verdana" w:cs="Times New Roman"/>
          <w:sz w:val="19"/>
          <w:szCs w:val="19"/>
        </w:rPr>
        <w:t>Kerim</w:t>
      </w:r>
      <w:proofErr w:type="spellEnd"/>
      <w:r w:rsidRPr="00562991">
        <w:rPr>
          <w:rFonts w:ascii="Verdana" w:hAnsi="Verdana" w:cs="Times New Roman"/>
          <w:sz w:val="19"/>
          <w:szCs w:val="19"/>
        </w:rPr>
        <w:t xml:space="preserve"> </w:t>
      </w:r>
      <w:proofErr w:type="spellStart"/>
      <w:r w:rsidRPr="00562991">
        <w:rPr>
          <w:rFonts w:ascii="Verdana" w:hAnsi="Verdana" w:cs="Times New Roman"/>
          <w:sz w:val="19"/>
          <w:szCs w:val="19"/>
        </w:rPr>
        <w:t>Tosun</w:t>
      </w:r>
      <w:proofErr w:type="spellEnd"/>
      <w:r w:rsidRPr="00562991">
        <w:rPr>
          <w:rFonts w:ascii="Verdana" w:hAnsi="Verdana" w:cs="Times New Roman"/>
          <w:sz w:val="19"/>
          <w:szCs w:val="19"/>
        </w:rPr>
        <w:t xml:space="preserve">, </w:t>
      </w:r>
      <w:proofErr w:type="spellStart"/>
      <w:r w:rsidRPr="00562991">
        <w:rPr>
          <w:rFonts w:ascii="Verdana" w:hAnsi="Verdana" w:cs="Times New Roman"/>
          <w:sz w:val="19"/>
          <w:szCs w:val="19"/>
        </w:rPr>
        <w:t>Şaban</w:t>
      </w:r>
      <w:proofErr w:type="spellEnd"/>
      <w:r w:rsidRPr="00562991">
        <w:rPr>
          <w:rFonts w:ascii="Verdana" w:hAnsi="Verdana" w:cs="Times New Roman"/>
          <w:sz w:val="19"/>
          <w:szCs w:val="19"/>
        </w:rPr>
        <w:t xml:space="preserve"> </w:t>
      </w:r>
      <w:proofErr w:type="spellStart"/>
      <w:r w:rsidRPr="00562991">
        <w:rPr>
          <w:rFonts w:ascii="Verdana" w:hAnsi="Verdana" w:cs="Times New Roman"/>
          <w:sz w:val="19"/>
          <w:szCs w:val="19"/>
        </w:rPr>
        <w:t>Işık</w:t>
      </w:r>
      <w:proofErr w:type="spellEnd"/>
      <w:r w:rsidRPr="00562991">
        <w:rPr>
          <w:rFonts w:ascii="Verdana" w:hAnsi="Verdana" w:cs="Times New Roman"/>
          <w:sz w:val="19"/>
          <w:szCs w:val="19"/>
        </w:rPr>
        <w:t xml:space="preserve">, Ahmet </w:t>
      </w:r>
      <w:proofErr w:type="spellStart"/>
      <w:r w:rsidRPr="00562991">
        <w:rPr>
          <w:rFonts w:ascii="Verdana" w:hAnsi="Verdana" w:cs="Times New Roman"/>
          <w:sz w:val="19"/>
          <w:szCs w:val="19"/>
        </w:rPr>
        <w:t>Berberoğlu</w:t>
      </w:r>
      <w:proofErr w:type="spellEnd"/>
      <w:r w:rsidRPr="00562991">
        <w:rPr>
          <w:rFonts w:ascii="Verdana" w:hAnsi="Verdana" w:cs="Times New Roman"/>
          <w:sz w:val="19"/>
          <w:szCs w:val="19"/>
        </w:rPr>
        <w:t xml:space="preserve"> and </w:t>
      </w:r>
      <w:proofErr w:type="spellStart"/>
      <w:r w:rsidRPr="00562991">
        <w:rPr>
          <w:rFonts w:ascii="Verdana" w:hAnsi="Verdana" w:cs="Times New Roman"/>
          <w:sz w:val="19"/>
          <w:szCs w:val="19"/>
        </w:rPr>
        <w:t>Mahmut</w:t>
      </w:r>
      <w:proofErr w:type="spellEnd"/>
      <w:r w:rsidRPr="00562991">
        <w:rPr>
          <w:rFonts w:ascii="Verdana" w:hAnsi="Verdana" w:cs="Times New Roman"/>
          <w:sz w:val="19"/>
          <w:szCs w:val="19"/>
        </w:rPr>
        <w:t xml:space="preserve"> </w:t>
      </w:r>
      <w:proofErr w:type="spellStart"/>
      <w:r w:rsidRPr="00562991">
        <w:rPr>
          <w:rFonts w:ascii="Verdana" w:hAnsi="Verdana" w:cs="Times New Roman"/>
          <w:sz w:val="19"/>
          <w:szCs w:val="19"/>
        </w:rPr>
        <w:t>Şen</w:t>
      </w:r>
      <w:proofErr w:type="spellEnd"/>
      <w:r w:rsidRPr="00562991">
        <w:rPr>
          <w:rFonts w:ascii="Verdana" w:hAnsi="Verdana" w:cs="Times New Roman"/>
          <w:sz w:val="19"/>
          <w:szCs w:val="19"/>
        </w:rPr>
        <w:t xml:space="preserve">, were dismissed from their position </w:t>
      </w:r>
      <w:r w:rsidRPr="00562991">
        <w:rPr>
          <w:rFonts w:ascii="Verdana" w:hAnsi="Verdana" w:cs="Times New Roman"/>
          <w:sz w:val="19"/>
          <w:szCs w:val="19"/>
        </w:rPr>
        <w:lastRenderedPageBreak/>
        <w:t>by the Plenary of this institution on 16 July 2016</w:t>
      </w:r>
      <w:r w:rsidRPr="00562991">
        <w:rPr>
          <w:rStyle w:val="FootnoteReference"/>
          <w:rFonts w:ascii="Verdana" w:hAnsi="Verdana" w:cs="Times New Roman"/>
          <w:sz w:val="19"/>
          <w:szCs w:val="19"/>
        </w:rPr>
        <w:footnoteReference w:id="52"/>
      </w:r>
      <w:r w:rsidRPr="00562991">
        <w:rPr>
          <w:rFonts w:ascii="Verdana" w:hAnsi="Verdana" w:cs="Times New Roman"/>
          <w:sz w:val="19"/>
          <w:szCs w:val="19"/>
        </w:rPr>
        <w:t xml:space="preserve"> for lack of one of the entry requirements, i.e. not being investigated or prosecuted for an offences sanctioned with more than three months of imprisonment.</w:t>
      </w:r>
      <w:r w:rsidRPr="00562991">
        <w:rPr>
          <w:rStyle w:val="FootnoteReference"/>
          <w:rFonts w:ascii="Verdana" w:hAnsi="Verdana" w:cs="Times New Roman"/>
          <w:sz w:val="19"/>
          <w:szCs w:val="19"/>
        </w:rPr>
        <w:footnoteReference w:id="53"/>
      </w:r>
      <w:r w:rsidRPr="00562991">
        <w:rPr>
          <w:rFonts w:ascii="Verdana" w:hAnsi="Verdana" w:cs="Times New Roman"/>
          <w:sz w:val="19"/>
          <w:szCs w:val="19"/>
        </w:rPr>
        <w:t xml:space="preserve"> The then High Council of Judges and Prosecutors subsequently proceeded to dismiss 4,279 judges and prosecutors </w:t>
      </w:r>
      <w:r w:rsidRPr="00562991">
        <w:rPr>
          <w:rFonts w:ascii="Verdana" w:hAnsi="Verdana" w:cs="Times New Roman"/>
          <w:sz w:val="19"/>
          <w:szCs w:val="19"/>
        </w:rPr>
        <w:lastRenderedPageBreak/>
        <w:t>as an "exceptional measure" because "</w:t>
      </w:r>
      <w:r w:rsidRPr="00562991">
        <w:rPr>
          <w:rFonts w:ascii="Verdana" w:hAnsi="Verdana" w:cs="Times New Roman"/>
          <w:i/>
          <w:iCs/>
          <w:sz w:val="19"/>
          <w:szCs w:val="19"/>
        </w:rPr>
        <w:t>retaining in office members of the judiciary, who are linked to the FETÖ/PDY, which is responsible for the coup attempt on 15/07/2016 conflicts first and foremost with the independence and impartiality of the judiciary</w:t>
      </w:r>
      <w:r w:rsidRPr="00562991">
        <w:rPr>
          <w:rFonts w:ascii="Verdana" w:hAnsi="Verdana" w:cs="Times New Roman"/>
          <w:sz w:val="19"/>
          <w:szCs w:val="19"/>
        </w:rPr>
        <w:t>”.</w:t>
      </w:r>
      <w:r w:rsidRPr="00562991">
        <w:rPr>
          <w:rStyle w:val="FootnoteReference"/>
          <w:rFonts w:ascii="Verdana" w:hAnsi="Verdana" w:cs="Times New Roman"/>
          <w:sz w:val="19"/>
          <w:szCs w:val="19"/>
        </w:rPr>
        <w:footnoteReference w:id="54"/>
      </w:r>
    </w:p>
    <w:p w14:paraId="12E2FBCF" w14:textId="17940337" w:rsidR="007D6C3C" w:rsidRPr="00562991" w:rsidRDefault="007D6C3C" w:rsidP="000D0461">
      <w:pPr>
        <w:ind w:firstLine="720"/>
        <w:jc w:val="both"/>
        <w:rPr>
          <w:rFonts w:ascii="Verdana" w:hAnsi="Verdana" w:cs="Times New Roman"/>
          <w:sz w:val="19"/>
          <w:szCs w:val="19"/>
        </w:rPr>
      </w:pPr>
      <w:r w:rsidRPr="00562991">
        <w:rPr>
          <w:rFonts w:ascii="Verdana" w:hAnsi="Verdana" w:cs="Times New Roman"/>
          <w:sz w:val="19"/>
          <w:szCs w:val="19"/>
        </w:rPr>
        <w:t>D</w:t>
      </w:r>
      <w:r w:rsidR="001B3909" w:rsidRPr="00562991">
        <w:rPr>
          <w:rFonts w:ascii="Verdana" w:hAnsi="Verdana" w:cs="Times New Roman"/>
          <w:sz w:val="19"/>
          <w:szCs w:val="19"/>
        </w:rPr>
        <w:t xml:space="preserve">espite the state of emergency </w:t>
      </w:r>
      <w:r w:rsidR="006071CD">
        <w:rPr>
          <w:rFonts w:ascii="Verdana" w:hAnsi="Verdana" w:cs="Times New Roman"/>
          <w:sz w:val="19"/>
          <w:szCs w:val="19"/>
        </w:rPr>
        <w:t>being</w:t>
      </w:r>
      <w:r w:rsidR="001B3909" w:rsidRPr="00562991">
        <w:rPr>
          <w:rFonts w:ascii="Verdana" w:hAnsi="Verdana" w:cs="Times New Roman"/>
          <w:sz w:val="19"/>
          <w:szCs w:val="19"/>
        </w:rPr>
        <w:t xml:space="preserve"> lifted in July 2018, the extraordinary powers given to the Council of Judges and Prosecutors were extended for 3 years by Law no. 7145. In fact, on 10 January 2019, the Council of Judges and Prosecutors made use for the first time of the special powers to dismiss judges without </w:t>
      </w:r>
      <w:r w:rsidR="001B3909" w:rsidRPr="00562991">
        <w:rPr>
          <w:rFonts w:ascii="Verdana" w:hAnsi="Verdana" w:cs="Times New Roman"/>
          <w:sz w:val="19"/>
          <w:szCs w:val="19"/>
        </w:rPr>
        <w:lastRenderedPageBreak/>
        <w:t>complying with the ordinary procedure, invoking extraordinary powers enacted by the law. The Turkey’s Council of Judges and Prosecutors dismissed 17 judges and prosecutors on 10 January 2019, based on the allegation of membership or connections with FETÖ.</w:t>
      </w:r>
      <w:r w:rsidR="001B3909" w:rsidRPr="00562991">
        <w:rPr>
          <w:rStyle w:val="FootnoteReference"/>
          <w:rFonts w:ascii="Verdana" w:hAnsi="Verdana" w:cs="Times New Roman"/>
          <w:sz w:val="19"/>
          <w:szCs w:val="19"/>
        </w:rPr>
        <w:footnoteReference w:id="55"/>
      </w:r>
      <w:r w:rsidR="001B3909" w:rsidRPr="00562991">
        <w:rPr>
          <w:rFonts w:ascii="Verdana" w:hAnsi="Verdana" w:cs="Times New Roman"/>
          <w:sz w:val="19"/>
          <w:szCs w:val="19"/>
        </w:rPr>
        <w:t xml:space="preserve"> </w:t>
      </w:r>
    </w:p>
    <w:p w14:paraId="57935D24" w14:textId="12FFABC8" w:rsidR="000D0461" w:rsidRPr="00562991" w:rsidRDefault="00D80CEF" w:rsidP="000D0461">
      <w:pPr>
        <w:ind w:firstLine="720"/>
        <w:jc w:val="both"/>
        <w:rPr>
          <w:rFonts w:ascii="Verdana" w:hAnsi="Verdana" w:cs="Times New Roman"/>
          <w:sz w:val="19"/>
          <w:szCs w:val="19"/>
        </w:rPr>
      </w:pPr>
      <w:r w:rsidRPr="00562991">
        <w:rPr>
          <w:rFonts w:ascii="Verdana" w:hAnsi="Verdana" w:cs="Times New Roman"/>
          <w:sz w:val="19"/>
          <w:szCs w:val="19"/>
        </w:rPr>
        <w:t xml:space="preserve">The ICJ has also </w:t>
      </w:r>
      <w:r w:rsidR="005A0A09" w:rsidRPr="00562991">
        <w:rPr>
          <w:rFonts w:ascii="Verdana" w:hAnsi="Verdana" w:cs="Times New Roman"/>
          <w:sz w:val="19"/>
          <w:szCs w:val="19"/>
        </w:rPr>
        <w:t xml:space="preserve">manifested that the conviction of the former head of the judges’ organization </w:t>
      </w:r>
      <w:proofErr w:type="spellStart"/>
      <w:r w:rsidR="005A0A09" w:rsidRPr="00562991">
        <w:rPr>
          <w:rFonts w:ascii="Verdana" w:hAnsi="Verdana" w:cs="Times New Roman"/>
          <w:sz w:val="19"/>
          <w:szCs w:val="19"/>
        </w:rPr>
        <w:t>Y</w:t>
      </w:r>
      <w:r w:rsidR="00FA5BA7" w:rsidRPr="00562991">
        <w:rPr>
          <w:rFonts w:ascii="Verdana" w:hAnsi="Verdana" w:cs="Times New Roman"/>
          <w:sz w:val="19"/>
          <w:szCs w:val="19"/>
        </w:rPr>
        <w:t>arsa</w:t>
      </w:r>
      <w:r w:rsidR="007D6C3C" w:rsidRPr="00562991">
        <w:rPr>
          <w:rFonts w:ascii="Verdana" w:hAnsi="Verdana" w:cs="Times New Roman"/>
          <w:sz w:val="19"/>
          <w:szCs w:val="19"/>
        </w:rPr>
        <w:t>v</w:t>
      </w:r>
      <w:proofErr w:type="spellEnd"/>
      <w:r w:rsidR="005A0A09" w:rsidRPr="00562991">
        <w:rPr>
          <w:rFonts w:ascii="Verdana" w:hAnsi="Verdana" w:cs="Times New Roman"/>
          <w:sz w:val="19"/>
          <w:szCs w:val="19"/>
        </w:rPr>
        <w:t xml:space="preserve">, Mr Murat </w:t>
      </w:r>
      <w:proofErr w:type="spellStart"/>
      <w:r w:rsidR="005A0A09" w:rsidRPr="00562991">
        <w:rPr>
          <w:rFonts w:ascii="Verdana" w:hAnsi="Verdana" w:cs="Times New Roman"/>
          <w:sz w:val="19"/>
          <w:szCs w:val="19"/>
        </w:rPr>
        <w:t>Arslan</w:t>
      </w:r>
      <w:proofErr w:type="spellEnd"/>
      <w:r w:rsidR="005A0A09" w:rsidRPr="00562991">
        <w:rPr>
          <w:rFonts w:ascii="Verdana" w:hAnsi="Verdana" w:cs="Times New Roman"/>
          <w:sz w:val="19"/>
          <w:szCs w:val="19"/>
        </w:rPr>
        <w:t>, seems to have been in violation of the right to a fair trial in the proceedings.</w:t>
      </w:r>
      <w:r w:rsidRPr="00562991">
        <w:rPr>
          <w:rFonts w:ascii="Verdana" w:hAnsi="Verdana" w:cs="Times New Roman"/>
          <w:sz w:val="19"/>
          <w:szCs w:val="19"/>
        </w:rPr>
        <w:t xml:space="preserve"> R</w:t>
      </w:r>
      <w:r w:rsidR="00FB7F13" w:rsidRPr="00562991">
        <w:rPr>
          <w:rFonts w:ascii="Verdana" w:hAnsi="Verdana" w:cs="Times New Roman"/>
          <w:sz w:val="19"/>
          <w:szCs w:val="19"/>
        </w:rPr>
        <w:t xml:space="preserve">ecently, the ICJ together with the International Bar Association’s Human Rights Institute has urged the Turkish Council of </w:t>
      </w:r>
      <w:r w:rsidR="00FB7F13" w:rsidRPr="00562991">
        <w:rPr>
          <w:rFonts w:ascii="Verdana" w:hAnsi="Verdana" w:cs="Times New Roman"/>
          <w:sz w:val="19"/>
          <w:szCs w:val="19"/>
        </w:rPr>
        <w:lastRenderedPageBreak/>
        <w:t xml:space="preserve">Judges and Prosecutors to stop the disciplinary proceedings against the three judges of the </w:t>
      </w:r>
      <w:r w:rsidR="00FA5BA7" w:rsidRPr="00562991">
        <w:rPr>
          <w:rFonts w:ascii="Verdana" w:hAnsi="Verdana" w:cs="Times New Roman"/>
          <w:sz w:val="19"/>
          <w:szCs w:val="19"/>
        </w:rPr>
        <w:t>Istanbul</w:t>
      </w:r>
      <w:r w:rsidR="00FB7F13" w:rsidRPr="00562991">
        <w:rPr>
          <w:rFonts w:ascii="Verdana" w:hAnsi="Verdana" w:cs="Times New Roman"/>
          <w:sz w:val="19"/>
          <w:szCs w:val="19"/>
        </w:rPr>
        <w:t xml:space="preserve"> 30</w:t>
      </w:r>
      <w:r w:rsidR="00FB7F13" w:rsidRPr="00562991">
        <w:rPr>
          <w:rFonts w:ascii="Verdana" w:hAnsi="Verdana" w:cs="Times New Roman"/>
          <w:sz w:val="19"/>
          <w:szCs w:val="19"/>
          <w:vertAlign w:val="superscript"/>
        </w:rPr>
        <w:t>th</w:t>
      </w:r>
      <w:r w:rsidR="00FB7F13" w:rsidRPr="00562991">
        <w:rPr>
          <w:rFonts w:ascii="Verdana" w:hAnsi="Verdana" w:cs="Times New Roman"/>
          <w:sz w:val="19"/>
          <w:szCs w:val="19"/>
        </w:rPr>
        <w:t xml:space="preserve"> Heavy Penal Court who had acquitted the defendants in the Gezi Park trial, which appears to be a direct interference with their independence with chilling effect on all members of the judiciary</w:t>
      </w:r>
      <w:r w:rsidR="00FA5BA7" w:rsidRPr="00562991">
        <w:rPr>
          <w:rFonts w:ascii="Verdana" w:hAnsi="Verdana" w:cs="Times New Roman"/>
          <w:sz w:val="19"/>
          <w:szCs w:val="19"/>
        </w:rPr>
        <w:t>.</w:t>
      </w:r>
      <w:r w:rsidR="00FB7F13" w:rsidRPr="00562991">
        <w:rPr>
          <w:rStyle w:val="FootnoteReference"/>
          <w:rFonts w:ascii="Verdana" w:hAnsi="Verdana" w:cs="Times New Roman"/>
          <w:sz w:val="19"/>
          <w:szCs w:val="19"/>
        </w:rPr>
        <w:footnoteReference w:id="56"/>
      </w:r>
      <w:r w:rsidR="00FA5BA7" w:rsidRPr="00562991">
        <w:rPr>
          <w:rFonts w:ascii="Verdana" w:hAnsi="Verdana" w:cs="Times New Roman"/>
          <w:sz w:val="19"/>
          <w:szCs w:val="19"/>
        </w:rPr>
        <w:t xml:space="preserve"> </w:t>
      </w:r>
    </w:p>
    <w:p w14:paraId="3541F25A" w14:textId="67D39307" w:rsidR="007755A4" w:rsidRPr="00562991" w:rsidRDefault="007755A4" w:rsidP="000D0461">
      <w:pPr>
        <w:ind w:firstLine="720"/>
        <w:jc w:val="both"/>
        <w:rPr>
          <w:rFonts w:ascii="Verdana" w:hAnsi="Verdana" w:cs="Times New Roman"/>
          <w:sz w:val="19"/>
          <w:szCs w:val="19"/>
        </w:rPr>
      </w:pPr>
      <w:r w:rsidRPr="00562991">
        <w:rPr>
          <w:rFonts w:ascii="Verdana" w:hAnsi="Verdana" w:cs="Times New Roman"/>
          <w:sz w:val="19"/>
          <w:szCs w:val="19"/>
        </w:rPr>
        <w:t xml:space="preserve">Besides, among different measures used in </w:t>
      </w:r>
      <w:r w:rsidRPr="00562991">
        <w:rPr>
          <w:rFonts w:ascii="Verdana" w:hAnsi="Verdana" w:cs="Times New Roman"/>
          <w:b/>
          <w:bCs/>
          <w:sz w:val="19"/>
          <w:szCs w:val="19"/>
        </w:rPr>
        <w:t>Turkey</w:t>
      </w:r>
      <w:r w:rsidRPr="00562991">
        <w:rPr>
          <w:rFonts w:ascii="Verdana" w:hAnsi="Verdana" w:cs="Times New Roman"/>
          <w:sz w:val="19"/>
          <w:szCs w:val="19"/>
        </w:rPr>
        <w:t xml:space="preserve"> to affect judges’ independence, it appears that many judges that do not follow or favour the Government in their decisions are transferred </w:t>
      </w:r>
      <w:r w:rsidRPr="00562991">
        <w:rPr>
          <w:rFonts w:ascii="Verdana" w:hAnsi="Verdana" w:cs="Times New Roman"/>
          <w:sz w:val="19"/>
          <w:szCs w:val="19"/>
        </w:rPr>
        <w:lastRenderedPageBreak/>
        <w:t xml:space="preserve">against their will. The ICJ has expressed concerns that these transfers were being applied as a hidden form of disciplinary sanctions and as a way to marginalise judges. This practice has been occurring for the past years, as confirmed by the European Commission in April 2018 and the latest ICJ </w:t>
      </w:r>
      <w:r w:rsidR="004D4A52" w:rsidRPr="00562991">
        <w:rPr>
          <w:rFonts w:ascii="Verdana" w:hAnsi="Verdana" w:cs="Times New Roman"/>
          <w:sz w:val="19"/>
          <w:szCs w:val="19"/>
        </w:rPr>
        <w:t>report about</w:t>
      </w:r>
      <w:r w:rsidRPr="00562991">
        <w:rPr>
          <w:rFonts w:ascii="Verdana" w:hAnsi="Verdana" w:cs="Times New Roman"/>
          <w:sz w:val="19"/>
          <w:szCs w:val="19"/>
        </w:rPr>
        <w:t xml:space="preserve"> Turkey in 2018.</w:t>
      </w:r>
      <w:r w:rsidRPr="00562991">
        <w:rPr>
          <w:rStyle w:val="FootnoteReference"/>
          <w:rFonts w:ascii="Verdana" w:hAnsi="Verdana" w:cs="Times New Roman"/>
          <w:sz w:val="19"/>
          <w:szCs w:val="19"/>
        </w:rPr>
        <w:footnoteReference w:id="57"/>
      </w:r>
      <w:r w:rsidRPr="00562991">
        <w:rPr>
          <w:rFonts w:ascii="Verdana" w:hAnsi="Verdana" w:cs="Times New Roman"/>
          <w:sz w:val="19"/>
          <w:szCs w:val="19"/>
        </w:rPr>
        <w:t xml:space="preserve"> </w:t>
      </w:r>
    </w:p>
    <w:p w14:paraId="18ACFE02" w14:textId="041569BD" w:rsidR="00AF3DB0" w:rsidRPr="00562991" w:rsidRDefault="006071CD" w:rsidP="00AF3DB0">
      <w:pPr>
        <w:ind w:firstLine="720"/>
        <w:jc w:val="both"/>
        <w:rPr>
          <w:rFonts w:ascii="Verdana" w:hAnsi="Verdana" w:cs="Times New Roman"/>
          <w:sz w:val="19"/>
          <w:szCs w:val="19"/>
        </w:rPr>
      </w:pPr>
      <w:r>
        <w:rPr>
          <w:rFonts w:ascii="Verdana" w:hAnsi="Verdana" w:cs="Times New Roman"/>
          <w:sz w:val="19"/>
          <w:szCs w:val="19"/>
        </w:rPr>
        <w:t>Problematic</w:t>
      </w:r>
      <w:r w:rsidR="00AF3DB0" w:rsidRPr="00562991">
        <w:rPr>
          <w:rFonts w:ascii="Verdana" w:hAnsi="Verdana" w:cs="Times New Roman"/>
          <w:sz w:val="19"/>
          <w:szCs w:val="19"/>
        </w:rPr>
        <w:t xml:space="preserve"> practice of disciplinary proceedings has been also reported in </w:t>
      </w:r>
      <w:r w:rsidR="00AF3DB0" w:rsidRPr="00562991">
        <w:rPr>
          <w:rFonts w:ascii="Verdana" w:hAnsi="Verdana" w:cs="Times New Roman"/>
          <w:b/>
          <w:bCs/>
          <w:sz w:val="19"/>
          <w:szCs w:val="19"/>
        </w:rPr>
        <w:t>Hungary</w:t>
      </w:r>
      <w:r w:rsidR="00AF3DB0" w:rsidRPr="00562991">
        <w:rPr>
          <w:rFonts w:ascii="Verdana" w:hAnsi="Verdana" w:cs="Times New Roman"/>
          <w:sz w:val="19"/>
          <w:szCs w:val="19"/>
        </w:rPr>
        <w:t xml:space="preserve">, where the ICJ has called the Hungarian authorities to desist from instigating disciplinary proceedings </w:t>
      </w:r>
      <w:r w:rsidR="00AF3DB0" w:rsidRPr="00562991">
        <w:rPr>
          <w:rFonts w:ascii="Verdana" w:hAnsi="Verdana" w:cs="Times New Roman"/>
          <w:sz w:val="19"/>
          <w:szCs w:val="19"/>
        </w:rPr>
        <w:lastRenderedPageBreak/>
        <w:t xml:space="preserve">threatened against Judge </w:t>
      </w:r>
      <w:proofErr w:type="spellStart"/>
      <w:r w:rsidR="00AF3DB0" w:rsidRPr="00562991">
        <w:rPr>
          <w:rFonts w:ascii="Verdana" w:hAnsi="Verdana" w:cs="Times New Roman"/>
          <w:sz w:val="19"/>
          <w:szCs w:val="19"/>
        </w:rPr>
        <w:t>Csaba</w:t>
      </w:r>
      <w:proofErr w:type="spellEnd"/>
      <w:r w:rsidR="00AF3DB0" w:rsidRPr="00562991">
        <w:rPr>
          <w:rFonts w:ascii="Verdana" w:hAnsi="Verdana" w:cs="Times New Roman"/>
          <w:sz w:val="19"/>
          <w:szCs w:val="19"/>
        </w:rPr>
        <w:t xml:space="preserve"> </w:t>
      </w:r>
      <w:proofErr w:type="spellStart"/>
      <w:r w:rsidR="00AF3DB0" w:rsidRPr="00562991">
        <w:rPr>
          <w:rFonts w:ascii="Verdana" w:hAnsi="Verdana" w:cs="Times New Roman"/>
          <w:sz w:val="19"/>
          <w:szCs w:val="19"/>
        </w:rPr>
        <w:t>Vasvári</w:t>
      </w:r>
      <w:proofErr w:type="spellEnd"/>
      <w:r w:rsidR="00AF3DB0" w:rsidRPr="00562991">
        <w:rPr>
          <w:rFonts w:ascii="Verdana" w:hAnsi="Verdana" w:cs="Times New Roman"/>
          <w:sz w:val="19"/>
          <w:szCs w:val="19"/>
        </w:rPr>
        <w:t>, a judge of the Central District Court of Pest and a member of the Hungarian National Judicial Council, as a consequence of his request for a preliminary reference to the Court of Justice of the European Union precisely on the issue of judicial independence.</w:t>
      </w:r>
      <w:r w:rsidR="00AF3DB0" w:rsidRPr="00562991">
        <w:rPr>
          <w:rStyle w:val="FootnoteReference"/>
          <w:rFonts w:ascii="Verdana" w:hAnsi="Verdana" w:cs="Times New Roman"/>
          <w:sz w:val="19"/>
          <w:szCs w:val="19"/>
        </w:rPr>
        <w:footnoteReference w:id="58"/>
      </w:r>
      <w:r w:rsidR="00AF3DB0" w:rsidRPr="00562991">
        <w:rPr>
          <w:rFonts w:ascii="Verdana" w:hAnsi="Verdana" w:cs="Times New Roman"/>
          <w:sz w:val="19"/>
          <w:szCs w:val="19"/>
        </w:rPr>
        <w:t xml:space="preserve"> </w:t>
      </w:r>
      <w:r w:rsidR="00396810" w:rsidRPr="00562991">
        <w:rPr>
          <w:rFonts w:ascii="Verdana" w:hAnsi="Verdana" w:cs="Times New Roman"/>
          <w:sz w:val="19"/>
          <w:szCs w:val="19"/>
        </w:rPr>
        <w:t>T</w:t>
      </w:r>
      <w:r w:rsidR="00AF3DB0" w:rsidRPr="00562991">
        <w:rPr>
          <w:rFonts w:ascii="Verdana" w:hAnsi="Verdana" w:cs="Times New Roman"/>
          <w:sz w:val="19"/>
          <w:szCs w:val="19"/>
        </w:rPr>
        <w:t xml:space="preserve">he ICJ has also intervened before the European Court of Human Rights in the case of Baka v. Hungary, regarding the dismissal of the former Supreme Court President of Hungary András </w:t>
      </w:r>
      <w:proofErr w:type="gramStart"/>
      <w:r w:rsidR="00AF3DB0" w:rsidRPr="00562991">
        <w:rPr>
          <w:rFonts w:ascii="Verdana" w:hAnsi="Verdana" w:cs="Times New Roman"/>
          <w:sz w:val="19"/>
          <w:szCs w:val="19"/>
        </w:rPr>
        <w:t>Baka, that</w:t>
      </w:r>
      <w:proofErr w:type="gramEnd"/>
      <w:r w:rsidR="00AF3DB0" w:rsidRPr="00562991">
        <w:rPr>
          <w:rFonts w:ascii="Verdana" w:hAnsi="Verdana" w:cs="Times New Roman"/>
          <w:sz w:val="19"/>
          <w:szCs w:val="19"/>
        </w:rPr>
        <w:t xml:space="preserve"> has held that the </w:t>
      </w:r>
      <w:r w:rsidR="00AF3DB0" w:rsidRPr="00562991">
        <w:rPr>
          <w:rFonts w:ascii="Verdana" w:hAnsi="Verdana" w:cs="Times New Roman"/>
          <w:sz w:val="19"/>
          <w:szCs w:val="19"/>
        </w:rPr>
        <w:lastRenderedPageBreak/>
        <w:t>removal from office violated the European Convention on Human Rights.</w:t>
      </w:r>
      <w:r w:rsidR="00AF3DB0" w:rsidRPr="00562991">
        <w:rPr>
          <w:rStyle w:val="FootnoteReference"/>
          <w:rFonts w:ascii="Verdana" w:hAnsi="Verdana" w:cs="Times New Roman"/>
          <w:sz w:val="19"/>
          <w:szCs w:val="19"/>
        </w:rPr>
        <w:footnoteReference w:id="59"/>
      </w:r>
      <w:r w:rsidR="00AF3DB0" w:rsidRPr="00562991">
        <w:rPr>
          <w:rFonts w:ascii="Verdana" w:hAnsi="Verdana" w:cs="Times New Roman"/>
          <w:sz w:val="19"/>
          <w:szCs w:val="19"/>
        </w:rPr>
        <w:t xml:space="preserve"> </w:t>
      </w:r>
    </w:p>
    <w:p w14:paraId="097700EF" w14:textId="24443533" w:rsidR="00E34B0D" w:rsidRPr="00562991" w:rsidRDefault="00E34B0D" w:rsidP="00AF3DB0">
      <w:pPr>
        <w:ind w:firstLine="720"/>
        <w:jc w:val="both"/>
        <w:rPr>
          <w:rFonts w:ascii="Verdana" w:hAnsi="Verdana" w:cs="Times New Roman"/>
          <w:sz w:val="19"/>
          <w:szCs w:val="19"/>
        </w:rPr>
      </w:pPr>
      <w:r w:rsidRPr="00562991">
        <w:rPr>
          <w:rFonts w:ascii="Verdana" w:hAnsi="Verdana" w:cs="Times New Roman"/>
          <w:sz w:val="19"/>
          <w:szCs w:val="19"/>
        </w:rPr>
        <w:t xml:space="preserve">Moreover, regarding the situation in </w:t>
      </w:r>
      <w:r w:rsidRPr="00562991">
        <w:rPr>
          <w:rFonts w:ascii="Verdana" w:hAnsi="Verdana" w:cs="Times New Roman"/>
          <w:b/>
          <w:bCs/>
          <w:sz w:val="19"/>
          <w:szCs w:val="19"/>
        </w:rPr>
        <w:t>Moldova</w:t>
      </w:r>
      <w:r w:rsidRPr="00562991">
        <w:rPr>
          <w:rFonts w:ascii="Verdana" w:hAnsi="Verdana" w:cs="Times New Roman"/>
          <w:sz w:val="19"/>
          <w:szCs w:val="19"/>
        </w:rPr>
        <w:t xml:space="preserve">, </w:t>
      </w:r>
      <w:r w:rsidR="008F4ABC" w:rsidRPr="00562991">
        <w:rPr>
          <w:rFonts w:ascii="Verdana" w:hAnsi="Verdana" w:cs="Times New Roman"/>
          <w:sz w:val="19"/>
          <w:szCs w:val="19"/>
        </w:rPr>
        <w:t xml:space="preserve">although the ICJ has welcomed the reforms of the disciplinary system of judges, it is still </w:t>
      </w:r>
      <w:r w:rsidRPr="00562991">
        <w:rPr>
          <w:rFonts w:ascii="Verdana" w:hAnsi="Verdana" w:cs="Times New Roman"/>
          <w:sz w:val="19"/>
          <w:szCs w:val="19"/>
        </w:rPr>
        <w:t xml:space="preserve">particularly concerned by some of the grounds of dismissal. </w:t>
      </w:r>
      <w:r w:rsidRPr="00562991">
        <w:rPr>
          <w:rFonts w:ascii="Verdana" w:hAnsi="Verdana" w:cs="Times New Roman"/>
          <w:i/>
          <w:iCs/>
          <w:sz w:val="19"/>
          <w:szCs w:val="19"/>
        </w:rPr>
        <w:t>Inter alia</w:t>
      </w:r>
      <w:r w:rsidRPr="00562991">
        <w:rPr>
          <w:rFonts w:ascii="Verdana" w:hAnsi="Verdana" w:cs="Times New Roman"/>
          <w:sz w:val="19"/>
          <w:szCs w:val="19"/>
        </w:rPr>
        <w:t xml:space="preserve">, the ground of dismissal of issuing a decision contrary to fundamental rights because the disciplinary proceedings could be triggered even before a final decision by the last </w:t>
      </w:r>
      <w:r w:rsidRPr="00562991">
        <w:rPr>
          <w:rFonts w:ascii="Verdana" w:hAnsi="Verdana" w:cs="Times New Roman"/>
          <w:sz w:val="19"/>
          <w:szCs w:val="19"/>
        </w:rPr>
        <w:lastRenderedPageBreak/>
        <w:t>instance court is issued and may constitute undue pressure on the internal independence of appellate judges. Furthermore, the ICJ has expressed its concern about the ground of dismissal after two negative evaluations or a failed evaluation, since disciplinary proceedings should be only linked to disciplinary offences provided by international standards, and not evaluation assessments.</w:t>
      </w:r>
      <w:r w:rsidRPr="00562991">
        <w:rPr>
          <w:rStyle w:val="FootnoteReference"/>
          <w:rFonts w:ascii="Verdana" w:hAnsi="Verdana" w:cs="Times New Roman"/>
          <w:sz w:val="19"/>
          <w:szCs w:val="19"/>
        </w:rPr>
        <w:footnoteReference w:id="60"/>
      </w:r>
      <w:r w:rsidRPr="00562991">
        <w:rPr>
          <w:rFonts w:ascii="Verdana" w:hAnsi="Verdana" w:cs="Times New Roman"/>
          <w:sz w:val="19"/>
          <w:szCs w:val="19"/>
        </w:rPr>
        <w:t xml:space="preserve"> </w:t>
      </w:r>
      <w:r w:rsidR="00B2227E" w:rsidRPr="00562991">
        <w:rPr>
          <w:rFonts w:ascii="Verdana" w:hAnsi="Verdana" w:cs="Times New Roman"/>
          <w:sz w:val="19"/>
          <w:szCs w:val="19"/>
        </w:rPr>
        <w:t xml:space="preserve">Of particular concern is the fact that judges may be subject to criminal prosecution for issuing an “unlawful judgement”. The criminal prosecution for this offence, even if subject to the authorisation </w:t>
      </w:r>
      <w:r w:rsidR="00B2227E" w:rsidRPr="00562991">
        <w:rPr>
          <w:rFonts w:ascii="Verdana" w:hAnsi="Verdana" w:cs="Times New Roman"/>
          <w:sz w:val="19"/>
          <w:szCs w:val="19"/>
        </w:rPr>
        <w:lastRenderedPageBreak/>
        <w:t>by the Supreme Council of the Magistracy, until recently was practically always allowed by this body. Whenever a judge was prosecuted under this offence, a disciplinary proceeding will begin in parallel as it occurs whenever judges are subject to a criminal prosecution.</w:t>
      </w:r>
      <w:r w:rsidR="00B2227E" w:rsidRPr="00562991">
        <w:rPr>
          <w:rStyle w:val="FootnoteReference"/>
          <w:rFonts w:ascii="Verdana" w:hAnsi="Verdana" w:cs="Times New Roman"/>
          <w:sz w:val="19"/>
          <w:szCs w:val="19"/>
        </w:rPr>
        <w:footnoteReference w:id="61"/>
      </w:r>
      <w:r w:rsidR="00B2227E" w:rsidRPr="00562991">
        <w:rPr>
          <w:rFonts w:ascii="Verdana" w:hAnsi="Verdana" w:cs="Times New Roman"/>
          <w:sz w:val="19"/>
          <w:szCs w:val="19"/>
        </w:rPr>
        <w:t xml:space="preserve"> </w:t>
      </w:r>
      <w:r w:rsidRPr="00562991">
        <w:rPr>
          <w:rFonts w:ascii="Verdana" w:hAnsi="Verdana" w:cs="Times New Roman"/>
          <w:sz w:val="19"/>
          <w:szCs w:val="19"/>
        </w:rPr>
        <w:t>Furthermore, regarding the procedural guarantees, the ICJ has reported that there are some concerns amongst judges that the Ministry of Justice and the Prosecutor’s office have an inappropriate role in initiating disciplinary proceedings.</w:t>
      </w:r>
    </w:p>
    <w:p w14:paraId="7ABB10CB" w14:textId="1DEC4B4E" w:rsidR="00BC632B" w:rsidRPr="00562991" w:rsidRDefault="006B1F93" w:rsidP="00BC632B">
      <w:pPr>
        <w:ind w:firstLine="720"/>
        <w:jc w:val="both"/>
        <w:rPr>
          <w:rFonts w:ascii="Verdana" w:hAnsi="Verdana" w:cs="Times New Roman"/>
          <w:b/>
          <w:bCs/>
          <w:sz w:val="19"/>
          <w:szCs w:val="19"/>
        </w:rPr>
      </w:pPr>
      <w:r w:rsidRPr="00562991">
        <w:rPr>
          <w:rFonts w:ascii="Verdana" w:hAnsi="Verdana" w:cs="Times New Roman"/>
          <w:sz w:val="19"/>
          <w:szCs w:val="19"/>
        </w:rPr>
        <w:lastRenderedPageBreak/>
        <w:t xml:space="preserve">Finally, instances of </w:t>
      </w:r>
      <w:r w:rsidR="006071CD">
        <w:rPr>
          <w:rFonts w:ascii="Verdana" w:hAnsi="Verdana" w:cs="Times New Roman"/>
          <w:sz w:val="19"/>
          <w:szCs w:val="19"/>
        </w:rPr>
        <w:t xml:space="preserve">problematic </w:t>
      </w:r>
      <w:r w:rsidRPr="00562991">
        <w:rPr>
          <w:rFonts w:ascii="Verdana" w:hAnsi="Verdana" w:cs="Times New Roman"/>
          <w:sz w:val="19"/>
          <w:szCs w:val="19"/>
        </w:rPr>
        <w:t xml:space="preserve">disciplinary proceedings against judges and flaws in the legal basis and procedures have been also reported in </w:t>
      </w:r>
      <w:r w:rsidRPr="00562991">
        <w:rPr>
          <w:rFonts w:ascii="Verdana" w:hAnsi="Verdana" w:cs="Times New Roman"/>
          <w:b/>
          <w:bCs/>
          <w:sz w:val="19"/>
          <w:szCs w:val="19"/>
        </w:rPr>
        <w:t>Tajikistan</w:t>
      </w:r>
      <w:r w:rsidRPr="00562991">
        <w:rPr>
          <w:rFonts w:ascii="Verdana" w:hAnsi="Verdana" w:cs="Times New Roman"/>
          <w:sz w:val="19"/>
          <w:szCs w:val="19"/>
        </w:rPr>
        <w:t xml:space="preserve">. </w:t>
      </w:r>
      <w:r w:rsidR="00735EE4" w:rsidRPr="00562991">
        <w:rPr>
          <w:rFonts w:ascii="Verdana" w:hAnsi="Verdana" w:cs="Times New Roman"/>
          <w:sz w:val="19"/>
          <w:szCs w:val="19"/>
        </w:rPr>
        <w:t>Concretely, the grounds for disciplinary responsibility appear to be overly general</w:t>
      </w:r>
      <w:r w:rsidR="00BC632B" w:rsidRPr="00562991">
        <w:rPr>
          <w:rFonts w:ascii="Verdana" w:hAnsi="Verdana" w:cs="Times New Roman"/>
          <w:sz w:val="19"/>
          <w:szCs w:val="19"/>
        </w:rPr>
        <w:t xml:space="preserve"> and vague</w:t>
      </w:r>
      <w:r w:rsidR="00735EE4" w:rsidRPr="00562991">
        <w:rPr>
          <w:rFonts w:ascii="Verdana" w:hAnsi="Verdana" w:cs="Times New Roman"/>
          <w:sz w:val="19"/>
          <w:szCs w:val="19"/>
        </w:rPr>
        <w:t xml:space="preserve">, including </w:t>
      </w:r>
      <w:r w:rsidR="00D633A6" w:rsidRPr="00562991">
        <w:rPr>
          <w:rFonts w:ascii="Verdana" w:hAnsi="Verdana" w:cs="Times New Roman"/>
          <w:sz w:val="19"/>
          <w:szCs w:val="19"/>
        </w:rPr>
        <w:t xml:space="preserve">the ground of </w:t>
      </w:r>
      <w:r w:rsidR="00735EE4" w:rsidRPr="00562991">
        <w:rPr>
          <w:rFonts w:ascii="Verdana" w:hAnsi="Verdana" w:cs="Times New Roman"/>
          <w:sz w:val="19"/>
          <w:szCs w:val="19"/>
        </w:rPr>
        <w:t>committing an offense discrediting the image of the judiciary, the honour and dignity of a judge or a violation of the Ethic Code of Judges</w:t>
      </w:r>
      <w:r w:rsidR="00FC3E5E" w:rsidRPr="00562991">
        <w:rPr>
          <w:rFonts w:ascii="Verdana" w:hAnsi="Verdana" w:cs="Times New Roman"/>
          <w:sz w:val="19"/>
          <w:szCs w:val="19"/>
        </w:rPr>
        <w:t>.</w:t>
      </w:r>
      <w:r w:rsidR="00D633A6" w:rsidRPr="00562991">
        <w:rPr>
          <w:rStyle w:val="FootnoteReference"/>
          <w:rFonts w:ascii="Verdana" w:hAnsi="Verdana" w:cs="Times New Roman"/>
          <w:sz w:val="19"/>
          <w:szCs w:val="19"/>
        </w:rPr>
        <w:footnoteReference w:id="62"/>
      </w:r>
      <w:r w:rsidR="00735EE4" w:rsidRPr="00562991">
        <w:rPr>
          <w:rFonts w:ascii="Verdana" w:hAnsi="Verdana" w:cs="Times New Roman"/>
          <w:sz w:val="19"/>
          <w:szCs w:val="19"/>
        </w:rPr>
        <w:t xml:space="preserve"> The lack of precision </w:t>
      </w:r>
      <w:r w:rsidR="00D633A6" w:rsidRPr="00562991">
        <w:rPr>
          <w:rFonts w:ascii="Verdana" w:hAnsi="Verdana" w:cs="Times New Roman"/>
          <w:sz w:val="19"/>
          <w:szCs w:val="19"/>
        </w:rPr>
        <w:t xml:space="preserve">of the grounds and the correlation of breaches of professional standards with disciplinary sanctions, </w:t>
      </w:r>
      <w:r w:rsidR="00735EE4" w:rsidRPr="00562991">
        <w:rPr>
          <w:rFonts w:ascii="Verdana" w:hAnsi="Verdana" w:cs="Times New Roman"/>
          <w:sz w:val="19"/>
          <w:szCs w:val="19"/>
        </w:rPr>
        <w:t xml:space="preserve">may contradict the requirements of </w:t>
      </w:r>
      <w:r w:rsidR="00735EE4" w:rsidRPr="00562991">
        <w:rPr>
          <w:rFonts w:ascii="Verdana" w:hAnsi="Verdana" w:cs="Times New Roman"/>
          <w:sz w:val="19"/>
          <w:szCs w:val="19"/>
        </w:rPr>
        <w:lastRenderedPageBreak/>
        <w:t>legal certainty and predictability</w:t>
      </w:r>
      <w:r w:rsidR="00D633A6" w:rsidRPr="00562991">
        <w:rPr>
          <w:rFonts w:ascii="Verdana" w:hAnsi="Verdana" w:cs="Times New Roman"/>
          <w:sz w:val="19"/>
          <w:szCs w:val="19"/>
        </w:rPr>
        <w:t xml:space="preserve">. The </w:t>
      </w:r>
      <w:r w:rsidR="00986F9E" w:rsidRPr="00562991">
        <w:rPr>
          <w:rFonts w:ascii="Verdana" w:hAnsi="Verdana" w:cs="Times New Roman"/>
          <w:sz w:val="19"/>
          <w:szCs w:val="19"/>
        </w:rPr>
        <w:t xml:space="preserve">ICJ’s </w:t>
      </w:r>
      <w:r w:rsidR="00D633A6" w:rsidRPr="00562991">
        <w:rPr>
          <w:rFonts w:ascii="Verdana" w:hAnsi="Verdana" w:cs="Times New Roman"/>
          <w:sz w:val="19"/>
          <w:szCs w:val="19"/>
        </w:rPr>
        <w:t xml:space="preserve">attention was specifically drawn to the ground of dismissal of a judge </w:t>
      </w:r>
      <w:r w:rsidR="00FC3E5E" w:rsidRPr="00562991">
        <w:rPr>
          <w:rFonts w:ascii="Verdana" w:hAnsi="Verdana" w:cs="Times New Roman"/>
          <w:sz w:val="19"/>
          <w:szCs w:val="19"/>
        </w:rPr>
        <w:t>based on</w:t>
      </w:r>
      <w:r w:rsidR="00D633A6" w:rsidRPr="00562991">
        <w:rPr>
          <w:rFonts w:ascii="Verdana" w:hAnsi="Verdana" w:cs="Times New Roman"/>
          <w:sz w:val="19"/>
          <w:szCs w:val="19"/>
        </w:rPr>
        <w:t xml:space="preserve"> violation</w:t>
      </w:r>
      <w:r w:rsidR="00FC3E5E" w:rsidRPr="00562991">
        <w:rPr>
          <w:rFonts w:ascii="Verdana" w:hAnsi="Verdana" w:cs="Times New Roman"/>
          <w:sz w:val="19"/>
          <w:szCs w:val="19"/>
        </w:rPr>
        <w:t>s</w:t>
      </w:r>
      <w:r w:rsidR="00D633A6" w:rsidRPr="00562991">
        <w:rPr>
          <w:rFonts w:ascii="Verdana" w:hAnsi="Verdana" w:cs="Times New Roman"/>
          <w:sz w:val="19"/>
          <w:szCs w:val="19"/>
        </w:rPr>
        <w:t xml:space="preserve"> of the law on regulation of traditions, celebrations and rites</w:t>
      </w:r>
      <w:r w:rsidR="00FC3E5E" w:rsidRPr="00562991">
        <w:rPr>
          <w:rFonts w:ascii="Verdana" w:hAnsi="Verdana" w:cs="Times New Roman"/>
          <w:sz w:val="19"/>
          <w:szCs w:val="19"/>
        </w:rPr>
        <w:t>,</w:t>
      </w:r>
      <w:r w:rsidR="00D633A6" w:rsidRPr="00562991">
        <w:rPr>
          <w:rFonts w:ascii="Verdana" w:hAnsi="Verdana" w:cs="Times New Roman"/>
          <w:sz w:val="19"/>
          <w:szCs w:val="19"/>
        </w:rPr>
        <w:t xml:space="preserve"> a ground for termination of office introduced with the adoption of the law in 2007.</w:t>
      </w:r>
      <w:r w:rsidR="00D633A6" w:rsidRPr="00562991">
        <w:rPr>
          <w:rStyle w:val="FootnoteReference"/>
          <w:rFonts w:ascii="Verdana" w:hAnsi="Verdana" w:cs="Times New Roman"/>
          <w:sz w:val="19"/>
          <w:szCs w:val="19"/>
        </w:rPr>
        <w:footnoteReference w:id="63"/>
      </w:r>
      <w:r w:rsidR="00D633A6" w:rsidRPr="00562991">
        <w:rPr>
          <w:rFonts w:ascii="Verdana" w:hAnsi="Verdana" w:cs="Times New Roman"/>
          <w:sz w:val="19"/>
          <w:szCs w:val="19"/>
        </w:rPr>
        <w:t xml:space="preserve"> It is particularly problematic that the Law on Courts makes a reference to the violation of the Law on Traditions, including provisions which may not meet the principle of the quality of law.</w:t>
      </w:r>
      <w:r w:rsidR="00D633A6" w:rsidRPr="00562991">
        <w:rPr>
          <w:rStyle w:val="FootnoteReference"/>
          <w:rFonts w:ascii="Verdana" w:hAnsi="Verdana" w:cs="Times New Roman"/>
          <w:sz w:val="19"/>
          <w:szCs w:val="19"/>
        </w:rPr>
        <w:footnoteReference w:id="64"/>
      </w:r>
      <w:r w:rsidR="00D633A6" w:rsidRPr="00562991">
        <w:rPr>
          <w:rFonts w:ascii="Verdana" w:hAnsi="Verdana" w:cs="Times New Roman"/>
          <w:b/>
          <w:bCs/>
          <w:sz w:val="19"/>
          <w:szCs w:val="19"/>
        </w:rPr>
        <w:t xml:space="preserve"> </w:t>
      </w:r>
    </w:p>
    <w:p w14:paraId="27403EB9" w14:textId="30AFA3D1" w:rsidR="00BC632B" w:rsidRPr="00562991" w:rsidRDefault="00BC632B" w:rsidP="00BC632B">
      <w:pPr>
        <w:ind w:firstLine="720"/>
        <w:jc w:val="both"/>
        <w:rPr>
          <w:rFonts w:ascii="Verdana" w:hAnsi="Verdana" w:cs="Times New Roman"/>
          <w:sz w:val="19"/>
          <w:szCs w:val="19"/>
        </w:rPr>
      </w:pPr>
      <w:r w:rsidRPr="00562991">
        <w:rPr>
          <w:rFonts w:ascii="Verdana" w:hAnsi="Verdana" w:cs="Times New Roman"/>
          <w:sz w:val="19"/>
          <w:szCs w:val="19"/>
        </w:rPr>
        <w:lastRenderedPageBreak/>
        <w:t xml:space="preserve">Furthermore, disciplinary bodies in </w:t>
      </w:r>
      <w:r w:rsidRPr="00562991">
        <w:rPr>
          <w:rFonts w:ascii="Verdana" w:hAnsi="Verdana" w:cs="Times New Roman"/>
          <w:b/>
          <w:bCs/>
          <w:sz w:val="19"/>
          <w:szCs w:val="19"/>
        </w:rPr>
        <w:t>Tajikistan</w:t>
      </w:r>
      <w:r w:rsidRPr="00562991">
        <w:rPr>
          <w:rFonts w:ascii="Verdana" w:hAnsi="Verdana" w:cs="Times New Roman"/>
          <w:sz w:val="19"/>
          <w:szCs w:val="19"/>
        </w:rPr>
        <w:t xml:space="preserve"> are, in many instances, we</w:t>
      </w:r>
      <w:r w:rsidR="0026767B" w:rsidRPr="00562991">
        <w:rPr>
          <w:rFonts w:ascii="Verdana" w:hAnsi="Verdana" w:cs="Times New Roman"/>
          <w:sz w:val="19"/>
          <w:szCs w:val="19"/>
        </w:rPr>
        <w:t>a</w:t>
      </w:r>
      <w:r w:rsidRPr="00562991">
        <w:rPr>
          <w:rFonts w:ascii="Verdana" w:hAnsi="Verdana" w:cs="Times New Roman"/>
          <w:sz w:val="19"/>
          <w:szCs w:val="19"/>
        </w:rPr>
        <w:t>k</w:t>
      </w:r>
      <w:r w:rsidR="00FC3E5E" w:rsidRPr="00562991">
        <w:rPr>
          <w:rFonts w:ascii="Verdana" w:hAnsi="Verdana" w:cs="Times New Roman"/>
          <w:sz w:val="19"/>
          <w:szCs w:val="19"/>
        </w:rPr>
        <w:t>,</w:t>
      </w:r>
      <w:r w:rsidRPr="00562991">
        <w:rPr>
          <w:rFonts w:ascii="Verdana" w:hAnsi="Verdana" w:cs="Times New Roman"/>
          <w:sz w:val="19"/>
          <w:szCs w:val="19"/>
        </w:rPr>
        <w:t xml:space="preserve"> and the </w:t>
      </w:r>
      <w:r w:rsidR="0026767B" w:rsidRPr="00562991">
        <w:rPr>
          <w:rFonts w:ascii="Verdana" w:hAnsi="Verdana" w:cs="Times New Roman"/>
          <w:sz w:val="19"/>
          <w:szCs w:val="19"/>
        </w:rPr>
        <w:t xml:space="preserve">operation </w:t>
      </w:r>
      <w:r w:rsidRPr="00562991">
        <w:rPr>
          <w:rFonts w:ascii="Verdana" w:hAnsi="Verdana" w:cs="Times New Roman"/>
          <w:sz w:val="19"/>
          <w:szCs w:val="19"/>
        </w:rPr>
        <w:t>of the</w:t>
      </w:r>
      <w:r w:rsidR="0026767B" w:rsidRPr="00562991">
        <w:rPr>
          <w:rFonts w:ascii="Verdana" w:hAnsi="Verdana" w:cs="Times New Roman"/>
          <w:sz w:val="19"/>
          <w:szCs w:val="19"/>
        </w:rPr>
        <w:t>se</w:t>
      </w:r>
      <w:r w:rsidRPr="00562991">
        <w:rPr>
          <w:rFonts w:ascii="Verdana" w:hAnsi="Verdana" w:cs="Times New Roman"/>
          <w:sz w:val="19"/>
          <w:szCs w:val="19"/>
        </w:rPr>
        <w:t xml:space="preserve"> mechanisms is not prescribed by law.</w:t>
      </w:r>
      <w:r w:rsidRPr="00562991">
        <w:rPr>
          <w:rStyle w:val="FootnoteReference"/>
          <w:rFonts w:ascii="Verdana" w:hAnsi="Verdana" w:cs="Times New Roman"/>
          <w:sz w:val="19"/>
          <w:szCs w:val="19"/>
        </w:rPr>
        <w:footnoteReference w:id="65"/>
      </w:r>
      <w:r w:rsidRPr="00562991">
        <w:rPr>
          <w:rFonts w:ascii="Verdana" w:hAnsi="Verdana" w:cs="Times New Roman"/>
          <w:sz w:val="19"/>
          <w:szCs w:val="19"/>
        </w:rPr>
        <w:t xml:space="preserve"> In addition, the internal documents upon which they are organised and operate are not publicly available, reason why the ICJ has expressed concerns about the unexpected problem of accessibility of the documents regulating disciplinary procedure</w:t>
      </w:r>
      <w:r w:rsidR="00FC3E5E" w:rsidRPr="00562991">
        <w:rPr>
          <w:rFonts w:ascii="Verdana" w:hAnsi="Verdana" w:cs="Times New Roman"/>
          <w:sz w:val="19"/>
          <w:szCs w:val="19"/>
        </w:rPr>
        <w:t xml:space="preserve">. The ICJ has manifested particular concerns about accessibility to the </w:t>
      </w:r>
      <w:r w:rsidRPr="00562991">
        <w:rPr>
          <w:rFonts w:ascii="Verdana" w:hAnsi="Verdana" w:cs="Times New Roman"/>
          <w:sz w:val="19"/>
          <w:szCs w:val="19"/>
        </w:rPr>
        <w:t>work of the Judicial Unit</w:t>
      </w:r>
      <w:r w:rsidR="00354AD7" w:rsidRPr="00562991">
        <w:rPr>
          <w:rFonts w:ascii="Verdana" w:hAnsi="Verdana" w:cs="Times New Roman"/>
          <w:sz w:val="19"/>
          <w:szCs w:val="19"/>
        </w:rPr>
        <w:t xml:space="preserve">, the body in charge of carrying out an enquiry into the work of the judge concerned, including visits to the court where the judge works, interviewing the </w:t>
      </w:r>
      <w:r w:rsidR="00354AD7" w:rsidRPr="00562991">
        <w:rPr>
          <w:rFonts w:ascii="Verdana" w:hAnsi="Verdana" w:cs="Times New Roman"/>
          <w:sz w:val="19"/>
          <w:szCs w:val="19"/>
        </w:rPr>
        <w:lastRenderedPageBreak/>
        <w:t>judge and others as well as examining decisions of the judge and other relevant documents</w:t>
      </w:r>
      <w:r w:rsidRPr="00562991">
        <w:rPr>
          <w:rFonts w:ascii="Verdana" w:hAnsi="Verdana" w:cs="Times New Roman"/>
          <w:sz w:val="19"/>
          <w:szCs w:val="19"/>
        </w:rPr>
        <w:t>.</w:t>
      </w:r>
      <w:r w:rsidRPr="00562991">
        <w:rPr>
          <w:rStyle w:val="FootnoteReference"/>
          <w:rFonts w:ascii="Verdana" w:hAnsi="Verdana" w:cs="Times New Roman"/>
          <w:sz w:val="19"/>
          <w:szCs w:val="19"/>
        </w:rPr>
        <w:footnoteReference w:id="66"/>
      </w:r>
      <w:r w:rsidRPr="00562991">
        <w:rPr>
          <w:rFonts w:ascii="Verdana" w:hAnsi="Verdana" w:cs="Times New Roman"/>
          <w:sz w:val="19"/>
          <w:szCs w:val="19"/>
        </w:rPr>
        <w:t xml:space="preserve"> Moreover, the law </w:t>
      </w:r>
      <w:r w:rsidR="00593B3C" w:rsidRPr="00562991">
        <w:rPr>
          <w:rFonts w:ascii="Verdana" w:hAnsi="Verdana" w:cs="Times New Roman"/>
          <w:sz w:val="19"/>
          <w:szCs w:val="19"/>
        </w:rPr>
        <w:t xml:space="preserve">does not fully </w:t>
      </w:r>
      <w:r w:rsidRPr="00562991">
        <w:rPr>
          <w:rFonts w:ascii="Verdana" w:hAnsi="Verdana" w:cs="Times New Roman"/>
          <w:sz w:val="19"/>
          <w:szCs w:val="19"/>
        </w:rPr>
        <w:t xml:space="preserve">disciplinary proceedings </w:t>
      </w:r>
      <w:r w:rsidR="00593B3C" w:rsidRPr="00562991">
        <w:rPr>
          <w:rFonts w:ascii="Verdana" w:hAnsi="Verdana" w:cs="Times New Roman"/>
          <w:sz w:val="19"/>
          <w:szCs w:val="19"/>
        </w:rPr>
        <w:t xml:space="preserve">from </w:t>
      </w:r>
      <w:r w:rsidRPr="00562991">
        <w:rPr>
          <w:rFonts w:ascii="Verdana" w:hAnsi="Verdana" w:cs="Times New Roman"/>
          <w:sz w:val="19"/>
          <w:szCs w:val="19"/>
        </w:rPr>
        <w:t>criminal or administrative offence proceedings</w:t>
      </w:r>
      <w:r w:rsidR="00593B3C" w:rsidRPr="00562991">
        <w:rPr>
          <w:rFonts w:ascii="Verdana" w:hAnsi="Verdana" w:cs="Times New Roman"/>
          <w:sz w:val="19"/>
          <w:szCs w:val="19"/>
        </w:rPr>
        <w:t xml:space="preserve"> and one may follow the other</w:t>
      </w:r>
      <w:r w:rsidRPr="00562991">
        <w:rPr>
          <w:rFonts w:ascii="Verdana" w:hAnsi="Verdana" w:cs="Times New Roman"/>
          <w:sz w:val="19"/>
          <w:szCs w:val="19"/>
        </w:rPr>
        <w:t>.</w:t>
      </w:r>
      <w:r w:rsidRPr="00562991">
        <w:rPr>
          <w:rStyle w:val="FootnoteReference"/>
          <w:rFonts w:ascii="Verdana" w:hAnsi="Verdana" w:cs="Times New Roman"/>
          <w:sz w:val="19"/>
          <w:szCs w:val="19"/>
        </w:rPr>
        <w:footnoteReference w:id="67"/>
      </w:r>
      <w:r w:rsidRPr="00562991">
        <w:rPr>
          <w:rFonts w:ascii="Verdana" w:hAnsi="Verdana" w:cs="Times New Roman"/>
          <w:sz w:val="19"/>
          <w:szCs w:val="19"/>
        </w:rPr>
        <w:t xml:space="preserve"> This appears to be problematic, </w:t>
      </w:r>
      <w:r w:rsidR="00FC3E5E" w:rsidRPr="00562991">
        <w:rPr>
          <w:rFonts w:ascii="Verdana" w:hAnsi="Verdana" w:cs="Times New Roman"/>
          <w:sz w:val="19"/>
          <w:szCs w:val="19"/>
        </w:rPr>
        <w:t>s</w:t>
      </w:r>
      <w:r w:rsidRPr="00562991">
        <w:rPr>
          <w:rFonts w:ascii="Verdana" w:hAnsi="Verdana" w:cs="Times New Roman"/>
          <w:sz w:val="19"/>
          <w:szCs w:val="19"/>
        </w:rPr>
        <w:t>ince the conflation of these proceedings might put judicial independence at risk. In particular, the ICJ was informed of a consistent practice of suspending judicial status when initiating a criminal case against a judge. In a number of cases,</w:t>
      </w:r>
      <w:r w:rsidR="00FC3E5E" w:rsidRPr="00562991">
        <w:rPr>
          <w:rFonts w:ascii="Verdana" w:hAnsi="Verdana" w:cs="Times New Roman"/>
          <w:sz w:val="19"/>
          <w:szCs w:val="19"/>
        </w:rPr>
        <w:t xml:space="preserve"> although</w:t>
      </w:r>
      <w:r w:rsidRPr="00562991">
        <w:rPr>
          <w:rFonts w:ascii="Verdana" w:hAnsi="Verdana" w:cs="Times New Roman"/>
          <w:sz w:val="19"/>
          <w:szCs w:val="19"/>
        </w:rPr>
        <w:t xml:space="preserve"> the criminal charges were removed, the judge was never reinstated </w:t>
      </w:r>
      <w:r w:rsidRPr="00562991">
        <w:rPr>
          <w:rFonts w:ascii="Verdana" w:hAnsi="Verdana" w:cs="Times New Roman"/>
          <w:sz w:val="19"/>
          <w:szCs w:val="19"/>
        </w:rPr>
        <w:lastRenderedPageBreak/>
        <w:t>in his or her judicial status</w:t>
      </w:r>
      <w:r w:rsidRPr="00562991">
        <w:rPr>
          <w:rFonts w:ascii="Verdana" w:hAnsi="Verdana" w:cs="Times New Roman"/>
          <w:b/>
          <w:bCs/>
          <w:sz w:val="19"/>
          <w:szCs w:val="19"/>
        </w:rPr>
        <w:t>.</w:t>
      </w:r>
      <w:r w:rsidRPr="00562991">
        <w:rPr>
          <w:rStyle w:val="FootnoteReference"/>
          <w:rFonts w:ascii="Verdana" w:hAnsi="Verdana" w:cs="Times New Roman"/>
          <w:sz w:val="19"/>
          <w:szCs w:val="19"/>
        </w:rPr>
        <w:footnoteReference w:id="68"/>
      </w:r>
      <w:r w:rsidR="00354AD7" w:rsidRPr="00562991">
        <w:rPr>
          <w:rFonts w:ascii="Verdana" w:hAnsi="Verdana" w:cs="Times New Roman"/>
          <w:b/>
          <w:bCs/>
          <w:sz w:val="19"/>
          <w:szCs w:val="19"/>
        </w:rPr>
        <w:t xml:space="preserve"> </w:t>
      </w:r>
      <w:r w:rsidRPr="00562991">
        <w:rPr>
          <w:rFonts w:ascii="Verdana" w:hAnsi="Verdana" w:cs="Times New Roman"/>
          <w:sz w:val="19"/>
          <w:szCs w:val="19"/>
        </w:rPr>
        <w:t>Despite these flaws, the ICJ has observed that judges do not appear to be often dismissed</w:t>
      </w:r>
      <w:r w:rsidR="00FC3E5E" w:rsidRPr="00562991">
        <w:rPr>
          <w:rFonts w:ascii="Verdana" w:hAnsi="Verdana" w:cs="Times New Roman"/>
          <w:sz w:val="19"/>
          <w:szCs w:val="19"/>
        </w:rPr>
        <w:t>,</w:t>
      </w:r>
      <w:r w:rsidRPr="00562991">
        <w:rPr>
          <w:rFonts w:ascii="Verdana" w:hAnsi="Verdana" w:cs="Times New Roman"/>
          <w:sz w:val="19"/>
          <w:szCs w:val="19"/>
        </w:rPr>
        <w:t xml:space="preserve"> which points to a certain level of security of tenure in practice.</w:t>
      </w:r>
      <w:r w:rsidRPr="00562991">
        <w:rPr>
          <w:rStyle w:val="FootnoteReference"/>
          <w:rFonts w:ascii="Verdana" w:hAnsi="Verdana" w:cs="Times New Roman"/>
          <w:sz w:val="19"/>
          <w:szCs w:val="19"/>
        </w:rPr>
        <w:footnoteReference w:id="69"/>
      </w:r>
    </w:p>
    <w:p w14:paraId="4E73034B" w14:textId="2DD6776C" w:rsidR="00986142" w:rsidRPr="00562991" w:rsidRDefault="00354AD7" w:rsidP="00354AD7">
      <w:pPr>
        <w:ind w:firstLine="720"/>
        <w:jc w:val="both"/>
        <w:rPr>
          <w:rFonts w:ascii="Verdana" w:hAnsi="Verdana" w:cs="Times New Roman"/>
          <w:sz w:val="19"/>
          <w:szCs w:val="19"/>
        </w:rPr>
      </w:pPr>
      <w:r w:rsidRPr="00562991">
        <w:rPr>
          <w:rFonts w:ascii="Verdana" w:hAnsi="Verdana" w:cs="Times New Roman"/>
          <w:sz w:val="19"/>
          <w:szCs w:val="19"/>
        </w:rPr>
        <w:t xml:space="preserve">Besides disciplinary proceedings, the ICJ has learned about other measures used in </w:t>
      </w:r>
      <w:r w:rsidRPr="00562991">
        <w:rPr>
          <w:rFonts w:ascii="Verdana" w:hAnsi="Verdana" w:cs="Times New Roman"/>
          <w:b/>
          <w:bCs/>
          <w:sz w:val="19"/>
          <w:szCs w:val="19"/>
        </w:rPr>
        <w:t>Tajikistan</w:t>
      </w:r>
      <w:r w:rsidRPr="00562991">
        <w:rPr>
          <w:rFonts w:ascii="Verdana" w:hAnsi="Verdana" w:cs="Times New Roman"/>
          <w:sz w:val="19"/>
          <w:szCs w:val="19"/>
        </w:rPr>
        <w:t xml:space="preserve"> to interfere with judges’ independence. Although according to the law transfer of a judge from one court to another is only allowed with his or her consent, it seems that the voluntary nature of the consent does not exist in practice. Judges are often transferred to a remote locality without </w:t>
      </w:r>
      <w:r w:rsidRPr="00562991">
        <w:rPr>
          <w:rFonts w:ascii="Verdana" w:hAnsi="Verdana" w:cs="Times New Roman"/>
          <w:sz w:val="19"/>
          <w:szCs w:val="19"/>
        </w:rPr>
        <w:lastRenderedPageBreak/>
        <w:t>necessarily consent of the judge. In fact, the ICJ mission heard that transfers may be done without providing proper housing, under the threat of disciplinary sanctions and even deprivation of status of the judge.</w:t>
      </w:r>
      <w:r w:rsidRPr="00562991">
        <w:rPr>
          <w:rStyle w:val="FootnoteReference"/>
          <w:rFonts w:ascii="Verdana" w:hAnsi="Verdana" w:cs="Times New Roman"/>
          <w:sz w:val="19"/>
          <w:szCs w:val="19"/>
        </w:rPr>
        <w:footnoteReference w:id="70"/>
      </w:r>
    </w:p>
    <w:p w14:paraId="2F50A456" w14:textId="6587A0A1" w:rsidR="00093892" w:rsidRDefault="00093892" w:rsidP="007E154E">
      <w:pPr>
        <w:jc w:val="both"/>
        <w:rPr>
          <w:rFonts w:ascii="Verdana" w:hAnsi="Verdana" w:cs="Times New Roman"/>
          <w:b/>
          <w:bCs/>
          <w:sz w:val="19"/>
          <w:szCs w:val="19"/>
        </w:rPr>
      </w:pPr>
    </w:p>
    <w:p w14:paraId="1F2A39A6" w14:textId="65C48E34" w:rsidR="000813F4" w:rsidRDefault="000813F4" w:rsidP="000813F4">
      <w:pPr>
        <w:pStyle w:val="Heading1"/>
      </w:pPr>
      <w:r>
        <w:t>Middle East North Africa</w:t>
      </w:r>
    </w:p>
    <w:p w14:paraId="40904CF0" w14:textId="7AE46A2D" w:rsidR="000813F4" w:rsidRDefault="000813F4" w:rsidP="000813F4"/>
    <w:p w14:paraId="27CA3C22" w14:textId="1980E69E" w:rsidR="000813F4" w:rsidRDefault="000813F4" w:rsidP="000813F4">
      <w:r>
        <w:lastRenderedPageBreak/>
        <w:t>For relevant information from the Middle East North Africa region, please see the following sources:</w:t>
      </w:r>
    </w:p>
    <w:p w14:paraId="2D750769" w14:textId="77777777" w:rsidR="000813F4" w:rsidRDefault="000813F4" w:rsidP="000813F4">
      <w:pPr>
        <w:rPr>
          <w:lang w:val="en-US"/>
        </w:rPr>
      </w:pPr>
    </w:p>
    <w:p w14:paraId="7DAA1F8E" w14:textId="77777777" w:rsidR="000813F4" w:rsidRDefault="000813F4" w:rsidP="000813F4">
      <w:pPr>
        <w:rPr>
          <w:b/>
          <w:bCs/>
          <w:lang w:val="en-US"/>
        </w:rPr>
      </w:pPr>
      <w:r>
        <w:rPr>
          <w:b/>
          <w:bCs/>
          <w:lang w:val="en-US"/>
        </w:rPr>
        <w:t>Egypt</w:t>
      </w:r>
    </w:p>
    <w:p w14:paraId="028997AE" w14:textId="77777777" w:rsidR="000813F4" w:rsidRPr="000813F4" w:rsidRDefault="000813F4" w:rsidP="000813F4">
      <w:pPr>
        <w:rPr>
          <w:u w:val="single"/>
          <w:lang w:val="en-US"/>
        </w:rPr>
      </w:pPr>
      <w:r w:rsidRPr="000813F4">
        <w:rPr>
          <w:u w:val="single"/>
          <w:lang w:val="en-US"/>
        </w:rPr>
        <w:t xml:space="preserve">Disciplinary framework &amp; procedure </w:t>
      </w:r>
    </w:p>
    <w:p w14:paraId="59552563" w14:textId="3394190D" w:rsidR="000813F4" w:rsidRPr="000813F4" w:rsidRDefault="000813F4" w:rsidP="000813F4">
      <w:r>
        <w:rPr>
          <w:lang w:val="en-US"/>
        </w:rPr>
        <w:t xml:space="preserve">ICJ report: </w:t>
      </w:r>
      <w:hyperlink r:id="rId10" w:history="1">
        <w:r>
          <w:rPr>
            <w:rStyle w:val="Hyperlink"/>
          </w:rPr>
          <w:t xml:space="preserve">Egypt’s Judiciary: A Tool of Repression </w:t>
        </w:r>
        <w:r>
          <w:rPr>
            <w:rStyle w:val="Hyperlink"/>
            <w:i/>
            <w:iCs/>
          </w:rPr>
          <w:t>Lack of Effective Guarantees of Independence and Accountability</w:t>
        </w:r>
      </w:hyperlink>
      <w:r>
        <w:t xml:space="preserve">  </w:t>
      </w:r>
      <w:r>
        <w:rPr>
          <w:lang w:val="en-US"/>
        </w:rPr>
        <w:t>Pages 91-94 and 101-104</w:t>
      </w:r>
    </w:p>
    <w:p w14:paraId="2FF9DB7C" w14:textId="77777777" w:rsidR="000813F4" w:rsidRPr="000813F4" w:rsidRDefault="000813F4" w:rsidP="000813F4">
      <w:pPr>
        <w:rPr>
          <w:u w:val="single"/>
          <w:lang w:val="en-US"/>
        </w:rPr>
      </w:pPr>
      <w:r w:rsidRPr="000813F4">
        <w:rPr>
          <w:u w:val="single"/>
          <w:lang w:val="en-US"/>
        </w:rPr>
        <w:t>Individual cases</w:t>
      </w:r>
    </w:p>
    <w:p w14:paraId="604DC37D" w14:textId="77777777" w:rsidR="000813F4" w:rsidRPr="000813F4" w:rsidRDefault="000813F4" w:rsidP="000813F4">
      <w:pPr>
        <w:rPr>
          <w:lang w:val="en-US"/>
        </w:rPr>
      </w:pPr>
      <w:r>
        <w:rPr>
          <w:lang w:val="en-US"/>
        </w:rPr>
        <w:lastRenderedPageBreak/>
        <w:t xml:space="preserve">The </w:t>
      </w:r>
      <w:r>
        <w:t>July 2013 Statement Case</w:t>
      </w:r>
      <w:r>
        <w:rPr>
          <w:lang w:val="en-US"/>
        </w:rPr>
        <w:t xml:space="preserve">. See briefing note at: </w:t>
      </w:r>
      <w:hyperlink r:id="rId11" w:history="1">
        <w:r w:rsidRPr="000813F4">
          <w:rPr>
            <w:rStyle w:val="Hyperlink"/>
            <w:lang w:val="en-US"/>
          </w:rPr>
          <w:t>https://www.icj.org/egypt-reinstate-judges-that-have-been-arbitrarily-removed-from-office-in-the-july-2013-statement-case/</w:t>
        </w:r>
      </w:hyperlink>
    </w:p>
    <w:p w14:paraId="267942C2" w14:textId="4D005418" w:rsidR="000813F4" w:rsidRDefault="000813F4" w:rsidP="000813F4">
      <w:pPr>
        <w:rPr>
          <w:lang w:val="en-US"/>
        </w:rPr>
      </w:pPr>
      <w:r>
        <w:rPr>
          <w:lang w:val="en-US"/>
        </w:rPr>
        <w:t>As well as:</w:t>
      </w:r>
    </w:p>
    <w:p w14:paraId="1502E62B" w14:textId="77777777" w:rsidR="000813F4" w:rsidRDefault="00441A48" w:rsidP="000813F4">
      <w:pPr>
        <w:rPr>
          <w:lang w:val="en-US"/>
        </w:rPr>
      </w:pPr>
      <w:hyperlink r:id="rId12" w:history="1">
        <w:r w:rsidR="000813F4">
          <w:rPr>
            <w:rStyle w:val="Hyperlink"/>
            <w:lang w:val="en-US"/>
          </w:rPr>
          <w:t>https://www.icj.org/egypt-authorities-must-end-actions-against-independent-judges/</w:t>
        </w:r>
      </w:hyperlink>
    </w:p>
    <w:p w14:paraId="2B44C35C" w14:textId="77777777" w:rsidR="000813F4" w:rsidRPr="000813F4" w:rsidRDefault="00441A48" w:rsidP="000813F4">
      <w:pPr>
        <w:rPr>
          <w:lang w:val="en-US"/>
        </w:rPr>
      </w:pPr>
      <w:hyperlink r:id="rId13" w:history="1">
        <w:r w:rsidR="000813F4" w:rsidRPr="000813F4">
          <w:rPr>
            <w:rStyle w:val="Hyperlink"/>
            <w:lang w:val="en-US"/>
          </w:rPr>
          <w:t>https://www.icj.org/egypt-sustained-attacks-against-judges-must-stop/</w:t>
        </w:r>
      </w:hyperlink>
    </w:p>
    <w:p w14:paraId="08075BB2" w14:textId="77777777" w:rsidR="000813F4" w:rsidRPr="000813F4" w:rsidRDefault="00441A48" w:rsidP="000813F4">
      <w:pPr>
        <w:rPr>
          <w:lang w:val="en-US"/>
        </w:rPr>
      </w:pPr>
      <w:hyperlink r:id="rId14" w:history="1">
        <w:r w:rsidR="000813F4" w:rsidRPr="000813F4">
          <w:rPr>
            <w:rStyle w:val="Hyperlink"/>
            <w:lang w:val="en-US"/>
          </w:rPr>
          <w:t>https://www.icj.org/egypt-arbitrary-and-unfair-removal-of-judges-must-be-reversed/</w:t>
        </w:r>
      </w:hyperlink>
    </w:p>
    <w:p w14:paraId="6FBB3F16" w14:textId="77777777" w:rsidR="000813F4" w:rsidRDefault="000813F4" w:rsidP="000813F4">
      <w:pPr>
        <w:rPr>
          <w:lang w:val="en-US"/>
        </w:rPr>
      </w:pPr>
    </w:p>
    <w:p w14:paraId="7D70242D" w14:textId="77777777" w:rsidR="000813F4" w:rsidRDefault="000813F4" w:rsidP="000813F4">
      <w:pPr>
        <w:rPr>
          <w:b/>
          <w:bCs/>
          <w:lang w:val="en-US"/>
        </w:rPr>
      </w:pPr>
      <w:r>
        <w:rPr>
          <w:b/>
          <w:bCs/>
          <w:lang w:val="en-US"/>
        </w:rPr>
        <w:t>Morocco</w:t>
      </w:r>
    </w:p>
    <w:p w14:paraId="5228D5D9" w14:textId="77777777" w:rsidR="000813F4" w:rsidRPr="000813F4" w:rsidRDefault="000813F4" w:rsidP="000813F4">
      <w:pPr>
        <w:rPr>
          <w:u w:val="single"/>
          <w:lang w:val="en-US"/>
        </w:rPr>
      </w:pPr>
      <w:r w:rsidRPr="000813F4">
        <w:rPr>
          <w:u w:val="single"/>
          <w:lang w:val="en-US"/>
        </w:rPr>
        <w:t xml:space="preserve">Disciplinary framework &amp; procedure </w:t>
      </w:r>
    </w:p>
    <w:p w14:paraId="47A409A4" w14:textId="3EB2901D" w:rsidR="000813F4" w:rsidRPr="000813F4" w:rsidRDefault="000813F4" w:rsidP="000813F4">
      <w:r>
        <w:rPr>
          <w:lang w:val="en-US"/>
        </w:rPr>
        <w:t xml:space="preserve">ICJ report </w:t>
      </w:r>
      <w:hyperlink r:id="rId15" w:history="1">
        <w:r>
          <w:rPr>
            <w:rStyle w:val="Hyperlink"/>
          </w:rPr>
          <w:t>Reforming the Judiciary in Morocco</w:t>
        </w:r>
      </w:hyperlink>
      <w:r>
        <w:t xml:space="preserve"> </w:t>
      </w:r>
      <w:proofErr w:type="gramStart"/>
      <w:r w:rsidRPr="000813F4">
        <w:t>Pages :</w:t>
      </w:r>
      <w:proofErr w:type="gramEnd"/>
      <w:r w:rsidRPr="000813F4">
        <w:t xml:space="preserve"> 35-41</w:t>
      </w:r>
    </w:p>
    <w:p w14:paraId="17704341" w14:textId="7E4BF765" w:rsidR="000813F4" w:rsidRPr="000813F4" w:rsidRDefault="000813F4" w:rsidP="000813F4">
      <w:r>
        <w:t xml:space="preserve">Morocco: </w:t>
      </w:r>
      <w:hyperlink r:id="rId16" w:history="1">
        <w:r>
          <w:rPr>
            <w:rStyle w:val="Hyperlink"/>
          </w:rPr>
          <w:t>The Draft Organic Law on the Statute for Judges and International Law and Standards on the Independence of the Judiciary</w:t>
        </w:r>
      </w:hyperlink>
      <w:r>
        <w:t xml:space="preserve"> </w:t>
      </w:r>
      <w:r w:rsidRPr="000813F4">
        <w:t>Pages 5-7</w:t>
      </w:r>
    </w:p>
    <w:p w14:paraId="0C1A71B9" w14:textId="77777777" w:rsidR="000813F4" w:rsidRPr="000813F4" w:rsidRDefault="000813F4" w:rsidP="000813F4">
      <w:pPr>
        <w:rPr>
          <w:u w:val="single"/>
          <w:lang w:val="fr-FR"/>
        </w:rPr>
      </w:pPr>
      <w:proofErr w:type="spellStart"/>
      <w:r w:rsidRPr="000813F4">
        <w:rPr>
          <w:u w:val="single"/>
          <w:lang w:val="fr-FR"/>
        </w:rPr>
        <w:t>Individual</w:t>
      </w:r>
      <w:proofErr w:type="spellEnd"/>
      <w:r w:rsidRPr="000813F4">
        <w:rPr>
          <w:u w:val="single"/>
          <w:lang w:val="fr-FR"/>
        </w:rPr>
        <w:t xml:space="preserve"> cases</w:t>
      </w:r>
    </w:p>
    <w:p w14:paraId="6D896EBE" w14:textId="77777777" w:rsidR="000813F4" w:rsidRPr="000813F4" w:rsidRDefault="00441A48" w:rsidP="000813F4">
      <w:pPr>
        <w:rPr>
          <w:lang w:val="fr-FR"/>
        </w:rPr>
      </w:pPr>
      <w:hyperlink r:id="rId17" w:history="1">
        <w:r w:rsidR="000813F4" w:rsidRPr="000813F4">
          <w:rPr>
            <w:rStyle w:val="Hyperlink"/>
            <w:lang w:val="fr-FR"/>
          </w:rPr>
          <w:t>https://www.icj.org/morocco-end-disciplinary-proceedings-against-judges/</w:t>
        </w:r>
      </w:hyperlink>
    </w:p>
    <w:p w14:paraId="4C6A5321" w14:textId="77777777" w:rsidR="000813F4" w:rsidRDefault="00441A48" w:rsidP="000813F4">
      <w:pPr>
        <w:rPr>
          <w:lang w:val="fr-CH"/>
        </w:rPr>
      </w:pPr>
      <w:hyperlink r:id="rId18" w:history="1">
        <w:r w:rsidR="000813F4">
          <w:rPr>
            <w:rStyle w:val="Hyperlink"/>
            <w:lang w:val="fr-CH"/>
          </w:rPr>
          <w:t>https://www.icj.org/morocco-arbitrary-dismissal-of-judge-al-haini-must-be-reversed/</w:t>
        </w:r>
      </w:hyperlink>
    </w:p>
    <w:p w14:paraId="2603E63E" w14:textId="77777777" w:rsidR="000813F4" w:rsidRDefault="000813F4" w:rsidP="000813F4">
      <w:pPr>
        <w:rPr>
          <w:lang w:val="fr-CH"/>
        </w:rPr>
      </w:pPr>
    </w:p>
    <w:p w14:paraId="7EA49669" w14:textId="77777777" w:rsidR="000813F4" w:rsidRDefault="000813F4" w:rsidP="006071CD">
      <w:pPr>
        <w:keepNext/>
        <w:rPr>
          <w:b/>
          <w:bCs/>
          <w:lang w:val="en-US"/>
        </w:rPr>
      </w:pPr>
      <w:r>
        <w:rPr>
          <w:b/>
          <w:bCs/>
          <w:lang w:val="en-US"/>
        </w:rPr>
        <w:t>Tunisia</w:t>
      </w:r>
    </w:p>
    <w:p w14:paraId="0B2B3BB3" w14:textId="77777777" w:rsidR="000813F4" w:rsidRPr="000813F4" w:rsidRDefault="000813F4" w:rsidP="006071CD">
      <w:pPr>
        <w:keepNext/>
        <w:rPr>
          <w:u w:val="single"/>
          <w:lang w:val="en-US"/>
        </w:rPr>
      </w:pPr>
      <w:r w:rsidRPr="000813F4">
        <w:rPr>
          <w:u w:val="single"/>
          <w:lang w:val="en-US"/>
        </w:rPr>
        <w:t xml:space="preserve">Disciplinary framework &amp; procedure </w:t>
      </w:r>
    </w:p>
    <w:p w14:paraId="0B3663A9" w14:textId="5028F61F" w:rsidR="000813F4" w:rsidRPr="000813F4" w:rsidRDefault="000813F4" w:rsidP="000813F4">
      <w:r>
        <w:rPr>
          <w:lang w:val="en-US"/>
        </w:rPr>
        <w:t xml:space="preserve">ICJ briefing: </w:t>
      </w:r>
      <w:hyperlink r:id="rId19" w:history="1">
        <w:r>
          <w:rPr>
            <w:rStyle w:val="Hyperlink"/>
          </w:rPr>
          <w:t>Judicial Conduct and the Development of a Code of Ethics in Light of International Standards</w:t>
        </w:r>
      </w:hyperlink>
      <w:r>
        <w:t xml:space="preserve">  </w:t>
      </w:r>
      <w:r w:rsidRPr="000813F4">
        <w:t xml:space="preserve">Pages 13-22 </w:t>
      </w:r>
    </w:p>
    <w:p w14:paraId="6D543533" w14:textId="14A76885" w:rsidR="000813F4" w:rsidRPr="000813F4" w:rsidRDefault="000813F4" w:rsidP="000813F4">
      <w:r>
        <w:rPr>
          <w:lang w:val="en-US"/>
        </w:rPr>
        <w:lastRenderedPageBreak/>
        <w:t xml:space="preserve">ICJ </w:t>
      </w:r>
      <w:proofErr w:type="gramStart"/>
      <w:r>
        <w:rPr>
          <w:lang w:val="en-US"/>
        </w:rPr>
        <w:t>report :</w:t>
      </w:r>
      <w:proofErr w:type="gramEnd"/>
      <w:r>
        <w:rPr>
          <w:lang w:val="en-US"/>
        </w:rPr>
        <w:t xml:space="preserve"> </w:t>
      </w:r>
      <w:hyperlink r:id="rId20" w:history="1">
        <w:r>
          <w:rPr>
            <w:rStyle w:val="Hyperlink"/>
          </w:rPr>
          <w:t>The Independence and Accountability of the Tunisian Judicial System</w:t>
        </w:r>
      </w:hyperlink>
      <w:r>
        <w:t xml:space="preserve">  </w:t>
      </w:r>
      <w:r w:rsidRPr="000813F4">
        <w:t>Pages 37-50</w:t>
      </w:r>
    </w:p>
    <w:p w14:paraId="0E8CD0B4" w14:textId="77777777" w:rsidR="000813F4" w:rsidRPr="000813F4" w:rsidRDefault="000813F4" w:rsidP="000813F4">
      <w:pPr>
        <w:rPr>
          <w:u w:val="single"/>
          <w:lang w:val="en-US"/>
        </w:rPr>
      </w:pPr>
      <w:r w:rsidRPr="000813F4">
        <w:rPr>
          <w:u w:val="single"/>
          <w:lang w:val="en-US"/>
        </w:rPr>
        <w:t>Individual cases</w:t>
      </w:r>
    </w:p>
    <w:p w14:paraId="4B2F3659" w14:textId="77777777" w:rsidR="000813F4" w:rsidRDefault="00441A48" w:rsidP="000813F4">
      <w:pPr>
        <w:rPr>
          <w:lang w:val="en-US"/>
        </w:rPr>
      </w:pPr>
      <w:hyperlink r:id="rId21" w:history="1">
        <w:r w:rsidR="000813F4">
          <w:rPr>
            <w:rStyle w:val="Hyperlink"/>
            <w:lang w:val="en-US"/>
          </w:rPr>
          <w:t>https://www.icj.org/executive-control-over-judiciary-persists-in-tunisia/</w:t>
        </w:r>
      </w:hyperlink>
    </w:p>
    <w:p w14:paraId="038F40B2" w14:textId="77777777" w:rsidR="000813F4" w:rsidRPr="000813F4" w:rsidRDefault="000813F4" w:rsidP="000813F4">
      <w:pPr>
        <w:rPr>
          <w:b/>
          <w:bCs/>
        </w:rPr>
      </w:pPr>
    </w:p>
    <w:p w14:paraId="29B19A72" w14:textId="77777777" w:rsidR="000813F4" w:rsidRDefault="000813F4" w:rsidP="000813F4">
      <w:pPr>
        <w:rPr>
          <w:b/>
          <w:bCs/>
          <w:lang w:val="en-US"/>
        </w:rPr>
      </w:pPr>
      <w:r>
        <w:rPr>
          <w:b/>
          <w:bCs/>
          <w:lang w:val="en-US"/>
        </w:rPr>
        <w:t>Libya</w:t>
      </w:r>
    </w:p>
    <w:p w14:paraId="1D7EE095" w14:textId="77777777" w:rsidR="000813F4" w:rsidRPr="000813F4" w:rsidRDefault="000813F4" w:rsidP="000813F4">
      <w:pPr>
        <w:rPr>
          <w:u w:val="single"/>
          <w:lang w:val="en-US"/>
        </w:rPr>
      </w:pPr>
      <w:r w:rsidRPr="000813F4">
        <w:rPr>
          <w:u w:val="single"/>
          <w:lang w:val="en-US"/>
        </w:rPr>
        <w:t>Disciplinary framework &amp; procedure, including individual cases  </w:t>
      </w:r>
    </w:p>
    <w:p w14:paraId="1EC5ACE5" w14:textId="7561709C" w:rsidR="000813F4" w:rsidRDefault="00441A48" w:rsidP="000813F4">
      <w:pPr>
        <w:rPr>
          <w:lang w:val="en-US"/>
        </w:rPr>
      </w:pPr>
      <w:hyperlink r:id="rId22" w:history="1">
        <w:r w:rsidR="000813F4">
          <w:rPr>
            <w:rStyle w:val="Hyperlink"/>
          </w:rPr>
          <w:t>Challenges for the Libyan Judiciary: Ensuring Independence, Accountability and Gender Equality</w:t>
        </w:r>
      </w:hyperlink>
      <w:r w:rsidR="000813F4">
        <w:t xml:space="preserve"> </w:t>
      </w:r>
      <w:r w:rsidR="000813F4">
        <w:rPr>
          <w:lang w:val="en-US"/>
        </w:rPr>
        <w:t xml:space="preserve">Pages 53-63 </w:t>
      </w:r>
    </w:p>
    <w:p w14:paraId="2086980C" w14:textId="77777777" w:rsidR="000813F4" w:rsidRDefault="000813F4" w:rsidP="000813F4">
      <w:pPr>
        <w:rPr>
          <w:lang w:val="en-US"/>
        </w:rPr>
      </w:pPr>
    </w:p>
    <w:p w14:paraId="6683C971" w14:textId="77777777" w:rsidR="000813F4" w:rsidRPr="000813F4" w:rsidRDefault="000813F4" w:rsidP="000813F4">
      <w:pPr>
        <w:rPr>
          <w:b/>
          <w:bCs/>
        </w:rPr>
      </w:pPr>
      <w:r w:rsidRPr="000813F4">
        <w:rPr>
          <w:b/>
          <w:bCs/>
        </w:rPr>
        <w:t>Lebanon</w:t>
      </w:r>
    </w:p>
    <w:p w14:paraId="68D3E005" w14:textId="77777777" w:rsidR="000813F4" w:rsidRPr="000813F4" w:rsidRDefault="000813F4" w:rsidP="000813F4">
      <w:pPr>
        <w:rPr>
          <w:u w:val="single"/>
          <w:lang w:val="en-US"/>
        </w:rPr>
      </w:pPr>
      <w:r w:rsidRPr="000813F4">
        <w:rPr>
          <w:u w:val="single"/>
          <w:lang w:val="en-US"/>
        </w:rPr>
        <w:t xml:space="preserve">Disciplinary framework &amp; procedure </w:t>
      </w:r>
    </w:p>
    <w:p w14:paraId="23461635" w14:textId="77777777" w:rsidR="000813F4" w:rsidRDefault="000813F4" w:rsidP="000813F4">
      <w:pPr>
        <w:rPr>
          <w:lang w:val="en-US"/>
        </w:rPr>
      </w:pPr>
      <w:r>
        <w:rPr>
          <w:lang w:val="en-US"/>
        </w:rPr>
        <w:t xml:space="preserve">ICJ </w:t>
      </w:r>
      <w:proofErr w:type="gramStart"/>
      <w:r>
        <w:rPr>
          <w:lang w:val="en-US"/>
        </w:rPr>
        <w:t>briefing :</w:t>
      </w:r>
      <w:proofErr w:type="gramEnd"/>
      <w:r>
        <w:rPr>
          <w:lang w:val="en-US"/>
        </w:rPr>
        <w:t xml:space="preserve"> </w:t>
      </w:r>
      <w:hyperlink r:id="rId23" w:history="1">
        <w:r>
          <w:rPr>
            <w:rStyle w:val="Hyperlink"/>
            <w:lang w:val="en-US"/>
          </w:rPr>
          <w:t xml:space="preserve">Judicial Accountability in Lebanon </w:t>
        </w:r>
      </w:hyperlink>
      <w:r>
        <w:rPr>
          <w:lang w:val="en-US"/>
        </w:rPr>
        <w:t> </w:t>
      </w:r>
    </w:p>
    <w:p w14:paraId="52CEA26E" w14:textId="77777777" w:rsidR="000813F4" w:rsidRDefault="000813F4" w:rsidP="000813F4">
      <w:pPr>
        <w:rPr>
          <w:lang w:val="en-US"/>
        </w:rPr>
      </w:pPr>
      <w:r>
        <w:rPr>
          <w:lang w:val="en-US"/>
        </w:rPr>
        <w:t> </w:t>
      </w:r>
    </w:p>
    <w:p w14:paraId="5C3A321F" w14:textId="77777777" w:rsidR="000813F4" w:rsidRDefault="000813F4" w:rsidP="000813F4">
      <w:pPr>
        <w:rPr>
          <w:lang w:val="en-US"/>
        </w:rPr>
      </w:pPr>
    </w:p>
    <w:p w14:paraId="011BF9D1" w14:textId="77777777" w:rsidR="000813F4" w:rsidRPr="000813F4" w:rsidRDefault="000813F4" w:rsidP="000813F4">
      <w:pPr>
        <w:rPr>
          <w:lang w:val="en-US"/>
        </w:rPr>
      </w:pPr>
    </w:p>
    <w:p w14:paraId="5DFD9D47" w14:textId="77777777" w:rsidR="000813F4" w:rsidRPr="00562991" w:rsidRDefault="000813F4" w:rsidP="007E154E">
      <w:pPr>
        <w:jc w:val="both"/>
        <w:rPr>
          <w:rFonts w:ascii="Verdana" w:hAnsi="Verdana" w:cs="Times New Roman"/>
          <w:b/>
          <w:bCs/>
          <w:sz w:val="19"/>
          <w:szCs w:val="19"/>
        </w:rPr>
      </w:pPr>
    </w:p>
    <w:sectPr w:rsidR="000813F4" w:rsidRPr="00562991" w:rsidSect="002E3F5F">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79C54" w14:textId="77777777" w:rsidR="006B4C14" w:rsidRDefault="006B4C14" w:rsidP="00235733">
      <w:pPr>
        <w:spacing w:after="0" w:line="240" w:lineRule="auto"/>
      </w:pPr>
      <w:r>
        <w:separator/>
      </w:r>
    </w:p>
  </w:endnote>
  <w:endnote w:type="continuationSeparator" w:id="0">
    <w:p w14:paraId="76F09127" w14:textId="77777777" w:rsidR="006B4C14" w:rsidRDefault="006B4C14" w:rsidP="0023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721879"/>
      <w:docPartObj>
        <w:docPartGallery w:val="Page Numbers (Bottom of Page)"/>
        <w:docPartUnique/>
      </w:docPartObj>
    </w:sdtPr>
    <w:sdtEndPr>
      <w:rPr>
        <w:noProof/>
      </w:rPr>
    </w:sdtEndPr>
    <w:sdtContent>
      <w:p w14:paraId="17132751" w14:textId="7CA2DA09" w:rsidR="00E96533" w:rsidRDefault="00E96533">
        <w:pPr>
          <w:pStyle w:val="Footer"/>
          <w:jc w:val="center"/>
        </w:pPr>
        <w:r>
          <w:fldChar w:fldCharType="begin"/>
        </w:r>
        <w:r>
          <w:instrText xml:space="preserve"> PAGE   \* MERGEFORMAT </w:instrText>
        </w:r>
        <w:r>
          <w:fldChar w:fldCharType="separate"/>
        </w:r>
        <w:r w:rsidR="00441A48">
          <w:rPr>
            <w:noProof/>
          </w:rPr>
          <w:t>10</w:t>
        </w:r>
        <w:r>
          <w:rPr>
            <w:noProof/>
          </w:rPr>
          <w:fldChar w:fldCharType="end"/>
        </w:r>
      </w:p>
    </w:sdtContent>
  </w:sdt>
  <w:p w14:paraId="063E2153" w14:textId="77777777" w:rsidR="00E96533" w:rsidRDefault="00E96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22D03" w14:textId="77777777" w:rsidR="006B4C14" w:rsidRDefault="006B4C14" w:rsidP="00235733">
      <w:pPr>
        <w:spacing w:after="0" w:line="240" w:lineRule="auto"/>
      </w:pPr>
      <w:r>
        <w:separator/>
      </w:r>
    </w:p>
  </w:footnote>
  <w:footnote w:type="continuationSeparator" w:id="0">
    <w:p w14:paraId="0F4CB6C3" w14:textId="77777777" w:rsidR="006B4C14" w:rsidRDefault="006B4C14" w:rsidP="00235733">
      <w:pPr>
        <w:spacing w:after="0" w:line="240" w:lineRule="auto"/>
      </w:pPr>
      <w:r>
        <w:continuationSeparator/>
      </w:r>
    </w:p>
  </w:footnote>
  <w:footnote w:id="1">
    <w:p w14:paraId="017E85D4" w14:textId="3FF702BA" w:rsidR="00E83BC1" w:rsidRPr="00E83BC1" w:rsidRDefault="00E83BC1">
      <w:pPr>
        <w:pStyle w:val="FootnoteText"/>
      </w:pPr>
      <w:r>
        <w:rPr>
          <w:rStyle w:val="FootnoteReference"/>
        </w:rPr>
        <w:footnoteRef/>
      </w:r>
      <w:r w:rsidRPr="001B0EB5">
        <w:rPr>
          <w:rFonts w:ascii="Verdana" w:hAnsi="Verdana" w:cs="Times New Roman"/>
          <w:sz w:val="14"/>
          <w:szCs w:val="14"/>
        </w:rPr>
        <w:t xml:space="preserve">See </w:t>
      </w:r>
      <w:r w:rsidRPr="00E83BC1">
        <w:rPr>
          <w:rFonts w:ascii="Verdana" w:hAnsi="Verdana" w:cs="Times New Roman"/>
          <w:sz w:val="14"/>
          <w:szCs w:val="14"/>
        </w:rPr>
        <w:t>International Commission of Jurists, “Russian Federation: Country Profile prepared by the ICJ Centre for the Independence of Judges and Lawyers”, 2014</w:t>
      </w:r>
      <w:r>
        <w:rPr>
          <w:rFonts w:ascii="Verdana" w:hAnsi="Verdana" w:cs="Times New Roman"/>
          <w:sz w:val="14"/>
          <w:szCs w:val="14"/>
        </w:rPr>
        <w:t xml:space="preserve">; </w:t>
      </w:r>
      <w:r w:rsidRPr="009377E6">
        <w:rPr>
          <w:rFonts w:ascii="Verdana" w:hAnsi="Verdana" w:cs="Times New Roman"/>
          <w:sz w:val="14"/>
          <w:szCs w:val="14"/>
        </w:rPr>
        <w:t>International Commission of Jurists, “Securing Justice: The disciplinary system for judges in the Russian Federation”, 2010</w:t>
      </w:r>
      <w:r>
        <w:rPr>
          <w:rFonts w:ascii="Verdana" w:hAnsi="Verdana" w:cs="Times New Roman"/>
          <w:sz w:val="14"/>
          <w:szCs w:val="14"/>
        </w:rPr>
        <w:t xml:space="preserve">; </w:t>
      </w:r>
      <w:r w:rsidRPr="00E83BC1">
        <w:rPr>
          <w:rFonts w:ascii="Verdana" w:hAnsi="Verdana" w:cs="Times New Roman"/>
          <w:sz w:val="14"/>
          <w:szCs w:val="14"/>
        </w:rPr>
        <w:t>International Commission of Jurists, “The State of the Judiciary in Russia”, 2010</w:t>
      </w:r>
      <w:r>
        <w:rPr>
          <w:rFonts w:ascii="Verdana" w:hAnsi="Verdana" w:cs="Times New Roman"/>
          <w:sz w:val="14"/>
          <w:szCs w:val="14"/>
        </w:rPr>
        <w:t>.</w:t>
      </w:r>
    </w:p>
  </w:footnote>
  <w:footnote w:id="2">
    <w:p w14:paraId="6CDB334C" w14:textId="32E85ACC"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“Securing Justice: The disciplinary system for judges in the Russian Federation”, 2010, p. 10.</w:t>
      </w:r>
    </w:p>
  </w:footnote>
  <w:footnote w:id="3">
    <w:p w14:paraId="2A54ED8F" w14:textId="0E49CACF"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 </w:t>
      </w:r>
    </w:p>
  </w:footnote>
  <w:footnote w:id="4">
    <w:p w14:paraId="58F15501" w14:textId="7DF46C10"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w:t>
      </w:r>
    </w:p>
  </w:footnote>
  <w:footnote w:id="5">
    <w:p w14:paraId="13170690" w14:textId="77777777" w:rsidR="00FE5326" w:rsidRPr="009377E6" w:rsidRDefault="00FE5326" w:rsidP="00FE5326">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“The State of the Judiciary in Russia”, 2010, p. 17.</w:t>
      </w:r>
    </w:p>
  </w:footnote>
  <w:footnote w:id="6">
    <w:p w14:paraId="3094493C" w14:textId="47938F1D" w:rsidR="00601126" w:rsidRPr="00601126" w:rsidRDefault="00601126">
      <w:pPr>
        <w:pStyle w:val="FootnoteText"/>
      </w:pPr>
      <w:r>
        <w:rPr>
          <w:rStyle w:val="FootnoteReference"/>
        </w:rPr>
        <w:footnoteRef/>
      </w:r>
      <w:r>
        <w:t xml:space="preserve"> </w:t>
      </w:r>
      <w:r w:rsidRPr="009377E6">
        <w:rPr>
          <w:rFonts w:ascii="Verdana" w:hAnsi="Verdana" w:cs="Times New Roman"/>
          <w:sz w:val="14"/>
          <w:szCs w:val="14"/>
        </w:rPr>
        <w:t>International Commission of Jurists, “Securing Justice: The disciplinary system for judges in the Russian Federation”, 2010, p.</w:t>
      </w:r>
      <w:r>
        <w:rPr>
          <w:rFonts w:ascii="Verdana" w:hAnsi="Verdana" w:cs="Times New Roman"/>
          <w:sz w:val="14"/>
          <w:szCs w:val="14"/>
        </w:rPr>
        <w:t xml:space="preserve"> 3</w:t>
      </w:r>
      <w:r w:rsidR="002E0BBF">
        <w:rPr>
          <w:rFonts w:ascii="Verdana" w:hAnsi="Verdana" w:cs="Times New Roman"/>
          <w:sz w:val="14"/>
          <w:szCs w:val="14"/>
        </w:rPr>
        <w:t>3-</w:t>
      </w:r>
      <w:r>
        <w:rPr>
          <w:rFonts w:ascii="Verdana" w:hAnsi="Verdana" w:cs="Times New Roman"/>
          <w:sz w:val="14"/>
          <w:szCs w:val="14"/>
        </w:rPr>
        <w:t>4</w:t>
      </w:r>
      <w:r w:rsidR="002E0BBF">
        <w:rPr>
          <w:rFonts w:ascii="Verdana" w:hAnsi="Verdana" w:cs="Times New Roman"/>
          <w:sz w:val="14"/>
          <w:szCs w:val="14"/>
        </w:rPr>
        <w:t>3</w:t>
      </w:r>
      <w:r>
        <w:rPr>
          <w:rFonts w:ascii="Verdana" w:hAnsi="Verdana" w:cs="Times New Roman"/>
          <w:sz w:val="14"/>
          <w:szCs w:val="14"/>
        </w:rPr>
        <w:t>.</w:t>
      </w:r>
    </w:p>
  </w:footnote>
  <w:footnote w:id="7">
    <w:p w14:paraId="389170B5" w14:textId="65186CEA"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 p. 19.</w:t>
      </w:r>
    </w:p>
  </w:footnote>
  <w:footnote w:id="8">
    <w:p w14:paraId="3E9DAEEA" w14:textId="326FC6DB"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 p. 13.</w:t>
      </w:r>
    </w:p>
  </w:footnote>
  <w:footnote w:id="9">
    <w:p w14:paraId="7F35C3C0" w14:textId="0812FDFF"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Decision of the Constitutional Court (28 February 2008), N 3-, para. 5.4; International Commission of Jurists, “Securing Justice: The disciplinary system for judges in the Russian Federation”, 2010, p. 36.</w:t>
      </w:r>
    </w:p>
  </w:footnote>
  <w:footnote w:id="10">
    <w:p w14:paraId="3867D564" w14:textId="4D571382"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w:t>
      </w:r>
    </w:p>
  </w:footnote>
  <w:footnote w:id="11">
    <w:p w14:paraId="0DE14C59" w14:textId="77777777" w:rsidR="00100A3A" w:rsidRPr="00100A3A" w:rsidRDefault="00100A3A" w:rsidP="00100A3A">
      <w:pPr>
        <w:pStyle w:val="FootnoteText"/>
      </w:pPr>
      <w:r>
        <w:rPr>
          <w:rStyle w:val="FootnoteReference"/>
        </w:rPr>
        <w:footnoteRef/>
      </w:r>
      <w:r>
        <w:t xml:space="preserve"> </w:t>
      </w:r>
      <w:r w:rsidRPr="009377E6">
        <w:rPr>
          <w:rFonts w:ascii="Verdana" w:hAnsi="Verdana" w:cs="Times New Roman"/>
          <w:sz w:val="14"/>
          <w:szCs w:val="14"/>
        </w:rPr>
        <w:t>International Commission of Jurists,</w:t>
      </w:r>
      <w:r>
        <w:rPr>
          <w:rFonts w:ascii="Verdana" w:hAnsi="Verdana" w:cs="Times New Roman"/>
          <w:sz w:val="14"/>
          <w:szCs w:val="14"/>
        </w:rPr>
        <w:t xml:space="preserve"> “ICJ Briefing Paper on Certain Amendments to the Constitution of the Russian Federation”, 2020, p. 8-9.</w:t>
      </w:r>
    </w:p>
  </w:footnote>
  <w:footnote w:id="12">
    <w:p w14:paraId="5B222C75" w14:textId="72EFB138"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“The State of the Judiciary in Russia”, 2010, p. 14.</w:t>
      </w:r>
    </w:p>
  </w:footnote>
  <w:footnote w:id="13">
    <w:p w14:paraId="4910634A" w14:textId="65F063C9"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“Russian Federation: Country Profile prepared by the ICJ Centre for the Independence of Judges and Lawyers”, 2014.</w:t>
      </w:r>
    </w:p>
  </w:footnote>
  <w:footnote w:id="14">
    <w:p w14:paraId="14BDDF1C" w14:textId="42AFCCB4"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“The State of the Judiciary in Russia”, 2010, p. 27.</w:t>
      </w:r>
    </w:p>
  </w:footnote>
  <w:footnote w:id="15">
    <w:p w14:paraId="5324E4C0" w14:textId="1A89B5CF"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 </w:t>
      </w:r>
    </w:p>
  </w:footnote>
  <w:footnote w:id="16">
    <w:p w14:paraId="496880B4" w14:textId="385C3CF0"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“Securing Justice: The disciplinary system for judges in the Russian Federation”, 2010. </w:t>
      </w:r>
    </w:p>
  </w:footnote>
  <w:footnote w:id="17">
    <w:p w14:paraId="3C55209C" w14:textId="77777777" w:rsidR="00272992" w:rsidRPr="009377E6" w:rsidRDefault="00272992" w:rsidP="00272992">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“Securing Justice: The disciplinary system for judges in the Russian Federation”, 2010. </w:t>
      </w:r>
    </w:p>
  </w:footnote>
  <w:footnote w:id="18">
    <w:p w14:paraId="1301C292" w14:textId="715490D3"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“Russian Federation: Country Profile prepared by the ICJ Centre for the Independence of Judges and Lawyers”, 2014.</w:t>
      </w:r>
    </w:p>
  </w:footnote>
  <w:footnote w:id="19">
    <w:p w14:paraId="5E45895C" w14:textId="4F56EA4D" w:rsidR="000D0461" w:rsidRPr="009377E6" w:rsidRDefault="000D0461">
      <w:pPr>
        <w:pStyle w:val="FootnoteText"/>
        <w:rPr>
          <w:rFonts w:ascii="Verdana" w:hAnsi="Verdana"/>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IUSTITIA, “Justice under pressure – repressions as a means of attempting to take control over the judiciary and the prosecution in Poland. Years 2015-2019”, p. 46.</w:t>
      </w:r>
    </w:p>
  </w:footnote>
  <w:footnote w:id="20">
    <w:p w14:paraId="782BB895" w14:textId="50F4C0D4" w:rsidR="002A2DBE" w:rsidRPr="001B0EB5" w:rsidRDefault="002A2DBE">
      <w:pPr>
        <w:pStyle w:val="FootnoteText"/>
        <w:rPr>
          <w:rFonts w:ascii="Verdana" w:hAnsi="Verdana" w:cs="Times New Roman"/>
          <w:sz w:val="14"/>
          <w:szCs w:val="14"/>
        </w:rPr>
      </w:pPr>
      <w:r>
        <w:rPr>
          <w:rStyle w:val="FootnoteReference"/>
        </w:rPr>
        <w:footnoteRef/>
      </w:r>
      <w:r w:rsidRPr="009377E6">
        <w:rPr>
          <w:rFonts w:ascii="Verdana" w:hAnsi="Verdana" w:cs="Times New Roman"/>
          <w:sz w:val="14"/>
          <w:szCs w:val="14"/>
        </w:rPr>
        <w:t xml:space="preserve">Ibid, p. </w:t>
      </w:r>
      <w:r>
        <w:rPr>
          <w:rFonts w:ascii="Verdana" w:hAnsi="Verdana" w:cs="Times New Roman"/>
          <w:sz w:val="14"/>
          <w:szCs w:val="14"/>
        </w:rPr>
        <w:t>49.</w:t>
      </w:r>
      <w:r>
        <w:t xml:space="preserve"> </w:t>
      </w:r>
    </w:p>
  </w:footnote>
  <w:footnote w:id="21">
    <w:p w14:paraId="0A772921" w14:textId="77777777" w:rsidR="000D0461" w:rsidRPr="009377E6" w:rsidRDefault="000D0461" w:rsidP="00A5210A">
      <w:pPr>
        <w:pStyle w:val="FootnoteText"/>
        <w:rPr>
          <w:rFonts w:ascii="Verdana" w:hAnsi="Verdana"/>
          <w:sz w:val="14"/>
          <w:szCs w:val="14"/>
        </w:rPr>
      </w:pPr>
      <w:r w:rsidRPr="009377E6">
        <w:rPr>
          <w:rStyle w:val="FootnoteReference"/>
          <w:rFonts w:ascii="Verdana" w:hAnsi="Verdana"/>
          <w:sz w:val="14"/>
          <w:szCs w:val="14"/>
        </w:rPr>
        <w:footnoteRef/>
      </w:r>
      <w:r w:rsidRPr="009377E6">
        <w:rPr>
          <w:rFonts w:ascii="Verdana" w:hAnsi="Verdana" w:cs="Times New Roman"/>
          <w:sz w:val="14"/>
          <w:szCs w:val="14"/>
        </w:rPr>
        <w:t xml:space="preserve"> Ibid, p. 50.</w:t>
      </w:r>
    </w:p>
  </w:footnote>
  <w:footnote w:id="22">
    <w:p w14:paraId="3E0B2CE5" w14:textId="33AF1A36" w:rsidR="000D0461" w:rsidRPr="009377E6" w:rsidRDefault="000D0461">
      <w:pPr>
        <w:pStyle w:val="FootnoteText"/>
        <w:rPr>
          <w:rFonts w:ascii="Verdana" w:hAnsi="Verdana"/>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 xml:space="preserve">International Commission of Jurists, “Poland: end unjustified disciplinary proceedings against judges”, December 6, 2019. Available at: </w:t>
      </w:r>
      <w:hyperlink r:id="rId1" w:history="1">
        <w:r w:rsidRPr="009377E6">
          <w:rPr>
            <w:rStyle w:val="Hyperlink"/>
            <w:rFonts w:ascii="Verdana" w:hAnsi="Verdana" w:cs="Times New Roman"/>
            <w:sz w:val="14"/>
            <w:szCs w:val="14"/>
          </w:rPr>
          <w:t>https://www.icj.org/poland-end-unjustified-disciplinary-proceedings-against-judges/</w:t>
        </w:r>
      </w:hyperlink>
    </w:p>
  </w:footnote>
  <w:footnote w:id="23">
    <w:p w14:paraId="13BE8B51" w14:textId="303817AA"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“Poland: end unjustified disciplinary proceedings against judges”, December 6, 2019. Available at: </w:t>
      </w:r>
      <w:hyperlink r:id="rId2" w:history="1">
        <w:r w:rsidRPr="009377E6">
          <w:rPr>
            <w:rStyle w:val="Hyperlink"/>
            <w:rFonts w:ascii="Verdana" w:hAnsi="Verdana" w:cs="Times New Roman"/>
            <w:sz w:val="14"/>
            <w:szCs w:val="14"/>
          </w:rPr>
          <w:t>https://www.icj.org/poland-end-unjustified-disciplinary-proceedings-against-judges/</w:t>
        </w:r>
      </w:hyperlink>
      <w:r w:rsidRPr="009377E6">
        <w:rPr>
          <w:rFonts w:ascii="Verdana" w:hAnsi="Verdana" w:cs="Times New Roman"/>
          <w:sz w:val="14"/>
          <w:szCs w:val="14"/>
        </w:rPr>
        <w:t xml:space="preserve"> </w:t>
      </w:r>
    </w:p>
  </w:footnote>
  <w:footnote w:id="24">
    <w:p w14:paraId="397DCFA8" w14:textId="50ABC415" w:rsidR="000D0461" w:rsidRPr="009377E6" w:rsidRDefault="000D0461">
      <w:pPr>
        <w:pStyle w:val="FootnoteText"/>
        <w:rPr>
          <w:rFonts w:ascii="Verdana" w:hAnsi="Verdana"/>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IUSTITIA, “Justice under pressure – repressions as a means of attempting to take control over the judiciary and the prosecution in Poland. Years 2015-2019”, p. 36.</w:t>
      </w:r>
    </w:p>
  </w:footnote>
  <w:footnote w:id="25">
    <w:p w14:paraId="1C122471" w14:textId="5D3473DE" w:rsidR="000D0461" w:rsidRPr="009377E6" w:rsidRDefault="000D0461">
      <w:pPr>
        <w:pStyle w:val="FootnoteText"/>
        <w:rPr>
          <w:rFonts w:ascii="Verdana" w:hAnsi="Verdana"/>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Ibid, p. 38.</w:t>
      </w:r>
    </w:p>
  </w:footnote>
  <w:footnote w:id="26">
    <w:p w14:paraId="52D0F6A3" w14:textId="59314D53"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“Poland: ICJ calls for immediate reinstatement of forcibly retired Supreme Court justices”, July 4, 2018. Available at: </w:t>
      </w:r>
      <w:hyperlink r:id="rId3" w:history="1">
        <w:r w:rsidRPr="009377E6">
          <w:rPr>
            <w:rStyle w:val="Hyperlink"/>
            <w:rFonts w:ascii="Verdana" w:hAnsi="Verdana" w:cs="Times New Roman"/>
            <w:sz w:val="14"/>
            <w:szCs w:val="14"/>
          </w:rPr>
          <w:t>https://www.icj.org/poland-icj-calls-for-immediate-reinstatement-of-forcibly-retired-supreme-court-justices/</w:t>
        </w:r>
      </w:hyperlink>
    </w:p>
  </w:footnote>
  <w:footnote w:id="27">
    <w:p w14:paraId="19F15C68" w14:textId="051202FD"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The Polish Law on the Supreme Court, which entered into force on 3 April 2018, lowered the retirement age of Supreme Court judges from 70 to 65; See also International Commission of Jurists, “Poland: end unjustified disciplinary proceedings against judges”, December 6, 2019. Available at: </w:t>
      </w:r>
      <w:hyperlink r:id="rId4" w:history="1">
        <w:r w:rsidRPr="009377E6">
          <w:rPr>
            <w:rStyle w:val="Hyperlink"/>
            <w:rFonts w:ascii="Verdana" w:hAnsi="Verdana" w:cs="Times New Roman"/>
            <w:sz w:val="14"/>
            <w:szCs w:val="14"/>
          </w:rPr>
          <w:t>https://www.icj.org/poland-end-unjustified-disciplinary-proceedings-against-judges/</w:t>
        </w:r>
      </w:hyperlink>
      <w:r w:rsidRPr="009377E6">
        <w:rPr>
          <w:rFonts w:ascii="Verdana" w:hAnsi="Verdana" w:cs="Times New Roman"/>
          <w:sz w:val="14"/>
          <w:szCs w:val="14"/>
        </w:rPr>
        <w:t xml:space="preserve"> </w:t>
      </w:r>
    </w:p>
  </w:footnote>
  <w:footnote w:id="28">
    <w:p w14:paraId="10393E63" w14:textId="33421650"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“Poland: end unjustified disciplinary proceedings against judges”, December 6, 2019. Available at: </w:t>
      </w:r>
      <w:hyperlink r:id="rId5" w:history="1">
        <w:r w:rsidRPr="009377E6">
          <w:rPr>
            <w:rStyle w:val="Hyperlink"/>
            <w:rFonts w:ascii="Verdana" w:hAnsi="Verdana" w:cs="Times New Roman"/>
            <w:sz w:val="14"/>
            <w:szCs w:val="14"/>
          </w:rPr>
          <w:t>https://www.icj.org/poland-end-unjustified-disciplinary-proceedings-against-judges/</w:t>
        </w:r>
      </w:hyperlink>
      <w:r w:rsidRPr="009377E6">
        <w:rPr>
          <w:rFonts w:ascii="Verdana" w:hAnsi="Verdana" w:cs="Times New Roman"/>
          <w:sz w:val="14"/>
          <w:szCs w:val="14"/>
        </w:rPr>
        <w:t xml:space="preserve"> </w:t>
      </w:r>
    </w:p>
  </w:footnote>
  <w:footnote w:id="29">
    <w:p w14:paraId="7F1B0A31" w14:textId="024537BA"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European Commission, “Rule of law: European Commission refers Poland to the Court of Justice to protect judges from political control”, October 10, 2019. Available at: </w:t>
      </w:r>
      <w:hyperlink r:id="rId6" w:history="1">
        <w:r w:rsidRPr="009377E6">
          <w:rPr>
            <w:rStyle w:val="Hyperlink"/>
            <w:rFonts w:ascii="Verdana" w:hAnsi="Verdana" w:cs="Times New Roman"/>
            <w:sz w:val="14"/>
            <w:szCs w:val="14"/>
          </w:rPr>
          <w:t>https://ec.europa.eu/commission/presscorner/detail/en/IP_19_6033</w:t>
        </w:r>
      </w:hyperlink>
      <w:r w:rsidRPr="009377E6">
        <w:rPr>
          <w:rFonts w:ascii="Verdana" w:hAnsi="Verdana" w:cs="Times New Roman"/>
          <w:sz w:val="14"/>
          <w:szCs w:val="14"/>
        </w:rPr>
        <w:t xml:space="preserve"> </w:t>
      </w:r>
    </w:p>
  </w:footnote>
  <w:footnote w:id="30">
    <w:p w14:paraId="4B62FCC6" w14:textId="065325FC"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“Poland: Court of Justice ruling must herald return to rule of law”, June 25, 2019. Available at: </w:t>
      </w:r>
      <w:hyperlink r:id="rId7" w:history="1">
        <w:r w:rsidRPr="009377E6">
          <w:rPr>
            <w:rStyle w:val="Hyperlink"/>
            <w:rFonts w:ascii="Verdana" w:hAnsi="Verdana" w:cs="Times New Roman"/>
            <w:sz w:val="14"/>
            <w:szCs w:val="14"/>
          </w:rPr>
          <w:t>https://www.icj.org/poland-court-of-justice-ruling-must-herald-return-to-rule-of-law/</w:t>
        </w:r>
      </w:hyperlink>
      <w:r w:rsidRPr="009377E6">
        <w:rPr>
          <w:rFonts w:ascii="Verdana" w:hAnsi="Verdana" w:cs="Times New Roman"/>
          <w:sz w:val="14"/>
          <w:szCs w:val="14"/>
        </w:rPr>
        <w:t xml:space="preserve"> </w:t>
      </w:r>
    </w:p>
  </w:footnote>
  <w:footnote w:id="31">
    <w:p w14:paraId="2F882540" w14:textId="7F6E71E6"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“ICJ welcomes EU Court of Justice ruling finding Poland violated independence of the judiciary, protection against gender-based discrimination”, November 5, 2019. Available at: </w:t>
      </w:r>
      <w:hyperlink r:id="rId8" w:history="1">
        <w:r w:rsidRPr="009377E6">
          <w:rPr>
            <w:rStyle w:val="Hyperlink"/>
            <w:rFonts w:ascii="Verdana" w:hAnsi="Verdana" w:cs="Times New Roman"/>
            <w:sz w:val="14"/>
            <w:szCs w:val="14"/>
          </w:rPr>
          <w:t>https://www.icj.org/icj-welcomes-eu-court-of-justice-ruling-finding-poland-violated-independence-of-the-judiciary-protection-against-gender-based-discrimination/</w:t>
        </w:r>
      </w:hyperlink>
      <w:r w:rsidRPr="009377E6">
        <w:rPr>
          <w:rFonts w:ascii="Verdana" w:hAnsi="Verdana" w:cs="Times New Roman"/>
          <w:sz w:val="14"/>
          <w:szCs w:val="14"/>
        </w:rPr>
        <w:t xml:space="preserve"> </w:t>
      </w:r>
    </w:p>
  </w:footnote>
  <w:footnote w:id="32">
    <w:p w14:paraId="33281CCF" w14:textId="1F36F9F7"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“Poland: ICJ calls on Parliament to drop draft law further restricting judicial independence”, December 18, 2019. Available at: </w:t>
      </w:r>
      <w:hyperlink r:id="rId9" w:history="1">
        <w:r w:rsidRPr="009377E6">
          <w:rPr>
            <w:rStyle w:val="Hyperlink"/>
            <w:rFonts w:ascii="Verdana" w:hAnsi="Verdana" w:cs="Times New Roman"/>
            <w:sz w:val="14"/>
            <w:szCs w:val="14"/>
          </w:rPr>
          <w:t>https://www.icj.org/poland-icj-calls-on-parliament-to-drop-draft-law-further-restricting-judicial-independence/</w:t>
        </w:r>
      </w:hyperlink>
      <w:r w:rsidRPr="009377E6">
        <w:rPr>
          <w:rFonts w:ascii="Verdana" w:hAnsi="Verdana" w:cs="Times New Roman"/>
          <w:sz w:val="14"/>
          <w:szCs w:val="14"/>
        </w:rPr>
        <w:t xml:space="preserve"> </w:t>
      </w:r>
    </w:p>
  </w:footnote>
  <w:footnote w:id="33">
    <w:p w14:paraId="5C0206BD" w14:textId="64AD2FAE"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“Statement of ICJ Commissioners and Honorary Members on the Rule of Law Crisis in Poland”, available at: </w:t>
      </w:r>
      <w:hyperlink r:id="rId10" w:history="1">
        <w:r w:rsidRPr="009377E6">
          <w:rPr>
            <w:rStyle w:val="Hyperlink"/>
            <w:rFonts w:ascii="Verdana" w:hAnsi="Verdana" w:cs="Times New Roman"/>
            <w:sz w:val="14"/>
            <w:szCs w:val="14"/>
          </w:rPr>
          <w:t>https://www.icj.org/wp-content/uploads/2020/02/Poland-Commissioners-Statement-Advocacy-Open-Letter-2020-ENG.pdf</w:t>
        </w:r>
      </w:hyperlink>
      <w:r w:rsidRPr="009377E6">
        <w:rPr>
          <w:rFonts w:ascii="Verdana" w:hAnsi="Verdana" w:cs="Times New Roman"/>
          <w:sz w:val="14"/>
          <w:szCs w:val="14"/>
        </w:rPr>
        <w:t xml:space="preserve"> </w:t>
      </w:r>
    </w:p>
  </w:footnote>
  <w:footnote w:id="34">
    <w:p w14:paraId="5EE10A3D" w14:textId="77777777" w:rsidR="000D0461" w:rsidRPr="009377E6" w:rsidRDefault="000D0461" w:rsidP="00A5210A">
      <w:pPr>
        <w:pStyle w:val="FootnoteText"/>
        <w:rPr>
          <w:rFonts w:ascii="Verdana" w:hAnsi="Verdana"/>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IUSTITIA, “CJEU decision should close the way for abuse of the arbitrary recognition of the elections validity”, April 8, 2020. Available at</w:t>
      </w:r>
      <w:r w:rsidRPr="009377E6">
        <w:rPr>
          <w:rStyle w:val="Hyperlink"/>
          <w:rFonts w:ascii="Verdana" w:hAnsi="Verdana"/>
          <w:sz w:val="14"/>
          <w:szCs w:val="14"/>
        </w:rPr>
        <w:t>:</w:t>
      </w:r>
      <w:r w:rsidRPr="009377E6">
        <w:rPr>
          <w:rStyle w:val="Hyperlink"/>
          <w:rFonts w:ascii="Verdana" w:hAnsi="Verdana" w:cs="Times New Roman"/>
          <w:sz w:val="14"/>
          <w:szCs w:val="14"/>
        </w:rPr>
        <w:t xml:space="preserve"> </w:t>
      </w:r>
      <w:hyperlink r:id="rId11" w:history="1">
        <w:r w:rsidRPr="009377E6">
          <w:rPr>
            <w:rStyle w:val="Hyperlink"/>
            <w:rFonts w:ascii="Verdana" w:hAnsi="Verdana" w:cs="Times New Roman"/>
            <w:sz w:val="14"/>
            <w:szCs w:val="14"/>
          </w:rPr>
          <w:t>https://www.iustitia.pl/en/new-krs/3793-today-s-cjeu-decision-should-close-the-way-for-abuse-of-the-arbitrary-recognition-of-the-elections-validity-professor-krystian-markiewicz-president-of-the-association-of-polish-judges-iustitia</w:t>
        </w:r>
      </w:hyperlink>
      <w:r w:rsidRPr="009377E6">
        <w:rPr>
          <w:rFonts w:ascii="Verdana" w:hAnsi="Verdana"/>
          <w:sz w:val="14"/>
          <w:szCs w:val="14"/>
        </w:rPr>
        <w:t xml:space="preserve"> </w:t>
      </w:r>
    </w:p>
  </w:footnote>
  <w:footnote w:id="35">
    <w:p w14:paraId="7A52B2E1" w14:textId="77777777" w:rsidR="000D0461" w:rsidRPr="009377E6" w:rsidRDefault="000D0461" w:rsidP="00A5210A">
      <w:pPr>
        <w:pStyle w:val="FootnoteText"/>
        <w:rPr>
          <w:rFonts w:ascii="Verdana" w:hAnsi="Verdana"/>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New York Times, “E.U. Court Rules Poland Must Suspend Disciplinary Panel for Judges”, April 8, 2020. Available at:</w:t>
      </w:r>
      <w:r w:rsidRPr="009377E6">
        <w:rPr>
          <w:rFonts w:ascii="Verdana" w:hAnsi="Verdana"/>
          <w:sz w:val="14"/>
          <w:szCs w:val="14"/>
        </w:rPr>
        <w:t xml:space="preserve"> </w:t>
      </w:r>
      <w:hyperlink r:id="rId12" w:history="1">
        <w:r w:rsidRPr="009377E6">
          <w:rPr>
            <w:rStyle w:val="Hyperlink"/>
            <w:rFonts w:ascii="Verdana" w:hAnsi="Verdana" w:cs="Times New Roman"/>
            <w:sz w:val="14"/>
            <w:szCs w:val="14"/>
          </w:rPr>
          <w:t>https://www.nytimes.com/2020/04/08/world/europe/poland-judges-eu-court.html</w:t>
        </w:r>
      </w:hyperlink>
      <w:r w:rsidRPr="009377E6">
        <w:rPr>
          <w:rFonts w:ascii="Verdana" w:hAnsi="Verdana"/>
          <w:sz w:val="14"/>
          <w:szCs w:val="14"/>
        </w:rPr>
        <w:t xml:space="preserve">  </w:t>
      </w:r>
    </w:p>
  </w:footnote>
  <w:footnote w:id="36">
    <w:p w14:paraId="700F6EA7" w14:textId="5CE98C0C"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“Poland: Parliament must reject draft laws attacking judicial independence, urges ICJ”, December 4, 2017. Available at: https://www.icj.org/poland-parliament-must-reject-draft-laws-attacking-judicial-independence-urges-icj/</w:t>
      </w:r>
    </w:p>
  </w:footnote>
  <w:footnote w:id="37">
    <w:p w14:paraId="0850D746" w14:textId="77777777" w:rsidR="000D0461" w:rsidRPr="009377E6" w:rsidRDefault="000D0461" w:rsidP="00007445">
      <w:pPr>
        <w:pStyle w:val="FootnoteText"/>
        <w:rPr>
          <w:rFonts w:ascii="Verdana" w:hAnsi="Verdana" w:cs="Times New Roman"/>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 xml:space="preserve">European Commission, “Serbia 2019 Report. Communication from the Commission to the European Parliament, the Council, the European Economic and Social Committee and the Committee of the Regions”, May 29, 2019. Available at: </w:t>
      </w:r>
      <w:hyperlink r:id="rId13" w:history="1">
        <w:r w:rsidRPr="009377E6">
          <w:rPr>
            <w:rStyle w:val="Hyperlink"/>
            <w:rFonts w:ascii="Verdana" w:hAnsi="Verdana" w:cs="Times New Roman"/>
            <w:sz w:val="14"/>
            <w:szCs w:val="14"/>
          </w:rPr>
          <w:t>https://ec.europa.eu/neighbourhood-enlargement/sites/near/files/20190529-serbia-report.pdf</w:t>
        </w:r>
      </w:hyperlink>
      <w:r w:rsidRPr="009377E6">
        <w:rPr>
          <w:rFonts w:ascii="Verdana" w:hAnsi="Verdana" w:cs="Times New Roman"/>
          <w:sz w:val="14"/>
          <w:szCs w:val="14"/>
        </w:rPr>
        <w:t xml:space="preserve"> </w:t>
      </w:r>
    </w:p>
  </w:footnote>
  <w:footnote w:id="38">
    <w:p w14:paraId="2E292C86" w14:textId="2837123B" w:rsidR="000D0461" w:rsidRPr="009377E6" w:rsidRDefault="000D0461" w:rsidP="00BC04DA">
      <w:pPr>
        <w:pStyle w:val="FootnoteText"/>
        <w:rPr>
          <w:rFonts w:ascii="Verdana" w:hAnsi="Verdana" w:cs="Times New Roman"/>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See “MEDEL statement on the recent developments in the judiciary of the Republic of Serbia”, September 13 2019. Available at: https://medelnet.eu/index.php/news/europe/545-medel-statement-on-the-recentdevelopments-in-the-judiciary-of-the-republic-of-serbia</w:t>
      </w:r>
    </w:p>
  </w:footnote>
  <w:footnote w:id="39">
    <w:p w14:paraId="19D8F625" w14:textId="6988E898" w:rsidR="000D0461" w:rsidRPr="009377E6" w:rsidRDefault="000D0461">
      <w:pPr>
        <w:pStyle w:val="FootnoteText"/>
        <w:rPr>
          <w:rFonts w:ascii="Verdana" w:hAnsi="Verdana" w:cs="Times New Roman"/>
          <w:sz w:val="14"/>
          <w:szCs w:val="14"/>
        </w:rPr>
      </w:pPr>
      <w:r w:rsidRPr="009377E6">
        <w:rPr>
          <w:rFonts w:ascii="Verdana" w:hAnsi="Verdana" w:cs="Times New Roman"/>
          <w:sz w:val="14"/>
          <w:szCs w:val="14"/>
        </w:rPr>
        <w:footnoteRef/>
      </w:r>
      <w:r w:rsidRPr="009377E6">
        <w:rPr>
          <w:rFonts w:ascii="Verdana" w:hAnsi="Verdana" w:cs="Times New Roman"/>
          <w:sz w:val="14"/>
          <w:szCs w:val="14"/>
        </w:rPr>
        <w:t xml:space="preserve"> Amendments to the Constitution of the Republic of Serbia, available at: https://www.mpravde.gov.rs/files/Draft%20Amendments%20to%20the%20Constitution%20of%20Republic%20of%20Serbia.pdf</w:t>
      </w:r>
    </w:p>
  </w:footnote>
  <w:footnote w:id="40">
    <w:p w14:paraId="13961F67" w14:textId="77777777" w:rsidR="000D0461" w:rsidRPr="009377E6" w:rsidRDefault="000D0461" w:rsidP="00EA101D">
      <w:pPr>
        <w:pStyle w:val="FootnoteText"/>
        <w:rPr>
          <w:rFonts w:ascii="Verdana" w:hAnsi="Verdana" w:cs="Times New Roman"/>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Venice Commission Opinion on the draft Amendments to the Constitutional Provisions on the</w:t>
      </w:r>
    </w:p>
    <w:p w14:paraId="013F7C74" w14:textId="77777777" w:rsidR="000D0461" w:rsidRPr="009377E6" w:rsidRDefault="000D0461" w:rsidP="00EA101D">
      <w:pPr>
        <w:pStyle w:val="FootnoteText"/>
        <w:rPr>
          <w:rFonts w:ascii="Verdana" w:hAnsi="Verdana" w:cs="Times New Roman"/>
          <w:sz w:val="14"/>
          <w:szCs w:val="14"/>
        </w:rPr>
      </w:pPr>
      <w:r w:rsidRPr="009377E6">
        <w:rPr>
          <w:rFonts w:ascii="Verdana" w:hAnsi="Verdana" w:cs="Times New Roman"/>
          <w:sz w:val="14"/>
          <w:szCs w:val="14"/>
        </w:rPr>
        <w:t>Judiciary in Serbia, adopted by the Venice Commission at its 115th Plenary Session (Venice, 22-23 June</w:t>
      </w:r>
    </w:p>
    <w:p w14:paraId="032FE9B1" w14:textId="6D1AF911" w:rsidR="000D0461" w:rsidRPr="009377E6" w:rsidRDefault="000D0461" w:rsidP="00EA101D">
      <w:pPr>
        <w:pStyle w:val="FootnoteText"/>
        <w:rPr>
          <w:rFonts w:ascii="Verdana" w:hAnsi="Verdana"/>
          <w:sz w:val="14"/>
          <w:szCs w:val="14"/>
        </w:rPr>
      </w:pPr>
      <w:r w:rsidRPr="009377E6">
        <w:rPr>
          <w:rFonts w:ascii="Verdana" w:hAnsi="Verdana" w:cs="Times New Roman"/>
          <w:sz w:val="14"/>
          <w:szCs w:val="14"/>
        </w:rPr>
        <w:t>2018) (CDL-</w:t>
      </w:r>
      <w:proofErr w:type="gramStart"/>
      <w:r w:rsidRPr="009377E6">
        <w:rPr>
          <w:rFonts w:ascii="Verdana" w:hAnsi="Verdana" w:cs="Times New Roman"/>
          <w:sz w:val="14"/>
          <w:szCs w:val="14"/>
        </w:rPr>
        <w:t>AD(</w:t>
      </w:r>
      <w:proofErr w:type="gramEnd"/>
      <w:r w:rsidRPr="009377E6">
        <w:rPr>
          <w:rFonts w:ascii="Verdana" w:hAnsi="Verdana" w:cs="Times New Roman"/>
          <w:sz w:val="14"/>
          <w:szCs w:val="14"/>
        </w:rPr>
        <w:t>2018)011).</w:t>
      </w:r>
    </w:p>
  </w:footnote>
  <w:footnote w:id="41">
    <w:p w14:paraId="368B6006" w14:textId="35B05FAD" w:rsidR="000D0461" w:rsidRPr="009377E6" w:rsidRDefault="000D0461">
      <w:pPr>
        <w:pStyle w:val="FootnoteText"/>
        <w:rPr>
          <w:rFonts w:ascii="Verdana" w:hAnsi="Verdana"/>
          <w:sz w:val="14"/>
          <w:szCs w:val="14"/>
        </w:rPr>
      </w:pPr>
      <w:r w:rsidRPr="009377E6">
        <w:rPr>
          <w:rFonts w:ascii="Verdana" w:hAnsi="Verdana" w:cs="Times New Roman"/>
          <w:sz w:val="14"/>
          <w:szCs w:val="14"/>
        </w:rPr>
        <w:footnoteRef/>
      </w:r>
      <w:r w:rsidRPr="009377E6">
        <w:rPr>
          <w:rFonts w:ascii="Verdana" w:hAnsi="Verdana" w:cs="Times New Roman"/>
          <w:sz w:val="14"/>
          <w:szCs w:val="14"/>
        </w:rPr>
        <w:t xml:space="preserve"> Council of Europe, “Bureau of the Consultative Council of European Judges. Report on judicial independence and impartiality in the Council of Europe member states”, 2019, p. 22. Available at: https://rm.coe.int/ccje-report-2019-situation-of-judges-en/16809e0d05</w:t>
      </w:r>
    </w:p>
  </w:footnote>
  <w:footnote w:id="42">
    <w:p w14:paraId="7D5B5B04" w14:textId="37E1CDA0" w:rsidR="000D0461" w:rsidRPr="009377E6" w:rsidRDefault="000D0461">
      <w:pPr>
        <w:pStyle w:val="FootnoteText"/>
        <w:rPr>
          <w:rFonts w:ascii="Verdana" w:hAnsi="Verdana" w:cs="Times New Roman"/>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 xml:space="preserve">European Commission, “Serbia 2019 Report. Communication from the Commission to the European Parliament, the Council, the European Economic and Social Committee and the Committee of the Regions”, May 29, 2019, p. 13. Available at: </w:t>
      </w:r>
      <w:hyperlink r:id="rId14" w:history="1">
        <w:r w:rsidRPr="009377E6">
          <w:rPr>
            <w:rFonts w:ascii="Verdana" w:hAnsi="Verdana"/>
            <w:sz w:val="14"/>
            <w:szCs w:val="14"/>
          </w:rPr>
          <w:t>https://ec.europa.eu/neighbourhood-enlargement/sites/near/files/20190529-serbia-report.pdf</w:t>
        </w:r>
      </w:hyperlink>
      <w:r w:rsidRPr="009377E6">
        <w:rPr>
          <w:rFonts w:ascii="Verdana" w:hAnsi="Verdana" w:cs="Times New Roman"/>
          <w:sz w:val="14"/>
          <w:szCs w:val="14"/>
        </w:rPr>
        <w:t xml:space="preserve">; See also European Commission, “Serbia 2018 Report. Communication from the Commission to the European Parliament, the Council, the European Economic and Social Committee and the Committee of the Regions”, April 17, 2018, p. 13. Available at: https://ec.europa.eu/neighbourhood-enlargement/sites/near/files/20180417-serbia-report.pdf </w:t>
      </w:r>
    </w:p>
  </w:footnote>
  <w:footnote w:id="43">
    <w:p w14:paraId="2E3AA2F1" w14:textId="62B86FFD"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“Serbia’s Judges and Prosecutors: The Long road to Independent Self Governance”, 2016</w:t>
      </w:r>
      <w:proofErr w:type="gramStart"/>
      <w:r w:rsidRPr="009377E6">
        <w:rPr>
          <w:rFonts w:ascii="Verdana" w:hAnsi="Verdana" w:cs="Times New Roman"/>
          <w:sz w:val="14"/>
          <w:szCs w:val="14"/>
        </w:rPr>
        <w:t>,  p</w:t>
      </w:r>
      <w:proofErr w:type="gramEnd"/>
      <w:r w:rsidRPr="009377E6">
        <w:rPr>
          <w:rFonts w:ascii="Verdana" w:hAnsi="Verdana" w:cs="Times New Roman"/>
          <w:sz w:val="14"/>
          <w:szCs w:val="14"/>
        </w:rPr>
        <w:t>. 35.</w:t>
      </w:r>
    </w:p>
  </w:footnote>
  <w:footnote w:id="44">
    <w:p w14:paraId="1A89C99A" w14:textId="2D404D13"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w:t>
      </w:r>
    </w:p>
  </w:footnote>
  <w:footnote w:id="45">
    <w:p w14:paraId="333C83B4" w14:textId="77777777" w:rsidR="000D0461" w:rsidRPr="009377E6" w:rsidRDefault="000D0461" w:rsidP="00D3343B">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w:t>
      </w:r>
    </w:p>
  </w:footnote>
  <w:footnote w:id="46">
    <w:p w14:paraId="2FAA43C1" w14:textId="01202F14"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“New ICJ report analyses the transition to judicial self-governance in Serbia”, February 2, 2016. Available at: </w:t>
      </w:r>
      <w:hyperlink r:id="rId15" w:history="1">
        <w:r w:rsidRPr="009377E6">
          <w:rPr>
            <w:rStyle w:val="Hyperlink"/>
            <w:rFonts w:ascii="Verdana" w:hAnsi="Verdana" w:cs="Times New Roman"/>
            <w:sz w:val="14"/>
            <w:szCs w:val="14"/>
          </w:rPr>
          <w:t>https://www.icj.org/new-icj-report-analyses-the-transition-to-judicial-self-governance-in-serbia/</w:t>
        </w:r>
      </w:hyperlink>
      <w:r w:rsidRPr="009377E6">
        <w:rPr>
          <w:rFonts w:ascii="Verdana" w:hAnsi="Verdana" w:cs="Times New Roman"/>
          <w:sz w:val="14"/>
          <w:szCs w:val="14"/>
        </w:rPr>
        <w:t xml:space="preserve"> </w:t>
      </w:r>
    </w:p>
  </w:footnote>
  <w:footnote w:id="47">
    <w:p w14:paraId="3307C873" w14:textId="27BA645C"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“Serbia must do more to ensure judges’ and prosecutors’ independence”, June 29, 2017. Available at: </w:t>
      </w:r>
      <w:hyperlink r:id="rId16" w:history="1">
        <w:r w:rsidRPr="009377E6">
          <w:rPr>
            <w:rStyle w:val="Hyperlink"/>
            <w:rFonts w:ascii="Verdana" w:hAnsi="Verdana" w:cs="Times New Roman"/>
            <w:sz w:val="14"/>
            <w:szCs w:val="14"/>
          </w:rPr>
          <w:t>https://www.icj.org/serbia-serbia-must-do-more-to-ensure-judges-and-prosecutors-independence-says-icj-to-un-human-rights-council/</w:t>
        </w:r>
      </w:hyperlink>
      <w:r w:rsidRPr="009377E6">
        <w:rPr>
          <w:rFonts w:ascii="Verdana" w:hAnsi="Verdana" w:cs="Times New Roman"/>
          <w:sz w:val="14"/>
          <w:szCs w:val="14"/>
        </w:rPr>
        <w:t xml:space="preserve"> </w:t>
      </w:r>
    </w:p>
  </w:footnote>
  <w:footnote w:id="48">
    <w:p w14:paraId="69D6F30E" w14:textId="5791BCC4" w:rsidR="000D0461" w:rsidRPr="009377E6" w:rsidRDefault="000D0461" w:rsidP="001B3909">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“Turkey: Dismissal of judges and prosecutors tainted by unfairness, says ICJ”, February 4, 2019. Available at: </w:t>
      </w:r>
      <w:hyperlink r:id="rId17" w:history="1">
        <w:r w:rsidRPr="009377E6">
          <w:rPr>
            <w:rStyle w:val="Hyperlink"/>
            <w:rFonts w:ascii="Verdana" w:hAnsi="Verdana" w:cs="Times New Roman"/>
            <w:sz w:val="14"/>
            <w:szCs w:val="14"/>
          </w:rPr>
          <w:t>https://www.icj.org/turkey-dismissal-of-judges-and-prosecutors-tainted-by-unfairness-says-icj/</w:t>
        </w:r>
      </w:hyperlink>
      <w:r w:rsidRPr="009377E6">
        <w:rPr>
          <w:rFonts w:ascii="Verdana" w:hAnsi="Verdana" w:cs="Times New Roman"/>
          <w:sz w:val="14"/>
          <w:szCs w:val="14"/>
        </w:rPr>
        <w:t>; See also International Commission of Jurists, “Justice Suspended: Access to Justice and the State of Emergency in Turkey”, 2018.</w:t>
      </w:r>
    </w:p>
  </w:footnote>
  <w:footnote w:id="49">
    <w:p w14:paraId="036A0DB0" w14:textId="77777777" w:rsidR="007D6C3C" w:rsidRPr="009377E6" w:rsidRDefault="007D6C3C" w:rsidP="007D6C3C">
      <w:pPr>
        <w:pStyle w:val="FootnoteText"/>
        <w:rPr>
          <w:rFonts w:ascii="Verdana" w:hAnsi="Verdana"/>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 xml:space="preserve">International Commission of Jurists, “Justice Suspended: Access to Justice and the State of Emergency in Turkey”, 2018, p. 15. </w:t>
      </w:r>
    </w:p>
  </w:footnote>
  <w:footnote w:id="50">
    <w:p w14:paraId="169BC838" w14:textId="77777777" w:rsidR="007D6C3C" w:rsidRPr="009377E6" w:rsidRDefault="007D6C3C" w:rsidP="007D6C3C">
      <w:pPr>
        <w:pStyle w:val="FootnoteText"/>
        <w:rPr>
          <w:rFonts w:ascii="Verdana" w:hAnsi="Verdana" w:cs="Times New Roman"/>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 xml:space="preserve">Press Release of the Constitutional Court in English of 9 August </w:t>
      </w:r>
      <w:proofErr w:type="gramStart"/>
      <w:r w:rsidRPr="009377E6">
        <w:rPr>
          <w:rFonts w:ascii="Verdana" w:hAnsi="Verdana" w:cs="Times New Roman"/>
          <w:sz w:val="14"/>
          <w:szCs w:val="14"/>
        </w:rPr>
        <w:t>2016 ,</w:t>
      </w:r>
      <w:proofErr w:type="gramEnd"/>
      <w:r w:rsidRPr="009377E6">
        <w:rPr>
          <w:rFonts w:ascii="Verdana" w:hAnsi="Verdana" w:cs="Times New Roman"/>
          <w:sz w:val="14"/>
          <w:szCs w:val="14"/>
        </w:rPr>
        <w:t xml:space="preserve"> available at http://constitutionalcourt.gov.tr/inlinepages/press/PressReleases/detail/31.html, para. 18.</w:t>
      </w:r>
    </w:p>
  </w:footnote>
  <w:footnote w:id="51">
    <w:p w14:paraId="715CD76B" w14:textId="77777777" w:rsidR="007D6C3C" w:rsidRPr="009377E6" w:rsidRDefault="007D6C3C" w:rsidP="007D6C3C">
      <w:pPr>
        <w:pStyle w:val="FootnoteText"/>
        <w:rPr>
          <w:rFonts w:ascii="Verdana" w:hAnsi="Verdana"/>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Ibid.</w:t>
      </w:r>
      <w:r w:rsidRPr="009377E6">
        <w:rPr>
          <w:rFonts w:ascii="Verdana" w:hAnsi="Verdana"/>
          <w:sz w:val="14"/>
          <w:szCs w:val="14"/>
        </w:rPr>
        <w:t xml:space="preserve"> </w:t>
      </w:r>
    </w:p>
  </w:footnote>
  <w:footnote w:id="52">
    <w:p w14:paraId="11C1243A" w14:textId="77777777" w:rsidR="007D6C3C" w:rsidRPr="009377E6" w:rsidRDefault="007D6C3C" w:rsidP="007D6C3C">
      <w:pPr>
        <w:pStyle w:val="FootnoteText"/>
        <w:rPr>
          <w:rFonts w:ascii="Verdana" w:hAnsi="Verdana"/>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MFA Turkey, Information on the terrorist attempt on 15 July 2016 and the investigations conducted against the judges and public prosecutors, in Notification of State of Emergency under article 15 ECHR, Doc. JJ8190C, Tr</w:t>
      </w:r>
      <w:proofErr w:type="gramStart"/>
      <w:r w:rsidRPr="009377E6">
        <w:rPr>
          <w:rFonts w:ascii="Verdana" w:hAnsi="Verdana" w:cs="Times New Roman"/>
          <w:sz w:val="14"/>
          <w:szCs w:val="14"/>
        </w:rPr>
        <w:t>./</w:t>
      </w:r>
      <w:proofErr w:type="gramEnd"/>
      <w:r w:rsidRPr="009377E6">
        <w:rPr>
          <w:rFonts w:ascii="Verdana" w:hAnsi="Verdana" w:cs="Times New Roman"/>
          <w:sz w:val="14"/>
          <w:szCs w:val="14"/>
        </w:rPr>
        <w:t>005-192, p. 9, p. 10.</w:t>
      </w:r>
    </w:p>
  </w:footnote>
  <w:footnote w:id="53">
    <w:p w14:paraId="39977E64" w14:textId="77777777" w:rsidR="007D6C3C" w:rsidRPr="009377E6" w:rsidRDefault="007D6C3C" w:rsidP="007D6C3C">
      <w:pPr>
        <w:pStyle w:val="FootnoteText"/>
        <w:rPr>
          <w:rFonts w:ascii="Verdana" w:hAnsi="Verdana" w:cs="Times New Roman"/>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See Article 18.1, Law on the High Council of Judges and Prosecutors no. 6087, read together with article 8.h of the Law on Judges and Prosecutors no. 2802; MFA Turkey, Information on the terrorist attempt on 15 July 2016 and the investigations conducted against the judges and public prosecutors, in Notification of State of Emergency under article 15 ECHR, Doc. JJ8190C, Tr./005-192, p. 9, p. 11</w:t>
      </w:r>
    </w:p>
  </w:footnote>
  <w:footnote w:id="54">
    <w:p w14:paraId="03D89A73" w14:textId="77777777" w:rsidR="007D6C3C" w:rsidRPr="009377E6" w:rsidRDefault="007D6C3C" w:rsidP="007D6C3C">
      <w:pPr>
        <w:pStyle w:val="FootnoteText"/>
        <w:rPr>
          <w:rFonts w:ascii="Verdana" w:hAnsi="Verdana"/>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International Commission of Jurists, “Justice Suspended: Access to Justice and the State of Emergency in Turkey”, 2018, p. 16.</w:t>
      </w:r>
    </w:p>
  </w:footnote>
  <w:footnote w:id="55">
    <w:p w14:paraId="76374683" w14:textId="77777777" w:rsidR="000D0461" w:rsidRPr="009377E6" w:rsidRDefault="000D0461" w:rsidP="001B3909">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 </w:t>
      </w:r>
    </w:p>
  </w:footnote>
  <w:footnote w:id="56">
    <w:p w14:paraId="4BD39721" w14:textId="30DD7FA1"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“Turkey: ICJ and IBAHRI urge Turkey’s Council of Judges and Prosecutors to cease probe into Gezi Park trial judges”, February 28, 2020. Available at: </w:t>
      </w:r>
      <w:hyperlink r:id="rId18" w:history="1">
        <w:r w:rsidRPr="009377E6">
          <w:rPr>
            <w:rStyle w:val="Hyperlink"/>
            <w:rFonts w:ascii="Verdana" w:hAnsi="Verdana" w:cs="Times New Roman"/>
            <w:sz w:val="14"/>
            <w:szCs w:val="14"/>
          </w:rPr>
          <w:t>https://www.icj.org/turkey-icj-and-ibahri-urge-turkeys-council-of-judges-and-prosecutors-to-cease-probe-into-gezi-park-trial-judges/</w:t>
        </w:r>
      </w:hyperlink>
      <w:r w:rsidRPr="009377E6">
        <w:rPr>
          <w:rFonts w:ascii="Verdana" w:hAnsi="Verdana" w:cs="Times New Roman"/>
          <w:sz w:val="14"/>
          <w:szCs w:val="14"/>
        </w:rPr>
        <w:t xml:space="preserve"> </w:t>
      </w:r>
    </w:p>
  </w:footnote>
  <w:footnote w:id="57">
    <w:p w14:paraId="123DCD9A" w14:textId="2E635FAA" w:rsidR="000D0461" w:rsidRPr="009377E6" w:rsidRDefault="000D0461">
      <w:pPr>
        <w:pStyle w:val="FootnoteText"/>
        <w:rPr>
          <w:rFonts w:ascii="Verdana" w:hAnsi="Verdana"/>
          <w:sz w:val="14"/>
          <w:szCs w:val="14"/>
        </w:rPr>
      </w:pPr>
      <w:r w:rsidRPr="009377E6">
        <w:rPr>
          <w:rStyle w:val="FootnoteReference"/>
          <w:rFonts w:ascii="Verdana" w:hAnsi="Verdana"/>
          <w:sz w:val="14"/>
          <w:szCs w:val="14"/>
        </w:rPr>
        <w:footnoteRef/>
      </w:r>
      <w:r w:rsidRPr="009377E6">
        <w:rPr>
          <w:rFonts w:ascii="Verdana" w:hAnsi="Verdana"/>
          <w:sz w:val="14"/>
          <w:szCs w:val="14"/>
        </w:rPr>
        <w:t xml:space="preserve"> </w:t>
      </w:r>
      <w:r w:rsidRPr="009377E6">
        <w:rPr>
          <w:rFonts w:ascii="Verdana" w:hAnsi="Verdana" w:cs="Times New Roman"/>
          <w:sz w:val="14"/>
          <w:szCs w:val="14"/>
        </w:rPr>
        <w:t>International Commission of Jurists, “Justice Suspended: Access to Justice and the State of Emergency in Turkey”, 2018, p. 19.</w:t>
      </w:r>
    </w:p>
  </w:footnote>
  <w:footnote w:id="58">
    <w:p w14:paraId="3F993EC9" w14:textId="6DF30B33"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“Hungary: disciplinary action against judge for recourse to EU Court must cease”, November 18, 2019. Available at: </w:t>
      </w:r>
      <w:hyperlink r:id="rId19" w:history="1">
        <w:r w:rsidRPr="009377E6">
          <w:rPr>
            <w:rStyle w:val="Hyperlink"/>
            <w:rFonts w:ascii="Verdana" w:hAnsi="Verdana" w:cs="Times New Roman"/>
            <w:sz w:val="14"/>
            <w:szCs w:val="14"/>
          </w:rPr>
          <w:t>https://www.icj.org/hungary-disciplinary-action-against-judge-for-recourse-to-eu-court-must-cease/</w:t>
        </w:r>
      </w:hyperlink>
      <w:r w:rsidRPr="009377E6">
        <w:rPr>
          <w:rFonts w:ascii="Verdana" w:hAnsi="Verdana" w:cs="Times New Roman"/>
          <w:sz w:val="14"/>
          <w:szCs w:val="14"/>
        </w:rPr>
        <w:t xml:space="preserve"> </w:t>
      </w:r>
    </w:p>
  </w:footnote>
  <w:footnote w:id="59">
    <w:p w14:paraId="750A775D" w14:textId="0E1AAF4C"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“European Court: removal of Hungarian Supreme Court President unlawful”, June 23, 2016. Available at: </w:t>
      </w:r>
      <w:hyperlink r:id="rId20" w:history="1">
        <w:r w:rsidRPr="009377E6">
          <w:rPr>
            <w:rStyle w:val="Hyperlink"/>
            <w:rFonts w:ascii="Verdana" w:hAnsi="Verdana" w:cs="Times New Roman"/>
            <w:sz w:val="14"/>
            <w:szCs w:val="14"/>
          </w:rPr>
          <w:t>https://www.icj.org/european-court-removal-of-hungarian-supreme-court-president-unlawful/</w:t>
        </w:r>
      </w:hyperlink>
      <w:r w:rsidRPr="009377E6">
        <w:rPr>
          <w:rFonts w:ascii="Verdana" w:hAnsi="Verdana" w:cs="Times New Roman"/>
          <w:sz w:val="14"/>
          <w:szCs w:val="14"/>
        </w:rPr>
        <w:t xml:space="preserve"> </w:t>
      </w:r>
    </w:p>
  </w:footnote>
  <w:footnote w:id="60">
    <w:p w14:paraId="356B8D71" w14:textId="3BAFDDB6"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“Only an Empty Shell: the Undelivered Promise of an Independent Judiciary in Moldova”, 2019, p. 43. </w:t>
      </w:r>
    </w:p>
  </w:footnote>
  <w:footnote w:id="61">
    <w:p w14:paraId="67B9BB05" w14:textId="2B2E4201" w:rsidR="00B2227E" w:rsidRPr="00B2227E" w:rsidRDefault="00B2227E">
      <w:pPr>
        <w:pStyle w:val="FootnoteText"/>
      </w:pPr>
      <w:r>
        <w:rPr>
          <w:rStyle w:val="FootnoteReference"/>
        </w:rPr>
        <w:footnoteRef/>
      </w:r>
      <w:r>
        <w:t xml:space="preserve"> </w:t>
      </w:r>
      <w:r w:rsidRPr="009377E6">
        <w:rPr>
          <w:rFonts w:ascii="Verdana" w:hAnsi="Verdana" w:cs="Times New Roman"/>
          <w:sz w:val="14"/>
          <w:szCs w:val="14"/>
        </w:rPr>
        <w:t>International Commission of Jurists, “Only an Empty Shell: the Undelivered Promise of an Independent Judiciary in Moldova”, 2019</w:t>
      </w:r>
      <w:r>
        <w:rPr>
          <w:rFonts w:ascii="Verdana" w:hAnsi="Verdana" w:cs="Times New Roman"/>
          <w:sz w:val="14"/>
          <w:szCs w:val="14"/>
        </w:rPr>
        <w:t xml:space="preserve">. </w:t>
      </w:r>
    </w:p>
  </w:footnote>
  <w:footnote w:id="62">
    <w:p w14:paraId="7EED3C60" w14:textId="1EEB87EF"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International Commission of Jurists, “Tajikistan report”, 2020, p. 39.</w:t>
      </w:r>
    </w:p>
  </w:footnote>
  <w:footnote w:id="63">
    <w:p w14:paraId="4F84757C" w14:textId="4BC94A56"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 p. 38.</w:t>
      </w:r>
    </w:p>
  </w:footnote>
  <w:footnote w:id="64">
    <w:p w14:paraId="174DC164" w14:textId="65CBD57B"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w:t>
      </w:r>
    </w:p>
  </w:footnote>
  <w:footnote w:id="65">
    <w:p w14:paraId="660D7EB9" w14:textId="203F9E9C"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 p. 39.</w:t>
      </w:r>
    </w:p>
  </w:footnote>
  <w:footnote w:id="66">
    <w:p w14:paraId="6078BF44" w14:textId="054DF161"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w:t>
      </w:r>
    </w:p>
  </w:footnote>
  <w:footnote w:id="67">
    <w:p w14:paraId="63C1217B" w14:textId="02F9D612"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 p. 36.</w:t>
      </w:r>
    </w:p>
  </w:footnote>
  <w:footnote w:id="68">
    <w:p w14:paraId="28E8B3C9" w14:textId="4F012E46"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w:t>
      </w:r>
    </w:p>
  </w:footnote>
  <w:footnote w:id="69">
    <w:p w14:paraId="56B7A7BE" w14:textId="05B153DD" w:rsidR="000D0461" w:rsidRPr="009377E6" w:rsidRDefault="000D0461" w:rsidP="00AB556D">
      <w:pPr>
        <w:pStyle w:val="FootnoteText"/>
        <w:jc w:val="both"/>
        <w:rPr>
          <w:rFonts w:ascii="Verdana" w:hAnsi="Verdana" w:cs="Times New Roman"/>
          <w:sz w:val="14"/>
          <w:szCs w:val="14"/>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Ibid, p. 39. </w:t>
      </w:r>
    </w:p>
  </w:footnote>
  <w:footnote w:id="70">
    <w:p w14:paraId="6A24DCAC" w14:textId="709A812D" w:rsidR="000D0461" w:rsidRPr="009377E6" w:rsidRDefault="000D0461" w:rsidP="00AB556D">
      <w:pPr>
        <w:pStyle w:val="FootnoteText"/>
        <w:jc w:val="both"/>
        <w:rPr>
          <w:rFonts w:ascii="Verdana" w:hAnsi="Verdana"/>
          <w:sz w:val="14"/>
          <w:szCs w:val="14"/>
          <w:lang w:val="es-ES"/>
        </w:rPr>
      </w:pPr>
      <w:r w:rsidRPr="009377E6">
        <w:rPr>
          <w:rStyle w:val="FootnoteReference"/>
          <w:rFonts w:ascii="Verdana" w:hAnsi="Verdana" w:cs="Times New Roman"/>
          <w:sz w:val="14"/>
          <w:szCs w:val="14"/>
        </w:rPr>
        <w:footnoteRef/>
      </w:r>
      <w:r w:rsidRPr="009377E6">
        <w:rPr>
          <w:rFonts w:ascii="Verdana" w:hAnsi="Verdana" w:cs="Times New Roman"/>
          <w:sz w:val="14"/>
          <w:szCs w:val="14"/>
        </w:rPr>
        <w:t xml:space="preserve"> </w:t>
      </w:r>
      <w:r w:rsidRPr="009377E6">
        <w:rPr>
          <w:rFonts w:ascii="Verdana" w:hAnsi="Verdana" w:cs="Times New Roman"/>
          <w:sz w:val="14"/>
          <w:szCs w:val="14"/>
          <w:lang w:val="es-ES"/>
        </w:rPr>
        <w:t>Ibid., p. 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00721"/>
    <w:multiLevelType w:val="hybridMultilevel"/>
    <w:tmpl w:val="3D9A9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12"/>
    <w:rsid w:val="00000F7C"/>
    <w:rsid w:val="00007445"/>
    <w:rsid w:val="00044CB1"/>
    <w:rsid w:val="0004686D"/>
    <w:rsid w:val="000715A7"/>
    <w:rsid w:val="000720C2"/>
    <w:rsid w:val="000813F4"/>
    <w:rsid w:val="0008370D"/>
    <w:rsid w:val="000837B9"/>
    <w:rsid w:val="00087D37"/>
    <w:rsid w:val="00093892"/>
    <w:rsid w:val="000C0458"/>
    <w:rsid w:val="000D0461"/>
    <w:rsid w:val="000D7863"/>
    <w:rsid w:val="000E4BCD"/>
    <w:rsid w:val="000F2569"/>
    <w:rsid w:val="000F4874"/>
    <w:rsid w:val="00100A3A"/>
    <w:rsid w:val="0010274E"/>
    <w:rsid w:val="00113DBC"/>
    <w:rsid w:val="001667ED"/>
    <w:rsid w:val="0017719F"/>
    <w:rsid w:val="00184537"/>
    <w:rsid w:val="00185972"/>
    <w:rsid w:val="00191C85"/>
    <w:rsid w:val="001A0F4C"/>
    <w:rsid w:val="001B0EB5"/>
    <w:rsid w:val="001B3909"/>
    <w:rsid w:val="0022276D"/>
    <w:rsid w:val="00235733"/>
    <w:rsid w:val="00244DD6"/>
    <w:rsid w:val="0026767B"/>
    <w:rsid w:val="00272992"/>
    <w:rsid w:val="00281C99"/>
    <w:rsid w:val="002A2DBE"/>
    <w:rsid w:val="002B0540"/>
    <w:rsid w:val="002B7DA7"/>
    <w:rsid w:val="002D3C73"/>
    <w:rsid w:val="002E0BBF"/>
    <w:rsid w:val="002E3F5F"/>
    <w:rsid w:val="002E5258"/>
    <w:rsid w:val="002F52C9"/>
    <w:rsid w:val="002F53B2"/>
    <w:rsid w:val="00354AD7"/>
    <w:rsid w:val="00361D32"/>
    <w:rsid w:val="003809FF"/>
    <w:rsid w:val="00396810"/>
    <w:rsid w:val="003A2528"/>
    <w:rsid w:val="003A5540"/>
    <w:rsid w:val="003D348F"/>
    <w:rsid w:val="003E6F2E"/>
    <w:rsid w:val="003F4C49"/>
    <w:rsid w:val="00410DD6"/>
    <w:rsid w:val="00441A48"/>
    <w:rsid w:val="004463F6"/>
    <w:rsid w:val="004700EE"/>
    <w:rsid w:val="004876F5"/>
    <w:rsid w:val="004A689B"/>
    <w:rsid w:val="004B0236"/>
    <w:rsid w:val="004C200B"/>
    <w:rsid w:val="004D4A52"/>
    <w:rsid w:val="004D4BB0"/>
    <w:rsid w:val="00507288"/>
    <w:rsid w:val="00510A81"/>
    <w:rsid w:val="00513BF5"/>
    <w:rsid w:val="005568D4"/>
    <w:rsid w:val="00562991"/>
    <w:rsid w:val="00591999"/>
    <w:rsid w:val="00593B3C"/>
    <w:rsid w:val="005A0A09"/>
    <w:rsid w:val="005B5DBA"/>
    <w:rsid w:val="005D2437"/>
    <w:rsid w:val="005D406D"/>
    <w:rsid w:val="00601126"/>
    <w:rsid w:val="006071CD"/>
    <w:rsid w:val="00626749"/>
    <w:rsid w:val="0063579D"/>
    <w:rsid w:val="00667AE0"/>
    <w:rsid w:val="00692617"/>
    <w:rsid w:val="006A4A11"/>
    <w:rsid w:val="006B1F93"/>
    <w:rsid w:val="006B4C14"/>
    <w:rsid w:val="006C2750"/>
    <w:rsid w:val="006E24BE"/>
    <w:rsid w:val="006F0DEF"/>
    <w:rsid w:val="00735EE4"/>
    <w:rsid w:val="007409A1"/>
    <w:rsid w:val="007420A5"/>
    <w:rsid w:val="007442FD"/>
    <w:rsid w:val="007522FA"/>
    <w:rsid w:val="007749EA"/>
    <w:rsid w:val="007755A4"/>
    <w:rsid w:val="007A3754"/>
    <w:rsid w:val="007C20EB"/>
    <w:rsid w:val="007C3A09"/>
    <w:rsid w:val="007D6C3C"/>
    <w:rsid w:val="007E154E"/>
    <w:rsid w:val="007F46CF"/>
    <w:rsid w:val="008022A5"/>
    <w:rsid w:val="0080321A"/>
    <w:rsid w:val="00806D4D"/>
    <w:rsid w:val="008325F5"/>
    <w:rsid w:val="00832EAD"/>
    <w:rsid w:val="00864170"/>
    <w:rsid w:val="008B1DA8"/>
    <w:rsid w:val="008B61F2"/>
    <w:rsid w:val="008F4ABC"/>
    <w:rsid w:val="00903008"/>
    <w:rsid w:val="00933EEA"/>
    <w:rsid w:val="009344B7"/>
    <w:rsid w:val="009351B4"/>
    <w:rsid w:val="009377E6"/>
    <w:rsid w:val="00963583"/>
    <w:rsid w:val="00963C12"/>
    <w:rsid w:val="00965E12"/>
    <w:rsid w:val="009770FE"/>
    <w:rsid w:val="00986142"/>
    <w:rsid w:val="00986F9E"/>
    <w:rsid w:val="009B6B2C"/>
    <w:rsid w:val="009B79E8"/>
    <w:rsid w:val="009D1299"/>
    <w:rsid w:val="009E4F96"/>
    <w:rsid w:val="00A00BD9"/>
    <w:rsid w:val="00A05AB4"/>
    <w:rsid w:val="00A26BFC"/>
    <w:rsid w:val="00A438CB"/>
    <w:rsid w:val="00A5210A"/>
    <w:rsid w:val="00A61711"/>
    <w:rsid w:val="00A72D6B"/>
    <w:rsid w:val="00AA679D"/>
    <w:rsid w:val="00AB556D"/>
    <w:rsid w:val="00AC0736"/>
    <w:rsid w:val="00AF0BF4"/>
    <w:rsid w:val="00AF11D9"/>
    <w:rsid w:val="00AF3DB0"/>
    <w:rsid w:val="00B2227E"/>
    <w:rsid w:val="00B32387"/>
    <w:rsid w:val="00B36979"/>
    <w:rsid w:val="00B835AB"/>
    <w:rsid w:val="00BB08A1"/>
    <w:rsid w:val="00BC04DA"/>
    <w:rsid w:val="00BC3D53"/>
    <w:rsid w:val="00BC632B"/>
    <w:rsid w:val="00BC7A86"/>
    <w:rsid w:val="00BF0106"/>
    <w:rsid w:val="00C215CD"/>
    <w:rsid w:val="00C420D4"/>
    <w:rsid w:val="00C6462A"/>
    <w:rsid w:val="00CC77FB"/>
    <w:rsid w:val="00CD1A35"/>
    <w:rsid w:val="00CE5A07"/>
    <w:rsid w:val="00CF4511"/>
    <w:rsid w:val="00CF7F86"/>
    <w:rsid w:val="00D22434"/>
    <w:rsid w:val="00D3343B"/>
    <w:rsid w:val="00D42A52"/>
    <w:rsid w:val="00D633A6"/>
    <w:rsid w:val="00D661CB"/>
    <w:rsid w:val="00D80CEF"/>
    <w:rsid w:val="00D81B6B"/>
    <w:rsid w:val="00DA3550"/>
    <w:rsid w:val="00DB42AB"/>
    <w:rsid w:val="00DC70CB"/>
    <w:rsid w:val="00DC71FC"/>
    <w:rsid w:val="00DD0F0A"/>
    <w:rsid w:val="00DF7B91"/>
    <w:rsid w:val="00E24331"/>
    <w:rsid w:val="00E25CFC"/>
    <w:rsid w:val="00E34B0D"/>
    <w:rsid w:val="00E404DF"/>
    <w:rsid w:val="00E83BC1"/>
    <w:rsid w:val="00E96533"/>
    <w:rsid w:val="00EA101D"/>
    <w:rsid w:val="00EA22E9"/>
    <w:rsid w:val="00EB39C8"/>
    <w:rsid w:val="00EC09BB"/>
    <w:rsid w:val="00ED7A90"/>
    <w:rsid w:val="00EE2B81"/>
    <w:rsid w:val="00F15435"/>
    <w:rsid w:val="00F90BE7"/>
    <w:rsid w:val="00FA366C"/>
    <w:rsid w:val="00FA5BA7"/>
    <w:rsid w:val="00FB07D4"/>
    <w:rsid w:val="00FB7F13"/>
    <w:rsid w:val="00FC3E5E"/>
    <w:rsid w:val="00FD569F"/>
    <w:rsid w:val="00FE5326"/>
    <w:rsid w:val="00FF400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EEBF"/>
  <w15:chartTrackingRefBased/>
  <w15:docId w15:val="{BFFF49A9-4572-4B45-BBD0-E1460815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13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0EB"/>
    <w:pPr>
      <w:ind w:left="720"/>
      <w:contextualSpacing/>
    </w:pPr>
  </w:style>
  <w:style w:type="paragraph" w:styleId="FootnoteText">
    <w:name w:val="footnote text"/>
    <w:basedOn w:val="Normal"/>
    <w:link w:val="FootnoteTextChar"/>
    <w:uiPriority w:val="99"/>
    <w:semiHidden/>
    <w:unhideWhenUsed/>
    <w:rsid w:val="002357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733"/>
    <w:rPr>
      <w:sz w:val="20"/>
      <w:szCs w:val="20"/>
    </w:rPr>
  </w:style>
  <w:style w:type="character" w:styleId="FootnoteReference">
    <w:name w:val="footnote reference"/>
    <w:basedOn w:val="DefaultParagraphFont"/>
    <w:uiPriority w:val="99"/>
    <w:semiHidden/>
    <w:unhideWhenUsed/>
    <w:rsid w:val="00235733"/>
    <w:rPr>
      <w:vertAlign w:val="superscript"/>
    </w:rPr>
  </w:style>
  <w:style w:type="character" w:styleId="Hyperlink">
    <w:name w:val="Hyperlink"/>
    <w:basedOn w:val="DefaultParagraphFont"/>
    <w:uiPriority w:val="99"/>
    <w:unhideWhenUsed/>
    <w:rsid w:val="000C0458"/>
    <w:rPr>
      <w:color w:val="0563C1" w:themeColor="hyperlink"/>
      <w:u w:val="single"/>
    </w:rPr>
  </w:style>
  <w:style w:type="character" w:customStyle="1" w:styleId="UnresolvedMention">
    <w:name w:val="Unresolved Mention"/>
    <w:basedOn w:val="DefaultParagraphFont"/>
    <w:uiPriority w:val="99"/>
    <w:semiHidden/>
    <w:unhideWhenUsed/>
    <w:rsid w:val="000C0458"/>
    <w:rPr>
      <w:color w:val="605E5C"/>
      <w:shd w:val="clear" w:color="auto" w:fill="E1DFDD"/>
    </w:rPr>
  </w:style>
  <w:style w:type="paragraph" w:styleId="BalloonText">
    <w:name w:val="Balloon Text"/>
    <w:basedOn w:val="Normal"/>
    <w:link w:val="BalloonTextChar"/>
    <w:uiPriority w:val="99"/>
    <w:semiHidden/>
    <w:unhideWhenUsed/>
    <w:rsid w:val="00185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972"/>
    <w:rPr>
      <w:rFonts w:ascii="Segoe UI" w:hAnsi="Segoe UI" w:cs="Segoe UI"/>
      <w:sz w:val="18"/>
      <w:szCs w:val="18"/>
    </w:rPr>
  </w:style>
  <w:style w:type="character" w:styleId="CommentReference">
    <w:name w:val="annotation reference"/>
    <w:basedOn w:val="DefaultParagraphFont"/>
    <w:uiPriority w:val="99"/>
    <w:semiHidden/>
    <w:unhideWhenUsed/>
    <w:rsid w:val="00DA3550"/>
    <w:rPr>
      <w:sz w:val="16"/>
      <w:szCs w:val="16"/>
    </w:rPr>
  </w:style>
  <w:style w:type="paragraph" w:styleId="CommentText">
    <w:name w:val="annotation text"/>
    <w:basedOn w:val="Normal"/>
    <w:link w:val="CommentTextChar"/>
    <w:uiPriority w:val="99"/>
    <w:semiHidden/>
    <w:unhideWhenUsed/>
    <w:rsid w:val="00DA3550"/>
    <w:pPr>
      <w:spacing w:line="240" w:lineRule="auto"/>
    </w:pPr>
    <w:rPr>
      <w:sz w:val="20"/>
      <w:szCs w:val="20"/>
    </w:rPr>
  </w:style>
  <w:style w:type="character" w:customStyle="1" w:styleId="CommentTextChar">
    <w:name w:val="Comment Text Char"/>
    <w:basedOn w:val="DefaultParagraphFont"/>
    <w:link w:val="CommentText"/>
    <w:uiPriority w:val="99"/>
    <w:semiHidden/>
    <w:rsid w:val="00DA3550"/>
    <w:rPr>
      <w:sz w:val="20"/>
      <w:szCs w:val="20"/>
    </w:rPr>
  </w:style>
  <w:style w:type="paragraph" w:styleId="CommentSubject">
    <w:name w:val="annotation subject"/>
    <w:basedOn w:val="CommentText"/>
    <w:next w:val="CommentText"/>
    <w:link w:val="CommentSubjectChar"/>
    <w:uiPriority w:val="99"/>
    <w:semiHidden/>
    <w:unhideWhenUsed/>
    <w:rsid w:val="00DA3550"/>
    <w:rPr>
      <w:b/>
      <w:bCs/>
    </w:rPr>
  </w:style>
  <w:style w:type="character" w:customStyle="1" w:styleId="CommentSubjectChar">
    <w:name w:val="Comment Subject Char"/>
    <w:basedOn w:val="CommentTextChar"/>
    <w:link w:val="CommentSubject"/>
    <w:uiPriority w:val="99"/>
    <w:semiHidden/>
    <w:rsid w:val="00DA3550"/>
    <w:rPr>
      <w:b/>
      <w:bCs/>
      <w:sz w:val="20"/>
      <w:szCs w:val="20"/>
    </w:rPr>
  </w:style>
  <w:style w:type="character" w:styleId="FollowedHyperlink">
    <w:name w:val="FollowedHyperlink"/>
    <w:basedOn w:val="DefaultParagraphFont"/>
    <w:uiPriority w:val="99"/>
    <w:semiHidden/>
    <w:unhideWhenUsed/>
    <w:rsid w:val="00A5210A"/>
    <w:rPr>
      <w:color w:val="954F72" w:themeColor="followedHyperlink"/>
      <w:u w:val="single"/>
    </w:rPr>
  </w:style>
  <w:style w:type="paragraph" w:styleId="Header">
    <w:name w:val="header"/>
    <w:basedOn w:val="Normal"/>
    <w:link w:val="HeaderChar"/>
    <w:uiPriority w:val="99"/>
    <w:unhideWhenUsed/>
    <w:rsid w:val="00E96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533"/>
  </w:style>
  <w:style w:type="paragraph" w:styleId="Footer">
    <w:name w:val="footer"/>
    <w:basedOn w:val="Normal"/>
    <w:link w:val="FooterChar"/>
    <w:uiPriority w:val="99"/>
    <w:unhideWhenUsed/>
    <w:rsid w:val="00E96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533"/>
  </w:style>
  <w:style w:type="character" w:customStyle="1" w:styleId="Heading1Char">
    <w:name w:val="Heading 1 Char"/>
    <w:basedOn w:val="DefaultParagraphFont"/>
    <w:link w:val="Heading1"/>
    <w:uiPriority w:val="9"/>
    <w:rsid w:val="000813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26099">
      <w:bodyDiv w:val="1"/>
      <w:marLeft w:val="0"/>
      <w:marRight w:val="0"/>
      <w:marTop w:val="0"/>
      <w:marBottom w:val="0"/>
      <w:divBdr>
        <w:top w:val="none" w:sz="0" w:space="0" w:color="auto"/>
        <w:left w:val="none" w:sz="0" w:space="0" w:color="auto"/>
        <w:bottom w:val="none" w:sz="0" w:space="0" w:color="auto"/>
        <w:right w:val="none" w:sz="0" w:space="0" w:color="auto"/>
      </w:divBdr>
    </w:div>
    <w:div w:id="854001676">
      <w:bodyDiv w:val="1"/>
      <w:marLeft w:val="0"/>
      <w:marRight w:val="0"/>
      <w:marTop w:val="0"/>
      <w:marBottom w:val="0"/>
      <w:divBdr>
        <w:top w:val="none" w:sz="0" w:space="0" w:color="auto"/>
        <w:left w:val="none" w:sz="0" w:space="0" w:color="auto"/>
        <w:bottom w:val="none" w:sz="0" w:space="0" w:color="auto"/>
        <w:right w:val="none" w:sz="0" w:space="0" w:color="auto"/>
      </w:divBdr>
    </w:div>
    <w:div w:id="1112289828">
      <w:bodyDiv w:val="1"/>
      <w:marLeft w:val="0"/>
      <w:marRight w:val="0"/>
      <w:marTop w:val="0"/>
      <w:marBottom w:val="0"/>
      <w:divBdr>
        <w:top w:val="none" w:sz="0" w:space="0" w:color="auto"/>
        <w:left w:val="none" w:sz="0" w:space="0" w:color="auto"/>
        <w:bottom w:val="none" w:sz="0" w:space="0" w:color="auto"/>
        <w:right w:val="none" w:sz="0" w:space="0" w:color="auto"/>
      </w:divBdr>
    </w:div>
    <w:div w:id="1743722007">
      <w:bodyDiv w:val="1"/>
      <w:marLeft w:val="0"/>
      <w:marRight w:val="0"/>
      <w:marTop w:val="0"/>
      <w:marBottom w:val="0"/>
      <w:divBdr>
        <w:top w:val="none" w:sz="0" w:space="0" w:color="auto"/>
        <w:left w:val="none" w:sz="0" w:space="0" w:color="auto"/>
        <w:bottom w:val="none" w:sz="0" w:space="0" w:color="auto"/>
        <w:right w:val="none" w:sz="0" w:space="0" w:color="auto"/>
      </w:divBdr>
    </w:div>
    <w:div w:id="1919434149">
      <w:bodyDiv w:val="1"/>
      <w:marLeft w:val="0"/>
      <w:marRight w:val="0"/>
      <w:marTop w:val="0"/>
      <w:marBottom w:val="0"/>
      <w:divBdr>
        <w:top w:val="none" w:sz="0" w:space="0" w:color="auto"/>
        <w:left w:val="none" w:sz="0" w:space="0" w:color="auto"/>
        <w:bottom w:val="none" w:sz="0" w:space="0" w:color="auto"/>
        <w:right w:val="none" w:sz="0" w:space="0" w:color="auto"/>
      </w:divBdr>
    </w:div>
    <w:div w:id="1920752306">
      <w:bodyDiv w:val="1"/>
      <w:marLeft w:val="0"/>
      <w:marRight w:val="0"/>
      <w:marTop w:val="0"/>
      <w:marBottom w:val="0"/>
      <w:divBdr>
        <w:top w:val="none" w:sz="0" w:space="0" w:color="auto"/>
        <w:left w:val="none" w:sz="0" w:space="0" w:color="auto"/>
        <w:bottom w:val="none" w:sz="0" w:space="0" w:color="auto"/>
        <w:right w:val="none" w:sz="0" w:space="0" w:color="auto"/>
      </w:divBdr>
    </w:div>
    <w:div w:id="1948195659">
      <w:bodyDiv w:val="1"/>
      <w:marLeft w:val="0"/>
      <w:marRight w:val="0"/>
      <w:marTop w:val="0"/>
      <w:marBottom w:val="0"/>
      <w:divBdr>
        <w:top w:val="none" w:sz="0" w:space="0" w:color="auto"/>
        <w:left w:val="none" w:sz="0" w:space="0" w:color="auto"/>
        <w:bottom w:val="none" w:sz="0" w:space="0" w:color="auto"/>
        <w:right w:val="none" w:sz="0" w:space="0" w:color="auto"/>
      </w:divBdr>
    </w:div>
    <w:div w:id="2107263935">
      <w:bodyDiv w:val="1"/>
      <w:marLeft w:val="0"/>
      <w:marRight w:val="0"/>
      <w:marTop w:val="0"/>
      <w:marBottom w:val="0"/>
      <w:divBdr>
        <w:top w:val="none" w:sz="0" w:space="0" w:color="auto"/>
        <w:left w:val="none" w:sz="0" w:space="0" w:color="auto"/>
        <w:bottom w:val="none" w:sz="0" w:space="0" w:color="auto"/>
        <w:right w:val="none" w:sz="0" w:space="0" w:color="auto"/>
      </w:divBdr>
    </w:div>
    <w:div w:id="21077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cj.org/egypt-sustained-attacks-against-judges-must-stop/" TargetMode="External"/><Relationship Id="rId18" Type="http://schemas.openxmlformats.org/officeDocument/2006/relationships/hyperlink" Target="https://www.icj.org/morocco-arbitrary-dismissal-of-judge-al-haini-must-be-revers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cj.org/executive-control-over-judiciary-persists-in-tunisia/" TargetMode="External"/><Relationship Id="rId7" Type="http://schemas.openxmlformats.org/officeDocument/2006/relationships/endnotes" Target="endnotes.xml"/><Relationship Id="rId12" Type="http://schemas.openxmlformats.org/officeDocument/2006/relationships/hyperlink" Target="https://www.icj.org/egypt-authorities-must-end-actions-against-independent-judges/" TargetMode="External"/><Relationship Id="rId17" Type="http://schemas.openxmlformats.org/officeDocument/2006/relationships/hyperlink" Target="https://www.icj.org/morocco-end-disciplinary-proceedings-against-judg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cj.org/wp-content/uploads/2015/06/Morocco-Memo-on-Statute-for-Judges-Advocacy-Briefing-paper-2015-ENG.pdf" TargetMode="External"/><Relationship Id="rId20" Type="http://schemas.openxmlformats.org/officeDocument/2006/relationships/hyperlink" Target="https://www.icj.org/wp-content/uploads/2014/05/Tunisia-Strengthen-Judicial-Independence-Report-2014-ENG.pdf"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j.org/egypt-reinstate-judges-that-have-been-arbitrarily-removed-from-office-in-the-july-2013-statement-cas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cj.org/wp-content/uploads/2013/12/Morocco-Judiciary-final-20-11-13light.pdf" TargetMode="External"/><Relationship Id="rId23" Type="http://schemas.openxmlformats.org/officeDocument/2006/relationships/hyperlink" Target="https://www.icj.org/wp-content/uploads/2017/03/Lebanon-Memo-re-accountability-Advocacy-Analysis-Brief-2017-ENG.pdf" TargetMode="External"/><Relationship Id="rId28" Type="http://schemas.openxmlformats.org/officeDocument/2006/relationships/customXml" Target="../customXml/item3.xml"/><Relationship Id="rId10" Type="http://schemas.openxmlformats.org/officeDocument/2006/relationships/hyperlink" Target="https://www.icj.org/wp-content/uploads/2016/10/Egypt-Tool-of-repression-Publications-Reports-Thematic-reports-2016-ENG-1.pdf" TargetMode="External"/><Relationship Id="rId19" Type="http://schemas.openxmlformats.org/officeDocument/2006/relationships/hyperlink" Target="https://www.icj.org/wp-content/uploads/2019/11/Tunisia-Code-of-Ethics-Advocacy-Analysis-Brief-2016-ENG.pdf" TargetMode="External"/><Relationship Id="rId4" Type="http://schemas.openxmlformats.org/officeDocument/2006/relationships/settings" Target="settings.xml"/><Relationship Id="rId9" Type="http://schemas.openxmlformats.org/officeDocument/2006/relationships/hyperlink" Target="https://www.icj.org/wp-content/uploads/2016/06/Universal-PG-13-Judicial-Accountability-Publications-Reports-Practitioners-Guide-2016-ENG.pdf" TargetMode="External"/><Relationship Id="rId14" Type="http://schemas.openxmlformats.org/officeDocument/2006/relationships/hyperlink" Target="https://www.icj.org/egypt-arbitrary-and-unfair-removal-of-judges-must-be-reversed/" TargetMode="External"/><Relationship Id="rId22" Type="http://schemas.openxmlformats.org/officeDocument/2006/relationships/hyperlink" Target="https://www.icj.org/wp-content/uploads/2016/07/Libya-Challenges-the-Judiciary-Publications-Reports-Thematic-report-2016-ENG.pdf" TargetMode="Externa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icj.org/icj-welcomes-eu-court-of-justice-ruling-finding-poland-violated-independence-of-the-judiciary-protection-against-gender-based-discrimination/" TargetMode="External"/><Relationship Id="rId13" Type="http://schemas.openxmlformats.org/officeDocument/2006/relationships/hyperlink" Target="https://ec.europa.eu/neighbourhood-enlargement/sites/near/files/20190529-serbia-report.pdf" TargetMode="External"/><Relationship Id="rId18" Type="http://schemas.openxmlformats.org/officeDocument/2006/relationships/hyperlink" Target="https://www.icj.org/turkey-icj-and-ibahri-urge-turkeys-council-of-judges-and-prosecutors-to-cease-probe-into-gezi-park-trial-judges/" TargetMode="External"/><Relationship Id="rId3" Type="http://schemas.openxmlformats.org/officeDocument/2006/relationships/hyperlink" Target="https://www.icj.org/poland-icj-calls-for-immediate-reinstatement-of-forcibly-retired-supreme-court-justices/" TargetMode="External"/><Relationship Id="rId7" Type="http://schemas.openxmlformats.org/officeDocument/2006/relationships/hyperlink" Target="https://www.icj.org/poland-court-of-justice-ruling-must-herald-return-to-rule-of-law/" TargetMode="External"/><Relationship Id="rId12" Type="http://schemas.openxmlformats.org/officeDocument/2006/relationships/hyperlink" Target="https://www.nytimes.com/2020/04/08/world/europe/poland-judges-eu-court.html" TargetMode="External"/><Relationship Id="rId17" Type="http://schemas.openxmlformats.org/officeDocument/2006/relationships/hyperlink" Target="https://www.icj.org/turkey-dismissal-of-judges-and-prosecutors-tainted-by-unfairness-says-icj/" TargetMode="External"/><Relationship Id="rId2" Type="http://schemas.openxmlformats.org/officeDocument/2006/relationships/hyperlink" Target="https://www.icj.org/poland-end-unjustified-disciplinary-proceedings-against-judges/" TargetMode="External"/><Relationship Id="rId16" Type="http://schemas.openxmlformats.org/officeDocument/2006/relationships/hyperlink" Target="https://www.icj.org/serbia-serbia-must-do-more-to-ensure-judges-and-prosecutors-independence-says-icj-to-un-human-rights-council/" TargetMode="External"/><Relationship Id="rId20" Type="http://schemas.openxmlformats.org/officeDocument/2006/relationships/hyperlink" Target="https://www.icj.org/european-court-removal-of-hungarian-supreme-court-president-unlawful/" TargetMode="External"/><Relationship Id="rId1" Type="http://schemas.openxmlformats.org/officeDocument/2006/relationships/hyperlink" Target="https://www.icj.org/poland-end-unjustified-disciplinary-proceedings-against-judges/" TargetMode="External"/><Relationship Id="rId6" Type="http://schemas.openxmlformats.org/officeDocument/2006/relationships/hyperlink" Target="https://ec.europa.eu/commission/presscorner/detail/en/IP_19_6033" TargetMode="External"/><Relationship Id="rId11" Type="http://schemas.openxmlformats.org/officeDocument/2006/relationships/hyperlink" Target="https://www.iustitia.pl/en/new-krs/3793-today-s-cjeu-decision-should-close-the-way-for-abuse-of-the-arbitrary-recognition-of-the-elections-validity-professor-krystian-markiewicz-president-of-the-association-of-polish-judges-iustitia" TargetMode="External"/><Relationship Id="rId5" Type="http://schemas.openxmlformats.org/officeDocument/2006/relationships/hyperlink" Target="https://www.icj.org/poland-end-unjustified-disciplinary-proceedings-against-judges/" TargetMode="External"/><Relationship Id="rId15" Type="http://schemas.openxmlformats.org/officeDocument/2006/relationships/hyperlink" Target="https://www.icj.org/new-icj-report-analyses-the-transition-to-judicial-self-governance-in-serbia/" TargetMode="External"/><Relationship Id="rId10" Type="http://schemas.openxmlformats.org/officeDocument/2006/relationships/hyperlink" Target="https://www.icj.org/wp-content/uploads/2020/02/Poland-Commissioners-Statement-Advocacy-Open-Letter-2020-ENG.pdf" TargetMode="External"/><Relationship Id="rId19" Type="http://schemas.openxmlformats.org/officeDocument/2006/relationships/hyperlink" Target="https://www.icj.org/hungary-disciplinary-action-against-judge-for-recourse-to-eu-court-must-cease/" TargetMode="External"/><Relationship Id="rId4" Type="http://schemas.openxmlformats.org/officeDocument/2006/relationships/hyperlink" Target="https://www.icj.org/poland-end-unjustified-disciplinary-proceedings-against-judges/" TargetMode="External"/><Relationship Id="rId9" Type="http://schemas.openxmlformats.org/officeDocument/2006/relationships/hyperlink" Target="https://www.icj.org/poland-icj-calls-on-parliament-to-drop-draft-law-further-restricting-judicial-independence/" TargetMode="External"/><Relationship Id="rId14" Type="http://schemas.openxmlformats.org/officeDocument/2006/relationships/hyperlink" Target="https://ec.europa.eu/neighbourhood-enlargement/sites/near/files/20190529-serbia-report.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30E163-1B93-4B8F-BD00-C2A979F446C5}">
  <ds:schemaRefs>
    <ds:schemaRef ds:uri="http://schemas.openxmlformats.org/officeDocument/2006/bibliography"/>
  </ds:schemaRefs>
</ds:datastoreItem>
</file>

<file path=customXml/itemProps2.xml><?xml version="1.0" encoding="utf-8"?>
<ds:datastoreItem xmlns:ds="http://schemas.openxmlformats.org/officeDocument/2006/customXml" ds:itemID="{65C7BB4F-C791-4CFA-9C51-43CE9898D161}"/>
</file>

<file path=customXml/itemProps3.xml><?xml version="1.0" encoding="utf-8"?>
<ds:datastoreItem xmlns:ds="http://schemas.openxmlformats.org/officeDocument/2006/customXml" ds:itemID="{FA7B80F5-D31B-4843-8D60-492908F01BDD}"/>
</file>

<file path=customXml/itemProps4.xml><?xml version="1.0" encoding="utf-8"?>
<ds:datastoreItem xmlns:ds="http://schemas.openxmlformats.org/officeDocument/2006/customXml" ds:itemID="{3FC35D08-38B7-40B2-80F3-2850B7FD3A36}"/>
</file>

<file path=docProps/app.xml><?xml version="1.0" encoding="utf-8"?>
<Properties xmlns="http://schemas.openxmlformats.org/officeDocument/2006/extended-properties" xmlns:vt="http://schemas.openxmlformats.org/officeDocument/2006/docPropsVTypes">
  <Template>Normal.dotm</Template>
  <TotalTime>0</TotalTime>
  <Pages>10</Pages>
  <Words>4318</Words>
  <Characters>24613</Characters>
  <Application>Microsoft Office Word</Application>
  <DocSecurity>4</DocSecurity>
  <Lines>205</Lines>
  <Paragraphs>57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 Fernández Rosón</dc:creator>
  <cp:keywords/>
  <dc:description/>
  <cp:lastModifiedBy>SENSI Stefano</cp:lastModifiedBy>
  <cp:revision>2</cp:revision>
  <dcterms:created xsi:type="dcterms:W3CDTF">2020-05-22T13:14:00Z</dcterms:created>
  <dcterms:modified xsi:type="dcterms:W3CDTF">2020-05-22T13:14:00Z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