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230" w:rsidRDefault="00CD0230" w:rsidP="00EA5AD0">
      <w:pPr>
        <w:jc w:val="center"/>
        <w:rPr>
          <w:sz w:val="24"/>
          <w:szCs w:val="24"/>
        </w:rPr>
      </w:pPr>
    </w:p>
    <w:p w:rsidR="002C65D5" w:rsidRDefault="002C65D5" w:rsidP="002C65D5">
      <w:pPr>
        <w:jc w:val="center"/>
        <w:outlineLvl w:val="0"/>
        <w:rPr>
          <w:b/>
          <w:sz w:val="24"/>
          <w:szCs w:val="24"/>
        </w:rPr>
      </w:pPr>
      <w:r w:rsidRPr="00EA5AD0">
        <w:rPr>
          <w:b/>
          <w:sz w:val="24"/>
          <w:szCs w:val="24"/>
        </w:rPr>
        <w:t>QUESTIONNAIRE</w:t>
      </w:r>
      <w:r w:rsidR="00EA5AD0" w:rsidRPr="00EA5AD0">
        <w:rPr>
          <w:b/>
          <w:sz w:val="24"/>
          <w:szCs w:val="24"/>
        </w:rPr>
        <w:t xml:space="preserve"> </w:t>
      </w:r>
    </w:p>
    <w:p w:rsidR="00EA5AD0" w:rsidRDefault="00EA5AD0" w:rsidP="00EA5AD0">
      <w:pPr>
        <w:jc w:val="center"/>
        <w:outlineLvl w:val="0"/>
        <w:rPr>
          <w:b/>
          <w:sz w:val="24"/>
          <w:szCs w:val="24"/>
        </w:rPr>
      </w:pPr>
    </w:p>
    <w:p w:rsidR="00533014" w:rsidRDefault="00533014" w:rsidP="00533014">
      <w:pPr>
        <w:tabs>
          <w:tab w:val="left" w:pos="851"/>
        </w:tabs>
        <w:jc w:val="center"/>
        <w:rPr>
          <w:b/>
          <w:sz w:val="24"/>
          <w:szCs w:val="24"/>
          <w:lang w:eastAsia="en-GB"/>
        </w:rPr>
      </w:pPr>
      <w:r w:rsidRPr="00545D28">
        <w:rPr>
          <w:b/>
          <w:sz w:val="24"/>
          <w:szCs w:val="24"/>
          <w:lang w:eastAsia="en-GB"/>
        </w:rPr>
        <w:t>The impact of the COVID-19 pandemic on the administration of justice and the free and independent exercise of the legal profession</w:t>
      </w:r>
    </w:p>
    <w:p w:rsidR="006E4FEE" w:rsidRPr="00545D28" w:rsidRDefault="006E4FEE" w:rsidP="00533014">
      <w:pPr>
        <w:tabs>
          <w:tab w:val="left" w:pos="851"/>
        </w:tabs>
        <w:jc w:val="center"/>
        <w:rPr>
          <w:b/>
          <w:sz w:val="24"/>
          <w:szCs w:val="24"/>
          <w:lang w:eastAsia="de-DE"/>
        </w:rPr>
      </w:pPr>
    </w:p>
    <w:p w:rsidR="00533014" w:rsidRDefault="00533014" w:rsidP="00533014">
      <w:pPr>
        <w:numPr>
          <w:ilvl w:val="0"/>
          <w:numId w:val="24"/>
        </w:numPr>
        <w:ind w:left="709" w:hanging="349"/>
        <w:jc w:val="both"/>
        <w:rPr>
          <w:rFonts w:eastAsia="Calibri"/>
          <w:bCs/>
          <w:color w:val="000000"/>
          <w:sz w:val="24"/>
          <w:szCs w:val="24"/>
        </w:rPr>
      </w:pPr>
      <w:r>
        <w:rPr>
          <w:rFonts w:eastAsia="Calibri"/>
          <w:bCs/>
          <w:color w:val="000000"/>
          <w:sz w:val="24"/>
          <w:szCs w:val="24"/>
        </w:rPr>
        <w:t xml:space="preserve">Please describe the measures </w:t>
      </w:r>
      <w:r w:rsidRPr="00385816">
        <w:rPr>
          <w:rFonts w:eastAsia="Calibri"/>
          <w:bCs/>
          <w:color w:val="000000"/>
          <w:sz w:val="24"/>
          <w:szCs w:val="24"/>
        </w:rPr>
        <w:t>adopted in your country to guarantee the proper functioning of the justice system during the COVID-19 pandemic</w:t>
      </w:r>
      <w:r>
        <w:rPr>
          <w:rFonts w:eastAsia="Calibri"/>
          <w:bCs/>
          <w:color w:val="000000"/>
          <w:sz w:val="24"/>
          <w:szCs w:val="24"/>
        </w:rPr>
        <w:t xml:space="preserve">. </w:t>
      </w:r>
      <w:r w:rsidRPr="00385816">
        <w:rPr>
          <w:rFonts w:eastAsia="Calibri"/>
          <w:bCs/>
          <w:color w:val="000000"/>
          <w:sz w:val="24"/>
          <w:szCs w:val="24"/>
        </w:rPr>
        <w:t xml:space="preserve"> </w:t>
      </w:r>
    </w:p>
    <w:p w:rsidR="00533014" w:rsidRDefault="00533014" w:rsidP="00533014">
      <w:pPr>
        <w:ind w:left="709"/>
        <w:jc w:val="both"/>
        <w:rPr>
          <w:rFonts w:eastAsia="Calibri"/>
          <w:bCs/>
          <w:color w:val="000000"/>
          <w:sz w:val="24"/>
          <w:szCs w:val="24"/>
        </w:rPr>
      </w:pPr>
    </w:p>
    <w:p w:rsidR="00533014" w:rsidRPr="00385816" w:rsidRDefault="00533014" w:rsidP="00533014">
      <w:pPr>
        <w:numPr>
          <w:ilvl w:val="0"/>
          <w:numId w:val="24"/>
        </w:numPr>
        <w:ind w:left="709" w:hanging="349"/>
        <w:jc w:val="both"/>
        <w:rPr>
          <w:rFonts w:eastAsia="Calibri"/>
          <w:bCs/>
          <w:color w:val="000000"/>
          <w:sz w:val="24"/>
          <w:szCs w:val="24"/>
        </w:rPr>
      </w:pPr>
      <w:bookmarkStart w:id="0" w:name="_GoBack"/>
      <w:r w:rsidRPr="00385816">
        <w:rPr>
          <w:rFonts w:eastAsia="Calibri"/>
          <w:bCs/>
          <w:color w:val="000000"/>
          <w:sz w:val="24"/>
          <w:szCs w:val="24"/>
        </w:rPr>
        <w:t xml:space="preserve">Were these measures adopted on the basis of emergency legislation? </w:t>
      </w:r>
      <w:r>
        <w:rPr>
          <w:rFonts w:eastAsia="Calibri"/>
          <w:bCs/>
          <w:color w:val="000000"/>
          <w:sz w:val="24"/>
          <w:szCs w:val="24"/>
        </w:rPr>
        <w:t>If so, was the judiciary consulted prior to their adoption, or h</w:t>
      </w:r>
      <w:r w:rsidRPr="00385816">
        <w:rPr>
          <w:rFonts w:eastAsia="Calibri"/>
          <w:bCs/>
          <w:color w:val="000000"/>
          <w:sz w:val="24"/>
          <w:szCs w:val="24"/>
        </w:rPr>
        <w:t xml:space="preserve">as the legality or the constitutionality of these measures been subject to </w:t>
      </w:r>
      <w:r>
        <w:rPr>
          <w:rFonts w:eastAsia="Calibri"/>
          <w:bCs/>
          <w:color w:val="000000"/>
          <w:sz w:val="24"/>
          <w:szCs w:val="24"/>
        </w:rPr>
        <w:t xml:space="preserve">judicial </w:t>
      </w:r>
      <w:r w:rsidRPr="00385816">
        <w:rPr>
          <w:rFonts w:eastAsia="Calibri"/>
          <w:bCs/>
          <w:color w:val="000000"/>
          <w:sz w:val="24"/>
          <w:szCs w:val="24"/>
        </w:rPr>
        <w:t>review</w:t>
      </w:r>
      <w:r>
        <w:rPr>
          <w:rFonts w:eastAsia="Calibri"/>
          <w:bCs/>
          <w:color w:val="000000"/>
          <w:sz w:val="24"/>
          <w:szCs w:val="24"/>
        </w:rPr>
        <w:t>?</w:t>
      </w:r>
    </w:p>
    <w:bookmarkEnd w:id="0"/>
    <w:p w:rsidR="00533014" w:rsidRPr="0029172F" w:rsidRDefault="00533014" w:rsidP="00533014">
      <w:pPr>
        <w:ind w:left="709"/>
        <w:jc w:val="both"/>
        <w:rPr>
          <w:rFonts w:eastAsia="Calibri"/>
          <w:bCs/>
          <w:color w:val="000000"/>
          <w:sz w:val="24"/>
          <w:szCs w:val="24"/>
        </w:rPr>
      </w:pPr>
    </w:p>
    <w:p w:rsidR="00533014" w:rsidRDefault="00533014" w:rsidP="00533014">
      <w:pPr>
        <w:numPr>
          <w:ilvl w:val="0"/>
          <w:numId w:val="24"/>
        </w:numPr>
        <w:ind w:left="709" w:hanging="349"/>
        <w:jc w:val="both"/>
        <w:rPr>
          <w:rFonts w:eastAsia="Calibri"/>
          <w:bCs/>
          <w:color w:val="000000"/>
          <w:sz w:val="24"/>
          <w:szCs w:val="24"/>
        </w:rPr>
      </w:pPr>
      <w:r>
        <w:rPr>
          <w:rFonts w:eastAsia="Calibri"/>
          <w:bCs/>
          <w:color w:val="000000"/>
          <w:sz w:val="24"/>
          <w:szCs w:val="24"/>
        </w:rPr>
        <w:t xml:space="preserve">Please indicate the measures that have been adopted in your country to ensure access to justice during the COVID-19 pandemic: </w:t>
      </w:r>
    </w:p>
    <w:p w:rsidR="00533014" w:rsidRDefault="00533014" w:rsidP="00533014">
      <w:pPr>
        <w:ind w:left="1069"/>
        <w:jc w:val="both"/>
        <w:rPr>
          <w:rFonts w:eastAsia="Calibri"/>
          <w:bCs/>
          <w:color w:val="000000"/>
          <w:sz w:val="24"/>
          <w:szCs w:val="24"/>
        </w:rPr>
      </w:pPr>
    </w:p>
    <w:p w:rsidR="00533014" w:rsidRDefault="00533014" w:rsidP="00533014">
      <w:pPr>
        <w:numPr>
          <w:ilvl w:val="0"/>
          <w:numId w:val="25"/>
        </w:numPr>
        <w:jc w:val="both"/>
        <w:rPr>
          <w:rFonts w:eastAsia="Calibri"/>
          <w:bCs/>
          <w:color w:val="000000"/>
          <w:sz w:val="24"/>
          <w:szCs w:val="24"/>
        </w:rPr>
      </w:pPr>
      <w:r>
        <w:rPr>
          <w:rFonts w:eastAsia="Calibri"/>
          <w:bCs/>
          <w:color w:val="000000"/>
          <w:sz w:val="24"/>
          <w:szCs w:val="24"/>
        </w:rPr>
        <w:t xml:space="preserve">Have courts remained opened throughout the different phases of the pandemic? </w:t>
      </w:r>
    </w:p>
    <w:p w:rsidR="00533014" w:rsidRDefault="00533014" w:rsidP="00533014">
      <w:pPr>
        <w:ind w:left="1069"/>
        <w:jc w:val="both"/>
        <w:rPr>
          <w:rFonts w:eastAsia="Calibri"/>
          <w:bCs/>
          <w:color w:val="000000"/>
          <w:sz w:val="24"/>
          <w:szCs w:val="24"/>
        </w:rPr>
      </w:pPr>
    </w:p>
    <w:p w:rsidR="00533014" w:rsidRDefault="00533014" w:rsidP="00533014">
      <w:pPr>
        <w:numPr>
          <w:ilvl w:val="0"/>
          <w:numId w:val="25"/>
        </w:numPr>
        <w:jc w:val="both"/>
        <w:rPr>
          <w:rFonts w:eastAsia="Calibri"/>
          <w:bCs/>
          <w:color w:val="000000"/>
          <w:sz w:val="24"/>
          <w:szCs w:val="24"/>
        </w:rPr>
      </w:pPr>
      <w:r>
        <w:rPr>
          <w:rFonts w:eastAsia="Calibri"/>
          <w:bCs/>
          <w:color w:val="000000"/>
          <w:sz w:val="24"/>
          <w:szCs w:val="24"/>
        </w:rPr>
        <w:t xml:space="preserve">Which criteria have been developed and used to identify urgent cases (e.g. cases on the legality of pre-trial detention or domestic violence)? </w:t>
      </w:r>
    </w:p>
    <w:p w:rsidR="00533014" w:rsidRDefault="00533014" w:rsidP="00533014">
      <w:pPr>
        <w:ind w:left="1069"/>
        <w:jc w:val="both"/>
        <w:rPr>
          <w:rFonts w:eastAsia="Calibri"/>
          <w:bCs/>
          <w:color w:val="000000"/>
          <w:sz w:val="24"/>
          <w:szCs w:val="24"/>
        </w:rPr>
      </w:pPr>
    </w:p>
    <w:p w:rsidR="00533014" w:rsidRDefault="00533014" w:rsidP="00533014">
      <w:pPr>
        <w:numPr>
          <w:ilvl w:val="0"/>
          <w:numId w:val="25"/>
        </w:numPr>
        <w:jc w:val="both"/>
        <w:rPr>
          <w:rFonts w:eastAsia="Calibri"/>
          <w:bCs/>
          <w:color w:val="000000"/>
          <w:sz w:val="24"/>
          <w:szCs w:val="24"/>
        </w:rPr>
      </w:pPr>
      <w:r>
        <w:rPr>
          <w:rFonts w:eastAsia="Calibri"/>
          <w:bCs/>
          <w:color w:val="000000"/>
          <w:sz w:val="24"/>
          <w:szCs w:val="24"/>
        </w:rPr>
        <w:t xml:space="preserve">What measures have been developed and implemented to manage the backlog caused by the COVID-19 pandemic?  </w:t>
      </w:r>
    </w:p>
    <w:p w:rsidR="00533014" w:rsidRDefault="00533014" w:rsidP="00533014">
      <w:pPr>
        <w:ind w:left="1069"/>
        <w:jc w:val="both"/>
        <w:rPr>
          <w:rFonts w:eastAsia="Calibri"/>
          <w:bCs/>
          <w:color w:val="000000"/>
          <w:sz w:val="24"/>
          <w:szCs w:val="24"/>
        </w:rPr>
      </w:pPr>
    </w:p>
    <w:p w:rsidR="00533014" w:rsidRDefault="00533014" w:rsidP="00533014">
      <w:pPr>
        <w:numPr>
          <w:ilvl w:val="0"/>
          <w:numId w:val="25"/>
        </w:numPr>
        <w:jc w:val="both"/>
        <w:rPr>
          <w:rFonts w:eastAsia="Calibri"/>
          <w:bCs/>
          <w:color w:val="000000"/>
          <w:sz w:val="24"/>
          <w:szCs w:val="24"/>
        </w:rPr>
      </w:pPr>
      <w:r>
        <w:rPr>
          <w:rFonts w:eastAsia="Calibri"/>
          <w:bCs/>
          <w:color w:val="000000"/>
          <w:sz w:val="24"/>
          <w:szCs w:val="24"/>
        </w:rPr>
        <w:t xml:space="preserve">Has your court system experienced an increase in pandemic-related cases, e.g. complaints </w:t>
      </w:r>
      <w:r w:rsidRPr="00176464">
        <w:rPr>
          <w:rFonts w:eastAsia="Calibri"/>
          <w:bCs/>
          <w:color w:val="000000"/>
          <w:sz w:val="24"/>
          <w:szCs w:val="24"/>
        </w:rPr>
        <w:t>against</w:t>
      </w:r>
      <w:r>
        <w:rPr>
          <w:rFonts w:eastAsia="Calibri"/>
          <w:bCs/>
          <w:color w:val="000000"/>
          <w:sz w:val="24"/>
          <w:szCs w:val="24"/>
        </w:rPr>
        <w:t xml:space="preserve"> </w:t>
      </w:r>
      <w:r w:rsidRPr="00176464">
        <w:rPr>
          <w:rFonts w:eastAsia="Calibri"/>
          <w:bCs/>
          <w:color w:val="000000"/>
          <w:sz w:val="24"/>
          <w:szCs w:val="24"/>
        </w:rPr>
        <w:t xml:space="preserve">emergency measures </w:t>
      </w:r>
      <w:r>
        <w:rPr>
          <w:rFonts w:eastAsia="Calibri"/>
          <w:bCs/>
          <w:color w:val="000000"/>
          <w:sz w:val="24"/>
          <w:szCs w:val="24"/>
        </w:rPr>
        <w:t>or</w:t>
      </w:r>
      <w:r w:rsidRPr="00176464">
        <w:rPr>
          <w:rFonts w:eastAsia="Calibri"/>
          <w:bCs/>
          <w:color w:val="000000"/>
          <w:sz w:val="24"/>
          <w:szCs w:val="24"/>
        </w:rPr>
        <w:t xml:space="preserve"> grievances caused by the pandemic</w:t>
      </w:r>
      <w:r>
        <w:rPr>
          <w:rFonts w:eastAsia="Calibri"/>
          <w:bCs/>
          <w:color w:val="000000"/>
          <w:sz w:val="24"/>
          <w:szCs w:val="24"/>
        </w:rPr>
        <w:t xml:space="preserve"> (e.g. bankruptcy or family disputes)?</w:t>
      </w:r>
    </w:p>
    <w:p w:rsidR="00533014" w:rsidRDefault="00533014" w:rsidP="00533014">
      <w:pPr>
        <w:ind w:left="709"/>
        <w:jc w:val="both"/>
        <w:rPr>
          <w:rFonts w:eastAsia="Calibri"/>
          <w:bCs/>
          <w:color w:val="000000"/>
          <w:sz w:val="24"/>
          <w:szCs w:val="24"/>
        </w:rPr>
      </w:pPr>
    </w:p>
    <w:p w:rsidR="00533014" w:rsidRDefault="00533014" w:rsidP="00533014">
      <w:pPr>
        <w:numPr>
          <w:ilvl w:val="0"/>
          <w:numId w:val="24"/>
        </w:numPr>
        <w:ind w:left="709" w:hanging="349"/>
        <w:jc w:val="both"/>
        <w:rPr>
          <w:rFonts w:eastAsia="Calibri"/>
          <w:bCs/>
          <w:color w:val="000000"/>
          <w:sz w:val="24"/>
          <w:szCs w:val="24"/>
        </w:rPr>
      </w:pPr>
      <w:r w:rsidRPr="0029172F">
        <w:rPr>
          <w:rFonts w:eastAsia="Calibri"/>
          <w:bCs/>
          <w:color w:val="000000"/>
          <w:sz w:val="24"/>
          <w:szCs w:val="24"/>
        </w:rPr>
        <w:t xml:space="preserve">Please </w:t>
      </w:r>
      <w:r>
        <w:rPr>
          <w:rFonts w:eastAsia="Calibri"/>
          <w:bCs/>
          <w:color w:val="000000"/>
          <w:sz w:val="24"/>
          <w:szCs w:val="24"/>
        </w:rPr>
        <w:t>describe the health and safety measures adopted in the court system to ensure the protection of all the actors in the justice system (e.g. judges, prosecutors, parties to the proceedings and their lawyers, court officials, law enforcement officials) during the COVID-19 pandemic.</w:t>
      </w:r>
    </w:p>
    <w:p w:rsidR="00533014" w:rsidRDefault="00533014" w:rsidP="00533014">
      <w:pPr>
        <w:ind w:left="709"/>
        <w:jc w:val="both"/>
        <w:rPr>
          <w:rFonts w:eastAsia="Calibri"/>
          <w:bCs/>
          <w:color w:val="000000"/>
          <w:sz w:val="24"/>
          <w:szCs w:val="24"/>
        </w:rPr>
      </w:pPr>
    </w:p>
    <w:p w:rsidR="00533014" w:rsidRDefault="00533014" w:rsidP="00533014">
      <w:pPr>
        <w:numPr>
          <w:ilvl w:val="0"/>
          <w:numId w:val="24"/>
        </w:numPr>
        <w:ind w:left="709" w:hanging="349"/>
        <w:jc w:val="both"/>
        <w:rPr>
          <w:rFonts w:eastAsia="Calibri"/>
          <w:bCs/>
          <w:color w:val="000000"/>
          <w:sz w:val="24"/>
          <w:szCs w:val="24"/>
        </w:rPr>
      </w:pPr>
      <w:r>
        <w:rPr>
          <w:rFonts w:eastAsia="Calibri"/>
          <w:bCs/>
          <w:color w:val="000000"/>
          <w:sz w:val="24"/>
          <w:szCs w:val="24"/>
        </w:rPr>
        <w:t xml:space="preserve">Please provide information on the technological means used to ensure the functioning of the court system during the COVID-19 pandemic (e.g. online submissions to courts or hearings held in videoconference): </w:t>
      </w:r>
    </w:p>
    <w:p w:rsidR="00533014" w:rsidRDefault="00533014" w:rsidP="00533014">
      <w:pPr>
        <w:ind w:left="709"/>
        <w:jc w:val="both"/>
        <w:rPr>
          <w:rFonts w:eastAsia="Calibri"/>
          <w:bCs/>
          <w:color w:val="000000"/>
          <w:sz w:val="24"/>
          <w:szCs w:val="24"/>
        </w:rPr>
      </w:pPr>
    </w:p>
    <w:p w:rsidR="00533014" w:rsidRDefault="00533014" w:rsidP="00533014">
      <w:pPr>
        <w:numPr>
          <w:ilvl w:val="0"/>
          <w:numId w:val="26"/>
        </w:numPr>
        <w:jc w:val="both"/>
        <w:rPr>
          <w:rFonts w:eastAsia="Calibri"/>
          <w:bCs/>
          <w:color w:val="000000"/>
          <w:sz w:val="24"/>
          <w:szCs w:val="24"/>
        </w:rPr>
      </w:pPr>
      <w:r>
        <w:rPr>
          <w:rFonts w:eastAsia="Calibri"/>
          <w:bCs/>
          <w:color w:val="000000"/>
          <w:sz w:val="24"/>
          <w:szCs w:val="24"/>
        </w:rPr>
        <w:t xml:space="preserve">What measures have been adopted to ensure that judicial stakeholders (e.g. judges, court staff, prosecutors) have access to adequate technological means and appropriate training on new procedures (e.g. </w:t>
      </w:r>
      <w:r w:rsidRPr="0015437D">
        <w:rPr>
          <w:rFonts w:eastAsia="Calibri"/>
          <w:bCs/>
          <w:color w:val="000000"/>
          <w:sz w:val="24"/>
          <w:szCs w:val="24"/>
        </w:rPr>
        <w:t>use of electronic platforms to access documents, electronic case management and videoconferencing options</w:t>
      </w:r>
      <w:r>
        <w:rPr>
          <w:rFonts w:eastAsia="Calibri"/>
          <w:bCs/>
          <w:color w:val="000000"/>
          <w:sz w:val="24"/>
          <w:szCs w:val="24"/>
        </w:rPr>
        <w:t>)?</w:t>
      </w:r>
    </w:p>
    <w:p w:rsidR="00533014" w:rsidRDefault="00533014" w:rsidP="00533014">
      <w:pPr>
        <w:ind w:left="1069"/>
        <w:jc w:val="both"/>
        <w:rPr>
          <w:rFonts w:eastAsia="Calibri"/>
          <w:bCs/>
          <w:color w:val="000000"/>
          <w:sz w:val="24"/>
          <w:szCs w:val="24"/>
        </w:rPr>
      </w:pPr>
    </w:p>
    <w:p w:rsidR="00533014" w:rsidRDefault="00533014" w:rsidP="00533014">
      <w:pPr>
        <w:numPr>
          <w:ilvl w:val="0"/>
          <w:numId w:val="26"/>
        </w:numPr>
        <w:jc w:val="both"/>
        <w:rPr>
          <w:rFonts w:eastAsia="Calibri"/>
          <w:bCs/>
          <w:color w:val="000000"/>
          <w:sz w:val="24"/>
          <w:szCs w:val="24"/>
        </w:rPr>
      </w:pPr>
      <w:r>
        <w:rPr>
          <w:rFonts w:eastAsia="Calibri"/>
          <w:bCs/>
          <w:color w:val="000000"/>
          <w:sz w:val="24"/>
          <w:szCs w:val="24"/>
        </w:rPr>
        <w:t xml:space="preserve">What measures have been developed to facilitate access to justice for disadvantaged groups and individuals who </w:t>
      </w:r>
      <w:r w:rsidRPr="00883CC8">
        <w:rPr>
          <w:rFonts w:eastAsia="Calibri"/>
          <w:bCs/>
          <w:color w:val="000000"/>
          <w:sz w:val="24"/>
          <w:szCs w:val="24"/>
        </w:rPr>
        <w:t xml:space="preserve">may not own a computer, not have access to internet, or not be tech-savvy enough to </w:t>
      </w:r>
      <w:r>
        <w:rPr>
          <w:rFonts w:eastAsia="Calibri"/>
          <w:bCs/>
          <w:color w:val="000000"/>
          <w:sz w:val="24"/>
          <w:szCs w:val="24"/>
        </w:rPr>
        <w:t xml:space="preserve">participate in online hearings? </w:t>
      </w:r>
    </w:p>
    <w:p w:rsidR="00533014" w:rsidRDefault="00533014" w:rsidP="00533014">
      <w:pPr>
        <w:ind w:left="1069"/>
        <w:jc w:val="both"/>
        <w:rPr>
          <w:rFonts w:eastAsia="Calibri"/>
          <w:bCs/>
          <w:color w:val="000000"/>
          <w:sz w:val="24"/>
          <w:szCs w:val="24"/>
        </w:rPr>
      </w:pPr>
    </w:p>
    <w:p w:rsidR="00533014" w:rsidRDefault="00533014" w:rsidP="00533014">
      <w:pPr>
        <w:numPr>
          <w:ilvl w:val="0"/>
          <w:numId w:val="26"/>
        </w:numPr>
        <w:jc w:val="both"/>
        <w:rPr>
          <w:rFonts w:eastAsia="Calibri"/>
          <w:bCs/>
          <w:color w:val="000000"/>
          <w:sz w:val="24"/>
          <w:szCs w:val="24"/>
        </w:rPr>
      </w:pPr>
      <w:r>
        <w:rPr>
          <w:rFonts w:eastAsia="Calibri"/>
          <w:bCs/>
          <w:color w:val="000000"/>
          <w:sz w:val="24"/>
          <w:szCs w:val="24"/>
        </w:rPr>
        <w:t xml:space="preserve">Which safeguards have been put in place to ensure that the use of technological means does not adversely affect fair trial and due process standards (e.g. public hearings, adequate time and facilities to communicate with one’s own lawyer, access to interpretation…)? </w:t>
      </w:r>
    </w:p>
    <w:p w:rsidR="00533014" w:rsidRDefault="00533014" w:rsidP="00533014">
      <w:pPr>
        <w:jc w:val="both"/>
        <w:rPr>
          <w:rFonts w:eastAsia="Calibri"/>
          <w:bCs/>
          <w:color w:val="000000"/>
          <w:sz w:val="24"/>
          <w:szCs w:val="24"/>
        </w:rPr>
      </w:pPr>
    </w:p>
    <w:p w:rsidR="00533014" w:rsidRDefault="00533014" w:rsidP="00533014">
      <w:pPr>
        <w:numPr>
          <w:ilvl w:val="0"/>
          <w:numId w:val="24"/>
        </w:numPr>
        <w:ind w:left="709" w:hanging="349"/>
        <w:jc w:val="both"/>
        <w:rPr>
          <w:rFonts w:eastAsia="Calibri"/>
          <w:bCs/>
          <w:color w:val="000000"/>
          <w:sz w:val="24"/>
          <w:szCs w:val="24"/>
        </w:rPr>
      </w:pPr>
      <w:r>
        <w:rPr>
          <w:rFonts w:eastAsia="Calibri"/>
          <w:bCs/>
          <w:color w:val="000000"/>
          <w:sz w:val="24"/>
          <w:szCs w:val="24"/>
        </w:rPr>
        <w:t xml:space="preserve">Please provide information on the additional budgetary resources allocated to the court system for the years 2020-2021 to enable that the judiciary and the public prosecution to continue to function and to recover from the pandemic. Do these measures include safeguards to prevent and tackle corruption in the allocation of these additional budgetary resources?  </w:t>
      </w:r>
    </w:p>
    <w:p w:rsidR="00533014" w:rsidRDefault="00533014" w:rsidP="00533014">
      <w:pPr>
        <w:ind w:left="709"/>
        <w:jc w:val="both"/>
        <w:rPr>
          <w:rFonts w:eastAsia="Calibri"/>
          <w:bCs/>
          <w:color w:val="000000"/>
          <w:sz w:val="24"/>
          <w:szCs w:val="24"/>
        </w:rPr>
      </w:pPr>
    </w:p>
    <w:p w:rsidR="00533014" w:rsidRDefault="00533014" w:rsidP="00533014">
      <w:pPr>
        <w:numPr>
          <w:ilvl w:val="0"/>
          <w:numId w:val="24"/>
        </w:numPr>
        <w:ind w:left="709" w:hanging="349"/>
        <w:jc w:val="both"/>
        <w:rPr>
          <w:rFonts w:eastAsia="Calibri"/>
          <w:bCs/>
          <w:color w:val="000000"/>
          <w:sz w:val="24"/>
          <w:szCs w:val="24"/>
        </w:rPr>
      </w:pPr>
      <w:r>
        <w:rPr>
          <w:rFonts w:eastAsia="Calibri"/>
          <w:bCs/>
          <w:color w:val="000000"/>
          <w:sz w:val="24"/>
          <w:szCs w:val="24"/>
        </w:rPr>
        <w:t xml:space="preserve">Please describe the measures that have been adopted to enable lawyers to carry out their activities during the COVID-19 pandemic, particularly with regard to their access to people under arrest or detention and </w:t>
      </w:r>
      <w:r w:rsidRPr="00C03E84">
        <w:rPr>
          <w:rFonts w:eastAsia="Calibri"/>
          <w:bCs/>
          <w:color w:val="000000"/>
          <w:sz w:val="24"/>
          <w:szCs w:val="24"/>
        </w:rPr>
        <w:t xml:space="preserve">means </w:t>
      </w:r>
      <w:r>
        <w:rPr>
          <w:rFonts w:eastAsia="Calibri"/>
          <w:bCs/>
          <w:color w:val="000000"/>
          <w:sz w:val="24"/>
          <w:szCs w:val="24"/>
        </w:rPr>
        <w:t xml:space="preserve">to facilitate </w:t>
      </w:r>
      <w:r w:rsidRPr="00C03E84">
        <w:rPr>
          <w:rFonts w:eastAsia="Calibri"/>
          <w:bCs/>
          <w:color w:val="000000"/>
          <w:sz w:val="24"/>
          <w:szCs w:val="24"/>
        </w:rPr>
        <w:t>confidential client-lawyer communication</w:t>
      </w:r>
      <w:r>
        <w:rPr>
          <w:rFonts w:eastAsia="Calibri"/>
          <w:bCs/>
          <w:color w:val="000000"/>
          <w:sz w:val="24"/>
          <w:szCs w:val="24"/>
        </w:rPr>
        <w:t>s</w:t>
      </w:r>
      <w:r w:rsidRPr="00C03E84">
        <w:rPr>
          <w:rFonts w:eastAsia="Calibri"/>
          <w:bCs/>
          <w:color w:val="000000"/>
          <w:sz w:val="24"/>
          <w:szCs w:val="24"/>
        </w:rPr>
        <w:t xml:space="preserve"> during online hearings</w:t>
      </w:r>
      <w:r>
        <w:rPr>
          <w:rFonts w:eastAsia="Calibri"/>
          <w:bCs/>
          <w:color w:val="000000"/>
          <w:sz w:val="24"/>
          <w:szCs w:val="24"/>
        </w:rPr>
        <w:t xml:space="preserve">.  </w:t>
      </w:r>
    </w:p>
    <w:p w:rsidR="00533014" w:rsidRDefault="00533014" w:rsidP="00533014">
      <w:pPr>
        <w:jc w:val="both"/>
        <w:rPr>
          <w:rFonts w:eastAsia="Calibri"/>
          <w:bCs/>
          <w:color w:val="000000"/>
          <w:sz w:val="24"/>
          <w:szCs w:val="24"/>
        </w:rPr>
      </w:pPr>
    </w:p>
    <w:p w:rsidR="00533014" w:rsidRDefault="00533014" w:rsidP="00533014">
      <w:pPr>
        <w:jc w:val="both"/>
        <w:rPr>
          <w:rFonts w:eastAsia="Calibri"/>
          <w:bCs/>
          <w:color w:val="000000"/>
          <w:sz w:val="24"/>
          <w:szCs w:val="24"/>
        </w:rPr>
      </w:pPr>
    </w:p>
    <w:p w:rsidR="00533014" w:rsidRDefault="00533014" w:rsidP="00533014">
      <w:pPr>
        <w:ind w:left="360"/>
        <w:jc w:val="center"/>
        <w:rPr>
          <w:sz w:val="24"/>
          <w:szCs w:val="24"/>
          <w:lang w:eastAsia="en-GB"/>
        </w:rPr>
      </w:pPr>
      <w:r>
        <w:rPr>
          <w:sz w:val="24"/>
          <w:szCs w:val="24"/>
        </w:rPr>
        <w:t>* * * * *</w:t>
      </w:r>
    </w:p>
    <w:tbl>
      <w:tblPr>
        <w:tblpPr w:leftFromText="180" w:rightFromText="180" w:vertAnchor="text" w:tblpY="1"/>
        <w:tblOverlap w:val="never"/>
        <w:tblW w:w="0" w:type="auto"/>
        <w:tblLook w:val="04A0" w:firstRow="1" w:lastRow="0" w:firstColumn="1" w:lastColumn="0" w:noHBand="0" w:noVBand="1"/>
      </w:tblPr>
      <w:tblGrid>
        <w:gridCol w:w="119"/>
      </w:tblGrid>
      <w:tr w:rsidR="00533014" w:rsidRPr="00E72180" w:rsidTr="008A7961">
        <w:tc>
          <w:tcPr>
            <w:tcW w:w="0" w:type="auto"/>
            <w:shd w:val="clear" w:color="auto" w:fill="auto"/>
            <w:tcMar>
              <w:top w:w="113" w:type="dxa"/>
              <w:left w:w="113" w:type="dxa"/>
              <w:bottom w:w="113" w:type="dxa"/>
              <w:right w:w="0" w:type="dxa"/>
            </w:tcMar>
          </w:tcPr>
          <w:p w:rsidR="00533014" w:rsidRPr="00E72180" w:rsidRDefault="00533014" w:rsidP="008A7961">
            <w:pPr>
              <w:jc w:val="both"/>
              <w:rPr>
                <w:sz w:val="24"/>
                <w:szCs w:val="24"/>
                <w:lang w:eastAsia="en-GB"/>
              </w:rPr>
            </w:pPr>
          </w:p>
        </w:tc>
      </w:tr>
    </w:tbl>
    <w:p w:rsidR="00533014" w:rsidRDefault="00533014" w:rsidP="00533014">
      <w:pPr>
        <w:tabs>
          <w:tab w:val="left" w:pos="567"/>
        </w:tabs>
        <w:jc w:val="right"/>
        <w:rPr>
          <w:b/>
          <w:sz w:val="24"/>
          <w:szCs w:val="24"/>
          <w:lang w:eastAsia="de-DE"/>
        </w:rPr>
      </w:pPr>
    </w:p>
    <w:p w:rsidR="00533014" w:rsidRDefault="00533014" w:rsidP="00EA5AD0">
      <w:pPr>
        <w:jc w:val="center"/>
        <w:outlineLvl w:val="0"/>
        <w:rPr>
          <w:b/>
          <w:sz w:val="24"/>
          <w:szCs w:val="24"/>
        </w:rPr>
      </w:pPr>
    </w:p>
    <w:p w:rsidR="00EA5AD0" w:rsidRPr="00EA5AD0" w:rsidRDefault="00EA5AD0" w:rsidP="00EA5AD0">
      <w:pPr>
        <w:jc w:val="center"/>
        <w:outlineLvl w:val="0"/>
        <w:rPr>
          <w:b/>
          <w:sz w:val="24"/>
          <w:szCs w:val="24"/>
        </w:rPr>
      </w:pPr>
    </w:p>
    <w:p w:rsidR="00EA5AD0" w:rsidRDefault="00EA5AD0" w:rsidP="00EA5AD0">
      <w:pPr>
        <w:tabs>
          <w:tab w:val="left" w:pos="6705"/>
        </w:tabs>
        <w:outlineLvl w:val="0"/>
        <w:rPr>
          <w:b/>
        </w:rPr>
      </w:pPr>
      <w:r>
        <w:rPr>
          <w:b/>
        </w:rPr>
        <w:tab/>
      </w:r>
    </w:p>
    <w:p w:rsidR="00EA5AD0" w:rsidRPr="002540B0" w:rsidRDefault="00EA5AD0" w:rsidP="00EA5AD0">
      <w:pPr>
        <w:jc w:val="center"/>
        <w:outlineLvl w:val="0"/>
        <w:rPr>
          <w:b/>
        </w:rPr>
      </w:pPr>
    </w:p>
    <w:sectPr w:rsidR="00EA5AD0" w:rsidRPr="002540B0" w:rsidSect="00ED053D">
      <w:headerReference w:type="default" r:id="rId11"/>
      <w:footerReference w:type="default" r:id="rId12"/>
      <w:headerReference w:type="first" r:id="rId13"/>
      <w:footerReference w:type="first" r:id="rId1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B07" w:rsidRDefault="00787B07">
      <w:r>
        <w:separator/>
      </w:r>
    </w:p>
  </w:endnote>
  <w:endnote w:type="continuationSeparator" w:id="0">
    <w:p w:rsidR="00787B07" w:rsidRDefault="00787B07">
      <w:r>
        <w:continuationSeparator/>
      </w:r>
    </w:p>
  </w:endnote>
  <w:endnote w:type="continuationNotice" w:id="1">
    <w:p w:rsidR="00787B07" w:rsidRDefault="00787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F3F" w:rsidRDefault="00A93F3F"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9B" w:rsidRPr="003F10CA" w:rsidRDefault="0044209B" w:rsidP="0044209B">
    <w:pPr>
      <w:pStyle w:val="Footer"/>
      <w:tabs>
        <w:tab w:val="left" w:pos="567"/>
      </w:tabs>
    </w:pPr>
    <w:r w:rsidRPr="00904039">
      <w:rPr>
        <w:sz w:val="24"/>
      </w:rPr>
      <w:t>A</w:t>
    </w:r>
    <w:r>
      <w:rPr>
        <w:sz w:val="24"/>
      </w:rPr>
      <w:t>ll Permanent Missions</w:t>
    </w:r>
    <w:r w:rsidRPr="00904039">
      <w:rPr>
        <w:sz w:val="24"/>
      </w:rPr>
      <w:t xml:space="preserve"> </w:t>
    </w:r>
    <w:r>
      <w:rPr>
        <w:sz w:val="24"/>
      </w:rPr>
      <w:t xml:space="preserve">to the United Nations Office and </w:t>
    </w:r>
    <w:r w:rsidR="00CD0230">
      <w:rPr>
        <w:sz w:val="24"/>
      </w:rPr>
      <w:t>Observers Missions at</w:t>
    </w:r>
    <w:r w:rsidRPr="00904039">
      <w:rPr>
        <w:sz w:val="24"/>
      </w:rPr>
      <w:t xml:space="preserve"> Geneva </w:t>
    </w:r>
  </w:p>
  <w:p w:rsidR="00A93F3F" w:rsidRPr="00282983" w:rsidRDefault="0044209B" w:rsidP="000448F9">
    <w:pPr>
      <w:pStyle w:val="Footer"/>
      <w:tabs>
        <w:tab w:val="left" w:pos="567"/>
      </w:tabs>
    </w:pPr>
    <w:r w:rsidRPr="00904039" w:rsidDel="0044209B">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B07" w:rsidRDefault="00787B07">
      <w:r>
        <w:separator/>
      </w:r>
    </w:p>
  </w:footnote>
  <w:footnote w:type="continuationSeparator" w:id="0">
    <w:p w:rsidR="00787B07" w:rsidRDefault="00787B07">
      <w:r>
        <w:continuationSeparator/>
      </w:r>
    </w:p>
  </w:footnote>
  <w:footnote w:type="continuationNotice" w:id="1">
    <w:p w:rsidR="00787B07" w:rsidRDefault="00787B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AD0" w:rsidRPr="00925A9D" w:rsidRDefault="00965F62" w:rsidP="00EA5AD0">
    <w:pPr>
      <w:pStyle w:val="Header"/>
      <w:tabs>
        <w:tab w:val="clear" w:pos="4153"/>
        <w:tab w:val="clear" w:pos="8306"/>
      </w:tabs>
      <w:jc w:val="center"/>
      <w:rPr>
        <w:sz w:val="14"/>
        <w:szCs w:val="14"/>
        <w:lang w:val="en-GB"/>
      </w:rPr>
    </w:pPr>
    <w:r w:rsidRPr="003F7C17">
      <w:rPr>
        <w:noProof/>
        <w:snapToGrid/>
        <w:sz w:val="14"/>
        <w:szCs w:val="14"/>
        <w:lang w:val="en-GB" w:eastAsia="en-GB"/>
      </w:rPr>
      <w:drawing>
        <wp:inline distT="0" distB="0" distL="0" distR="0">
          <wp:extent cx="2838450" cy="1219200"/>
          <wp:effectExtent l="0" t="0" r="0" b="0"/>
          <wp:docPr id="3" name="Picture 4"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rsidR="00EA5AD0" w:rsidRPr="002745FF" w:rsidRDefault="00EA5AD0" w:rsidP="00EA5AD0">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rsidR="00EA5AD0" w:rsidRDefault="00EA5AD0" w:rsidP="00EA5AD0">
    <w:pPr>
      <w:pStyle w:val="Header"/>
      <w:tabs>
        <w:tab w:val="clear" w:pos="4153"/>
        <w:tab w:val="clear" w:pos="8306"/>
        <w:tab w:val="right" w:pos="3686"/>
        <w:tab w:val="left" w:pos="5812"/>
      </w:tabs>
      <w:spacing w:before="80" w:after="20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hyperlink r:id="rId2" w:history="1">
      <w:r w:rsidRPr="00563C2A">
        <w:rPr>
          <w:rStyle w:val="Hyperlink"/>
          <w:sz w:val="14"/>
          <w:szCs w:val="14"/>
          <w:lang w:val="fr-CH"/>
        </w:rPr>
        <w:t>registry@ohchr.org</w:t>
      </w:r>
    </w:hyperlink>
  </w:p>
  <w:p w:rsidR="00A93F3F" w:rsidRPr="00EA5AD0" w:rsidRDefault="00A93F3F" w:rsidP="00ED053D">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D0D" w:rsidRPr="00925A9D" w:rsidRDefault="00965F62" w:rsidP="001D2D0D">
    <w:pPr>
      <w:pStyle w:val="Header"/>
      <w:tabs>
        <w:tab w:val="clear" w:pos="4153"/>
        <w:tab w:val="clear" w:pos="8306"/>
      </w:tabs>
      <w:jc w:val="center"/>
      <w:rPr>
        <w:sz w:val="14"/>
        <w:szCs w:val="14"/>
        <w:lang w:val="en-GB"/>
      </w:rPr>
    </w:pPr>
    <w:r w:rsidRPr="003F7C17">
      <w:rPr>
        <w:noProof/>
        <w:snapToGrid/>
        <w:sz w:val="14"/>
        <w:szCs w:val="14"/>
        <w:lang w:val="en-GB" w:eastAsia="en-GB"/>
      </w:rPr>
      <w:drawing>
        <wp:inline distT="0" distB="0" distL="0" distR="0">
          <wp:extent cx="2838450" cy="1219200"/>
          <wp:effectExtent l="0" t="0" r="0" b="0"/>
          <wp:docPr id="1" name="Picture 3"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rsidR="001D2D0D" w:rsidRPr="002745FF" w:rsidRDefault="001D2D0D" w:rsidP="001D2D0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rsidR="00A93F3F" w:rsidRDefault="001D2D0D" w:rsidP="000448F9">
    <w:pPr>
      <w:pStyle w:val="Header"/>
      <w:tabs>
        <w:tab w:val="clear" w:pos="4153"/>
        <w:tab w:val="clear" w:pos="8306"/>
        <w:tab w:val="right" w:pos="3686"/>
        <w:tab w:val="left" w:pos="5812"/>
      </w:tabs>
      <w:spacing w:before="80" w:after="12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hyperlink r:id="rId2" w:history="1">
      <w:r w:rsidR="003C223B" w:rsidRPr="00563C2A">
        <w:rPr>
          <w:rStyle w:val="Hyperlink"/>
          <w:sz w:val="14"/>
          <w:szCs w:val="14"/>
          <w:lang w:val="fr-CH"/>
        </w:rPr>
        <w:t>registry@ohchr.org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3"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7C26B3"/>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65B35403"/>
    <w:multiLevelType w:val="hybridMultilevel"/>
    <w:tmpl w:val="F1AABD6C"/>
    <w:lvl w:ilvl="0" w:tplc="32C40B18">
      <w:start w:val="1"/>
      <w:numFmt w:val="decimal"/>
      <w:lvlText w:val="%1."/>
      <w:lvlJc w:val="left"/>
      <w:pPr>
        <w:ind w:left="4018" w:hanging="540"/>
      </w:pPr>
      <w:rPr>
        <w:rFonts w:hint="default"/>
      </w:rPr>
    </w:lvl>
    <w:lvl w:ilvl="1" w:tplc="08090019" w:tentative="1">
      <w:start w:val="1"/>
      <w:numFmt w:val="lowerLetter"/>
      <w:lvlText w:val="%2."/>
      <w:lvlJc w:val="left"/>
      <w:pPr>
        <w:ind w:left="4558" w:hanging="360"/>
      </w:pPr>
    </w:lvl>
    <w:lvl w:ilvl="2" w:tplc="0809001B" w:tentative="1">
      <w:start w:val="1"/>
      <w:numFmt w:val="lowerRoman"/>
      <w:lvlText w:val="%3."/>
      <w:lvlJc w:val="right"/>
      <w:pPr>
        <w:ind w:left="5278" w:hanging="180"/>
      </w:pPr>
    </w:lvl>
    <w:lvl w:ilvl="3" w:tplc="0809000F" w:tentative="1">
      <w:start w:val="1"/>
      <w:numFmt w:val="decimal"/>
      <w:lvlText w:val="%4."/>
      <w:lvlJc w:val="left"/>
      <w:pPr>
        <w:ind w:left="5998" w:hanging="360"/>
      </w:pPr>
    </w:lvl>
    <w:lvl w:ilvl="4" w:tplc="08090019" w:tentative="1">
      <w:start w:val="1"/>
      <w:numFmt w:val="lowerLetter"/>
      <w:lvlText w:val="%5."/>
      <w:lvlJc w:val="left"/>
      <w:pPr>
        <w:ind w:left="6718" w:hanging="360"/>
      </w:pPr>
    </w:lvl>
    <w:lvl w:ilvl="5" w:tplc="0809001B" w:tentative="1">
      <w:start w:val="1"/>
      <w:numFmt w:val="lowerRoman"/>
      <w:lvlText w:val="%6."/>
      <w:lvlJc w:val="right"/>
      <w:pPr>
        <w:ind w:left="7438" w:hanging="180"/>
      </w:pPr>
    </w:lvl>
    <w:lvl w:ilvl="6" w:tplc="0809000F" w:tentative="1">
      <w:start w:val="1"/>
      <w:numFmt w:val="decimal"/>
      <w:lvlText w:val="%7."/>
      <w:lvlJc w:val="left"/>
      <w:pPr>
        <w:ind w:left="8158" w:hanging="360"/>
      </w:pPr>
    </w:lvl>
    <w:lvl w:ilvl="7" w:tplc="08090019" w:tentative="1">
      <w:start w:val="1"/>
      <w:numFmt w:val="lowerLetter"/>
      <w:lvlText w:val="%8."/>
      <w:lvlJc w:val="left"/>
      <w:pPr>
        <w:ind w:left="8878" w:hanging="360"/>
      </w:pPr>
    </w:lvl>
    <w:lvl w:ilvl="8" w:tplc="0809001B" w:tentative="1">
      <w:start w:val="1"/>
      <w:numFmt w:val="lowerRoman"/>
      <w:lvlText w:val="%9."/>
      <w:lvlJc w:val="right"/>
      <w:pPr>
        <w:ind w:left="9598" w:hanging="180"/>
      </w:pPr>
    </w:lvl>
  </w:abstractNum>
  <w:abstractNum w:abstractNumId="22" w15:restartNumberingAfterBreak="0">
    <w:nsid w:val="660A4FF0"/>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5"/>
  </w:num>
  <w:num w:numId="3">
    <w:abstractNumId w:val="17"/>
  </w:num>
  <w:num w:numId="4">
    <w:abstractNumId w:val="7"/>
  </w:num>
  <w:num w:numId="5">
    <w:abstractNumId w:val="18"/>
  </w:num>
  <w:num w:numId="6">
    <w:abstractNumId w:val="9"/>
  </w:num>
  <w:num w:numId="7">
    <w:abstractNumId w:val="2"/>
  </w:num>
  <w:num w:numId="8">
    <w:abstractNumId w:val="10"/>
  </w:num>
  <w:num w:numId="9">
    <w:abstractNumId w:val="3"/>
  </w:num>
  <w:num w:numId="10">
    <w:abstractNumId w:val="1"/>
  </w:num>
  <w:num w:numId="11">
    <w:abstractNumId w:val="8"/>
  </w:num>
  <w:num w:numId="12">
    <w:abstractNumId w:val="23"/>
  </w:num>
  <w:num w:numId="13">
    <w:abstractNumId w:val="24"/>
  </w:num>
  <w:num w:numId="14">
    <w:abstractNumId w:val="13"/>
  </w:num>
  <w:num w:numId="15">
    <w:abstractNumId w:val="5"/>
  </w:num>
  <w:num w:numId="16">
    <w:abstractNumId w:val="0"/>
  </w:num>
  <w:num w:numId="17">
    <w:abstractNumId w:val="20"/>
  </w:num>
  <w:num w:numId="18">
    <w:abstractNumId w:val="6"/>
  </w:num>
  <w:num w:numId="19">
    <w:abstractNumId w:val="12"/>
  </w:num>
  <w:num w:numId="20">
    <w:abstractNumId w:val="4"/>
  </w:num>
  <w:num w:numId="21">
    <w:abstractNumId w:val="19"/>
  </w:num>
  <w:num w:numId="22">
    <w:abstractNumId w:val="16"/>
  </w:num>
  <w:num w:numId="23">
    <w:abstractNumId w:val="11"/>
  </w:num>
  <w:num w:numId="24">
    <w:abstractNumId w:val="21"/>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2E48"/>
    <w:rsid w:val="000138F6"/>
    <w:rsid w:val="00023D7B"/>
    <w:rsid w:val="00026D1F"/>
    <w:rsid w:val="000340E3"/>
    <w:rsid w:val="0003674D"/>
    <w:rsid w:val="000448F9"/>
    <w:rsid w:val="0005390B"/>
    <w:rsid w:val="000552AA"/>
    <w:rsid w:val="00063BFD"/>
    <w:rsid w:val="00076B62"/>
    <w:rsid w:val="00077294"/>
    <w:rsid w:val="000875C6"/>
    <w:rsid w:val="00091BF0"/>
    <w:rsid w:val="000A2B89"/>
    <w:rsid w:val="000A6F03"/>
    <w:rsid w:val="000B7800"/>
    <w:rsid w:val="000C0632"/>
    <w:rsid w:val="000D210E"/>
    <w:rsid w:val="000D34F2"/>
    <w:rsid w:val="000D7AE5"/>
    <w:rsid w:val="000E42EE"/>
    <w:rsid w:val="000F183C"/>
    <w:rsid w:val="0010166B"/>
    <w:rsid w:val="00106F64"/>
    <w:rsid w:val="00114066"/>
    <w:rsid w:val="00115798"/>
    <w:rsid w:val="001205D6"/>
    <w:rsid w:val="00127564"/>
    <w:rsid w:val="00127D35"/>
    <w:rsid w:val="0014528C"/>
    <w:rsid w:val="001456CB"/>
    <w:rsid w:val="001537CC"/>
    <w:rsid w:val="00153DB2"/>
    <w:rsid w:val="0015615C"/>
    <w:rsid w:val="001676BA"/>
    <w:rsid w:val="001718CD"/>
    <w:rsid w:val="00194332"/>
    <w:rsid w:val="001B1232"/>
    <w:rsid w:val="001B7B09"/>
    <w:rsid w:val="001C4360"/>
    <w:rsid w:val="001D0197"/>
    <w:rsid w:val="001D2D0D"/>
    <w:rsid w:val="001D3313"/>
    <w:rsid w:val="001E3384"/>
    <w:rsid w:val="002028A9"/>
    <w:rsid w:val="0021296A"/>
    <w:rsid w:val="002129D5"/>
    <w:rsid w:val="00221893"/>
    <w:rsid w:val="00224386"/>
    <w:rsid w:val="00227E2F"/>
    <w:rsid w:val="00230775"/>
    <w:rsid w:val="00235A1A"/>
    <w:rsid w:val="002431DB"/>
    <w:rsid w:val="00244860"/>
    <w:rsid w:val="0024583B"/>
    <w:rsid w:val="0025174E"/>
    <w:rsid w:val="00266D70"/>
    <w:rsid w:val="00273A31"/>
    <w:rsid w:val="00282983"/>
    <w:rsid w:val="00282E14"/>
    <w:rsid w:val="0028546D"/>
    <w:rsid w:val="0028624E"/>
    <w:rsid w:val="002863A2"/>
    <w:rsid w:val="00293243"/>
    <w:rsid w:val="00295277"/>
    <w:rsid w:val="002969BF"/>
    <w:rsid w:val="002975A3"/>
    <w:rsid w:val="002B0220"/>
    <w:rsid w:val="002C4048"/>
    <w:rsid w:val="002C65D5"/>
    <w:rsid w:val="002E65F4"/>
    <w:rsid w:val="002E7192"/>
    <w:rsid w:val="002F51FF"/>
    <w:rsid w:val="00305B08"/>
    <w:rsid w:val="00315265"/>
    <w:rsid w:val="00320305"/>
    <w:rsid w:val="003250C9"/>
    <w:rsid w:val="00335FB9"/>
    <w:rsid w:val="00356299"/>
    <w:rsid w:val="003577DB"/>
    <w:rsid w:val="0037557C"/>
    <w:rsid w:val="00380489"/>
    <w:rsid w:val="00385A89"/>
    <w:rsid w:val="003915DB"/>
    <w:rsid w:val="003956EF"/>
    <w:rsid w:val="00396E4C"/>
    <w:rsid w:val="003A3452"/>
    <w:rsid w:val="003A3957"/>
    <w:rsid w:val="003A3CF5"/>
    <w:rsid w:val="003A66B7"/>
    <w:rsid w:val="003C223B"/>
    <w:rsid w:val="003C37C3"/>
    <w:rsid w:val="003C5CB6"/>
    <w:rsid w:val="003C63AC"/>
    <w:rsid w:val="003D0C10"/>
    <w:rsid w:val="003D3D66"/>
    <w:rsid w:val="003D7325"/>
    <w:rsid w:val="003E552B"/>
    <w:rsid w:val="003F3CBC"/>
    <w:rsid w:val="003F7C17"/>
    <w:rsid w:val="00401FD2"/>
    <w:rsid w:val="00410560"/>
    <w:rsid w:val="004153DE"/>
    <w:rsid w:val="00415EFC"/>
    <w:rsid w:val="00422D33"/>
    <w:rsid w:val="00440385"/>
    <w:rsid w:val="00440E30"/>
    <w:rsid w:val="00440ED0"/>
    <w:rsid w:val="0044209B"/>
    <w:rsid w:val="00443DF5"/>
    <w:rsid w:val="00447412"/>
    <w:rsid w:val="00455C6D"/>
    <w:rsid w:val="00456419"/>
    <w:rsid w:val="00460258"/>
    <w:rsid w:val="00477AB9"/>
    <w:rsid w:val="0048657B"/>
    <w:rsid w:val="00487E65"/>
    <w:rsid w:val="004A07F3"/>
    <w:rsid w:val="004A5D9B"/>
    <w:rsid w:val="004B4CAC"/>
    <w:rsid w:val="004C044F"/>
    <w:rsid w:val="004C3905"/>
    <w:rsid w:val="004D21C9"/>
    <w:rsid w:val="004D5717"/>
    <w:rsid w:val="004D5D19"/>
    <w:rsid w:val="004E0AB6"/>
    <w:rsid w:val="004E49EC"/>
    <w:rsid w:val="004E4B3B"/>
    <w:rsid w:val="004E4D86"/>
    <w:rsid w:val="004F4DB0"/>
    <w:rsid w:val="004F7677"/>
    <w:rsid w:val="00520DCB"/>
    <w:rsid w:val="00521385"/>
    <w:rsid w:val="005275A0"/>
    <w:rsid w:val="00530EF5"/>
    <w:rsid w:val="00533014"/>
    <w:rsid w:val="005346CB"/>
    <w:rsid w:val="00535992"/>
    <w:rsid w:val="005417E4"/>
    <w:rsid w:val="005455F8"/>
    <w:rsid w:val="0055573E"/>
    <w:rsid w:val="00562D63"/>
    <w:rsid w:val="00570A1B"/>
    <w:rsid w:val="00570E41"/>
    <w:rsid w:val="00576638"/>
    <w:rsid w:val="005849E6"/>
    <w:rsid w:val="00585F8E"/>
    <w:rsid w:val="005871D9"/>
    <w:rsid w:val="005957ED"/>
    <w:rsid w:val="005A674F"/>
    <w:rsid w:val="005D142E"/>
    <w:rsid w:val="005E52C3"/>
    <w:rsid w:val="005E7C37"/>
    <w:rsid w:val="005F1A5B"/>
    <w:rsid w:val="005F283E"/>
    <w:rsid w:val="0060068B"/>
    <w:rsid w:val="0060785C"/>
    <w:rsid w:val="00627A52"/>
    <w:rsid w:val="006306D3"/>
    <w:rsid w:val="0063240F"/>
    <w:rsid w:val="00632C43"/>
    <w:rsid w:val="00635102"/>
    <w:rsid w:val="00636BD7"/>
    <w:rsid w:val="006375A5"/>
    <w:rsid w:val="006412EA"/>
    <w:rsid w:val="00645695"/>
    <w:rsid w:val="00650CD4"/>
    <w:rsid w:val="006605E5"/>
    <w:rsid w:val="00660EDA"/>
    <w:rsid w:val="006617A4"/>
    <w:rsid w:val="00667227"/>
    <w:rsid w:val="00667DA9"/>
    <w:rsid w:val="006749F6"/>
    <w:rsid w:val="00682D26"/>
    <w:rsid w:val="00682DDB"/>
    <w:rsid w:val="006834E4"/>
    <w:rsid w:val="00687D69"/>
    <w:rsid w:val="00687E4F"/>
    <w:rsid w:val="00695D3E"/>
    <w:rsid w:val="006A542A"/>
    <w:rsid w:val="006A7352"/>
    <w:rsid w:val="006B441C"/>
    <w:rsid w:val="006B5A71"/>
    <w:rsid w:val="006B7D0F"/>
    <w:rsid w:val="006D18CA"/>
    <w:rsid w:val="006E4FEE"/>
    <w:rsid w:val="006E6CC3"/>
    <w:rsid w:val="006F0EE4"/>
    <w:rsid w:val="006F790C"/>
    <w:rsid w:val="007114F8"/>
    <w:rsid w:val="00712363"/>
    <w:rsid w:val="00712EFD"/>
    <w:rsid w:val="00716D30"/>
    <w:rsid w:val="007210F6"/>
    <w:rsid w:val="00723438"/>
    <w:rsid w:val="0072576D"/>
    <w:rsid w:val="00733660"/>
    <w:rsid w:val="007340E1"/>
    <w:rsid w:val="00741EBC"/>
    <w:rsid w:val="007432E5"/>
    <w:rsid w:val="007450E8"/>
    <w:rsid w:val="007625BA"/>
    <w:rsid w:val="00776BDB"/>
    <w:rsid w:val="00787B07"/>
    <w:rsid w:val="00790C76"/>
    <w:rsid w:val="00790CBE"/>
    <w:rsid w:val="00794A75"/>
    <w:rsid w:val="0079503A"/>
    <w:rsid w:val="00795469"/>
    <w:rsid w:val="00796729"/>
    <w:rsid w:val="00797214"/>
    <w:rsid w:val="007A291B"/>
    <w:rsid w:val="007B01A6"/>
    <w:rsid w:val="007B1119"/>
    <w:rsid w:val="007B5929"/>
    <w:rsid w:val="007C12AA"/>
    <w:rsid w:val="007C4483"/>
    <w:rsid w:val="007C4A8E"/>
    <w:rsid w:val="007C5369"/>
    <w:rsid w:val="007D1657"/>
    <w:rsid w:val="007D47FE"/>
    <w:rsid w:val="007E39E1"/>
    <w:rsid w:val="007E4529"/>
    <w:rsid w:val="007F7DA3"/>
    <w:rsid w:val="0080366A"/>
    <w:rsid w:val="0081788D"/>
    <w:rsid w:val="00834AF0"/>
    <w:rsid w:val="00842120"/>
    <w:rsid w:val="00842220"/>
    <w:rsid w:val="008427AA"/>
    <w:rsid w:val="00846B4A"/>
    <w:rsid w:val="00847A96"/>
    <w:rsid w:val="008553DE"/>
    <w:rsid w:val="008568EA"/>
    <w:rsid w:val="008617C4"/>
    <w:rsid w:val="00864FD8"/>
    <w:rsid w:val="008656FA"/>
    <w:rsid w:val="00874280"/>
    <w:rsid w:val="00875D2A"/>
    <w:rsid w:val="008774E3"/>
    <w:rsid w:val="0088144C"/>
    <w:rsid w:val="00885F00"/>
    <w:rsid w:val="008A2957"/>
    <w:rsid w:val="008B33E8"/>
    <w:rsid w:val="008B4DD7"/>
    <w:rsid w:val="008B4F3E"/>
    <w:rsid w:val="008C27BE"/>
    <w:rsid w:val="008C2924"/>
    <w:rsid w:val="008C60C0"/>
    <w:rsid w:val="008D1A3C"/>
    <w:rsid w:val="008D3B8A"/>
    <w:rsid w:val="008E46C1"/>
    <w:rsid w:val="008E60F4"/>
    <w:rsid w:val="008F041D"/>
    <w:rsid w:val="009240B2"/>
    <w:rsid w:val="00925A9D"/>
    <w:rsid w:val="009337F5"/>
    <w:rsid w:val="009358CD"/>
    <w:rsid w:val="00944040"/>
    <w:rsid w:val="00944E25"/>
    <w:rsid w:val="00945265"/>
    <w:rsid w:val="009469B5"/>
    <w:rsid w:val="00951601"/>
    <w:rsid w:val="00953047"/>
    <w:rsid w:val="00956146"/>
    <w:rsid w:val="00965F62"/>
    <w:rsid w:val="00967728"/>
    <w:rsid w:val="00971EFD"/>
    <w:rsid w:val="009741D5"/>
    <w:rsid w:val="00977C96"/>
    <w:rsid w:val="00982FCF"/>
    <w:rsid w:val="00983FB8"/>
    <w:rsid w:val="0098565E"/>
    <w:rsid w:val="00986237"/>
    <w:rsid w:val="00991BC1"/>
    <w:rsid w:val="00996943"/>
    <w:rsid w:val="00997618"/>
    <w:rsid w:val="009A2849"/>
    <w:rsid w:val="009B113A"/>
    <w:rsid w:val="009B459A"/>
    <w:rsid w:val="009C3BCA"/>
    <w:rsid w:val="009D76A9"/>
    <w:rsid w:val="009D7D2C"/>
    <w:rsid w:val="009E00AF"/>
    <w:rsid w:val="009F18EC"/>
    <w:rsid w:val="009F2043"/>
    <w:rsid w:val="009F3BC9"/>
    <w:rsid w:val="00A01741"/>
    <w:rsid w:val="00A1021E"/>
    <w:rsid w:val="00A153DB"/>
    <w:rsid w:val="00A21EF1"/>
    <w:rsid w:val="00A34DA7"/>
    <w:rsid w:val="00A364CF"/>
    <w:rsid w:val="00A3761B"/>
    <w:rsid w:val="00A40490"/>
    <w:rsid w:val="00A439B9"/>
    <w:rsid w:val="00A54482"/>
    <w:rsid w:val="00A5509A"/>
    <w:rsid w:val="00A564C7"/>
    <w:rsid w:val="00A61E26"/>
    <w:rsid w:val="00A63977"/>
    <w:rsid w:val="00A83BEF"/>
    <w:rsid w:val="00A86730"/>
    <w:rsid w:val="00A86B19"/>
    <w:rsid w:val="00A86E08"/>
    <w:rsid w:val="00A9048E"/>
    <w:rsid w:val="00A93F3F"/>
    <w:rsid w:val="00AA3895"/>
    <w:rsid w:val="00AA4829"/>
    <w:rsid w:val="00AB12FC"/>
    <w:rsid w:val="00AC50E4"/>
    <w:rsid w:val="00AD1796"/>
    <w:rsid w:val="00AD4CA9"/>
    <w:rsid w:val="00AE2231"/>
    <w:rsid w:val="00AE69A2"/>
    <w:rsid w:val="00AE796C"/>
    <w:rsid w:val="00AF1317"/>
    <w:rsid w:val="00AF291B"/>
    <w:rsid w:val="00AF3626"/>
    <w:rsid w:val="00B04529"/>
    <w:rsid w:val="00B13589"/>
    <w:rsid w:val="00B14752"/>
    <w:rsid w:val="00B234F6"/>
    <w:rsid w:val="00B246B4"/>
    <w:rsid w:val="00B31236"/>
    <w:rsid w:val="00B42B30"/>
    <w:rsid w:val="00B43D96"/>
    <w:rsid w:val="00B458F6"/>
    <w:rsid w:val="00B54DD5"/>
    <w:rsid w:val="00B61545"/>
    <w:rsid w:val="00B64878"/>
    <w:rsid w:val="00B7425B"/>
    <w:rsid w:val="00B765A9"/>
    <w:rsid w:val="00B84F46"/>
    <w:rsid w:val="00B85B81"/>
    <w:rsid w:val="00B92FBB"/>
    <w:rsid w:val="00BA27E5"/>
    <w:rsid w:val="00BC0473"/>
    <w:rsid w:val="00BC2424"/>
    <w:rsid w:val="00BC4E6C"/>
    <w:rsid w:val="00BD2C78"/>
    <w:rsid w:val="00BD6119"/>
    <w:rsid w:val="00BF69D2"/>
    <w:rsid w:val="00C07B5F"/>
    <w:rsid w:val="00C12BED"/>
    <w:rsid w:val="00C234D8"/>
    <w:rsid w:val="00C23DDD"/>
    <w:rsid w:val="00C35851"/>
    <w:rsid w:val="00C6141D"/>
    <w:rsid w:val="00C64254"/>
    <w:rsid w:val="00C73CD7"/>
    <w:rsid w:val="00C74811"/>
    <w:rsid w:val="00C772EF"/>
    <w:rsid w:val="00C82CCE"/>
    <w:rsid w:val="00C922E3"/>
    <w:rsid w:val="00CA5B8E"/>
    <w:rsid w:val="00CA65D2"/>
    <w:rsid w:val="00CB1C6E"/>
    <w:rsid w:val="00CC5BEF"/>
    <w:rsid w:val="00CD0230"/>
    <w:rsid w:val="00CE6A0E"/>
    <w:rsid w:val="00D00DDC"/>
    <w:rsid w:val="00D02F61"/>
    <w:rsid w:val="00D04803"/>
    <w:rsid w:val="00D1125E"/>
    <w:rsid w:val="00D115F7"/>
    <w:rsid w:val="00D149EB"/>
    <w:rsid w:val="00D230B7"/>
    <w:rsid w:val="00D23218"/>
    <w:rsid w:val="00D24502"/>
    <w:rsid w:val="00D32293"/>
    <w:rsid w:val="00D32E5B"/>
    <w:rsid w:val="00D3608E"/>
    <w:rsid w:val="00D36635"/>
    <w:rsid w:val="00D40240"/>
    <w:rsid w:val="00D43FA7"/>
    <w:rsid w:val="00D4635B"/>
    <w:rsid w:val="00D5082F"/>
    <w:rsid w:val="00D55480"/>
    <w:rsid w:val="00D67524"/>
    <w:rsid w:val="00D70178"/>
    <w:rsid w:val="00D84C7E"/>
    <w:rsid w:val="00D963DD"/>
    <w:rsid w:val="00D968C8"/>
    <w:rsid w:val="00DA5FC2"/>
    <w:rsid w:val="00DB4CBC"/>
    <w:rsid w:val="00DB5055"/>
    <w:rsid w:val="00DB5616"/>
    <w:rsid w:val="00DB6337"/>
    <w:rsid w:val="00DC0CA6"/>
    <w:rsid w:val="00DC298E"/>
    <w:rsid w:val="00DD4909"/>
    <w:rsid w:val="00E15347"/>
    <w:rsid w:val="00E22392"/>
    <w:rsid w:val="00E30296"/>
    <w:rsid w:val="00E4367D"/>
    <w:rsid w:val="00E56372"/>
    <w:rsid w:val="00E60057"/>
    <w:rsid w:val="00E672CB"/>
    <w:rsid w:val="00E679E8"/>
    <w:rsid w:val="00E84288"/>
    <w:rsid w:val="00E8787F"/>
    <w:rsid w:val="00E94FA5"/>
    <w:rsid w:val="00EA5AD0"/>
    <w:rsid w:val="00EA6B3E"/>
    <w:rsid w:val="00EB1D75"/>
    <w:rsid w:val="00EB4CDE"/>
    <w:rsid w:val="00EC123F"/>
    <w:rsid w:val="00EC3E83"/>
    <w:rsid w:val="00ED053D"/>
    <w:rsid w:val="00EE0A7C"/>
    <w:rsid w:val="00EE51A1"/>
    <w:rsid w:val="00EE5BA8"/>
    <w:rsid w:val="00EE6765"/>
    <w:rsid w:val="00EF0B0D"/>
    <w:rsid w:val="00F006B5"/>
    <w:rsid w:val="00F012AB"/>
    <w:rsid w:val="00F0416B"/>
    <w:rsid w:val="00F25DBD"/>
    <w:rsid w:val="00F27B44"/>
    <w:rsid w:val="00F44EA7"/>
    <w:rsid w:val="00F47B64"/>
    <w:rsid w:val="00F611C6"/>
    <w:rsid w:val="00F62027"/>
    <w:rsid w:val="00F667F5"/>
    <w:rsid w:val="00F80A14"/>
    <w:rsid w:val="00F80D28"/>
    <w:rsid w:val="00F81658"/>
    <w:rsid w:val="00F927D4"/>
    <w:rsid w:val="00F97C2A"/>
    <w:rsid w:val="00FA61F7"/>
    <w:rsid w:val="00FB1650"/>
    <w:rsid w:val="00FB365F"/>
    <w:rsid w:val="00FB41B6"/>
    <w:rsid w:val="00FC0B84"/>
    <w:rsid w:val="00FC1DDB"/>
    <w:rsid w:val="00FC5FF0"/>
    <w:rsid w:val="00FD41D3"/>
    <w:rsid w:val="00FD651D"/>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1CE1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rsid w:val="00667DA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7E617-55CF-45B4-9B8C-09C9A89EC608}"/>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FE6F0B53-BB2C-412D-A42F-B9D82AE96D43}">
  <ds:schemaRefs>
    <ds:schemaRef ds:uri="http://schemas.microsoft.com/office/2006/documentManagement/types"/>
    <ds:schemaRef ds:uri="c6dba373-5722-4c9c-915a-b35ecc6dedf9"/>
    <ds:schemaRef ds:uri="http://purl.org/dc/elements/1.1/"/>
    <ds:schemaRef ds:uri="http://schemas.microsoft.com/office/2006/metadata/properties"/>
    <ds:schemaRef ds:uri="f62cadcd-e163-4118-ac05-a32b5a627a72"/>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D278091-C003-4C77-B2F8-814C52A6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2680</Characters>
  <Application>Microsoft Office Word</Application>
  <DocSecurity>0</DocSecurity>
  <Lines>22</Lines>
  <Paragraphs>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3153</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2021-06-22T15:17:00Z</dcterms:created>
  <dcterms:modified xsi:type="dcterms:W3CDTF">2021-06-22T15:18:00Z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