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F9A0" w14:textId="1254FEC9" w:rsidR="00C970C1" w:rsidRDefault="00B61EAC" w:rsidP="00C970C1">
      <w:pPr>
        <w:tabs>
          <w:tab w:val="left" w:pos="1600"/>
        </w:tabs>
        <w:spacing w:after="120"/>
        <w:jc w:val="both"/>
        <w:rPr>
          <w:rFonts w:ascii="Arial" w:hAnsi="Arial" w:cs="Arial"/>
          <w:szCs w:val="24"/>
        </w:rPr>
      </w:pPr>
      <w:r>
        <w:rPr>
          <w:rFonts w:ascii="Arial" w:hAnsi="Arial" w:cs="Arial"/>
          <w:noProof/>
          <w:szCs w:val="24"/>
          <w:lang w:val="fr-FR" w:eastAsia="fr-FR"/>
        </w:rPr>
        <w:drawing>
          <wp:anchor distT="0" distB="0" distL="114300" distR="114300" simplePos="0" relativeHeight="251659264" behindDoc="0" locked="0" layoutInCell="1" allowOverlap="1" wp14:anchorId="61BF192B" wp14:editId="6371A5B7">
            <wp:simplePos x="0" y="0"/>
            <wp:positionH relativeFrom="margin">
              <wp:align>center</wp:align>
            </wp:positionH>
            <wp:positionV relativeFrom="paragraph">
              <wp:posOffset>-485775</wp:posOffset>
            </wp:positionV>
            <wp:extent cx="2181860" cy="942975"/>
            <wp:effectExtent l="0" t="0" r="8890" b="9525"/>
            <wp:wrapNone/>
            <wp:docPr id="1" name="Image 3" descr="C:\Users\sanfo\Desktop\Nouveau logo SIF\Logo\logo-secours-islamiqu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fo\Desktop\Nouveau logo SIF\Logo\logo-secours-islamique-france.jpg"/>
                    <pic:cNvPicPr>
                      <a:picLocks noChangeAspect="1" noChangeArrowheads="1"/>
                    </pic:cNvPicPr>
                  </pic:nvPicPr>
                  <pic:blipFill>
                    <a:blip r:embed="rId8" cstate="print"/>
                    <a:srcRect/>
                    <a:stretch>
                      <a:fillRect/>
                    </a:stretch>
                  </pic:blipFill>
                  <pic:spPr bwMode="auto">
                    <a:xfrm>
                      <a:off x="0" y="0"/>
                      <a:ext cx="2181860" cy="942975"/>
                    </a:xfrm>
                    <a:prstGeom prst="rect">
                      <a:avLst/>
                    </a:prstGeom>
                    <a:noFill/>
                    <a:ln w="9525">
                      <a:noFill/>
                      <a:miter lim="800000"/>
                      <a:headEnd/>
                      <a:tailEnd/>
                    </a:ln>
                  </pic:spPr>
                </pic:pic>
              </a:graphicData>
            </a:graphic>
          </wp:anchor>
        </w:drawing>
      </w:r>
      <w:r w:rsidR="00C970C1">
        <w:rPr>
          <w:rFonts w:ascii="Arial" w:hAnsi="Arial" w:cs="Arial"/>
          <w:szCs w:val="24"/>
        </w:rPr>
        <w:tab/>
      </w:r>
    </w:p>
    <w:p w14:paraId="23175481" w14:textId="77777777" w:rsidR="00C970C1" w:rsidRDefault="00C970C1" w:rsidP="00C970C1">
      <w:pPr>
        <w:tabs>
          <w:tab w:val="left" w:pos="1600"/>
        </w:tabs>
        <w:spacing w:after="120"/>
        <w:rPr>
          <w:rFonts w:asciiTheme="minorHAnsi" w:hAnsiTheme="minorHAnsi" w:cstheme="minorHAnsi"/>
          <w:b/>
          <w:i/>
          <w:color w:val="C00000"/>
          <w:szCs w:val="24"/>
        </w:rPr>
      </w:pPr>
    </w:p>
    <w:p w14:paraId="5111A97C" w14:textId="77777777" w:rsidR="00C970C1" w:rsidRPr="000879E8" w:rsidRDefault="00C970C1" w:rsidP="00C970C1">
      <w:pPr>
        <w:tabs>
          <w:tab w:val="left" w:pos="1600"/>
        </w:tabs>
        <w:spacing w:after="120"/>
        <w:jc w:val="right"/>
        <w:rPr>
          <w:rFonts w:asciiTheme="minorHAnsi" w:hAnsiTheme="minorHAnsi" w:cstheme="minorHAnsi"/>
          <w:b/>
          <w:i/>
          <w:color w:val="C00000"/>
          <w:szCs w:val="24"/>
          <w:lang w:val="en-US"/>
        </w:rPr>
      </w:pPr>
    </w:p>
    <w:p w14:paraId="6A1FDFA6" w14:textId="20239B35" w:rsidR="00C970C1" w:rsidRPr="00D97FB5" w:rsidRDefault="00C970C1" w:rsidP="00C970C1">
      <w:pPr>
        <w:pBdr>
          <w:top w:val="double" w:sz="4" w:space="2" w:color="7F7F7F" w:themeColor="text1" w:themeTint="80"/>
        </w:pBdr>
        <w:tabs>
          <w:tab w:val="left" w:pos="1600"/>
        </w:tabs>
        <w:spacing w:after="120" w:line="240" w:lineRule="auto"/>
        <w:jc w:val="center"/>
        <w:rPr>
          <w:rFonts w:asciiTheme="minorHAnsi" w:hAnsiTheme="minorHAnsi" w:cstheme="minorHAnsi"/>
          <w:b/>
          <w:color w:val="44546A" w:themeColor="text2"/>
          <w:sz w:val="36"/>
          <w:szCs w:val="44"/>
          <w:lang w:val="fr-FR"/>
        </w:rPr>
      </w:pPr>
      <w:r w:rsidRPr="00D97FB5">
        <w:rPr>
          <w:rFonts w:asciiTheme="minorHAnsi" w:hAnsiTheme="minorHAnsi" w:cstheme="minorHAnsi"/>
          <w:b/>
          <w:color w:val="44546A" w:themeColor="text2"/>
          <w:sz w:val="36"/>
          <w:szCs w:val="44"/>
          <w:lang w:val="fr-FR"/>
        </w:rPr>
        <w:t>Contribution</w:t>
      </w:r>
    </w:p>
    <w:p w14:paraId="77603067" w14:textId="77777777" w:rsidR="00C970C1" w:rsidRPr="00C970C1" w:rsidRDefault="00C970C1" w:rsidP="00C970C1">
      <w:pPr>
        <w:spacing w:after="0"/>
        <w:jc w:val="center"/>
        <w:rPr>
          <w:b/>
          <w:i/>
          <w:sz w:val="20"/>
          <w:lang w:val="fr-FR"/>
        </w:rPr>
      </w:pPr>
      <w:r w:rsidRPr="00C970C1">
        <w:rPr>
          <w:b/>
          <w:i/>
          <w:sz w:val="20"/>
          <w:lang w:val="fr-FR"/>
        </w:rPr>
        <w:t>Le déplacement interne dans le contexte des effets néfastes à évolution lente du changement climatique</w:t>
      </w:r>
    </w:p>
    <w:p w14:paraId="585B4509" w14:textId="20B07563" w:rsidR="00575790" w:rsidRDefault="00C970C1" w:rsidP="00575790">
      <w:pPr>
        <w:spacing w:after="0"/>
        <w:jc w:val="center"/>
        <w:rPr>
          <w:b/>
          <w:sz w:val="20"/>
          <w:lang w:val="fr-FR"/>
        </w:rPr>
      </w:pPr>
      <w:r w:rsidRPr="00C970C1">
        <w:rPr>
          <w:b/>
          <w:sz w:val="20"/>
          <w:lang w:val="fr-FR"/>
        </w:rPr>
        <w:t xml:space="preserve">Rapport de la Rapporteuse spéciale </w:t>
      </w:r>
      <w:r w:rsidR="005F3872">
        <w:rPr>
          <w:b/>
          <w:sz w:val="20"/>
          <w:lang w:val="fr-FR"/>
        </w:rPr>
        <w:t xml:space="preserve">sur les droits de l'homme </w:t>
      </w:r>
      <w:r w:rsidRPr="00C970C1">
        <w:rPr>
          <w:b/>
          <w:sz w:val="20"/>
          <w:lang w:val="fr-FR"/>
        </w:rPr>
        <w:t xml:space="preserve">des personnes déplacées dans leur propre pays </w:t>
      </w:r>
    </w:p>
    <w:p w14:paraId="79E863EC" w14:textId="4079D802" w:rsidR="00575790" w:rsidRPr="00C970C1" w:rsidRDefault="00412F82" w:rsidP="00575790">
      <w:pPr>
        <w:spacing w:after="0"/>
        <w:jc w:val="center"/>
        <w:rPr>
          <w:b/>
          <w:sz w:val="20"/>
          <w:lang w:val="fr-FR"/>
        </w:rPr>
      </w:pPr>
      <w:r>
        <w:rPr>
          <w:b/>
          <w:sz w:val="20"/>
          <w:lang w:val="fr-FR"/>
        </w:rPr>
        <w:t>17/</w:t>
      </w:r>
      <w:r w:rsidR="00575790">
        <w:rPr>
          <w:b/>
          <w:sz w:val="20"/>
          <w:lang w:val="fr-FR"/>
        </w:rPr>
        <w:t>06/2020</w:t>
      </w:r>
    </w:p>
    <w:p w14:paraId="1AEC4890" w14:textId="77777777" w:rsidR="00C970C1" w:rsidRPr="00D97FB5" w:rsidRDefault="00C970C1" w:rsidP="00C970C1">
      <w:pPr>
        <w:pBdr>
          <w:top w:val="double" w:sz="4" w:space="2" w:color="7F7F7F" w:themeColor="text1" w:themeTint="80"/>
        </w:pBdr>
        <w:tabs>
          <w:tab w:val="left" w:pos="1600"/>
        </w:tabs>
        <w:spacing w:after="120" w:line="240" w:lineRule="auto"/>
        <w:jc w:val="center"/>
        <w:rPr>
          <w:rFonts w:asciiTheme="minorHAnsi" w:hAnsiTheme="minorHAnsi" w:cstheme="minorHAnsi"/>
          <w:b/>
          <w:color w:val="44546A" w:themeColor="text2"/>
          <w:sz w:val="36"/>
          <w:szCs w:val="44"/>
          <w:lang w:val="fr-FR"/>
        </w:rPr>
      </w:pPr>
    </w:p>
    <w:p w14:paraId="4F0BB30C" w14:textId="55BDA914" w:rsidR="00E262FA" w:rsidRPr="0083642D" w:rsidRDefault="00715B1C" w:rsidP="1526BE8E">
      <w:pPr>
        <w:pStyle w:val="Default"/>
        <w:shd w:val="clear" w:color="auto" w:fill="9CC2E5" w:themeFill="accent1" w:themeFillTint="99"/>
        <w:rPr>
          <w:b/>
          <w:bCs/>
          <w:sz w:val="22"/>
          <w:szCs w:val="22"/>
        </w:rPr>
      </w:pPr>
      <w:r w:rsidRPr="4E6EBB3F">
        <w:rPr>
          <w:b/>
          <w:bCs/>
          <w:sz w:val="22"/>
          <w:szCs w:val="22"/>
        </w:rPr>
        <w:t>Propos</w:t>
      </w:r>
      <w:r w:rsidR="00B467FD" w:rsidRPr="4E6EBB3F">
        <w:rPr>
          <w:b/>
          <w:bCs/>
          <w:sz w:val="22"/>
          <w:szCs w:val="22"/>
        </w:rPr>
        <w:t xml:space="preserve"> introductifs</w:t>
      </w:r>
      <w:r w:rsidR="00350941" w:rsidRPr="4E6EBB3F">
        <w:rPr>
          <w:b/>
          <w:bCs/>
          <w:sz w:val="22"/>
          <w:szCs w:val="22"/>
        </w:rPr>
        <w:t xml:space="preserve">  </w:t>
      </w:r>
    </w:p>
    <w:p w14:paraId="30F79ADD" w14:textId="06FA7B45" w:rsidR="1526BE8E" w:rsidRPr="00CB5318" w:rsidRDefault="1526BE8E" w:rsidP="0065D00F">
      <w:pPr>
        <w:pStyle w:val="Default"/>
        <w:rPr>
          <w:sz w:val="20"/>
          <w:szCs w:val="20"/>
        </w:rPr>
      </w:pPr>
    </w:p>
    <w:p w14:paraId="0AE6E717" w14:textId="6D3FB9A7" w:rsidR="57172547" w:rsidRPr="00B03278" w:rsidRDefault="1B49AAA4" w:rsidP="0065D00F">
      <w:pPr>
        <w:pStyle w:val="Default"/>
        <w:jc w:val="both"/>
        <w:rPr>
          <w:rFonts w:asciiTheme="minorHAnsi" w:hAnsiTheme="minorHAnsi" w:cstheme="minorHAnsi"/>
          <w:color w:val="auto"/>
          <w:sz w:val="20"/>
          <w:szCs w:val="20"/>
        </w:rPr>
      </w:pPr>
      <w:r w:rsidRPr="00B03278">
        <w:rPr>
          <w:rFonts w:asciiTheme="minorHAnsi" w:hAnsiTheme="minorHAnsi" w:cstheme="minorHAnsi"/>
          <w:sz w:val="20"/>
          <w:szCs w:val="20"/>
        </w:rPr>
        <w:t xml:space="preserve">Alors que nous célébrons en 2020 les </w:t>
      </w:r>
      <w:r w:rsidR="25B9CCF9" w:rsidRPr="00B03278">
        <w:rPr>
          <w:rFonts w:asciiTheme="minorHAnsi" w:hAnsiTheme="minorHAnsi" w:cstheme="minorHAnsi"/>
          <w:sz w:val="20"/>
          <w:szCs w:val="20"/>
        </w:rPr>
        <w:t>10 ans d</w:t>
      </w:r>
      <w:r w:rsidR="1D4F38B1" w:rsidRPr="00B03278">
        <w:rPr>
          <w:rFonts w:asciiTheme="minorHAnsi" w:hAnsiTheme="minorHAnsi" w:cstheme="minorHAnsi"/>
          <w:sz w:val="20"/>
          <w:szCs w:val="20"/>
        </w:rPr>
        <w:t>e la reconnaissance des droits humains à l’eau et l’assainissement par les Nations Unies</w:t>
      </w:r>
      <w:r w:rsidR="57172547" w:rsidRPr="00B03278">
        <w:rPr>
          <w:rStyle w:val="Appelnotedebasdep"/>
          <w:rFonts w:asciiTheme="minorHAnsi" w:hAnsiTheme="minorHAnsi" w:cstheme="minorHAnsi"/>
          <w:sz w:val="20"/>
          <w:szCs w:val="20"/>
        </w:rPr>
        <w:footnoteReference w:id="1"/>
      </w:r>
      <w:r w:rsidR="1D4F38B1" w:rsidRPr="00B03278">
        <w:rPr>
          <w:rFonts w:asciiTheme="minorHAnsi" w:hAnsiTheme="minorHAnsi" w:cstheme="minorHAnsi"/>
          <w:sz w:val="20"/>
          <w:szCs w:val="20"/>
        </w:rPr>
        <w:t xml:space="preserve">, </w:t>
      </w:r>
      <w:r w:rsidR="753B094E" w:rsidRPr="00B03278">
        <w:rPr>
          <w:rFonts w:asciiTheme="minorHAnsi" w:hAnsiTheme="minorHAnsi" w:cstheme="minorHAnsi"/>
          <w:sz w:val="20"/>
          <w:szCs w:val="20"/>
        </w:rPr>
        <w:t>encore</w:t>
      </w:r>
      <w:r w:rsidR="1D4F38B1" w:rsidRPr="00B03278">
        <w:rPr>
          <w:rFonts w:asciiTheme="minorHAnsi" w:hAnsiTheme="minorHAnsi" w:cstheme="minorHAnsi"/>
          <w:sz w:val="20"/>
          <w:szCs w:val="20"/>
        </w:rPr>
        <w:t xml:space="preserve"> </w:t>
      </w:r>
      <w:r w:rsidR="674F2917" w:rsidRPr="00B03278">
        <w:rPr>
          <w:rFonts w:asciiTheme="minorHAnsi" w:hAnsiTheme="minorHAnsi" w:cstheme="minorHAnsi"/>
          <w:color w:val="auto"/>
          <w:sz w:val="20"/>
          <w:szCs w:val="20"/>
        </w:rPr>
        <w:t xml:space="preserve">2,2 milliards de personnes dans le monde </w:t>
      </w:r>
      <w:r w:rsidR="004D3B07" w:rsidRPr="00B03278">
        <w:rPr>
          <w:rFonts w:asciiTheme="minorHAnsi" w:hAnsiTheme="minorHAnsi" w:cstheme="minorHAnsi"/>
          <w:color w:val="auto"/>
          <w:sz w:val="20"/>
          <w:szCs w:val="20"/>
        </w:rPr>
        <w:t>n’ont pas</w:t>
      </w:r>
      <w:r w:rsidR="674F2917" w:rsidRPr="00B03278">
        <w:rPr>
          <w:rFonts w:asciiTheme="minorHAnsi" w:hAnsiTheme="minorHAnsi" w:cstheme="minorHAnsi"/>
          <w:color w:val="auto"/>
          <w:sz w:val="20"/>
          <w:szCs w:val="20"/>
        </w:rPr>
        <w:t xml:space="preserve"> accès à une eau saine et 4,2 milliards de personnes ne bénéficient pas d’installations sanitaires sûres. </w:t>
      </w:r>
      <w:r w:rsidR="2D9C0B12" w:rsidRPr="00B03278">
        <w:rPr>
          <w:rFonts w:asciiTheme="minorHAnsi" w:hAnsiTheme="minorHAnsi" w:cstheme="minorHAnsi"/>
          <w:sz w:val="20"/>
          <w:szCs w:val="20"/>
        </w:rPr>
        <w:t>Si les Etats se sont engagés à atteindre un accès universel aux services d’</w:t>
      </w:r>
      <w:r w:rsidR="2404F715" w:rsidRPr="00B03278">
        <w:rPr>
          <w:rFonts w:asciiTheme="minorHAnsi" w:hAnsiTheme="minorHAnsi" w:cstheme="minorHAnsi"/>
          <w:sz w:val="20"/>
          <w:szCs w:val="20"/>
        </w:rPr>
        <w:t>eau, d’hygiène et d’assainissement (EHA)</w:t>
      </w:r>
      <w:r w:rsidR="2D9C0B12" w:rsidRPr="00B03278">
        <w:rPr>
          <w:rFonts w:asciiTheme="minorHAnsi" w:hAnsiTheme="minorHAnsi" w:cstheme="minorHAnsi"/>
          <w:sz w:val="20"/>
          <w:szCs w:val="20"/>
        </w:rPr>
        <w:t xml:space="preserve"> pour toutes et tous d’ici à 2030 (</w:t>
      </w:r>
      <w:r w:rsidR="0597FD72" w:rsidRPr="00B03278">
        <w:rPr>
          <w:rFonts w:asciiTheme="minorHAnsi" w:hAnsiTheme="minorHAnsi" w:cstheme="minorHAnsi"/>
          <w:sz w:val="20"/>
          <w:szCs w:val="20"/>
        </w:rPr>
        <w:t>ODD6</w:t>
      </w:r>
      <w:r w:rsidR="2D9C0B12" w:rsidRPr="00B03278">
        <w:rPr>
          <w:rFonts w:asciiTheme="minorHAnsi" w:hAnsiTheme="minorHAnsi" w:cstheme="minorHAnsi"/>
          <w:sz w:val="20"/>
          <w:szCs w:val="20"/>
        </w:rPr>
        <w:t xml:space="preserve">), </w:t>
      </w:r>
      <w:r w:rsidR="00F34C5F" w:rsidRPr="00B03278">
        <w:rPr>
          <w:rFonts w:asciiTheme="minorHAnsi" w:hAnsiTheme="minorHAnsi" w:cstheme="minorHAnsi"/>
          <w:sz w:val="20"/>
          <w:szCs w:val="20"/>
        </w:rPr>
        <w:t>le</w:t>
      </w:r>
      <w:r w:rsidR="768EB2A9" w:rsidRPr="00B03278">
        <w:rPr>
          <w:rFonts w:asciiTheme="minorHAnsi" w:hAnsiTheme="minorHAnsi" w:cstheme="minorHAnsi"/>
          <w:sz w:val="20"/>
          <w:szCs w:val="20"/>
        </w:rPr>
        <w:t xml:space="preserve"> changement climatique </w:t>
      </w:r>
      <w:r w:rsidR="1B2F08FA" w:rsidRPr="00B03278">
        <w:rPr>
          <w:rFonts w:asciiTheme="minorHAnsi" w:hAnsiTheme="minorHAnsi" w:cstheme="minorHAnsi"/>
          <w:sz w:val="20"/>
          <w:szCs w:val="20"/>
        </w:rPr>
        <w:t>risque d’aggraver les inégalités d’accès</w:t>
      </w:r>
      <w:r w:rsidR="76DB910E" w:rsidRPr="00B03278">
        <w:rPr>
          <w:rFonts w:asciiTheme="minorHAnsi" w:hAnsiTheme="minorHAnsi" w:cstheme="minorHAnsi"/>
          <w:sz w:val="20"/>
          <w:szCs w:val="20"/>
        </w:rPr>
        <w:t xml:space="preserve"> à l’eau et de provoquer </w:t>
      </w:r>
      <w:r w:rsidR="004D3B07" w:rsidRPr="00B03278">
        <w:rPr>
          <w:rFonts w:asciiTheme="minorHAnsi" w:hAnsiTheme="minorHAnsi" w:cstheme="minorHAnsi"/>
          <w:sz w:val="20"/>
          <w:szCs w:val="20"/>
        </w:rPr>
        <w:t xml:space="preserve">une augmentation </w:t>
      </w:r>
      <w:r w:rsidR="44C2659B" w:rsidRPr="00B03278">
        <w:rPr>
          <w:rFonts w:asciiTheme="minorHAnsi" w:hAnsiTheme="minorHAnsi" w:cstheme="minorHAnsi"/>
          <w:sz w:val="20"/>
          <w:szCs w:val="20"/>
        </w:rPr>
        <w:t>d</w:t>
      </w:r>
      <w:r w:rsidR="0104406B" w:rsidRPr="00B03278">
        <w:rPr>
          <w:rFonts w:asciiTheme="minorHAnsi" w:hAnsiTheme="minorHAnsi" w:cstheme="minorHAnsi"/>
          <w:sz w:val="20"/>
          <w:szCs w:val="20"/>
        </w:rPr>
        <w:t>es</w:t>
      </w:r>
      <w:r w:rsidR="44C2659B" w:rsidRPr="00B03278">
        <w:rPr>
          <w:rFonts w:asciiTheme="minorHAnsi" w:hAnsiTheme="minorHAnsi" w:cstheme="minorHAnsi"/>
          <w:sz w:val="20"/>
          <w:szCs w:val="20"/>
        </w:rPr>
        <w:t xml:space="preserve"> déplacements</w:t>
      </w:r>
      <w:r w:rsidR="00CB5318" w:rsidRPr="00B03278">
        <w:rPr>
          <w:rFonts w:asciiTheme="minorHAnsi" w:hAnsiTheme="minorHAnsi" w:cstheme="minorHAnsi"/>
          <w:sz w:val="20"/>
          <w:szCs w:val="20"/>
        </w:rPr>
        <w:t xml:space="preserve">. Les plus vulnérables seront les plus impactés, car moins résilients aux </w:t>
      </w:r>
      <w:r w:rsidR="00A01F68" w:rsidRPr="00B03278">
        <w:rPr>
          <w:rFonts w:asciiTheme="minorHAnsi" w:hAnsiTheme="minorHAnsi" w:cstheme="minorHAnsi"/>
          <w:sz w:val="20"/>
          <w:szCs w:val="20"/>
        </w:rPr>
        <w:t>répercussions</w:t>
      </w:r>
      <w:r w:rsidR="00CB5318" w:rsidRPr="00B03278">
        <w:rPr>
          <w:rFonts w:asciiTheme="minorHAnsi" w:hAnsiTheme="minorHAnsi" w:cstheme="minorHAnsi"/>
          <w:sz w:val="20"/>
          <w:szCs w:val="20"/>
        </w:rPr>
        <w:t xml:space="preserve"> du changement climatique</w:t>
      </w:r>
      <w:r w:rsidR="001D59D0" w:rsidRPr="00B03278">
        <w:rPr>
          <w:rFonts w:asciiTheme="minorHAnsi" w:hAnsiTheme="minorHAnsi" w:cstheme="minorHAnsi"/>
          <w:sz w:val="20"/>
          <w:szCs w:val="20"/>
        </w:rPr>
        <w:t>.</w:t>
      </w:r>
    </w:p>
    <w:p w14:paraId="0AF8F0FB" w14:textId="34C427D1" w:rsidR="4D67EC9F" w:rsidRPr="00B03278" w:rsidRDefault="4D67EC9F" w:rsidP="4D67EC9F">
      <w:pPr>
        <w:pStyle w:val="Default"/>
        <w:jc w:val="both"/>
        <w:rPr>
          <w:rFonts w:asciiTheme="minorHAnsi" w:hAnsiTheme="minorHAnsi" w:cstheme="minorHAnsi"/>
          <w:sz w:val="20"/>
          <w:szCs w:val="20"/>
        </w:rPr>
      </w:pPr>
    </w:p>
    <w:p w14:paraId="5AB1FE4A" w14:textId="5FC8C7F8" w:rsidR="45CA0350" w:rsidRPr="00B03278" w:rsidRDefault="45CA0350" w:rsidP="4E6EBB3F">
      <w:pPr>
        <w:pStyle w:val="Default"/>
        <w:jc w:val="both"/>
        <w:rPr>
          <w:rFonts w:asciiTheme="minorHAnsi" w:eastAsiaTheme="minorEastAsia" w:hAnsiTheme="minorHAnsi" w:cstheme="minorHAnsi"/>
          <w:sz w:val="20"/>
          <w:szCs w:val="20"/>
        </w:rPr>
      </w:pPr>
      <w:r w:rsidRPr="00B03278">
        <w:rPr>
          <w:rFonts w:asciiTheme="minorHAnsi" w:eastAsiaTheme="minorEastAsia" w:hAnsiTheme="minorHAnsi" w:cstheme="minorHAnsi"/>
          <w:sz w:val="20"/>
          <w:szCs w:val="20"/>
        </w:rPr>
        <w:t xml:space="preserve">Les cadres principaux concernant </w:t>
      </w:r>
      <w:r w:rsidR="00F34C5F" w:rsidRPr="00B03278">
        <w:rPr>
          <w:rFonts w:asciiTheme="minorHAnsi" w:eastAsiaTheme="minorEastAsia" w:hAnsiTheme="minorHAnsi" w:cstheme="minorHAnsi"/>
          <w:sz w:val="20"/>
          <w:szCs w:val="20"/>
        </w:rPr>
        <w:t>les</w:t>
      </w:r>
      <w:r w:rsidRPr="00B03278">
        <w:rPr>
          <w:rFonts w:asciiTheme="minorHAnsi" w:eastAsiaTheme="minorEastAsia" w:hAnsiTheme="minorHAnsi" w:cstheme="minorHAnsi"/>
          <w:sz w:val="20"/>
          <w:szCs w:val="20"/>
        </w:rPr>
        <w:t xml:space="preserve"> personnes déplacées </w:t>
      </w:r>
      <w:r w:rsidR="00B61EAC" w:rsidRPr="00B03278">
        <w:rPr>
          <w:rFonts w:asciiTheme="minorHAnsi" w:eastAsiaTheme="minorEastAsia" w:hAnsiTheme="minorHAnsi" w:cstheme="minorHAnsi"/>
          <w:sz w:val="20"/>
          <w:szCs w:val="20"/>
        </w:rPr>
        <w:t>dans</w:t>
      </w:r>
      <w:r w:rsidRPr="00B03278">
        <w:rPr>
          <w:rFonts w:asciiTheme="minorHAnsi" w:eastAsiaTheme="minorEastAsia" w:hAnsiTheme="minorHAnsi" w:cstheme="minorHAnsi"/>
          <w:sz w:val="20"/>
          <w:szCs w:val="20"/>
        </w:rPr>
        <w:t xml:space="preserve"> leur </w:t>
      </w:r>
      <w:r w:rsidR="00DC1499" w:rsidRPr="00B03278">
        <w:rPr>
          <w:rFonts w:asciiTheme="minorHAnsi" w:eastAsiaTheme="minorEastAsia" w:hAnsiTheme="minorHAnsi" w:cstheme="minorHAnsi"/>
          <w:sz w:val="20"/>
          <w:szCs w:val="20"/>
        </w:rPr>
        <w:t xml:space="preserve">propre </w:t>
      </w:r>
      <w:r w:rsidRPr="00B03278">
        <w:rPr>
          <w:rFonts w:asciiTheme="minorHAnsi" w:eastAsiaTheme="minorEastAsia" w:hAnsiTheme="minorHAnsi" w:cstheme="minorHAnsi"/>
          <w:sz w:val="20"/>
          <w:szCs w:val="20"/>
        </w:rPr>
        <w:t>pay</w:t>
      </w:r>
      <w:r w:rsidR="26CDF668" w:rsidRPr="00B03278">
        <w:rPr>
          <w:rFonts w:asciiTheme="minorHAnsi" w:eastAsiaTheme="minorEastAsia" w:hAnsiTheme="minorHAnsi" w:cstheme="minorHAnsi"/>
          <w:sz w:val="20"/>
          <w:szCs w:val="20"/>
        </w:rPr>
        <w:t>s</w:t>
      </w:r>
      <w:r w:rsidR="00B61EAC" w:rsidRPr="00B03278">
        <w:rPr>
          <w:rFonts w:asciiTheme="minorHAnsi" w:eastAsiaTheme="minorEastAsia" w:hAnsiTheme="minorHAnsi" w:cstheme="minorHAnsi"/>
          <w:sz w:val="20"/>
          <w:szCs w:val="20"/>
        </w:rPr>
        <w:t xml:space="preserve"> </w:t>
      </w:r>
      <w:r w:rsidR="00D97FB5" w:rsidRPr="00B03278">
        <w:rPr>
          <w:rFonts w:asciiTheme="minorHAnsi" w:eastAsiaTheme="minorEastAsia" w:hAnsiTheme="minorHAnsi" w:cstheme="minorHAnsi"/>
          <w:sz w:val="20"/>
          <w:szCs w:val="20"/>
        </w:rPr>
        <w:t>inscrivent</w:t>
      </w:r>
      <w:r w:rsidRPr="00B03278">
        <w:rPr>
          <w:rFonts w:asciiTheme="minorHAnsi" w:eastAsiaTheme="minorEastAsia" w:hAnsiTheme="minorHAnsi" w:cstheme="minorHAnsi"/>
          <w:sz w:val="20"/>
          <w:szCs w:val="20"/>
        </w:rPr>
        <w:t xml:space="preserve"> l’accès à </w:t>
      </w:r>
      <w:r w:rsidR="48B59241" w:rsidRPr="00B03278">
        <w:rPr>
          <w:rFonts w:asciiTheme="minorHAnsi" w:eastAsiaTheme="minorEastAsia" w:hAnsiTheme="minorHAnsi" w:cstheme="minorHAnsi"/>
          <w:sz w:val="20"/>
          <w:szCs w:val="20"/>
        </w:rPr>
        <w:t>l’EHA</w:t>
      </w:r>
      <w:r w:rsidRPr="00B03278">
        <w:rPr>
          <w:rFonts w:asciiTheme="minorHAnsi" w:eastAsiaTheme="minorEastAsia" w:hAnsiTheme="minorHAnsi" w:cstheme="minorHAnsi"/>
          <w:sz w:val="20"/>
          <w:szCs w:val="20"/>
        </w:rPr>
        <w:t xml:space="preserve"> parmi les droits fondamentaux. Les </w:t>
      </w:r>
      <w:r w:rsidRPr="00B03278">
        <w:rPr>
          <w:rFonts w:asciiTheme="minorHAnsi" w:eastAsiaTheme="minorEastAsia" w:hAnsiTheme="minorHAnsi" w:cstheme="minorHAnsi"/>
          <w:i/>
          <w:iCs/>
          <w:sz w:val="20"/>
          <w:szCs w:val="20"/>
        </w:rPr>
        <w:t>« Principes directeurs relatifs au déplacement de personnes à l'intérieur de leur propre pays »</w:t>
      </w:r>
      <w:r w:rsidRPr="00B03278">
        <w:rPr>
          <w:rFonts w:asciiTheme="minorHAnsi" w:eastAsiaTheme="minorEastAsia" w:hAnsiTheme="minorHAnsi" w:cstheme="minorHAnsi"/>
          <w:sz w:val="20"/>
          <w:szCs w:val="20"/>
        </w:rPr>
        <w:t xml:space="preserve"> (O</w:t>
      </w:r>
      <w:r w:rsidR="00924F55">
        <w:rPr>
          <w:rFonts w:asciiTheme="minorHAnsi" w:eastAsiaTheme="minorEastAsia" w:hAnsiTheme="minorHAnsi" w:cstheme="minorHAnsi"/>
          <w:sz w:val="20"/>
          <w:szCs w:val="20"/>
        </w:rPr>
        <w:t>CHA, 1998) mentionnent que tou</w:t>
      </w:r>
      <w:r w:rsidRPr="00B03278">
        <w:rPr>
          <w:rFonts w:asciiTheme="minorHAnsi" w:eastAsiaTheme="minorEastAsia" w:hAnsiTheme="minorHAnsi" w:cstheme="minorHAnsi"/>
          <w:sz w:val="20"/>
          <w:szCs w:val="20"/>
        </w:rPr>
        <w:t xml:space="preserve">s les </w:t>
      </w:r>
      <w:r w:rsidR="00B61EAC" w:rsidRPr="00B03278">
        <w:rPr>
          <w:rFonts w:asciiTheme="minorHAnsi" w:eastAsiaTheme="minorEastAsia" w:hAnsiTheme="minorHAnsi" w:cstheme="minorHAnsi"/>
          <w:sz w:val="20"/>
          <w:szCs w:val="20"/>
        </w:rPr>
        <w:t xml:space="preserve">déplacés internes </w:t>
      </w:r>
      <w:r w:rsidRPr="00B03278">
        <w:rPr>
          <w:rFonts w:asciiTheme="minorHAnsi" w:eastAsiaTheme="minorEastAsia" w:hAnsiTheme="minorHAnsi" w:cstheme="minorHAnsi"/>
          <w:sz w:val="20"/>
          <w:szCs w:val="20"/>
        </w:rPr>
        <w:t>ont droit à un niveau de vie suffisant</w:t>
      </w:r>
      <w:r w:rsidR="004D3B07" w:rsidRPr="00B03278">
        <w:rPr>
          <w:rFonts w:asciiTheme="minorHAnsi" w:eastAsiaTheme="minorEastAsia" w:hAnsiTheme="minorHAnsi" w:cstheme="minorHAnsi"/>
          <w:sz w:val="20"/>
          <w:szCs w:val="20"/>
        </w:rPr>
        <w:t xml:space="preserve"> (principe 18)</w:t>
      </w:r>
      <w:r w:rsidRPr="00B03278">
        <w:rPr>
          <w:rFonts w:asciiTheme="minorHAnsi" w:eastAsiaTheme="minorEastAsia" w:hAnsiTheme="minorHAnsi" w:cstheme="minorHAnsi"/>
          <w:sz w:val="20"/>
          <w:szCs w:val="20"/>
        </w:rPr>
        <w:t xml:space="preserve">, ce qui inclut un accès </w:t>
      </w:r>
      <w:r w:rsidR="004D3B07" w:rsidRPr="00B03278">
        <w:rPr>
          <w:rFonts w:asciiTheme="minorHAnsi" w:eastAsiaTheme="minorEastAsia" w:hAnsiTheme="minorHAnsi" w:cstheme="minorHAnsi"/>
          <w:sz w:val="20"/>
          <w:szCs w:val="20"/>
        </w:rPr>
        <w:t xml:space="preserve">à l’eau potable </w:t>
      </w:r>
      <w:r w:rsidRPr="00B03278">
        <w:rPr>
          <w:rFonts w:asciiTheme="minorHAnsi" w:eastAsiaTheme="minorEastAsia" w:hAnsiTheme="minorHAnsi" w:cstheme="minorHAnsi"/>
          <w:sz w:val="20"/>
          <w:szCs w:val="20"/>
        </w:rPr>
        <w:t>en toute sécurité, quelles que soient les circonstances</w:t>
      </w:r>
      <w:r w:rsidR="00134A18" w:rsidRPr="00B03278">
        <w:rPr>
          <w:rFonts w:asciiTheme="minorHAnsi" w:eastAsiaTheme="minorEastAsia" w:hAnsiTheme="minorHAnsi" w:cstheme="minorHAnsi"/>
          <w:sz w:val="20"/>
          <w:szCs w:val="20"/>
        </w:rPr>
        <w:t xml:space="preserve">, </w:t>
      </w:r>
      <w:r w:rsidRPr="00B03278">
        <w:rPr>
          <w:rFonts w:asciiTheme="minorHAnsi" w:eastAsiaTheme="minorEastAsia" w:hAnsiTheme="minorHAnsi" w:cstheme="minorHAnsi"/>
          <w:sz w:val="20"/>
          <w:szCs w:val="20"/>
        </w:rPr>
        <w:t>sans discrimination</w:t>
      </w:r>
      <w:r w:rsidR="004D3B07" w:rsidRPr="00B03278">
        <w:rPr>
          <w:rFonts w:asciiTheme="minorHAnsi" w:eastAsiaTheme="minorEastAsia" w:hAnsiTheme="minorHAnsi" w:cstheme="minorHAnsi"/>
          <w:sz w:val="20"/>
          <w:szCs w:val="20"/>
        </w:rPr>
        <w:t xml:space="preserve">. </w:t>
      </w:r>
      <w:r w:rsidR="00924F55">
        <w:rPr>
          <w:rFonts w:asciiTheme="minorHAnsi" w:eastAsiaTheme="minorEastAsia" w:hAnsiTheme="minorHAnsi" w:cstheme="minorHAnsi"/>
          <w:sz w:val="20"/>
          <w:szCs w:val="20"/>
        </w:rPr>
        <w:t>La</w:t>
      </w:r>
      <w:r w:rsidR="004D3B07" w:rsidRPr="00B03278">
        <w:rPr>
          <w:rFonts w:asciiTheme="minorHAnsi" w:eastAsiaTheme="minorEastAsia" w:hAnsiTheme="minorHAnsi" w:cstheme="minorHAnsi"/>
          <w:sz w:val="20"/>
          <w:szCs w:val="20"/>
        </w:rPr>
        <w:t xml:space="preserve"> « </w:t>
      </w:r>
      <w:r w:rsidRPr="00B03278">
        <w:rPr>
          <w:rFonts w:asciiTheme="minorHAnsi" w:eastAsiaTheme="minorEastAsia" w:hAnsiTheme="minorHAnsi" w:cstheme="minorHAnsi"/>
          <w:i/>
          <w:iCs/>
          <w:sz w:val="20"/>
          <w:szCs w:val="20"/>
        </w:rPr>
        <w:t>Convention de l'Union africaine sur la protection et l'assistance aux personnes déplacées en Afrique</w:t>
      </w:r>
      <w:r w:rsidR="004D3B07" w:rsidRPr="00B03278">
        <w:rPr>
          <w:rFonts w:asciiTheme="minorHAnsi" w:eastAsiaTheme="minorEastAsia" w:hAnsiTheme="minorHAnsi" w:cstheme="minorHAnsi"/>
          <w:i/>
          <w:iCs/>
          <w:sz w:val="20"/>
          <w:szCs w:val="20"/>
        </w:rPr>
        <w:t> »</w:t>
      </w:r>
      <w:r w:rsidRPr="00B03278">
        <w:rPr>
          <w:rFonts w:asciiTheme="minorHAnsi" w:eastAsiaTheme="minorEastAsia" w:hAnsiTheme="minorHAnsi" w:cstheme="minorHAnsi"/>
          <w:i/>
          <w:iCs/>
          <w:sz w:val="20"/>
          <w:szCs w:val="20"/>
        </w:rPr>
        <w:t xml:space="preserve"> (Convention de Kampala</w:t>
      </w:r>
      <w:r w:rsidR="00F34C5F" w:rsidRPr="00B03278">
        <w:rPr>
          <w:rFonts w:asciiTheme="minorHAnsi" w:eastAsiaTheme="minorEastAsia" w:hAnsiTheme="minorHAnsi" w:cstheme="minorHAnsi"/>
          <w:i/>
          <w:iCs/>
          <w:sz w:val="20"/>
          <w:szCs w:val="20"/>
        </w:rPr>
        <w:t>,</w:t>
      </w:r>
      <w:r w:rsidRPr="00B03278">
        <w:rPr>
          <w:rFonts w:asciiTheme="minorHAnsi" w:eastAsiaTheme="minorEastAsia" w:hAnsiTheme="minorHAnsi" w:cstheme="minorHAnsi"/>
          <w:i/>
          <w:iCs/>
          <w:sz w:val="20"/>
          <w:szCs w:val="20"/>
        </w:rPr>
        <w:t xml:space="preserve"> 2012)</w:t>
      </w:r>
      <w:r w:rsidRPr="00B03278">
        <w:rPr>
          <w:rFonts w:asciiTheme="minorHAnsi" w:eastAsiaTheme="minorEastAsia" w:hAnsiTheme="minorHAnsi" w:cstheme="minorHAnsi"/>
          <w:sz w:val="20"/>
          <w:szCs w:val="20"/>
        </w:rPr>
        <w:t xml:space="preserve"> inscrit l’obligation </w:t>
      </w:r>
      <w:r w:rsidR="007424DB" w:rsidRPr="00B03278">
        <w:rPr>
          <w:rFonts w:asciiTheme="minorHAnsi" w:eastAsiaTheme="minorEastAsia" w:hAnsiTheme="minorHAnsi" w:cstheme="minorHAnsi"/>
          <w:sz w:val="20"/>
          <w:szCs w:val="20"/>
        </w:rPr>
        <w:t>pour l</w:t>
      </w:r>
      <w:r w:rsidRPr="00B03278">
        <w:rPr>
          <w:rFonts w:asciiTheme="minorHAnsi" w:eastAsiaTheme="minorEastAsia" w:hAnsiTheme="minorHAnsi" w:cstheme="minorHAnsi"/>
          <w:sz w:val="20"/>
          <w:szCs w:val="20"/>
        </w:rPr>
        <w:t xml:space="preserve">es Etats </w:t>
      </w:r>
      <w:r w:rsidR="007424DB" w:rsidRPr="00B03278">
        <w:rPr>
          <w:rFonts w:asciiTheme="minorHAnsi" w:eastAsiaTheme="minorEastAsia" w:hAnsiTheme="minorHAnsi" w:cstheme="minorHAnsi"/>
          <w:sz w:val="20"/>
          <w:szCs w:val="20"/>
        </w:rPr>
        <w:t>de</w:t>
      </w:r>
      <w:r w:rsidRPr="00B03278">
        <w:rPr>
          <w:rFonts w:asciiTheme="minorHAnsi" w:eastAsiaTheme="minorEastAsia" w:hAnsiTheme="minorHAnsi" w:cstheme="minorHAnsi"/>
          <w:sz w:val="20"/>
          <w:szCs w:val="20"/>
        </w:rPr>
        <w:t xml:space="preserve"> fo</w:t>
      </w:r>
      <w:r w:rsidR="00DC1499" w:rsidRPr="00B03278">
        <w:rPr>
          <w:rFonts w:asciiTheme="minorHAnsi" w:eastAsiaTheme="minorEastAsia" w:hAnsiTheme="minorHAnsi" w:cstheme="minorHAnsi"/>
          <w:sz w:val="20"/>
          <w:szCs w:val="20"/>
        </w:rPr>
        <w:t xml:space="preserve">urnir aux </w:t>
      </w:r>
      <w:r w:rsidR="00B61EAC" w:rsidRPr="00B03278">
        <w:rPr>
          <w:rFonts w:asciiTheme="minorHAnsi" w:eastAsiaTheme="minorEastAsia" w:hAnsiTheme="minorHAnsi" w:cstheme="minorHAnsi"/>
          <w:sz w:val="20"/>
          <w:szCs w:val="20"/>
        </w:rPr>
        <w:t>déplacés</w:t>
      </w:r>
      <w:r w:rsidR="00DC1499" w:rsidRPr="00B03278">
        <w:rPr>
          <w:rFonts w:asciiTheme="minorHAnsi" w:eastAsiaTheme="minorEastAsia" w:hAnsiTheme="minorHAnsi" w:cstheme="minorHAnsi"/>
          <w:sz w:val="20"/>
          <w:szCs w:val="20"/>
        </w:rPr>
        <w:t xml:space="preserve"> une </w:t>
      </w:r>
      <w:r w:rsidRPr="00B03278">
        <w:rPr>
          <w:rFonts w:asciiTheme="minorHAnsi" w:eastAsiaTheme="minorEastAsia" w:hAnsiTheme="minorHAnsi" w:cstheme="minorHAnsi"/>
          <w:sz w:val="20"/>
          <w:szCs w:val="20"/>
        </w:rPr>
        <w:t xml:space="preserve">assistance humanitaire adéquate, y compris l’accès à </w:t>
      </w:r>
      <w:r w:rsidR="007424DB" w:rsidRPr="00B03278">
        <w:rPr>
          <w:rFonts w:asciiTheme="minorHAnsi" w:eastAsiaTheme="minorEastAsia" w:hAnsiTheme="minorHAnsi" w:cstheme="minorHAnsi"/>
          <w:sz w:val="20"/>
          <w:szCs w:val="20"/>
        </w:rPr>
        <w:t>l’EHA (article 9)</w:t>
      </w:r>
      <w:r w:rsidRPr="00B03278">
        <w:rPr>
          <w:rFonts w:asciiTheme="minorHAnsi" w:eastAsiaTheme="minorEastAsia" w:hAnsiTheme="minorHAnsi" w:cstheme="minorHAnsi"/>
          <w:sz w:val="20"/>
          <w:szCs w:val="20"/>
        </w:rPr>
        <w:t>.</w:t>
      </w:r>
    </w:p>
    <w:p w14:paraId="5B4DB2F3" w14:textId="77777777" w:rsidR="00067C62" w:rsidRPr="00B03278" w:rsidRDefault="00067C62" w:rsidP="00067C62">
      <w:pPr>
        <w:pStyle w:val="Default"/>
        <w:jc w:val="both"/>
        <w:rPr>
          <w:rFonts w:asciiTheme="minorHAnsi" w:hAnsiTheme="minorHAnsi" w:cstheme="minorHAnsi"/>
          <w:sz w:val="20"/>
          <w:szCs w:val="20"/>
        </w:rPr>
      </w:pPr>
    </w:p>
    <w:p w14:paraId="6EABA09E" w14:textId="71F85066" w:rsidR="000A2636" w:rsidRPr="00B03278" w:rsidRDefault="00134A18" w:rsidP="00F32708">
      <w:pPr>
        <w:pStyle w:val="Default"/>
        <w:jc w:val="both"/>
        <w:rPr>
          <w:rFonts w:asciiTheme="minorHAnsi" w:hAnsiTheme="minorHAnsi" w:cstheme="minorHAnsi"/>
          <w:sz w:val="20"/>
          <w:szCs w:val="20"/>
        </w:rPr>
      </w:pPr>
      <w:r w:rsidRPr="00B03278">
        <w:rPr>
          <w:rFonts w:asciiTheme="minorHAnsi" w:hAnsiTheme="minorHAnsi" w:cstheme="minorHAnsi"/>
          <w:sz w:val="20"/>
          <w:szCs w:val="20"/>
        </w:rPr>
        <w:t>Selon le Groupe d'Experts Intergouvernemental sur l'Evolution du Climat (GIEC), l</w:t>
      </w:r>
      <w:r w:rsidR="27626E5A" w:rsidRPr="00B03278">
        <w:rPr>
          <w:rFonts w:asciiTheme="minorHAnsi" w:hAnsiTheme="minorHAnsi" w:cstheme="minorHAnsi"/>
          <w:sz w:val="20"/>
          <w:szCs w:val="20"/>
        </w:rPr>
        <w:t xml:space="preserve">es plus grands risques du réchauffement climatique concernent </w:t>
      </w:r>
      <w:r w:rsidR="008216F7" w:rsidRPr="00B03278">
        <w:rPr>
          <w:rFonts w:asciiTheme="minorHAnsi" w:hAnsiTheme="minorHAnsi" w:cstheme="minorHAnsi"/>
          <w:sz w:val="20"/>
          <w:szCs w:val="20"/>
        </w:rPr>
        <w:t>l’eau</w:t>
      </w:r>
      <w:r w:rsidR="27626E5A" w:rsidRPr="00B03278">
        <w:rPr>
          <w:rFonts w:asciiTheme="minorHAnsi" w:hAnsiTheme="minorHAnsi" w:cstheme="minorHAnsi"/>
          <w:sz w:val="20"/>
          <w:szCs w:val="20"/>
        </w:rPr>
        <w:t>, une ressource essentielle déjà soumise à de fortes pressions anthropiques, mettant en danger</w:t>
      </w:r>
      <w:r w:rsidR="10A6EBA5" w:rsidRPr="00B03278">
        <w:rPr>
          <w:rFonts w:asciiTheme="minorHAnsi" w:hAnsiTheme="minorHAnsi" w:cstheme="minorHAnsi"/>
          <w:sz w:val="20"/>
          <w:szCs w:val="20"/>
        </w:rPr>
        <w:t xml:space="preserve"> l’accès à </w:t>
      </w:r>
      <w:r w:rsidR="00D97FB5" w:rsidRPr="00B03278">
        <w:rPr>
          <w:rFonts w:asciiTheme="minorHAnsi" w:hAnsiTheme="minorHAnsi" w:cstheme="minorHAnsi"/>
          <w:sz w:val="20"/>
          <w:szCs w:val="20"/>
        </w:rPr>
        <w:t xml:space="preserve">l’EHA </w:t>
      </w:r>
      <w:r w:rsidR="216C6391" w:rsidRPr="00B03278">
        <w:rPr>
          <w:rFonts w:asciiTheme="minorHAnsi" w:hAnsiTheme="minorHAnsi" w:cstheme="minorHAnsi"/>
          <w:sz w:val="20"/>
          <w:szCs w:val="20"/>
        </w:rPr>
        <w:t>d</w:t>
      </w:r>
      <w:r w:rsidR="27626E5A" w:rsidRPr="00B03278">
        <w:rPr>
          <w:rFonts w:asciiTheme="minorHAnsi" w:hAnsiTheme="minorHAnsi" w:cstheme="minorHAnsi"/>
          <w:sz w:val="20"/>
          <w:szCs w:val="20"/>
        </w:rPr>
        <w:t>es populations</w:t>
      </w:r>
      <w:r w:rsidR="6D0850DA" w:rsidRPr="00B03278">
        <w:rPr>
          <w:rFonts w:asciiTheme="minorHAnsi" w:hAnsiTheme="minorHAnsi" w:cstheme="minorHAnsi"/>
          <w:sz w:val="20"/>
          <w:szCs w:val="20"/>
        </w:rPr>
        <w:t xml:space="preserve"> (sécheresse, inondations,</w:t>
      </w:r>
      <w:r w:rsidR="2DCDC49D" w:rsidRPr="00B03278">
        <w:rPr>
          <w:rFonts w:asciiTheme="minorHAnsi" w:hAnsiTheme="minorHAnsi" w:cstheme="minorHAnsi"/>
          <w:sz w:val="20"/>
          <w:szCs w:val="20"/>
        </w:rPr>
        <w:t xml:space="preserve"> </w:t>
      </w:r>
      <w:r w:rsidR="6D0850DA" w:rsidRPr="00B03278">
        <w:rPr>
          <w:rFonts w:asciiTheme="minorHAnsi" w:hAnsiTheme="minorHAnsi" w:cstheme="minorHAnsi"/>
          <w:sz w:val="20"/>
          <w:szCs w:val="20"/>
        </w:rPr>
        <w:t>salinisation</w:t>
      </w:r>
      <w:r w:rsidR="1C76E1E2" w:rsidRPr="00B03278">
        <w:rPr>
          <w:rFonts w:asciiTheme="minorHAnsi" w:hAnsiTheme="minorHAnsi" w:cstheme="minorHAnsi"/>
          <w:sz w:val="20"/>
          <w:szCs w:val="20"/>
        </w:rPr>
        <w:t>, dégradation des terres</w:t>
      </w:r>
      <w:r w:rsidR="007424DB" w:rsidRPr="00B03278">
        <w:rPr>
          <w:rFonts w:asciiTheme="minorHAnsi" w:hAnsiTheme="minorHAnsi" w:cstheme="minorHAnsi"/>
          <w:sz w:val="20"/>
          <w:szCs w:val="20"/>
        </w:rPr>
        <w:t>, etc</w:t>
      </w:r>
      <w:r w:rsidR="6D0850DA" w:rsidRPr="00B03278">
        <w:rPr>
          <w:rFonts w:asciiTheme="minorHAnsi" w:hAnsiTheme="minorHAnsi" w:cstheme="minorHAnsi"/>
          <w:sz w:val="20"/>
          <w:szCs w:val="20"/>
        </w:rPr>
        <w:t xml:space="preserve">.). </w:t>
      </w:r>
      <w:r w:rsidR="008216F7" w:rsidRPr="00B03278">
        <w:rPr>
          <w:rFonts w:asciiTheme="minorHAnsi" w:hAnsiTheme="minorHAnsi" w:cstheme="minorHAnsi"/>
          <w:sz w:val="20"/>
          <w:szCs w:val="20"/>
        </w:rPr>
        <w:t>40% de la population mondiale sera confrontée aux pénuries d’eau d’ici 2050 (OCDE, 2012)</w:t>
      </w:r>
      <w:r w:rsidR="4201570B" w:rsidRPr="00B03278">
        <w:rPr>
          <w:rFonts w:asciiTheme="minorHAnsi" w:hAnsiTheme="minorHAnsi" w:cstheme="minorHAnsi"/>
          <w:sz w:val="20"/>
          <w:szCs w:val="20"/>
        </w:rPr>
        <w:t xml:space="preserve">. </w:t>
      </w:r>
      <w:r w:rsidR="00CB5318" w:rsidRPr="00B03278">
        <w:rPr>
          <w:rFonts w:asciiTheme="minorHAnsi" w:hAnsiTheme="minorHAnsi" w:cstheme="minorHAnsi"/>
          <w:sz w:val="20"/>
          <w:szCs w:val="20"/>
        </w:rPr>
        <w:t xml:space="preserve">Se déplacer est et deviendra encore plus une stratégie d’adaptation des populations, notamment des campagnes vers les villes. </w:t>
      </w:r>
      <w:r w:rsidR="00F32708" w:rsidRPr="00B03278">
        <w:rPr>
          <w:rFonts w:asciiTheme="minorHAnsi" w:hAnsiTheme="minorHAnsi" w:cstheme="minorHAnsi"/>
          <w:sz w:val="20"/>
          <w:szCs w:val="20"/>
        </w:rPr>
        <w:t xml:space="preserve">L'accès à l'EHA pour prévenir les déplacements, assister les personnes en situation de déplacement et dans les zones d’accueil devra être mieux anticipé. Renforcer le cadre des droits humains est plus que jamais nécessaire pour que personne ne soit laissé de côté. </w:t>
      </w:r>
    </w:p>
    <w:p w14:paraId="44A84145" w14:textId="77777777" w:rsidR="00F32708" w:rsidRPr="00B03278" w:rsidRDefault="00F32708" w:rsidP="00F32708">
      <w:pPr>
        <w:pStyle w:val="Default"/>
        <w:jc w:val="both"/>
        <w:rPr>
          <w:rFonts w:asciiTheme="minorHAnsi" w:hAnsiTheme="minorHAnsi" w:cstheme="minorHAnsi"/>
          <w:sz w:val="20"/>
          <w:szCs w:val="20"/>
        </w:rPr>
      </w:pPr>
    </w:p>
    <w:p w14:paraId="687E3534" w14:textId="6DF338E1" w:rsidR="006424F8" w:rsidRPr="00B03278" w:rsidRDefault="40E71B84" w:rsidP="0065D00F">
      <w:pPr>
        <w:pStyle w:val="Default"/>
        <w:jc w:val="both"/>
        <w:rPr>
          <w:rFonts w:asciiTheme="minorHAnsi" w:hAnsiTheme="minorHAnsi" w:cstheme="minorHAnsi"/>
          <w:sz w:val="20"/>
          <w:szCs w:val="20"/>
        </w:rPr>
      </w:pPr>
      <w:r w:rsidRPr="00B03278">
        <w:rPr>
          <w:rFonts w:asciiTheme="minorHAnsi" w:hAnsiTheme="minorHAnsi" w:cstheme="minorHAnsi"/>
          <w:sz w:val="20"/>
          <w:szCs w:val="20"/>
        </w:rPr>
        <w:t>Une</w:t>
      </w:r>
      <w:r w:rsidRPr="00B03278">
        <w:rPr>
          <w:rFonts w:asciiTheme="minorHAnsi" w:hAnsiTheme="minorHAnsi" w:cstheme="minorHAnsi"/>
          <w:color w:val="auto"/>
          <w:sz w:val="20"/>
          <w:szCs w:val="20"/>
        </w:rPr>
        <w:t xml:space="preserve"> eau insalubre, un assainissement inadéquat et le manque d’hygiène ont de</w:t>
      </w:r>
      <w:r w:rsidR="007424DB" w:rsidRPr="00B03278">
        <w:rPr>
          <w:rFonts w:asciiTheme="minorHAnsi" w:hAnsiTheme="minorHAnsi" w:cstheme="minorHAnsi"/>
          <w:color w:val="auto"/>
          <w:sz w:val="20"/>
          <w:szCs w:val="20"/>
        </w:rPr>
        <w:t xml:space="preserve"> lourdes</w:t>
      </w:r>
      <w:r w:rsidRPr="00B03278">
        <w:rPr>
          <w:rFonts w:asciiTheme="minorHAnsi" w:hAnsiTheme="minorHAnsi" w:cstheme="minorHAnsi"/>
          <w:color w:val="auto"/>
          <w:sz w:val="20"/>
          <w:szCs w:val="20"/>
        </w:rPr>
        <w:t xml:space="preserve"> conséquences sur la santé, la sécurité alimentaire, l’éducation, l’égalité des genres, l’économie et l’environnement. </w:t>
      </w:r>
      <w:r w:rsidR="364C8084" w:rsidRPr="00B03278">
        <w:rPr>
          <w:rFonts w:asciiTheme="minorHAnsi" w:hAnsiTheme="minorHAnsi" w:cstheme="minorHAnsi"/>
          <w:sz w:val="20"/>
          <w:szCs w:val="20"/>
        </w:rPr>
        <w:t xml:space="preserve">Le </w:t>
      </w:r>
      <w:r w:rsidR="75B5F1B4" w:rsidRPr="00B03278">
        <w:rPr>
          <w:rFonts w:asciiTheme="minorHAnsi" w:hAnsiTheme="minorHAnsi" w:cstheme="minorHAnsi"/>
          <w:sz w:val="20"/>
          <w:szCs w:val="20"/>
        </w:rPr>
        <w:t>manque d’</w:t>
      </w:r>
      <w:r w:rsidR="364C8084" w:rsidRPr="00B03278">
        <w:rPr>
          <w:rFonts w:asciiTheme="minorHAnsi" w:hAnsiTheme="minorHAnsi" w:cstheme="minorHAnsi"/>
          <w:sz w:val="20"/>
          <w:szCs w:val="20"/>
        </w:rPr>
        <w:t xml:space="preserve">accès peut aussi être un facteur d’instabilité et de conflits. </w:t>
      </w:r>
    </w:p>
    <w:p w14:paraId="7F2B0F47" w14:textId="7CBED958" w:rsidR="006424F8" w:rsidRPr="00B03278" w:rsidRDefault="006424F8" w:rsidP="1526BE8E">
      <w:pPr>
        <w:pStyle w:val="Default"/>
        <w:rPr>
          <w:rFonts w:asciiTheme="minorHAnsi" w:hAnsiTheme="minorHAnsi" w:cstheme="minorHAnsi"/>
          <w:sz w:val="20"/>
          <w:szCs w:val="20"/>
        </w:rPr>
      </w:pPr>
    </w:p>
    <w:p w14:paraId="42FCEAFF" w14:textId="373DE2DE" w:rsidR="006A42F3" w:rsidRDefault="70056C19" w:rsidP="4E6EBB3F">
      <w:pPr>
        <w:jc w:val="both"/>
        <w:rPr>
          <w:rFonts w:asciiTheme="minorHAnsi" w:hAnsiTheme="minorHAnsi" w:cstheme="minorHAnsi"/>
          <w:sz w:val="20"/>
          <w:szCs w:val="20"/>
          <w:lang w:val="fr-FR"/>
        </w:rPr>
      </w:pPr>
      <w:r w:rsidRPr="00B03278">
        <w:rPr>
          <w:rFonts w:asciiTheme="minorHAnsi" w:hAnsiTheme="minorHAnsi" w:cstheme="minorHAnsi"/>
          <w:sz w:val="20"/>
          <w:szCs w:val="20"/>
          <w:lang w:val="fr-FR"/>
        </w:rPr>
        <w:t>Les Etats doivent p</w:t>
      </w:r>
      <w:r w:rsidR="0648D951" w:rsidRPr="00B03278">
        <w:rPr>
          <w:rFonts w:asciiTheme="minorHAnsi" w:hAnsiTheme="minorHAnsi" w:cstheme="minorHAnsi"/>
          <w:sz w:val="20"/>
          <w:szCs w:val="20"/>
          <w:lang w:val="fr-FR"/>
        </w:rPr>
        <w:t>révoir des réponses adaptées</w:t>
      </w:r>
      <w:r w:rsidR="003F4590" w:rsidRPr="00B03278">
        <w:rPr>
          <w:rFonts w:asciiTheme="minorHAnsi" w:hAnsiTheme="minorHAnsi" w:cstheme="minorHAnsi"/>
          <w:sz w:val="20"/>
          <w:szCs w:val="20"/>
          <w:lang w:val="fr-FR"/>
        </w:rPr>
        <w:t xml:space="preserve"> aux</w:t>
      </w:r>
      <w:r w:rsidR="0648D951" w:rsidRPr="00B03278">
        <w:rPr>
          <w:rFonts w:asciiTheme="minorHAnsi" w:hAnsiTheme="minorHAnsi" w:cstheme="minorHAnsi"/>
          <w:sz w:val="20"/>
          <w:szCs w:val="20"/>
          <w:lang w:val="fr-FR"/>
        </w:rPr>
        <w:t xml:space="preserve"> territoire</w:t>
      </w:r>
      <w:r w:rsidR="003F4590" w:rsidRPr="00B03278">
        <w:rPr>
          <w:rFonts w:asciiTheme="minorHAnsi" w:hAnsiTheme="minorHAnsi" w:cstheme="minorHAnsi"/>
          <w:sz w:val="20"/>
          <w:szCs w:val="20"/>
          <w:lang w:val="fr-FR"/>
        </w:rPr>
        <w:t>s et</w:t>
      </w:r>
      <w:r w:rsidR="0648D951" w:rsidRPr="00B03278">
        <w:rPr>
          <w:rFonts w:asciiTheme="minorHAnsi" w:hAnsiTheme="minorHAnsi" w:cstheme="minorHAnsi"/>
          <w:sz w:val="20"/>
          <w:szCs w:val="20"/>
          <w:lang w:val="fr-FR"/>
        </w:rPr>
        <w:t xml:space="preserve"> aux populations, </w:t>
      </w:r>
      <w:r w:rsidR="003F4590" w:rsidRPr="00B03278">
        <w:rPr>
          <w:rFonts w:asciiTheme="minorHAnsi" w:hAnsiTheme="minorHAnsi" w:cstheme="minorHAnsi"/>
          <w:sz w:val="20"/>
          <w:szCs w:val="20"/>
          <w:lang w:val="fr-FR"/>
        </w:rPr>
        <w:t>qui respectent les</w:t>
      </w:r>
      <w:r w:rsidR="0648D951" w:rsidRPr="00B03278">
        <w:rPr>
          <w:rFonts w:asciiTheme="minorHAnsi" w:hAnsiTheme="minorHAnsi" w:cstheme="minorHAnsi"/>
          <w:sz w:val="20"/>
          <w:szCs w:val="20"/>
          <w:lang w:val="fr-FR"/>
        </w:rPr>
        <w:t xml:space="preserve"> droits humains</w:t>
      </w:r>
      <w:r w:rsidR="003F4590" w:rsidRPr="00B03278">
        <w:rPr>
          <w:rFonts w:asciiTheme="minorHAnsi" w:hAnsiTheme="minorHAnsi" w:cstheme="minorHAnsi"/>
          <w:sz w:val="20"/>
          <w:szCs w:val="20"/>
          <w:lang w:val="fr-FR"/>
        </w:rPr>
        <w:t xml:space="preserve"> et comprennent</w:t>
      </w:r>
      <w:r w:rsidR="0648D951" w:rsidRPr="00B03278">
        <w:rPr>
          <w:rFonts w:asciiTheme="minorHAnsi" w:hAnsiTheme="minorHAnsi" w:cstheme="minorHAnsi"/>
          <w:sz w:val="20"/>
          <w:szCs w:val="20"/>
          <w:lang w:val="fr-FR"/>
        </w:rPr>
        <w:t xml:space="preserve"> des mesures fortes</w:t>
      </w:r>
      <w:r w:rsidR="7B59F474" w:rsidRPr="00B03278">
        <w:rPr>
          <w:rFonts w:asciiTheme="minorHAnsi" w:hAnsiTheme="minorHAnsi" w:cstheme="minorHAnsi"/>
          <w:sz w:val="20"/>
          <w:szCs w:val="20"/>
          <w:lang w:val="fr-FR"/>
        </w:rPr>
        <w:t xml:space="preserve"> d’atténuation et</w:t>
      </w:r>
      <w:r w:rsidR="0648D951" w:rsidRPr="00B03278">
        <w:rPr>
          <w:rFonts w:asciiTheme="minorHAnsi" w:hAnsiTheme="minorHAnsi" w:cstheme="minorHAnsi"/>
          <w:sz w:val="20"/>
          <w:szCs w:val="20"/>
          <w:lang w:val="fr-FR"/>
        </w:rPr>
        <w:t xml:space="preserve"> d’adaptation au changement climatique</w:t>
      </w:r>
      <w:r w:rsidR="001D59D0" w:rsidRPr="00B03278">
        <w:rPr>
          <w:rFonts w:asciiTheme="minorHAnsi" w:hAnsiTheme="minorHAnsi" w:cstheme="minorHAnsi"/>
          <w:sz w:val="20"/>
          <w:szCs w:val="20"/>
          <w:lang w:val="fr-FR"/>
        </w:rPr>
        <w:t>.</w:t>
      </w:r>
      <w:r w:rsidR="003F4590" w:rsidRPr="00B03278">
        <w:rPr>
          <w:rFonts w:asciiTheme="minorHAnsi" w:hAnsiTheme="minorHAnsi" w:cstheme="minorHAnsi"/>
          <w:sz w:val="20"/>
          <w:szCs w:val="20"/>
          <w:lang w:val="fr-FR"/>
        </w:rPr>
        <w:t xml:space="preserve"> Ces me</w:t>
      </w:r>
      <w:r w:rsidR="00137FDB" w:rsidRPr="00B03278">
        <w:rPr>
          <w:rFonts w:asciiTheme="minorHAnsi" w:hAnsiTheme="minorHAnsi" w:cstheme="minorHAnsi"/>
          <w:sz w:val="20"/>
          <w:szCs w:val="20"/>
          <w:lang w:val="fr-FR"/>
        </w:rPr>
        <w:t>sures permettront aux personnes</w:t>
      </w:r>
      <w:r w:rsidR="003F4590" w:rsidRPr="00B03278">
        <w:rPr>
          <w:rFonts w:asciiTheme="minorHAnsi" w:hAnsiTheme="minorHAnsi" w:cstheme="minorHAnsi"/>
          <w:sz w:val="20"/>
          <w:szCs w:val="20"/>
          <w:lang w:val="fr-FR"/>
        </w:rPr>
        <w:t xml:space="preserve"> de</w:t>
      </w:r>
      <w:r w:rsidR="0648D951" w:rsidRPr="00B03278">
        <w:rPr>
          <w:rFonts w:asciiTheme="minorHAnsi" w:hAnsiTheme="minorHAnsi" w:cstheme="minorHAnsi"/>
          <w:sz w:val="20"/>
          <w:szCs w:val="20"/>
          <w:lang w:val="fr-FR"/>
        </w:rPr>
        <w:t xml:space="preserve"> rester chez </w:t>
      </w:r>
      <w:r w:rsidR="00748C52" w:rsidRPr="00B03278">
        <w:rPr>
          <w:rFonts w:asciiTheme="minorHAnsi" w:hAnsiTheme="minorHAnsi" w:cstheme="minorHAnsi"/>
          <w:sz w:val="20"/>
          <w:szCs w:val="20"/>
          <w:lang w:val="fr-FR"/>
        </w:rPr>
        <w:t>elles</w:t>
      </w:r>
      <w:r w:rsidR="003F4590" w:rsidRPr="00B03278">
        <w:rPr>
          <w:rFonts w:asciiTheme="minorHAnsi" w:hAnsiTheme="minorHAnsi" w:cstheme="minorHAnsi"/>
          <w:sz w:val="20"/>
          <w:szCs w:val="20"/>
          <w:lang w:val="fr-FR"/>
        </w:rPr>
        <w:t xml:space="preserve"> ou d’assurer leur déplacement </w:t>
      </w:r>
      <w:r w:rsidR="0CABE319" w:rsidRPr="00B03278">
        <w:rPr>
          <w:rFonts w:asciiTheme="minorHAnsi" w:hAnsiTheme="minorHAnsi" w:cstheme="minorHAnsi"/>
          <w:sz w:val="20"/>
          <w:szCs w:val="20"/>
          <w:lang w:val="fr-FR"/>
        </w:rPr>
        <w:t xml:space="preserve">en toute </w:t>
      </w:r>
      <w:r w:rsidR="00137FDB" w:rsidRPr="00B03278">
        <w:rPr>
          <w:rFonts w:asciiTheme="minorHAnsi" w:hAnsiTheme="minorHAnsi" w:cstheme="minorHAnsi"/>
          <w:sz w:val="20"/>
          <w:szCs w:val="20"/>
          <w:lang w:val="fr-FR"/>
        </w:rPr>
        <w:t xml:space="preserve">sécurité, de manière organisée, et </w:t>
      </w:r>
      <w:r w:rsidR="003F4590" w:rsidRPr="00B03278">
        <w:rPr>
          <w:rFonts w:asciiTheme="minorHAnsi" w:hAnsiTheme="minorHAnsi" w:cstheme="minorHAnsi"/>
          <w:sz w:val="20"/>
          <w:szCs w:val="20"/>
          <w:lang w:val="fr-FR"/>
        </w:rPr>
        <w:t xml:space="preserve">permettant une </w:t>
      </w:r>
      <w:r w:rsidR="0648D951" w:rsidRPr="00B03278">
        <w:rPr>
          <w:rFonts w:asciiTheme="minorHAnsi" w:hAnsiTheme="minorHAnsi" w:cstheme="minorHAnsi"/>
          <w:sz w:val="20"/>
          <w:szCs w:val="20"/>
          <w:lang w:val="fr-FR"/>
        </w:rPr>
        <w:t>relocalis</w:t>
      </w:r>
      <w:r w:rsidR="003F4590" w:rsidRPr="00B03278">
        <w:rPr>
          <w:rFonts w:asciiTheme="minorHAnsi" w:hAnsiTheme="minorHAnsi" w:cstheme="minorHAnsi"/>
          <w:sz w:val="20"/>
          <w:szCs w:val="20"/>
          <w:lang w:val="fr-FR"/>
        </w:rPr>
        <w:t>ation</w:t>
      </w:r>
      <w:r w:rsidR="00137FDB" w:rsidRPr="00B03278">
        <w:rPr>
          <w:rFonts w:asciiTheme="minorHAnsi" w:hAnsiTheme="minorHAnsi" w:cstheme="minorHAnsi"/>
          <w:sz w:val="20"/>
          <w:szCs w:val="20"/>
          <w:lang w:val="fr-FR"/>
        </w:rPr>
        <w:t xml:space="preserve"> </w:t>
      </w:r>
      <w:r w:rsidR="0648D951" w:rsidRPr="00B03278">
        <w:rPr>
          <w:rFonts w:asciiTheme="minorHAnsi" w:hAnsiTheme="minorHAnsi" w:cstheme="minorHAnsi"/>
          <w:sz w:val="20"/>
          <w:szCs w:val="20"/>
          <w:lang w:val="fr-FR"/>
        </w:rPr>
        <w:t>sans créer des conflits d’usage</w:t>
      </w:r>
      <w:r w:rsidR="003F4590" w:rsidRPr="00B03278">
        <w:rPr>
          <w:rFonts w:asciiTheme="minorHAnsi" w:hAnsiTheme="minorHAnsi" w:cstheme="minorHAnsi"/>
          <w:sz w:val="20"/>
          <w:szCs w:val="20"/>
          <w:lang w:val="fr-FR"/>
        </w:rPr>
        <w:t xml:space="preserve"> </w:t>
      </w:r>
      <w:r w:rsidR="0648D951" w:rsidRPr="00B03278">
        <w:rPr>
          <w:rFonts w:asciiTheme="minorHAnsi" w:hAnsiTheme="minorHAnsi" w:cstheme="minorHAnsi"/>
          <w:sz w:val="20"/>
          <w:szCs w:val="20"/>
          <w:lang w:val="fr-FR"/>
        </w:rPr>
        <w:t>avec les communautés hôtes</w:t>
      </w:r>
      <w:r w:rsidR="015BB4F4" w:rsidRPr="00B03278">
        <w:rPr>
          <w:rFonts w:asciiTheme="minorHAnsi" w:hAnsiTheme="minorHAnsi" w:cstheme="minorHAnsi"/>
          <w:sz w:val="20"/>
          <w:szCs w:val="20"/>
          <w:lang w:val="fr-FR"/>
        </w:rPr>
        <w:t>, notamment autour de la ressource en eau</w:t>
      </w:r>
      <w:r w:rsidR="0648D951" w:rsidRPr="00B03278">
        <w:rPr>
          <w:rFonts w:asciiTheme="minorHAnsi" w:hAnsiTheme="minorHAnsi" w:cstheme="minorHAnsi"/>
          <w:sz w:val="20"/>
          <w:szCs w:val="20"/>
          <w:lang w:val="fr-FR"/>
        </w:rPr>
        <w:t xml:space="preserve">. </w:t>
      </w:r>
      <w:r w:rsidR="00DC1499" w:rsidRPr="00B03278">
        <w:rPr>
          <w:rFonts w:asciiTheme="minorHAnsi" w:hAnsiTheme="minorHAnsi" w:cstheme="minorHAnsi"/>
          <w:sz w:val="20"/>
          <w:szCs w:val="20"/>
          <w:lang w:val="fr-FR"/>
        </w:rPr>
        <w:t xml:space="preserve">La participation des </w:t>
      </w:r>
      <w:r w:rsidR="00175F2F" w:rsidRPr="00B03278">
        <w:rPr>
          <w:rFonts w:asciiTheme="minorHAnsi" w:hAnsiTheme="minorHAnsi" w:cstheme="minorHAnsi"/>
          <w:sz w:val="20"/>
          <w:szCs w:val="20"/>
          <w:lang w:val="fr-FR"/>
        </w:rPr>
        <w:t xml:space="preserve">populations affectées </w:t>
      </w:r>
      <w:r w:rsidR="00944D66" w:rsidRPr="00B03278">
        <w:rPr>
          <w:rFonts w:asciiTheme="minorHAnsi" w:hAnsiTheme="minorHAnsi" w:cstheme="minorHAnsi"/>
          <w:sz w:val="20"/>
          <w:szCs w:val="20"/>
          <w:lang w:val="fr-FR"/>
        </w:rPr>
        <w:t xml:space="preserve">aux </w:t>
      </w:r>
      <w:r w:rsidR="00175F2F" w:rsidRPr="00B03278">
        <w:rPr>
          <w:rFonts w:asciiTheme="minorHAnsi" w:hAnsiTheme="minorHAnsi" w:cstheme="minorHAnsi"/>
          <w:sz w:val="20"/>
          <w:szCs w:val="20"/>
          <w:lang w:val="fr-FR"/>
        </w:rPr>
        <w:t xml:space="preserve">processus de décision est ainsi essentielle pour garantir la pertinence et l’efficacité </w:t>
      </w:r>
      <w:r w:rsidR="0A7A724F" w:rsidRPr="00B03278">
        <w:rPr>
          <w:rFonts w:asciiTheme="minorHAnsi" w:hAnsiTheme="minorHAnsi" w:cstheme="minorHAnsi"/>
          <w:sz w:val="20"/>
          <w:szCs w:val="20"/>
          <w:lang w:val="fr-FR"/>
        </w:rPr>
        <w:t>des</w:t>
      </w:r>
      <w:r w:rsidR="00175F2F" w:rsidRPr="00B03278">
        <w:rPr>
          <w:rFonts w:asciiTheme="minorHAnsi" w:hAnsiTheme="minorHAnsi" w:cstheme="minorHAnsi"/>
          <w:sz w:val="20"/>
          <w:szCs w:val="20"/>
          <w:lang w:val="fr-FR"/>
        </w:rPr>
        <w:t xml:space="preserve"> </w:t>
      </w:r>
      <w:r w:rsidR="00944D66" w:rsidRPr="00B03278">
        <w:rPr>
          <w:rFonts w:asciiTheme="minorHAnsi" w:hAnsiTheme="minorHAnsi" w:cstheme="minorHAnsi"/>
          <w:sz w:val="20"/>
          <w:szCs w:val="20"/>
          <w:lang w:val="fr-FR"/>
        </w:rPr>
        <w:t xml:space="preserve">lois et </w:t>
      </w:r>
      <w:r w:rsidR="00175F2F" w:rsidRPr="00B03278">
        <w:rPr>
          <w:rFonts w:asciiTheme="minorHAnsi" w:hAnsiTheme="minorHAnsi" w:cstheme="minorHAnsi"/>
          <w:sz w:val="20"/>
          <w:szCs w:val="20"/>
          <w:lang w:val="fr-FR"/>
        </w:rPr>
        <w:t>politiques.</w:t>
      </w:r>
    </w:p>
    <w:p w14:paraId="34C15780" w14:textId="77777777" w:rsidR="00924F55" w:rsidRDefault="00924F55" w:rsidP="4E6EBB3F">
      <w:pPr>
        <w:jc w:val="both"/>
        <w:rPr>
          <w:rFonts w:asciiTheme="minorHAnsi" w:hAnsiTheme="minorHAnsi" w:cstheme="minorHAnsi"/>
          <w:sz w:val="20"/>
          <w:szCs w:val="20"/>
          <w:lang w:val="fr-FR"/>
        </w:rPr>
      </w:pPr>
    </w:p>
    <w:p w14:paraId="7846AA87" w14:textId="77777777" w:rsidR="00924F55" w:rsidRPr="00B03278" w:rsidRDefault="00924F55" w:rsidP="4E6EBB3F">
      <w:pPr>
        <w:jc w:val="both"/>
        <w:rPr>
          <w:rFonts w:asciiTheme="minorHAnsi" w:hAnsiTheme="minorHAnsi" w:cstheme="minorHAnsi"/>
          <w:sz w:val="20"/>
          <w:szCs w:val="20"/>
          <w:lang w:val="fr-FR"/>
        </w:rPr>
      </w:pPr>
    </w:p>
    <w:p w14:paraId="3D6B7BE0" w14:textId="0432BF2E" w:rsidR="6B8604F2" w:rsidRDefault="00F32708" w:rsidP="6A6E433E">
      <w:pPr>
        <w:pStyle w:val="Default"/>
        <w:shd w:val="clear" w:color="auto" w:fill="9CC2E5" w:themeFill="accent1" w:themeFillTint="99"/>
        <w:rPr>
          <w:b/>
          <w:bCs/>
          <w:sz w:val="22"/>
          <w:szCs w:val="22"/>
        </w:rPr>
      </w:pPr>
      <w:r w:rsidRPr="6A6E433E">
        <w:rPr>
          <w:b/>
          <w:bCs/>
          <w:sz w:val="22"/>
          <w:szCs w:val="22"/>
        </w:rPr>
        <w:lastRenderedPageBreak/>
        <w:t>Recommandations</w:t>
      </w:r>
    </w:p>
    <w:p w14:paraId="3F5DED9E" w14:textId="3003884D" w:rsidR="6B8604F2" w:rsidRDefault="6B8604F2" w:rsidP="1526BE8E">
      <w:pPr>
        <w:pStyle w:val="Default"/>
        <w:rPr>
          <w:sz w:val="20"/>
          <w:szCs w:val="20"/>
        </w:rPr>
      </w:pPr>
    </w:p>
    <w:p w14:paraId="6BA8A1E0" w14:textId="44EE5BA7" w:rsidR="6A6E433E" w:rsidRDefault="6A6E433E" w:rsidP="6A6E433E">
      <w:pPr>
        <w:pStyle w:val="Default"/>
        <w:rPr>
          <w:sz w:val="20"/>
          <w:szCs w:val="20"/>
        </w:rPr>
      </w:pPr>
    </w:p>
    <w:p w14:paraId="611A0BFC" w14:textId="0246214C" w:rsidR="62049FCF" w:rsidRPr="00F34C5F" w:rsidRDefault="6B752702" w:rsidP="4E6EBB3F">
      <w:pPr>
        <w:pStyle w:val="Sansinterligne"/>
        <w:numPr>
          <w:ilvl w:val="0"/>
          <w:numId w:val="1"/>
        </w:numPr>
        <w:jc w:val="both"/>
        <w:rPr>
          <w:rFonts w:eastAsiaTheme="minorEastAsia"/>
          <w:b/>
          <w:bCs/>
          <w:sz w:val="20"/>
          <w:szCs w:val="20"/>
        </w:rPr>
      </w:pPr>
      <w:r w:rsidRPr="00F34C5F">
        <w:rPr>
          <w:b/>
          <w:bCs/>
          <w:sz w:val="20"/>
          <w:szCs w:val="20"/>
        </w:rPr>
        <w:t>Prioriser l’adaptation a</w:t>
      </w:r>
      <w:r w:rsidR="005F3872" w:rsidRPr="00F34C5F">
        <w:rPr>
          <w:b/>
          <w:bCs/>
          <w:sz w:val="20"/>
          <w:szCs w:val="20"/>
        </w:rPr>
        <w:t>u changement climatique</w:t>
      </w:r>
      <w:r w:rsidRPr="00F34C5F">
        <w:rPr>
          <w:b/>
          <w:bCs/>
          <w:sz w:val="20"/>
          <w:szCs w:val="20"/>
        </w:rPr>
        <w:t xml:space="preserve"> et la réduction des risques </w:t>
      </w:r>
      <w:r w:rsidR="62560576" w:rsidRPr="00F34C5F">
        <w:rPr>
          <w:b/>
          <w:bCs/>
          <w:sz w:val="20"/>
          <w:szCs w:val="20"/>
        </w:rPr>
        <w:t>dans le domaine de l’eau</w:t>
      </w:r>
      <w:r w:rsidR="62560576" w:rsidRPr="00F34C5F">
        <w:rPr>
          <w:b/>
          <w:bCs/>
          <w:color w:val="FF0000"/>
          <w:sz w:val="20"/>
          <w:szCs w:val="20"/>
        </w:rPr>
        <w:t xml:space="preserve"> </w:t>
      </w:r>
    </w:p>
    <w:p w14:paraId="7366A7E7" w14:textId="7A4D4639" w:rsidR="62049FCF" w:rsidRPr="00F34C5F" w:rsidRDefault="62049FCF" w:rsidP="4D67EC9F">
      <w:pPr>
        <w:pStyle w:val="Sansinterligne"/>
        <w:jc w:val="both"/>
        <w:rPr>
          <w:sz w:val="20"/>
          <w:szCs w:val="20"/>
        </w:rPr>
      </w:pPr>
    </w:p>
    <w:p w14:paraId="236E24A9" w14:textId="036FAEBE" w:rsidR="62049FCF" w:rsidRPr="00F34C5F" w:rsidRDefault="005A1C7D" w:rsidP="4D67EC9F">
      <w:pPr>
        <w:pStyle w:val="Sansinterligne"/>
        <w:jc w:val="both"/>
        <w:rPr>
          <w:sz w:val="20"/>
          <w:szCs w:val="20"/>
        </w:rPr>
      </w:pPr>
      <w:r w:rsidRPr="00F34C5F">
        <w:rPr>
          <w:sz w:val="20"/>
          <w:szCs w:val="20"/>
        </w:rPr>
        <w:t>A</w:t>
      </w:r>
      <w:r w:rsidR="6B752702" w:rsidRPr="00F34C5F">
        <w:rPr>
          <w:sz w:val="20"/>
          <w:szCs w:val="20"/>
        </w:rPr>
        <w:t xml:space="preserve">cteur humanitaire de terrain, le SIF se mobilise pour répondre aux besoins des plus vulnérables, y compris les </w:t>
      </w:r>
      <w:r w:rsidR="00B61EAC">
        <w:rPr>
          <w:sz w:val="20"/>
          <w:szCs w:val="20"/>
        </w:rPr>
        <w:t>déplacé</w:t>
      </w:r>
      <w:r w:rsidR="6B752702" w:rsidRPr="00F34C5F">
        <w:rPr>
          <w:sz w:val="20"/>
          <w:szCs w:val="20"/>
        </w:rPr>
        <w:t xml:space="preserve">s </w:t>
      </w:r>
      <w:r w:rsidR="00B61EAC">
        <w:rPr>
          <w:sz w:val="20"/>
          <w:szCs w:val="20"/>
        </w:rPr>
        <w:t>internes</w:t>
      </w:r>
      <w:r w:rsidR="6B752702" w:rsidRPr="00F34C5F">
        <w:rPr>
          <w:sz w:val="20"/>
          <w:szCs w:val="20"/>
        </w:rPr>
        <w:t xml:space="preserve"> en raison</w:t>
      </w:r>
      <w:r w:rsidR="00B61EAC">
        <w:rPr>
          <w:sz w:val="20"/>
          <w:szCs w:val="20"/>
        </w:rPr>
        <w:t xml:space="preserve"> </w:t>
      </w:r>
      <w:r w:rsidR="6B752702" w:rsidRPr="00F34C5F">
        <w:rPr>
          <w:sz w:val="20"/>
          <w:szCs w:val="20"/>
        </w:rPr>
        <w:t>du changement climatique. Si ces actions sont nécessaires, elles ne sont pas suffisantes pour garantir l’accès aux droits fondamentaux, y compris à l’</w:t>
      </w:r>
      <w:r w:rsidR="002D569D" w:rsidRPr="00F34C5F">
        <w:rPr>
          <w:sz w:val="20"/>
          <w:szCs w:val="20"/>
        </w:rPr>
        <w:t>EHA</w:t>
      </w:r>
      <w:r w:rsidR="6B752702" w:rsidRPr="00F34C5F">
        <w:rPr>
          <w:sz w:val="20"/>
          <w:szCs w:val="20"/>
        </w:rPr>
        <w:t xml:space="preserve">, face à </w:t>
      </w:r>
      <w:r w:rsidR="002D569D" w:rsidRPr="00F34C5F">
        <w:rPr>
          <w:sz w:val="20"/>
          <w:szCs w:val="20"/>
        </w:rPr>
        <w:t xml:space="preserve">l’augmentation </w:t>
      </w:r>
      <w:r w:rsidR="6B752702" w:rsidRPr="00F34C5F">
        <w:rPr>
          <w:sz w:val="20"/>
          <w:szCs w:val="20"/>
        </w:rPr>
        <w:t xml:space="preserve">des </w:t>
      </w:r>
      <w:r w:rsidR="00EF497C">
        <w:rPr>
          <w:sz w:val="20"/>
          <w:szCs w:val="20"/>
        </w:rPr>
        <w:t>catastrophes naturelles</w:t>
      </w:r>
      <w:r w:rsidR="6B752702" w:rsidRPr="00F34C5F">
        <w:rPr>
          <w:sz w:val="20"/>
          <w:szCs w:val="20"/>
        </w:rPr>
        <w:t xml:space="preserve"> </w:t>
      </w:r>
      <w:r w:rsidR="002D569D" w:rsidRPr="00F34C5F">
        <w:rPr>
          <w:sz w:val="20"/>
          <w:szCs w:val="20"/>
        </w:rPr>
        <w:t>et la</w:t>
      </w:r>
      <w:r w:rsidR="6B752702" w:rsidRPr="00F34C5F">
        <w:rPr>
          <w:sz w:val="20"/>
          <w:szCs w:val="20"/>
        </w:rPr>
        <w:t xml:space="preserve"> complex</w:t>
      </w:r>
      <w:r w:rsidR="002D569D" w:rsidRPr="00F34C5F">
        <w:rPr>
          <w:sz w:val="20"/>
          <w:szCs w:val="20"/>
        </w:rPr>
        <w:t>ité des crises</w:t>
      </w:r>
      <w:r w:rsidR="6B752702" w:rsidRPr="00F34C5F">
        <w:rPr>
          <w:sz w:val="20"/>
          <w:szCs w:val="20"/>
        </w:rPr>
        <w:t xml:space="preserve">. </w:t>
      </w:r>
    </w:p>
    <w:p w14:paraId="1EE62451" w14:textId="2CAB1723" w:rsidR="62049FCF" w:rsidRPr="00F34C5F" w:rsidRDefault="62049FCF" w:rsidP="4D67EC9F">
      <w:pPr>
        <w:pStyle w:val="Sansinterligne"/>
        <w:jc w:val="both"/>
        <w:rPr>
          <w:sz w:val="20"/>
          <w:szCs w:val="20"/>
        </w:rPr>
      </w:pPr>
    </w:p>
    <w:p w14:paraId="7D594DCF" w14:textId="2557AE69" w:rsidR="22D4049E" w:rsidRPr="00F34C5F" w:rsidRDefault="22D4049E" w:rsidP="6E0EA648">
      <w:pPr>
        <w:pStyle w:val="Sansinterligne"/>
        <w:jc w:val="both"/>
        <w:rPr>
          <w:b/>
          <w:bCs/>
          <w:sz w:val="20"/>
          <w:szCs w:val="20"/>
        </w:rPr>
      </w:pPr>
      <w:r w:rsidRPr="00F34C5F">
        <w:rPr>
          <w:b/>
          <w:bCs/>
          <w:sz w:val="20"/>
          <w:szCs w:val="20"/>
        </w:rPr>
        <w:t xml:space="preserve">L'eau comme priorité des plans d’atténuation des risques et d’adaptation </w:t>
      </w:r>
    </w:p>
    <w:p w14:paraId="2D062C61" w14:textId="14A198F2" w:rsidR="007F1497" w:rsidRPr="00F34C5F" w:rsidRDefault="6B752702" w:rsidP="6A6E433E">
      <w:pPr>
        <w:pStyle w:val="Sansinterligne"/>
        <w:jc w:val="both"/>
        <w:rPr>
          <w:sz w:val="20"/>
          <w:szCs w:val="20"/>
        </w:rPr>
      </w:pPr>
      <w:r w:rsidRPr="00F34C5F">
        <w:rPr>
          <w:sz w:val="20"/>
          <w:szCs w:val="20"/>
        </w:rPr>
        <w:t>En tant que premier responsable de la protection des</w:t>
      </w:r>
      <w:r w:rsidR="00B61EAC">
        <w:rPr>
          <w:sz w:val="20"/>
          <w:szCs w:val="20"/>
        </w:rPr>
        <w:t xml:space="preserve"> déplacés internes</w:t>
      </w:r>
      <w:r w:rsidRPr="00F34C5F">
        <w:rPr>
          <w:sz w:val="20"/>
          <w:szCs w:val="20"/>
        </w:rPr>
        <w:t>, les Etats doivent renforcer les mesures qui permettent de prévoir et se préparer aux risques</w:t>
      </w:r>
      <w:r w:rsidR="002D569D" w:rsidRPr="00F34C5F">
        <w:rPr>
          <w:sz w:val="20"/>
          <w:szCs w:val="20"/>
        </w:rPr>
        <w:t xml:space="preserve"> pour </w:t>
      </w:r>
      <w:r w:rsidRPr="00F34C5F">
        <w:rPr>
          <w:sz w:val="20"/>
          <w:szCs w:val="20"/>
        </w:rPr>
        <w:t xml:space="preserve">anticiper les déplacements. Les initiatives d’atténuation durable des risques et de renforcement des capacités de résilience des populations doivent être soutenues en priorité. </w:t>
      </w:r>
    </w:p>
    <w:p w14:paraId="7DD94D76" w14:textId="5CC63623" w:rsidR="62049FCF" w:rsidRPr="00F34C5F" w:rsidRDefault="009A1BD8" w:rsidP="6A6E433E">
      <w:pPr>
        <w:pStyle w:val="Sansinterligne"/>
        <w:jc w:val="both"/>
        <w:rPr>
          <w:sz w:val="20"/>
          <w:szCs w:val="20"/>
        </w:rPr>
      </w:pPr>
      <w:r w:rsidRPr="00F34C5F">
        <w:rPr>
          <w:sz w:val="20"/>
          <w:szCs w:val="20"/>
        </w:rPr>
        <w:t>L</w:t>
      </w:r>
      <w:r w:rsidR="006D7696" w:rsidRPr="00F34C5F">
        <w:rPr>
          <w:sz w:val="20"/>
          <w:szCs w:val="20"/>
        </w:rPr>
        <w:t>’</w:t>
      </w:r>
      <w:r w:rsidRPr="00F34C5F">
        <w:rPr>
          <w:sz w:val="20"/>
          <w:szCs w:val="20"/>
        </w:rPr>
        <w:t xml:space="preserve">eau doit </w:t>
      </w:r>
      <w:r w:rsidR="5B425AD2" w:rsidRPr="00F34C5F">
        <w:rPr>
          <w:sz w:val="20"/>
          <w:szCs w:val="20"/>
        </w:rPr>
        <w:t xml:space="preserve">être un secteur prioritaire </w:t>
      </w:r>
      <w:r w:rsidR="009611BE">
        <w:rPr>
          <w:sz w:val="20"/>
          <w:szCs w:val="20"/>
        </w:rPr>
        <w:t>d</w:t>
      </w:r>
      <w:r w:rsidR="5B425AD2" w:rsidRPr="00F34C5F">
        <w:rPr>
          <w:sz w:val="20"/>
          <w:szCs w:val="20"/>
        </w:rPr>
        <w:t xml:space="preserve">es plans d’action </w:t>
      </w:r>
      <w:r w:rsidR="2165581C" w:rsidRPr="00F34C5F">
        <w:rPr>
          <w:sz w:val="20"/>
          <w:szCs w:val="20"/>
        </w:rPr>
        <w:t>d’</w:t>
      </w:r>
      <w:r w:rsidR="0357229E" w:rsidRPr="00F34C5F">
        <w:rPr>
          <w:sz w:val="20"/>
          <w:szCs w:val="20"/>
        </w:rPr>
        <w:t>a</w:t>
      </w:r>
      <w:r w:rsidR="2165581C" w:rsidRPr="00F34C5F">
        <w:rPr>
          <w:sz w:val="20"/>
          <w:szCs w:val="20"/>
        </w:rPr>
        <w:t>ttén</w:t>
      </w:r>
      <w:r w:rsidR="259ED464" w:rsidRPr="00F34C5F">
        <w:rPr>
          <w:sz w:val="20"/>
          <w:szCs w:val="20"/>
        </w:rPr>
        <w:t xml:space="preserve">uation et </w:t>
      </w:r>
      <w:r w:rsidR="5B425AD2" w:rsidRPr="00F34C5F">
        <w:rPr>
          <w:sz w:val="20"/>
          <w:szCs w:val="20"/>
        </w:rPr>
        <w:t>d’</w:t>
      </w:r>
      <w:r w:rsidR="006D7696" w:rsidRPr="00F34C5F">
        <w:rPr>
          <w:sz w:val="20"/>
          <w:szCs w:val="20"/>
        </w:rPr>
        <w:t xml:space="preserve">adaptation, </w:t>
      </w:r>
      <w:r w:rsidRPr="00F34C5F">
        <w:rPr>
          <w:sz w:val="20"/>
          <w:szCs w:val="20"/>
        </w:rPr>
        <w:t>en tant que secteur à part entière</w:t>
      </w:r>
      <w:r w:rsidR="005F3872" w:rsidRPr="00F34C5F">
        <w:rPr>
          <w:sz w:val="20"/>
          <w:szCs w:val="20"/>
        </w:rPr>
        <w:t xml:space="preserve"> </w:t>
      </w:r>
      <w:r w:rsidR="005F3872" w:rsidRPr="00F34C5F">
        <w:rPr>
          <w:rFonts w:ascii="Calibri" w:eastAsia="Calibri" w:hAnsi="Calibri" w:cs="Calibri"/>
          <w:sz w:val="20"/>
          <w:szCs w:val="20"/>
        </w:rPr>
        <w:t>(sensibilisation des usagers, dimensionnement adapté des ouvrages, réduction des fuites, collecte des eaux pluviales, recyclage des eaux usées, etc.)</w:t>
      </w:r>
      <w:r w:rsidR="005F3872" w:rsidRPr="00F34C5F">
        <w:rPr>
          <w:sz w:val="20"/>
          <w:szCs w:val="20"/>
        </w:rPr>
        <w:t>.</w:t>
      </w:r>
      <w:r w:rsidRPr="00F34C5F">
        <w:rPr>
          <w:sz w:val="20"/>
          <w:szCs w:val="20"/>
        </w:rPr>
        <w:t xml:space="preserve"> </w:t>
      </w:r>
      <w:r w:rsidR="005F3872" w:rsidRPr="00F34C5F">
        <w:rPr>
          <w:sz w:val="20"/>
          <w:szCs w:val="20"/>
        </w:rPr>
        <w:t>L</w:t>
      </w:r>
      <w:r w:rsidRPr="00F34C5F">
        <w:rPr>
          <w:sz w:val="20"/>
          <w:szCs w:val="20"/>
        </w:rPr>
        <w:t xml:space="preserve">es autres </w:t>
      </w:r>
      <w:r w:rsidR="00944D66" w:rsidRPr="00F34C5F">
        <w:rPr>
          <w:sz w:val="20"/>
          <w:szCs w:val="20"/>
        </w:rPr>
        <w:t>domaines</w:t>
      </w:r>
      <w:r w:rsidR="005F3872" w:rsidRPr="00F34C5F">
        <w:rPr>
          <w:sz w:val="20"/>
          <w:szCs w:val="20"/>
        </w:rPr>
        <w:t xml:space="preserve"> doivent </w:t>
      </w:r>
      <w:r w:rsidR="00ED5C20" w:rsidRPr="00F34C5F">
        <w:rPr>
          <w:sz w:val="20"/>
          <w:szCs w:val="20"/>
        </w:rPr>
        <w:t xml:space="preserve"> également </w:t>
      </w:r>
      <w:r w:rsidR="005F3872" w:rsidRPr="00F34C5F">
        <w:rPr>
          <w:sz w:val="20"/>
          <w:szCs w:val="20"/>
        </w:rPr>
        <w:t xml:space="preserve">rationnaliser </w:t>
      </w:r>
      <w:r w:rsidR="007F1497" w:rsidRPr="00F34C5F">
        <w:rPr>
          <w:sz w:val="20"/>
          <w:szCs w:val="20"/>
        </w:rPr>
        <w:t>la</w:t>
      </w:r>
      <w:r w:rsidR="005F3872" w:rsidRPr="00F34C5F">
        <w:rPr>
          <w:sz w:val="20"/>
          <w:szCs w:val="20"/>
        </w:rPr>
        <w:t xml:space="preserve"> ressource en eau </w:t>
      </w:r>
      <w:r w:rsidR="006D7696" w:rsidRPr="00F34C5F">
        <w:rPr>
          <w:sz w:val="20"/>
          <w:szCs w:val="20"/>
        </w:rPr>
        <w:t>(agriculture</w:t>
      </w:r>
      <w:r w:rsidRPr="00F34C5F">
        <w:rPr>
          <w:sz w:val="20"/>
          <w:szCs w:val="20"/>
        </w:rPr>
        <w:t xml:space="preserve">, </w:t>
      </w:r>
      <w:r w:rsidR="006D7696" w:rsidRPr="00F34C5F">
        <w:rPr>
          <w:sz w:val="20"/>
          <w:szCs w:val="20"/>
        </w:rPr>
        <w:t>éne</w:t>
      </w:r>
      <w:r w:rsidRPr="00F34C5F">
        <w:rPr>
          <w:sz w:val="20"/>
          <w:szCs w:val="20"/>
        </w:rPr>
        <w:t xml:space="preserve">rgie, </w:t>
      </w:r>
      <w:r w:rsidR="006D7696" w:rsidRPr="00F34C5F">
        <w:rPr>
          <w:sz w:val="20"/>
          <w:szCs w:val="20"/>
        </w:rPr>
        <w:t>industrie</w:t>
      </w:r>
      <w:r w:rsidR="00ED5C20" w:rsidRPr="00F34C5F">
        <w:rPr>
          <w:sz w:val="20"/>
          <w:szCs w:val="20"/>
        </w:rPr>
        <w:t>, etc.</w:t>
      </w:r>
      <w:r w:rsidR="006D7696" w:rsidRPr="00F34C5F">
        <w:rPr>
          <w:sz w:val="20"/>
          <w:szCs w:val="20"/>
        </w:rPr>
        <w:t>)</w:t>
      </w:r>
      <w:r w:rsidR="005F3872" w:rsidRPr="00F34C5F">
        <w:rPr>
          <w:sz w:val="20"/>
          <w:szCs w:val="20"/>
        </w:rPr>
        <w:t>.</w:t>
      </w:r>
      <w:r w:rsidR="00C8394C">
        <w:rPr>
          <w:sz w:val="20"/>
          <w:szCs w:val="20"/>
        </w:rPr>
        <w:t xml:space="preserve"> </w:t>
      </w:r>
      <w:r w:rsidR="00E36993">
        <w:rPr>
          <w:sz w:val="20"/>
          <w:szCs w:val="20"/>
        </w:rPr>
        <w:t>Il faut donc privilégier une approche globale telle que la Gestion Intégrée des Ressources en Eau (GIRE).</w:t>
      </w:r>
    </w:p>
    <w:p w14:paraId="623C27A4" w14:textId="4D920A3D" w:rsidR="62049FCF" w:rsidRPr="00F34C5F" w:rsidRDefault="009E793A" w:rsidP="4D67EC9F">
      <w:pPr>
        <w:pStyle w:val="Sansinterligne"/>
        <w:jc w:val="both"/>
        <w:rPr>
          <w:sz w:val="20"/>
          <w:szCs w:val="20"/>
        </w:rPr>
      </w:pPr>
      <w:r w:rsidRPr="00F34C5F">
        <w:rPr>
          <w:sz w:val="20"/>
          <w:szCs w:val="20"/>
        </w:rPr>
        <w:t>Si</w:t>
      </w:r>
      <w:r w:rsidR="00FB4FF4" w:rsidRPr="00F34C5F">
        <w:rPr>
          <w:sz w:val="20"/>
          <w:szCs w:val="20"/>
        </w:rPr>
        <w:t xml:space="preserve"> </w:t>
      </w:r>
      <w:r w:rsidR="02171A97" w:rsidRPr="00F34C5F">
        <w:rPr>
          <w:sz w:val="20"/>
          <w:szCs w:val="20"/>
        </w:rPr>
        <w:t>l</w:t>
      </w:r>
      <w:r w:rsidR="4E6EBB3F" w:rsidRPr="00CB5318">
        <w:rPr>
          <w:sz w:val="20"/>
          <w:szCs w:val="20"/>
        </w:rPr>
        <w:t>’</w:t>
      </w:r>
      <w:r w:rsidR="4E6EBB3F" w:rsidRPr="00F34C5F">
        <w:rPr>
          <w:rFonts w:ascii="Calibri" w:eastAsia="Calibri" w:hAnsi="Calibri" w:cs="Calibri"/>
          <w:sz w:val="20"/>
          <w:szCs w:val="20"/>
        </w:rPr>
        <w:t xml:space="preserve">eau est </w:t>
      </w:r>
      <w:r w:rsidRPr="00F34C5F">
        <w:rPr>
          <w:rFonts w:ascii="Calibri" w:eastAsia="Calibri" w:hAnsi="Calibri" w:cs="Calibri"/>
          <w:sz w:val="20"/>
          <w:szCs w:val="20"/>
        </w:rPr>
        <w:t>identif</w:t>
      </w:r>
      <w:r w:rsidR="00ED5C20" w:rsidRPr="00F34C5F">
        <w:rPr>
          <w:rFonts w:ascii="Calibri" w:eastAsia="Calibri" w:hAnsi="Calibri" w:cs="Calibri"/>
          <w:sz w:val="20"/>
          <w:szCs w:val="20"/>
        </w:rPr>
        <w:t>i</w:t>
      </w:r>
      <w:r w:rsidRPr="00F34C5F">
        <w:rPr>
          <w:rFonts w:ascii="Calibri" w:eastAsia="Calibri" w:hAnsi="Calibri" w:cs="Calibri"/>
          <w:sz w:val="20"/>
          <w:szCs w:val="20"/>
        </w:rPr>
        <w:t>ée comme la</w:t>
      </w:r>
      <w:r w:rsidR="4E6EBB3F" w:rsidRPr="00F34C5F">
        <w:rPr>
          <w:rFonts w:ascii="Calibri" w:eastAsia="Calibri" w:hAnsi="Calibri" w:cs="Calibri"/>
          <w:sz w:val="20"/>
          <w:szCs w:val="20"/>
        </w:rPr>
        <w:t xml:space="preserve"> priorité de 93% des</w:t>
      </w:r>
      <w:r w:rsidR="00ED5C20" w:rsidRPr="00F34C5F">
        <w:rPr>
          <w:rFonts w:ascii="Calibri" w:eastAsia="Calibri" w:hAnsi="Calibri" w:cs="Calibri"/>
          <w:sz w:val="20"/>
          <w:szCs w:val="20"/>
        </w:rPr>
        <w:t xml:space="preserve"> </w:t>
      </w:r>
      <w:r w:rsidR="005A1C7D" w:rsidRPr="00F34C5F">
        <w:rPr>
          <w:rFonts w:ascii="Calibri" w:eastAsia="Calibri" w:hAnsi="Calibri" w:cs="Calibri"/>
          <w:sz w:val="20"/>
          <w:szCs w:val="20"/>
        </w:rPr>
        <w:t>C</w:t>
      </w:r>
      <w:r w:rsidR="00ED5C20" w:rsidRPr="00F34C5F">
        <w:rPr>
          <w:rFonts w:ascii="Calibri" w:eastAsia="Calibri" w:hAnsi="Calibri" w:cs="Calibri"/>
          <w:sz w:val="20"/>
          <w:szCs w:val="20"/>
        </w:rPr>
        <w:t xml:space="preserve">ontributions </w:t>
      </w:r>
      <w:r w:rsidR="005A1C7D" w:rsidRPr="00F34C5F">
        <w:rPr>
          <w:rFonts w:ascii="Calibri" w:eastAsia="Calibri" w:hAnsi="Calibri" w:cs="Calibri"/>
          <w:sz w:val="20"/>
          <w:szCs w:val="20"/>
        </w:rPr>
        <w:t>N</w:t>
      </w:r>
      <w:r w:rsidR="00ED5C20" w:rsidRPr="00F34C5F">
        <w:rPr>
          <w:rFonts w:ascii="Calibri" w:eastAsia="Calibri" w:hAnsi="Calibri" w:cs="Calibri"/>
          <w:sz w:val="20"/>
          <w:szCs w:val="20"/>
        </w:rPr>
        <w:t>ationales des</w:t>
      </w:r>
      <w:r w:rsidR="4E6EBB3F" w:rsidRPr="00F34C5F">
        <w:rPr>
          <w:rFonts w:ascii="Calibri" w:eastAsia="Calibri" w:hAnsi="Calibri" w:cs="Calibri"/>
          <w:sz w:val="20"/>
          <w:szCs w:val="20"/>
        </w:rPr>
        <w:t xml:space="preserve"> pays ayant un volet Adaptation</w:t>
      </w:r>
      <w:r w:rsidR="007F1497" w:rsidRPr="00F34C5F">
        <w:rPr>
          <w:rStyle w:val="Appelnotedebasdep"/>
          <w:rFonts w:ascii="Calibri" w:eastAsia="Calibri" w:hAnsi="Calibri" w:cs="Calibri"/>
          <w:sz w:val="20"/>
          <w:szCs w:val="20"/>
        </w:rPr>
        <w:footnoteReference w:id="2"/>
      </w:r>
      <w:r w:rsidRPr="00F34C5F">
        <w:rPr>
          <w:sz w:val="20"/>
          <w:szCs w:val="20"/>
        </w:rPr>
        <w:t xml:space="preserve">, les plans d’action doivent davantage le concrétiser sur le terrain. </w:t>
      </w:r>
    </w:p>
    <w:p w14:paraId="4F62973A" w14:textId="3AEB93EE" w:rsidR="62049FCF" w:rsidRPr="00F34C5F" w:rsidRDefault="62049FCF" w:rsidP="4D67EC9F">
      <w:pPr>
        <w:pStyle w:val="Sansinterligne"/>
        <w:jc w:val="both"/>
        <w:rPr>
          <w:sz w:val="20"/>
          <w:szCs w:val="20"/>
        </w:rPr>
      </w:pPr>
    </w:p>
    <w:p w14:paraId="105F5021" w14:textId="36A3B942" w:rsidR="62049FCF" w:rsidRPr="00F34C5F" w:rsidRDefault="00944D66" w:rsidP="6E0EA648">
      <w:pPr>
        <w:pStyle w:val="Sansinterligne"/>
        <w:jc w:val="both"/>
        <w:rPr>
          <w:b/>
          <w:bCs/>
          <w:sz w:val="20"/>
          <w:szCs w:val="20"/>
        </w:rPr>
      </w:pPr>
      <w:r w:rsidRPr="00F34C5F">
        <w:rPr>
          <w:b/>
          <w:bCs/>
          <w:sz w:val="20"/>
          <w:szCs w:val="20"/>
        </w:rPr>
        <w:t>P</w:t>
      </w:r>
      <w:r w:rsidR="159C2D52" w:rsidRPr="00F34C5F">
        <w:rPr>
          <w:b/>
          <w:bCs/>
          <w:sz w:val="20"/>
          <w:szCs w:val="20"/>
        </w:rPr>
        <w:t xml:space="preserve">articipation des populations </w:t>
      </w:r>
      <w:r w:rsidRPr="00F34C5F">
        <w:rPr>
          <w:b/>
          <w:bCs/>
          <w:sz w:val="20"/>
          <w:szCs w:val="20"/>
        </w:rPr>
        <w:t>aux mécanismes de décision</w:t>
      </w:r>
    </w:p>
    <w:p w14:paraId="7F802C71" w14:textId="75DACA9C" w:rsidR="62049FCF" w:rsidRPr="00F34C5F" w:rsidRDefault="6B752702" w:rsidP="4D67EC9F">
      <w:pPr>
        <w:pStyle w:val="Default"/>
        <w:jc w:val="both"/>
        <w:rPr>
          <w:sz w:val="20"/>
          <w:szCs w:val="20"/>
        </w:rPr>
      </w:pPr>
      <w:r w:rsidRPr="00F34C5F">
        <w:rPr>
          <w:sz w:val="20"/>
          <w:szCs w:val="20"/>
        </w:rPr>
        <w:t>L'adaptation au changement climatique et la réduction des risques doivent être mieux intégr</w:t>
      </w:r>
      <w:r w:rsidR="6AEC9EFE" w:rsidRPr="00F34C5F">
        <w:rPr>
          <w:sz w:val="20"/>
          <w:szCs w:val="20"/>
        </w:rPr>
        <w:t>ées</w:t>
      </w:r>
      <w:r w:rsidRPr="00F34C5F">
        <w:rPr>
          <w:sz w:val="20"/>
          <w:szCs w:val="20"/>
        </w:rPr>
        <w:t xml:space="preserve"> dans les lois et politiques pertinentes, tout en garantissant la participation des populations aux mécanismes de décision. </w:t>
      </w:r>
      <w:r w:rsidR="012CF518" w:rsidRPr="00F34C5F">
        <w:rPr>
          <w:sz w:val="20"/>
          <w:szCs w:val="20"/>
        </w:rPr>
        <w:t xml:space="preserve">La participation permet l’appropriation sur le long terme </w:t>
      </w:r>
      <w:r w:rsidR="00BE17A8" w:rsidRPr="00F34C5F">
        <w:rPr>
          <w:sz w:val="20"/>
          <w:szCs w:val="20"/>
        </w:rPr>
        <w:t>de</w:t>
      </w:r>
      <w:r w:rsidR="012CF518" w:rsidRPr="00F34C5F">
        <w:rPr>
          <w:sz w:val="20"/>
          <w:szCs w:val="20"/>
        </w:rPr>
        <w:t xml:space="preserve"> la gestion des services de base, facilitant l’adaptation, </w:t>
      </w:r>
      <w:r w:rsidR="00BE17A8" w:rsidRPr="00F34C5F">
        <w:rPr>
          <w:sz w:val="20"/>
          <w:szCs w:val="20"/>
        </w:rPr>
        <w:t xml:space="preserve">la </w:t>
      </w:r>
      <w:r w:rsidR="012CF518" w:rsidRPr="00F34C5F">
        <w:rPr>
          <w:sz w:val="20"/>
          <w:szCs w:val="20"/>
        </w:rPr>
        <w:t xml:space="preserve">résilience en cas de crise, et </w:t>
      </w:r>
      <w:r w:rsidR="00BE17A8" w:rsidRPr="00F34C5F">
        <w:rPr>
          <w:sz w:val="20"/>
          <w:szCs w:val="20"/>
        </w:rPr>
        <w:t>l’anticipation des</w:t>
      </w:r>
      <w:r w:rsidR="00ED5C20" w:rsidRPr="00F34C5F">
        <w:rPr>
          <w:sz w:val="20"/>
          <w:szCs w:val="20"/>
        </w:rPr>
        <w:t xml:space="preserve"> </w:t>
      </w:r>
      <w:r w:rsidR="012CF518" w:rsidRPr="00F34C5F">
        <w:rPr>
          <w:sz w:val="20"/>
          <w:szCs w:val="20"/>
        </w:rPr>
        <w:t>déplacement</w:t>
      </w:r>
      <w:r w:rsidR="00ED5C20" w:rsidRPr="00F34C5F">
        <w:rPr>
          <w:sz w:val="20"/>
          <w:szCs w:val="20"/>
        </w:rPr>
        <w:t>s</w:t>
      </w:r>
      <w:r w:rsidR="012CF518" w:rsidRPr="00F34C5F">
        <w:rPr>
          <w:sz w:val="20"/>
          <w:szCs w:val="20"/>
        </w:rPr>
        <w:t>. Il est primordial de leur garanti</w:t>
      </w:r>
      <w:r w:rsidR="002F2A81" w:rsidRPr="00F34C5F">
        <w:rPr>
          <w:sz w:val="20"/>
          <w:szCs w:val="20"/>
        </w:rPr>
        <w:t>r</w:t>
      </w:r>
      <w:r w:rsidR="012CF518" w:rsidRPr="00F34C5F">
        <w:rPr>
          <w:sz w:val="20"/>
          <w:szCs w:val="20"/>
        </w:rPr>
        <w:t xml:space="preserve"> un accès à l’information</w:t>
      </w:r>
      <w:r w:rsidR="00FA2503">
        <w:rPr>
          <w:sz w:val="20"/>
          <w:szCs w:val="20"/>
        </w:rPr>
        <w:t xml:space="preserve">, </w:t>
      </w:r>
      <w:r w:rsidR="012CF518" w:rsidRPr="00F34C5F">
        <w:rPr>
          <w:sz w:val="20"/>
          <w:szCs w:val="20"/>
        </w:rPr>
        <w:t>à des mécanismes participatifs</w:t>
      </w:r>
      <w:r w:rsidR="003B5DF8" w:rsidRPr="00F34C5F">
        <w:rPr>
          <w:sz w:val="20"/>
          <w:szCs w:val="20"/>
        </w:rPr>
        <w:t xml:space="preserve"> effectifs</w:t>
      </w:r>
      <w:r w:rsidR="00D1431E" w:rsidRPr="00F34C5F">
        <w:rPr>
          <w:sz w:val="20"/>
          <w:szCs w:val="20"/>
        </w:rPr>
        <w:t xml:space="preserve"> et adaptés</w:t>
      </w:r>
      <w:r w:rsidR="00BE17A8" w:rsidRPr="00F34C5F">
        <w:rPr>
          <w:sz w:val="20"/>
          <w:szCs w:val="20"/>
        </w:rPr>
        <w:t xml:space="preserve">, </w:t>
      </w:r>
      <w:r w:rsidR="00CB5318" w:rsidRPr="00CB5318">
        <w:rPr>
          <w:sz w:val="20"/>
          <w:szCs w:val="20"/>
        </w:rPr>
        <w:t xml:space="preserve">et leur assurer la redevabilité des actions entreprises. </w:t>
      </w:r>
      <w:r w:rsidR="009E793A" w:rsidRPr="00CB5318">
        <w:rPr>
          <w:sz w:val="20"/>
          <w:szCs w:val="20"/>
        </w:rPr>
        <w:t xml:space="preserve"> L</w:t>
      </w:r>
      <w:r w:rsidR="012CF518" w:rsidRPr="00F34C5F">
        <w:rPr>
          <w:sz w:val="20"/>
          <w:szCs w:val="20"/>
        </w:rPr>
        <w:t xml:space="preserve">es droits </w:t>
      </w:r>
      <w:r w:rsidR="00F34C5F" w:rsidRPr="00F34C5F">
        <w:rPr>
          <w:sz w:val="20"/>
          <w:szCs w:val="20"/>
        </w:rPr>
        <w:t>humains</w:t>
      </w:r>
      <w:r w:rsidR="012CF518" w:rsidRPr="00F34C5F">
        <w:rPr>
          <w:sz w:val="20"/>
          <w:szCs w:val="20"/>
        </w:rPr>
        <w:t xml:space="preserve"> à l’</w:t>
      </w:r>
      <w:r w:rsidR="00ED5C20" w:rsidRPr="00F34C5F">
        <w:rPr>
          <w:sz w:val="20"/>
          <w:szCs w:val="20"/>
        </w:rPr>
        <w:t>EHA</w:t>
      </w:r>
      <w:r w:rsidR="012CF518" w:rsidRPr="00F34C5F">
        <w:rPr>
          <w:sz w:val="20"/>
          <w:szCs w:val="20"/>
        </w:rPr>
        <w:t xml:space="preserve"> supposent d’avoir pleinement accès, en toute égalité, aux informations concernant </w:t>
      </w:r>
      <w:r w:rsidR="00600A88">
        <w:rPr>
          <w:sz w:val="20"/>
          <w:szCs w:val="20"/>
        </w:rPr>
        <w:t>l’EHA</w:t>
      </w:r>
      <w:r w:rsidR="009E6789">
        <w:rPr>
          <w:sz w:val="20"/>
          <w:szCs w:val="20"/>
        </w:rPr>
        <w:t>,</w:t>
      </w:r>
      <w:r w:rsidR="00436E73">
        <w:rPr>
          <w:sz w:val="20"/>
          <w:szCs w:val="20"/>
        </w:rPr>
        <w:t xml:space="preserve"> </w:t>
      </w:r>
      <w:r w:rsidR="002D050C">
        <w:rPr>
          <w:sz w:val="20"/>
          <w:szCs w:val="20"/>
        </w:rPr>
        <w:t xml:space="preserve">ainsi que </w:t>
      </w:r>
      <w:r w:rsidR="012CF518" w:rsidRPr="00F34C5F">
        <w:rPr>
          <w:sz w:val="20"/>
          <w:szCs w:val="20"/>
        </w:rPr>
        <w:t>l’environnement</w:t>
      </w:r>
      <w:r w:rsidR="003B5DF8" w:rsidRPr="00F34C5F">
        <w:rPr>
          <w:rStyle w:val="Appelnotedebasdep"/>
          <w:sz w:val="20"/>
          <w:szCs w:val="20"/>
        </w:rPr>
        <w:footnoteReference w:id="3"/>
      </w:r>
      <w:r w:rsidR="003B5DF8" w:rsidRPr="00F34C5F">
        <w:rPr>
          <w:sz w:val="20"/>
          <w:szCs w:val="20"/>
        </w:rPr>
        <w:t xml:space="preserve">. </w:t>
      </w:r>
    </w:p>
    <w:p w14:paraId="062E13F5" w14:textId="2BE09F38" w:rsidR="62049FCF" w:rsidRPr="00F34C5F" w:rsidRDefault="62049FCF" w:rsidP="4D67EC9F">
      <w:pPr>
        <w:pStyle w:val="Sansinterligne"/>
        <w:jc w:val="both"/>
        <w:rPr>
          <w:sz w:val="20"/>
          <w:szCs w:val="20"/>
        </w:rPr>
      </w:pPr>
    </w:p>
    <w:p w14:paraId="7DF29786" w14:textId="7AFF04E2" w:rsidR="62049FCF" w:rsidRPr="00F34C5F" w:rsidRDefault="003B5DF8" w:rsidP="4D67EC9F">
      <w:pPr>
        <w:pStyle w:val="Sansinterligne"/>
        <w:jc w:val="both"/>
        <w:rPr>
          <w:b/>
          <w:bCs/>
          <w:sz w:val="20"/>
          <w:szCs w:val="20"/>
        </w:rPr>
      </w:pPr>
      <w:r w:rsidRPr="00F34C5F">
        <w:rPr>
          <w:b/>
          <w:bCs/>
          <w:sz w:val="20"/>
          <w:szCs w:val="20"/>
        </w:rPr>
        <w:t xml:space="preserve">Renforcer les </w:t>
      </w:r>
      <w:r w:rsidR="5875BDFA" w:rsidRPr="00F34C5F">
        <w:rPr>
          <w:b/>
          <w:bCs/>
          <w:sz w:val="20"/>
          <w:szCs w:val="20"/>
        </w:rPr>
        <w:t>connaissance</w:t>
      </w:r>
      <w:r w:rsidRPr="00F34C5F">
        <w:rPr>
          <w:b/>
          <w:bCs/>
          <w:sz w:val="20"/>
          <w:szCs w:val="20"/>
        </w:rPr>
        <w:t xml:space="preserve">s </w:t>
      </w:r>
    </w:p>
    <w:p w14:paraId="247E5BAE" w14:textId="54DB4620" w:rsidR="006F1186" w:rsidRPr="00F34C5F" w:rsidRDefault="6B752702" w:rsidP="006F1186">
      <w:pPr>
        <w:pStyle w:val="Sansinterligne"/>
        <w:jc w:val="both"/>
        <w:rPr>
          <w:sz w:val="20"/>
          <w:szCs w:val="20"/>
        </w:rPr>
      </w:pPr>
      <w:r w:rsidRPr="00F34C5F">
        <w:rPr>
          <w:sz w:val="20"/>
          <w:szCs w:val="20"/>
        </w:rPr>
        <w:t xml:space="preserve">Les autorités nationales doivent investir </w:t>
      </w:r>
      <w:r w:rsidR="00087308" w:rsidRPr="00F34C5F">
        <w:rPr>
          <w:sz w:val="20"/>
          <w:szCs w:val="20"/>
        </w:rPr>
        <w:t>dans</w:t>
      </w:r>
      <w:r w:rsidRPr="00F34C5F">
        <w:rPr>
          <w:sz w:val="20"/>
          <w:szCs w:val="20"/>
        </w:rPr>
        <w:t xml:space="preserve"> les travaux de prévision </w:t>
      </w:r>
      <w:r w:rsidR="002727A0">
        <w:rPr>
          <w:sz w:val="20"/>
          <w:szCs w:val="20"/>
        </w:rPr>
        <w:t>permettant</w:t>
      </w:r>
      <w:r w:rsidRPr="00F34C5F">
        <w:rPr>
          <w:sz w:val="20"/>
          <w:szCs w:val="20"/>
        </w:rPr>
        <w:t xml:space="preserve"> de mieux comprendre les risques. La couverture et l’efficacité des services climatologiques et des systèmes d’alerte précoce doivent être renforcées</w:t>
      </w:r>
      <w:r w:rsidR="00CB5318">
        <w:rPr>
          <w:sz w:val="20"/>
          <w:szCs w:val="20"/>
        </w:rPr>
        <w:t xml:space="preserve"> et</w:t>
      </w:r>
      <w:r w:rsidRPr="00F34C5F">
        <w:rPr>
          <w:sz w:val="20"/>
          <w:szCs w:val="20"/>
        </w:rPr>
        <w:t xml:space="preserve"> la valorisation des savoirs des acteurs </w:t>
      </w:r>
      <w:r w:rsidR="0097489E" w:rsidRPr="00F34C5F">
        <w:rPr>
          <w:sz w:val="20"/>
          <w:szCs w:val="20"/>
        </w:rPr>
        <w:t>locaux garantis</w:t>
      </w:r>
      <w:r w:rsidRPr="00F34C5F">
        <w:rPr>
          <w:sz w:val="20"/>
          <w:szCs w:val="20"/>
        </w:rPr>
        <w:t xml:space="preserve">. </w:t>
      </w:r>
      <w:r w:rsidR="64B67AB0" w:rsidRPr="00F34C5F">
        <w:rPr>
          <w:sz w:val="20"/>
          <w:szCs w:val="20"/>
        </w:rPr>
        <w:t>Selon le GIEC,</w:t>
      </w:r>
      <w:r w:rsidR="00F34C5F" w:rsidRPr="00F34C5F">
        <w:rPr>
          <w:sz w:val="20"/>
          <w:szCs w:val="20"/>
        </w:rPr>
        <w:t xml:space="preserve"> </w:t>
      </w:r>
      <w:r w:rsidR="00087308" w:rsidRPr="00F34C5F">
        <w:rPr>
          <w:sz w:val="20"/>
          <w:szCs w:val="20"/>
        </w:rPr>
        <w:t>les connaissances sur le climat et le grand cycle de l’eau doivent</w:t>
      </w:r>
      <w:r w:rsidR="002727A0">
        <w:rPr>
          <w:sz w:val="20"/>
          <w:szCs w:val="20"/>
        </w:rPr>
        <w:t xml:space="preserve"> aussi</w:t>
      </w:r>
      <w:r w:rsidR="00087308" w:rsidRPr="00F34C5F">
        <w:rPr>
          <w:sz w:val="20"/>
          <w:szCs w:val="20"/>
        </w:rPr>
        <w:t xml:space="preserve"> être renforcées</w:t>
      </w:r>
      <w:r w:rsidR="007C7FBD" w:rsidRPr="00F34C5F">
        <w:rPr>
          <w:sz w:val="20"/>
          <w:szCs w:val="20"/>
        </w:rPr>
        <w:t>.</w:t>
      </w:r>
      <w:r w:rsidR="541FFA3E" w:rsidRPr="00F34C5F">
        <w:rPr>
          <w:sz w:val="20"/>
          <w:szCs w:val="20"/>
        </w:rPr>
        <w:t xml:space="preserve"> </w:t>
      </w:r>
      <w:r w:rsidR="00087308" w:rsidRPr="00F34C5F">
        <w:rPr>
          <w:sz w:val="20"/>
          <w:szCs w:val="20"/>
        </w:rPr>
        <w:t>L</w:t>
      </w:r>
      <w:r w:rsidR="541FFA3E" w:rsidRPr="00F34C5F">
        <w:rPr>
          <w:sz w:val="20"/>
          <w:szCs w:val="20"/>
        </w:rPr>
        <w:t>e GIEC</w:t>
      </w:r>
      <w:r w:rsidR="00087308" w:rsidRPr="00F34C5F">
        <w:rPr>
          <w:sz w:val="20"/>
          <w:szCs w:val="20"/>
        </w:rPr>
        <w:t xml:space="preserve"> doit être mandaté</w:t>
      </w:r>
      <w:r w:rsidR="541FFA3E" w:rsidRPr="00F34C5F">
        <w:rPr>
          <w:sz w:val="20"/>
          <w:szCs w:val="20"/>
        </w:rPr>
        <w:t xml:space="preserve"> pour produire un rapport spécifique </w:t>
      </w:r>
      <w:r w:rsidR="441344FC" w:rsidRPr="00F34C5F">
        <w:rPr>
          <w:sz w:val="20"/>
          <w:szCs w:val="20"/>
        </w:rPr>
        <w:t>sur les ressources en eau et les évolutions de leurs usages</w:t>
      </w:r>
      <w:r w:rsidR="541FFA3E" w:rsidRPr="00F34C5F">
        <w:rPr>
          <w:sz w:val="20"/>
          <w:szCs w:val="20"/>
        </w:rPr>
        <w:t xml:space="preserve">. </w:t>
      </w:r>
    </w:p>
    <w:p w14:paraId="62A7DA85" w14:textId="77777777" w:rsidR="00A93C67" w:rsidRPr="00F34C5F" w:rsidRDefault="00A93C67" w:rsidP="006F1186">
      <w:pPr>
        <w:pStyle w:val="Sansinterligne"/>
        <w:jc w:val="both"/>
        <w:rPr>
          <w:sz w:val="20"/>
          <w:szCs w:val="20"/>
        </w:rPr>
      </w:pPr>
    </w:p>
    <w:p w14:paraId="5DCBE6A8" w14:textId="77777777" w:rsidR="00A93C67" w:rsidRPr="00F34C5F" w:rsidRDefault="40DF9188" w:rsidP="003B5DF8">
      <w:pPr>
        <w:pStyle w:val="Sansinterligne"/>
        <w:jc w:val="both"/>
        <w:rPr>
          <w:b/>
          <w:bCs/>
          <w:sz w:val="20"/>
          <w:szCs w:val="20"/>
        </w:rPr>
      </w:pPr>
      <w:r w:rsidRPr="00F34C5F">
        <w:rPr>
          <w:b/>
          <w:bCs/>
          <w:sz w:val="20"/>
          <w:szCs w:val="20"/>
        </w:rPr>
        <w:t>Renforcer la gouvernance de l’eau</w:t>
      </w:r>
      <w:r w:rsidR="1E36FDC5" w:rsidRPr="00F34C5F">
        <w:rPr>
          <w:b/>
          <w:bCs/>
          <w:sz w:val="20"/>
          <w:szCs w:val="20"/>
        </w:rPr>
        <w:t xml:space="preserve"> du niveau local à l’échelle</w:t>
      </w:r>
      <w:r w:rsidR="692AA25D" w:rsidRPr="00F34C5F">
        <w:rPr>
          <w:b/>
          <w:bCs/>
          <w:sz w:val="20"/>
          <w:szCs w:val="20"/>
        </w:rPr>
        <w:t xml:space="preserve"> </w:t>
      </w:r>
      <w:r w:rsidR="1E36FDC5" w:rsidRPr="00F34C5F">
        <w:rPr>
          <w:b/>
          <w:bCs/>
          <w:sz w:val="20"/>
          <w:szCs w:val="20"/>
        </w:rPr>
        <w:t>internationale</w:t>
      </w:r>
    </w:p>
    <w:p w14:paraId="05F9CEC4" w14:textId="71AD8AB6" w:rsidR="00FB4FF4" w:rsidRPr="00F34C5F" w:rsidRDefault="007B6F01" w:rsidP="003B5DF8">
      <w:pPr>
        <w:pStyle w:val="Sansinterligne"/>
        <w:jc w:val="both"/>
        <w:rPr>
          <w:b/>
          <w:bCs/>
          <w:sz w:val="20"/>
          <w:szCs w:val="20"/>
        </w:rPr>
      </w:pPr>
      <w:r>
        <w:rPr>
          <w:sz w:val="20"/>
          <w:szCs w:val="20"/>
        </w:rPr>
        <w:t>Alors que</w:t>
      </w:r>
      <w:r w:rsidR="003B5DF8" w:rsidRPr="00F34C5F">
        <w:rPr>
          <w:sz w:val="20"/>
          <w:szCs w:val="20"/>
        </w:rPr>
        <w:t xml:space="preserve"> la demande en eau ne cesse d’augmenter, </w:t>
      </w:r>
      <w:r w:rsidR="31F6409A" w:rsidRPr="00F34C5F">
        <w:rPr>
          <w:sz w:val="20"/>
          <w:szCs w:val="20"/>
        </w:rPr>
        <w:t xml:space="preserve">la </w:t>
      </w:r>
      <w:r w:rsidR="00E36993">
        <w:rPr>
          <w:sz w:val="20"/>
          <w:szCs w:val="20"/>
        </w:rPr>
        <w:t>GIRE</w:t>
      </w:r>
      <w:r w:rsidR="31F6409A" w:rsidRPr="00F34C5F">
        <w:rPr>
          <w:sz w:val="20"/>
          <w:szCs w:val="20"/>
        </w:rPr>
        <w:t xml:space="preserve"> au niveau des bassins hydrographiques est nécessaire</w:t>
      </w:r>
      <w:r>
        <w:rPr>
          <w:sz w:val="20"/>
          <w:szCs w:val="20"/>
        </w:rPr>
        <w:t>,</w:t>
      </w:r>
      <w:r w:rsidR="31F6409A" w:rsidRPr="00F34C5F">
        <w:rPr>
          <w:sz w:val="20"/>
          <w:szCs w:val="20"/>
        </w:rPr>
        <w:t xml:space="preserve"> afin d’adopter </w:t>
      </w:r>
      <w:r w:rsidR="003B5DF8" w:rsidRPr="00F34C5F">
        <w:rPr>
          <w:sz w:val="20"/>
          <w:szCs w:val="20"/>
        </w:rPr>
        <w:t xml:space="preserve">une approche globale de la ressource </w:t>
      </w:r>
      <w:r w:rsidR="00C8394C">
        <w:rPr>
          <w:sz w:val="20"/>
          <w:szCs w:val="20"/>
        </w:rPr>
        <w:t>et assurer un</w:t>
      </w:r>
      <w:r w:rsidR="41FA6C8D" w:rsidRPr="00F34C5F">
        <w:rPr>
          <w:sz w:val="20"/>
          <w:szCs w:val="20"/>
        </w:rPr>
        <w:t xml:space="preserve"> partage </w:t>
      </w:r>
      <w:r w:rsidR="007C7FBD" w:rsidRPr="00F34C5F">
        <w:rPr>
          <w:sz w:val="20"/>
          <w:szCs w:val="20"/>
        </w:rPr>
        <w:t xml:space="preserve">équilibré </w:t>
      </w:r>
      <w:r w:rsidR="00C8394C">
        <w:rPr>
          <w:sz w:val="20"/>
          <w:szCs w:val="20"/>
        </w:rPr>
        <w:t>des</w:t>
      </w:r>
      <w:r w:rsidR="41FA6C8D" w:rsidRPr="00F34C5F">
        <w:rPr>
          <w:sz w:val="20"/>
          <w:szCs w:val="20"/>
        </w:rPr>
        <w:t xml:space="preserve"> usages de l’eau</w:t>
      </w:r>
      <w:r w:rsidR="003B5DF8" w:rsidRPr="00F34C5F">
        <w:rPr>
          <w:sz w:val="20"/>
          <w:szCs w:val="20"/>
        </w:rPr>
        <w:t xml:space="preserve">. </w:t>
      </w:r>
    </w:p>
    <w:p w14:paraId="4069F917" w14:textId="7DD7348B" w:rsidR="003B5DF8" w:rsidRPr="00F34C5F" w:rsidRDefault="003F44F8" w:rsidP="003B5DF8">
      <w:pPr>
        <w:pStyle w:val="Sansinterligne"/>
        <w:jc w:val="both"/>
        <w:rPr>
          <w:sz w:val="20"/>
          <w:szCs w:val="20"/>
        </w:rPr>
      </w:pPr>
      <w:r w:rsidRPr="00F34C5F">
        <w:rPr>
          <w:sz w:val="20"/>
          <w:szCs w:val="20"/>
        </w:rPr>
        <w:t>La</w:t>
      </w:r>
      <w:r w:rsidR="6DF7FA22" w:rsidRPr="00F34C5F">
        <w:rPr>
          <w:sz w:val="20"/>
          <w:szCs w:val="20"/>
        </w:rPr>
        <w:t xml:space="preserve"> gouvernance</w:t>
      </w:r>
      <w:r w:rsidRPr="00F34C5F">
        <w:rPr>
          <w:sz w:val="20"/>
          <w:szCs w:val="20"/>
        </w:rPr>
        <w:t xml:space="preserve"> internationale</w:t>
      </w:r>
      <w:r w:rsidR="6DF7FA22" w:rsidRPr="00F34C5F">
        <w:rPr>
          <w:sz w:val="20"/>
          <w:szCs w:val="20"/>
        </w:rPr>
        <w:t xml:space="preserve"> du secteur de l’eau doit </w:t>
      </w:r>
      <w:r w:rsidRPr="00F34C5F">
        <w:rPr>
          <w:sz w:val="20"/>
          <w:szCs w:val="20"/>
        </w:rPr>
        <w:t xml:space="preserve">également </w:t>
      </w:r>
      <w:r w:rsidR="00811BEE" w:rsidRPr="00F34C5F">
        <w:rPr>
          <w:sz w:val="20"/>
          <w:szCs w:val="20"/>
        </w:rPr>
        <w:t xml:space="preserve">être améliorée. </w:t>
      </w:r>
      <w:r w:rsidRPr="00F34C5F">
        <w:rPr>
          <w:sz w:val="20"/>
          <w:szCs w:val="20"/>
        </w:rPr>
        <w:t>Il n’existe a</w:t>
      </w:r>
      <w:r w:rsidR="6DF7FA22" w:rsidRPr="00F34C5F">
        <w:rPr>
          <w:sz w:val="20"/>
          <w:szCs w:val="20"/>
        </w:rPr>
        <w:t>ucun mécanisme intergouvernemental de haut niveau</w:t>
      </w:r>
      <w:r w:rsidR="00811BEE" w:rsidRPr="00F34C5F">
        <w:rPr>
          <w:sz w:val="20"/>
          <w:szCs w:val="20"/>
        </w:rPr>
        <w:t xml:space="preserve"> sur l’eau </w:t>
      </w:r>
      <w:r w:rsidR="007B6F01">
        <w:rPr>
          <w:sz w:val="20"/>
          <w:szCs w:val="20"/>
        </w:rPr>
        <w:t>permettant</w:t>
      </w:r>
      <w:r w:rsidR="6DF7FA22" w:rsidRPr="00F34C5F">
        <w:rPr>
          <w:sz w:val="20"/>
          <w:szCs w:val="20"/>
        </w:rPr>
        <w:t xml:space="preserve"> des consultations entre Etats, </w:t>
      </w:r>
      <w:r w:rsidR="00BE17A8" w:rsidRPr="00CB5318">
        <w:rPr>
          <w:sz w:val="20"/>
          <w:szCs w:val="20"/>
        </w:rPr>
        <w:t>institutions internationales</w:t>
      </w:r>
      <w:r w:rsidR="6DF7FA22" w:rsidRPr="00F34C5F">
        <w:rPr>
          <w:sz w:val="20"/>
          <w:szCs w:val="20"/>
        </w:rPr>
        <w:t xml:space="preserve"> et société civile. 31 agences des Nations Unies interviennent </w:t>
      </w:r>
      <w:r w:rsidR="007B6F01">
        <w:rPr>
          <w:sz w:val="20"/>
          <w:szCs w:val="20"/>
        </w:rPr>
        <w:t>sur</w:t>
      </w:r>
      <w:r w:rsidR="6DF7FA22" w:rsidRPr="00F34C5F">
        <w:rPr>
          <w:sz w:val="20"/>
          <w:szCs w:val="20"/>
        </w:rPr>
        <w:t xml:space="preserve"> l’eau</w:t>
      </w:r>
      <w:r w:rsidR="00A93C67" w:rsidRPr="00F34C5F">
        <w:rPr>
          <w:sz w:val="20"/>
          <w:szCs w:val="20"/>
        </w:rPr>
        <w:t>, dont 8</w:t>
      </w:r>
      <w:r w:rsidR="6DF7FA22" w:rsidRPr="00F34C5F">
        <w:rPr>
          <w:sz w:val="20"/>
          <w:szCs w:val="20"/>
        </w:rPr>
        <w:t xml:space="preserve"> i</w:t>
      </w:r>
      <w:r w:rsidR="00811BEE" w:rsidRPr="00F34C5F">
        <w:rPr>
          <w:sz w:val="20"/>
          <w:szCs w:val="20"/>
        </w:rPr>
        <w:t xml:space="preserve">mpliquées dans le reporting </w:t>
      </w:r>
      <w:r w:rsidR="6DF7FA22" w:rsidRPr="00F34C5F">
        <w:rPr>
          <w:sz w:val="20"/>
          <w:szCs w:val="20"/>
        </w:rPr>
        <w:t>de l’ODD</w:t>
      </w:r>
      <w:r w:rsidR="48678006" w:rsidRPr="00F34C5F">
        <w:rPr>
          <w:sz w:val="20"/>
          <w:szCs w:val="20"/>
        </w:rPr>
        <w:t xml:space="preserve"> </w:t>
      </w:r>
      <w:r w:rsidR="6DF7FA22" w:rsidRPr="00F34C5F">
        <w:rPr>
          <w:sz w:val="20"/>
          <w:szCs w:val="20"/>
        </w:rPr>
        <w:t xml:space="preserve">6. Considérant les enjeux actuels autour de la ressource, l’absence de coordination globale et de mécanisme de redevabilité pour l’ODD 6 est problématique pour la réalisation des droits humains à l’EHA. </w:t>
      </w:r>
    </w:p>
    <w:p w14:paraId="21159F81" w14:textId="14E23B7A" w:rsidR="62049FCF" w:rsidRPr="00F34C5F" w:rsidRDefault="62049FCF" w:rsidP="4D67EC9F">
      <w:pPr>
        <w:pStyle w:val="Sansinterligne"/>
        <w:jc w:val="both"/>
        <w:rPr>
          <w:sz w:val="20"/>
          <w:szCs w:val="20"/>
        </w:rPr>
      </w:pPr>
    </w:p>
    <w:p w14:paraId="403A43EC" w14:textId="3328028F" w:rsidR="62049FCF" w:rsidRPr="00F34C5F" w:rsidRDefault="40DF9188" w:rsidP="4D67EC9F">
      <w:pPr>
        <w:pStyle w:val="Sansinterligne"/>
        <w:jc w:val="both"/>
        <w:rPr>
          <w:b/>
          <w:bCs/>
          <w:sz w:val="20"/>
          <w:szCs w:val="20"/>
        </w:rPr>
      </w:pPr>
      <w:r w:rsidRPr="00F34C5F">
        <w:rPr>
          <w:b/>
          <w:bCs/>
          <w:sz w:val="20"/>
          <w:szCs w:val="20"/>
        </w:rPr>
        <w:t xml:space="preserve">Mobiliser des financements </w:t>
      </w:r>
      <w:r w:rsidR="4CEF81CC" w:rsidRPr="00F34C5F">
        <w:rPr>
          <w:b/>
          <w:bCs/>
          <w:sz w:val="20"/>
          <w:szCs w:val="20"/>
        </w:rPr>
        <w:t>pour l’adaptation</w:t>
      </w:r>
      <w:r w:rsidR="5DCDC99C" w:rsidRPr="00F34C5F">
        <w:rPr>
          <w:b/>
          <w:bCs/>
          <w:sz w:val="20"/>
          <w:szCs w:val="20"/>
        </w:rPr>
        <w:t xml:space="preserve"> des pays en développement</w:t>
      </w:r>
    </w:p>
    <w:p w14:paraId="7DD588E6" w14:textId="620DD17B" w:rsidR="003B076B" w:rsidRPr="00F34C5F" w:rsidRDefault="00301C53" w:rsidP="4D67EC9F">
      <w:pPr>
        <w:pStyle w:val="Sansinterligne"/>
        <w:jc w:val="both"/>
        <w:rPr>
          <w:sz w:val="20"/>
          <w:szCs w:val="20"/>
        </w:rPr>
      </w:pPr>
      <w:r w:rsidRPr="00F34C5F">
        <w:rPr>
          <w:sz w:val="20"/>
          <w:szCs w:val="20"/>
        </w:rPr>
        <w:t xml:space="preserve">A </w:t>
      </w:r>
      <w:r w:rsidR="00B65161" w:rsidRPr="00F34C5F">
        <w:rPr>
          <w:sz w:val="20"/>
          <w:szCs w:val="20"/>
        </w:rPr>
        <w:t>la COP15</w:t>
      </w:r>
      <w:r w:rsidRPr="00F34C5F">
        <w:rPr>
          <w:sz w:val="20"/>
          <w:szCs w:val="20"/>
        </w:rPr>
        <w:t xml:space="preserve">, les pays développés se sont engagés à fournir </w:t>
      </w:r>
      <w:r w:rsidR="003F44F8" w:rsidRPr="00F34C5F">
        <w:rPr>
          <w:sz w:val="20"/>
          <w:szCs w:val="20"/>
        </w:rPr>
        <w:t xml:space="preserve">aux pays en développement </w:t>
      </w:r>
      <w:r w:rsidRPr="00F34C5F">
        <w:rPr>
          <w:sz w:val="20"/>
          <w:szCs w:val="20"/>
        </w:rPr>
        <w:t xml:space="preserve">100 milliards de </w:t>
      </w:r>
      <w:r w:rsidR="001F4047" w:rsidRPr="00F34C5F">
        <w:rPr>
          <w:sz w:val="20"/>
          <w:szCs w:val="20"/>
        </w:rPr>
        <w:t xml:space="preserve">dollars par </w:t>
      </w:r>
      <w:r w:rsidR="00811BEE" w:rsidRPr="00F34C5F">
        <w:rPr>
          <w:sz w:val="20"/>
          <w:szCs w:val="20"/>
        </w:rPr>
        <w:t xml:space="preserve">an </w:t>
      </w:r>
      <w:r w:rsidR="001F4047" w:rsidRPr="00F34C5F">
        <w:rPr>
          <w:sz w:val="20"/>
          <w:szCs w:val="20"/>
        </w:rPr>
        <w:t>d’ici 2020. Le</w:t>
      </w:r>
      <w:r w:rsidR="40DF9188" w:rsidRPr="00F34C5F">
        <w:rPr>
          <w:sz w:val="20"/>
          <w:szCs w:val="20"/>
        </w:rPr>
        <w:t xml:space="preserve"> rapport </w:t>
      </w:r>
      <w:r w:rsidR="002F0138">
        <w:rPr>
          <w:sz w:val="20"/>
          <w:szCs w:val="20"/>
        </w:rPr>
        <w:t>de l’OCDE</w:t>
      </w:r>
      <w:r w:rsidRPr="00F34C5F">
        <w:rPr>
          <w:sz w:val="20"/>
          <w:szCs w:val="20"/>
        </w:rPr>
        <w:t xml:space="preserve"> </w:t>
      </w:r>
      <w:r w:rsidR="002F0138">
        <w:rPr>
          <w:sz w:val="20"/>
          <w:szCs w:val="20"/>
        </w:rPr>
        <w:t xml:space="preserve">de </w:t>
      </w:r>
      <w:r w:rsidRPr="00F34C5F">
        <w:rPr>
          <w:sz w:val="20"/>
          <w:szCs w:val="20"/>
        </w:rPr>
        <w:t>2019</w:t>
      </w:r>
      <w:r w:rsidRPr="00F34C5F">
        <w:rPr>
          <w:rStyle w:val="Appelnotedebasdep"/>
          <w:sz w:val="20"/>
          <w:szCs w:val="20"/>
        </w:rPr>
        <w:footnoteReference w:id="4"/>
      </w:r>
      <w:r w:rsidR="40DF9188" w:rsidRPr="00F34C5F">
        <w:rPr>
          <w:sz w:val="20"/>
          <w:szCs w:val="20"/>
        </w:rPr>
        <w:t xml:space="preserve"> montre un progrès</w:t>
      </w:r>
      <w:r w:rsidR="001F4047" w:rsidRPr="00F34C5F">
        <w:rPr>
          <w:sz w:val="20"/>
          <w:szCs w:val="20"/>
        </w:rPr>
        <w:t xml:space="preserve"> : 71,2 milliards de dollars </w:t>
      </w:r>
      <w:r w:rsidR="003B076B" w:rsidRPr="00F34C5F">
        <w:rPr>
          <w:sz w:val="20"/>
          <w:szCs w:val="20"/>
        </w:rPr>
        <w:t xml:space="preserve">furent </w:t>
      </w:r>
      <w:r w:rsidR="001F4047" w:rsidRPr="00F34C5F">
        <w:rPr>
          <w:sz w:val="20"/>
          <w:szCs w:val="20"/>
        </w:rPr>
        <w:t>mobilisés en 2017. L’effort</w:t>
      </w:r>
      <w:r w:rsidR="40DF9188" w:rsidRPr="00F34C5F">
        <w:rPr>
          <w:sz w:val="20"/>
          <w:szCs w:val="20"/>
        </w:rPr>
        <w:t xml:space="preserve"> devra être poursuivi pour atteindre l’ambition fixée </w:t>
      </w:r>
      <w:r w:rsidR="3020E577" w:rsidRPr="00F34C5F">
        <w:rPr>
          <w:sz w:val="20"/>
          <w:szCs w:val="20"/>
        </w:rPr>
        <w:t xml:space="preserve">en </w:t>
      </w:r>
      <w:r w:rsidR="40DF9188" w:rsidRPr="00F34C5F">
        <w:rPr>
          <w:sz w:val="20"/>
          <w:szCs w:val="20"/>
        </w:rPr>
        <w:t xml:space="preserve">2020. </w:t>
      </w:r>
    </w:p>
    <w:p w14:paraId="7A78088C" w14:textId="7992B0DC" w:rsidR="001F4047" w:rsidRPr="00F34C5F" w:rsidRDefault="40DF9188" w:rsidP="4D67EC9F">
      <w:pPr>
        <w:pStyle w:val="Sansinterligne"/>
        <w:jc w:val="both"/>
        <w:rPr>
          <w:sz w:val="20"/>
          <w:szCs w:val="20"/>
        </w:rPr>
      </w:pPr>
      <w:r w:rsidRPr="00F34C5F">
        <w:rPr>
          <w:sz w:val="20"/>
          <w:szCs w:val="20"/>
        </w:rPr>
        <w:lastRenderedPageBreak/>
        <w:t xml:space="preserve">L'eau doit être une priorité parmi les financements destinés à l’adaptation, en ciblant les pays les moins avancés et les plus menacés. Une partie de ces financements </w:t>
      </w:r>
      <w:r w:rsidR="00131F90" w:rsidRPr="00F34C5F">
        <w:rPr>
          <w:sz w:val="20"/>
          <w:szCs w:val="20"/>
        </w:rPr>
        <w:t>doit</w:t>
      </w:r>
      <w:r w:rsidRPr="00F34C5F">
        <w:rPr>
          <w:sz w:val="20"/>
          <w:szCs w:val="20"/>
        </w:rPr>
        <w:t xml:space="preserve"> être consacrée au renforcement des capacités, notamment pour développer les programmes dans le sec</w:t>
      </w:r>
      <w:r w:rsidR="00F32708" w:rsidRPr="00F34C5F">
        <w:rPr>
          <w:sz w:val="20"/>
          <w:szCs w:val="20"/>
        </w:rPr>
        <w:t>teur EHA relatif à la collecte,</w:t>
      </w:r>
      <w:r w:rsidRPr="00F34C5F">
        <w:rPr>
          <w:sz w:val="20"/>
          <w:szCs w:val="20"/>
        </w:rPr>
        <w:t xml:space="preserve"> l’utilisation rationnelle de l’eau, le </w:t>
      </w:r>
      <w:r w:rsidR="091B4E9B" w:rsidRPr="00F34C5F">
        <w:rPr>
          <w:sz w:val="20"/>
          <w:szCs w:val="20"/>
        </w:rPr>
        <w:t>recyclage</w:t>
      </w:r>
      <w:r w:rsidR="00F32708" w:rsidRPr="00F34C5F">
        <w:rPr>
          <w:sz w:val="20"/>
          <w:szCs w:val="20"/>
        </w:rPr>
        <w:t xml:space="preserve"> des eaux usées, le développement de l’agriculture biosaline</w:t>
      </w:r>
      <w:r w:rsidR="003F44F8" w:rsidRPr="00F34C5F">
        <w:rPr>
          <w:sz w:val="20"/>
          <w:szCs w:val="20"/>
        </w:rPr>
        <w:t>, etc.</w:t>
      </w:r>
      <w:r w:rsidR="00F32708" w:rsidRPr="00F34C5F">
        <w:rPr>
          <w:sz w:val="20"/>
          <w:szCs w:val="20"/>
        </w:rPr>
        <w:t xml:space="preserve"> </w:t>
      </w:r>
    </w:p>
    <w:p w14:paraId="69ECED40" w14:textId="77777777" w:rsidR="001F4047" w:rsidRPr="00F34C5F" w:rsidRDefault="001F4047" w:rsidP="4D67EC9F">
      <w:pPr>
        <w:pStyle w:val="Sansinterligne"/>
        <w:jc w:val="both"/>
        <w:rPr>
          <w:sz w:val="20"/>
          <w:szCs w:val="20"/>
        </w:rPr>
      </w:pPr>
    </w:p>
    <w:tbl>
      <w:tblPr>
        <w:tblStyle w:val="Grilledutableau"/>
        <w:tblW w:w="0" w:type="auto"/>
        <w:tblLayout w:type="fixed"/>
        <w:tblLook w:val="04A0" w:firstRow="1" w:lastRow="0" w:firstColumn="1" w:lastColumn="0" w:noHBand="0" w:noVBand="1"/>
      </w:tblPr>
      <w:tblGrid>
        <w:gridCol w:w="9072"/>
      </w:tblGrid>
      <w:tr w:rsidR="4D67EC9F" w:rsidRPr="00F34C5F" w14:paraId="3169BBFC" w14:textId="77777777" w:rsidTr="4E6EBB3F">
        <w:tc>
          <w:tcPr>
            <w:tcW w:w="9072" w:type="dxa"/>
          </w:tcPr>
          <w:p w14:paraId="0BA0518E" w14:textId="334C609B" w:rsidR="4D67EC9F" w:rsidRPr="00CB5318" w:rsidRDefault="77E7FA97">
            <w:pPr>
              <w:spacing w:line="276" w:lineRule="auto"/>
              <w:jc w:val="both"/>
              <w:rPr>
                <w:i/>
                <w:sz w:val="20"/>
                <w:szCs w:val="20"/>
                <w:lang w:val="fr-FR"/>
              </w:rPr>
            </w:pPr>
            <w:r w:rsidRPr="00CB5318">
              <w:rPr>
                <w:i/>
                <w:sz w:val="20"/>
                <w:szCs w:val="20"/>
                <w:lang w:val="fr-FR"/>
              </w:rPr>
              <w:t>Promouvoir l’adaptation</w:t>
            </w:r>
          </w:p>
        </w:tc>
      </w:tr>
      <w:tr w:rsidR="4D67EC9F" w:rsidRPr="00F01476" w14:paraId="0486E506" w14:textId="77777777" w:rsidTr="4E6EBB3F">
        <w:tc>
          <w:tcPr>
            <w:tcW w:w="9072" w:type="dxa"/>
          </w:tcPr>
          <w:p w14:paraId="06EEADF1" w14:textId="619AAC59" w:rsidR="4D67EC9F" w:rsidRPr="00CB5318" w:rsidRDefault="4D67EC9F" w:rsidP="006A6317">
            <w:pPr>
              <w:spacing w:line="276" w:lineRule="auto"/>
              <w:jc w:val="both"/>
              <w:rPr>
                <w:i/>
                <w:sz w:val="20"/>
                <w:szCs w:val="20"/>
                <w:lang w:val="fr-FR"/>
              </w:rPr>
            </w:pPr>
            <w:r w:rsidRPr="00CB5318">
              <w:rPr>
                <w:i/>
                <w:sz w:val="20"/>
                <w:szCs w:val="20"/>
                <w:u w:val="single"/>
                <w:lang w:val="fr-FR"/>
              </w:rPr>
              <w:t>Lieu</w:t>
            </w:r>
            <w:r w:rsidRPr="00CB5318">
              <w:rPr>
                <w:i/>
                <w:sz w:val="20"/>
                <w:szCs w:val="20"/>
                <w:lang w:val="fr-FR"/>
              </w:rPr>
              <w:t xml:space="preserve"> : </w:t>
            </w:r>
            <w:r w:rsidR="00D1431E" w:rsidRPr="00CB5318">
              <w:rPr>
                <w:i/>
                <w:sz w:val="20"/>
                <w:szCs w:val="20"/>
                <w:lang w:val="fr-FR"/>
              </w:rPr>
              <w:t>D</w:t>
            </w:r>
            <w:r w:rsidRPr="00CB5318">
              <w:rPr>
                <w:i/>
                <w:sz w:val="20"/>
                <w:szCs w:val="20"/>
                <w:lang w:val="fr-FR"/>
              </w:rPr>
              <w:t xml:space="preserve">istrict de Tharparkar, </w:t>
            </w:r>
            <w:r w:rsidR="00D1431E" w:rsidRPr="00CB5318">
              <w:rPr>
                <w:i/>
                <w:sz w:val="20"/>
                <w:szCs w:val="20"/>
                <w:lang w:val="fr-FR"/>
              </w:rPr>
              <w:t>Pakistan</w:t>
            </w:r>
          </w:p>
        </w:tc>
      </w:tr>
      <w:tr w:rsidR="4D67EC9F" w:rsidRPr="00F01476" w14:paraId="16CC268C" w14:textId="77777777" w:rsidTr="4E6EBB3F">
        <w:tc>
          <w:tcPr>
            <w:tcW w:w="9072" w:type="dxa"/>
          </w:tcPr>
          <w:p w14:paraId="5B81611F" w14:textId="2F7E495C" w:rsidR="4D67EC9F" w:rsidRPr="00CB5318" w:rsidRDefault="091B3513" w:rsidP="009E6789">
            <w:pPr>
              <w:spacing w:line="276" w:lineRule="auto"/>
              <w:jc w:val="both"/>
              <w:rPr>
                <w:i/>
                <w:sz w:val="20"/>
                <w:szCs w:val="20"/>
                <w:lang w:val="fr-FR"/>
              </w:rPr>
            </w:pPr>
            <w:r w:rsidRPr="00CB5318">
              <w:rPr>
                <w:i/>
                <w:sz w:val="20"/>
                <w:szCs w:val="20"/>
                <w:u w:val="single"/>
                <w:lang w:val="fr-FR"/>
              </w:rPr>
              <w:t>Contexte</w:t>
            </w:r>
            <w:r w:rsidRPr="00CB5318">
              <w:rPr>
                <w:i/>
                <w:sz w:val="20"/>
                <w:szCs w:val="20"/>
                <w:lang w:val="fr-FR"/>
              </w:rPr>
              <w:t xml:space="preserve"> : Tha</w:t>
            </w:r>
            <w:r w:rsidR="00E805F8">
              <w:rPr>
                <w:i/>
                <w:sz w:val="20"/>
                <w:szCs w:val="20"/>
                <w:lang w:val="fr-FR"/>
              </w:rPr>
              <w:t>r</w:t>
            </w:r>
            <w:r w:rsidRPr="00CB5318">
              <w:rPr>
                <w:i/>
                <w:sz w:val="20"/>
                <w:szCs w:val="20"/>
                <w:lang w:val="fr-FR"/>
              </w:rPr>
              <w:t xml:space="preserve">parkar est une zone aride </w:t>
            </w:r>
            <w:r w:rsidR="7E6DB951" w:rsidRPr="00CB5318">
              <w:rPr>
                <w:i/>
                <w:sz w:val="20"/>
                <w:szCs w:val="20"/>
                <w:lang w:val="fr-FR"/>
              </w:rPr>
              <w:t>avec des</w:t>
            </w:r>
            <w:r w:rsidRPr="00CB5318">
              <w:rPr>
                <w:i/>
                <w:sz w:val="20"/>
                <w:szCs w:val="20"/>
                <w:lang w:val="fr-FR"/>
              </w:rPr>
              <w:t xml:space="preserve"> ressources en eau limitées</w:t>
            </w:r>
            <w:r w:rsidR="00131F90" w:rsidRPr="00CB5318">
              <w:rPr>
                <w:i/>
                <w:sz w:val="20"/>
                <w:szCs w:val="20"/>
                <w:lang w:val="fr-FR"/>
              </w:rPr>
              <w:t xml:space="preserve"> et</w:t>
            </w:r>
            <w:r w:rsidRPr="00CB5318">
              <w:rPr>
                <w:i/>
                <w:sz w:val="20"/>
                <w:szCs w:val="20"/>
                <w:lang w:val="fr-FR"/>
              </w:rPr>
              <w:t xml:space="preserve"> de</w:t>
            </w:r>
            <w:r w:rsidR="531DA702" w:rsidRPr="00CB5318">
              <w:rPr>
                <w:i/>
                <w:sz w:val="20"/>
                <w:szCs w:val="20"/>
                <w:lang w:val="fr-FR"/>
              </w:rPr>
              <w:t>s</w:t>
            </w:r>
            <w:r w:rsidRPr="00CB5318">
              <w:rPr>
                <w:i/>
                <w:sz w:val="20"/>
                <w:szCs w:val="20"/>
                <w:lang w:val="fr-FR"/>
              </w:rPr>
              <w:t xml:space="preserve"> sécheresses </w:t>
            </w:r>
            <w:r w:rsidR="00131F90" w:rsidRPr="00CB5318">
              <w:rPr>
                <w:i/>
                <w:sz w:val="20"/>
                <w:szCs w:val="20"/>
                <w:lang w:val="fr-FR"/>
              </w:rPr>
              <w:t>tous les deux ou trois ans</w:t>
            </w:r>
            <w:r w:rsidR="5ABC1AAC" w:rsidRPr="00CB5318">
              <w:rPr>
                <w:i/>
                <w:sz w:val="20"/>
                <w:szCs w:val="20"/>
                <w:lang w:val="fr-FR"/>
              </w:rPr>
              <w:t xml:space="preserve">, </w:t>
            </w:r>
            <w:r w:rsidR="00A86516" w:rsidRPr="00CB5318">
              <w:rPr>
                <w:i/>
                <w:sz w:val="20"/>
                <w:szCs w:val="20"/>
                <w:lang w:val="fr-FR"/>
              </w:rPr>
              <w:t>aggravées</w:t>
            </w:r>
            <w:r w:rsidR="5ABC1AAC" w:rsidRPr="00CB5318">
              <w:rPr>
                <w:i/>
                <w:sz w:val="20"/>
                <w:szCs w:val="20"/>
                <w:lang w:val="fr-FR"/>
              </w:rPr>
              <w:t xml:space="preserve"> par le changement climatique</w:t>
            </w:r>
            <w:r w:rsidRPr="00CB5318">
              <w:rPr>
                <w:i/>
                <w:sz w:val="20"/>
                <w:szCs w:val="20"/>
                <w:lang w:val="fr-FR"/>
              </w:rPr>
              <w:t xml:space="preserve">. Ce contexte a d’importantes répercussions sur l'accès à </w:t>
            </w:r>
            <w:r w:rsidR="00A86516" w:rsidRPr="00CB5318">
              <w:rPr>
                <w:i/>
                <w:sz w:val="20"/>
                <w:szCs w:val="20"/>
                <w:lang w:val="fr-FR"/>
              </w:rPr>
              <w:t>l’EHA</w:t>
            </w:r>
            <w:r w:rsidRPr="00CB5318">
              <w:rPr>
                <w:i/>
                <w:sz w:val="20"/>
                <w:szCs w:val="20"/>
                <w:lang w:val="fr-FR"/>
              </w:rPr>
              <w:t>, ainsi que sur la sécurité alimentaire et les moyens d’existence</w:t>
            </w:r>
            <w:r w:rsidR="00422C46" w:rsidRPr="00CB5318">
              <w:rPr>
                <w:i/>
                <w:sz w:val="20"/>
                <w:szCs w:val="20"/>
                <w:lang w:val="fr-FR"/>
              </w:rPr>
              <w:t>s</w:t>
            </w:r>
            <w:r w:rsidR="004B2029" w:rsidRPr="00CB5318">
              <w:rPr>
                <w:i/>
                <w:sz w:val="20"/>
                <w:szCs w:val="20"/>
                <w:lang w:val="fr-FR"/>
              </w:rPr>
              <w:t xml:space="preserve">. </w:t>
            </w:r>
            <w:r w:rsidR="003F44F8" w:rsidRPr="00CB5318">
              <w:rPr>
                <w:i/>
                <w:sz w:val="20"/>
                <w:szCs w:val="20"/>
                <w:lang w:val="fr-FR"/>
              </w:rPr>
              <w:t>O</w:t>
            </w:r>
            <w:r w:rsidRPr="00CB5318">
              <w:rPr>
                <w:i/>
                <w:sz w:val="20"/>
                <w:szCs w:val="20"/>
                <w:lang w:val="fr-FR"/>
              </w:rPr>
              <w:t>n observe</w:t>
            </w:r>
            <w:r w:rsidR="003F44F8" w:rsidRPr="00CB5318">
              <w:rPr>
                <w:i/>
                <w:sz w:val="20"/>
                <w:szCs w:val="20"/>
                <w:lang w:val="fr-FR"/>
              </w:rPr>
              <w:t xml:space="preserve"> également</w:t>
            </w:r>
            <w:r w:rsidRPr="00CB5318">
              <w:rPr>
                <w:i/>
                <w:sz w:val="20"/>
                <w:szCs w:val="20"/>
                <w:lang w:val="fr-FR"/>
              </w:rPr>
              <w:t xml:space="preserve"> une importante dégradation des terres</w:t>
            </w:r>
            <w:r w:rsidR="3E97413D" w:rsidRPr="00CB5318">
              <w:rPr>
                <w:i/>
                <w:sz w:val="20"/>
                <w:szCs w:val="20"/>
                <w:lang w:val="fr-FR"/>
              </w:rPr>
              <w:t xml:space="preserve"> et la salinisation des nappes</w:t>
            </w:r>
            <w:r w:rsidRPr="00CB5318">
              <w:rPr>
                <w:i/>
                <w:sz w:val="20"/>
                <w:szCs w:val="20"/>
                <w:lang w:val="fr-FR"/>
              </w:rPr>
              <w:t xml:space="preserve">. Pour faire face à la situation, la population locale adopte des mécanismes d'adaptation négatifs, </w:t>
            </w:r>
            <w:r w:rsidR="004B2029" w:rsidRPr="00CB5318">
              <w:rPr>
                <w:i/>
                <w:sz w:val="20"/>
                <w:szCs w:val="20"/>
                <w:lang w:val="fr-FR"/>
              </w:rPr>
              <w:t>comme</w:t>
            </w:r>
            <w:r w:rsidRPr="00CB5318">
              <w:rPr>
                <w:i/>
                <w:sz w:val="20"/>
                <w:szCs w:val="20"/>
                <w:lang w:val="fr-FR"/>
              </w:rPr>
              <w:t xml:space="preserve"> la migration vers les villes.</w:t>
            </w:r>
          </w:p>
        </w:tc>
      </w:tr>
      <w:tr w:rsidR="4D67EC9F" w:rsidRPr="00F01476" w14:paraId="476F5570" w14:textId="77777777" w:rsidTr="4E6EBB3F">
        <w:tc>
          <w:tcPr>
            <w:tcW w:w="9072" w:type="dxa"/>
          </w:tcPr>
          <w:p w14:paraId="001E7273" w14:textId="3A7B8216" w:rsidR="4D67EC9F" w:rsidRPr="00CB5318" w:rsidRDefault="091B3513" w:rsidP="009E6789">
            <w:pPr>
              <w:spacing w:line="276" w:lineRule="auto"/>
              <w:jc w:val="both"/>
              <w:rPr>
                <w:i/>
                <w:sz w:val="20"/>
                <w:szCs w:val="20"/>
                <w:lang w:val="fr-FR"/>
              </w:rPr>
            </w:pPr>
            <w:r w:rsidRPr="00CB5318">
              <w:rPr>
                <w:i/>
                <w:sz w:val="20"/>
                <w:szCs w:val="20"/>
                <w:u w:val="single"/>
                <w:lang w:val="fr-FR"/>
              </w:rPr>
              <w:t>Réponse</w:t>
            </w:r>
            <w:r w:rsidR="009E6789">
              <w:rPr>
                <w:i/>
                <w:sz w:val="20"/>
                <w:szCs w:val="20"/>
                <w:lang w:val="fr-FR"/>
              </w:rPr>
              <w:t xml:space="preserve"> : L’action du</w:t>
            </w:r>
            <w:r w:rsidRPr="00CB5318">
              <w:rPr>
                <w:i/>
                <w:sz w:val="20"/>
                <w:szCs w:val="20"/>
                <w:lang w:val="fr-FR"/>
              </w:rPr>
              <w:t xml:space="preserve"> SIF vise à réduire </w:t>
            </w:r>
            <w:r w:rsidR="00DA0ADA" w:rsidRPr="00CB5318">
              <w:rPr>
                <w:i/>
                <w:sz w:val="20"/>
                <w:szCs w:val="20"/>
                <w:lang w:val="fr-FR"/>
              </w:rPr>
              <w:t>ces vulnérabilités,</w:t>
            </w:r>
            <w:r w:rsidRPr="00CB5318">
              <w:rPr>
                <w:i/>
                <w:sz w:val="20"/>
                <w:szCs w:val="20"/>
                <w:lang w:val="fr-FR"/>
              </w:rPr>
              <w:t xml:space="preserve"> à améliorer </w:t>
            </w:r>
            <w:r w:rsidR="00DA0ADA" w:rsidRPr="00CB5318">
              <w:rPr>
                <w:i/>
                <w:sz w:val="20"/>
                <w:szCs w:val="20"/>
                <w:lang w:val="fr-FR"/>
              </w:rPr>
              <w:t xml:space="preserve">la </w:t>
            </w:r>
            <w:r w:rsidRPr="00CB5318">
              <w:rPr>
                <w:i/>
                <w:sz w:val="20"/>
                <w:szCs w:val="20"/>
                <w:lang w:val="fr-FR"/>
              </w:rPr>
              <w:t xml:space="preserve">résilience et réduire </w:t>
            </w:r>
            <w:r w:rsidR="00DA0ADA" w:rsidRPr="00CB5318">
              <w:rPr>
                <w:i/>
                <w:sz w:val="20"/>
                <w:szCs w:val="20"/>
                <w:lang w:val="fr-FR"/>
              </w:rPr>
              <w:t xml:space="preserve">les </w:t>
            </w:r>
            <w:r w:rsidRPr="00CB5318">
              <w:rPr>
                <w:i/>
                <w:sz w:val="20"/>
                <w:szCs w:val="20"/>
                <w:lang w:val="fr-FR"/>
              </w:rPr>
              <w:t xml:space="preserve">mécanismes d'adaptation négatifs. Le projet comprend l'amélioration de l'accès à l'eau, aux installations sanitaires et d'hygiène, ainsi que la promotion de cultures agricoles résistantes à la sécheresse. Le SIF développe, avec la participation des communautés, des autorités locales et des institutions techniques, un modèle de fermes agricoles introduisant des cultures biosalines adaptées aux conditions locales.  </w:t>
            </w:r>
          </w:p>
        </w:tc>
      </w:tr>
    </w:tbl>
    <w:p w14:paraId="298AB4BE" w14:textId="382290F8" w:rsidR="6B8604F2" w:rsidRPr="00F34C5F" w:rsidRDefault="6B8604F2" w:rsidP="1526BE8E">
      <w:pPr>
        <w:pStyle w:val="Default"/>
        <w:rPr>
          <w:sz w:val="20"/>
          <w:szCs w:val="20"/>
        </w:rPr>
      </w:pPr>
    </w:p>
    <w:p w14:paraId="559E554B" w14:textId="77777777" w:rsidR="00E12DAF" w:rsidRDefault="00E12DAF" w:rsidP="1526BE8E">
      <w:pPr>
        <w:pStyle w:val="Default"/>
        <w:rPr>
          <w:sz w:val="20"/>
          <w:szCs w:val="20"/>
        </w:rPr>
      </w:pPr>
    </w:p>
    <w:p w14:paraId="1C3CD734" w14:textId="7B5F7B9C" w:rsidR="3D724A5A" w:rsidRDefault="3D724A5A" w:rsidP="4E6EBB3F">
      <w:pPr>
        <w:pStyle w:val="Default"/>
        <w:numPr>
          <w:ilvl w:val="0"/>
          <w:numId w:val="1"/>
        </w:numPr>
        <w:rPr>
          <w:rFonts w:asciiTheme="minorHAnsi" w:eastAsiaTheme="minorEastAsia" w:hAnsiTheme="minorHAnsi" w:cstheme="minorBidi"/>
          <w:b/>
          <w:bCs/>
          <w:color w:val="000000" w:themeColor="text1"/>
          <w:sz w:val="20"/>
          <w:szCs w:val="20"/>
        </w:rPr>
      </w:pPr>
      <w:r w:rsidRPr="4E6EBB3F">
        <w:rPr>
          <w:b/>
          <w:bCs/>
          <w:sz w:val="20"/>
          <w:szCs w:val="20"/>
        </w:rPr>
        <w:t xml:space="preserve">Prioriser l’EHA dans la gestion, l’assistance et la protection des personnes déplacées </w:t>
      </w:r>
    </w:p>
    <w:p w14:paraId="18A9C960" w14:textId="15D030F3" w:rsidR="6A6E433E" w:rsidRDefault="6A6E433E" w:rsidP="6A6E433E">
      <w:pPr>
        <w:pStyle w:val="Default"/>
        <w:ind w:left="360" w:hanging="360"/>
        <w:rPr>
          <w:b/>
          <w:bCs/>
          <w:sz w:val="20"/>
          <w:szCs w:val="20"/>
          <w:highlight w:val="yellow"/>
        </w:rPr>
      </w:pPr>
    </w:p>
    <w:p w14:paraId="52307926" w14:textId="2F3A4BD4" w:rsidR="64F91E4D" w:rsidRPr="00CB5318" w:rsidRDefault="00562B24" w:rsidP="00CB5318">
      <w:pPr>
        <w:pStyle w:val="Default"/>
        <w:jc w:val="both"/>
        <w:rPr>
          <w:sz w:val="20"/>
          <w:szCs w:val="20"/>
        </w:rPr>
      </w:pPr>
      <w:r w:rsidRPr="00F34C5F">
        <w:rPr>
          <w:sz w:val="20"/>
          <w:szCs w:val="20"/>
        </w:rPr>
        <w:t xml:space="preserve">Les personnes déplacées </w:t>
      </w:r>
      <w:r w:rsidR="00C8394C">
        <w:rPr>
          <w:sz w:val="20"/>
          <w:szCs w:val="20"/>
        </w:rPr>
        <w:t>doivent pouvoir</w:t>
      </w:r>
      <w:r w:rsidRPr="00F34C5F">
        <w:rPr>
          <w:sz w:val="20"/>
          <w:szCs w:val="20"/>
        </w:rPr>
        <w:t xml:space="preserve"> jouir du droit à l’EHA</w:t>
      </w:r>
      <w:r w:rsidR="00C8394C">
        <w:rPr>
          <w:sz w:val="20"/>
          <w:szCs w:val="20"/>
        </w:rPr>
        <w:t xml:space="preserve">, </w:t>
      </w:r>
      <w:r w:rsidRPr="00F34C5F">
        <w:rPr>
          <w:sz w:val="20"/>
          <w:szCs w:val="20"/>
        </w:rPr>
        <w:t xml:space="preserve">peu importe leur statut et </w:t>
      </w:r>
      <w:r w:rsidR="006E70A2">
        <w:rPr>
          <w:sz w:val="20"/>
          <w:szCs w:val="20"/>
        </w:rPr>
        <w:t>le</w:t>
      </w:r>
      <w:r w:rsidRPr="00F34C5F">
        <w:rPr>
          <w:sz w:val="20"/>
          <w:szCs w:val="20"/>
        </w:rPr>
        <w:t xml:space="preserve"> lieu où elles se trouvent</w:t>
      </w:r>
      <w:r w:rsidRPr="00F34C5F">
        <w:rPr>
          <w:rStyle w:val="Appelnotedebasdep"/>
          <w:sz w:val="20"/>
          <w:szCs w:val="20"/>
        </w:rPr>
        <w:footnoteReference w:id="5"/>
      </w:r>
      <w:r w:rsidRPr="00F34C5F">
        <w:rPr>
          <w:sz w:val="20"/>
          <w:szCs w:val="20"/>
        </w:rPr>
        <w:t xml:space="preserve">. </w:t>
      </w:r>
      <w:r w:rsidR="008B5459" w:rsidRPr="00CB5318">
        <w:rPr>
          <w:sz w:val="20"/>
          <w:szCs w:val="20"/>
        </w:rPr>
        <w:t>L’accès à l’eau est une priorité afin d'assurer leur survie, limiter la propagation des épidémies et leur permettre d’accéder à des moyens d’existence sûrs.</w:t>
      </w:r>
      <w:r w:rsidR="008B5459">
        <w:rPr>
          <w:sz w:val="20"/>
          <w:szCs w:val="20"/>
        </w:rPr>
        <w:t xml:space="preserve"> </w:t>
      </w:r>
      <w:r w:rsidR="64F91E4D" w:rsidRPr="00CB5318">
        <w:rPr>
          <w:sz w:val="20"/>
          <w:szCs w:val="20"/>
        </w:rPr>
        <w:t xml:space="preserve">Si les impacts sur la jouissance des droits humains semblent plus évidents dans des situations de crise liée aux conflits, les Etats doivent reconnaitre que les déplacements liés </w:t>
      </w:r>
      <w:r w:rsidR="00374E15" w:rsidRPr="00CB5318">
        <w:rPr>
          <w:sz w:val="20"/>
          <w:szCs w:val="20"/>
        </w:rPr>
        <w:t xml:space="preserve"> au</w:t>
      </w:r>
      <w:r w:rsidR="64F91E4D" w:rsidRPr="00CB5318">
        <w:rPr>
          <w:sz w:val="20"/>
          <w:szCs w:val="20"/>
        </w:rPr>
        <w:t xml:space="preserve"> changement climatique produisent des besoins de protection et d’assistance spécifiques et tout autant urgents. </w:t>
      </w:r>
    </w:p>
    <w:p w14:paraId="38D72426" w14:textId="77777777" w:rsidR="00F34C5F" w:rsidRPr="00CB5318" w:rsidRDefault="00F34C5F" w:rsidP="00CB5318">
      <w:pPr>
        <w:pStyle w:val="Default"/>
        <w:jc w:val="both"/>
        <w:rPr>
          <w:sz w:val="20"/>
        </w:rPr>
      </w:pPr>
    </w:p>
    <w:p w14:paraId="5C277CF9" w14:textId="44614314" w:rsidR="00F34C5F" w:rsidRDefault="5CF68CD5" w:rsidP="00CB5318">
      <w:pPr>
        <w:pStyle w:val="Default"/>
        <w:jc w:val="both"/>
        <w:rPr>
          <w:sz w:val="20"/>
          <w:szCs w:val="20"/>
        </w:rPr>
      </w:pPr>
      <w:r w:rsidRPr="4E6EBB3F">
        <w:rPr>
          <w:sz w:val="20"/>
          <w:szCs w:val="20"/>
        </w:rPr>
        <w:t>L</w:t>
      </w:r>
      <w:r w:rsidR="4BFF71EE" w:rsidRPr="4E6EBB3F">
        <w:rPr>
          <w:sz w:val="20"/>
          <w:szCs w:val="20"/>
        </w:rPr>
        <w:t>es normes minimales d’accès à l’EHA doiven</w:t>
      </w:r>
      <w:r w:rsidR="301FD105" w:rsidRPr="4E6EBB3F">
        <w:rPr>
          <w:sz w:val="20"/>
          <w:szCs w:val="20"/>
        </w:rPr>
        <w:t xml:space="preserve">t </w:t>
      </w:r>
      <w:r w:rsidR="4BFF71EE" w:rsidRPr="4E6EBB3F">
        <w:rPr>
          <w:sz w:val="20"/>
          <w:szCs w:val="20"/>
        </w:rPr>
        <w:t xml:space="preserve">être </w:t>
      </w:r>
      <w:r w:rsidR="002F0138">
        <w:rPr>
          <w:sz w:val="20"/>
          <w:szCs w:val="20"/>
        </w:rPr>
        <w:t xml:space="preserve">impérativement </w:t>
      </w:r>
      <w:r w:rsidR="4BFF71EE" w:rsidRPr="4E6EBB3F">
        <w:rPr>
          <w:sz w:val="20"/>
          <w:szCs w:val="20"/>
        </w:rPr>
        <w:t>respectées en cours de déplace</w:t>
      </w:r>
      <w:r w:rsidR="00422C46">
        <w:rPr>
          <w:sz w:val="20"/>
          <w:szCs w:val="20"/>
        </w:rPr>
        <w:t xml:space="preserve">ment. Les recours en cas de </w:t>
      </w:r>
      <w:r w:rsidR="00E12DAF">
        <w:rPr>
          <w:sz w:val="20"/>
          <w:szCs w:val="20"/>
        </w:rPr>
        <w:t>non-</w:t>
      </w:r>
      <w:r w:rsidR="00E12DAF" w:rsidRPr="4E6EBB3F">
        <w:rPr>
          <w:sz w:val="20"/>
          <w:szCs w:val="20"/>
        </w:rPr>
        <w:t>respect</w:t>
      </w:r>
      <w:r w:rsidR="00A01F68">
        <w:rPr>
          <w:sz w:val="20"/>
          <w:szCs w:val="20"/>
        </w:rPr>
        <w:t xml:space="preserve"> doivent être</w:t>
      </w:r>
      <w:r w:rsidR="00374E15">
        <w:rPr>
          <w:sz w:val="20"/>
          <w:szCs w:val="20"/>
        </w:rPr>
        <w:t xml:space="preserve"> accessibles aux</w:t>
      </w:r>
      <w:r w:rsidR="5ADE1CE0" w:rsidRPr="4E6EBB3F">
        <w:rPr>
          <w:sz w:val="20"/>
          <w:szCs w:val="20"/>
        </w:rPr>
        <w:t xml:space="preserve"> </w:t>
      </w:r>
      <w:r w:rsidR="0097489E" w:rsidRPr="4E6EBB3F">
        <w:rPr>
          <w:sz w:val="20"/>
          <w:szCs w:val="20"/>
        </w:rPr>
        <w:t xml:space="preserve">populations </w:t>
      </w:r>
      <w:r w:rsidR="0097489E">
        <w:rPr>
          <w:sz w:val="20"/>
          <w:szCs w:val="20"/>
        </w:rPr>
        <w:t>concernées</w:t>
      </w:r>
      <w:r w:rsidR="4BFF71EE" w:rsidRPr="4E6EBB3F">
        <w:rPr>
          <w:sz w:val="20"/>
          <w:szCs w:val="20"/>
        </w:rPr>
        <w:t xml:space="preserve">. </w:t>
      </w:r>
      <w:r w:rsidR="44129D15" w:rsidRPr="00830277">
        <w:rPr>
          <w:sz w:val="20"/>
          <w:szCs w:val="20"/>
        </w:rPr>
        <w:t xml:space="preserve">Les interventions de réponse doivent </w:t>
      </w:r>
      <w:r w:rsidR="00E12DAF">
        <w:rPr>
          <w:sz w:val="20"/>
          <w:szCs w:val="20"/>
        </w:rPr>
        <w:t xml:space="preserve">toujours </w:t>
      </w:r>
      <w:r w:rsidR="44129D15" w:rsidRPr="00830277">
        <w:rPr>
          <w:sz w:val="20"/>
          <w:szCs w:val="20"/>
        </w:rPr>
        <w:t>être mises en place en coordination avec les autorités locales</w:t>
      </w:r>
      <w:r w:rsidR="00DA0ADA">
        <w:rPr>
          <w:sz w:val="20"/>
          <w:szCs w:val="20"/>
        </w:rPr>
        <w:t xml:space="preserve"> (premières responsables), afin de ne laisser personne de côté</w:t>
      </w:r>
      <w:r w:rsidR="44129D15" w:rsidRPr="00830277">
        <w:rPr>
          <w:sz w:val="20"/>
          <w:szCs w:val="20"/>
        </w:rPr>
        <w:t>.</w:t>
      </w:r>
      <w:r w:rsidR="7B0BF6C1" w:rsidRPr="00830277">
        <w:rPr>
          <w:sz w:val="20"/>
          <w:szCs w:val="20"/>
        </w:rPr>
        <w:t xml:space="preserve"> Les organisations humanitaires peuvent et doivent faire davantage pour renforcer les capacités loc</w:t>
      </w:r>
      <w:r w:rsidR="5D1B53D1" w:rsidRPr="00830277">
        <w:rPr>
          <w:sz w:val="20"/>
          <w:szCs w:val="20"/>
        </w:rPr>
        <w:t>ales</w:t>
      </w:r>
      <w:r w:rsidR="7B0BF6C1" w:rsidRPr="00830277">
        <w:rPr>
          <w:sz w:val="20"/>
          <w:szCs w:val="20"/>
        </w:rPr>
        <w:t xml:space="preserve"> à diriger la réponse au</w:t>
      </w:r>
      <w:r w:rsidR="00374E15">
        <w:rPr>
          <w:sz w:val="20"/>
          <w:szCs w:val="20"/>
        </w:rPr>
        <w:t>x</w:t>
      </w:r>
      <w:r w:rsidR="7B0BF6C1" w:rsidRPr="00830277">
        <w:rPr>
          <w:sz w:val="20"/>
          <w:szCs w:val="20"/>
        </w:rPr>
        <w:t xml:space="preserve"> déplacement</w:t>
      </w:r>
      <w:r w:rsidR="00374E15">
        <w:rPr>
          <w:sz w:val="20"/>
          <w:szCs w:val="20"/>
        </w:rPr>
        <w:t>s</w:t>
      </w:r>
      <w:r w:rsidR="5211ACFD" w:rsidRPr="4E6EBB3F">
        <w:rPr>
          <w:sz w:val="20"/>
          <w:szCs w:val="20"/>
        </w:rPr>
        <w:t>.</w:t>
      </w:r>
    </w:p>
    <w:p w14:paraId="3092A3C4" w14:textId="77777777" w:rsidR="00F34C5F" w:rsidRPr="00830277" w:rsidRDefault="00F34C5F" w:rsidP="00CB5318">
      <w:pPr>
        <w:pStyle w:val="Default"/>
        <w:jc w:val="both"/>
        <w:rPr>
          <w:sz w:val="20"/>
          <w:szCs w:val="20"/>
        </w:rPr>
      </w:pPr>
    </w:p>
    <w:p w14:paraId="11DCA3CD" w14:textId="0377BCBD" w:rsidR="44129D15" w:rsidRDefault="44129D15" w:rsidP="00CB5318">
      <w:pPr>
        <w:pStyle w:val="Default"/>
        <w:jc w:val="both"/>
        <w:rPr>
          <w:sz w:val="20"/>
          <w:szCs w:val="20"/>
        </w:rPr>
      </w:pPr>
      <w:r w:rsidRPr="00830277">
        <w:rPr>
          <w:sz w:val="20"/>
          <w:szCs w:val="20"/>
        </w:rPr>
        <w:t>Lors des interventions d’urgence, les impacts de long terme doivent être pris en considération, notamment via la coordination entre acteurs humanitaire</w:t>
      </w:r>
      <w:r w:rsidR="00422C46">
        <w:rPr>
          <w:sz w:val="20"/>
          <w:szCs w:val="20"/>
        </w:rPr>
        <w:t>s</w:t>
      </w:r>
      <w:r w:rsidRPr="00830277">
        <w:rPr>
          <w:sz w:val="20"/>
          <w:szCs w:val="20"/>
        </w:rPr>
        <w:t xml:space="preserve"> et de développement</w:t>
      </w:r>
      <w:r w:rsidR="00DA0ADA">
        <w:rPr>
          <w:sz w:val="20"/>
          <w:szCs w:val="20"/>
        </w:rPr>
        <w:t xml:space="preserve">, </w:t>
      </w:r>
      <w:r w:rsidR="005C185B">
        <w:rPr>
          <w:sz w:val="20"/>
          <w:szCs w:val="20"/>
        </w:rPr>
        <w:t xml:space="preserve">et </w:t>
      </w:r>
      <w:r w:rsidR="00DA0ADA">
        <w:rPr>
          <w:sz w:val="20"/>
          <w:szCs w:val="20"/>
        </w:rPr>
        <w:t>des efforts doivent être fait</w:t>
      </w:r>
      <w:r w:rsidR="008B5459">
        <w:rPr>
          <w:sz w:val="20"/>
          <w:szCs w:val="20"/>
        </w:rPr>
        <w:t>s</w:t>
      </w:r>
      <w:r w:rsidR="00DA0ADA">
        <w:rPr>
          <w:sz w:val="20"/>
          <w:szCs w:val="20"/>
        </w:rPr>
        <w:t xml:space="preserve"> pour</w:t>
      </w:r>
      <w:r w:rsidRPr="00830277">
        <w:rPr>
          <w:sz w:val="20"/>
          <w:szCs w:val="20"/>
        </w:rPr>
        <w:t xml:space="preserve"> trouver des solutions durables aux déplacements.</w:t>
      </w:r>
    </w:p>
    <w:p w14:paraId="71F24CB2" w14:textId="77777777" w:rsidR="00F34C5F" w:rsidRDefault="00F34C5F" w:rsidP="00CB5318">
      <w:pPr>
        <w:pStyle w:val="Default"/>
        <w:jc w:val="both"/>
        <w:rPr>
          <w:sz w:val="20"/>
          <w:szCs w:val="20"/>
        </w:rPr>
      </w:pPr>
    </w:p>
    <w:tbl>
      <w:tblPr>
        <w:tblStyle w:val="Grilledutableau"/>
        <w:tblW w:w="0" w:type="auto"/>
        <w:tblLook w:val="04A0" w:firstRow="1" w:lastRow="0" w:firstColumn="1" w:lastColumn="0" w:noHBand="0" w:noVBand="1"/>
      </w:tblPr>
      <w:tblGrid>
        <w:gridCol w:w="9062"/>
      </w:tblGrid>
      <w:tr w:rsidR="00DD23C5" w:rsidRPr="00F01476" w14:paraId="0247BDAD" w14:textId="77777777" w:rsidTr="4E6EBB3F">
        <w:tc>
          <w:tcPr>
            <w:tcW w:w="9062" w:type="dxa"/>
          </w:tcPr>
          <w:p w14:paraId="386127FC" w14:textId="77DC19E1" w:rsidR="00DD23C5" w:rsidRPr="004267FF" w:rsidRDefault="681E03AA" w:rsidP="004267FF">
            <w:pPr>
              <w:spacing w:line="276" w:lineRule="auto"/>
              <w:jc w:val="both"/>
              <w:rPr>
                <w:i/>
                <w:sz w:val="20"/>
                <w:szCs w:val="20"/>
                <w:lang w:val="fr-FR"/>
              </w:rPr>
            </w:pPr>
            <w:r w:rsidRPr="004267FF">
              <w:rPr>
                <w:i/>
                <w:sz w:val="20"/>
                <w:szCs w:val="20"/>
                <w:lang w:val="fr-FR"/>
              </w:rPr>
              <w:t>G</w:t>
            </w:r>
            <w:r w:rsidR="559A8299" w:rsidRPr="004267FF">
              <w:rPr>
                <w:i/>
                <w:sz w:val="20"/>
                <w:szCs w:val="20"/>
                <w:lang w:val="fr-FR"/>
              </w:rPr>
              <w:t>arantir la protection</w:t>
            </w:r>
            <w:r w:rsidR="33E7BFD9" w:rsidRPr="004267FF">
              <w:rPr>
                <w:i/>
                <w:sz w:val="20"/>
                <w:szCs w:val="20"/>
                <w:lang w:val="fr-FR"/>
              </w:rPr>
              <w:t xml:space="preserve"> et l’</w:t>
            </w:r>
            <w:r w:rsidR="559A8299" w:rsidRPr="004267FF">
              <w:rPr>
                <w:i/>
                <w:sz w:val="20"/>
                <w:szCs w:val="20"/>
                <w:lang w:val="fr-FR"/>
              </w:rPr>
              <w:t xml:space="preserve">égalité d’accès aux droits en situation d’urgence </w:t>
            </w:r>
          </w:p>
        </w:tc>
      </w:tr>
      <w:tr w:rsidR="00DD23C5" w:rsidRPr="00BF790B" w14:paraId="76A9D33D" w14:textId="77777777" w:rsidTr="4E6EBB3F">
        <w:tc>
          <w:tcPr>
            <w:tcW w:w="9062" w:type="dxa"/>
          </w:tcPr>
          <w:p w14:paraId="15444222" w14:textId="19826D12" w:rsidR="00DD23C5" w:rsidRPr="004267FF" w:rsidRDefault="559A8299" w:rsidP="004267FF">
            <w:pPr>
              <w:spacing w:line="276" w:lineRule="auto"/>
              <w:jc w:val="both"/>
              <w:rPr>
                <w:i/>
                <w:sz w:val="20"/>
                <w:szCs w:val="20"/>
                <w:lang w:val="fr-FR"/>
              </w:rPr>
            </w:pPr>
            <w:r w:rsidRPr="004267FF">
              <w:rPr>
                <w:i/>
                <w:sz w:val="20"/>
                <w:szCs w:val="20"/>
                <w:lang w:val="fr-FR"/>
              </w:rPr>
              <w:t xml:space="preserve">Lieu : </w:t>
            </w:r>
            <w:r w:rsidR="2B187100" w:rsidRPr="004267FF">
              <w:rPr>
                <w:i/>
                <w:sz w:val="20"/>
                <w:szCs w:val="20"/>
                <w:lang w:val="fr-FR"/>
              </w:rPr>
              <w:t xml:space="preserve">Kismayo, </w:t>
            </w:r>
            <w:r w:rsidRPr="004267FF">
              <w:rPr>
                <w:i/>
                <w:sz w:val="20"/>
                <w:szCs w:val="20"/>
                <w:lang w:val="fr-FR"/>
              </w:rPr>
              <w:t>Somalie</w:t>
            </w:r>
            <w:bookmarkStart w:id="0" w:name="_GoBack"/>
            <w:bookmarkEnd w:id="0"/>
          </w:p>
        </w:tc>
      </w:tr>
      <w:tr w:rsidR="00DD23C5" w:rsidRPr="00F01476" w14:paraId="5494C98B" w14:textId="77777777" w:rsidTr="4E6EBB3F">
        <w:tc>
          <w:tcPr>
            <w:tcW w:w="9062" w:type="dxa"/>
          </w:tcPr>
          <w:p w14:paraId="3408E70E" w14:textId="7687305D" w:rsidR="00DD23C5" w:rsidRPr="004267FF" w:rsidRDefault="00B16215" w:rsidP="00B16215">
            <w:pPr>
              <w:spacing w:line="276" w:lineRule="auto"/>
              <w:jc w:val="both"/>
              <w:rPr>
                <w:i/>
                <w:sz w:val="20"/>
                <w:szCs w:val="20"/>
                <w:lang w:val="fr-FR"/>
              </w:rPr>
            </w:pPr>
            <w:r>
              <w:rPr>
                <w:i/>
                <w:sz w:val="20"/>
                <w:szCs w:val="20"/>
                <w:lang w:val="fr-FR"/>
              </w:rPr>
              <w:t xml:space="preserve">Contexte : </w:t>
            </w:r>
            <w:r w:rsidR="559A8299" w:rsidRPr="004267FF">
              <w:rPr>
                <w:i/>
                <w:sz w:val="20"/>
                <w:szCs w:val="20"/>
                <w:lang w:val="fr-FR"/>
              </w:rPr>
              <w:t>Kismayo</w:t>
            </w:r>
            <w:r>
              <w:rPr>
                <w:i/>
                <w:sz w:val="20"/>
                <w:szCs w:val="20"/>
                <w:lang w:val="fr-FR"/>
              </w:rPr>
              <w:t>,</w:t>
            </w:r>
            <w:r w:rsidR="559A8299" w:rsidRPr="004267FF">
              <w:rPr>
                <w:i/>
                <w:sz w:val="20"/>
                <w:szCs w:val="20"/>
                <w:lang w:val="fr-FR"/>
              </w:rPr>
              <w:t xml:space="preserve"> </w:t>
            </w:r>
            <w:r w:rsidRPr="004267FF">
              <w:rPr>
                <w:i/>
                <w:sz w:val="20"/>
                <w:szCs w:val="20"/>
                <w:lang w:val="fr-FR"/>
              </w:rPr>
              <w:t>un des endroits les plus sûrs de la régi</w:t>
            </w:r>
            <w:r>
              <w:rPr>
                <w:i/>
                <w:sz w:val="20"/>
                <w:szCs w:val="20"/>
                <w:lang w:val="fr-FR"/>
              </w:rPr>
              <w:t>on, a</w:t>
            </w:r>
            <w:r w:rsidR="559A8299" w:rsidRPr="004267FF">
              <w:rPr>
                <w:i/>
                <w:sz w:val="20"/>
                <w:szCs w:val="20"/>
                <w:lang w:val="fr-FR"/>
              </w:rPr>
              <w:t>ccueille des</w:t>
            </w:r>
            <w:r w:rsidR="00B61EAC">
              <w:rPr>
                <w:i/>
                <w:sz w:val="20"/>
                <w:szCs w:val="20"/>
                <w:lang w:val="fr-FR"/>
              </w:rPr>
              <w:t xml:space="preserve"> déplacés internes</w:t>
            </w:r>
            <w:r w:rsidR="559A8299" w:rsidRPr="004267FF">
              <w:rPr>
                <w:i/>
                <w:sz w:val="20"/>
                <w:szCs w:val="20"/>
                <w:lang w:val="fr-FR"/>
              </w:rPr>
              <w:t xml:space="preserve"> </w:t>
            </w:r>
            <w:r w:rsidR="00B61EAC">
              <w:rPr>
                <w:i/>
                <w:sz w:val="20"/>
                <w:szCs w:val="20"/>
                <w:lang w:val="fr-FR"/>
              </w:rPr>
              <w:t>fuyant</w:t>
            </w:r>
            <w:r w:rsidR="00A13966">
              <w:rPr>
                <w:i/>
                <w:sz w:val="20"/>
                <w:szCs w:val="20"/>
                <w:lang w:val="fr-FR"/>
              </w:rPr>
              <w:t xml:space="preserve"> le</w:t>
            </w:r>
            <w:r w:rsidR="00422C46" w:rsidRPr="004267FF">
              <w:rPr>
                <w:i/>
                <w:sz w:val="20"/>
                <w:szCs w:val="20"/>
                <w:lang w:val="fr-FR"/>
              </w:rPr>
              <w:t xml:space="preserve"> conflit </w:t>
            </w:r>
            <w:r w:rsidR="559A8299" w:rsidRPr="004267FF">
              <w:rPr>
                <w:i/>
                <w:sz w:val="20"/>
                <w:szCs w:val="20"/>
                <w:lang w:val="fr-FR"/>
              </w:rPr>
              <w:t xml:space="preserve">et la sécheresse, ainsi que des </w:t>
            </w:r>
            <w:r w:rsidR="00830277" w:rsidRPr="004267FF">
              <w:rPr>
                <w:i/>
                <w:sz w:val="20"/>
                <w:szCs w:val="20"/>
                <w:lang w:val="fr-FR"/>
              </w:rPr>
              <w:t>retournés</w:t>
            </w:r>
            <w:r w:rsidR="559A8299" w:rsidRPr="004267FF">
              <w:rPr>
                <w:i/>
                <w:sz w:val="20"/>
                <w:szCs w:val="20"/>
                <w:lang w:val="fr-FR"/>
              </w:rPr>
              <w:t xml:space="preserve"> </w:t>
            </w:r>
            <w:r w:rsidR="00DA0ADA" w:rsidRPr="004267FF">
              <w:rPr>
                <w:i/>
                <w:sz w:val="20"/>
                <w:szCs w:val="20"/>
                <w:lang w:val="fr-FR"/>
              </w:rPr>
              <w:t>du</w:t>
            </w:r>
            <w:r w:rsidR="00A01F68">
              <w:rPr>
                <w:i/>
                <w:sz w:val="20"/>
                <w:szCs w:val="20"/>
                <w:lang w:val="fr-FR"/>
              </w:rPr>
              <w:t xml:space="preserve"> Kenya. </w:t>
            </w:r>
            <w:r>
              <w:rPr>
                <w:i/>
                <w:sz w:val="20"/>
                <w:szCs w:val="20"/>
                <w:lang w:val="fr-FR"/>
              </w:rPr>
              <w:t xml:space="preserve">Les déplacés ainsi que </w:t>
            </w:r>
            <w:r w:rsidR="559A8299" w:rsidRPr="004267FF">
              <w:rPr>
                <w:i/>
                <w:sz w:val="20"/>
                <w:szCs w:val="20"/>
                <w:lang w:val="fr-FR"/>
              </w:rPr>
              <w:t xml:space="preserve">les communautés hôtes vivent dans des conditions très précaires.  </w:t>
            </w:r>
            <w:r w:rsidR="00E12DAF" w:rsidRPr="004267FF">
              <w:rPr>
                <w:i/>
                <w:sz w:val="20"/>
                <w:szCs w:val="20"/>
                <w:lang w:val="fr-FR"/>
              </w:rPr>
              <w:t>L</w:t>
            </w:r>
            <w:r w:rsidR="559A8299" w:rsidRPr="004267FF">
              <w:rPr>
                <w:i/>
                <w:sz w:val="20"/>
                <w:szCs w:val="20"/>
                <w:lang w:val="fr-FR"/>
              </w:rPr>
              <w:t>a plupart des sources d'eau se sont asséchées et le transport de l'eau par camion</w:t>
            </w:r>
            <w:r w:rsidR="00374E15" w:rsidRPr="004267FF">
              <w:rPr>
                <w:i/>
                <w:sz w:val="20"/>
                <w:szCs w:val="20"/>
                <w:lang w:val="fr-FR"/>
              </w:rPr>
              <w:t xml:space="preserve"> constitue </w:t>
            </w:r>
            <w:r w:rsidR="559A8299" w:rsidRPr="004267FF">
              <w:rPr>
                <w:i/>
                <w:sz w:val="20"/>
                <w:szCs w:val="20"/>
                <w:lang w:val="fr-FR"/>
              </w:rPr>
              <w:t>la principale source alternative.</w:t>
            </w:r>
            <w:r w:rsidR="00222458">
              <w:rPr>
                <w:i/>
                <w:sz w:val="20"/>
                <w:szCs w:val="20"/>
                <w:lang w:val="fr-FR"/>
              </w:rPr>
              <w:t xml:space="preserve"> Le</w:t>
            </w:r>
            <w:r w:rsidR="00222458" w:rsidRPr="00222458">
              <w:rPr>
                <w:i/>
                <w:sz w:val="20"/>
                <w:szCs w:val="20"/>
                <w:lang w:val="fr-FR"/>
              </w:rPr>
              <w:t xml:space="preserve"> changement climatique ne fera que réduire davantage l’accès des personnes aux services de base</w:t>
            </w:r>
            <w:r w:rsidR="00222458">
              <w:rPr>
                <w:i/>
                <w:sz w:val="20"/>
                <w:szCs w:val="20"/>
                <w:lang w:val="fr-FR"/>
              </w:rPr>
              <w:t>.</w:t>
            </w:r>
            <w:r w:rsidR="00222458" w:rsidRPr="00222458">
              <w:rPr>
                <w:i/>
                <w:sz w:val="20"/>
                <w:szCs w:val="20"/>
                <w:lang w:val="fr-FR"/>
              </w:rPr>
              <w:t xml:space="preserve"> </w:t>
            </w:r>
          </w:p>
        </w:tc>
      </w:tr>
      <w:tr w:rsidR="00DD23C5" w:rsidRPr="00F01476" w14:paraId="4FB88227" w14:textId="77777777" w:rsidTr="4E6EBB3F">
        <w:tc>
          <w:tcPr>
            <w:tcW w:w="9062" w:type="dxa"/>
          </w:tcPr>
          <w:p w14:paraId="309142B2" w14:textId="5D7E7650" w:rsidR="00DD23C5" w:rsidRPr="004267FF" w:rsidRDefault="559A8299" w:rsidP="00B16215">
            <w:pPr>
              <w:spacing w:line="276" w:lineRule="auto"/>
              <w:jc w:val="both"/>
              <w:rPr>
                <w:i/>
                <w:sz w:val="20"/>
                <w:szCs w:val="20"/>
                <w:lang w:val="fr-FR"/>
              </w:rPr>
            </w:pPr>
            <w:r w:rsidRPr="004267FF">
              <w:rPr>
                <w:i/>
                <w:sz w:val="20"/>
                <w:szCs w:val="20"/>
                <w:lang w:val="fr-FR"/>
              </w:rPr>
              <w:t>Réponse : En étroite coordination avec les autorités locales</w:t>
            </w:r>
            <w:r w:rsidR="00B16215">
              <w:rPr>
                <w:i/>
                <w:sz w:val="20"/>
                <w:szCs w:val="20"/>
                <w:lang w:val="fr-FR"/>
              </w:rPr>
              <w:t xml:space="preserve"> </w:t>
            </w:r>
            <w:r w:rsidR="381FCC83" w:rsidRPr="004267FF">
              <w:rPr>
                <w:i/>
                <w:sz w:val="20"/>
                <w:szCs w:val="20"/>
                <w:lang w:val="fr-FR"/>
              </w:rPr>
              <w:t xml:space="preserve">qui s’occupent des </w:t>
            </w:r>
            <w:r w:rsidR="00B16215">
              <w:rPr>
                <w:i/>
                <w:sz w:val="20"/>
                <w:szCs w:val="20"/>
                <w:lang w:val="fr-FR"/>
              </w:rPr>
              <w:t xml:space="preserve">déplacés </w:t>
            </w:r>
            <w:r w:rsidR="00B61EAC">
              <w:rPr>
                <w:i/>
                <w:sz w:val="20"/>
                <w:szCs w:val="20"/>
                <w:lang w:val="fr-FR"/>
              </w:rPr>
              <w:t>internes</w:t>
            </w:r>
            <w:r w:rsidR="381FCC83" w:rsidRPr="004267FF">
              <w:rPr>
                <w:i/>
                <w:sz w:val="20"/>
                <w:szCs w:val="20"/>
                <w:lang w:val="fr-FR"/>
              </w:rPr>
              <w:t xml:space="preserve"> (</w:t>
            </w:r>
            <w:r w:rsidRPr="004267FF">
              <w:rPr>
                <w:i/>
                <w:sz w:val="20"/>
                <w:szCs w:val="20"/>
                <w:lang w:val="fr-FR"/>
              </w:rPr>
              <w:t xml:space="preserve">Jubaland </w:t>
            </w:r>
            <w:r w:rsidR="381FCC83" w:rsidRPr="004267FF">
              <w:rPr>
                <w:i/>
                <w:sz w:val="20"/>
                <w:szCs w:val="20"/>
                <w:lang w:val="fr-FR"/>
              </w:rPr>
              <w:t xml:space="preserve">Returnees and IDPs Affairs), </w:t>
            </w:r>
            <w:r w:rsidRPr="004267FF">
              <w:rPr>
                <w:i/>
                <w:sz w:val="20"/>
                <w:szCs w:val="20"/>
                <w:lang w:val="fr-FR"/>
              </w:rPr>
              <w:t xml:space="preserve">ainsi qu’avec les organisations locales et internationales, le SIF </w:t>
            </w:r>
            <w:r w:rsidR="00DA0ADA" w:rsidRPr="004267FF">
              <w:rPr>
                <w:i/>
                <w:sz w:val="20"/>
                <w:szCs w:val="20"/>
                <w:lang w:val="fr-FR"/>
              </w:rPr>
              <w:t>répond</w:t>
            </w:r>
            <w:r w:rsidRPr="004267FF">
              <w:rPr>
                <w:i/>
                <w:sz w:val="20"/>
                <w:szCs w:val="20"/>
                <w:lang w:val="fr-FR"/>
              </w:rPr>
              <w:t xml:space="preserve"> aux besoins immédiats</w:t>
            </w:r>
            <w:r w:rsidR="00B16215">
              <w:rPr>
                <w:i/>
                <w:sz w:val="20"/>
                <w:szCs w:val="20"/>
                <w:lang w:val="fr-FR"/>
              </w:rPr>
              <w:t xml:space="preserve"> des déplacé</w:t>
            </w:r>
            <w:r w:rsidRPr="004267FF">
              <w:rPr>
                <w:i/>
                <w:sz w:val="20"/>
                <w:szCs w:val="20"/>
                <w:lang w:val="fr-FR"/>
              </w:rPr>
              <w:t>s</w:t>
            </w:r>
            <w:r w:rsidR="00F64376" w:rsidRPr="004267FF">
              <w:rPr>
                <w:i/>
                <w:sz w:val="20"/>
                <w:szCs w:val="20"/>
                <w:lang w:val="fr-FR"/>
              </w:rPr>
              <w:t xml:space="preserve"> via la distribution d’eau potable</w:t>
            </w:r>
            <w:r w:rsidRPr="004267FF">
              <w:rPr>
                <w:i/>
                <w:sz w:val="20"/>
                <w:szCs w:val="20"/>
                <w:lang w:val="fr-FR"/>
              </w:rPr>
              <w:t>. Les projets visent le</w:t>
            </w:r>
            <w:r w:rsidR="6084389A" w:rsidRPr="004267FF">
              <w:rPr>
                <w:i/>
                <w:sz w:val="20"/>
                <w:szCs w:val="20"/>
                <w:lang w:val="fr-FR"/>
              </w:rPr>
              <w:t>s</w:t>
            </w:r>
            <w:r w:rsidRPr="004267FF">
              <w:rPr>
                <w:i/>
                <w:sz w:val="20"/>
                <w:szCs w:val="20"/>
                <w:lang w:val="fr-FR"/>
              </w:rPr>
              <w:t xml:space="preserve"> plus vulnérables afin qu’elles puissent continuer à jouir de leurs droits fondamentaux dans cette situation d’urgence. </w:t>
            </w:r>
          </w:p>
        </w:tc>
      </w:tr>
    </w:tbl>
    <w:p w14:paraId="7C4A6554" w14:textId="77777777" w:rsidR="006D7696" w:rsidRDefault="006D7696" w:rsidP="006D7696">
      <w:pPr>
        <w:jc w:val="both"/>
        <w:rPr>
          <w:sz w:val="20"/>
          <w:szCs w:val="20"/>
          <w:lang w:val="fr-FR"/>
        </w:rPr>
      </w:pPr>
    </w:p>
    <w:p w14:paraId="53A970A7" w14:textId="1EA68486" w:rsidR="391033D1" w:rsidRPr="006D7696" w:rsidRDefault="391033D1" w:rsidP="006D7696">
      <w:pPr>
        <w:pStyle w:val="Paragraphedeliste"/>
        <w:numPr>
          <w:ilvl w:val="0"/>
          <w:numId w:val="1"/>
        </w:numPr>
        <w:jc w:val="both"/>
        <w:rPr>
          <w:sz w:val="20"/>
          <w:szCs w:val="20"/>
          <w:lang w:val="fr-FR"/>
        </w:rPr>
      </w:pPr>
      <w:r w:rsidRPr="006D7696">
        <w:rPr>
          <w:b/>
          <w:bCs/>
          <w:sz w:val="20"/>
          <w:szCs w:val="20"/>
          <w:lang w:val="fr-FR"/>
        </w:rPr>
        <w:lastRenderedPageBreak/>
        <w:t xml:space="preserve">Prioriser l’accès à l’EHA pour un retour ou une relocalisation durable </w:t>
      </w:r>
    </w:p>
    <w:p w14:paraId="50AB53F9" w14:textId="383711AA" w:rsidR="6B8604F2" w:rsidRDefault="34122141" w:rsidP="00350941">
      <w:pPr>
        <w:pStyle w:val="Default"/>
        <w:spacing w:line="276" w:lineRule="auto"/>
        <w:jc w:val="both"/>
        <w:rPr>
          <w:sz w:val="18"/>
          <w:szCs w:val="18"/>
        </w:rPr>
      </w:pPr>
      <w:r w:rsidRPr="4E6EBB3F">
        <w:rPr>
          <w:sz w:val="20"/>
          <w:szCs w:val="20"/>
        </w:rPr>
        <w:t>L’accès sûr, inclusif e</w:t>
      </w:r>
      <w:r w:rsidR="006D7696" w:rsidRPr="4E6EBB3F">
        <w:rPr>
          <w:sz w:val="20"/>
          <w:szCs w:val="20"/>
        </w:rPr>
        <w:t xml:space="preserve">t durable aux services de base </w:t>
      </w:r>
      <w:r w:rsidRPr="4E6EBB3F">
        <w:rPr>
          <w:sz w:val="20"/>
          <w:szCs w:val="20"/>
        </w:rPr>
        <w:t>est un facteur cl</w:t>
      </w:r>
      <w:r w:rsidR="00374E15">
        <w:rPr>
          <w:sz w:val="20"/>
          <w:szCs w:val="20"/>
        </w:rPr>
        <w:t>é</w:t>
      </w:r>
      <w:r w:rsidRPr="4E6EBB3F">
        <w:rPr>
          <w:sz w:val="20"/>
          <w:szCs w:val="20"/>
        </w:rPr>
        <w:t xml:space="preserve"> pour motiver les </w:t>
      </w:r>
      <w:r w:rsidR="00EC4E99">
        <w:rPr>
          <w:sz w:val="20"/>
          <w:szCs w:val="20"/>
        </w:rPr>
        <w:t>déplacés</w:t>
      </w:r>
      <w:r w:rsidRPr="4E6EBB3F">
        <w:rPr>
          <w:sz w:val="20"/>
          <w:szCs w:val="20"/>
        </w:rPr>
        <w:t xml:space="preserve"> à retourner vers leur lieu d’origine, lorsqu’</w:t>
      </w:r>
      <w:r w:rsidR="00EC4E99">
        <w:rPr>
          <w:sz w:val="20"/>
          <w:szCs w:val="20"/>
        </w:rPr>
        <w:t>ils</w:t>
      </w:r>
      <w:r w:rsidRPr="4E6EBB3F">
        <w:rPr>
          <w:sz w:val="20"/>
          <w:szCs w:val="20"/>
        </w:rPr>
        <w:t xml:space="preserve"> le souhaitent, </w:t>
      </w:r>
      <w:r w:rsidR="006D7696" w:rsidRPr="4E6EBB3F">
        <w:rPr>
          <w:sz w:val="20"/>
          <w:szCs w:val="20"/>
        </w:rPr>
        <w:t>ou à s’installer sur une nouvelle zone d’accueil</w:t>
      </w:r>
      <w:r w:rsidRPr="4E6EBB3F">
        <w:rPr>
          <w:sz w:val="20"/>
          <w:szCs w:val="20"/>
        </w:rPr>
        <w:t>.</w:t>
      </w:r>
      <w:r w:rsidR="5D6B3C36" w:rsidRPr="4E6EBB3F">
        <w:rPr>
          <w:sz w:val="20"/>
          <w:szCs w:val="20"/>
        </w:rPr>
        <w:t xml:space="preserve"> </w:t>
      </w:r>
    </w:p>
    <w:p w14:paraId="0CC3277E" w14:textId="514D246B" w:rsidR="1526BE8E" w:rsidRDefault="006D7696" w:rsidP="00350941">
      <w:pPr>
        <w:pStyle w:val="Default"/>
        <w:spacing w:line="276" w:lineRule="auto"/>
        <w:jc w:val="both"/>
        <w:rPr>
          <w:sz w:val="20"/>
          <w:szCs w:val="20"/>
        </w:rPr>
      </w:pPr>
      <w:r w:rsidRPr="4E6EBB3F">
        <w:rPr>
          <w:sz w:val="20"/>
          <w:szCs w:val="20"/>
        </w:rPr>
        <w:t xml:space="preserve">L'accès à l’EHA est un besoin prioritaire pour les personnes retournées/relocalisées pour garantir l’accès aux moyens </w:t>
      </w:r>
      <w:r w:rsidR="6B9CD959" w:rsidRPr="4E6EBB3F">
        <w:rPr>
          <w:sz w:val="20"/>
          <w:szCs w:val="20"/>
        </w:rPr>
        <w:t>d’existence s</w:t>
      </w:r>
      <w:r w:rsidRPr="4E6EBB3F">
        <w:rPr>
          <w:sz w:val="20"/>
          <w:szCs w:val="20"/>
        </w:rPr>
        <w:t>ûrs et durable</w:t>
      </w:r>
      <w:r w:rsidR="35FE93BE" w:rsidRPr="4E6EBB3F">
        <w:rPr>
          <w:sz w:val="20"/>
          <w:szCs w:val="20"/>
        </w:rPr>
        <w:t>s</w:t>
      </w:r>
      <w:r w:rsidRPr="4E6EBB3F">
        <w:rPr>
          <w:sz w:val="20"/>
          <w:szCs w:val="20"/>
        </w:rPr>
        <w:t xml:space="preserve">, à la sécurité alimentaire, mais aussi à la santé ou à l’éducation. </w:t>
      </w:r>
      <w:r w:rsidR="7EF31D10" w:rsidRPr="4E6EBB3F">
        <w:rPr>
          <w:sz w:val="20"/>
          <w:szCs w:val="20"/>
        </w:rPr>
        <w:t>L</w:t>
      </w:r>
      <w:r w:rsidR="545A6925" w:rsidRPr="4E6EBB3F">
        <w:rPr>
          <w:sz w:val="20"/>
          <w:szCs w:val="20"/>
        </w:rPr>
        <w:t>es standards</w:t>
      </w:r>
      <w:r w:rsidR="155B2F37" w:rsidRPr="4E6EBB3F">
        <w:rPr>
          <w:sz w:val="20"/>
          <w:szCs w:val="20"/>
        </w:rPr>
        <w:t xml:space="preserve"> minimaux</w:t>
      </w:r>
      <w:r w:rsidR="545A6925" w:rsidRPr="4E6EBB3F">
        <w:rPr>
          <w:sz w:val="20"/>
          <w:szCs w:val="20"/>
        </w:rPr>
        <w:t xml:space="preserve"> </w:t>
      </w:r>
      <w:r w:rsidR="6080F65F" w:rsidRPr="4E6EBB3F">
        <w:rPr>
          <w:sz w:val="20"/>
          <w:szCs w:val="20"/>
        </w:rPr>
        <w:t xml:space="preserve">d’accès à l’eau et l’assainissement </w:t>
      </w:r>
      <w:r w:rsidR="735C8595" w:rsidRPr="4E6EBB3F">
        <w:rPr>
          <w:sz w:val="20"/>
          <w:szCs w:val="20"/>
        </w:rPr>
        <w:t xml:space="preserve">doivent </w:t>
      </w:r>
      <w:r w:rsidR="3CB0856B" w:rsidRPr="4E6EBB3F">
        <w:rPr>
          <w:sz w:val="20"/>
          <w:szCs w:val="20"/>
        </w:rPr>
        <w:t>être</w:t>
      </w:r>
      <w:r w:rsidR="735C8595" w:rsidRPr="4E6EBB3F">
        <w:rPr>
          <w:sz w:val="20"/>
          <w:szCs w:val="20"/>
        </w:rPr>
        <w:t xml:space="preserve"> garantis par les Etats </w:t>
      </w:r>
      <w:r w:rsidR="1F1A8359" w:rsidRPr="4E6EBB3F">
        <w:rPr>
          <w:sz w:val="20"/>
          <w:szCs w:val="20"/>
        </w:rPr>
        <w:t>pour un</w:t>
      </w:r>
      <w:r w:rsidR="00830277">
        <w:rPr>
          <w:sz w:val="20"/>
          <w:szCs w:val="20"/>
        </w:rPr>
        <w:t xml:space="preserve"> relèvement rapide et durable. </w:t>
      </w:r>
    </w:p>
    <w:p w14:paraId="3E19ED54" w14:textId="23984ED5" w:rsidR="5D6B3C36" w:rsidRDefault="5D6B3C36" w:rsidP="4E6EBB3F">
      <w:pPr>
        <w:pStyle w:val="Default"/>
        <w:spacing w:line="276" w:lineRule="auto"/>
        <w:jc w:val="both"/>
        <w:rPr>
          <w:sz w:val="20"/>
          <w:szCs w:val="20"/>
        </w:rPr>
      </w:pPr>
      <w:r w:rsidRPr="4E6EBB3F">
        <w:rPr>
          <w:sz w:val="20"/>
          <w:szCs w:val="20"/>
        </w:rPr>
        <w:t xml:space="preserve">Le retour </w:t>
      </w:r>
      <w:r w:rsidR="40BD1AAF" w:rsidRPr="4E6EBB3F">
        <w:rPr>
          <w:sz w:val="20"/>
          <w:szCs w:val="20"/>
        </w:rPr>
        <w:t xml:space="preserve">ou la relocalisation </w:t>
      </w:r>
      <w:r w:rsidR="00B61EAC">
        <w:rPr>
          <w:sz w:val="20"/>
          <w:szCs w:val="20"/>
        </w:rPr>
        <w:t xml:space="preserve">des déplacés </w:t>
      </w:r>
      <w:r w:rsidRPr="4E6EBB3F">
        <w:rPr>
          <w:sz w:val="20"/>
          <w:szCs w:val="20"/>
        </w:rPr>
        <w:t xml:space="preserve">peut mettre sous pression des ressources déjà rares et des infrastructures </w:t>
      </w:r>
      <w:r w:rsidR="00374E15">
        <w:rPr>
          <w:sz w:val="20"/>
          <w:szCs w:val="20"/>
        </w:rPr>
        <w:t>d’EHA</w:t>
      </w:r>
      <w:r w:rsidRPr="4E6EBB3F">
        <w:rPr>
          <w:sz w:val="20"/>
          <w:szCs w:val="20"/>
        </w:rPr>
        <w:t xml:space="preserve"> fragiles, </w:t>
      </w:r>
      <w:r w:rsidR="00374E15">
        <w:rPr>
          <w:sz w:val="20"/>
          <w:szCs w:val="20"/>
        </w:rPr>
        <w:t xml:space="preserve">et engendrer </w:t>
      </w:r>
      <w:r w:rsidR="00B44A4F">
        <w:rPr>
          <w:sz w:val="20"/>
          <w:szCs w:val="20"/>
        </w:rPr>
        <w:t>de nouveaux</w:t>
      </w:r>
      <w:r w:rsidRPr="4E6EBB3F">
        <w:rPr>
          <w:sz w:val="20"/>
          <w:szCs w:val="20"/>
        </w:rPr>
        <w:t xml:space="preserve"> conflit</w:t>
      </w:r>
      <w:r w:rsidR="00EC4E99">
        <w:rPr>
          <w:sz w:val="20"/>
          <w:szCs w:val="20"/>
        </w:rPr>
        <w:t>s</w:t>
      </w:r>
      <w:r w:rsidRPr="4E6EBB3F">
        <w:rPr>
          <w:sz w:val="20"/>
          <w:szCs w:val="20"/>
        </w:rPr>
        <w:t xml:space="preserve"> avec les communautés locales. Dans le cadre des retours</w:t>
      </w:r>
      <w:r w:rsidR="5CBECC64" w:rsidRPr="4E6EBB3F">
        <w:rPr>
          <w:sz w:val="20"/>
          <w:szCs w:val="20"/>
        </w:rPr>
        <w:t>/relocalisations</w:t>
      </w:r>
      <w:r w:rsidRPr="4E6EBB3F">
        <w:rPr>
          <w:sz w:val="20"/>
          <w:szCs w:val="20"/>
        </w:rPr>
        <w:t xml:space="preserve">, les États, les acteurs humanitaires et les acteurs du développement doivent éviter toute exclusion dans la planification de la réalisation progressive des droits à </w:t>
      </w:r>
      <w:r w:rsidR="00D8566E">
        <w:rPr>
          <w:sz w:val="20"/>
          <w:szCs w:val="20"/>
        </w:rPr>
        <w:t>l’EHA</w:t>
      </w:r>
      <w:r w:rsidRPr="4E6EBB3F">
        <w:rPr>
          <w:sz w:val="20"/>
          <w:szCs w:val="20"/>
        </w:rPr>
        <w:t xml:space="preserve"> p</w:t>
      </w:r>
      <w:r w:rsidR="00D8566E">
        <w:rPr>
          <w:sz w:val="20"/>
          <w:szCs w:val="20"/>
        </w:rPr>
        <w:t>our prévenir les tensions</w:t>
      </w:r>
      <w:r w:rsidRPr="4E6EBB3F">
        <w:rPr>
          <w:sz w:val="20"/>
          <w:szCs w:val="20"/>
        </w:rPr>
        <w:t>.</w:t>
      </w:r>
      <w:r w:rsidR="0EF02EF5" w:rsidRPr="4E6EBB3F">
        <w:rPr>
          <w:sz w:val="20"/>
          <w:szCs w:val="20"/>
        </w:rPr>
        <w:t xml:space="preserve"> </w:t>
      </w:r>
    </w:p>
    <w:p w14:paraId="50F34EED" w14:textId="640FA7D3" w:rsidR="6B8604F2" w:rsidRDefault="6B8604F2" w:rsidP="6B8604F2">
      <w:pPr>
        <w:pStyle w:val="Default"/>
        <w:rPr>
          <w:sz w:val="20"/>
          <w:szCs w:val="20"/>
        </w:rPr>
      </w:pPr>
    </w:p>
    <w:tbl>
      <w:tblPr>
        <w:tblStyle w:val="Grilledutableau"/>
        <w:tblW w:w="0" w:type="auto"/>
        <w:tblLayout w:type="fixed"/>
        <w:tblLook w:val="04A0" w:firstRow="1" w:lastRow="0" w:firstColumn="1" w:lastColumn="0" w:noHBand="0" w:noVBand="1"/>
      </w:tblPr>
      <w:tblGrid>
        <w:gridCol w:w="9072"/>
      </w:tblGrid>
      <w:tr w:rsidR="6A6E433E" w:rsidRPr="00F01476" w14:paraId="35210C33" w14:textId="77777777" w:rsidTr="4E6EBB3F">
        <w:tc>
          <w:tcPr>
            <w:tcW w:w="9072" w:type="dxa"/>
          </w:tcPr>
          <w:p w14:paraId="21FAFD63" w14:textId="04BB9424" w:rsidR="6A6E433E" w:rsidRPr="004267FF" w:rsidRDefault="00927549" w:rsidP="6A6E433E">
            <w:pPr>
              <w:spacing w:line="276" w:lineRule="auto"/>
              <w:jc w:val="both"/>
              <w:rPr>
                <w:i/>
                <w:sz w:val="20"/>
                <w:szCs w:val="20"/>
                <w:lang w:val="fr-FR"/>
              </w:rPr>
            </w:pPr>
            <w:r w:rsidRPr="004267FF">
              <w:rPr>
                <w:i/>
                <w:sz w:val="20"/>
                <w:szCs w:val="20"/>
                <w:lang w:val="fr-FR"/>
              </w:rPr>
              <w:t>Accompagner</w:t>
            </w:r>
            <w:r w:rsidR="4DD3EFF6" w:rsidRPr="004267FF">
              <w:rPr>
                <w:i/>
                <w:sz w:val="20"/>
                <w:szCs w:val="20"/>
                <w:lang w:val="fr-FR"/>
              </w:rPr>
              <w:t xml:space="preserve"> les retours</w:t>
            </w:r>
            <w:r w:rsidRPr="004267FF">
              <w:rPr>
                <w:i/>
                <w:sz w:val="20"/>
                <w:szCs w:val="20"/>
                <w:lang w:val="fr-FR"/>
              </w:rPr>
              <w:t>/relocalisations</w:t>
            </w:r>
            <w:r w:rsidR="4DD3EFF6" w:rsidRPr="004267FF">
              <w:rPr>
                <w:i/>
                <w:sz w:val="20"/>
                <w:szCs w:val="20"/>
                <w:lang w:val="fr-FR"/>
              </w:rPr>
              <w:t xml:space="preserve"> et renforcer la résilience</w:t>
            </w:r>
          </w:p>
        </w:tc>
      </w:tr>
      <w:tr w:rsidR="6A6E433E" w:rsidRPr="00F01476" w14:paraId="400FB09E" w14:textId="77777777" w:rsidTr="4E6EBB3F">
        <w:tc>
          <w:tcPr>
            <w:tcW w:w="9072" w:type="dxa"/>
          </w:tcPr>
          <w:p w14:paraId="250F3781" w14:textId="4B9C49B2" w:rsidR="6A6E433E" w:rsidRPr="004267FF" w:rsidRDefault="2696281D" w:rsidP="6A6E433E">
            <w:pPr>
              <w:spacing w:line="276" w:lineRule="auto"/>
              <w:jc w:val="both"/>
              <w:rPr>
                <w:i/>
                <w:sz w:val="20"/>
                <w:szCs w:val="20"/>
                <w:lang w:val="fr-FR"/>
              </w:rPr>
            </w:pPr>
            <w:r w:rsidRPr="004267FF">
              <w:rPr>
                <w:i/>
                <w:sz w:val="20"/>
                <w:szCs w:val="20"/>
                <w:lang w:val="fr-FR"/>
              </w:rPr>
              <w:t>Lieu : régions du Moyen Chari, du Logone Oriental et du Logone Occidental</w:t>
            </w:r>
            <w:r w:rsidR="1895EFD6" w:rsidRPr="004267FF">
              <w:rPr>
                <w:i/>
                <w:sz w:val="20"/>
                <w:szCs w:val="20"/>
                <w:lang w:val="fr-FR"/>
              </w:rPr>
              <w:t>, Tchad</w:t>
            </w:r>
          </w:p>
        </w:tc>
      </w:tr>
      <w:tr w:rsidR="6A6E433E" w:rsidRPr="00F01476" w14:paraId="68BE8742" w14:textId="77777777" w:rsidTr="4E6EBB3F">
        <w:tc>
          <w:tcPr>
            <w:tcW w:w="9072" w:type="dxa"/>
          </w:tcPr>
          <w:p w14:paraId="7B283DB7" w14:textId="6A1A6778" w:rsidR="6A6E433E" w:rsidRPr="004267FF" w:rsidRDefault="2696281D" w:rsidP="008B4552">
            <w:pPr>
              <w:spacing w:line="276" w:lineRule="auto"/>
              <w:jc w:val="both"/>
              <w:rPr>
                <w:i/>
                <w:sz w:val="20"/>
                <w:szCs w:val="20"/>
                <w:lang w:val="fr-FR"/>
              </w:rPr>
            </w:pPr>
            <w:r w:rsidRPr="004267FF">
              <w:rPr>
                <w:i/>
                <w:sz w:val="20"/>
                <w:szCs w:val="20"/>
                <w:lang w:val="fr-FR"/>
              </w:rPr>
              <w:t xml:space="preserve">Contexte : Depuis 2013, la crise en République </w:t>
            </w:r>
            <w:r w:rsidR="28188676" w:rsidRPr="004267FF">
              <w:rPr>
                <w:i/>
                <w:sz w:val="20"/>
                <w:szCs w:val="20"/>
                <w:lang w:val="fr-FR"/>
              </w:rPr>
              <w:t>C</w:t>
            </w:r>
            <w:r w:rsidRPr="004267FF">
              <w:rPr>
                <w:i/>
                <w:sz w:val="20"/>
                <w:szCs w:val="20"/>
                <w:lang w:val="fr-FR"/>
              </w:rPr>
              <w:t xml:space="preserve">entrafricaine a engendré des afflux de réfugiés et de retournés dans </w:t>
            </w:r>
            <w:r w:rsidR="008B4552" w:rsidRPr="004267FF">
              <w:rPr>
                <w:i/>
                <w:sz w:val="20"/>
                <w:szCs w:val="20"/>
                <w:lang w:val="fr-FR"/>
              </w:rPr>
              <w:t>le</w:t>
            </w:r>
            <w:r w:rsidRPr="004267FF">
              <w:rPr>
                <w:i/>
                <w:sz w:val="20"/>
                <w:szCs w:val="20"/>
                <w:lang w:val="fr-FR"/>
              </w:rPr>
              <w:t xml:space="preserve"> sud du Tchad, créant des pressions importantes sur les ressources naturelles et les infrastructures </w:t>
            </w:r>
            <w:r w:rsidR="006A6317" w:rsidRPr="004267FF">
              <w:rPr>
                <w:i/>
                <w:sz w:val="20"/>
                <w:szCs w:val="20"/>
                <w:lang w:val="fr-FR"/>
              </w:rPr>
              <w:t>EHA</w:t>
            </w:r>
            <w:r w:rsidRPr="004267FF">
              <w:rPr>
                <w:i/>
                <w:sz w:val="20"/>
                <w:szCs w:val="20"/>
                <w:lang w:val="fr-FR"/>
              </w:rPr>
              <w:t xml:space="preserve"> existantes. </w:t>
            </w:r>
          </w:p>
        </w:tc>
      </w:tr>
      <w:tr w:rsidR="6A6E433E" w:rsidRPr="00F01476" w14:paraId="2BE74319" w14:textId="77777777" w:rsidTr="4E6EBB3F">
        <w:tc>
          <w:tcPr>
            <w:tcW w:w="9072" w:type="dxa"/>
          </w:tcPr>
          <w:p w14:paraId="26E0B46A" w14:textId="75A99BF5" w:rsidR="6A6E433E" w:rsidRPr="004267FF" w:rsidRDefault="2696281D" w:rsidP="00DC28A2">
            <w:pPr>
              <w:spacing w:line="276" w:lineRule="auto"/>
              <w:jc w:val="both"/>
              <w:rPr>
                <w:i/>
                <w:sz w:val="20"/>
                <w:szCs w:val="20"/>
                <w:lang w:val="fr-FR"/>
              </w:rPr>
            </w:pPr>
            <w:r w:rsidRPr="004267FF">
              <w:rPr>
                <w:i/>
                <w:sz w:val="20"/>
                <w:szCs w:val="20"/>
                <w:lang w:val="fr-FR"/>
              </w:rPr>
              <w:t>Réponse</w:t>
            </w:r>
            <w:r w:rsidR="0032604D" w:rsidRPr="004267FF">
              <w:rPr>
                <w:i/>
                <w:sz w:val="20"/>
                <w:szCs w:val="20"/>
                <w:lang w:val="fr-FR"/>
              </w:rPr>
              <w:t xml:space="preserve"> </w:t>
            </w:r>
            <w:r w:rsidRPr="004267FF">
              <w:rPr>
                <w:i/>
                <w:sz w:val="20"/>
                <w:szCs w:val="20"/>
                <w:lang w:val="fr-FR"/>
              </w:rPr>
              <w:t xml:space="preserve">: </w:t>
            </w:r>
            <w:r w:rsidR="008B4552" w:rsidRPr="004267FF">
              <w:rPr>
                <w:i/>
                <w:sz w:val="20"/>
                <w:szCs w:val="20"/>
                <w:lang w:val="fr-FR"/>
              </w:rPr>
              <w:t>L</w:t>
            </w:r>
            <w:r w:rsidRPr="004267FF">
              <w:rPr>
                <w:i/>
                <w:sz w:val="20"/>
                <w:szCs w:val="20"/>
                <w:lang w:val="fr-FR"/>
              </w:rPr>
              <w:t xml:space="preserve">e SIF a développé un projet d’accès à </w:t>
            </w:r>
            <w:r w:rsidR="0032604D" w:rsidRPr="004267FF">
              <w:rPr>
                <w:i/>
                <w:sz w:val="20"/>
                <w:szCs w:val="20"/>
                <w:lang w:val="fr-FR"/>
              </w:rPr>
              <w:t>l’EHA</w:t>
            </w:r>
            <w:r w:rsidRPr="004267FF">
              <w:rPr>
                <w:i/>
                <w:sz w:val="20"/>
                <w:szCs w:val="20"/>
                <w:lang w:val="fr-FR"/>
              </w:rPr>
              <w:t xml:space="preserve"> centré sur le renforcement des capacités et la participation des populations dans la gestion des services. </w:t>
            </w:r>
            <w:r w:rsidR="0032604D" w:rsidRPr="004267FF">
              <w:rPr>
                <w:i/>
                <w:sz w:val="20"/>
                <w:szCs w:val="20"/>
                <w:lang w:val="fr-FR"/>
              </w:rPr>
              <w:t>L</w:t>
            </w:r>
            <w:r w:rsidRPr="004267FF">
              <w:rPr>
                <w:i/>
                <w:sz w:val="20"/>
                <w:szCs w:val="20"/>
                <w:lang w:val="fr-FR"/>
              </w:rPr>
              <w:t>es communautés sont les principaux décideurs du projet dès sa conception dans le cadre de comités de gestion. Cette approche permet une meilleure adaptation des projets au contexte local, leur appropriation et une gestion plus inclusive. Le projet contribue au renforcement de la gouvernance locale</w:t>
            </w:r>
            <w:r w:rsidR="00F04290">
              <w:rPr>
                <w:i/>
                <w:sz w:val="20"/>
                <w:szCs w:val="20"/>
                <w:lang w:val="fr-FR"/>
              </w:rPr>
              <w:t>,</w:t>
            </w:r>
            <w:r w:rsidRPr="004267FF">
              <w:rPr>
                <w:i/>
                <w:sz w:val="20"/>
                <w:szCs w:val="20"/>
                <w:lang w:val="fr-FR"/>
              </w:rPr>
              <w:t xml:space="preserve"> tout en réduisant les vulnérabilités et donc l’impact néfaste des crises. En plus de répondre à un enjeu de santé publique, le projet répond à un enjeu de cohésion sociale entre déplacés e</w:t>
            </w:r>
            <w:r w:rsidR="0032604D" w:rsidRPr="004267FF">
              <w:rPr>
                <w:i/>
                <w:sz w:val="20"/>
                <w:szCs w:val="20"/>
                <w:lang w:val="fr-FR"/>
              </w:rPr>
              <w:t xml:space="preserve">t populations hôtes </w:t>
            </w:r>
            <w:r w:rsidRPr="004267FF">
              <w:rPr>
                <w:i/>
                <w:sz w:val="20"/>
                <w:szCs w:val="20"/>
                <w:lang w:val="fr-FR"/>
              </w:rPr>
              <w:t>permet</w:t>
            </w:r>
            <w:r w:rsidR="0032604D" w:rsidRPr="004267FF">
              <w:rPr>
                <w:i/>
                <w:sz w:val="20"/>
                <w:szCs w:val="20"/>
                <w:lang w:val="fr-FR"/>
              </w:rPr>
              <w:t>tant</w:t>
            </w:r>
            <w:r w:rsidRPr="004267FF">
              <w:rPr>
                <w:i/>
                <w:sz w:val="20"/>
                <w:szCs w:val="20"/>
                <w:lang w:val="fr-FR"/>
              </w:rPr>
              <w:t xml:space="preserve"> d’éviter les conflits. </w:t>
            </w:r>
            <w:r w:rsidR="00DC28A2" w:rsidRPr="004267FF">
              <w:rPr>
                <w:i/>
                <w:sz w:val="20"/>
                <w:szCs w:val="20"/>
                <w:lang w:val="fr-FR"/>
              </w:rPr>
              <w:t>Avec</w:t>
            </w:r>
            <w:r w:rsidRPr="004267FF">
              <w:rPr>
                <w:i/>
                <w:sz w:val="20"/>
                <w:szCs w:val="20"/>
                <w:lang w:val="fr-FR"/>
              </w:rPr>
              <w:t xml:space="preserve"> cette approche participative, ainsi qu</w:t>
            </w:r>
            <w:r w:rsidR="00DC28A2" w:rsidRPr="004267FF">
              <w:rPr>
                <w:i/>
                <w:sz w:val="20"/>
                <w:szCs w:val="20"/>
                <w:lang w:val="fr-FR"/>
              </w:rPr>
              <w:t>e</w:t>
            </w:r>
            <w:r w:rsidRPr="004267FF">
              <w:rPr>
                <w:i/>
                <w:sz w:val="20"/>
                <w:szCs w:val="20"/>
                <w:lang w:val="fr-FR"/>
              </w:rPr>
              <w:t xml:space="preserve"> la coordination entre acteurs humanitaire</w:t>
            </w:r>
            <w:r w:rsidR="2ACD3BEA" w:rsidRPr="004267FF">
              <w:rPr>
                <w:i/>
                <w:sz w:val="20"/>
                <w:szCs w:val="20"/>
                <w:lang w:val="fr-FR"/>
              </w:rPr>
              <w:t>s</w:t>
            </w:r>
            <w:r w:rsidRPr="004267FF">
              <w:rPr>
                <w:i/>
                <w:sz w:val="20"/>
                <w:szCs w:val="20"/>
                <w:lang w:val="fr-FR"/>
              </w:rPr>
              <w:t xml:space="preserve"> et de développement, la résilience de ces communautés est renforcée.</w:t>
            </w:r>
          </w:p>
        </w:tc>
      </w:tr>
    </w:tbl>
    <w:p w14:paraId="54BF4852" w14:textId="31BFC834" w:rsidR="6A6E433E" w:rsidRDefault="6A6E433E" w:rsidP="6A6E433E">
      <w:pPr>
        <w:pStyle w:val="Default"/>
        <w:rPr>
          <w:sz w:val="20"/>
          <w:szCs w:val="20"/>
        </w:rPr>
      </w:pPr>
    </w:p>
    <w:p w14:paraId="62DD38A6" w14:textId="51C3EDBA" w:rsidR="1526BE8E" w:rsidRDefault="1526BE8E" w:rsidP="1526BE8E">
      <w:pPr>
        <w:pStyle w:val="Default"/>
        <w:rPr>
          <w:sz w:val="20"/>
          <w:szCs w:val="20"/>
        </w:rPr>
      </w:pPr>
    </w:p>
    <w:p w14:paraId="46472BBC" w14:textId="43BA8517" w:rsidR="1526BE8E" w:rsidRDefault="1526BE8E" w:rsidP="1526BE8E">
      <w:pPr>
        <w:pStyle w:val="Default"/>
        <w:rPr>
          <w:sz w:val="20"/>
          <w:szCs w:val="20"/>
        </w:rPr>
      </w:pPr>
    </w:p>
    <w:p w14:paraId="66895741" w14:textId="77777777" w:rsidR="00E262FA" w:rsidRPr="0083642D" w:rsidRDefault="00E262FA" w:rsidP="005E4DE8">
      <w:pPr>
        <w:pStyle w:val="Default"/>
      </w:pPr>
    </w:p>
    <w:p w14:paraId="77DA1ED7" w14:textId="08762C9A" w:rsidR="001F4566" w:rsidRPr="00374E15" w:rsidRDefault="001F4566" w:rsidP="00830277">
      <w:pPr>
        <w:pStyle w:val="Sansinterligne"/>
        <w:jc w:val="right"/>
        <w:rPr>
          <w:rFonts w:ascii="Calibri" w:eastAsia="Calibri" w:hAnsi="Calibri" w:cs="Calibri"/>
          <w:b/>
          <w:bCs/>
          <w:sz w:val="20"/>
          <w:szCs w:val="20"/>
        </w:rPr>
      </w:pPr>
      <w:r w:rsidRPr="00374E15">
        <w:rPr>
          <w:rFonts w:ascii="Calibri" w:eastAsia="Calibri" w:hAnsi="Calibri" w:cs="Calibri"/>
          <w:b/>
          <w:bCs/>
          <w:sz w:val="20"/>
          <w:szCs w:val="20"/>
        </w:rPr>
        <w:t xml:space="preserve">Contact : </w:t>
      </w:r>
    </w:p>
    <w:p w14:paraId="2563893F" w14:textId="77777777" w:rsidR="00830277" w:rsidRPr="00374E15" w:rsidRDefault="00830277" w:rsidP="00830277">
      <w:pPr>
        <w:pStyle w:val="Sansinterligne"/>
        <w:jc w:val="right"/>
        <w:rPr>
          <w:rFonts w:ascii="Calibri" w:eastAsia="Calibri" w:hAnsi="Calibri" w:cs="Calibri"/>
          <w:b/>
          <w:bCs/>
          <w:sz w:val="20"/>
          <w:szCs w:val="20"/>
        </w:rPr>
      </w:pPr>
    </w:p>
    <w:p w14:paraId="5434CBAA" w14:textId="6C69906B" w:rsidR="001F4566" w:rsidRPr="00374E15" w:rsidRDefault="001F4566" w:rsidP="00830277">
      <w:pPr>
        <w:pStyle w:val="Sansinterligne"/>
        <w:jc w:val="right"/>
        <w:rPr>
          <w:rFonts w:ascii="Calibri" w:eastAsia="Calibri" w:hAnsi="Calibri" w:cs="Calibri"/>
          <w:b/>
          <w:bCs/>
          <w:sz w:val="20"/>
          <w:szCs w:val="20"/>
        </w:rPr>
      </w:pPr>
      <w:r w:rsidRPr="00374E15">
        <w:rPr>
          <w:rFonts w:ascii="Calibri" w:eastAsia="Calibri" w:hAnsi="Calibri" w:cs="Calibri"/>
          <w:b/>
          <w:bCs/>
          <w:sz w:val="20"/>
          <w:szCs w:val="20"/>
        </w:rPr>
        <w:t>Valentina Origoni</w:t>
      </w:r>
    </w:p>
    <w:p w14:paraId="3BDEC648" w14:textId="4A2E01EE" w:rsidR="001F4566" w:rsidRPr="00374E15" w:rsidRDefault="001F4566" w:rsidP="00830277">
      <w:pPr>
        <w:pStyle w:val="Sansinterligne"/>
        <w:jc w:val="right"/>
        <w:rPr>
          <w:rFonts w:ascii="Calibri" w:eastAsia="Calibri" w:hAnsi="Calibri" w:cs="Calibri"/>
          <w:b/>
          <w:bCs/>
          <w:sz w:val="20"/>
          <w:szCs w:val="20"/>
        </w:rPr>
      </w:pPr>
      <w:r w:rsidRPr="00374E15">
        <w:rPr>
          <w:rFonts w:ascii="Calibri" w:eastAsia="Calibri" w:hAnsi="Calibri" w:cs="Calibri"/>
          <w:b/>
          <w:bCs/>
          <w:sz w:val="20"/>
          <w:szCs w:val="20"/>
        </w:rPr>
        <w:t>R</w:t>
      </w:r>
      <w:r w:rsidR="00830277" w:rsidRPr="00374E15">
        <w:rPr>
          <w:rFonts w:ascii="Calibri" w:eastAsia="Calibri" w:hAnsi="Calibri" w:cs="Calibri"/>
          <w:b/>
          <w:bCs/>
          <w:sz w:val="20"/>
          <w:szCs w:val="20"/>
        </w:rPr>
        <w:t>esponsa</w:t>
      </w:r>
      <w:r w:rsidRPr="00374E15">
        <w:rPr>
          <w:rFonts w:ascii="Calibri" w:eastAsia="Calibri" w:hAnsi="Calibri" w:cs="Calibri"/>
          <w:b/>
          <w:bCs/>
          <w:sz w:val="20"/>
          <w:szCs w:val="20"/>
        </w:rPr>
        <w:t>ble Plaidoyer et Relations Extérieures</w:t>
      </w:r>
    </w:p>
    <w:p w14:paraId="41EA9198" w14:textId="6E93D7F3" w:rsidR="001F4566" w:rsidRDefault="001F4566" w:rsidP="00830277">
      <w:pPr>
        <w:pStyle w:val="Sansinterligne"/>
        <w:jc w:val="right"/>
        <w:rPr>
          <w:b/>
          <w:bCs/>
          <w:sz w:val="20"/>
          <w:szCs w:val="20"/>
        </w:rPr>
      </w:pPr>
      <w:r w:rsidRPr="00374E15">
        <w:rPr>
          <w:rFonts w:ascii="Calibri" w:eastAsia="Calibri" w:hAnsi="Calibri" w:cs="Calibri"/>
          <w:b/>
          <w:bCs/>
          <w:sz w:val="20"/>
          <w:szCs w:val="20"/>
        </w:rPr>
        <w:t>origoni@secours-islamique.org</w:t>
      </w:r>
    </w:p>
    <w:p w14:paraId="39939730" w14:textId="65857D1D" w:rsidR="000A2636" w:rsidRPr="0083642D" w:rsidRDefault="000A2636" w:rsidP="00830277">
      <w:pPr>
        <w:pStyle w:val="Sansinterligne"/>
        <w:jc w:val="both"/>
      </w:pPr>
    </w:p>
    <w:sectPr w:rsidR="000A2636" w:rsidRPr="0083642D">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BE0A2D" w16cex:dateUtc="2020-06-12T12:23:58.419Z"/>
  <w16cex:commentExtensible w16cex:durableId="6E0C007E" w16cex:dateUtc="2020-06-15T12:55:47.967Z"/>
  <w16cex:commentExtensible w16cex:durableId="603CD8DE" w16cex:dateUtc="2020-06-15T08:52:25Z"/>
  <w16cex:commentExtensible w16cex:durableId="1DA0C9E0" w16cex:dateUtc="2020-06-15T14:10:58.369Z"/>
  <w16cex:commentExtensible w16cex:durableId="2DD88E0A" w16cex:dateUtc="2020-06-15T14:11:15.878Z"/>
  <w16cex:commentExtensible w16cex:durableId="3BB7422A" w16cex:dateUtc="2020-06-15T14:23:03.54Z"/>
  <w16cex:commentExtensible w16cex:durableId="004ED370" w16cex:dateUtc="2020-06-15T14:32:11.47Z"/>
  <w16cex:commentExtensible w16cex:durableId="2C138C13" w16cex:dateUtc="2020-06-15T15:13:25.741Z"/>
  <w16cex:commentExtensible w16cex:durableId="5FB22C47" w16cex:dateUtc="2020-06-15T15:21:25.102Z"/>
  <w16cex:commentExtensible w16cex:durableId="50334CB4" w16cex:dateUtc="2020-06-16T07:35:27.447Z"/>
  <w16cex:commentExtensible w16cex:durableId="74CDAF38" w16cex:dateUtc="2020-06-16T07:35:42.096Z"/>
  <w16cex:commentExtensible w16cex:durableId="1EC90909" w16cex:dateUtc="2020-06-16T07:39:19.569Z"/>
  <w16cex:commentExtensible w16cex:durableId="3B494F88" w16cex:dateUtc="2020-06-16T07:40:13.937Z"/>
  <w16cex:commentExtensible w16cex:durableId="1E9E6C3E" w16cex:dateUtc="2020-06-16T07:43:41.947Z"/>
  <w16cex:commentExtensible w16cex:durableId="55823E9D" w16cex:dateUtc="2020-06-16T07:45:04.558Z"/>
  <w16cex:commentExtensible w16cex:durableId="32D49263" w16cex:dateUtc="2020-06-16T08:21:52.069Z"/>
  <w16cex:commentExtensible w16cex:durableId="2D27FEFC" w16cex:dateUtc="2020-06-16T08:43:05.713Z"/>
  <w16cex:commentExtensible w16cex:durableId="7C6AC1D6" w16cex:dateUtc="2020-06-16T08:44:47Z"/>
  <w16cex:commentExtensible w16cex:durableId="5B8CE652" w16cex:dateUtc="2020-06-16T08:45:26.223Z"/>
  <w16cex:commentExtensible w16cex:durableId="15DD3A42" w16cex:dateUtc="2020-06-16T08:50:41.159Z"/>
  <w16cex:commentExtensible w16cex:durableId="373657AA" w16cex:dateUtc="2020-06-16T08:53:36.401Z"/>
  <w16cex:commentExtensible w16cex:durableId="7146E030" w16cex:dateUtc="2020-06-16T09:08:05.868Z"/>
  <w16cex:commentExtensible w16cex:durableId="742C96C1" w16cex:dateUtc="2020-06-16T09:32:34.652Z"/>
  <w16cex:commentExtensible w16cex:durableId="09139D6B" w16cex:dateUtc="2020-06-16T09:38:55.489Z"/>
  <w16cex:commentExtensible w16cex:durableId="223A93C4" w16cex:dateUtc="2020-06-16T09:45:49.851Z"/>
  <w16cex:commentExtensible w16cex:durableId="714000B2" w16cex:dateUtc="2020-06-16T09:48:47.373Z"/>
  <w16cex:commentExtensible w16cex:durableId="28D6D2CC" w16cex:dateUtc="2020-06-16T10:07:12.371Z"/>
  <w16cex:commentExtensible w16cex:durableId="26F9D851" w16cex:dateUtc="2020-06-16T10:08:13.597Z"/>
</w16cex:commentsExtensible>
</file>

<file path=word/commentsIds.xml><?xml version="1.0" encoding="utf-8"?>
<w16cid:commentsIds xmlns:mc="http://schemas.openxmlformats.org/markup-compatibility/2006" xmlns:w16cid="http://schemas.microsoft.com/office/word/2016/wordml/cid" mc:Ignorable="w16cid">
  <w16cid:commentId w16cid:paraId="1C23B7DE" w16cid:durableId="1FBE0A2D"/>
  <w16cid:commentId w16cid:paraId="0061D201" w16cid:durableId="6E0C007E"/>
  <w16cid:commentId w16cid:paraId="1828E74A" w16cid:durableId="603CD8DE"/>
  <w16cid:commentId w16cid:paraId="52138E53" w16cid:durableId="2DD88E0A"/>
  <w16cid:commentId w16cid:paraId="7B6258AA" w16cid:durableId="3BB7422A"/>
  <w16cid:commentId w16cid:paraId="1CD1923D" w16cid:durableId="3FBDF8CF"/>
  <w16cid:commentId w16cid:paraId="34B96DB3" w16cid:durableId="1DA0C9E0"/>
  <w16cid:commentId w16cid:paraId="6118217B" w16cid:durableId="004ED370"/>
  <w16cid:commentId w16cid:paraId="7C7233F8" w16cid:durableId="2C138C13"/>
  <w16cid:commentId w16cid:paraId="5F7D1165" w16cid:durableId="5FB22C47"/>
  <w16cid:commentId w16cid:paraId="1B4AA9B9" w16cid:durableId="77FF0635"/>
  <w16cid:commentId w16cid:paraId="5BD5E0CF" w16cid:durableId="4C0B28DC"/>
  <w16cid:commentId w16cid:paraId="30716D31" w16cid:durableId="4BC48042"/>
  <w16cid:commentId w16cid:paraId="455A3056" w16cid:durableId="33DC5F76"/>
  <w16cid:commentId w16cid:paraId="0151436D" w16cid:durableId="7A0F3040"/>
  <w16cid:commentId w16cid:paraId="246B5108" w16cid:durableId="697337F8"/>
  <w16cid:commentId w16cid:paraId="293E6D78" w16cid:durableId="530023AE"/>
  <w16cid:commentId w16cid:paraId="377BF213" w16cid:durableId="42676027"/>
  <w16cid:commentId w16cid:paraId="7AF1DDBD" w16cid:durableId="4F0A99A4"/>
  <w16cid:commentId w16cid:paraId="160D847E" w16cid:durableId="35305657"/>
  <w16cid:commentId w16cid:paraId="726B1C21" w16cid:durableId="50334CB4"/>
  <w16cid:commentId w16cid:paraId="1ACAC5DF" w16cid:durableId="74CDAF38"/>
  <w16cid:commentId w16cid:paraId="1B48807B" w16cid:durableId="1EC90909"/>
  <w16cid:commentId w16cid:paraId="540F20B4" w16cid:durableId="3B494F88"/>
  <w16cid:commentId w16cid:paraId="3CE2026D" w16cid:durableId="1E9E6C3E"/>
  <w16cid:commentId w16cid:paraId="3EE85723" w16cid:durableId="55823E9D"/>
  <w16cid:commentId w16cid:paraId="36D1D28B" w16cid:durableId="32D49263"/>
  <w16cid:commentId w16cid:paraId="5B99FFAC" w16cid:durableId="2D27FEFC"/>
  <w16cid:commentId w16cid:paraId="7651B788" w16cid:durableId="7C6AC1D6"/>
  <w16cid:commentId w16cid:paraId="1CD69A8B" w16cid:durableId="5B8CE652"/>
  <w16cid:commentId w16cid:paraId="43DF683C" w16cid:durableId="15DD3A42"/>
  <w16cid:commentId w16cid:paraId="038ACEF0" w16cid:durableId="373657AA"/>
  <w16cid:commentId w16cid:paraId="5C783E50" w16cid:durableId="7146E030"/>
  <w16cid:commentId w16cid:paraId="1E990A38" w16cid:durableId="47B0832B"/>
  <w16cid:commentId w16cid:paraId="26E97C8B" w16cid:durableId="742C96C1"/>
  <w16cid:commentId w16cid:paraId="09671F20" w16cid:durableId="09139D6B"/>
  <w16cid:commentId w16cid:paraId="41AF70A1" w16cid:durableId="223A93C4"/>
  <w16cid:commentId w16cid:paraId="4AAF905A" w16cid:durableId="714000B2"/>
  <w16cid:commentId w16cid:paraId="75967B14" w16cid:durableId="28D6D2CC"/>
  <w16cid:commentId w16cid:paraId="450B29E1" w16cid:durableId="26F9D851"/>
  <w16cid:commentId w16cid:paraId="26201EBC" w16cid:durableId="33CC19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1C48" w14:textId="77777777" w:rsidR="000416E7" w:rsidRDefault="000416E7">
      <w:pPr>
        <w:spacing w:after="0" w:line="240" w:lineRule="auto"/>
      </w:pPr>
      <w:r>
        <w:separator/>
      </w:r>
    </w:p>
  </w:endnote>
  <w:endnote w:type="continuationSeparator" w:id="0">
    <w:p w14:paraId="7A976BFD" w14:textId="77777777" w:rsidR="000416E7" w:rsidRDefault="0004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90474"/>
      <w:docPartObj>
        <w:docPartGallery w:val="Page Numbers (Bottom of Page)"/>
        <w:docPartUnique/>
      </w:docPartObj>
    </w:sdtPr>
    <w:sdtEndPr/>
    <w:sdtContent>
      <w:p w14:paraId="1224B4BF" w14:textId="405C9F16" w:rsidR="00715B1C" w:rsidRDefault="00715B1C">
        <w:pPr>
          <w:pStyle w:val="Pieddepage"/>
          <w:jc w:val="right"/>
        </w:pPr>
        <w:r>
          <w:fldChar w:fldCharType="begin"/>
        </w:r>
        <w:r>
          <w:instrText>PAGE   \* MERGEFORMAT</w:instrText>
        </w:r>
        <w:r>
          <w:fldChar w:fldCharType="separate"/>
        </w:r>
        <w:r w:rsidR="00E805F8" w:rsidRPr="00E805F8">
          <w:rPr>
            <w:noProof/>
            <w:lang w:val="fr-FR"/>
          </w:rPr>
          <w:t>1</w:t>
        </w:r>
        <w:r>
          <w:fldChar w:fldCharType="end"/>
        </w:r>
      </w:p>
    </w:sdtContent>
  </w:sdt>
  <w:p w14:paraId="67743676" w14:textId="04B7F94E" w:rsidR="641ABFC8" w:rsidRDefault="641ABFC8" w:rsidP="641ABF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BA84" w14:textId="77777777" w:rsidR="000416E7" w:rsidRDefault="000416E7">
      <w:pPr>
        <w:spacing w:after="0" w:line="240" w:lineRule="auto"/>
      </w:pPr>
      <w:r>
        <w:separator/>
      </w:r>
    </w:p>
  </w:footnote>
  <w:footnote w:type="continuationSeparator" w:id="0">
    <w:p w14:paraId="700A153A" w14:textId="77777777" w:rsidR="000416E7" w:rsidRDefault="000416E7">
      <w:pPr>
        <w:spacing w:after="0" w:line="240" w:lineRule="auto"/>
      </w:pPr>
      <w:r>
        <w:continuationSeparator/>
      </w:r>
    </w:p>
  </w:footnote>
  <w:footnote w:id="1">
    <w:p w14:paraId="0D36D14C" w14:textId="723D54B8" w:rsidR="0065D00F" w:rsidRPr="00DD23C5" w:rsidRDefault="0065D00F" w:rsidP="00137FDB">
      <w:pPr>
        <w:pStyle w:val="Notedebasdepage"/>
        <w:jc w:val="both"/>
        <w:rPr>
          <w:lang w:val="fr-FR"/>
        </w:rPr>
      </w:pPr>
      <w:r w:rsidRPr="00224B24">
        <w:rPr>
          <w:rStyle w:val="Appelnotedebasdep"/>
          <w:sz w:val="16"/>
        </w:rPr>
        <w:footnoteRef/>
      </w:r>
      <w:r w:rsidRPr="00224B24">
        <w:rPr>
          <w:sz w:val="16"/>
          <w:lang w:val="fr-FR"/>
        </w:rPr>
        <w:t xml:space="preserve"> </w:t>
      </w:r>
      <w:hyperlink r:id="rId1">
        <w:r w:rsidR="00087308" w:rsidRPr="00224B24">
          <w:rPr>
            <w:rStyle w:val="Lienhypertexte"/>
            <w:rFonts w:asciiTheme="minorHAnsi" w:eastAsiaTheme="minorEastAsia" w:hAnsiTheme="minorHAnsi" w:cstheme="minorBidi"/>
            <w:color w:val="004A84"/>
            <w:sz w:val="16"/>
            <w:lang w:val="fr-FR"/>
          </w:rPr>
          <w:t>R</w:t>
        </w:r>
        <w:r w:rsidRPr="00224B24">
          <w:rPr>
            <w:rStyle w:val="Lienhypertexte"/>
            <w:rFonts w:asciiTheme="minorHAnsi" w:eastAsiaTheme="minorEastAsia" w:hAnsiTheme="minorHAnsi" w:cstheme="minorBidi"/>
            <w:color w:val="004A84"/>
            <w:sz w:val="16"/>
            <w:lang w:val="fr-FR"/>
          </w:rPr>
          <w:t>ésolution 64/292 (2010) de l'ONU</w:t>
        </w:r>
      </w:hyperlink>
    </w:p>
  </w:footnote>
  <w:footnote w:id="2">
    <w:p w14:paraId="0E981D83" w14:textId="0C243040" w:rsidR="007F1497" w:rsidRPr="00224B24" w:rsidRDefault="007F1497" w:rsidP="00137FDB">
      <w:pPr>
        <w:pStyle w:val="Notedebasdepage"/>
        <w:jc w:val="both"/>
        <w:rPr>
          <w:sz w:val="16"/>
          <w:lang w:val="fr-FR"/>
        </w:rPr>
      </w:pPr>
      <w:r w:rsidRPr="00224B24">
        <w:rPr>
          <w:rStyle w:val="Appelnotedebasdep"/>
          <w:sz w:val="16"/>
        </w:rPr>
        <w:footnoteRef/>
      </w:r>
      <w:r w:rsidRPr="00224B24">
        <w:rPr>
          <w:sz w:val="16"/>
          <w:lang w:val="fr-FR"/>
        </w:rPr>
        <w:t xml:space="preserve"> </w:t>
      </w:r>
      <w:r w:rsidR="00087308" w:rsidRPr="00224B24">
        <w:rPr>
          <w:sz w:val="16"/>
          <w:lang w:val="fr-FR"/>
        </w:rPr>
        <w:t>E</w:t>
      </w:r>
      <w:r w:rsidRPr="00224B24">
        <w:rPr>
          <w:sz w:val="16"/>
          <w:lang w:val="fr-FR"/>
        </w:rPr>
        <w:t>tude</w:t>
      </w:r>
      <w:r w:rsidR="007C7FBD" w:rsidRPr="00224B24">
        <w:rPr>
          <w:sz w:val="16"/>
          <w:lang w:val="fr-FR"/>
        </w:rPr>
        <w:t xml:space="preserve"> </w:t>
      </w:r>
      <w:r w:rsidRPr="00224B24">
        <w:rPr>
          <w:sz w:val="16"/>
          <w:lang w:val="fr-FR"/>
        </w:rPr>
        <w:t>Partenariat Français pour l’Eau/Coalition Eau, juin 2016</w:t>
      </w:r>
    </w:p>
  </w:footnote>
  <w:footnote w:id="3">
    <w:p w14:paraId="4781F004" w14:textId="08CDAF01" w:rsidR="003B5DF8" w:rsidRPr="003B5DF8" w:rsidRDefault="003B5DF8" w:rsidP="00137FDB">
      <w:pPr>
        <w:pStyle w:val="Notedebasdepage"/>
        <w:jc w:val="both"/>
        <w:rPr>
          <w:lang w:val="fr-FR"/>
        </w:rPr>
      </w:pPr>
      <w:r w:rsidRPr="00224B24">
        <w:rPr>
          <w:rStyle w:val="Appelnotedebasdep"/>
          <w:sz w:val="16"/>
        </w:rPr>
        <w:footnoteRef/>
      </w:r>
      <w:r w:rsidRPr="00224B24">
        <w:rPr>
          <w:sz w:val="16"/>
          <w:lang w:val="fr-FR"/>
        </w:rPr>
        <w:t xml:space="preserve"> Comité des droits économiques, sociaux et culturels, observation générale no 15 (2002) sur le droit à l’eau, par. 48</w:t>
      </w:r>
    </w:p>
  </w:footnote>
  <w:footnote w:id="4">
    <w:p w14:paraId="06F573CB" w14:textId="589C0150" w:rsidR="4E6EBB3F" w:rsidRPr="00224B24" w:rsidRDefault="4E6EBB3F" w:rsidP="00137FDB">
      <w:pPr>
        <w:pStyle w:val="Notedebasdepage"/>
        <w:jc w:val="both"/>
        <w:rPr>
          <w:sz w:val="16"/>
          <w:lang w:val="fr-FR"/>
        </w:rPr>
      </w:pPr>
      <w:r w:rsidRPr="00224B24">
        <w:rPr>
          <w:rStyle w:val="Appelnotedebasdep"/>
          <w:sz w:val="16"/>
        </w:rPr>
        <w:footnoteRef/>
      </w:r>
      <w:r w:rsidRPr="00224B24">
        <w:rPr>
          <w:sz w:val="16"/>
          <w:lang w:val="fr-FR"/>
        </w:rPr>
        <w:t xml:space="preserve"> Rapport “</w:t>
      </w:r>
      <w:hyperlink r:id="rId2" w:history="1">
        <w:r w:rsidRPr="00224B24">
          <w:rPr>
            <w:rStyle w:val="Lienhypertexte"/>
            <w:i/>
            <w:sz w:val="16"/>
            <w:lang w:val="fr-FR"/>
          </w:rPr>
          <w:t>Financement pour le climat fourni et mobilisé par les pays développés de 2013 à 2017</w:t>
        </w:r>
      </w:hyperlink>
      <w:r w:rsidRPr="00224B24">
        <w:rPr>
          <w:sz w:val="16"/>
          <w:lang w:val="fr-FR"/>
        </w:rPr>
        <w:t>”, OCDE, octobre 2019.</w:t>
      </w:r>
    </w:p>
  </w:footnote>
  <w:footnote w:id="5">
    <w:p w14:paraId="57C4008F" w14:textId="3B12231A" w:rsidR="00562B24" w:rsidRDefault="00562B24" w:rsidP="00562B24">
      <w:pPr>
        <w:pStyle w:val="Notedebasdepage"/>
        <w:jc w:val="both"/>
        <w:rPr>
          <w:i/>
          <w:iCs/>
          <w:sz w:val="19"/>
          <w:szCs w:val="19"/>
          <w:lang w:val="fr-FR"/>
        </w:rPr>
      </w:pPr>
      <w:r w:rsidRPr="00224B24">
        <w:rPr>
          <w:rStyle w:val="Appelnotedebasdep"/>
          <w:sz w:val="16"/>
        </w:rPr>
        <w:footnoteRef/>
      </w:r>
      <w:r w:rsidRPr="00224B24">
        <w:rPr>
          <w:sz w:val="16"/>
          <w:lang w:val="fr-FR"/>
        </w:rPr>
        <w:t xml:space="preserve"> Réaffirmé dans le </w:t>
      </w:r>
      <w:r w:rsidRPr="00224B24">
        <w:rPr>
          <w:i/>
          <w:iCs/>
          <w:sz w:val="16"/>
          <w:szCs w:val="19"/>
          <w:lang w:val="fr-FR"/>
        </w:rPr>
        <w:t xml:space="preserve">Rapport du rapporteur spécial des droits humains à l’EHA sur les déplacés forcés, août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362"/>
    <w:multiLevelType w:val="multilevel"/>
    <w:tmpl w:val="068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FD0063"/>
    <w:multiLevelType w:val="hybridMultilevel"/>
    <w:tmpl w:val="2B68B6DA"/>
    <w:lvl w:ilvl="0" w:tplc="4A8A1E4C">
      <w:start w:val="1"/>
      <w:numFmt w:val="bullet"/>
      <w:lvlText w:val=""/>
      <w:lvlJc w:val="left"/>
      <w:pPr>
        <w:ind w:left="720" w:hanging="360"/>
      </w:pPr>
      <w:rPr>
        <w:rFonts w:ascii="Symbol" w:hAnsi="Symbol" w:hint="default"/>
      </w:rPr>
    </w:lvl>
    <w:lvl w:ilvl="1" w:tplc="9124A26E">
      <w:start w:val="1"/>
      <w:numFmt w:val="bullet"/>
      <w:lvlText w:val="o"/>
      <w:lvlJc w:val="left"/>
      <w:pPr>
        <w:ind w:left="1440" w:hanging="360"/>
      </w:pPr>
      <w:rPr>
        <w:rFonts w:ascii="Courier New" w:hAnsi="Courier New" w:hint="default"/>
      </w:rPr>
    </w:lvl>
    <w:lvl w:ilvl="2" w:tplc="F676C144">
      <w:start w:val="1"/>
      <w:numFmt w:val="bullet"/>
      <w:lvlText w:val=""/>
      <w:lvlJc w:val="left"/>
      <w:pPr>
        <w:ind w:left="2160" w:hanging="360"/>
      </w:pPr>
      <w:rPr>
        <w:rFonts w:ascii="Wingdings" w:hAnsi="Wingdings" w:hint="default"/>
      </w:rPr>
    </w:lvl>
    <w:lvl w:ilvl="3" w:tplc="0592F1FC">
      <w:start w:val="1"/>
      <w:numFmt w:val="bullet"/>
      <w:lvlText w:val=""/>
      <w:lvlJc w:val="left"/>
      <w:pPr>
        <w:ind w:left="2880" w:hanging="360"/>
      </w:pPr>
      <w:rPr>
        <w:rFonts w:ascii="Symbol" w:hAnsi="Symbol" w:hint="default"/>
      </w:rPr>
    </w:lvl>
    <w:lvl w:ilvl="4" w:tplc="0218BF0A">
      <w:start w:val="1"/>
      <w:numFmt w:val="bullet"/>
      <w:lvlText w:val="o"/>
      <w:lvlJc w:val="left"/>
      <w:pPr>
        <w:ind w:left="3600" w:hanging="360"/>
      </w:pPr>
      <w:rPr>
        <w:rFonts w:ascii="Courier New" w:hAnsi="Courier New" w:hint="default"/>
      </w:rPr>
    </w:lvl>
    <w:lvl w:ilvl="5" w:tplc="54A6DC30">
      <w:start w:val="1"/>
      <w:numFmt w:val="bullet"/>
      <w:lvlText w:val=""/>
      <w:lvlJc w:val="left"/>
      <w:pPr>
        <w:ind w:left="4320" w:hanging="360"/>
      </w:pPr>
      <w:rPr>
        <w:rFonts w:ascii="Wingdings" w:hAnsi="Wingdings" w:hint="default"/>
      </w:rPr>
    </w:lvl>
    <w:lvl w:ilvl="6" w:tplc="AB5A3BCE">
      <w:start w:val="1"/>
      <w:numFmt w:val="bullet"/>
      <w:lvlText w:val=""/>
      <w:lvlJc w:val="left"/>
      <w:pPr>
        <w:ind w:left="5040" w:hanging="360"/>
      </w:pPr>
      <w:rPr>
        <w:rFonts w:ascii="Symbol" w:hAnsi="Symbol" w:hint="default"/>
      </w:rPr>
    </w:lvl>
    <w:lvl w:ilvl="7" w:tplc="C09E1412">
      <w:start w:val="1"/>
      <w:numFmt w:val="bullet"/>
      <w:lvlText w:val="o"/>
      <w:lvlJc w:val="left"/>
      <w:pPr>
        <w:ind w:left="5760" w:hanging="360"/>
      </w:pPr>
      <w:rPr>
        <w:rFonts w:ascii="Courier New" w:hAnsi="Courier New" w:hint="default"/>
      </w:rPr>
    </w:lvl>
    <w:lvl w:ilvl="8" w:tplc="38241896">
      <w:start w:val="1"/>
      <w:numFmt w:val="bullet"/>
      <w:lvlText w:val=""/>
      <w:lvlJc w:val="left"/>
      <w:pPr>
        <w:ind w:left="6480" w:hanging="360"/>
      </w:pPr>
      <w:rPr>
        <w:rFonts w:ascii="Wingdings" w:hAnsi="Wingdings" w:hint="default"/>
      </w:rPr>
    </w:lvl>
  </w:abstractNum>
  <w:abstractNum w:abstractNumId="3" w15:restartNumberingAfterBreak="0">
    <w:nsid w:val="16377C02"/>
    <w:multiLevelType w:val="multilevel"/>
    <w:tmpl w:val="7956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15979"/>
    <w:multiLevelType w:val="hybridMultilevel"/>
    <w:tmpl w:val="5CE893A0"/>
    <w:lvl w:ilvl="0" w:tplc="DC0C5DC2">
      <w:start w:val="1"/>
      <w:numFmt w:val="upperLetter"/>
      <w:lvlText w:val="%1."/>
      <w:lvlJc w:val="left"/>
      <w:pPr>
        <w:ind w:left="720" w:hanging="360"/>
      </w:pPr>
    </w:lvl>
    <w:lvl w:ilvl="1" w:tplc="3D08B6E8">
      <w:start w:val="1"/>
      <w:numFmt w:val="lowerLetter"/>
      <w:lvlText w:val="%2."/>
      <w:lvlJc w:val="left"/>
      <w:pPr>
        <w:ind w:left="1440" w:hanging="360"/>
      </w:pPr>
    </w:lvl>
    <w:lvl w:ilvl="2" w:tplc="7BDE599E">
      <w:start w:val="1"/>
      <w:numFmt w:val="lowerRoman"/>
      <w:lvlText w:val="%3."/>
      <w:lvlJc w:val="right"/>
      <w:pPr>
        <w:ind w:left="2160" w:hanging="180"/>
      </w:pPr>
    </w:lvl>
    <w:lvl w:ilvl="3" w:tplc="82461FC6">
      <w:start w:val="1"/>
      <w:numFmt w:val="decimal"/>
      <w:lvlText w:val="%4."/>
      <w:lvlJc w:val="left"/>
      <w:pPr>
        <w:ind w:left="2880" w:hanging="360"/>
      </w:pPr>
    </w:lvl>
    <w:lvl w:ilvl="4" w:tplc="6AC0BABA">
      <w:start w:val="1"/>
      <w:numFmt w:val="lowerLetter"/>
      <w:lvlText w:val="%5."/>
      <w:lvlJc w:val="left"/>
      <w:pPr>
        <w:ind w:left="3600" w:hanging="360"/>
      </w:pPr>
    </w:lvl>
    <w:lvl w:ilvl="5" w:tplc="04966CDE">
      <w:start w:val="1"/>
      <w:numFmt w:val="lowerRoman"/>
      <w:lvlText w:val="%6."/>
      <w:lvlJc w:val="right"/>
      <w:pPr>
        <w:ind w:left="4320" w:hanging="180"/>
      </w:pPr>
    </w:lvl>
    <w:lvl w:ilvl="6" w:tplc="14B4955E">
      <w:start w:val="1"/>
      <w:numFmt w:val="decimal"/>
      <w:lvlText w:val="%7."/>
      <w:lvlJc w:val="left"/>
      <w:pPr>
        <w:ind w:left="5040" w:hanging="360"/>
      </w:pPr>
    </w:lvl>
    <w:lvl w:ilvl="7" w:tplc="D66A631A">
      <w:start w:val="1"/>
      <w:numFmt w:val="lowerLetter"/>
      <w:lvlText w:val="%8."/>
      <w:lvlJc w:val="left"/>
      <w:pPr>
        <w:ind w:left="5760" w:hanging="360"/>
      </w:pPr>
    </w:lvl>
    <w:lvl w:ilvl="8" w:tplc="5BC4D592">
      <w:start w:val="1"/>
      <w:numFmt w:val="lowerRoman"/>
      <w:lvlText w:val="%9."/>
      <w:lvlJc w:val="right"/>
      <w:pPr>
        <w:ind w:left="6480" w:hanging="180"/>
      </w:pPr>
    </w:lvl>
  </w:abstractNum>
  <w:abstractNum w:abstractNumId="5" w15:restartNumberingAfterBreak="0">
    <w:nsid w:val="36CC73FB"/>
    <w:multiLevelType w:val="hybridMultilevel"/>
    <w:tmpl w:val="5E122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5D7431"/>
    <w:multiLevelType w:val="hybridMultilevel"/>
    <w:tmpl w:val="F48675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DB4C8E"/>
    <w:multiLevelType w:val="hybridMultilevel"/>
    <w:tmpl w:val="A8ECD9B2"/>
    <w:lvl w:ilvl="0" w:tplc="C1706922">
      <w:start w:val="2"/>
      <w:numFmt w:val="bullet"/>
      <w:lvlText w:val="-"/>
      <w:lvlJc w:val="left"/>
      <w:pPr>
        <w:ind w:left="720" w:hanging="360"/>
      </w:pPr>
      <w:rPr>
        <w:rFonts w:ascii="Calibri" w:eastAsia="Calibri"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5802BC"/>
    <w:multiLevelType w:val="hybridMultilevel"/>
    <w:tmpl w:val="2D3E2360"/>
    <w:lvl w:ilvl="0" w:tplc="67A0E9D8">
      <w:start w:val="1"/>
      <w:numFmt w:val="bullet"/>
      <w:lvlText w:val=""/>
      <w:lvlJc w:val="left"/>
      <w:pPr>
        <w:ind w:left="720" w:hanging="360"/>
      </w:pPr>
      <w:rPr>
        <w:rFonts w:ascii="Symbol" w:hAnsi="Symbol" w:hint="default"/>
      </w:rPr>
    </w:lvl>
    <w:lvl w:ilvl="1" w:tplc="C0504118">
      <w:start w:val="1"/>
      <w:numFmt w:val="bullet"/>
      <w:lvlText w:val="o"/>
      <w:lvlJc w:val="left"/>
      <w:pPr>
        <w:ind w:left="1440" w:hanging="360"/>
      </w:pPr>
      <w:rPr>
        <w:rFonts w:ascii="Courier New" w:hAnsi="Courier New" w:hint="default"/>
      </w:rPr>
    </w:lvl>
    <w:lvl w:ilvl="2" w:tplc="AE78B906">
      <w:start w:val="1"/>
      <w:numFmt w:val="bullet"/>
      <w:lvlText w:val=""/>
      <w:lvlJc w:val="left"/>
      <w:pPr>
        <w:ind w:left="2160" w:hanging="360"/>
      </w:pPr>
      <w:rPr>
        <w:rFonts w:ascii="Wingdings" w:hAnsi="Wingdings" w:hint="default"/>
      </w:rPr>
    </w:lvl>
    <w:lvl w:ilvl="3" w:tplc="D318EF20">
      <w:start w:val="1"/>
      <w:numFmt w:val="bullet"/>
      <w:lvlText w:val=""/>
      <w:lvlJc w:val="left"/>
      <w:pPr>
        <w:ind w:left="2880" w:hanging="360"/>
      </w:pPr>
      <w:rPr>
        <w:rFonts w:ascii="Symbol" w:hAnsi="Symbol" w:hint="default"/>
      </w:rPr>
    </w:lvl>
    <w:lvl w:ilvl="4" w:tplc="643E2966">
      <w:start w:val="1"/>
      <w:numFmt w:val="bullet"/>
      <w:lvlText w:val="o"/>
      <w:lvlJc w:val="left"/>
      <w:pPr>
        <w:ind w:left="3600" w:hanging="360"/>
      </w:pPr>
      <w:rPr>
        <w:rFonts w:ascii="Courier New" w:hAnsi="Courier New" w:hint="default"/>
      </w:rPr>
    </w:lvl>
    <w:lvl w:ilvl="5" w:tplc="B4769812">
      <w:start w:val="1"/>
      <w:numFmt w:val="bullet"/>
      <w:lvlText w:val=""/>
      <w:lvlJc w:val="left"/>
      <w:pPr>
        <w:ind w:left="4320" w:hanging="360"/>
      </w:pPr>
      <w:rPr>
        <w:rFonts w:ascii="Wingdings" w:hAnsi="Wingdings" w:hint="default"/>
      </w:rPr>
    </w:lvl>
    <w:lvl w:ilvl="6" w:tplc="69B6EF32">
      <w:start w:val="1"/>
      <w:numFmt w:val="bullet"/>
      <w:lvlText w:val=""/>
      <w:lvlJc w:val="left"/>
      <w:pPr>
        <w:ind w:left="5040" w:hanging="360"/>
      </w:pPr>
      <w:rPr>
        <w:rFonts w:ascii="Symbol" w:hAnsi="Symbol" w:hint="default"/>
      </w:rPr>
    </w:lvl>
    <w:lvl w:ilvl="7" w:tplc="D3F0328E">
      <w:start w:val="1"/>
      <w:numFmt w:val="bullet"/>
      <w:lvlText w:val="o"/>
      <w:lvlJc w:val="left"/>
      <w:pPr>
        <w:ind w:left="5760" w:hanging="360"/>
      </w:pPr>
      <w:rPr>
        <w:rFonts w:ascii="Courier New" w:hAnsi="Courier New" w:hint="default"/>
      </w:rPr>
    </w:lvl>
    <w:lvl w:ilvl="8" w:tplc="DD5E0BD6">
      <w:start w:val="1"/>
      <w:numFmt w:val="bullet"/>
      <w:lvlText w:val=""/>
      <w:lvlJc w:val="left"/>
      <w:pPr>
        <w:ind w:left="6480" w:hanging="360"/>
      </w:pPr>
      <w:rPr>
        <w:rFonts w:ascii="Wingdings" w:hAnsi="Wingdings" w:hint="default"/>
      </w:rPr>
    </w:lvl>
  </w:abstractNum>
  <w:abstractNum w:abstractNumId="9" w15:restartNumberingAfterBreak="0">
    <w:nsid w:val="586A251E"/>
    <w:multiLevelType w:val="hybridMultilevel"/>
    <w:tmpl w:val="82A8FD1C"/>
    <w:lvl w:ilvl="0" w:tplc="AFFE4834">
      <w:start w:val="1"/>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9D78C5"/>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1113B5"/>
    <w:multiLevelType w:val="hybridMultilevel"/>
    <w:tmpl w:val="921C9E12"/>
    <w:lvl w:ilvl="0" w:tplc="B3AA363E">
      <w:start w:val="1"/>
      <w:numFmt w:val="decimal"/>
      <w:lvlText w:val="%1."/>
      <w:lvlJc w:val="left"/>
      <w:pPr>
        <w:ind w:left="720" w:hanging="360"/>
      </w:pPr>
      <w:rPr>
        <w:b/>
      </w:rPr>
    </w:lvl>
    <w:lvl w:ilvl="1" w:tplc="F348D8DA">
      <w:start w:val="1"/>
      <w:numFmt w:val="lowerLetter"/>
      <w:lvlText w:val="%2."/>
      <w:lvlJc w:val="left"/>
      <w:pPr>
        <w:ind w:left="1440" w:hanging="360"/>
      </w:pPr>
    </w:lvl>
    <w:lvl w:ilvl="2" w:tplc="C1F425BA">
      <w:start w:val="1"/>
      <w:numFmt w:val="lowerRoman"/>
      <w:lvlText w:val="%3."/>
      <w:lvlJc w:val="right"/>
      <w:pPr>
        <w:ind w:left="2160" w:hanging="180"/>
      </w:pPr>
    </w:lvl>
    <w:lvl w:ilvl="3" w:tplc="A8D80330">
      <w:start w:val="1"/>
      <w:numFmt w:val="decimal"/>
      <w:lvlText w:val="%4."/>
      <w:lvlJc w:val="left"/>
      <w:pPr>
        <w:ind w:left="2880" w:hanging="360"/>
      </w:pPr>
    </w:lvl>
    <w:lvl w:ilvl="4" w:tplc="B26202A0">
      <w:start w:val="1"/>
      <w:numFmt w:val="lowerLetter"/>
      <w:lvlText w:val="%5."/>
      <w:lvlJc w:val="left"/>
      <w:pPr>
        <w:ind w:left="3600" w:hanging="360"/>
      </w:pPr>
    </w:lvl>
    <w:lvl w:ilvl="5" w:tplc="32EE27CA">
      <w:start w:val="1"/>
      <w:numFmt w:val="lowerRoman"/>
      <w:lvlText w:val="%6."/>
      <w:lvlJc w:val="right"/>
      <w:pPr>
        <w:ind w:left="4320" w:hanging="180"/>
      </w:pPr>
    </w:lvl>
    <w:lvl w:ilvl="6" w:tplc="FA52D42C">
      <w:start w:val="1"/>
      <w:numFmt w:val="decimal"/>
      <w:lvlText w:val="%7."/>
      <w:lvlJc w:val="left"/>
      <w:pPr>
        <w:ind w:left="5040" w:hanging="360"/>
      </w:pPr>
    </w:lvl>
    <w:lvl w:ilvl="7" w:tplc="38CC369E">
      <w:start w:val="1"/>
      <w:numFmt w:val="lowerLetter"/>
      <w:lvlText w:val="%8."/>
      <w:lvlJc w:val="left"/>
      <w:pPr>
        <w:ind w:left="5760" w:hanging="360"/>
      </w:pPr>
    </w:lvl>
    <w:lvl w:ilvl="8" w:tplc="A3E4FC64">
      <w:start w:val="1"/>
      <w:numFmt w:val="lowerRoman"/>
      <w:lvlText w:val="%9."/>
      <w:lvlJc w:val="right"/>
      <w:pPr>
        <w:ind w:left="6480" w:hanging="180"/>
      </w:pPr>
    </w:lvl>
  </w:abstractNum>
  <w:abstractNum w:abstractNumId="12" w15:restartNumberingAfterBreak="0">
    <w:nsid w:val="70763739"/>
    <w:multiLevelType w:val="multilevel"/>
    <w:tmpl w:val="AB0C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C02CE1"/>
    <w:multiLevelType w:val="hybridMultilevel"/>
    <w:tmpl w:val="1DFCBDAE"/>
    <w:lvl w:ilvl="0" w:tplc="485C66DA">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9A18D9"/>
    <w:multiLevelType w:val="multilevel"/>
    <w:tmpl w:val="D372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8"/>
  </w:num>
  <w:num w:numId="4">
    <w:abstractNumId w:val="4"/>
  </w:num>
  <w:num w:numId="5">
    <w:abstractNumId w:val="1"/>
  </w:num>
  <w:num w:numId="6">
    <w:abstractNumId w:val="12"/>
  </w:num>
  <w:num w:numId="7">
    <w:abstractNumId w:val="0"/>
  </w:num>
  <w:num w:numId="8">
    <w:abstractNumId w:val="3"/>
  </w:num>
  <w:num w:numId="9">
    <w:abstractNumId w:val="14"/>
  </w:num>
  <w:num w:numId="10">
    <w:abstractNumId w:val="5"/>
  </w:num>
  <w:num w:numId="11">
    <w:abstractNumId w:val="9"/>
  </w:num>
  <w:num w:numId="12">
    <w:abstractNumId w:val="13"/>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C"/>
    <w:rsid w:val="00004451"/>
    <w:rsid w:val="00030A7F"/>
    <w:rsid w:val="000416E7"/>
    <w:rsid w:val="00044CD0"/>
    <w:rsid w:val="00067C62"/>
    <w:rsid w:val="00087308"/>
    <w:rsid w:val="000922CC"/>
    <w:rsid w:val="0009711D"/>
    <w:rsid w:val="000A2636"/>
    <w:rsid w:val="000B2B86"/>
    <w:rsid w:val="000C62BF"/>
    <w:rsid w:val="000D0B60"/>
    <w:rsid w:val="000D7408"/>
    <w:rsid w:val="000D7A4D"/>
    <w:rsid w:val="000E5479"/>
    <w:rsid w:val="001098A9"/>
    <w:rsid w:val="00131F90"/>
    <w:rsid w:val="00134A18"/>
    <w:rsid w:val="00137FDB"/>
    <w:rsid w:val="001571C0"/>
    <w:rsid w:val="00175F2F"/>
    <w:rsid w:val="00180B4B"/>
    <w:rsid w:val="001A195F"/>
    <w:rsid w:val="001D59D0"/>
    <w:rsid w:val="001F4047"/>
    <w:rsid w:val="001F4566"/>
    <w:rsid w:val="00221937"/>
    <w:rsid w:val="00222458"/>
    <w:rsid w:val="00224B24"/>
    <w:rsid w:val="00226B1E"/>
    <w:rsid w:val="002727A0"/>
    <w:rsid w:val="002D050C"/>
    <w:rsid w:val="002D4417"/>
    <w:rsid w:val="002D569D"/>
    <w:rsid w:val="002D70B2"/>
    <w:rsid w:val="002F0138"/>
    <w:rsid w:val="002F2A81"/>
    <w:rsid w:val="002F2D4D"/>
    <w:rsid w:val="00301C53"/>
    <w:rsid w:val="0031067F"/>
    <w:rsid w:val="0032604D"/>
    <w:rsid w:val="003331D3"/>
    <w:rsid w:val="00350941"/>
    <w:rsid w:val="003743AA"/>
    <w:rsid w:val="00374E15"/>
    <w:rsid w:val="003B076B"/>
    <w:rsid w:val="003B5DF8"/>
    <w:rsid w:val="003C1919"/>
    <w:rsid w:val="003F44F8"/>
    <w:rsid w:val="003F4590"/>
    <w:rsid w:val="00412F82"/>
    <w:rsid w:val="00420909"/>
    <w:rsid w:val="00422C46"/>
    <w:rsid w:val="004267FF"/>
    <w:rsid w:val="00436E73"/>
    <w:rsid w:val="004468B8"/>
    <w:rsid w:val="004615F9"/>
    <w:rsid w:val="00461DCE"/>
    <w:rsid w:val="00477F9F"/>
    <w:rsid w:val="004856C8"/>
    <w:rsid w:val="00491E9B"/>
    <w:rsid w:val="00497B8D"/>
    <w:rsid w:val="004B2029"/>
    <w:rsid w:val="004D3B07"/>
    <w:rsid w:val="004F3B38"/>
    <w:rsid w:val="00500AE2"/>
    <w:rsid w:val="005567C3"/>
    <w:rsid w:val="00556DBF"/>
    <w:rsid w:val="00562B24"/>
    <w:rsid w:val="005746FC"/>
    <w:rsid w:val="00575790"/>
    <w:rsid w:val="005A1C7D"/>
    <w:rsid w:val="005C185B"/>
    <w:rsid w:val="005C43EA"/>
    <w:rsid w:val="005D25AC"/>
    <w:rsid w:val="005E4DE8"/>
    <w:rsid w:val="005E7A5C"/>
    <w:rsid w:val="005F3872"/>
    <w:rsid w:val="005F64F2"/>
    <w:rsid w:val="00600A88"/>
    <w:rsid w:val="00612E3F"/>
    <w:rsid w:val="00614707"/>
    <w:rsid w:val="00617608"/>
    <w:rsid w:val="006424F8"/>
    <w:rsid w:val="00643AE1"/>
    <w:rsid w:val="0065D00F"/>
    <w:rsid w:val="006A42F3"/>
    <w:rsid w:val="006A6317"/>
    <w:rsid w:val="006D7696"/>
    <w:rsid w:val="006E70A2"/>
    <w:rsid w:val="006F1186"/>
    <w:rsid w:val="006F7985"/>
    <w:rsid w:val="0071435D"/>
    <w:rsid w:val="00715B1C"/>
    <w:rsid w:val="00723D6E"/>
    <w:rsid w:val="00730CCD"/>
    <w:rsid w:val="00733B54"/>
    <w:rsid w:val="007424DB"/>
    <w:rsid w:val="00748C52"/>
    <w:rsid w:val="0076232D"/>
    <w:rsid w:val="007657D0"/>
    <w:rsid w:val="007B6F01"/>
    <w:rsid w:val="007C7FBD"/>
    <w:rsid w:val="007D170F"/>
    <w:rsid w:val="007F1497"/>
    <w:rsid w:val="00807F7F"/>
    <w:rsid w:val="00811BEE"/>
    <w:rsid w:val="008216F7"/>
    <w:rsid w:val="00830277"/>
    <w:rsid w:val="0083143D"/>
    <w:rsid w:val="0083642D"/>
    <w:rsid w:val="00884573"/>
    <w:rsid w:val="008869E6"/>
    <w:rsid w:val="008B4552"/>
    <w:rsid w:val="008B5459"/>
    <w:rsid w:val="008E1A64"/>
    <w:rsid w:val="008E5F34"/>
    <w:rsid w:val="00924F55"/>
    <w:rsid w:val="00927549"/>
    <w:rsid w:val="00944D66"/>
    <w:rsid w:val="009611BE"/>
    <w:rsid w:val="0097107C"/>
    <w:rsid w:val="0097489E"/>
    <w:rsid w:val="00982D7D"/>
    <w:rsid w:val="009A1546"/>
    <w:rsid w:val="009A1BD8"/>
    <w:rsid w:val="009E1ACE"/>
    <w:rsid w:val="009E6789"/>
    <w:rsid w:val="009E793A"/>
    <w:rsid w:val="00A01F68"/>
    <w:rsid w:val="00A13966"/>
    <w:rsid w:val="00A84BA6"/>
    <w:rsid w:val="00A86516"/>
    <w:rsid w:val="00A93C67"/>
    <w:rsid w:val="00AA294C"/>
    <w:rsid w:val="00AE19AE"/>
    <w:rsid w:val="00B01334"/>
    <w:rsid w:val="00B03278"/>
    <w:rsid w:val="00B16215"/>
    <w:rsid w:val="00B24E8C"/>
    <w:rsid w:val="00B44A4F"/>
    <w:rsid w:val="00B467FD"/>
    <w:rsid w:val="00B61EAC"/>
    <w:rsid w:val="00B65161"/>
    <w:rsid w:val="00BE17A8"/>
    <w:rsid w:val="00BE44C2"/>
    <w:rsid w:val="00BF790B"/>
    <w:rsid w:val="00C61970"/>
    <w:rsid w:val="00C8394C"/>
    <w:rsid w:val="00C918F5"/>
    <w:rsid w:val="00C970C1"/>
    <w:rsid w:val="00CB5318"/>
    <w:rsid w:val="00CB548D"/>
    <w:rsid w:val="00CD3176"/>
    <w:rsid w:val="00CD3DCE"/>
    <w:rsid w:val="00CF3FD4"/>
    <w:rsid w:val="00D035DD"/>
    <w:rsid w:val="00D1431E"/>
    <w:rsid w:val="00D436C5"/>
    <w:rsid w:val="00D8566E"/>
    <w:rsid w:val="00D871EC"/>
    <w:rsid w:val="00D87F1E"/>
    <w:rsid w:val="00D97A15"/>
    <w:rsid w:val="00D97FB5"/>
    <w:rsid w:val="00DA0ADA"/>
    <w:rsid w:val="00DB45D5"/>
    <w:rsid w:val="00DB5A64"/>
    <w:rsid w:val="00DC1499"/>
    <w:rsid w:val="00DC28A2"/>
    <w:rsid w:val="00DD23C5"/>
    <w:rsid w:val="00E12DAF"/>
    <w:rsid w:val="00E211E1"/>
    <w:rsid w:val="00E262FA"/>
    <w:rsid w:val="00E36993"/>
    <w:rsid w:val="00E37397"/>
    <w:rsid w:val="00E40F63"/>
    <w:rsid w:val="00E71C34"/>
    <w:rsid w:val="00E77EE5"/>
    <w:rsid w:val="00E801A9"/>
    <w:rsid w:val="00E805F8"/>
    <w:rsid w:val="00EA0F12"/>
    <w:rsid w:val="00EC4E99"/>
    <w:rsid w:val="00ED5C20"/>
    <w:rsid w:val="00EF497C"/>
    <w:rsid w:val="00F01476"/>
    <w:rsid w:val="00F04290"/>
    <w:rsid w:val="00F22272"/>
    <w:rsid w:val="00F32708"/>
    <w:rsid w:val="00F34C5F"/>
    <w:rsid w:val="00F64376"/>
    <w:rsid w:val="00FA2503"/>
    <w:rsid w:val="00FB4FF4"/>
    <w:rsid w:val="00FD6663"/>
    <w:rsid w:val="0104406B"/>
    <w:rsid w:val="0105444A"/>
    <w:rsid w:val="012CF518"/>
    <w:rsid w:val="013E63B2"/>
    <w:rsid w:val="015BB4F4"/>
    <w:rsid w:val="01C3548D"/>
    <w:rsid w:val="01D076E1"/>
    <w:rsid w:val="01ED3929"/>
    <w:rsid w:val="01FC3649"/>
    <w:rsid w:val="020F0665"/>
    <w:rsid w:val="02171A97"/>
    <w:rsid w:val="023B857E"/>
    <w:rsid w:val="02A70068"/>
    <w:rsid w:val="02F61FFE"/>
    <w:rsid w:val="03484551"/>
    <w:rsid w:val="0357229E"/>
    <w:rsid w:val="03608C29"/>
    <w:rsid w:val="03C36CCB"/>
    <w:rsid w:val="03F411AC"/>
    <w:rsid w:val="044CD056"/>
    <w:rsid w:val="046C5F2A"/>
    <w:rsid w:val="05140E89"/>
    <w:rsid w:val="053B81C9"/>
    <w:rsid w:val="0597FD72"/>
    <w:rsid w:val="0623CCA3"/>
    <w:rsid w:val="062DF65F"/>
    <w:rsid w:val="0648D951"/>
    <w:rsid w:val="06D3900D"/>
    <w:rsid w:val="06EA9DF9"/>
    <w:rsid w:val="079E0107"/>
    <w:rsid w:val="07B0C4C4"/>
    <w:rsid w:val="07EB0E1D"/>
    <w:rsid w:val="084B9810"/>
    <w:rsid w:val="086E9155"/>
    <w:rsid w:val="087D6506"/>
    <w:rsid w:val="0899B244"/>
    <w:rsid w:val="089DD11D"/>
    <w:rsid w:val="08A0230E"/>
    <w:rsid w:val="08E30979"/>
    <w:rsid w:val="091B3513"/>
    <w:rsid w:val="091B4E9B"/>
    <w:rsid w:val="09A2E3BB"/>
    <w:rsid w:val="0A43FBBC"/>
    <w:rsid w:val="0A6AD9CE"/>
    <w:rsid w:val="0A70FF91"/>
    <w:rsid w:val="0A7A724F"/>
    <w:rsid w:val="0ACAB248"/>
    <w:rsid w:val="0B8FD669"/>
    <w:rsid w:val="0BB274C3"/>
    <w:rsid w:val="0BB9B944"/>
    <w:rsid w:val="0BCE7A83"/>
    <w:rsid w:val="0C110E69"/>
    <w:rsid w:val="0C7EDE93"/>
    <w:rsid w:val="0CABE319"/>
    <w:rsid w:val="0D953124"/>
    <w:rsid w:val="0DC67A2C"/>
    <w:rsid w:val="0E0116E6"/>
    <w:rsid w:val="0E0F359F"/>
    <w:rsid w:val="0E6F8EAD"/>
    <w:rsid w:val="0EC195F7"/>
    <w:rsid w:val="0EE290AC"/>
    <w:rsid w:val="0EF02EF5"/>
    <w:rsid w:val="0F0B51A8"/>
    <w:rsid w:val="0F0F53D6"/>
    <w:rsid w:val="0F634828"/>
    <w:rsid w:val="0F696559"/>
    <w:rsid w:val="0FE67960"/>
    <w:rsid w:val="100D0C91"/>
    <w:rsid w:val="1036D79D"/>
    <w:rsid w:val="10A6EBA5"/>
    <w:rsid w:val="10ADDABB"/>
    <w:rsid w:val="10D6EBF7"/>
    <w:rsid w:val="114D1CF1"/>
    <w:rsid w:val="11A13977"/>
    <w:rsid w:val="1225EE28"/>
    <w:rsid w:val="125906AE"/>
    <w:rsid w:val="12874C59"/>
    <w:rsid w:val="129F2FF7"/>
    <w:rsid w:val="12A0A1A6"/>
    <w:rsid w:val="12CFABFC"/>
    <w:rsid w:val="13377885"/>
    <w:rsid w:val="13381C02"/>
    <w:rsid w:val="137BC744"/>
    <w:rsid w:val="137CFE0D"/>
    <w:rsid w:val="13996DB0"/>
    <w:rsid w:val="13A77513"/>
    <w:rsid w:val="146FD549"/>
    <w:rsid w:val="14883944"/>
    <w:rsid w:val="14AC3EA6"/>
    <w:rsid w:val="1526BE8E"/>
    <w:rsid w:val="1531F405"/>
    <w:rsid w:val="155B2F37"/>
    <w:rsid w:val="159C2D52"/>
    <w:rsid w:val="16039E72"/>
    <w:rsid w:val="1625FAC3"/>
    <w:rsid w:val="16457CDC"/>
    <w:rsid w:val="178003F9"/>
    <w:rsid w:val="17A86266"/>
    <w:rsid w:val="17A993B4"/>
    <w:rsid w:val="17B4D3DA"/>
    <w:rsid w:val="17DBBC61"/>
    <w:rsid w:val="18301162"/>
    <w:rsid w:val="1832386F"/>
    <w:rsid w:val="1895EFD6"/>
    <w:rsid w:val="18A34E72"/>
    <w:rsid w:val="190861C7"/>
    <w:rsid w:val="192DE51E"/>
    <w:rsid w:val="19741944"/>
    <w:rsid w:val="19A61C38"/>
    <w:rsid w:val="19E00880"/>
    <w:rsid w:val="1A436E76"/>
    <w:rsid w:val="1A7352A2"/>
    <w:rsid w:val="1AF8072D"/>
    <w:rsid w:val="1B2F08FA"/>
    <w:rsid w:val="1B49AAA4"/>
    <w:rsid w:val="1B9BB802"/>
    <w:rsid w:val="1C76E1E2"/>
    <w:rsid w:val="1CD98916"/>
    <w:rsid w:val="1CF6C3C1"/>
    <w:rsid w:val="1D4BFC79"/>
    <w:rsid w:val="1D4F38B1"/>
    <w:rsid w:val="1D65FF0A"/>
    <w:rsid w:val="1D75AE37"/>
    <w:rsid w:val="1D779B90"/>
    <w:rsid w:val="1E36FDC5"/>
    <w:rsid w:val="1E60ED8D"/>
    <w:rsid w:val="1ECB84AC"/>
    <w:rsid w:val="1F1A8359"/>
    <w:rsid w:val="1F7EA5E9"/>
    <w:rsid w:val="1F7FA82F"/>
    <w:rsid w:val="1FD34C41"/>
    <w:rsid w:val="20F8EC07"/>
    <w:rsid w:val="2165581C"/>
    <w:rsid w:val="216C6391"/>
    <w:rsid w:val="217D6D0F"/>
    <w:rsid w:val="220FB7B8"/>
    <w:rsid w:val="22104389"/>
    <w:rsid w:val="2224FA18"/>
    <w:rsid w:val="223BFDCD"/>
    <w:rsid w:val="22613BAF"/>
    <w:rsid w:val="22956931"/>
    <w:rsid w:val="22BC6ED8"/>
    <w:rsid w:val="22D4049E"/>
    <w:rsid w:val="22DFF363"/>
    <w:rsid w:val="2307A403"/>
    <w:rsid w:val="232F5BFB"/>
    <w:rsid w:val="2337F976"/>
    <w:rsid w:val="23C09BE3"/>
    <w:rsid w:val="2404F715"/>
    <w:rsid w:val="24143ADD"/>
    <w:rsid w:val="243160AC"/>
    <w:rsid w:val="24410333"/>
    <w:rsid w:val="24A4350D"/>
    <w:rsid w:val="24DAFF3D"/>
    <w:rsid w:val="24F25C7B"/>
    <w:rsid w:val="25427917"/>
    <w:rsid w:val="2550CA97"/>
    <w:rsid w:val="2585A6FE"/>
    <w:rsid w:val="259ED464"/>
    <w:rsid w:val="25B9CCF9"/>
    <w:rsid w:val="25E6BDB5"/>
    <w:rsid w:val="2651E236"/>
    <w:rsid w:val="2696281D"/>
    <w:rsid w:val="26CDF668"/>
    <w:rsid w:val="26D75140"/>
    <w:rsid w:val="27626E5A"/>
    <w:rsid w:val="277352F3"/>
    <w:rsid w:val="28188676"/>
    <w:rsid w:val="285CDBBB"/>
    <w:rsid w:val="2861F850"/>
    <w:rsid w:val="2882A0A8"/>
    <w:rsid w:val="28BFFDD7"/>
    <w:rsid w:val="28D80E9A"/>
    <w:rsid w:val="28E1BC59"/>
    <w:rsid w:val="28E5A8C6"/>
    <w:rsid w:val="2A077833"/>
    <w:rsid w:val="2A233AA5"/>
    <w:rsid w:val="2ACD3BEA"/>
    <w:rsid w:val="2AD16B15"/>
    <w:rsid w:val="2AEF95A0"/>
    <w:rsid w:val="2AFA8E7F"/>
    <w:rsid w:val="2B187100"/>
    <w:rsid w:val="2B4D9917"/>
    <w:rsid w:val="2B530A6C"/>
    <w:rsid w:val="2B8BB30B"/>
    <w:rsid w:val="2BCA83AE"/>
    <w:rsid w:val="2BDB2003"/>
    <w:rsid w:val="2C75EC43"/>
    <w:rsid w:val="2D32D863"/>
    <w:rsid w:val="2D801ECD"/>
    <w:rsid w:val="2D9C0B12"/>
    <w:rsid w:val="2DCDC49D"/>
    <w:rsid w:val="2E514DE5"/>
    <w:rsid w:val="2E53C993"/>
    <w:rsid w:val="2F01F103"/>
    <w:rsid w:val="2F243A81"/>
    <w:rsid w:val="2FD00151"/>
    <w:rsid w:val="2FEB1C9A"/>
    <w:rsid w:val="301FD105"/>
    <w:rsid w:val="3020E577"/>
    <w:rsid w:val="3032B291"/>
    <w:rsid w:val="30AAFBD9"/>
    <w:rsid w:val="30E737D7"/>
    <w:rsid w:val="3130DDE9"/>
    <w:rsid w:val="314136C6"/>
    <w:rsid w:val="3169FF7B"/>
    <w:rsid w:val="319B7935"/>
    <w:rsid w:val="31A758D6"/>
    <w:rsid w:val="31F6409A"/>
    <w:rsid w:val="32172679"/>
    <w:rsid w:val="32380CFE"/>
    <w:rsid w:val="324DE022"/>
    <w:rsid w:val="332489E1"/>
    <w:rsid w:val="3388300A"/>
    <w:rsid w:val="339C4744"/>
    <w:rsid w:val="33BB12B8"/>
    <w:rsid w:val="33DBBBB0"/>
    <w:rsid w:val="33E7BFD9"/>
    <w:rsid w:val="34013035"/>
    <w:rsid w:val="34122141"/>
    <w:rsid w:val="34741AF3"/>
    <w:rsid w:val="347F4C7B"/>
    <w:rsid w:val="3577D410"/>
    <w:rsid w:val="35FE93BE"/>
    <w:rsid w:val="364C8084"/>
    <w:rsid w:val="366006E5"/>
    <w:rsid w:val="366B3894"/>
    <w:rsid w:val="366EBE62"/>
    <w:rsid w:val="36B7D386"/>
    <w:rsid w:val="36DD742B"/>
    <w:rsid w:val="370DE6E7"/>
    <w:rsid w:val="3740BD1F"/>
    <w:rsid w:val="37793D31"/>
    <w:rsid w:val="378DD059"/>
    <w:rsid w:val="381FCC83"/>
    <w:rsid w:val="382CEC87"/>
    <w:rsid w:val="3872EB3C"/>
    <w:rsid w:val="388E0CE3"/>
    <w:rsid w:val="38994FDA"/>
    <w:rsid w:val="389A27F2"/>
    <w:rsid w:val="38A87968"/>
    <w:rsid w:val="38CF4FC7"/>
    <w:rsid w:val="390C97C3"/>
    <w:rsid w:val="391033D1"/>
    <w:rsid w:val="39AE8C85"/>
    <w:rsid w:val="39F032D4"/>
    <w:rsid w:val="3A56708D"/>
    <w:rsid w:val="3B9B5806"/>
    <w:rsid w:val="3C979B92"/>
    <w:rsid w:val="3CB0856B"/>
    <w:rsid w:val="3CF44F91"/>
    <w:rsid w:val="3D20B28D"/>
    <w:rsid w:val="3D25A6F2"/>
    <w:rsid w:val="3D724A5A"/>
    <w:rsid w:val="3DF751D8"/>
    <w:rsid w:val="3DFB7150"/>
    <w:rsid w:val="3E1281DC"/>
    <w:rsid w:val="3E81AE31"/>
    <w:rsid w:val="3E8C8411"/>
    <w:rsid w:val="3E8F5D33"/>
    <w:rsid w:val="3E97413D"/>
    <w:rsid w:val="3EA19118"/>
    <w:rsid w:val="3ECCC365"/>
    <w:rsid w:val="3ECE584B"/>
    <w:rsid w:val="3ED16A5D"/>
    <w:rsid w:val="3EDFBABE"/>
    <w:rsid w:val="3EE9E719"/>
    <w:rsid w:val="3EF64D3F"/>
    <w:rsid w:val="3F32A703"/>
    <w:rsid w:val="3F481682"/>
    <w:rsid w:val="3F7318C3"/>
    <w:rsid w:val="3F7B1CF3"/>
    <w:rsid w:val="3FA2F819"/>
    <w:rsid w:val="3FD8DBF6"/>
    <w:rsid w:val="402C98DE"/>
    <w:rsid w:val="403794AD"/>
    <w:rsid w:val="40BD1AAF"/>
    <w:rsid w:val="40DF9188"/>
    <w:rsid w:val="40E71B84"/>
    <w:rsid w:val="417F85F1"/>
    <w:rsid w:val="41D1F9C4"/>
    <w:rsid w:val="41E6BDA5"/>
    <w:rsid w:val="41FA6C8D"/>
    <w:rsid w:val="4201570B"/>
    <w:rsid w:val="42072886"/>
    <w:rsid w:val="4219FD99"/>
    <w:rsid w:val="4228C8CA"/>
    <w:rsid w:val="422AA130"/>
    <w:rsid w:val="429BEBCF"/>
    <w:rsid w:val="42A36FAC"/>
    <w:rsid w:val="42ED83EF"/>
    <w:rsid w:val="43A8491D"/>
    <w:rsid w:val="43F782C0"/>
    <w:rsid w:val="44067695"/>
    <w:rsid w:val="4408BD3B"/>
    <w:rsid w:val="44129D15"/>
    <w:rsid w:val="441344FC"/>
    <w:rsid w:val="44B18316"/>
    <w:rsid w:val="44C1EAF8"/>
    <w:rsid w:val="44C2659B"/>
    <w:rsid w:val="44DE1A5C"/>
    <w:rsid w:val="44E18BA6"/>
    <w:rsid w:val="4535174D"/>
    <w:rsid w:val="457364E5"/>
    <w:rsid w:val="45B1F426"/>
    <w:rsid w:val="45B9AD67"/>
    <w:rsid w:val="45CA0350"/>
    <w:rsid w:val="469AAC8D"/>
    <w:rsid w:val="47028647"/>
    <w:rsid w:val="47465D96"/>
    <w:rsid w:val="474E1446"/>
    <w:rsid w:val="48678006"/>
    <w:rsid w:val="48678716"/>
    <w:rsid w:val="489D75E5"/>
    <w:rsid w:val="48B59241"/>
    <w:rsid w:val="48B638C5"/>
    <w:rsid w:val="490039F0"/>
    <w:rsid w:val="49906A11"/>
    <w:rsid w:val="49D41D0A"/>
    <w:rsid w:val="4A2D055B"/>
    <w:rsid w:val="4A683FDB"/>
    <w:rsid w:val="4A69F868"/>
    <w:rsid w:val="4A7BC522"/>
    <w:rsid w:val="4A989614"/>
    <w:rsid w:val="4B0BF79D"/>
    <w:rsid w:val="4B3752E7"/>
    <w:rsid w:val="4BA0A3DB"/>
    <w:rsid w:val="4BEEA6B8"/>
    <w:rsid w:val="4BFF71EE"/>
    <w:rsid w:val="4C745836"/>
    <w:rsid w:val="4C9166E4"/>
    <w:rsid w:val="4CCEDEA1"/>
    <w:rsid w:val="4CEF81CC"/>
    <w:rsid w:val="4D3A82EF"/>
    <w:rsid w:val="4D67EC9F"/>
    <w:rsid w:val="4DA2CE55"/>
    <w:rsid w:val="4DD3EFF6"/>
    <w:rsid w:val="4E58E514"/>
    <w:rsid w:val="4E5CBF11"/>
    <w:rsid w:val="4E6EBB3F"/>
    <w:rsid w:val="4EA396C1"/>
    <w:rsid w:val="4EB3C341"/>
    <w:rsid w:val="4EDABCDF"/>
    <w:rsid w:val="4F1B1AAE"/>
    <w:rsid w:val="4F37E68F"/>
    <w:rsid w:val="4F545B7A"/>
    <w:rsid w:val="5046E306"/>
    <w:rsid w:val="508BF22D"/>
    <w:rsid w:val="50A61767"/>
    <w:rsid w:val="50BB7867"/>
    <w:rsid w:val="515742AE"/>
    <w:rsid w:val="5170B4CA"/>
    <w:rsid w:val="5174698C"/>
    <w:rsid w:val="51A0D1BD"/>
    <w:rsid w:val="51B3691D"/>
    <w:rsid w:val="51FEE917"/>
    <w:rsid w:val="5211ACFD"/>
    <w:rsid w:val="52210770"/>
    <w:rsid w:val="52771DE2"/>
    <w:rsid w:val="528CEB31"/>
    <w:rsid w:val="529DABC5"/>
    <w:rsid w:val="529F174C"/>
    <w:rsid w:val="52AE3DF2"/>
    <w:rsid w:val="52CFAE78"/>
    <w:rsid w:val="52D8293B"/>
    <w:rsid w:val="52EC52BA"/>
    <w:rsid w:val="531DA702"/>
    <w:rsid w:val="53269A2A"/>
    <w:rsid w:val="534137CB"/>
    <w:rsid w:val="53A428CA"/>
    <w:rsid w:val="53B4EF38"/>
    <w:rsid w:val="53F36FCF"/>
    <w:rsid w:val="53F9130F"/>
    <w:rsid w:val="5408D59A"/>
    <w:rsid w:val="541FFA3E"/>
    <w:rsid w:val="545A6925"/>
    <w:rsid w:val="5467A284"/>
    <w:rsid w:val="54A6C888"/>
    <w:rsid w:val="54B5B4EE"/>
    <w:rsid w:val="550BDCE5"/>
    <w:rsid w:val="55524EE2"/>
    <w:rsid w:val="55670937"/>
    <w:rsid w:val="559A8299"/>
    <w:rsid w:val="55A23031"/>
    <w:rsid w:val="55B91287"/>
    <w:rsid w:val="5633D934"/>
    <w:rsid w:val="56EFAC5F"/>
    <w:rsid w:val="570D802D"/>
    <w:rsid w:val="57172547"/>
    <w:rsid w:val="571E7208"/>
    <w:rsid w:val="572703A0"/>
    <w:rsid w:val="573656F8"/>
    <w:rsid w:val="575E5578"/>
    <w:rsid w:val="57C1CB1B"/>
    <w:rsid w:val="58233C51"/>
    <w:rsid w:val="5875BDFA"/>
    <w:rsid w:val="58867BFC"/>
    <w:rsid w:val="589D44BA"/>
    <w:rsid w:val="58E17970"/>
    <w:rsid w:val="58EA6E33"/>
    <w:rsid w:val="58EACAA0"/>
    <w:rsid w:val="59A2951C"/>
    <w:rsid w:val="59AE96B9"/>
    <w:rsid w:val="59C7A54B"/>
    <w:rsid w:val="5A2EE7C6"/>
    <w:rsid w:val="5ABC1AAC"/>
    <w:rsid w:val="5AD2DD19"/>
    <w:rsid w:val="5AD5BAF9"/>
    <w:rsid w:val="5ADDD3DA"/>
    <w:rsid w:val="5ADE1CE0"/>
    <w:rsid w:val="5B1C05B8"/>
    <w:rsid w:val="5B20ECA1"/>
    <w:rsid w:val="5B36F395"/>
    <w:rsid w:val="5B425AD2"/>
    <w:rsid w:val="5B4D1A82"/>
    <w:rsid w:val="5B536483"/>
    <w:rsid w:val="5B5AAAE1"/>
    <w:rsid w:val="5B7BAD08"/>
    <w:rsid w:val="5C4C0A18"/>
    <w:rsid w:val="5C9C34D0"/>
    <w:rsid w:val="5CA5F212"/>
    <w:rsid w:val="5CBECC64"/>
    <w:rsid w:val="5CF68CD5"/>
    <w:rsid w:val="5D1B53D1"/>
    <w:rsid w:val="5D21D056"/>
    <w:rsid w:val="5D4255A7"/>
    <w:rsid w:val="5D443A89"/>
    <w:rsid w:val="5D524B4F"/>
    <w:rsid w:val="5D6B3C36"/>
    <w:rsid w:val="5DB1FF39"/>
    <w:rsid w:val="5DCDC99C"/>
    <w:rsid w:val="5DD3910E"/>
    <w:rsid w:val="5DE44F9E"/>
    <w:rsid w:val="5E177ADF"/>
    <w:rsid w:val="5E426BE4"/>
    <w:rsid w:val="5E5E2A74"/>
    <w:rsid w:val="5E7BD867"/>
    <w:rsid w:val="5EBD53F5"/>
    <w:rsid w:val="5EFEFBAF"/>
    <w:rsid w:val="5FE0A003"/>
    <w:rsid w:val="601E9895"/>
    <w:rsid w:val="6080F65F"/>
    <w:rsid w:val="6084389A"/>
    <w:rsid w:val="6104B410"/>
    <w:rsid w:val="61852061"/>
    <w:rsid w:val="61B7F7E8"/>
    <w:rsid w:val="61EF15F6"/>
    <w:rsid w:val="62049FCF"/>
    <w:rsid w:val="62164A32"/>
    <w:rsid w:val="621F5BF2"/>
    <w:rsid w:val="624A2886"/>
    <w:rsid w:val="62560576"/>
    <w:rsid w:val="629A074D"/>
    <w:rsid w:val="63AC32E0"/>
    <w:rsid w:val="640696EC"/>
    <w:rsid w:val="641ABFC8"/>
    <w:rsid w:val="6429E490"/>
    <w:rsid w:val="6442D4B0"/>
    <w:rsid w:val="647E2871"/>
    <w:rsid w:val="6496A581"/>
    <w:rsid w:val="64B67AB0"/>
    <w:rsid w:val="64EF470C"/>
    <w:rsid w:val="64F91E4D"/>
    <w:rsid w:val="6580D999"/>
    <w:rsid w:val="6585FCCE"/>
    <w:rsid w:val="65B42577"/>
    <w:rsid w:val="65CAB747"/>
    <w:rsid w:val="6633A6D8"/>
    <w:rsid w:val="66CFD1ED"/>
    <w:rsid w:val="673F5543"/>
    <w:rsid w:val="674F2917"/>
    <w:rsid w:val="676884FE"/>
    <w:rsid w:val="678CA113"/>
    <w:rsid w:val="6796E9DE"/>
    <w:rsid w:val="67BF5F1F"/>
    <w:rsid w:val="681E03AA"/>
    <w:rsid w:val="6822E476"/>
    <w:rsid w:val="685A0653"/>
    <w:rsid w:val="68617706"/>
    <w:rsid w:val="692AA25D"/>
    <w:rsid w:val="6939E019"/>
    <w:rsid w:val="69875851"/>
    <w:rsid w:val="6990B23A"/>
    <w:rsid w:val="6A6E433E"/>
    <w:rsid w:val="6AEC9EFE"/>
    <w:rsid w:val="6B4B9984"/>
    <w:rsid w:val="6B5A0D31"/>
    <w:rsid w:val="6B663811"/>
    <w:rsid w:val="6B752702"/>
    <w:rsid w:val="6B83AA52"/>
    <w:rsid w:val="6B8604F2"/>
    <w:rsid w:val="6B90FF5E"/>
    <w:rsid w:val="6B9CD959"/>
    <w:rsid w:val="6BCD035F"/>
    <w:rsid w:val="6BDA02BC"/>
    <w:rsid w:val="6C65037B"/>
    <w:rsid w:val="6C93086F"/>
    <w:rsid w:val="6CA21F48"/>
    <w:rsid w:val="6CE5BEC0"/>
    <w:rsid w:val="6CF3249C"/>
    <w:rsid w:val="6D0850DA"/>
    <w:rsid w:val="6D0ED602"/>
    <w:rsid w:val="6DBAD57A"/>
    <w:rsid w:val="6DF7FA22"/>
    <w:rsid w:val="6DF9A4D7"/>
    <w:rsid w:val="6DFBD033"/>
    <w:rsid w:val="6E0EA648"/>
    <w:rsid w:val="6E2ADC22"/>
    <w:rsid w:val="6E4DFE68"/>
    <w:rsid w:val="6ECD49FC"/>
    <w:rsid w:val="6F8CA19F"/>
    <w:rsid w:val="6FD09C02"/>
    <w:rsid w:val="70056C19"/>
    <w:rsid w:val="70144315"/>
    <w:rsid w:val="701486E6"/>
    <w:rsid w:val="7091D3CF"/>
    <w:rsid w:val="70D0C27A"/>
    <w:rsid w:val="71B5CC91"/>
    <w:rsid w:val="71DF198E"/>
    <w:rsid w:val="720889DA"/>
    <w:rsid w:val="7265CC5F"/>
    <w:rsid w:val="72735A5B"/>
    <w:rsid w:val="727C45BF"/>
    <w:rsid w:val="72D7FB09"/>
    <w:rsid w:val="7300EF09"/>
    <w:rsid w:val="730D107F"/>
    <w:rsid w:val="732957A1"/>
    <w:rsid w:val="7331230D"/>
    <w:rsid w:val="735C8595"/>
    <w:rsid w:val="74280695"/>
    <w:rsid w:val="7481577E"/>
    <w:rsid w:val="74A5F2F0"/>
    <w:rsid w:val="74C723DB"/>
    <w:rsid w:val="74CA79E3"/>
    <w:rsid w:val="753B094E"/>
    <w:rsid w:val="754822B0"/>
    <w:rsid w:val="75782E71"/>
    <w:rsid w:val="7591C56E"/>
    <w:rsid w:val="75B5F1B4"/>
    <w:rsid w:val="760A32D2"/>
    <w:rsid w:val="76469E1E"/>
    <w:rsid w:val="764F2DDE"/>
    <w:rsid w:val="766247BA"/>
    <w:rsid w:val="768CA614"/>
    <w:rsid w:val="768EB2A9"/>
    <w:rsid w:val="768FC7D8"/>
    <w:rsid w:val="76A9CE5F"/>
    <w:rsid w:val="76BBBB84"/>
    <w:rsid w:val="76C52383"/>
    <w:rsid w:val="76DB910E"/>
    <w:rsid w:val="76DF8C66"/>
    <w:rsid w:val="76F1D448"/>
    <w:rsid w:val="779F5840"/>
    <w:rsid w:val="77BC826A"/>
    <w:rsid w:val="77C8D3E6"/>
    <w:rsid w:val="77D6C0BE"/>
    <w:rsid w:val="77E7FA97"/>
    <w:rsid w:val="7857BC7A"/>
    <w:rsid w:val="7864B3E0"/>
    <w:rsid w:val="7867E6DC"/>
    <w:rsid w:val="788AB980"/>
    <w:rsid w:val="78C0FF72"/>
    <w:rsid w:val="78CA82B0"/>
    <w:rsid w:val="79005833"/>
    <w:rsid w:val="7A0BAB6B"/>
    <w:rsid w:val="7A4BA4C0"/>
    <w:rsid w:val="7ADF74F5"/>
    <w:rsid w:val="7AF62712"/>
    <w:rsid w:val="7B0BF6C1"/>
    <w:rsid w:val="7B155B7D"/>
    <w:rsid w:val="7B4D3EA4"/>
    <w:rsid w:val="7B59F474"/>
    <w:rsid w:val="7BE07D74"/>
    <w:rsid w:val="7BF209CC"/>
    <w:rsid w:val="7C2DC70E"/>
    <w:rsid w:val="7C67A097"/>
    <w:rsid w:val="7C91C21B"/>
    <w:rsid w:val="7C9B348B"/>
    <w:rsid w:val="7CF1D492"/>
    <w:rsid w:val="7E50C3BE"/>
    <w:rsid w:val="7E6DB951"/>
    <w:rsid w:val="7E6E0978"/>
    <w:rsid w:val="7E7E926B"/>
    <w:rsid w:val="7EF31D10"/>
    <w:rsid w:val="7F2F291E"/>
    <w:rsid w:val="7FA2C4C4"/>
    <w:rsid w:val="7FAFC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01D7"/>
  <w15:chartTrackingRefBased/>
  <w15:docId w15:val="{3B45738A-FFF6-4300-873C-2D59DFD8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E8C"/>
    <w:rPr>
      <w:rFonts w:ascii="Calibri" w:eastAsia="Calibri" w:hAnsi="Calibri" w:cs="Calibri"/>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B24E8C"/>
    <w:pPr>
      <w:spacing w:line="240" w:lineRule="auto"/>
    </w:pPr>
    <w:rPr>
      <w:sz w:val="20"/>
      <w:szCs w:val="20"/>
    </w:rPr>
  </w:style>
  <w:style w:type="character" w:customStyle="1" w:styleId="CommentaireCar">
    <w:name w:val="Commentaire Car"/>
    <w:basedOn w:val="Policepardfaut"/>
    <w:link w:val="Commentaire"/>
    <w:uiPriority w:val="99"/>
    <w:semiHidden/>
    <w:rsid w:val="00B24E8C"/>
    <w:rPr>
      <w:rFonts w:ascii="Calibri" w:eastAsia="Calibri" w:hAnsi="Calibri" w:cs="Calibri"/>
      <w:sz w:val="20"/>
      <w:szCs w:val="20"/>
      <w:lang w:val="en-GB"/>
    </w:rPr>
  </w:style>
  <w:style w:type="character" w:styleId="Marquedecommentaire">
    <w:name w:val="annotation reference"/>
    <w:basedOn w:val="Policepardfaut"/>
    <w:uiPriority w:val="99"/>
    <w:semiHidden/>
    <w:unhideWhenUsed/>
    <w:rsid w:val="00B24E8C"/>
    <w:rPr>
      <w:sz w:val="16"/>
      <w:szCs w:val="16"/>
    </w:rPr>
  </w:style>
  <w:style w:type="paragraph" w:styleId="Paragraphedeliste">
    <w:name w:val="List Paragraph"/>
    <w:basedOn w:val="Normal"/>
    <w:uiPriority w:val="34"/>
    <w:qFormat/>
    <w:rsid w:val="00B24E8C"/>
    <w:pPr>
      <w:ind w:left="720"/>
      <w:contextualSpacing/>
    </w:pPr>
  </w:style>
  <w:style w:type="paragraph" w:styleId="Textedebulles">
    <w:name w:val="Balloon Text"/>
    <w:basedOn w:val="Normal"/>
    <w:link w:val="TextedebullesCar"/>
    <w:uiPriority w:val="99"/>
    <w:semiHidden/>
    <w:unhideWhenUsed/>
    <w:rsid w:val="00B24E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E8C"/>
    <w:rPr>
      <w:rFonts w:ascii="Segoe UI" w:eastAsia="Calibri" w:hAnsi="Segoe UI" w:cs="Segoe UI"/>
      <w:sz w:val="18"/>
      <w:szCs w:val="18"/>
      <w:lang w:val="en-GB"/>
    </w:rPr>
  </w:style>
  <w:style w:type="paragraph" w:customStyle="1" w:styleId="Default">
    <w:name w:val="Default"/>
    <w:rsid w:val="005E4DE8"/>
    <w:pPr>
      <w:autoSpaceDE w:val="0"/>
      <w:autoSpaceDN w:val="0"/>
      <w:adjustRightInd w:val="0"/>
      <w:spacing w:after="0" w:line="240" w:lineRule="auto"/>
    </w:pPr>
    <w:rPr>
      <w:rFonts w:ascii="Calibri" w:hAnsi="Calibri" w:cs="Calibri"/>
      <w:color w:val="000000"/>
      <w:sz w:val="24"/>
      <w:szCs w:val="24"/>
    </w:rPr>
  </w:style>
  <w:style w:type="paragraph" w:styleId="Objetducommentaire">
    <w:name w:val="annotation subject"/>
    <w:basedOn w:val="Commentaire"/>
    <w:next w:val="Commentaire"/>
    <w:link w:val="ObjetducommentaireCar"/>
    <w:uiPriority w:val="99"/>
    <w:semiHidden/>
    <w:unhideWhenUsed/>
    <w:rsid w:val="00E37397"/>
    <w:rPr>
      <w:b/>
      <w:bCs/>
    </w:rPr>
  </w:style>
  <w:style w:type="character" w:customStyle="1" w:styleId="ObjetducommentaireCar">
    <w:name w:val="Objet du commentaire Car"/>
    <w:basedOn w:val="CommentaireCar"/>
    <w:link w:val="Objetducommentaire"/>
    <w:uiPriority w:val="99"/>
    <w:semiHidden/>
    <w:rsid w:val="00E37397"/>
    <w:rPr>
      <w:rFonts w:ascii="Calibri" w:eastAsia="Calibri" w:hAnsi="Calibri" w:cs="Calibri"/>
      <w:b/>
      <w:bCs/>
      <w:sz w:val="20"/>
      <w:szCs w:val="20"/>
      <w:lang w:val="en-GB"/>
    </w:rPr>
  </w:style>
  <w:style w:type="paragraph" w:customStyle="1" w:styleId="SingleTxt">
    <w:name w:val="__Single Txt"/>
    <w:basedOn w:val="Normal"/>
    <w:qFormat/>
    <w:rsid w:val="00CD3DC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lang w:val="fr-FR"/>
    </w:rPr>
  </w:style>
  <w:style w:type="paragraph" w:styleId="NormalWeb">
    <w:name w:val="Normal (Web)"/>
    <w:basedOn w:val="Normal"/>
    <w:uiPriority w:val="99"/>
    <w:semiHidden/>
    <w:unhideWhenUsed/>
    <w:rsid w:val="000D740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0D7408"/>
    <w:rPr>
      <w:b/>
      <w:bCs/>
    </w:rPr>
  </w:style>
  <w:style w:type="character" w:styleId="Accentuation">
    <w:name w:val="Emphasis"/>
    <w:basedOn w:val="Policepardfaut"/>
    <w:uiPriority w:val="20"/>
    <w:qFormat/>
    <w:rsid w:val="000D7408"/>
    <w:rPr>
      <w:i/>
      <w:iCs/>
    </w:rPr>
  </w:style>
  <w:style w:type="character" w:styleId="Lienhypertexte">
    <w:name w:val="Hyperlink"/>
    <w:basedOn w:val="Policepardfaut"/>
    <w:uiPriority w:val="99"/>
    <w:unhideWhenUsed/>
    <w:rsid w:val="000D7408"/>
    <w:rPr>
      <w:color w:val="0000FF"/>
      <w:u w:val="single"/>
    </w:rPr>
  </w:style>
  <w:style w:type="paragraph" w:styleId="Sansinterligne">
    <w:name w:val="No Spacing"/>
    <w:uiPriority w:val="1"/>
    <w:qFormat/>
    <w:rsid w:val="003C1919"/>
    <w:pPr>
      <w:spacing w:after="0" w:line="240" w:lineRule="auto"/>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Rvision">
    <w:name w:val="Revision"/>
    <w:hidden/>
    <w:uiPriority w:val="99"/>
    <w:semiHidden/>
    <w:rsid w:val="00C970C1"/>
    <w:pPr>
      <w:spacing w:after="0" w:line="240" w:lineRule="auto"/>
    </w:pPr>
    <w:rPr>
      <w:rFonts w:ascii="Calibri" w:eastAsia="Calibri" w:hAnsi="Calibri" w:cs="Calibri"/>
      <w:lang w:val="en-GB"/>
    </w:rPr>
  </w:style>
  <w:style w:type="character" w:styleId="Lienhypertextesuivivisit">
    <w:name w:val="FollowedHyperlink"/>
    <w:basedOn w:val="Policepardfaut"/>
    <w:uiPriority w:val="99"/>
    <w:semiHidden/>
    <w:unhideWhenUsed/>
    <w:rsid w:val="00830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a401aeaae5b7499f" Type="http://schemas.microsoft.com/office/2016/09/relationships/commentsIds" Target="commentsId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19930cda2b974ed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oecd-ilibrary.org/environment/climate-finance-provided-and-mobilised-by-developed-countries-in-2013-17_39faf4a7-en" TargetMode="External"/><Relationship Id="rId1" Type="http://schemas.openxmlformats.org/officeDocument/2006/relationships/hyperlink" Target="https://www.un.org/en/ga/search/view_doc.asp?symbol=A/RES/64/292&amp;Lang=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0D3089-5B05-4D7A-9A0E-2955BB1CE1E3}">
  <ds:schemaRefs>
    <ds:schemaRef ds:uri="http://schemas.openxmlformats.org/officeDocument/2006/bibliography"/>
  </ds:schemaRefs>
</ds:datastoreItem>
</file>

<file path=customXml/itemProps2.xml><?xml version="1.0" encoding="utf-8"?>
<ds:datastoreItem xmlns:ds="http://schemas.openxmlformats.org/officeDocument/2006/customXml" ds:itemID="{2C800C54-79FB-4ABA-8908-649833B1565F}"/>
</file>

<file path=customXml/itemProps3.xml><?xml version="1.0" encoding="utf-8"?>
<ds:datastoreItem xmlns:ds="http://schemas.openxmlformats.org/officeDocument/2006/customXml" ds:itemID="{7C11536C-E00E-4320-9A5B-C3702E8AE95A}"/>
</file>

<file path=customXml/itemProps4.xml><?xml version="1.0" encoding="utf-8"?>
<ds:datastoreItem xmlns:ds="http://schemas.openxmlformats.org/officeDocument/2006/customXml" ds:itemID="{F95D4683-0A5B-4431-B46D-970F76A93001}"/>
</file>

<file path=docProps/app.xml><?xml version="1.0" encoding="utf-8"?>
<Properties xmlns="http://schemas.openxmlformats.org/officeDocument/2006/extended-properties" xmlns:vt="http://schemas.openxmlformats.org/officeDocument/2006/docPropsVTypes">
  <Template>Normal</Template>
  <TotalTime>83</TotalTime>
  <Pages>4</Pages>
  <Words>2152</Words>
  <Characters>11842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 floch</dc:creator>
  <cp:keywords/>
  <dc:description/>
  <cp:lastModifiedBy>ORIGONI</cp:lastModifiedBy>
  <cp:revision>20</cp:revision>
  <cp:lastPrinted>2020-06-17T15:12:00Z</cp:lastPrinted>
  <dcterms:created xsi:type="dcterms:W3CDTF">2020-06-17T12:31:00Z</dcterms:created>
  <dcterms:modified xsi:type="dcterms:W3CDTF">2020-06-17T15:12:00Z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