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5F" w:rsidRPr="00174B28" w:rsidRDefault="0048305F" w:rsidP="00F95C31">
      <w:pPr>
        <w:spacing w:line="240" w:lineRule="auto"/>
        <w:jc w:val="center"/>
        <w:rPr>
          <w:rFonts w:ascii="Tahoma" w:hAnsi="Tahoma" w:cs="Tahoma"/>
          <w:b/>
          <w:sz w:val="28"/>
          <w:szCs w:val="28"/>
          <w:lang w:val="en-GB"/>
        </w:rPr>
      </w:pPr>
      <w:r>
        <w:rPr>
          <w:rFonts w:ascii="Tahoma" w:hAnsi="Tahoma" w:cs="Tahoma"/>
          <w:b/>
          <w:sz w:val="28"/>
          <w:szCs w:val="28"/>
          <w:lang w:val="en-GB"/>
        </w:rPr>
        <w:t>REPLY</w:t>
      </w:r>
      <w:r w:rsidRPr="00174B28">
        <w:rPr>
          <w:rFonts w:ascii="Tahoma" w:hAnsi="Tahoma" w:cs="Tahoma"/>
          <w:b/>
          <w:sz w:val="28"/>
          <w:szCs w:val="28"/>
          <w:lang w:val="en-GB"/>
        </w:rPr>
        <w:t xml:space="preserve"> OF </w:t>
      </w:r>
      <w:smartTag w:uri="urn:schemas-microsoft-com:office:smarttags" w:element="country-region">
        <w:smartTag w:uri="urn:schemas-microsoft-com:office:smarttags" w:element="place">
          <w:r w:rsidRPr="00174B28">
            <w:rPr>
              <w:rFonts w:ascii="Tahoma" w:hAnsi="Tahoma" w:cs="Tahoma"/>
              <w:b/>
              <w:sz w:val="28"/>
              <w:szCs w:val="28"/>
              <w:lang w:val="en-GB"/>
            </w:rPr>
            <w:t>PORTUGAL</w:t>
          </w:r>
        </w:smartTag>
      </w:smartTag>
      <w:r w:rsidRPr="00174B28">
        <w:rPr>
          <w:rFonts w:ascii="Tahoma" w:hAnsi="Tahoma" w:cs="Tahoma"/>
          <w:b/>
          <w:sz w:val="28"/>
          <w:szCs w:val="28"/>
          <w:lang w:val="en-GB"/>
        </w:rPr>
        <w:t xml:space="preserve"> TO THE </w:t>
      </w:r>
      <w:r>
        <w:rPr>
          <w:rFonts w:ascii="Tahoma" w:hAnsi="Tahoma" w:cs="Tahoma"/>
          <w:b/>
          <w:sz w:val="28"/>
          <w:szCs w:val="28"/>
          <w:lang w:val="en-GB"/>
        </w:rPr>
        <w:t>QUESTIONNAIRE ON HOUSING FINANCING POLICIES AND PROGRAMMES BY THE SPECIAL RAPPORTEUR ON ADEQUATE HOUSING AS A COMPONENT OF THE RIGHT TO AN ADEQUATE STANDARD OF LIVING, AND ON THE RIGHT TO NON-DISCRIMINATION IN THIS REGARD PURSUANT HUMAN RIGHTS COUNCIL RESOLUTION 15/8</w:t>
      </w:r>
    </w:p>
    <w:p w:rsidR="0048305F" w:rsidRPr="00533EF9" w:rsidRDefault="0048305F" w:rsidP="00960618">
      <w:pPr>
        <w:spacing w:line="360" w:lineRule="auto"/>
        <w:jc w:val="center"/>
        <w:rPr>
          <w:rFonts w:ascii="Tahoma" w:hAnsi="Tahoma" w:cs="Tahoma"/>
          <w:b/>
          <w:sz w:val="28"/>
          <w:szCs w:val="28"/>
          <w:lang w:val="en-GB"/>
        </w:rPr>
      </w:pPr>
    </w:p>
    <w:p w:rsidR="0048305F" w:rsidRDefault="0048305F" w:rsidP="00533EF9">
      <w:pPr>
        <w:jc w:val="both"/>
        <w:rPr>
          <w:rFonts w:ascii="Tahoma" w:hAnsi="Tahoma" w:cs="Tahoma"/>
          <w:b/>
          <w:lang w:val="en-GB"/>
        </w:rPr>
      </w:pPr>
      <w:r w:rsidRPr="00533EF9">
        <w:rPr>
          <w:rFonts w:ascii="Tahoma" w:hAnsi="Tahoma" w:cs="Tahoma"/>
          <w:b/>
          <w:lang w:val="en-GB"/>
        </w:rPr>
        <w:t>Question 1: Is your country promoting finance policies or program</w:t>
      </w:r>
      <w:r>
        <w:rPr>
          <w:rFonts w:ascii="Tahoma" w:hAnsi="Tahoma" w:cs="Tahoma"/>
          <w:b/>
          <w:lang w:val="en-GB"/>
        </w:rPr>
        <w:t>m</w:t>
      </w:r>
      <w:r w:rsidRPr="00533EF9">
        <w:rPr>
          <w:rFonts w:ascii="Tahoma" w:hAnsi="Tahoma" w:cs="Tahoma"/>
          <w:b/>
          <w:lang w:val="en-GB"/>
        </w:rPr>
        <w:t xml:space="preserve">es aiming to enable access </w:t>
      </w:r>
      <w:r>
        <w:rPr>
          <w:rFonts w:ascii="Tahoma" w:hAnsi="Tahoma" w:cs="Tahoma"/>
          <w:b/>
          <w:lang w:val="en-GB"/>
        </w:rPr>
        <w:t>to homeownership and/or other afford</w:t>
      </w:r>
      <w:r w:rsidRPr="00533EF9">
        <w:rPr>
          <w:rFonts w:ascii="Tahoma" w:hAnsi="Tahoma" w:cs="Tahoma"/>
          <w:b/>
          <w:lang w:val="en-GB"/>
        </w:rPr>
        <w:t>able housing by the poorest segments of society, by providing credit t</w:t>
      </w:r>
      <w:r>
        <w:rPr>
          <w:rFonts w:ascii="Tahoma" w:hAnsi="Tahoma" w:cs="Tahoma"/>
          <w:b/>
          <w:lang w:val="en-GB"/>
        </w:rPr>
        <w:t>h</w:t>
      </w:r>
      <w:r w:rsidRPr="00533EF9">
        <w:rPr>
          <w:rFonts w:ascii="Tahoma" w:hAnsi="Tahoma" w:cs="Tahoma"/>
          <w:b/>
          <w:lang w:val="en-GB"/>
        </w:rPr>
        <w:t>rough financial institutions (public, private or quasi-private)?</w:t>
      </w:r>
    </w:p>
    <w:p w:rsidR="0048305F" w:rsidRPr="00533EF9" w:rsidRDefault="0048305F" w:rsidP="00533EF9">
      <w:pPr>
        <w:jc w:val="both"/>
        <w:rPr>
          <w:rFonts w:ascii="Tahoma" w:hAnsi="Tahoma" w:cs="Tahoma"/>
          <w:b/>
          <w:sz w:val="28"/>
          <w:szCs w:val="28"/>
          <w:lang w:val="en-GB"/>
        </w:rPr>
      </w:pPr>
    </w:p>
    <w:p w:rsidR="0048305F" w:rsidRPr="006D087C" w:rsidRDefault="0048305F" w:rsidP="00CF5D0D">
      <w:pPr>
        <w:autoSpaceDE w:val="0"/>
        <w:autoSpaceDN w:val="0"/>
        <w:adjustRightInd w:val="0"/>
        <w:ind w:firstLine="567"/>
        <w:jc w:val="both"/>
        <w:rPr>
          <w:rFonts w:ascii="Tahoma" w:hAnsi="Tahoma" w:cs="Tahoma"/>
          <w:lang w:val="en-US"/>
        </w:rPr>
      </w:pPr>
      <w:r w:rsidRPr="006D087C">
        <w:rPr>
          <w:rFonts w:ascii="Tahoma" w:hAnsi="Tahoma" w:cs="Tahoma"/>
          <w:lang w:val="en-GB"/>
        </w:rPr>
        <w:t>Yes. The Portuguese Government has been adopting and implementing various policie</w:t>
      </w:r>
      <w:r>
        <w:rPr>
          <w:rFonts w:ascii="Tahoma" w:hAnsi="Tahoma" w:cs="Tahoma"/>
          <w:lang w:val="en-GB"/>
        </w:rPr>
        <w:t xml:space="preserve">s and programmes in this regard, </w:t>
      </w:r>
      <w:r>
        <w:rPr>
          <w:rFonts w:ascii="Tahoma" w:hAnsi="Tahoma" w:cs="Tahoma"/>
          <w:lang w:val="en-US"/>
        </w:rPr>
        <w:t>among which</w:t>
      </w:r>
      <w:r w:rsidRPr="006D087C">
        <w:rPr>
          <w:rFonts w:ascii="Tahoma" w:hAnsi="Tahoma" w:cs="Tahoma"/>
          <w:lang w:val="en-US"/>
        </w:rPr>
        <w:t xml:space="preserve"> the Relocation Programmes (PROHABITA</w:t>
      </w:r>
      <w:r w:rsidRPr="006D087C">
        <w:rPr>
          <w:rStyle w:val="FootnoteReference"/>
          <w:rFonts w:ascii="Tahoma" w:hAnsi="Tahoma" w:cs="Tahoma"/>
          <w:lang w:val="en-US"/>
        </w:rPr>
        <w:footnoteReference w:id="1"/>
      </w:r>
      <w:r w:rsidRPr="006D087C">
        <w:rPr>
          <w:rFonts w:ascii="Tahoma" w:hAnsi="Tahoma" w:cs="Tahoma"/>
          <w:lang w:val="en-US"/>
        </w:rPr>
        <w:t xml:space="preserve"> and Special Re-Housing Programme - </w:t>
      </w:r>
      <w:smartTag w:uri="urn:schemas-microsoft-com:office:smarttags" w:element="stockticker">
        <w:r w:rsidRPr="006D087C">
          <w:rPr>
            <w:rFonts w:ascii="Tahoma" w:hAnsi="Tahoma" w:cs="Tahoma"/>
            <w:lang w:val="en-US"/>
          </w:rPr>
          <w:t>PER</w:t>
        </w:r>
      </w:smartTag>
      <w:r w:rsidRPr="006D087C">
        <w:rPr>
          <w:rFonts w:ascii="Tahoma" w:hAnsi="Tahoma" w:cs="Tahoma"/>
          <w:vertAlign w:val="superscript"/>
        </w:rPr>
        <w:footnoteReference w:id="2"/>
      </w:r>
      <w:r w:rsidRPr="006D087C">
        <w:rPr>
          <w:rFonts w:ascii="Tahoma" w:hAnsi="Tahoma" w:cs="Tahoma"/>
          <w:lang w:val="en-US"/>
        </w:rPr>
        <w:t>) and the Programme of Solidarity and Support for Recovery Housing (SOLARH)</w:t>
      </w:r>
      <w:r w:rsidRPr="006D087C">
        <w:rPr>
          <w:rStyle w:val="FootnoteReference"/>
          <w:rFonts w:ascii="Tahoma" w:hAnsi="Tahoma" w:cs="Tahoma"/>
          <w:lang w:val="en-US"/>
        </w:rPr>
        <w:footnoteReference w:id="3"/>
      </w:r>
      <w:r w:rsidRPr="006D087C">
        <w:rPr>
          <w:rFonts w:ascii="Tahoma" w:hAnsi="Tahoma" w:cs="Tahoma"/>
          <w:lang w:val="en-US"/>
        </w:rPr>
        <w:t>. These Programmes are indexed to household income and are aimed at an audience with limited economic returns.</w:t>
      </w:r>
    </w:p>
    <w:p w:rsidR="0048305F" w:rsidRPr="006D087C" w:rsidRDefault="0048305F" w:rsidP="00CF5D0D">
      <w:pPr>
        <w:autoSpaceDE w:val="0"/>
        <w:autoSpaceDN w:val="0"/>
        <w:adjustRightInd w:val="0"/>
        <w:ind w:firstLine="567"/>
        <w:rPr>
          <w:rFonts w:ascii="Tahoma" w:hAnsi="Tahoma" w:cs="Tahoma"/>
          <w:lang w:val="en-US"/>
        </w:rPr>
      </w:pPr>
      <w:r w:rsidRPr="006D087C">
        <w:rPr>
          <w:rFonts w:ascii="Tahoma" w:hAnsi="Tahoma" w:cs="Tahoma"/>
          <w:lang w:val="en-US"/>
        </w:rPr>
        <w:t>Reference should be also made to the relevant role of housing stock owned by</w:t>
      </w:r>
      <w:r>
        <w:rPr>
          <w:rFonts w:ascii="Tahoma" w:hAnsi="Tahoma" w:cs="Tahoma"/>
          <w:lang w:val="en-US"/>
        </w:rPr>
        <w:t xml:space="preserve"> the</w:t>
      </w:r>
      <w:r w:rsidRPr="006D087C">
        <w:rPr>
          <w:rFonts w:ascii="Tahoma" w:hAnsi="Tahoma" w:cs="Tahoma"/>
          <w:lang w:val="en-US"/>
        </w:rPr>
        <w:t xml:space="preserve"> Institute for Housing and Urban Rehabilitation (IHRU)</w:t>
      </w:r>
      <w:r w:rsidRPr="006D087C">
        <w:rPr>
          <w:rStyle w:val="FootnoteReference"/>
          <w:rFonts w:ascii="Tahoma" w:hAnsi="Tahoma" w:cs="Tahoma"/>
          <w:lang w:val="en-US"/>
        </w:rPr>
        <w:footnoteReference w:id="4"/>
      </w:r>
      <w:r>
        <w:rPr>
          <w:rFonts w:ascii="Tahoma" w:hAnsi="Tahoma" w:cs="Tahoma"/>
          <w:lang w:val="en-US"/>
        </w:rPr>
        <w:t>, in supporting families with low</w:t>
      </w:r>
      <w:r w:rsidRPr="006D087C">
        <w:rPr>
          <w:rFonts w:ascii="Tahoma" w:hAnsi="Tahoma" w:cs="Tahoma"/>
          <w:lang w:val="en-US"/>
        </w:rPr>
        <w:t xml:space="preserve"> income.</w:t>
      </w:r>
    </w:p>
    <w:p w:rsidR="0048305F" w:rsidRPr="006D087C" w:rsidRDefault="0048305F" w:rsidP="00CF5D0D">
      <w:pPr>
        <w:autoSpaceDE w:val="0"/>
        <w:autoSpaceDN w:val="0"/>
        <w:adjustRightInd w:val="0"/>
        <w:ind w:firstLine="567"/>
        <w:jc w:val="both"/>
        <w:rPr>
          <w:rFonts w:ascii="Tahoma" w:hAnsi="Tahoma" w:cs="Tahoma"/>
          <w:lang w:val="en-US"/>
        </w:rPr>
      </w:pPr>
      <w:r w:rsidRPr="006D087C">
        <w:rPr>
          <w:rFonts w:ascii="Tahoma" w:hAnsi="Tahoma" w:cs="Tahoma"/>
          <w:lang w:val="en-US"/>
        </w:rPr>
        <w:t xml:space="preserve">The National Action Plan for Inclusion (PNAI) following the European Strategy for Social Protection and Social Inclusion for 2008-2010 defines a set of objectives for the area of housing. </w:t>
      </w:r>
    </w:p>
    <w:p w:rsidR="0048305F" w:rsidRPr="006D087C" w:rsidRDefault="0048305F" w:rsidP="00F95C31">
      <w:pPr>
        <w:spacing w:line="240" w:lineRule="auto"/>
        <w:jc w:val="both"/>
        <w:rPr>
          <w:rFonts w:ascii="Tahoma" w:hAnsi="Tahoma" w:cs="Tahoma"/>
          <w:lang w:val="en-GB"/>
        </w:rPr>
      </w:pPr>
    </w:p>
    <w:p w:rsidR="0048305F" w:rsidRPr="006D087C" w:rsidRDefault="0048305F" w:rsidP="00F95C31">
      <w:pPr>
        <w:pStyle w:val="ListParagraph"/>
        <w:numPr>
          <w:ilvl w:val="0"/>
          <w:numId w:val="12"/>
        </w:numPr>
        <w:spacing w:line="240" w:lineRule="auto"/>
        <w:jc w:val="both"/>
        <w:rPr>
          <w:rFonts w:ascii="Tahoma" w:hAnsi="Tahoma" w:cs="Tahoma"/>
          <w:b/>
          <w:lang w:val="en-GB"/>
        </w:rPr>
      </w:pPr>
      <w:r w:rsidRPr="006D087C">
        <w:rPr>
          <w:rFonts w:ascii="Tahoma" w:hAnsi="Tahoma" w:cs="Tahoma"/>
          <w:b/>
          <w:lang w:val="en-GB"/>
        </w:rPr>
        <w:t>Please indicate whether these policies or programmes involve public subsidies, tax exemptions or other public financing.</w:t>
      </w:r>
    </w:p>
    <w:p w:rsidR="0048305F" w:rsidRPr="006D087C" w:rsidRDefault="0048305F" w:rsidP="00545950">
      <w:pPr>
        <w:pStyle w:val="ListParagraph"/>
        <w:spacing w:line="240" w:lineRule="auto"/>
        <w:ind w:left="360"/>
        <w:jc w:val="both"/>
        <w:rPr>
          <w:rFonts w:ascii="Tahoma" w:hAnsi="Tahoma" w:cs="Tahoma"/>
          <w:b/>
          <w:lang w:val="en-GB"/>
        </w:rPr>
      </w:pPr>
    </w:p>
    <w:p w:rsidR="0048305F" w:rsidRPr="006D087C" w:rsidRDefault="0048305F" w:rsidP="001D1328">
      <w:pPr>
        <w:spacing w:line="240" w:lineRule="auto"/>
        <w:jc w:val="both"/>
        <w:rPr>
          <w:rFonts w:ascii="Tahoma" w:hAnsi="Tahoma" w:cs="Tahoma"/>
          <w:lang w:val="en-GB"/>
        </w:rPr>
      </w:pPr>
      <w:r w:rsidRPr="006D087C">
        <w:rPr>
          <w:rFonts w:ascii="Tahoma" w:hAnsi="Tahoma" w:cs="Tahoma"/>
          <w:lang w:val="en-GB"/>
        </w:rPr>
        <w:t>Yes, they do.</w:t>
      </w:r>
    </w:p>
    <w:p w:rsidR="0048305F" w:rsidRPr="006D087C" w:rsidRDefault="0048305F" w:rsidP="001D1328">
      <w:pPr>
        <w:spacing w:line="240" w:lineRule="auto"/>
        <w:jc w:val="both"/>
        <w:rPr>
          <w:rFonts w:ascii="Tahoma" w:hAnsi="Tahoma" w:cs="Tahoma"/>
          <w:lang w:val="en-GB"/>
        </w:rPr>
      </w:pPr>
      <w:r w:rsidRPr="006D087C">
        <w:rPr>
          <w:rFonts w:ascii="Tahoma" w:hAnsi="Tahoma" w:cs="Tahoma"/>
          <w:lang w:val="en-GB"/>
        </w:rPr>
        <w:t>The Institute for Housing and Urban Rehabilitation (HRU) manages the following financial assistance programmes:</w:t>
      </w:r>
    </w:p>
    <w:p w:rsidR="0048305F" w:rsidRPr="006D087C" w:rsidRDefault="0048305F" w:rsidP="00F95C31">
      <w:pPr>
        <w:spacing w:line="240" w:lineRule="auto"/>
        <w:ind w:left="720"/>
        <w:jc w:val="both"/>
        <w:rPr>
          <w:rFonts w:ascii="Tahoma" w:hAnsi="Tahoma" w:cs="Tahoma"/>
          <w:lang w:val="en-GB"/>
        </w:rPr>
      </w:pPr>
    </w:p>
    <w:p w:rsidR="0048305F" w:rsidRPr="006D087C" w:rsidRDefault="0048305F" w:rsidP="00F95C31">
      <w:pPr>
        <w:pStyle w:val="ListParagraph"/>
        <w:numPr>
          <w:ilvl w:val="0"/>
          <w:numId w:val="5"/>
        </w:numPr>
        <w:spacing w:line="240" w:lineRule="auto"/>
        <w:jc w:val="both"/>
        <w:rPr>
          <w:rFonts w:ascii="Tahoma" w:hAnsi="Tahoma" w:cs="Tahoma"/>
          <w:lang w:val="en-GB"/>
        </w:rPr>
      </w:pPr>
      <w:r w:rsidRPr="006D087C">
        <w:rPr>
          <w:rFonts w:ascii="Tahoma" w:hAnsi="Tahoma" w:cs="Tahoma"/>
          <w:b/>
          <w:u w:val="single"/>
          <w:lang w:val="en-GB"/>
        </w:rPr>
        <w:t>PER and PER-families</w:t>
      </w:r>
      <w:r w:rsidRPr="006D087C">
        <w:rPr>
          <w:rFonts w:ascii="Tahoma" w:hAnsi="Tahoma" w:cs="Tahoma"/>
          <w:lang w:val="en-GB"/>
        </w:rPr>
        <w:t xml:space="preserve"> - specific re-housing programmes, launched in the 1990’s. These program</w:t>
      </w:r>
      <w:r>
        <w:rPr>
          <w:rFonts w:ascii="Tahoma" w:hAnsi="Tahoma" w:cs="Tahoma"/>
          <w:lang w:val="en-GB"/>
        </w:rPr>
        <w:t>mes aimed at re-housing population</w:t>
      </w:r>
      <w:r w:rsidRPr="006D087C">
        <w:rPr>
          <w:rFonts w:ascii="Tahoma" w:hAnsi="Tahoma" w:cs="Tahoma"/>
          <w:lang w:val="en-GB"/>
        </w:rPr>
        <w:t xml:space="preserve"> living in slums</w:t>
      </w:r>
      <w:r>
        <w:rPr>
          <w:rFonts w:ascii="Tahoma" w:hAnsi="Tahoma" w:cs="Tahoma"/>
          <w:lang w:val="en-GB"/>
        </w:rPr>
        <w:t xml:space="preserve"> and effectively led to the end of slums in </w:t>
      </w:r>
      <w:smartTag w:uri="urn:schemas-microsoft-com:office:smarttags" w:element="country-region">
        <w:r>
          <w:rPr>
            <w:rFonts w:ascii="Tahoma" w:hAnsi="Tahoma" w:cs="Tahoma"/>
            <w:lang w:val="en-GB"/>
          </w:rPr>
          <w:t>Portugal</w:t>
        </w:r>
      </w:smartTag>
      <w:r>
        <w:rPr>
          <w:rFonts w:ascii="Tahoma" w:hAnsi="Tahoma" w:cs="Tahoma"/>
          <w:lang w:val="en-GB"/>
        </w:rPr>
        <w:t>’s two major cities (</w:t>
      </w:r>
      <w:smartTag w:uri="urn:schemas-microsoft-com:office:smarttags" w:element="City">
        <w:r>
          <w:rPr>
            <w:rFonts w:ascii="Tahoma" w:hAnsi="Tahoma" w:cs="Tahoma"/>
            <w:lang w:val="en-GB"/>
          </w:rPr>
          <w:t>Lisbon</w:t>
        </w:r>
      </w:smartTag>
      <w:r>
        <w:rPr>
          <w:rFonts w:ascii="Tahoma" w:hAnsi="Tahoma" w:cs="Tahoma"/>
          <w:lang w:val="en-GB"/>
        </w:rPr>
        <w:t xml:space="preserve"> and </w:t>
      </w:r>
      <w:smartTag w:uri="urn:schemas-microsoft-com:office:smarttags" w:element="place">
        <w:r>
          <w:rPr>
            <w:rFonts w:ascii="Tahoma" w:hAnsi="Tahoma" w:cs="Tahoma"/>
            <w:lang w:val="en-GB"/>
          </w:rPr>
          <w:t>Porto</w:t>
        </w:r>
      </w:smartTag>
      <w:r>
        <w:rPr>
          <w:rFonts w:ascii="Tahoma" w:hAnsi="Tahoma" w:cs="Tahoma"/>
          <w:lang w:val="en-GB"/>
        </w:rPr>
        <w:t>)</w:t>
      </w:r>
      <w:r w:rsidRPr="006D087C">
        <w:rPr>
          <w:rFonts w:ascii="Tahoma" w:hAnsi="Tahoma" w:cs="Tahoma"/>
          <w:lang w:val="en-GB"/>
        </w:rPr>
        <w:t>;</w:t>
      </w:r>
    </w:p>
    <w:p w:rsidR="0048305F" w:rsidRPr="006D087C" w:rsidRDefault="0048305F" w:rsidP="00CF5D0D">
      <w:pPr>
        <w:pStyle w:val="ListParagraph"/>
        <w:spacing w:line="240" w:lineRule="auto"/>
        <w:ind w:left="1080"/>
        <w:jc w:val="both"/>
        <w:rPr>
          <w:rFonts w:ascii="Tahoma" w:hAnsi="Tahoma" w:cs="Tahoma"/>
          <w:lang w:val="en-GB"/>
        </w:rPr>
      </w:pPr>
    </w:p>
    <w:p w:rsidR="0048305F" w:rsidRDefault="0048305F" w:rsidP="00CA4C05">
      <w:pPr>
        <w:pStyle w:val="ListParagraph"/>
        <w:numPr>
          <w:ilvl w:val="0"/>
          <w:numId w:val="5"/>
        </w:numPr>
        <w:spacing w:line="240" w:lineRule="auto"/>
        <w:ind w:left="1080"/>
        <w:jc w:val="both"/>
        <w:rPr>
          <w:rFonts w:ascii="Tahoma" w:hAnsi="Tahoma" w:cs="Tahoma"/>
          <w:lang w:val="en-GB"/>
        </w:rPr>
      </w:pPr>
      <w:r w:rsidRPr="00366AEC">
        <w:rPr>
          <w:rFonts w:ascii="Tahoma" w:hAnsi="Tahoma" w:cs="Tahoma"/>
          <w:b/>
          <w:u w:val="single"/>
          <w:lang w:val="en-GB"/>
        </w:rPr>
        <w:t>PROHABITA</w:t>
      </w:r>
      <w:r w:rsidRPr="00366AEC">
        <w:rPr>
          <w:rFonts w:ascii="Tahoma" w:hAnsi="Tahoma" w:cs="Tahoma"/>
          <w:lang w:val="en-GB"/>
        </w:rPr>
        <w:t xml:space="preserve"> – a national programme that finances and grants housing solutions for families with housing difficulties. </w:t>
      </w:r>
    </w:p>
    <w:p w:rsidR="0048305F" w:rsidRDefault="0048305F" w:rsidP="00366AEC">
      <w:pPr>
        <w:pStyle w:val="ListParagraph"/>
        <w:rPr>
          <w:rFonts w:ascii="Tahoma" w:hAnsi="Tahoma" w:cs="Tahoma"/>
          <w:lang w:val="en-GB"/>
        </w:rPr>
      </w:pPr>
    </w:p>
    <w:p w:rsidR="0048305F" w:rsidRPr="00366AEC" w:rsidRDefault="0048305F" w:rsidP="00366AEC">
      <w:pPr>
        <w:pStyle w:val="ListParagraph"/>
        <w:spacing w:line="240" w:lineRule="auto"/>
        <w:ind w:left="1080"/>
        <w:jc w:val="both"/>
        <w:rPr>
          <w:rFonts w:ascii="Tahoma" w:hAnsi="Tahoma" w:cs="Tahoma"/>
          <w:lang w:val="en-GB"/>
        </w:rPr>
      </w:pPr>
      <w:r w:rsidRPr="00366AEC">
        <w:rPr>
          <w:rFonts w:ascii="Tahoma" w:hAnsi="Tahoma" w:cs="Tahoma"/>
          <w:lang w:val="en-GB"/>
        </w:rPr>
        <w:t xml:space="preserve">PROHABIT envisages meeting the following objectives laid down in the abovementioned </w:t>
      </w:r>
      <w:r w:rsidRPr="00366AEC">
        <w:rPr>
          <w:rFonts w:ascii="Tahoma" w:hAnsi="Tahoma" w:cs="Tahoma"/>
          <w:lang w:val="en-US"/>
        </w:rPr>
        <w:t>National Action Plan for Inclusion (PNAI) for the area of housing: 1) Promoting cost-controlled housing within Cooperative Promotion. 2) Reinforcing retrofitting. 3) Constructing or transforming buildings into social facilities in social housing neighborhoods. 4) Proportionate direct financial support to family households so as to ensure their re-housing in case of natural disasters or emergency situations.</w:t>
      </w:r>
      <w:r w:rsidRPr="00366AEC">
        <w:rPr>
          <w:rFonts w:ascii="Tahoma" w:hAnsi="Tahoma" w:cs="Tahoma"/>
          <w:lang w:val="en-GB"/>
        </w:rPr>
        <w:t xml:space="preserve"> This programme also enables municipalities to construct, buy, rehabilitate or rent houses.</w:t>
      </w:r>
    </w:p>
    <w:p w:rsidR="0048305F" w:rsidRPr="006D087C" w:rsidRDefault="0048305F" w:rsidP="00CA4C05">
      <w:pPr>
        <w:pStyle w:val="ListParagraph"/>
        <w:spacing w:line="240" w:lineRule="auto"/>
        <w:ind w:left="1440"/>
        <w:jc w:val="both"/>
        <w:rPr>
          <w:rFonts w:ascii="Tahoma" w:hAnsi="Tahoma" w:cs="Tahoma"/>
          <w:lang w:val="en-GB"/>
        </w:rPr>
      </w:pPr>
    </w:p>
    <w:p w:rsidR="0048305F" w:rsidRPr="006D087C" w:rsidRDefault="0048305F" w:rsidP="00CA4C05">
      <w:pPr>
        <w:pStyle w:val="ListParagraph"/>
        <w:spacing w:line="240" w:lineRule="auto"/>
        <w:ind w:left="1080"/>
        <w:jc w:val="both"/>
        <w:rPr>
          <w:rFonts w:ascii="Tahoma" w:hAnsi="Tahoma" w:cs="Tahoma"/>
          <w:lang w:val="en-GB"/>
        </w:rPr>
      </w:pPr>
    </w:p>
    <w:p w:rsidR="0048305F" w:rsidRPr="006D087C" w:rsidRDefault="0048305F" w:rsidP="00CF5D0D">
      <w:pPr>
        <w:pStyle w:val="ListParagraph"/>
        <w:spacing w:line="240" w:lineRule="auto"/>
        <w:ind w:left="1080"/>
        <w:jc w:val="both"/>
        <w:rPr>
          <w:rFonts w:ascii="Tahoma" w:hAnsi="Tahoma" w:cs="Tahoma"/>
          <w:lang w:val="en-GB"/>
        </w:rPr>
      </w:pPr>
    </w:p>
    <w:p w:rsidR="0048305F" w:rsidRPr="006D087C" w:rsidRDefault="0048305F" w:rsidP="00F95C31">
      <w:pPr>
        <w:pStyle w:val="ListParagraph"/>
        <w:numPr>
          <w:ilvl w:val="0"/>
          <w:numId w:val="5"/>
        </w:numPr>
        <w:spacing w:line="240" w:lineRule="auto"/>
        <w:jc w:val="both"/>
        <w:rPr>
          <w:rFonts w:ascii="Tahoma" w:hAnsi="Tahoma" w:cs="Tahoma"/>
          <w:lang w:val="en-GB"/>
        </w:rPr>
      </w:pPr>
      <w:r w:rsidRPr="006D087C">
        <w:rPr>
          <w:rFonts w:ascii="Tahoma" w:hAnsi="Tahoma" w:cs="Tahoma"/>
          <w:b/>
          <w:u w:val="single"/>
          <w:lang w:val="en-GB"/>
        </w:rPr>
        <w:t>RECRIA</w:t>
      </w:r>
      <w:r w:rsidRPr="006D087C">
        <w:rPr>
          <w:rFonts w:ascii="Tahoma" w:hAnsi="Tahoma" w:cs="Tahoma"/>
          <w:lang w:val="en-GB"/>
        </w:rPr>
        <w:t xml:space="preserve"> – a rehabilitation programme to support</w:t>
      </w:r>
      <w:r>
        <w:rPr>
          <w:rFonts w:ascii="Tahoma" w:hAnsi="Tahoma" w:cs="Tahoma"/>
          <w:lang w:val="en-GB"/>
        </w:rPr>
        <w:t>, through the grant of public incentives,</w:t>
      </w:r>
      <w:r w:rsidRPr="006D087C">
        <w:rPr>
          <w:rFonts w:ascii="Tahoma" w:hAnsi="Tahoma" w:cs="Tahoma"/>
          <w:lang w:val="en-GB"/>
        </w:rPr>
        <w:t xml:space="preserve"> </w:t>
      </w:r>
      <w:r>
        <w:rPr>
          <w:rFonts w:ascii="Tahoma" w:hAnsi="Tahoma" w:cs="Tahoma"/>
          <w:lang w:val="en-GB"/>
        </w:rPr>
        <w:t>upkeep work</w:t>
      </w:r>
      <w:r w:rsidRPr="006D087C">
        <w:rPr>
          <w:rFonts w:ascii="Tahoma" w:hAnsi="Tahoma" w:cs="Tahoma"/>
          <w:lang w:val="en-GB"/>
        </w:rPr>
        <w:t xml:space="preserve"> and the improvement of degraded real estate and dwellings.</w:t>
      </w:r>
    </w:p>
    <w:p w:rsidR="0048305F" w:rsidRPr="006D087C" w:rsidRDefault="0048305F" w:rsidP="00CF5D0D">
      <w:pPr>
        <w:pStyle w:val="ListParagraph"/>
        <w:spacing w:line="240" w:lineRule="auto"/>
        <w:ind w:left="0"/>
        <w:jc w:val="both"/>
        <w:rPr>
          <w:rFonts w:ascii="Tahoma" w:hAnsi="Tahoma" w:cs="Tahoma"/>
          <w:lang w:val="en-GB"/>
        </w:rPr>
      </w:pPr>
    </w:p>
    <w:p w:rsidR="0048305F" w:rsidRPr="006D087C" w:rsidRDefault="0048305F" w:rsidP="00CF5D0D">
      <w:pPr>
        <w:pStyle w:val="ListParagraph"/>
        <w:spacing w:line="240" w:lineRule="auto"/>
        <w:ind w:left="1080"/>
        <w:jc w:val="both"/>
        <w:rPr>
          <w:rFonts w:ascii="Tahoma" w:hAnsi="Tahoma" w:cs="Tahoma"/>
          <w:lang w:val="en-GB"/>
        </w:rPr>
      </w:pPr>
    </w:p>
    <w:p w:rsidR="0048305F" w:rsidRPr="006D087C" w:rsidRDefault="0048305F" w:rsidP="00F95C31">
      <w:pPr>
        <w:pStyle w:val="ListParagraph"/>
        <w:numPr>
          <w:ilvl w:val="0"/>
          <w:numId w:val="5"/>
        </w:numPr>
        <w:spacing w:line="240" w:lineRule="auto"/>
        <w:jc w:val="both"/>
        <w:rPr>
          <w:rFonts w:ascii="Tahoma" w:hAnsi="Tahoma" w:cs="Tahoma"/>
          <w:lang w:val="en-GB"/>
        </w:rPr>
      </w:pPr>
      <w:r w:rsidRPr="006D087C">
        <w:rPr>
          <w:rFonts w:ascii="Tahoma" w:hAnsi="Tahoma" w:cs="Tahoma"/>
          <w:b/>
          <w:u w:val="single"/>
          <w:lang w:val="en-GB"/>
        </w:rPr>
        <w:t>SOLARH</w:t>
      </w:r>
      <w:r w:rsidRPr="006D087C">
        <w:rPr>
          <w:rFonts w:ascii="Tahoma" w:hAnsi="Tahoma" w:cs="Tahoma"/>
          <w:lang w:val="en-GB"/>
        </w:rPr>
        <w:t xml:space="preserve"> – a programme int</w:t>
      </w:r>
      <w:r>
        <w:rPr>
          <w:rFonts w:ascii="Tahoma" w:hAnsi="Tahoma" w:cs="Tahoma"/>
          <w:lang w:val="en-GB"/>
        </w:rPr>
        <w:t>ended to finance, through</w:t>
      </w:r>
      <w:r w:rsidRPr="006D087C">
        <w:rPr>
          <w:rFonts w:ascii="Tahoma" w:hAnsi="Tahoma" w:cs="Tahoma"/>
          <w:lang w:val="en-GB"/>
        </w:rPr>
        <w:t xml:space="preserve"> intere</w:t>
      </w:r>
      <w:r>
        <w:rPr>
          <w:rFonts w:ascii="Tahoma" w:hAnsi="Tahoma" w:cs="Tahoma"/>
          <w:lang w:val="en-GB"/>
        </w:rPr>
        <w:t xml:space="preserve">st free loans, </w:t>
      </w:r>
      <w:r w:rsidRPr="006D087C">
        <w:rPr>
          <w:rFonts w:ascii="Tahoma" w:hAnsi="Tahoma" w:cs="Tahoma"/>
          <w:lang w:val="en-GB"/>
        </w:rPr>
        <w:t xml:space="preserve"> works and improvements to permanent own housing and vacant housing owned by individual or public entities, common parts of buildings included;</w:t>
      </w:r>
    </w:p>
    <w:p w:rsidR="0048305F" w:rsidRPr="006D087C" w:rsidRDefault="0048305F" w:rsidP="00CF5D0D">
      <w:pPr>
        <w:pStyle w:val="ListParagraph"/>
        <w:spacing w:line="240" w:lineRule="auto"/>
        <w:ind w:left="1080"/>
        <w:jc w:val="both"/>
        <w:rPr>
          <w:rFonts w:ascii="Tahoma" w:hAnsi="Tahoma" w:cs="Tahoma"/>
          <w:lang w:val="en-GB"/>
        </w:rPr>
      </w:pPr>
    </w:p>
    <w:p w:rsidR="0048305F" w:rsidRPr="006D087C" w:rsidRDefault="0048305F" w:rsidP="00F95C31">
      <w:pPr>
        <w:pStyle w:val="ListParagraph"/>
        <w:numPr>
          <w:ilvl w:val="0"/>
          <w:numId w:val="5"/>
        </w:numPr>
        <w:spacing w:line="240" w:lineRule="auto"/>
        <w:jc w:val="both"/>
        <w:rPr>
          <w:rFonts w:ascii="Tahoma" w:hAnsi="Tahoma" w:cs="Tahoma"/>
          <w:lang w:val="en-GB"/>
        </w:rPr>
      </w:pPr>
      <w:r w:rsidRPr="006D087C">
        <w:rPr>
          <w:rFonts w:ascii="Tahoma" w:hAnsi="Tahoma" w:cs="Tahoma"/>
          <w:b/>
          <w:u w:val="single"/>
          <w:lang w:val="en-GB"/>
        </w:rPr>
        <w:t>Door 65</w:t>
      </w:r>
      <w:r w:rsidRPr="006D087C">
        <w:rPr>
          <w:rFonts w:ascii="Tahoma" w:hAnsi="Tahoma" w:cs="Tahoma"/>
          <w:lang w:val="en-GB"/>
        </w:rPr>
        <w:t xml:space="preserve"> – Youth –grants young people from 18 to 30 years old, direct subsidies to access the rental housing market. This programme envisages meeting the following objectives laid down in the abovementioned </w:t>
      </w:r>
      <w:r w:rsidRPr="006D087C">
        <w:rPr>
          <w:rFonts w:ascii="Tahoma" w:hAnsi="Tahoma" w:cs="Tahoma"/>
          <w:lang w:val="en-US"/>
        </w:rPr>
        <w:t>National Action Plan for Inclusion (PNAI) for the area of housing: i) promoting rent controlled housing for young people (from 18 to 30 years); ii) promoting  housing benefits and mobility, making available public and private property for direct or mediated rent through housing stock; iii) Management and proximity: supporting the management of the public rental stock by establishing contracts with local authorities previously certified; iv) Supported housing (Cohousing): promoting a support inst</w:t>
      </w:r>
      <w:r>
        <w:rPr>
          <w:rFonts w:ascii="Tahoma" w:hAnsi="Tahoma" w:cs="Tahoma"/>
          <w:lang w:val="en-US"/>
        </w:rPr>
        <w:t>rument to entities which rent</w:t>
      </w:r>
      <w:r w:rsidRPr="006D087C">
        <w:rPr>
          <w:rFonts w:ascii="Tahoma" w:hAnsi="Tahoma" w:cs="Tahoma"/>
          <w:lang w:val="en-US"/>
        </w:rPr>
        <w:t xml:space="preserve"> collective housing for population groups with permanent or temporary specific needs.</w:t>
      </w:r>
    </w:p>
    <w:p w:rsidR="0048305F" w:rsidRPr="006D087C" w:rsidRDefault="0048305F" w:rsidP="006D087C">
      <w:pPr>
        <w:pStyle w:val="ListParagraph"/>
        <w:spacing w:line="240" w:lineRule="auto"/>
        <w:ind w:left="0"/>
        <w:jc w:val="both"/>
        <w:rPr>
          <w:rFonts w:ascii="Tahoma" w:hAnsi="Tahoma" w:cs="Tahoma"/>
          <w:lang w:val="en-GB"/>
        </w:rPr>
      </w:pPr>
    </w:p>
    <w:p w:rsidR="0048305F" w:rsidRPr="006D087C" w:rsidRDefault="0048305F" w:rsidP="006D087C">
      <w:pPr>
        <w:pStyle w:val="ListParagraph"/>
        <w:numPr>
          <w:ilvl w:val="0"/>
          <w:numId w:val="5"/>
        </w:numPr>
        <w:spacing w:line="240" w:lineRule="auto"/>
        <w:jc w:val="both"/>
        <w:rPr>
          <w:rFonts w:ascii="Tahoma" w:hAnsi="Tahoma" w:cs="Tahoma"/>
          <w:lang w:val="en-GB"/>
        </w:rPr>
      </w:pPr>
      <w:r w:rsidRPr="006D087C">
        <w:rPr>
          <w:rFonts w:ascii="Tahoma" w:hAnsi="Tahoma" w:cs="Tahoma"/>
          <w:b/>
          <w:bCs/>
          <w:lang w:val="en-US"/>
        </w:rPr>
        <w:t>Housing Comfort Programme for the Elderly (PCHI)</w:t>
      </w:r>
      <w:r w:rsidRPr="006D087C">
        <w:rPr>
          <w:rFonts w:ascii="Tahoma" w:hAnsi="Tahoma" w:cs="Tahoma"/>
          <w:lang w:val="en-US"/>
        </w:rPr>
        <w:t>: Improves the basic residential an</w:t>
      </w:r>
      <w:r>
        <w:rPr>
          <w:rFonts w:ascii="Tahoma" w:hAnsi="Tahoma" w:cs="Tahoma"/>
          <w:lang w:val="en-US"/>
        </w:rPr>
        <w:t>d accessibility</w:t>
      </w:r>
      <w:r w:rsidRPr="00366AEC">
        <w:rPr>
          <w:rFonts w:ascii="Tahoma" w:hAnsi="Tahoma" w:cs="Tahoma"/>
          <w:lang w:val="en-US"/>
        </w:rPr>
        <w:t xml:space="preserve"> </w:t>
      </w:r>
      <w:r w:rsidRPr="006D087C">
        <w:rPr>
          <w:rFonts w:ascii="Tahoma" w:hAnsi="Tahoma" w:cs="Tahoma"/>
          <w:lang w:val="en-US"/>
        </w:rPr>
        <w:t>conditions</w:t>
      </w:r>
      <w:r>
        <w:rPr>
          <w:rFonts w:ascii="Tahoma" w:hAnsi="Tahoma" w:cs="Tahoma"/>
          <w:lang w:val="en-US"/>
        </w:rPr>
        <w:t xml:space="preserve"> of the elderly in partnership with</w:t>
      </w:r>
      <w:r w:rsidRPr="006D087C">
        <w:rPr>
          <w:rFonts w:ascii="Tahoma" w:hAnsi="Tahoma" w:cs="Tahoma"/>
          <w:lang w:val="en-US"/>
        </w:rPr>
        <w:t xml:space="preserve"> Municipalities.</w:t>
      </w:r>
    </w:p>
    <w:p w:rsidR="0048305F" w:rsidRPr="006D087C" w:rsidRDefault="0048305F" w:rsidP="00CF5D0D">
      <w:pPr>
        <w:autoSpaceDE w:val="0"/>
        <w:autoSpaceDN w:val="0"/>
        <w:adjustRightInd w:val="0"/>
        <w:ind w:firstLine="360"/>
        <w:jc w:val="both"/>
        <w:rPr>
          <w:rFonts w:ascii="Tahoma" w:hAnsi="Tahoma" w:cs="Tahoma"/>
          <w:lang w:val="en-US"/>
        </w:rPr>
      </w:pPr>
      <w:r w:rsidRPr="006D087C">
        <w:rPr>
          <w:rFonts w:ascii="Tahoma" w:hAnsi="Tahoma" w:cs="Tahoma"/>
          <w:b/>
          <w:bCs/>
          <w:lang w:val="en-US"/>
        </w:rPr>
        <w:t>-Other measures:</w:t>
      </w:r>
    </w:p>
    <w:p w:rsidR="0048305F" w:rsidRPr="006D087C" w:rsidRDefault="0048305F" w:rsidP="00CF5D0D">
      <w:pPr>
        <w:numPr>
          <w:ilvl w:val="0"/>
          <w:numId w:val="15"/>
        </w:numPr>
        <w:autoSpaceDE w:val="0"/>
        <w:autoSpaceDN w:val="0"/>
        <w:adjustRightInd w:val="0"/>
        <w:spacing w:after="0" w:line="240" w:lineRule="auto"/>
        <w:jc w:val="both"/>
        <w:rPr>
          <w:rFonts w:ascii="Tahoma" w:hAnsi="Tahoma" w:cs="Tahoma"/>
          <w:lang w:val="en-US"/>
        </w:rPr>
      </w:pPr>
      <w:r w:rsidRPr="006D087C">
        <w:rPr>
          <w:rFonts w:ascii="Tahoma" w:hAnsi="Tahoma" w:cs="Tahoma"/>
          <w:i/>
          <w:iCs/>
          <w:lang w:val="en-US"/>
        </w:rPr>
        <w:t>Reduction of the Maximum Municipal Property Tax “IMI”</w:t>
      </w:r>
      <w:r w:rsidRPr="006D087C">
        <w:rPr>
          <w:rFonts w:ascii="Tahoma" w:hAnsi="Tahoma" w:cs="Tahoma"/>
          <w:lang w:val="en-US"/>
        </w:rPr>
        <w:t xml:space="preserve">: reduction of the maximum municipal tax from 0.8% to 0.7% for </w:t>
      </w:r>
      <w:r>
        <w:rPr>
          <w:rFonts w:ascii="Tahoma" w:hAnsi="Tahoma" w:cs="Tahoma"/>
          <w:lang w:val="en-US"/>
        </w:rPr>
        <w:t>“not recently avaluated”</w:t>
      </w:r>
      <w:r w:rsidRPr="006D087C">
        <w:rPr>
          <w:rFonts w:ascii="Tahoma" w:hAnsi="Tahoma" w:cs="Tahoma"/>
          <w:lang w:val="en-US"/>
        </w:rPr>
        <w:t xml:space="preserve"> property and from 0.5% to 0.4% for </w:t>
      </w:r>
      <w:r>
        <w:rPr>
          <w:rFonts w:ascii="Tahoma" w:hAnsi="Tahoma" w:cs="Tahoma"/>
          <w:lang w:val="en-US"/>
        </w:rPr>
        <w:t>“recently evaluated”</w:t>
      </w:r>
      <w:r w:rsidRPr="006D087C">
        <w:rPr>
          <w:rFonts w:ascii="Tahoma" w:hAnsi="Tahoma" w:cs="Tahoma"/>
          <w:lang w:val="en-US"/>
        </w:rPr>
        <w:t xml:space="preserve"> property within CIMI.</w:t>
      </w:r>
    </w:p>
    <w:p w:rsidR="0048305F" w:rsidRPr="006D087C" w:rsidRDefault="0048305F" w:rsidP="00CF5D0D">
      <w:pPr>
        <w:numPr>
          <w:ilvl w:val="0"/>
          <w:numId w:val="15"/>
        </w:numPr>
        <w:autoSpaceDE w:val="0"/>
        <w:autoSpaceDN w:val="0"/>
        <w:adjustRightInd w:val="0"/>
        <w:spacing w:after="0" w:line="240" w:lineRule="auto"/>
        <w:jc w:val="both"/>
        <w:rPr>
          <w:rFonts w:ascii="Tahoma" w:hAnsi="Tahoma" w:cs="Tahoma"/>
          <w:lang w:val="en-US"/>
        </w:rPr>
      </w:pPr>
      <w:r w:rsidRPr="006D087C">
        <w:rPr>
          <w:rFonts w:ascii="Tahoma" w:hAnsi="Tahoma" w:cs="Tahoma"/>
          <w:i/>
          <w:iCs/>
          <w:lang w:val="en-US"/>
        </w:rPr>
        <w:t xml:space="preserve">Extension </w:t>
      </w:r>
      <w:r>
        <w:rPr>
          <w:rFonts w:ascii="Tahoma" w:hAnsi="Tahoma" w:cs="Tahoma"/>
          <w:i/>
          <w:iCs/>
          <w:lang w:val="en-US"/>
        </w:rPr>
        <w:t xml:space="preserve">of the exemption period </w:t>
      </w:r>
      <w:r w:rsidRPr="006D087C">
        <w:rPr>
          <w:rFonts w:ascii="Tahoma" w:hAnsi="Tahoma" w:cs="Tahoma"/>
          <w:i/>
          <w:iCs/>
          <w:lang w:val="en-US"/>
        </w:rPr>
        <w:t xml:space="preserve"> for residential urban buildings or apartments</w:t>
      </w:r>
      <w:r w:rsidRPr="006D087C">
        <w:rPr>
          <w:rFonts w:ascii="Tahoma" w:hAnsi="Tahoma" w:cs="Tahoma"/>
          <w:lang w:val="en-US"/>
        </w:rPr>
        <w:t>: from 6 to 8 years (until 157.500 Euros); from 3 to 4 years (between 157.500 and 236.250 Euros).</w:t>
      </w:r>
    </w:p>
    <w:p w:rsidR="0048305F" w:rsidRPr="006D087C" w:rsidRDefault="0048305F" w:rsidP="00837560">
      <w:pPr>
        <w:numPr>
          <w:ilvl w:val="0"/>
          <w:numId w:val="15"/>
        </w:numPr>
        <w:autoSpaceDE w:val="0"/>
        <w:autoSpaceDN w:val="0"/>
        <w:adjustRightInd w:val="0"/>
        <w:spacing w:after="0" w:line="240" w:lineRule="auto"/>
        <w:jc w:val="both"/>
        <w:rPr>
          <w:rFonts w:ascii="Tahoma" w:hAnsi="Tahoma" w:cs="Tahoma"/>
          <w:lang w:val="en-US"/>
        </w:rPr>
      </w:pPr>
      <w:r w:rsidRPr="006D087C">
        <w:rPr>
          <w:rFonts w:ascii="Tahoma" w:hAnsi="Tahoma" w:cs="Tahoma"/>
          <w:i/>
          <w:iCs/>
          <w:lang w:val="en-US"/>
        </w:rPr>
        <w:t xml:space="preserve">Increase of expenses with housing </w:t>
      </w:r>
      <w:r>
        <w:rPr>
          <w:rFonts w:ascii="Tahoma" w:hAnsi="Tahoma" w:cs="Tahoma"/>
          <w:i/>
          <w:iCs/>
          <w:lang w:val="en-US"/>
        </w:rPr>
        <w:t>in tax deductions</w:t>
      </w:r>
      <w:r w:rsidRPr="00FC721E">
        <w:rPr>
          <w:rFonts w:ascii="Tahoma" w:hAnsi="Tahoma" w:cs="Tahoma"/>
          <w:i/>
          <w:iCs/>
          <w:lang w:val="en-US"/>
        </w:rPr>
        <w:t xml:space="preserve"> </w:t>
      </w:r>
      <w:r w:rsidRPr="00FC721E">
        <w:rPr>
          <w:rFonts w:ascii="Tahoma" w:hAnsi="Tahoma" w:cs="Tahoma"/>
          <w:i/>
          <w:lang w:val="en-US"/>
        </w:rPr>
        <w:t>(rates and amortization</w:t>
      </w:r>
      <w:r w:rsidRPr="006D087C">
        <w:rPr>
          <w:rFonts w:ascii="Tahoma" w:hAnsi="Tahoma" w:cs="Tahoma"/>
          <w:lang w:val="en-US"/>
        </w:rPr>
        <w:t>).</w:t>
      </w:r>
      <w:r w:rsidRPr="006D087C">
        <w:rPr>
          <w:rFonts w:ascii="Tahoma" w:hAnsi="Tahoma" w:cs="Tahoma"/>
          <w:i/>
          <w:iCs/>
          <w:lang w:val="en-US"/>
        </w:rPr>
        <w:t xml:space="preserve"> </w:t>
      </w:r>
      <w:r w:rsidRPr="006D087C">
        <w:rPr>
          <w:rFonts w:ascii="Tahoma" w:hAnsi="Tahoma" w:cs="Tahoma"/>
          <w:lang w:val="en-US"/>
        </w:rPr>
        <w:t>(amendment of Art. 85 of CIRS)</w:t>
      </w:r>
    </w:p>
    <w:p w:rsidR="0048305F" w:rsidRPr="00F95C31" w:rsidRDefault="0048305F" w:rsidP="00F95C31">
      <w:pPr>
        <w:spacing w:line="240" w:lineRule="auto"/>
        <w:jc w:val="both"/>
        <w:rPr>
          <w:rFonts w:ascii="Tahoma" w:hAnsi="Tahoma" w:cs="Tahoma"/>
          <w:lang w:val="en-GB"/>
        </w:rPr>
      </w:pPr>
    </w:p>
    <w:p w:rsidR="0048305F" w:rsidRPr="00F95C31" w:rsidRDefault="0048305F" w:rsidP="00F95C31">
      <w:pPr>
        <w:pStyle w:val="ListParagraph"/>
        <w:numPr>
          <w:ilvl w:val="0"/>
          <w:numId w:val="12"/>
        </w:numPr>
        <w:spacing w:line="240" w:lineRule="auto"/>
        <w:jc w:val="both"/>
        <w:rPr>
          <w:rFonts w:ascii="Tahoma" w:hAnsi="Tahoma" w:cs="Tahoma"/>
          <w:b/>
          <w:lang w:val="en-GB"/>
        </w:rPr>
      </w:pPr>
      <w:r w:rsidRPr="00F95C31">
        <w:rPr>
          <w:rFonts w:ascii="Tahoma" w:hAnsi="Tahoma" w:cs="Tahoma"/>
          <w:b/>
          <w:lang w:val="en-GB"/>
        </w:rPr>
        <w:t xml:space="preserve"> Please indicate w</w:t>
      </w:r>
      <w:r>
        <w:rPr>
          <w:rFonts w:ascii="Tahoma" w:hAnsi="Tahoma" w:cs="Tahoma"/>
          <w:b/>
          <w:lang w:val="en-GB"/>
        </w:rPr>
        <w:t>h</w:t>
      </w:r>
      <w:r w:rsidRPr="00F95C31">
        <w:rPr>
          <w:rFonts w:ascii="Tahoma" w:hAnsi="Tahoma" w:cs="Tahoma"/>
          <w:b/>
          <w:lang w:val="en-GB"/>
        </w:rPr>
        <w:t>ether these policies or programmes involve the participation of one or more following international finance institutions:</w:t>
      </w:r>
    </w:p>
    <w:p w:rsidR="0048305F" w:rsidRPr="00F95C31" w:rsidRDefault="0048305F" w:rsidP="00F95C31">
      <w:pPr>
        <w:pStyle w:val="ListParagraph"/>
        <w:numPr>
          <w:ilvl w:val="0"/>
          <w:numId w:val="3"/>
        </w:numPr>
        <w:spacing w:line="240" w:lineRule="auto"/>
        <w:jc w:val="both"/>
        <w:rPr>
          <w:rFonts w:ascii="Tahoma" w:hAnsi="Tahoma" w:cs="Tahoma"/>
          <w:b/>
          <w:lang w:val="en-GB"/>
        </w:rPr>
      </w:pPr>
      <w:r w:rsidRPr="00F95C31">
        <w:rPr>
          <w:rFonts w:ascii="Tahoma" w:hAnsi="Tahoma" w:cs="Tahoma"/>
          <w:b/>
          <w:lang w:val="en-GB"/>
        </w:rPr>
        <w:t>International financial in</w:t>
      </w:r>
      <w:r>
        <w:rPr>
          <w:rFonts w:ascii="Tahoma" w:hAnsi="Tahoma" w:cs="Tahoma"/>
          <w:b/>
          <w:lang w:val="en-GB"/>
        </w:rPr>
        <w:t>stitutions (W</w:t>
      </w:r>
      <w:r w:rsidRPr="00F95C31">
        <w:rPr>
          <w:rFonts w:ascii="Tahoma" w:hAnsi="Tahoma" w:cs="Tahoma"/>
          <w:b/>
          <w:lang w:val="en-GB"/>
        </w:rPr>
        <w:t>ord bank Group, International Monetary Fund, etc.)</w:t>
      </w:r>
    </w:p>
    <w:p w:rsidR="0048305F" w:rsidRPr="00F95C31" w:rsidRDefault="0048305F" w:rsidP="00F95C31">
      <w:pPr>
        <w:pStyle w:val="ListParagraph"/>
        <w:numPr>
          <w:ilvl w:val="0"/>
          <w:numId w:val="3"/>
        </w:numPr>
        <w:spacing w:line="240" w:lineRule="auto"/>
        <w:jc w:val="both"/>
        <w:rPr>
          <w:rFonts w:ascii="Tahoma" w:hAnsi="Tahoma" w:cs="Tahoma"/>
          <w:b/>
          <w:lang w:val="en-GB"/>
        </w:rPr>
      </w:pPr>
      <w:r w:rsidRPr="00F95C31">
        <w:rPr>
          <w:rFonts w:ascii="Tahoma" w:hAnsi="Tahoma" w:cs="Tahoma"/>
          <w:b/>
          <w:lang w:val="en-GB"/>
        </w:rPr>
        <w:t>Regional development banks (IDB, ADB (Asian), ADB (African), etc.)</w:t>
      </w:r>
    </w:p>
    <w:p w:rsidR="0048305F" w:rsidRPr="00F95C31" w:rsidRDefault="0048305F" w:rsidP="00F95C31">
      <w:pPr>
        <w:pStyle w:val="ListParagraph"/>
        <w:numPr>
          <w:ilvl w:val="0"/>
          <w:numId w:val="3"/>
        </w:numPr>
        <w:spacing w:line="240" w:lineRule="auto"/>
        <w:jc w:val="both"/>
        <w:rPr>
          <w:rFonts w:ascii="Tahoma" w:hAnsi="Tahoma" w:cs="Tahoma"/>
          <w:b/>
          <w:lang w:val="en-GB"/>
        </w:rPr>
      </w:pPr>
      <w:r w:rsidRPr="00F95C31">
        <w:rPr>
          <w:rFonts w:ascii="Tahoma" w:hAnsi="Tahoma" w:cs="Tahoma"/>
          <w:b/>
          <w:lang w:val="en-GB"/>
        </w:rPr>
        <w:t>International private financial actors (commercial banks, investments funds, etc.)</w:t>
      </w:r>
    </w:p>
    <w:p w:rsidR="0048305F" w:rsidRPr="00F95C31" w:rsidRDefault="0048305F" w:rsidP="00F95C31">
      <w:pPr>
        <w:spacing w:line="240" w:lineRule="auto"/>
        <w:ind w:left="360"/>
        <w:jc w:val="both"/>
        <w:rPr>
          <w:rFonts w:ascii="Tahoma" w:hAnsi="Tahoma" w:cs="Tahoma"/>
          <w:lang w:val="en-GB"/>
        </w:rPr>
      </w:pPr>
    </w:p>
    <w:p w:rsidR="0048305F" w:rsidRPr="00F95C31" w:rsidRDefault="0048305F" w:rsidP="00F95C31">
      <w:pPr>
        <w:spacing w:line="240" w:lineRule="auto"/>
        <w:ind w:left="720"/>
        <w:jc w:val="both"/>
        <w:rPr>
          <w:rFonts w:ascii="Tahoma" w:hAnsi="Tahoma" w:cs="Tahoma"/>
          <w:lang w:val="en-GB"/>
        </w:rPr>
      </w:pPr>
      <w:r w:rsidRPr="00543674">
        <w:rPr>
          <w:rFonts w:ascii="Tahoma" w:hAnsi="Tahoma" w:cs="Tahoma"/>
          <w:b/>
          <w:u w:val="single"/>
          <w:lang w:val="en-GB"/>
        </w:rPr>
        <w:t>PROHABITA</w:t>
      </w:r>
      <w:r w:rsidRPr="00F95C31">
        <w:rPr>
          <w:rFonts w:ascii="Tahoma" w:hAnsi="Tahoma" w:cs="Tahoma"/>
          <w:lang w:val="en-GB"/>
        </w:rPr>
        <w:t xml:space="preserve"> programme involve</w:t>
      </w:r>
      <w:r>
        <w:rPr>
          <w:rFonts w:ascii="Tahoma" w:hAnsi="Tahoma" w:cs="Tahoma"/>
          <w:lang w:val="en-GB"/>
        </w:rPr>
        <w:t>s</w:t>
      </w:r>
      <w:r w:rsidRPr="00F95C31">
        <w:rPr>
          <w:rFonts w:ascii="Tahoma" w:hAnsi="Tahoma" w:cs="Tahoma"/>
          <w:lang w:val="en-GB"/>
        </w:rPr>
        <w:t xml:space="preserve"> the participation of the European Investment Bank.</w:t>
      </w:r>
    </w:p>
    <w:p w:rsidR="0048305F" w:rsidRPr="00F95C31" w:rsidRDefault="0048305F" w:rsidP="00F95C31">
      <w:pPr>
        <w:spacing w:line="240" w:lineRule="auto"/>
        <w:ind w:left="720"/>
        <w:jc w:val="both"/>
        <w:rPr>
          <w:rFonts w:ascii="Tahoma" w:hAnsi="Tahoma" w:cs="Tahoma"/>
          <w:lang w:val="en-GB"/>
        </w:rPr>
      </w:pPr>
    </w:p>
    <w:p w:rsidR="0048305F" w:rsidRPr="00F95C31" w:rsidRDefault="0048305F" w:rsidP="00F95C31">
      <w:pPr>
        <w:pStyle w:val="ListParagraph"/>
        <w:numPr>
          <w:ilvl w:val="0"/>
          <w:numId w:val="12"/>
        </w:numPr>
        <w:spacing w:line="240" w:lineRule="auto"/>
        <w:jc w:val="both"/>
        <w:rPr>
          <w:rFonts w:ascii="Tahoma" w:hAnsi="Tahoma" w:cs="Tahoma"/>
          <w:b/>
          <w:lang w:val="en-GB"/>
        </w:rPr>
      </w:pPr>
      <w:r w:rsidRPr="00F95C31">
        <w:rPr>
          <w:rFonts w:ascii="Tahoma" w:hAnsi="Tahoma" w:cs="Tahoma"/>
          <w:b/>
          <w:lang w:val="en-GB"/>
        </w:rPr>
        <w:t>Please indicate the period of time during which these policies and programmes have been implemented.</w:t>
      </w:r>
    </w:p>
    <w:p w:rsidR="0048305F" w:rsidRPr="00F95C31" w:rsidRDefault="0048305F" w:rsidP="00F95C31">
      <w:pPr>
        <w:pStyle w:val="ListParagraph"/>
        <w:spacing w:line="240" w:lineRule="auto"/>
        <w:ind w:left="360"/>
        <w:jc w:val="both"/>
        <w:rPr>
          <w:rFonts w:ascii="Tahoma" w:hAnsi="Tahoma" w:cs="Tahoma"/>
          <w:color w:val="1F497D"/>
          <w:lang w:val="en-GB"/>
        </w:rPr>
      </w:pPr>
    </w:p>
    <w:p w:rsidR="0048305F" w:rsidRPr="00F95C31" w:rsidRDefault="0048305F" w:rsidP="00F95C31">
      <w:pPr>
        <w:pStyle w:val="ListParagraph"/>
        <w:numPr>
          <w:ilvl w:val="0"/>
          <w:numId w:val="11"/>
        </w:numPr>
        <w:spacing w:line="240" w:lineRule="auto"/>
        <w:jc w:val="both"/>
        <w:rPr>
          <w:rFonts w:ascii="Tahoma" w:hAnsi="Tahoma" w:cs="Tahoma"/>
          <w:lang w:val="en-GB"/>
        </w:rPr>
      </w:pPr>
      <w:r w:rsidRPr="00F95C31">
        <w:rPr>
          <w:rFonts w:ascii="Tahoma" w:hAnsi="Tahoma" w:cs="Tahoma"/>
          <w:lang w:val="en-GB"/>
        </w:rPr>
        <w:t>PER and PER-families –</w:t>
      </w:r>
      <w:r>
        <w:rPr>
          <w:rFonts w:ascii="Tahoma" w:hAnsi="Tahoma" w:cs="Tahoma"/>
          <w:lang w:val="en-GB"/>
        </w:rPr>
        <w:t xml:space="preserve"> </w:t>
      </w:r>
      <w:r w:rsidRPr="00F95C31">
        <w:rPr>
          <w:rFonts w:ascii="Tahoma" w:hAnsi="Tahoma" w:cs="Tahoma"/>
          <w:lang w:val="en-GB"/>
        </w:rPr>
        <w:t>launched in 1990’s.</w:t>
      </w:r>
    </w:p>
    <w:p w:rsidR="0048305F" w:rsidRPr="00F95C31" w:rsidRDefault="0048305F" w:rsidP="00F95C31">
      <w:pPr>
        <w:pStyle w:val="ListParagraph"/>
        <w:numPr>
          <w:ilvl w:val="0"/>
          <w:numId w:val="11"/>
        </w:numPr>
        <w:spacing w:line="240" w:lineRule="auto"/>
        <w:jc w:val="both"/>
        <w:rPr>
          <w:rFonts w:ascii="Tahoma" w:hAnsi="Tahoma" w:cs="Tahoma"/>
          <w:lang w:val="en-GB"/>
        </w:rPr>
      </w:pPr>
      <w:r w:rsidRPr="00F95C31">
        <w:rPr>
          <w:rFonts w:ascii="Tahoma" w:hAnsi="Tahoma" w:cs="Tahoma"/>
          <w:lang w:val="en-GB"/>
        </w:rPr>
        <w:t xml:space="preserve">PROHABITA </w:t>
      </w:r>
      <w:r>
        <w:rPr>
          <w:rFonts w:ascii="Tahoma" w:hAnsi="Tahoma" w:cs="Tahoma"/>
          <w:lang w:val="en-GB"/>
        </w:rPr>
        <w:t xml:space="preserve">- </w:t>
      </w:r>
      <w:r w:rsidRPr="00F95C31">
        <w:rPr>
          <w:rFonts w:ascii="Tahoma" w:hAnsi="Tahoma" w:cs="Tahoma"/>
          <w:lang w:val="en-GB"/>
        </w:rPr>
        <w:t>implemented since 2004.</w:t>
      </w:r>
    </w:p>
    <w:p w:rsidR="0048305F" w:rsidRPr="00F95C31" w:rsidRDefault="0048305F" w:rsidP="00F95C31">
      <w:pPr>
        <w:pStyle w:val="ListParagraph"/>
        <w:numPr>
          <w:ilvl w:val="0"/>
          <w:numId w:val="11"/>
        </w:numPr>
        <w:spacing w:line="240" w:lineRule="auto"/>
        <w:jc w:val="both"/>
        <w:rPr>
          <w:rFonts w:ascii="Tahoma" w:hAnsi="Tahoma" w:cs="Tahoma"/>
          <w:lang w:val="en-GB"/>
        </w:rPr>
      </w:pPr>
      <w:r w:rsidRPr="00F95C31">
        <w:rPr>
          <w:rFonts w:ascii="Tahoma" w:hAnsi="Tahoma" w:cs="Tahoma"/>
          <w:lang w:val="en-GB"/>
        </w:rPr>
        <w:t>RECRIA –</w:t>
      </w:r>
      <w:r>
        <w:rPr>
          <w:rFonts w:ascii="Tahoma" w:hAnsi="Tahoma" w:cs="Tahoma"/>
          <w:lang w:val="en-GB"/>
        </w:rPr>
        <w:t xml:space="preserve"> </w:t>
      </w:r>
      <w:r w:rsidRPr="00F95C31">
        <w:rPr>
          <w:rFonts w:ascii="Tahoma" w:hAnsi="Tahoma" w:cs="Tahoma"/>
          <w:lang w:val="en-GB"/>
        </w:rPr>
        <w:t>launched in 2000</w:t>
      </w:r>
    </w:p>
    <w:p w:rsidR="0048305F" w:rsidRPr="00F95C31" w:rsidRDefault="0048305F" w:rsidP="00F95C31">
      <w:pPr>
        <w:pStyle w:val="ListParagraph"/>
        <w:numPr>
          <w:ilvl w:val="0"/>
          <w:numId w:val="11"/>
        </w:numPr>
        <w:spacing w:line="240" w:lineRule="auto"/>
        <w:jc w:val="both"/>
        <w:rPr>
          <w:rFonts w:ascii="Tahoma" w:hAnsi="Tahoma" w:cs="Tahoma"/>
          <w:lang w:val="en-GB"/>
        </w:rPr>
      </w:pPr>
      <w:r w:rsidRPr="00F95C31">
        <w:rPr>
          <w:rFonts w:ascii="Tahoma" w:hAnsi="Tahoma" w:cs="Tahoma"/>
          <w:lang w:val="en-GB"/>
        </w:rPr>
        <w:t>SOLARH –</w:t>
      </w:r>
      <w:r>
        <w:rPr>
          <w:rFonts w:ascii="Tahoma" w:hAnsi="Tahoma" w:cs="Tahoma"/>
          <w:lang w:val="en-GB"/>
        </w:rPr>
        <w:t xml:space="preserve"> </w:t>
      </w:r>
      <w:r w:rsidRPr="00F95C31">
        <w:rPr>
          <w:rFonts w:ascii="Tahoma" w:hAnsi="Tahoma" w:cs="Tahoma"/>
          <w:lang w:val="en-GB"/>
        </w:rPr>
        <w:t>created in 1999</w:t>
      </w:r>
    </w:p>
    <w:p w:rsidR="0048305F" w:rsidRPr="00F95C31" w:rsidRDefault="0048305F" w:rsidP="00F95C31">
      <w:pPr>
        <w:pStyle w:val="ListParagraph"/>
        <w:numPr>
          <w:ilvl w:val="0"/>
          <w:numId w:val="11"/>
        </w:numPr>
        <w:spacing w:line="240" w:lineRule="auto"/>
        <w:jc w:val="both"/>
        <w:rPr>
          <w:rFonts w:ascii="Tahoma" w:hAnsi="Tahoma" w:cs="Tahoma"/>
          <w:lang w:val="en-GB"/>
        </w:rPr>
      </w:pPr>
      <w:r w:rsidRPr="00F95C31">
        <w:rPr>
          <w:rFonts w:ascii="Tahoma" w:hAnsi="Tahoma" w:cs="Tahoma"/>
          <w:lang w:val="en-GB"/>
        </w:rPr>
        <w:t xml:space="preserve">Door 65 – Youth </w:t>
      </w:r>
      <w:r>
        <w:rPr>
          <w:rFonts w:ascii="Tahoma" w:hAnsi="Tahoma" w:cs="Tahoma"/>
          <w:lang w:val="en-GB"/>
        </w:rPr>
        <w:t xml:space="preserve">- </w:t>
      </w:r>
      <w:r w:rsidRPr="00F95C31">
        <w:rPr>
          <w:rFonts w:ascii="Tahoma" w:hAnsi="Tahoma" w:cs="Tahoma"/>
          <w:lang w:val="en-GB"/>
        </w:rPr>
        <w:t>created in 2007.</w:t>
      </w:r>
    </w:p>
    <w:p w:rsidR="0048305F" w:rsidRPr="00F95C31" w:rsidRDefault="0048305F" w:rsidP="00F95C31">
      <w:pPr>
        <w:pStyle w:val="ListParagraph"/>
        <w:spacing w:line="240" w:lineRule="auto"/>
        <w:ind w:left="1080"/>
        <w:jc w:val="both"/>
        <w:rPr>
          <w:rFonts w:ascii="Tahoma" w:hAnsi="Tahoma" w:cs="Tahoma"/>
          <w:b/>
          <w:lang w:val="en-GB"/>
        </w:rPr>
      </w:pPr>
    </w:p>
    <w:p w:rsidR="0048305F" w:rsidRPr="00F95C31" w:rsidRDefault="0048305F" w:rsidP="00F95C31">
      <w:pPr>
        <w:pStyle w:val="ListParagraph"/>
        <w:numPr>
          <w:ilvl w:val="0"/>
          <w:numId w:val="12"/>
        </w:numPr>
        <w:spacing w:line="240" w:lineRule="auto"/>
        <w:jc w:val="both"/>
        <w:rPr>
          <w:rFonts w:ascii="Tahoma" w:hAnsi="Tahoma" w:cs="Tahoma"/>
          <w:b/>
          <w:lang w:val="en-GB"/>
        </w:rPr>
      </w:pPr>
      <w:r w:rsidRPr="00F95C31">
        <w:rPr>
          <w:rFonts w:ascii="Tahoma" w:hAnsi="Tahoma" w:cs="Tahoma"/>
          <w:b/>
          <w:lang w:val="en-GB"/>
        </w:rPr>
        <w:t xml:space="preserve"> Please indicate w</w:t>
      </w:r>
      <w:r>
        <w:rPr>
          <w:rFonts w:ascii="Tahoma" w:hAnsi="Tahoma" w:cs="Tahoma"/>
          <w:b/>
          <w:lang w:val="en-GB"/>
        </w:rPr>
        <w:t>h</w:t>
      </w:r>
      <w:r w:rsidRPr="00F95C31">
        <w:rPr>
          <w:rFonts w:ascii="Tahoma" w:hAnsi="Tahoma" w:cs="Tahoma"/>
          <w:b/>
          <w:lang w:val="en-GB"/>
        </w:rPr>
        <w:t>ether these programmes have be</w:t>
      </w:r>
      <w:r>
        <w:rPr>
          <w:rFonts w:ascii="Tahoma" w:hAnsi="Tahoma" w:cs="Tahoma"/>
          <w:b/>
          <w:lang w:val="en-GB"/>
        </w:rPr>
        <w:t xml:space="preserve">en developed or implemented as </w:t>
      </w:r>
      <w:r w:rsidRPr="00F95C31">
        <w:rPr>
          <w:rFonts w:ascii="Tahoma" w:hAnsi="Tahoma" w:cs="Tahoma"/>
          <w:b/>
          <w:lang w:val="en-GB"/>
        </w:rPr>
        <w:t>part of recovery measures in the context of the global financial and economic crises that started in 2008.</w:t>
      </w:r>
    </w:p>
    <w:p w:rsidR="0048305F" w:rsidRPr="00F95C31" w:rsidRDefault="0048305F" w:rsidP="00F95C31">
      <w:pPr>
        <w:pStyle w:val="ListParagraph"/>
        <w:spacing w:line="240" w:lineRule="auto"/>
        <w:ind w:left="360"/>
        <w:jc w:val="both"/>
        <w:rPr>
          <w:rFonts w:ascii="Tahoma" w:hAnsi="Tahoma" w:cs="Tahoma"/>
          <w:b/>
          <w:lang w:val="en-GB"/>
        </w:rPr>
      </w:pPr>
    </w:p>
    <w:p w:rsidR="0048305F" w:rsidRDefault="0048305F" w:rsidP="001D1328">
      <w:pPr>
        <w:pStyle w:val="ListParagraph"/>
        <w:spacing w:line="240" w:lineRule="auto"/>
        <w:ind w:left="0"/>
        <w:jc w:val="both"/>
        <w:rPr>
          <w:rFonts w:ascii="Tahoma" w:hAnsi="Tahoma" w:cs="Tahoma"/>
          <w:lang w:val="en-US"/>
        </w:rPr>
      </w:pPr>
      <w:r w:rsidRPr="00F95C31">
        <w:rPr>
          <w:rFonts w:ascii="Tahoma" w:hAnsi="Tahoma" w:cs="Tahoma"/>
          <w:lang w:val="en-US"/>
        </w:rPr>
        <w:t xml:space="preserve">The programmes mentioned above were implemented in another scenario, but in the context of the global financial and economic crises, </w:t>
      </w:r>
      <w:r>
        <w:rPr>
          <w:rFonts w:ascii="Tahoma" w:hAnsi="Tahoma" w:cs="Tahoma"/>
          <w:lang w:val="en-US"/>
        </w:rPr>
        <w:t>the Government (through Decree-Law</w:t>
      </w:r>
      <w:r w:rsidRPr="00F95C31">
        <w:rPr>
          <w:rFonts w:ascii="Tahoma" w:hAnsi="Tahoma" w:cs="Tahoma"/>
          <w:lang w:val="en-US"/>
        </w:rPr>
        <w:t xml:space="preserve"> nº 103/2009, dated 12th of May</w:t>
      </w:r>
      <w:r>
        <w:rPr>
          <w:rFonts w:ascii="Tahoma" w:hAnsi="Tahoma" w:cs="Tahoma"/>
          <w:lang w:val="en-US"/>
        </w:rPr>
        <w:t>)</w:t>
      </w:r>
      <w:r w:rsidRPr="00F95C31">
        <w:rPr>
          <w:rFonts w:ascii="Tahoma" w:hAnsi="Tahoma" w:cs="Tahoma"/>
          <w:lang w:val="en-US"/>
        </w:rPr>
        <w:t>, created a special credit line for the protection of «permanent own housing».</w:t>
      </w:r>
      <w:bookmarkStart w:id="0" w:name="_GoBack"/>
      <w:bookmarkEnd w:id="0"/>
      <w:r>
        <w:rPr>
          <w:rFonts w:ascii="Tahoma" w:hAnsi="Tahoma" w:cs="Tahoma"/>
          <w:lang w:val="en-US"/>
        </w:rPr>
        <w:t xml:space="preserve"> T</w:t>
      </w:r>
      <w:r w:rsidRPr="00F95C31">
        <w:rPr>
          <w:rFonts w:ascii="Tahoma" w:hAnsi="Tahoma" w:cs="Tahoma"/>
          <w:lang w:val="en-US"/>
        </w:rPr>
        <w:t>here are some co</w:t>
      </w:r>
      <w:r>
        <w:rPr>
          <w:rFonts w:ascii="Tahoma" w:hAnsi="Tahoma" w:cs="Tahoma"/>
          <w:lang w:val="en-US"/>
        </w:rPr>
        <w:t>nditions that must be respected in order to</w:t>
      </w:r>
      <w:r w:rsidRPr="001D1328">
        <w:rPr>
          <w:rFonts w:ascii="Tahoma" w:hAnsi="Tahoma" w:cs="Tahoma"/>
          <w:lang w:val="en-US"/>
        </w:rPr>
        <w:t xml:space="preserve"> </w:t>
      </w:r>
      <w:r>
        <w:rPr>
          <w:rFonts w:ascii="Tahoma" w:hAnsi="Tahoma" w:cs="Tahoma"/>
          <w:lang w:val="en-US"/>
        </w:rPr>
        <w:t>benefit from this credit:</w:t>
      </w:r>
    </w:p>
    <w:p w:rsidR="0048305F" w:rsidRPr="00F95C31" w:rsidRDefault="0048305F" w:rsidP="001D1328">
      <w:pPr>
        <w:pStyle w:val="ListParagraph"/>
        <w:spacing w:line="240" w:lineRule="auto"/>
        <w:ind w:left="360"/>
        <w:jc w:val="both"/>
        <w:rPr>
          <w:rFonts w:ascii="Tahoma" w:hAnsi="Tahoma" w:cs="Tahoma"/>
          <w:lang w:val="en-US"/>
        </w:rPr>
      </w:pPr>
    </w:p>
    <w:p w:rsidR="0048305F" w:rsidRPr="00F95C31" w:rsidRDefault="0048305F" w:rsidP="00F95C31">
      <w:pPr>
        <w:pStyle w:val="ListParagraph"/>
        <w:numPr>
          <w:ilvl w:val="0"/>
          <w:numId w:val="14"/>
        </w:numPr>
        <w:spacing w:line="240" w:lineRule="auto"/>
        <w:jc w:val="both"/>
        <w:rPr>
          <w:rFonts w:ascii="Tahoma" w:hAnsi="Tahoma" w:cs="Tahoma"/>
          <w:lang w:val="en-US"/>
        </w:rPr>
      </w:pPr>
      <w:r w:rsidRPr="00F95C31">
        <w:rPr>
          <w:rFonts w:ascii="Tahoma" w:hAnsi="Tahoma" w:cs="Tahoma"/>
          <w:lang w:val="en-US"/>
        </w:rPr>
        <w:t>applicants must be borrowers of credit for housing (intended for acquisition, building or rehabilitation works), independent of the system of credit;</w:t>
      </w:r>
    </w:p>
    <w:p w:rsidR="0048305F" w:rsidRPr="00F95C31" w:rsidRDefault="0048305F" w:rsidP="00F95C31">
      <w:pPr>
        <w:pStyle w:val="ListParagraph"/>
        <w:numPr>
          <w:ilvl w:val="0"/>
          <w:numId w:val="14"/>
        </w:numPr>
        <w:spacing w:line="240" w:lineRule="auto"/>
        <w:jc w:val="both"/>
        <w:rPr>
          <w:rFonts w:ascii="Tahoma" w:hAnsi="Tahoma" w:cs="Tahoma"/>
          <w:lang w:val="en-US"/>
        </w:rPr>
      </w:pPr>
      <w:r w:rsidRPr="00F95C31">
        <w:rPr>
          <w:rFonts w:ascii="Tahoma" w:hAnsi="Tahoma" w:cs="Tahoma"/>
          <w:lang w:val="en-US"/>
        </w:rPr>
        <w:t>contracts must have been signed until 19th of March 2009 (included);</w:t>
      </w:r>
    </w:p>
    <w:p w:rsidR="0048305F" w:rsidRPr="00F95C31" w:rsidRDefault="0048305F" w:rsidP="00F95C31">
      <w:pPr>
        <w:pStyle w:val="ListParagraph"/>
        <w:numPr>
          <w:ilvl w:val="0"/>
          <w:numId w:val="14"/>
        </w:numPr>
        <w:spacing w:line="240" w:lineRule="auto"/>
        <w:jc w:val="both"/>
        <w:rPr>
          <w:rFonts w:ascii="Tahoma" w:hAnsi="Tahoma" w:cs="Tahoma"/>
          <w:lang w:val="en-US"/>
        </w:rPr>
      </w:pPr>
      <w:r w:rsidRPr="00F95C31">
        <w:rPr>
          <w:rFonts w:ascii="Tahoma" w:hAnsi="Tahoma" w:cs="Tahoma"/>
          <w:lang w:val="en-US"/>
        </w:rPr>
        <w:t>bo</w:t>
      </w:r>
      <w:r>
        <w:rPr>
          <w:rFonts w:ascii="Tahoma" w:hAnsi="Tahoma" w:cs="Tahoma"/>
          <w:lang w:val="en-US"/>
        </w:rPr>
        <w:t>rrowers, or at least one in the household</w:t>
      </w:r>
      <w:r w:rsidRPr="00F95C31">
        <w:rPr>
          <w:rFonts w:ascii="Tahoma" w:hAnsi="Tahoma" w:cs="Tahoma"/>
          <w:lang w:val="en-US"/>
        </w:rPr>
        <w:t xml:space="preserve">, must be </w:t>
      </w:r>
      <w:r>
        <w:rPr>
          <w:rFonts w:ascii="Tahoma" w:hAnsi="Tahoma" w:cs="Tahoma"/>
          <w:lang w:val="en-US"/>
        </w:rPr>
        <w:t>unemployed</w:t>
      </w:r>
      <w:r w:rsidRPr="00F95C31">
        <w:rPr>
          <w:rFonts w:ascii="Tahoma" w:hAnsi="Tahoma" w:cs="Tahoma"/>
          <w:lang w:val="en-US"/>
        </w:rPr>
        <w:t xml:space="preserve"> for </w:t>
      </w:r>
      <w:r>
        <w:rPr>
          <w:rFonts w:ascii="Tahoma" w:hAnsi="Tahoma" w:cs="Tahoma"/>
          <w:lang w:val="en-US"/>
        </w:rPr>
        <w:t xml:space="preserve">at least </w:t>
      </w:r>
      <w:r w:rsidRPr="00F95C31">
        <w:rPr>
          <w:rFonts w:ascii="Tahoma" w:hAnsi="Tahoma" w:cs="Tahoma"/>
          <w:lang w:val="en-US"/>
        </w:rPr>
        <w:t>three months.</w:t>
      </w:r>
    </w:p>
    <w:p w:rsidR="0048305F" w:rsidRPr="00F95C31" w:rsidRDefault="0048305F" w:rsidP="001D1328">
      <w:pPr>
        <w:spacing w:line="240" w:lineRule="auto"/>
        <w:jc w:val="both"/>
        <w:rPr>
          <w:rFonts w:ascii="Tahoma" w:hAnsi="Tahoma" w:cs="Tahoma"/>
          <w:lang w:val="en-US"/>
        </w:rPr>
      </w:pPr>
      <w:r w:rsidRPr="00F95C31">
        <w:rPr>
          <w:rFonts w:ascii="Tahoma" w:hAnsi="Tahoma" w:cs="Tahoma"/>
          <w:lang w:val="en-US"/>
        </w:rPr>
        <w:t xml:space="preserve">This facility is provided by the Directorate General of Treasury and Finance, </w:t>
      </w:r>
      <w:r>
        <w:rPr>
          <w:rFonts w:ascii="Tahoma" w:hAnsi="Tahoma" w:cs="Tahoma"/>
          <w:lang w:val="en-US"/>
        </w:rPr>
        <w:t>responsible, during up to</w:t>
      </w:r>
      <w:r w:rsidRPr="00F95C31">
        <w:rPr>
          <w:rFonts w:ascii="Tahoma" w:hAnsi="Tahoma" w:cs="Tahoma"/>
          <w:lang w:val="en-US"/>
        </w:rPr>
        <w:t xml:space="preserve"> 24 months, for a grant of 50% of the monthly amount of</w:t>
      </w:r>
      <w:r>
        <w:rPr>
          <w:rFonts w:ascii="Tahoma" w:hAnsi="Tahoma" w:cs="Tahoma"/>
          <w:lang w:val="en-US"/>
        </w:rPr>
        <w:t xml:space="preserve"> capital and interests owed</w:t>
      </w:r>
      <w:r w:rsidRPr="00F95C31">
        <w:rPr>
          <w:rFonts w:ascii="Tahoma" w:hAnsi="Tahoma" w:cs="Tahoma"/>
          <w:lang w:val="en-US"/>
        </w:rPr>
        <w:t xml:space="preserve"> by the owner.</w:t>
      </w:r>
    </w:p>
    <w:p w:rsidR="0048305F" w:rsidRDefault="0048305F" w:rsidP="009B2A4B">
      <w:pPr>
        <w:spacing w:line="240" w:lineRule="auto"/>
        <w:jc w:val="both"/>
        <w:rPr>
          <w:rFonts w:ascii="Tahoma" w:hAnsi="Tahoma" w:cs="Tahoma"/>
          <w:lang w:val="en-GB"/>
        </w:rPr>
      </w:pPr>
      <w:r w:rsidRPr="00F95C31">
        <w:rPr>
          <w:rFonts w:ascii="Tahoma" w:hAnsi="Tahoma" w:cs="Tahoma"/>
          <w:lang w:val="en-GB"/>
        </w:rPr>
        <w:t xml:space="preserve">In this context, </w:t>
      </w:r>
      <w:r w:rsidRPr="00F95C31">
        <w:rPr>
          <w:rFonts w:ascii="Tahoma" w:hAnsi="Tahoma" w:cs="Tahoma"/>
          <w:lang w:val="en-US"/>
        </w:rPr>
        <w:t>the Government create</w:t>
      </w:r>
      <w:r>
        <w:rPr>
          <w:rFonts w:ascii="Tahoma" w:hAnsi="Tahoma" w:cs="Tahoma"/>
          <w:lang w:val="en-US"/>
        </w:rPr>
        <w:t>d, as well, the Investment Fund</w:t>
      </w:r>
      <w:r w:rsidRPr="00F95C31">
        <w:rPr>
          <w:rFonts w:ascii="Tahoma" w:hAnsi="Tahoma" w:cs="Tahoma"/>
          <w:lang w:val="en-US"/>
        </w:rPr>
        <w:t xml:space="preserve"> fo</w:t>
      </w:r>
      <w:r>
        <w:rPr>
          <w:rFonts w:ascii="Tahoma" w:hAnsi="Tahoma" w:cs="Tahoma"/>
          <w:lang w:val="en-US"/>
        </w:rPr>
        <w:t>r Rental Housing (FIIAH),</w:t>
      </w:r>
      <w:r w:rsidRPr="00F95C31">
        <w:rPr>
          <w:rFonts w:ascii="Tahoma" w:hAnsi="Tahoma" w:cs="Tahoma"/>
          <w:lang w:val="en-US"/>
        </w:rPr>
        <w:t xml:space="preserve"> an aid measure to support </w:t>
      </w:r>
      <w:r w:rsidRPr="00F95C31">
        <w:rPr>
          <w:rFonts w:ascii="Tahoma" w:hAnsi="Tahoma" w:cs="Tahoma"/>
          <w:lang w:val="en-GB"/>
        </w:rPr>
        <w:t xml:space="preserve">home ownership </w:t>
      </w:r>
      <w:r w:rsidRPr="00F95C31">
        <w:rPr>
          <w:rFonts w:ascii="Tahoma" w:hAnsi="Tahoma" w:cs="Tahoma"/>
          <w:lang w:val="en-US"/>
        </w:rPr>
        <w:t>families with money difficulties</w:t>
      </w:r>
      <w:r>
        <w:rPr>
          <w:rFonts w:ascii="Tahoma" w:hAnsi="Tahoma" w:cs="Tahoma"/>
          <w:lang w:val="en-US"/>
        </w:rPr>
        <w:t xml:space="preserve"> This scheme  </w:t>
      </w:r>
      <w:r w:rsidRPr="00F95C31">
        <w:rPr>
          <w:rFonts w:ascii="Tahoma" w:hAnsi="Tahoma" w:cs="Tahoma"/>
          <w:lang w:val="en-US"/>
        </w:rPr>
        <w:t>allow</w:t>
      </w:r>
      <w:r>
        <w:rPr>
          <w:rFonts w:ascii="Tahoma" w:hAnsi="Tahoma" w:cs="Tahoma"/>
          <w:lang w:val="en-US"/>
        </w:rPr>
        <w:t>s</w:t>
      </w:r>
      <w:r w:rsidRPr="00F95C31">
        <w:rPr>
          <w:rFonts w:ascii="Tahoma" w:hAnsi="Tahoma" w:cs="Tahoma"/>
          <w:lang w:val="en-US"/>
        </w:rPr>
        <w:t xml:space="preserve"> families to sell their houses to an Investment Fund</w:t>
      </w:r>
      <w:r>
        <w:rPr>
          <w:rFonts w:ascii="Tahoma" w:hAnsi="Tahoma" w:cs="Tahoma"/>
          <w:lang w:val="en-US"/>
        </w:rPr>
        <w:t xml:space="preserve">, with whom they celebrate  a </w:t>
      </w:r>
      <w:r w:rsidRPr="00F95C31">
        <w:rPr>
          <w:rFonts w:ascii="Tahoma" w:hAnsi="Tahoma" w:cs="Tahoma"/>
          <w:lang w:val="en-US"/>
        </w:rPr>
        <w:t xml:space="preserve"> </w:t>
      </w:r>
      <w:r>
        <w:rPr>
          <w:rFonts w:ascii="Tahoma" w:hAnsi="Tahoma" w:cs="Tahoma"/>
          <w:lang w:val="en-US"/>
        </w:rPr>
        <w:t>rental contract, with option to buy back the property later on</w:t>
      </w:r>
      <w:r w:rsidRPr="00F95C31">
        <w:rPr>
          <w:rFonts w:ascii="Tahoma" w:hAnsi="Tahoma" w:cs="Tahoma"/>
          <w:lang w:val="en-US"/>
        </w:rPr>
        <w:t xml:space="preserve"> (at least till 31/12/2012).</w:t>
      </w:r>
    </w:p>
    <w:p w:rsidR="0048305F" w:rsidRPr="00F95C31" w:rsidRDefault="0048305F" w:rsidP="009B2A4B">
      <w:pPr>
        <w:spacing w:line="240" w:lineRule="auto"/>
        <w:jc w:val="both"/>
        <w:rPr>
          <w:rFonts w:ascii="Tahoma" w:hAnsi="Tahoma" w:cs="Tahoma"/>
          <w:lang w:val="en-GB"/>
        </w:rPr>
      </w:pPr>
    </w:p>
    <w:p w:rsidR="0048305F" w:rsidRDefault="0048305F" w:rsidP="00A77460">
      <w:pPr>
        <w:pStyle w:val="ListParagraph"/>
        <w:spacing w:line="240" w:lineRule="auto"/>
        <w:ind w:left="0"/>
        <w:jc w:val="both"/>
        <w:rPr>
          <w:rFonts w:ascii="Tahoma" w:hAnsi="Tahoma" w:cs="Tahoma"/>
          <w:b/>
          <w:lang w:val="en-GB"/>
        </w:rPr>
      </w:pPr>
      <w:r w:rsidRPr="00A77460">
        <w:rPr>
          <w:rFonts w:ascii="Tahoma" w:hAnsi="Tahoma" w:cs="Tahoma"/>
          <w:b/>
          <w:lang w:val="en-GB"/>
        </w:rPr>
        <w:t xml:space="preserve">Question 2: Please provide any available assessment of the impact of such policies and programmes on the housing situation of the poor or other categories of beneficiaries. </w:t>
      </w:r>
    </w:p>
    <w:p w:rsidR="0048305F" w:rsidRPr="001813E7" w:rsidRDefault="0048305F" w:rsidP="001813E7">
      <w:pPr>
        <w:pStyle w:val="BodyText"/>
        <w:spacing w:after="0"/>
        <w:jc w:val="both"/>
        <w:rPr>
          <w:rFonts w:ascii="Tahoma" w:hAnsi="Tahoma" w:cs="Tahoma"/>
          <w:sz w:val="22"/>
          <w:szCs w:val="22"/>
          <w:lang w:val="en-US" w:eastAsia="pt-PT"/>
        </w:rPr>
      </w:pPr>
    </w:p>
    <w:p w:rsidR="0048305F" w:rsidRPr="001813E7" w:rsidRDefault="0048305F" w:rsidP="001813E7">
      <w:pPr>
        <w:pStyle w:val="BodyText"/>
        <w:spacing w:after="0"/>
        <w:jc w:val="both"/>
        <w:rPr>
          <w:rFonts w:ascii="Tahoma" w:hAnsi="Tahoma" w:cs="Tahoma"/>
          <w:sz w:val="22"/>
          <w:szCs w:val="22"/>
          <w:lang w:val="en-US" w:eastAsia="pt-PT"/>
        </w:rPr>
      </w:pPr>
      <w:smartTag w:uri="urn:schemas-microsoft-com:office:smarttags" w:element="place">
        <w:r w:rsidRPr="001813E7">
          <w:rPr>
            <w:rFonts w:ascii="Tahoma" w:hAnsi="Tahoma" w:cs="Tahoma"/>
            <w:b/>
            <w:sz w:val="22"/>
            <w:szCs w:val="22"/>
            <w:u w:val="single"/>
            <w:lang w:val="en-US" w:eastAsia="pt-PT"/>
          </w:rPr>
          <w:t>PER</w:t>
        </w:r>
      </w:smartTag>
      <w:r w:rsidRPr="001813E7">
        <w:rPr>
          <w:rFonts w:ascii="Tahoma" w:hAnsi="Tahoma" w:cs="Tahoma"/>
          <w:sz w:val="22"/>
          <w:szCs w:val="22"/>
          <w:lang w:val="en-US" w:eastAsia="pt-PT"/>
        </w:rPr>
        <w:t xml:space="preserve"> and </w:t>
      </w:r>
      <w:r w:rsidRPr="001813E7">
        <w:rPr>
          <w:rFonts w:ascii="Tahoma" w:hAnsi="Tahoma" w:cs="Tahoma"/>
          <w:b/>
          <w:sz w:val="22"/>
          <w:szCs w:val="22"/>
          <w:u w:val="single"/>
          <w:lang w:val="en-US" w:eastAsia="pt-PT"/>
        </w:rPr>
        <w:t>PROHABITA</w:t>
      </w:r>
      <w:r w:rsidRPr="001813E7">
        <w:rPr>
          <w:rFonts w:ascii="Tahoma" w:hAnsi="Tahoma" w:cs="Tahoma"/>
          <w:sz w:val="22"/>
          <w:szCs w:val="22"/>
          <w:lang w:val="en-US" w:eastAsia="pt-PT"/>
        </w:rPr>
        <w:t xml:space="preserve">: the number of interventions in housing has increased significantly from </w:t>
      </w:r>
      <w:smartTag w:uri="urn:schemas-microsoft-com:office:smarttags" w:element="place">
        <w:r w:rsidRPr="001813E7">
          <w:rPr>
            <w:rFonts w:ascii="Tahoma" w:hAnsi="Tahoma" w:cs="Tahoma"/>
            <w:sz w:val="22"/>
            <w:szCs w:val="22"/>
            <w:lang w:val="en-US" w:eastAsia="pt-PT"/>
          </w:rPr>
          <w:t>1 962 in</w:t>
        </w:r>
      </w:smartTag>
      <w:r w:rsidRPr="001813E7">
        <w:rPr>
          <w:rFonts w:ascii="Tahoma" w:hAnsi="Tahoma" w:cs="Tahoma"/>
          <w:sz w:val="22"/>
          <w:szCs w:val="22"/>
          <w:lang w:val="en-US" w:eastAsia="pt-PT"/>
        </w:rPr>
        <w:t xml:space="preserve"> 2005 to </w:t>
      </w:r>
      <w:smartTag w:uri="urn:schemas-microsoft-com:office:smarttags" w:element="place">
        <w:r w:rsidRPr="001813E7">
          <w:rPr>
            <w:rFonts w:ascii="Tahoma" w:hAnsi="Tahoma" w:cs="Tahoma"/>
            <w:sz w:val="22"/>
            <w:szCs w:val="22"/>
            <w:lang w:val="en-US" w:eastAsia="pt-PT"/>
          </w:rPr>
          <w:t>4 000 in</w:t>
        </w:r>
      </w:smartTag>
      <w:r w:rsidRPr="001813E7">
        <w:rPr>
          <w:rFonts w:ascii="Tahoma" w:hAnsi="Tahoma" w:cs="Tahoma"/>
          <w:sz w:val="22"/>
          <w:szCs w:val="22"/>
          <w:lang w:val="en-US" w:eastAsia="pt-PT"/>
        </w:rPr>
        <w:t xml:space="preserve"> 2008.</w:t>
      </w:r>
    </w:p>
    <w:p w:rsidR="0048305F" w:rsidRPr="001813E7" w:rsidRDefault="0048305F" w:rsidP="001813E7">
      <w:pPr>
        <w:spacing w:line="240" w:lineRule="auto"/>
        <w:ind w:firstLine="567"/>
        <w:jc w:val="both"/>
        <w:rPr>
          <w:rFonts w:ascii="Tahoma" w:hAnsi="Tahoma" w:cs="Tahoma"/>
          <w:lang w:val="en-GB"/>
        </w:rPr>
      </w:pPr>
    </w:p>
    <w:p w:rsidR="0048305F" w:rsidRPr="001813E7" w:rsidRDefault="0048305F" w:rsidP="001813E7">
      <w:pPr>
        <w:spacing w:line="240" w:lineRule="auto"/>
        <w:jc w:val="both"/>
        <w:rPr>
          <w:rFonts w:ascii="Tahoma" w:hAnsi="Tahoma" w:cs="Tahoma"/>
          <w:lang w:val="en-US"/>
        </w:rPr>
      </w:pPr>
      <w:r w:rsidRPr="001813E7">
        <w:rPr>
          <w:rFonts w:ascii="Tahoma" w:hAnsi="Tahoma" w:cs="Tahoma"/>
          <w:b/>
          <w:u w:val="single"/>
          <w:lang w:val="en-GB"/>
        </w:rPr>
        <w:t>SOLARH</w:t>
      </w:r>
      <w:r>
        <w:rPr>
          <w:rFonts w:ascii="Tahoma" w:hAnsi="Tahoma" w:cs="Tahoma"/>
          <w:lang w:val="en-GB"/>
        </w:rPr>
        <w:t>: In 2007 and 2008</w:t>
      </w:r>
      <w:r w:rsidRPr="001813E7">
        <w:rPr>
          <w:rFonts w:ascii="Tahoma" w:hAnsi="Tahoma" w:cs="Tahoma"/>
          <w:lang w:val="en-GB"/>
        </w:rPr>
        <w:t xml:space="preserve"> IHRU granted loans amounting to 3 Million €, </w:t>
      </w:r>
      <w:r w:rsidRPr="001813E7">
        <w:rPr>
          <w:rFonts w:ascii="Tahoma" w:hAnsi="Tahoma" w:cs="Tahoma"/>
          <w:lang w:val="en-US"/>
        </w:rPr>
        <w:t>having</w:t>
      </w:r>
      <w:r w:rsidRPr="001813E7">
        <w:rPr>
          <w:rFonts w:ascii="Tahoma" w:hAnsi="Tahoma" w:cs="Tahoma"/>
          <w:lang w:val="en-GB"/>
        </w:rPr>
        <w:t xml:space="preserve"> an impact </w:t>
      </w:r>
      <w:r w:rsidRPr="001813E7">
        <w:rPr>
          <w:rFonts w:ascii="Tahoma" w:hAnsi="Tahoma" w:cs="Tahoma"/>
          <w:lang w:val="en-US"/>
        </w:rPr>
        <w:t xml:space="preserve">on 300 </w:t>
      </w:r>
      <w:r>
        <w:rPr>
          <w:rFonts w:ascii="Tahoma" w:hAnsi="Tahoma" w:cs="Tahoma"/>
          <w:lang w:val="en-US"/>
        </w:rPr>
        <w:t xml:space="preserve">housing </w:t>
      </w:r>
      <w:r w:rsidRPr="001813E7">
        <w:rPr>
          <w:rFonts w:ascii="Tahoma" w:hAnsi="Tahoma" w:cs="Tahoma"/>
          <w:lang w:val="en-US"/>
        </w:rPr>
        <w:t>units.</w:t>
      </w:r>
    </w:p>
    <w:p w:rsidR="0048305F" w:rsidRPr="001813E7" w:rsidRDefault="0048305F" w:rsidP="001813E7">
      <w:pPr>
        <w:pStyle w:val="BodyText"/>
        <w:spacing w:after="0"/>
        <w:jc w:val="both"/>
        <w:rPr>
          <w:rFonts w:ascii="Tahoma" w:hAnsi="Tahoma" w:cs="Tahoma"/>
          <w:sz w:val="22"/>
          <w:szCs w:val="22"/>
          <w:lang w:val="en-US" w:eastAsia="pt-PT"/>
        </w:rPr>
      </w:pPr>
      <w:r w:rsidRPr="001813E7">
        <w:rPr>
          <w:rFonts w:ascii="Tahoma" w:hAnsi="Tahoma" w:cs="Tahoma"/>
          <w:b/>
          <w:sz w:val="22"/>
          <w:szCs w:val="22"/>
          <w:u w:val="single"/>
          <w:lang w:val="en-US" w:eastAsia="pt-PT"/>
        </w:rPr>
        <w:t>Doorway 65</w:t>
      </w:r>
      <w:r w:rsidRPr="001813E7">
        <w:rPr>
          <w:rFonts w:ascii="Tahoma" w:hAnsi="Tahoma" w:cs="Tahoma"/>
          <w:sz w:val="22"/>
          <w:szCs w:val="22"/>
          <w:lang w:val="en-US" w:eastAsia="pt-PT"/>
        </w:rPr>
        <w:t>: between 2007 and 2008, 9 499 application</w:t>
      </w:r>
      <w:r>
        <w:rPr>
          <w:rFonts w:ascii="Tahoma" w:hAnsi="Tahoma" w:cs="Tahoma"/>
          <w:sz w:val="22"/>
          <w:szCs w:val="22"/>
          <w:lang w:val="en-US" w:eastAsia="pt-PT"/>
        </w:rPr>
        <w:t>s were approved, benefiting</w:t>
      </w:r>
      <w:r w:rsidRPr="001813E7">
        <w:rPr>
          <w:rFonts w:ascii="Tahoma" w:hAnsi="Tahoma" w:cs="Tahoma"/>
          <w:sz w:val="22"/>
          <w:szCs w:val="22"/>
          <w:lang w:val="en-US" w:eastAsia="pt-PT"/>
        </w:rPr>
        <w:t xml:space="preserve"> 13 670 candidates.</w:t>
      </w:r>
    </w:p>
    <w:p w:rsidR="0048305F" w:rsidRPr="001813E7" w:rsidRDefault="0048305F" w:rsidP="00A77460">
      <w:pPr>
        <w:pStyle w:val="ListParagraph"/>
        <w:spacing w:line="240" w:lineRule="auto"/>
        <w:ind w:left="0"/>
        <w:jc w:val="both"/>
        <w:rPr>
          <w:rFonts w:ascii="Tahoma" w:hAnsi="Tahoma" w:cs="Tahoma"/>
          <w:b/>
          <w:lang w:val="en-US"/>
        </w:rPr>
      </w:pPr>
    </w:p>
    <w:p w:rsidR="0048305F" w:rsidRDefault="0048305F" w:rsidP="00A77460">
      <w:pPr>
        <w:pStyle w:val="ListParagraph"/>
        <w:spacing w:line="240" w:lineRule="auto"/>
        <w:ind w:left="0"/>
        <w:jc w:val="both"/>
        <w:rPr>
          <w:rFonts w:ascii="Tahoma" w:hAnsi="Tahoma" w:cs="Tahoma"/>
          <w:b/>
          <w:lang w:val="en-GB"/>
        </w:rPr>
      </w:pPr>
    </w:p>
    <w:p w:rsidR="0048305F" w:rsidRDefault="0048305F" w:rsidP="00A77460">
      <w:pPr>
        <w:pStyle w:val="ListParagraph"/>
        <w:spacing w:line="240" w:lineRule="auto"/>
        <w:ind w:left="0"/>
        <w:jc w:val="both"/>
        <w:rPr>
          <w:rFonts w:ascii="Tahoma" w:hAnsi="Tahoma" w:cs="Tahoma"/>
          <w:b/>
          <w:lang w:val="en-GB"/>
        </w:rPr>
      </w:pPr>
      <w:r w:rsidRPr="00A77460">
        <w:rPr>
          <w:rFonts w:ascii="Tahoma" w:hAnsi="Tahoma" w:cs="Tahoma"/>
          <w:b/>
          <w:lang w:val="en-GB"/>
        </w:rPr>
        <w:t>Specifically, please provide the following data:</w:t>
      </w:r>
    </w:p>
    <w:p w:rsidR="0048305F" w:rsidRPr="00A77460" w:rsidRDefault="0048305F" w:rsidP="00A77460">
      <w:pPr>
        <w:pStyle w:val="ListParagraph"/>
        <w:spacing w:line="240" w:lineRule="auto"/>
        <w:ind w:left="0"/>
        <w:jc w:val="both"/>
        <w:rPr>
          <w:rFonts w:ascii="Tahoma" w:hAnsi="Tahoma" w:cs="Tahoma"/>
          <w:b/>
          <w:lang w:val="en-GB"/>
        </w:rPr>
      </w:pPr>
    </w:p>
    <w:p w:rsidR="0048305F" w:rsidRPr="00F95C31" w:rsidRDefault="0048305F" w:rsidP="00A77460">
      <w:pPr>
        <w:pStyle w:val="ListParagraph"/>
        <w:spacing w:line="240" w:lineRule="auto"/>
        <w:ind w:left="0"/>
        <w:jc w:val="both"/>
        <w:rPr>
          <w:rFonts w:ascii="Tahoma" w:hAnsi="Tahoma" w:cs="Tahoma"/>
          <w:b/>
          <w:lang w:val="en-GB"/>
        </w:rPr>
      </w:pPr>
    </w:p>
    <w:p w:rsidR="0048305F" w:rsidRPr="00F95C31" w:rsidRDefault="0048305F" w:rsidP="00F95C31">
      <w:pPr>
        <w:pStyle w:val="ListParagraph"/>
        <w:numPr>
          <w:ilvl w:val="0"/>
          <w:numId w:val="9"/>
        </w:numPr>
        <w:spacing w:line="240" w:lineRule="auto"/>
        <w:jc w:val="both"/>
        <w:rPr>
          <w:rFonts w:ascii="Tahoma" w:hAnsi="Tahoma" w:cs="Tahoma"/>
          <w:b/>
          <w:lang w:val="en-GB"/>
        </w:rPr>
      </w:pPr>
      <w:r w:rsidRPr="00F95C31">
        <w:rPr>
          <w:rFonts w:ascii="Tahoma" w:hAnsi="Tahoma" w:cs="Tahoma"/>
          <w:b/>
          <w:lang w:val="en-GB"/>
        </w:rPr>
        <w:t>The percentage of population living in informal settlements before and after the implementation of these policies.</w:t>
      </w:r>
    </w:p>
    <w:p w:rsidR="0048305F" w:rsidRPr="00F95C31" w:rsidRDefault="0048305F" w:rsidP="00F95C31">
      <w:pPr>
        <w:pStyle w:val="ListParagraph"/>
        <w:spacing w:line="240" w:lineRule="auto"/>
        <w:jc w:val="both"/>
        <w:textAlignment w:val="top"/>
        <w:rPr>
          <w:rFonts w:ascii="Tahoma" w:hAnsi="Tahoma" w:cs="Tahoma"/>
          <w:color w:val="000000"/>
          <w:lang w:val="en-GB"/>
        </w:rPr>
      </w:pPr>
    </w:p>
    <w:p w:rsidR="0048305F" w:rsidRPr="00F95C31" w:rsidRDefault="0048305F" w:rsidP="00F95C31">
      <w:pPr>
        <w:pStyle w:val="ListParagraph"/>
        <w:spacing w:line="240" w:lineRule="auto"/>
        <w:jc w:val="both"/>
        <w:textAlignment w:val="top"/>
        <w:rPr>
          <w:rFonts w:ascii="Tahoma" w:hAnsi="Tahoma" w:cs="Tahoma"/>
          <w:color w:val="000000"/>
        </w:rPr>
      </w:pPr>
      <w:r w:rsidRPr="00632F34">
        <w:rPr>
          <w:rFonts w:ascii="Tahoma" w:hAnsi="Tahoma" w:cs="Tahoma"/>
          <w:color w:val="000000"/>
          <w:lang w:val="en-US"/>
        </w:rPr>
        <w:t xml:space="preserve">Under the PER, since 1993, 29 Accession Agreements have been concluded between the Central Government and Municipalities of metropolitan areas of </w:t>
      </w:r>
      <w:smartTag w:uri="urn:schemas-microsoft-com:office:smarttags" w:element="place">
        <w:r w:rsidRPr="00632F34">
          <w:rPr>
            <w:rFonts w:ascii="Tahoma" w:hAnsi="Tahoma" w:cs="Tahoma"/>
            <w:color w:val="000000"/>
            <w:lang w:val="en-US"/>
          </w:rPr>
          <w:t>Lisbon</w:t>
        </w:r>
      </w:smartTag>
      <w:r w:rsidRPr="00632F34">
        <w:rPr>
          <w:rFonts w:ascii="Tahoma" w:hAnsi="Tahoma" w:cs="Tahoma"/>
          <w:color w:val="000000"/>
          <w:lang w:val="en-US"/>
        </w:rPr>
        <w:t xml:space="preserve"> and </w:t>
      </w:r>
      <w:smartTag w:uri="urn:schemas-microsoft-com:office:smarttags" w:element="place">
        <w:r w:rsidRPr="00632F34">
          <w:rPr>
            <w:rFonts w:ascii="Tahoma" w:hAnsi="Tahoma" w:cs="Tahoma"/>
            <w:color w:val="000000"/>
            <w:lang w:val="en-US"/>
          </w:rPr>
          <w:t>Porto</w:t>
        </w:r>
      </w:smartTag>
      <w:r w:rsidRPr="00632F34">
        <w:rPr>
          <w:rFonts w:ascii="Tahoma" w:hAnsi="Tahoma" w:cs="Tahoma"/>
          <w:color w:val="000000"/>
          <w:lang w:val="en-US"/>
        </w:rPr>
        <w:t xml:space="preserve">, for the </w:t>
      </w:r>
      <w:r w:rsidRPr="00F95C31">
        <w:rPr>
          <w:rFonts w:ascii="Tahoma" w:hAnsi="Tahoma" w:cs="Tahoma"/>
          <w:lang w:val="en-GB"/>
        </w:rPr>
        <w:t>re-housing</w:t>
      </w:r>
      <w:r w:rsidRPr="00632F34">
        <w:rPr>
          <w:rFonts w:ascii="Tahoma" w:hAnsi="Tahoma" w:cs="Tahoma"/>
          <w:color w:val="000000"/>
          <w:lang w:val="en-US"/>
        </w:rPr>
        <w:t xml:space="preserve"> of 48.416 households. </w:t>
      </w:r>
      <w:r>
        <w:rPr>
          <w:rFonts w:ascii="Tahoma" w:hAnsi="Tahoma" w:cs="Tahoma"/>
          <w:color w:val="000000"/>
        </w:rPr>
        <w:t xml:space="preserve">The present </w:t>
      </w:r>
      <w:r w:rsidRPr="00F95C31">
        <w:rPr>
          <w:rFonts w:ascii="Tahoma" w:hAnsi="Tahoma" w:cs="Tahoma"/>
          <w:color w:val="000000"/>
        </w:rPr>
        <w:t>execution rate</w:t>
      </w:r>
      <w:r>
        <w:rPr>
          <w:rFonts w:ascii="Tahoma" w:hAnsi="Tahoma" w:cs="Tahoma"/>
          <w:color w:val="000000"/>
        </w:rPr>
        <w:t xml:space="preserve"> amounts to 71%</w:t>
      </w:r>
      <w:r w:rsidRPr="00F95C31">
        <w:rPr>
          <w:rFonts w:ascii="Tahoma" w:hAnsi="Tahoma" w:cs="Tahoma"/>
          <w:color w:val="000000"/>
        </w:rPr>
        <w:t xml:space="preserve">. </w:t>
      </w:r>
    </w:p>
    <w:p w:rsidR="0048305F" w:rsidRPr="00F95C31" w:rsidRDefault="0048305F" w:rsidP="00F95C31">
      <w:pPr>
        <w:pStyle w:val="ListParagraph"/>
        <w:spacing w:line="240" w:lineRule="auto"/>
        <w:jc w:val="both"/>
        <w:textAlignment w:val="top"/>
        <w:rPr>
          <w:rFonts w:ascii="Tahoma" w:hAnsi="Tahoma" w:cs="Tahoma"/>
        </w:rPr>
      </w:pPr>
    </w:p>
    <w:p w:rsidR="0048305F" w:rsidRPr="00F95C31" w:rsidRDefault="0048305F" w:rsidP="00F95C31">
      <w:pPr>
        <w:pStyle w:val="ListParagraph"/>
        <w:numPr>
          <w:ilvl w:val="0"/>
          <w:numId w:val="9"/>
        </w:numPr>
        <w:spacing w:line="240" w:lineRule="auto"/>
        <w:rPr>
          <w:rFonts w:ascii="Tahoma" w:hAnsi="Tahoma" w:cs="Tahoma"/>
          <w:b/>
          <w:lang w:val="en-GB"/>
        </w:rPr>
      </w:pPr>
      <w:r w:rsidRPr="00F95C31">
        <w:rPr>
          <w:rFonts w:ascii="Tahoma" w:hAnsi="Tahoma" w:cs="Tahoma"/>
          <w:b/>
          <w:lang w:val="en-GB"/>
        </w:rPr>
        <w:t>The percentage of households with access to improved sanitation (including in rural areas) before and after the implementation of these policies;</w:t>
      </w:r>
    </w:p>
    <w:p w:rsidR="0048305F" w:rsidRPr="00F95C31" w:rsidRDefault="0048305F" w:rsidP="00F95C31">
      <w:pPr>
        <w:spacing w:line="240" w:lineRule="auto"/>
        <w:ind w:left="360" w:firstLine="360"/>
        <w:jc w:val="both"/>
        <w:rPr>
          <w:rFonts w:ascii="Tahoma" w:hAnsi="Tahoma" w:cs="Tahoma"/>
          <w:lang w:val="en-GB"/>
        </w:rPr>
      </w:pPr>
      <w:r>
        <w:rPr>
          <w:rFonts w:ascii="Tahoma" w:hAnsi="Tahoma" w:cs="Tahoma"/>
          <w:lang w:val="en-GB"/>
        </w:rPr>
        <w:t>Data not available</w:t>
      </w:r>
    </w:p>
    <w:p w:rsidR="0048305F" w:rsidRPr="00F95C31" w:rsidRDefault="0048305F" w:rsidP="00F95C31">
      <w:pPr>
        <w:pStyle w:val="ListParagraph"/>
        <w:numPr>
          <w:ilvl w:val="0"/>
          <w:numId w:val="9"/>
        </w:numPr>
        <w:spacing w:line="240" w:lineRule="auto"/>
        <w:jc w:val="both"/>
        <w:rPr>
          <w:rFonts w:ascii="Tahoma" w:hAnsi="Tahoma" w:cs="Tahoma"/>
          <w:b/>
          <w:lang w:val="en-GB"/>
        </w:rPr>
      </w:pPr>
      <w:r w:rsidRPr="00F95C31">
        <w:rPr>
          <w:rFonts w:ascii="Tahoma" w:hAnsi="Tahoma" w:cs="Tahoma"/>
          <w:b/>
          <w:lang w:val="en-GB"/>
        </w:rPr>
        <w:t>The percentage of population with access to electricity (including in rural areas) before and after the implementation of these policies.</w:t>
      </w:r>
    </w:p>
    <w:p w:rsidR="0048305F" w:rsidRPr="00F95C31" w:rsidRDefault="0048305F" w:rsidP="009B2A4B">
      <w:pPr>
        <w:spacing w:line="240" w:lineRule="auto"/>
        <w:ind w:left="360" w:firstLine="360"/>
        <w:jc w:val="both"/>
        <w:rPr>
          <w:rFonts w:ascii="Tahoma" w:hAnsi="Tahoma" w:cs="Tahoma"/>
          <w:lang w:val="en-GB"/>
        </w:rPr>
      </w:pPr>
      <w:r>
        <w:rPr>
          <w:rFonts w:ascii="Tahoma" w:hAnsi="Tahoma" w:cs="Tahoma"/>
          <w:lang w:val="en-GB"/>
        </w:rPr>
        <w:t>Data not available</w:t>
      </w:r>
    </w:p>
    <w:p w:rsidR="0048305F" w:rsidRPr="00F95C31" w:rsidRDefault="0048305F" w:rsidP="00A77460">
      <w:pPr>
        <w:pStyle w:val="ListParagraph"/>
        <w:spacing w:line="240" w:lineRule="auto"/>
        <w:ind w:left="0"/>
        <w:jc w:val="both"/>
        <w:rPr>
          <w:rFonts w:ascii="Tahoma" w:hAnsi="Tahoma" w:cs="Tahoma"/>
          <w:b/>
          <w:lang w:val="en-GB"/>
        </w:rPr>
      </w:pPr>
      <w:r w:rsidRPr="00A77460">
        <w:rPr>
          <w:rFonts w:ascii="Tahoma" w:hAnsi="Tahoma" w:cs="Tahoma"/>
          <w:b/>
          <w:lang w:val="en-GB"/>
        </w:rPr>
        <w:t xml:space="preserve">Question </w:t>
      </w:r>
      <w:r>
        <w:rPr>
          <w:rFonts w:ascii="Tahoma" w:hAnsi="Tahoma" w:cs="Tahoma"/>
          <w:b/>
          <w:lang w:val="en-GB"/>
        </w:rPr>
        <w:t>3</w:t>
      </w:r>
      <w:r w:rsidRPr="00A77460">
        <w:rPr>
          <w:rFonts w:ascii="Tahoma" w:hAnsi="Tahoma" w:cs="Tahoma"/>
          <w:b/>
          <w:lang w:val="en-GB"/>
        </w:rPr>
        <w:t xml:space="preserve">: Please </w:t>
      </w:r>
      <w:r w:rsidRPr="00F95C31">
        <w:rPr>
          <w:rFonts w:ascii="Tahoma" w:hAnsi="Tahoma" w:cs="Tahoma"/>
          <w:b/>
          <w:lang w:val="en-GB"/>
        </w:rPr>
        <w:t>also provide information on programmes or policies concerning construction of public housing for sale or rental in t</w:t>
      </w:r>
      <w:r>
        <w:rPr>
          <w:rFonts w:ascii="Tahoma" w:hAnsi="Tahoma" w:cs="Tahoma"/>
          <w:b/>
          <w:lang w:val="en-GB"/>
        </w:rPr>
        <w:t>he country (including private or</w:t>
      </w:r>
      <w:r w:rsidRPr="00F95C31">
        <w:rPr>
          <w:rFonts w:ascii="Tahoma" w:hAnsi="Tahoma" w:cs="Tahoma"/>
          <w:b/>
          <w:lang w:val="en-GB"/>
        </w:rPr>
        <w:t xml:space="preserve"> public housing). Please describe any significant reforms or developments in this sector over the last Thirty years. Please provide (in annex) any relevant documents, laws, regulations or policies.</w:t>
      </w:r>
    </w:p>
    <w:p w:rsidR="0048305F" w:rsidRPr="00F95C31" w:rsidRDefault="0048305F" w:rsidP="00A77460">
      <w:pPr>
        <w:spacing w:line="240" w:lineRule="auto"/>
        <w:jc w:val="both"/>
        <w:rPr>
          <w:rFonts w:ascii="Tahoma" w:hAnsi="Tahoma" w:cs="Tahoma"/>
          <w:lang w:val="en-GB"/>
        </w:rPr>
      </w:pPr>
      <w:r>
        <w:rPr>
          <w:rFonts w:ascii="Tahoma" w:hAnsi="Tahoma" w:cs="Tahoma"/>
          <w:lang w:val="en-GB"/>
        </w:rPr>
        <w:t>We can emphasize the period</w:t>
      </w:r>
      <w:r w:rsidRPr="00F95C31">
        <w:rPr>
          <w:rFonts w:ascii="Tahoma" w:hAnsi="Tahoma" w:cs="Tahoma"/>
          <w:lang w:val="en-GB"/>
        </w:rPr>
        <w:t xml:space="preserve"> of low cost housing promotion, which started in 1976 and had an expressive continuity during some years. Low cost housing assumed a</w:t>
      </w:r>
      <w:r>
        <w:rPr>
          <w:rFonts w:ascii="Tahoma" w:hAnsi="Tahoma" w:cs="Tahoma"/>
          <w:lang w:val="en-GB"/>
        </w:rPr>
        <w:t>n important role as a support</w:t>
      </w:r>
      <w:r w:rsidRPr="00F95C31">
        <w:rPr>
          <w:rFonts w:ascii="Tahoma" w:hAnsi="Tahoma" w:cs="Tahoma"/>
          <w:lang w:val="en-GB"/>
        </w:rPr>
        <w:t xml:space="preserve"> tool to the personal, family and social development of the residents and the respective neighbourhoods and local communities.</w:t>
      </w:r>
    </w:p>
    <w:p w:rsidR="0048305F" w:rsidRPr="00F95C31" w:rsidRDefault="0048305F" w:rsidP="00A77460">
      <w:pPr>
        <w:spacing w:line="240" w:lineRule="auto"/>
        <w:jc w:val="both"/>
        <w:rPr>
          <w:rFonts w:ascii="Tahoma" w:hAnsi="Tahoma" w:cs="Tahoma"/>
          <w:lang w:val="en-GB"/>
        </w:rPr>
      </w:pPr>
      <w:r w:rsidRPr="00F95C31">
        <w:rPr>
          <w:rFonts w:ascii="Tahoma" w:hAnsi="Tahoma" w:cs="Tahoma"/>
          <w:lang w:val="en-GB"/>
        </w:rPr>
        <w:t>Nowadays housing policy is more directed to rental and</w:t>
      </w:r>
      <w:r>
        <w:rPr>
          <w:rFonts w:ascii="Tahoma" w:hAnsi="Tahoma" w:cs="Tahoma"/>
          <w:lang w:val="en-GB"/>
        </w:rPr>
        <w:t xml:space="preserve"> rehabilitation markets than to</w:t>
      </w:r>
      <w:r w:rsidRPr="00F95C31">
        <w:rPr>
          <w:rFonts w:ascii="Tahoma" w:hAnsi="Tahoma" w:cs="Tahoma"/>
          <w:lang w:val="en-GB"/>
        </w:rPr>
        <w:t xml:space="preserve"> new construction.</w:t>
      </w:r>
    </w:p>
    <w:p w:rsidR="0048305F" w:rsidRPr="006C3AFC" w:rsidRDefault="0048305F" w:rsidP="00CD4173">
      <w:pPr>
        <w:jc w:val="both"/>
        <w:rPr>
          <w:rFonts w:ascii="Arial" w:hAnsi="Arial" w:cs="Arial"/>
          <w:lang w:val="en-GB"/>
        </w:rPr>
      </w:pPr>
    </w:p>
    <w:sectPr w:rsidR="0048305F" w:rsidRPr="006C3AFC" w:rsidSect="00087ED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5F" w:rsidRDefault="0048305F" w:rsidP="00BD550C">
      <w:pPr>
        <w:spacing w:after="0" w:line="240" w:lineRule="auto"/>
      </w:pPr>
      <w:r>
        <w:separator/>
      </w:r>
    </w:p>
  </w:endnote>
  <w:endnote w:type="continuationSeparator" w:id="0">
    <w:p w:rsidR="0048305F" w:rsidRDefault="0048305F" w:rsidP="00BD5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5F" w:rsidRDefault="0048305F">
    <w:pPr>
      <w:pStyle w:val="Footer"/>
      <w:jc w:val="right"/>
    </w:pPr>
    <w:fldSimple w:instr=" PAGE   \* MERGEFORMAT ">
      <w:r>
        <w:rPr>
          <w:noProof/>
        </w:rPr>
        <w:t>4</w:t>
      </w:r>
    </w:fldSimple>
  </w:p>
  <w:p w:rsidR="0048305F" w:rsidRDefault="00483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5F" w:rsidRDefault="0048305F" w:rsidP="00BD550C">
      <w:pPr>
        <w:spacing w:after="0" w:line="240" w:lineRule="auto"/>
      </w:pPr>
      <w:r>
        <w:separator/>
      </w:r>
    </w:p>
  </w:footnote>
  <w:footnote w:type="continuationSeparator" w:id="0">
    <w:p w:rsidR="0048305F" w:rsidRDefault="0048305F" w:rsidP="00BD550C">
      <w:pPr>
        <w:spacing w:after="0" w:line="240" w:lineRule="auto"/>
      </w:pPr>
      <w:r>
        <w:continuationSeparator/>
      </w:r>
    </w:p>
  </w:footnote>
  <w:footnote w:id="1">
    <w:p w:rsidR="0048305F" w:rsidRDefault="0048305F" w:rsidP="00CF5D0D">
      <w:pPr>
        <w:autoSpaceDE w:val="0"/>
        <w:autoSpaceDN w:val="0"/>
        <w:adjustRightInd w:val="0"/>
      </w:pPr>
      <w:r>
        <w:rPr>
          <w:sz w:val="16"/>
          <w:szCs w:val="16"/>
          <w:vertAlign w:val="superscript"/>
          <w:lang w:val="en-GB"/>
        </w:rPr>
        <w:footnoteRef/>
      </w:r>
      <w:r>
        <w:rPr>
          <w:sz w:val="16"/>
          <w:szCs w:val="16"/>
          <w:lang w:val="en-GB"/>
        </w:rPr>
        <w:t xml:space="preserve"> The Decree-Law n. 135/2004 of July 3rd creates the PROHABITA program [Financial Program for Housing Access]. Later on the new Decree-Law n. 54 n/2007 of March 12</w:t>
      </w:r>
      <w:r>
        <w:rPr>
          <w:sz w:val="16"/>
          <w:szCs w:val="16"/>
          <w:vertAlign w:val="superscript"/>
          <w:lang w:val="en-GB"/>
        </w:rPr>
        <w:t>th</w:t>
      </w:r>
      <w:r>
        <w:rPr>
          <w:sz w:val="16"/>
          <w:szCs w:val="16"/>
          <w:lang w:val="en-GB"/>
        </w:rPr>
        <w:t xml:space="preserve"> deepened its coverage of precarious housing situations.</w:t>
      </w:r>
    </w:p>
  </w:footnote>
  <w:footnote w:id="2">
    <w:p w:rsidR="0048305F" w:rsidRDefault="0048305F" w:rsidP="00CF5D0D">
      <w:pPr>
        <w:autoSpaceDE w:val="0"/>
        <w:autoSpaceDN w:val="0"/>
        <w:adjustRightInd w:val="0"/>
        <w:jc w:val="both"/>
      </w:pPr>
      <w:r>
        <w:rPr>
          <w:rStyle w:val="FootnoteReference"/>
        </w:rPr>
        <w:footnoteRef/>
      </w:r>
      <w:r>
        <w:rPr>
          <w:sz w:val="16"/>
          <w:szCs w:val="16"/>
          <w:lang w:val="en-GB"/>
        </w:rPr>
        <w:t xml:space="preserve"> The Special Re-Housing Programme was launched in 1993 through Decree-law 163/93, and was amended by Decree-Law no 271/2003, 28</w:t>
      </w:r>
      <w:r>
        <w:rPr>
          <w:sz w:val="16"/>
          <w:szCs w:val="16"/>
          <w:vertAlign w:val="superscript"/>
          <w:lang w:val="en-GB"/>
        </w:rPr>
        <w:t>th</w:t>
      </w:r>
      <w:r>
        <w:rPr>
          <w:sz w:val="16"/>
          <w:szCs w:val="16"/>
          <w:lang w:val="en-GB"/>
        </w:rPr>
        <w:t xml:space="preserve"> October, with the objective of eradicating  slum dwellings  in the metropolitan areas of the two biggest Portuguese cities, </w:t>
      </w:r>
      <w:smartTag w:uri="urn:schemas-microsoft-com:office:smarttags" w:element="City">
        <w:r>
          <w:rPr>
            <w:sz w:val="16"/>
            <w:szCs w:val="16"/>
            <w:lang w:val="en-GB"/>
          </w:rPr>
          <w:t>Lisbon</w:t>
        </w:r>
      </w:smartTag>
      <w:r>
        <w:rPr>
          <w:sz w:val="16"/>
          <w:szCs w:val="16"/>
          <w:lang w:val="en-GB"/>
        </w:rPr>
        <w:t xml:space="preserve"> and </w:t>
      </w:r>
      <w:smartTag w:uri="urn:schemas-microsoft-com:office:smarttags" w:element="place">
        <w:r>
          <w:rPr>
            <w:sz w:val="16"/>
            <w:szCs w:val="16"/>
            <w:lang w:val="en-GB"/>
          </w:rPr>
          <w:t>Porto</w:t>
        </w:r>
      </w:smartTag>
      <w:r>
        <w:rPr>
          <w:sz w:val="16"/>
          <w:szCs w:val="16"/>
          <w:lang w:val="en-GB"/>
        </w:rPr>
        <w:t>.</w:t>
      </w:r>
    </w:p>
  </w:footnote>
  <w:footnote w:id="3">
    <w:p w:rsidR="0048305F" w:rsidRDefault="0048305F" w:rsidP="00CF5D0D">
      <w:pPr>
        <w:jc w:val="both"/>
      </w:pPr>
      <w:r>
        <w:rPr>
          <w:rStyle w:val="FootnoteReference"/>
        </w:rPr>
        <w:footnoteRef/>
      </w:r>
      <w:r>
        <w:rPr>
          <w:sz w:val="16"/>
          <w:szCs w:val="16"/>
          <w:lang w:val="en-GB"/>
        </w:rPr>
        <w:t xml:space="preserve"> </w:t>
      </w:r>
      <w:r>
        <w:rPr>
          <w:rStyle w:val="mediumtext1"/>
          <w:i/>
          <w:sz w:val="16"/>
          <w:szCs w:val="16"/>
          <w:shd w:val="clear" w:color="auto" w:fill="FFFFFF"/>
          <w:lang w:val="en-US"/>
        </w:rPr>
        <w:t>SOLARH</w:t>
      </w:r>
      <w:r>
        <w:rPr>
          <w:rStyle w:val="shorttext1"/>
          <w:i/>
          <w:sz w:val="16"/>
          <w:szCs w:val="16"/>
          <w:shd w:val="clear" w:color="auto" w:fill="FFFFFF"/>
          <w:lang w:val="en-US"/>
        </w:rPr>
        <w:t xml:space="preserve"> </w:t>
      </w:r>
      <w:r>
        <w:rPr>
          <w:rStyle w:val="shorttext1"/>
          <w:b/>
          <w:i/>
          <w:sz w:val="16"/>
          <w:szCs w:val="16"/>
          <w:shd w:val="clear" w:color="auto" w:fill="FFFFFF"/>
          <w:lang w:val="en-US"/>
        </w:rPr>
        <w:t xml:space="preserve">– Aiming  at </w:t>
      </w:r>
      <w:r>
        <w:rPr>
          <w:rStyle w:val="mediumtext1"/>
          <w:sz w:val="16"/>
          <w:szCs w:val="16"/>
          <w:shd w:val="clear" w:color="auto" w:fill="FFFFFF"/>
          <w:lang w:val="en-US"/>
        </w:rPr>
        <w:t xml:space="preserve"> helping older persons the Program SOLARH finances in the form of an interest-free loan, upkeep works and improvements to permanent own housing and uninhabited housing owned by individual or public entities, including common parts of buildings.</w:t>
      </w:r>
    </w:p>
  </w:footnote>
  <w:footnote w:id="4">
    <w:p w:rsidR="0048305F" w:rsidRDefault="0048305F" w:rsidP="00CF5D0D">
      <w:pPr>
        <w:pStyle w:val="FootnoteText"/>
      </w:pPr>
      <w:r>
        <w:rPr>
          <w:rStyle w:val="FootnoteReference"/>
        </w:rPr>
        <w:footnoteRef/>
      </w:r>
      <w:r>
        <w:rPr>
          <w:sz w:val="16"/>
          <w:szCs w:val="16"/>
          <w:lang w:val="en-GB"/>
        </w:rPr>
        <w:t xml:space="preserve"> http://www.portaldahabitacao.pt/pt/ihru/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D54"/>
    <w:multiLevelType w:val="hybridMultilevel"/>
    <w:tmpl w:val="3508E6B8"/>
    <w:lvl w:ilvl="0" w:tplc="AA8A0DC2">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6A7C48"/>
    <w:multiLevelType w:val="hybridMultilevel"/>
    <w:tmpl w:val="580401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A393794"/>
    <w:multiLevelType w:val="hybridMultilevel"/>
    <w:tmpl w:val="D0A28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852610"/>
    <w:multiLevelType w:val="hybridMultilevel"/>
    <w:tmpl w:val="BB4A7B7A"/>
    <w:lvl w:ilvl="0" w:tplc="9A18343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C86559D"/>
    <w:multiLevelType w:val="hybridMultilevel"/>
    <w:tmpl w:val="83F60390"/>
    <w:lvl w:ilvl="0" w:tplc="93F6B026">
      <w:numFmt w:val="bullet"/>
      <w:lvlText w:val="-"/>
      <w:lvlJc w:val="left"/>
      <w:pPr>
        <w:tabs>
          <w:tab w:val="num" w:pos="1074"/>
        </w:tabs>
        <w:ind w:left="1074" w:hanging="360"/>
      </w:pPr>
      <w:rPr>
        <w:rFonts w:ascii="Arial" w:hAnsi="Arial" w:hint="default"/>
        <w:color w:val="auto"/>
      </w:rPr>
    </w:lvl>
    <w:lvl w:ilvl="1" w:tplc="719AB04C">
      <w:numFmt w:val="bullet"/>
      <w:lvlText w:val="-"/>
      <w:lvlJc w:val="left"/>
      <w:pPr>
        <w:tabs>
          <w:tab w:val="num" w:pos="714"/>
        </w:tabs>
        <w:ind w:left="714" w:hanging="360"/>
      </w:pPr>
      <w:rPr>
        <w:rFonts w:ascii="Arial" w:eastAsia="Times New Roman" w:hAnsi="Arial" w:hint="default"/>
        <w:color w:val="0000FF"/>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5">
    <w:nsid w:val="2FEE012F"/>
    <w:multiLevelType w:val="hybridMultilevel"/>
    <w:tmpl w:val="ADB8EBB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3A365A93"/>
    <w:multiLevelType w:val="hybridMultilevel"/>
    <w:tmpl w:val="262A9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B76169"/>
    <w:multiLevelType w:val="hybridMultilevel"/>
    <w:tmpl w:val="DAEE7A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2736D5A"/>
    <w:multiLevelType w:val="hybridMultilevel"/>
    <w:tmpl w:val="0B30700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nsid w:val="43735377"/>
    <w:multiLevelType w:val="hybridMultilevel"/>
    <w:tmpl w:val="4B987D48"/>
    <w:lvl w:ilvl="0" w:tplc="A5B6AE1E">
      <w:start w:val="1"/>
      <w:numFmt w:val="lowerLetter"/>
      <w:lvlText w:val="%1)"/>
      <w:lvlJc w:val="left"/>
      <w:pPr>
        <w:ind w:left="720" w:hanging="360"/>
      </w:pPr>
      <w:rPr>
        <w:rFonts w:cs="Times New Roman" w:hint="default"/>
        <w:b/>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nsid w:val="4DA31CF7"/>
    <w:multiLevelType w:val="hybridMultilevel"/>
    <w:tmpl w:val="32045120"/>
    <w:lvl w:ilvl="0" w:tplc="E124AB94">
      <w:start w:val="2"/>
      <w:numFmt w:val="bullet"/>
      <w:lvlText w:val="-"/>
      <w:lvlJc w:val="left"/>
      <w:pPr>
        <w:ind w:left="720" w:hanging="360"/>
      </w:pPr>
      <w:rPr>
        <w:rFonts w:ascii="Calibri" w:eastAsia="Times New Roman" w:hAnsi="Calibri"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0D35A09"/>
    <w:multiLevelType w:val="hybridMultilevel"/>
    <w:tmpl w:val="9DCE6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6872083"/>
    <w:multiLevelType w:val="hybridMultilevel"/>
    <w:tmpl w:val="CC3A436C"/>
    <w:lvl w:ilvl="0" w:tplc="E124AB94">
      <w:start w:val="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79D328E"/>
    <w:multiLevelType w:val="hybridMultilevel"/>
    <w:tmpl w:val="CD96AD3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71867698"/>
    <w:multiLevelType w:val="hybridMultilevel"/>
    <w:tmpl w:val="4FCCA1FE"/>
    <w:lvl w:ilvl="0" w:tplc="2CD69C0A">
      <w:start w:val="1"/>
      <w:numFmt w:val="lowerLetter"/>
      <w:lvlText w:val="%1)"/>
      <w:lvlJc w:val="left"/>
      <w:pPr>
        <w:ind w:left="720" w:hanging="360"/>
      </w:pPr>
      <w:rPr>
        <w:rFonts w:cs="Times New Roman" w:hint="default"/>
        <w:color w:val="1F497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
  </w:num>
  <w:num w:numId="4">
    <w:abstractNumId w:val="7"/>
  </w:num>
  <w:num w:numId="5">
    <w:abstractNumId w:val="6"/>
  </w:num>
  <w:num w:numId="6">
    <w:abstractNumId w:val="11"/>
  </w:num>
  <w:num w:numId="7">
    <w:abstractNumId w:val="12"/>
  </w:num>
  <w:num w:numId="8">
    <w:abstractNumId w:val="0"/>
  </w:num>
  <w:num w:numId="9">
    <w:abstractNumId w:val="14"/>
  </w:num>
  <w:num w:numId="10">
    <w:abstractNumId w:val="13"/>
  </w:num>
  <w:num w:numId="11">
    <w:abstractNumId w:val="5"/>
  </w:num>
  <w:num w:numId="12">
    <w:abstractNumId w:val="9"/>
  </w:num>
  <w:num w:numId="13">
    <w:abstractNumId w:val="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127"/>
    <w:rsid w:val="00001A94"/>
    <w:rsid w:val="00013ABA"/>
    <w:rsid w:val="00030711"/>
    <w:rsid w:val="00087EDC"/>
    <w:rsid w:val="001508AC"/>
    <w:rsid w:val="001717B9"/>
    <w:rsid w:val="00174B28"/>
    <w:rsid w:val="001813E7"/>
    <w:rsid w:val="001C6813"/>
    <w:rsid w:val="001D1328"/>
    <w:rsid w:val="001D690C"/>
    <w:rsid w:val="001F0E91"/>
    <w:rsid w:val="00237491"/>
    <w:rsid w:val="00261F30"/>
    <w:rsid w:val="00286435"/>
    <w:rsid w:val="002869AA"/>
    <w:rsid w:val="002C2B6C"/>
    <w:rsid w:val="002E378D"/>
    <w:rsid w:val="002E461F"/>
    <w:rsid w:val="00366AEC"/>
    <w:rsid w:val="003B6535"/>
    <w:rsid w:val="00432C4E"/>
    <w:rsid w:val="00463161"/>
    <w:rsid w:val="0048305F"/>
    <w:rsid w:val="005119E5"/>
    <w:rsid w:val="00533EF9"/>
    <w:rsid w:val="00536127"/>
    <w:rsid w:val="00543674"/>
    <w:rsid w:val="00545950"/>
    <w:rsid w:val="005D5C9B"/>
    <w:rsid w:val="006008C1"/>
    <w:rsid w:val="00632F34"/>
    <w:rsid w:val="006C3AFC"/>
    <w:rsid w:val="006D087C"/>
    <w:rsid w:val="00736122"/>
    <w:rsid w:val="007B6651"/>
    <w:rsid w:val="00837560"/>
    <w:rsid w:val="00861486"/>
    <w:rsid w:val="00946209"/>
    <w:rsid w:val="00960618"/>
    <w:rsid w:val="009B2A4B"/>
    <w:rsid w:val="009C019C"/>
    <w:rsid w:val="00A17E28"/>
    <w:rsid w:val="00A60081"/>
    <w:rsid w:val="00A77460"/>
    <w:rsid w:val="00A869FA"/>
    <w:rsid w:val="00AA43D2"/>
    <w:rsid w:val="00BA3BFC"/>
    <w:rsid w:val="00BC62A0"/>
    <w:rsid w:val="00BD550C"/>
    <w:rsid w:val="00C37F62"/>
    <w:rsid w:val="00CA4C05"/>
    <w:rsid w:val="00CD263D"/>
    <w:rsid w:val="00CD4173"/>
    <w:rsid w:val="00CF5D0D"/>
    <w:rsid w:val="00D977D1"/>
    <w:rsid w:val="00DC0E99"/>
    <w:rsid w:val="00E465B7"/>
    <w:rsid w:val="00E70B68"/>
    <w:rsid w:val="00EA485B"/>
    <w:rsid w:val="00ED38B9"/>
    <w:rsid w:val="00F414E2"/>
    <w:rsid w:val="00F95C31"/>
    <w:rsid w:val="00FB126E"/>
    <w:rsid w:val="00FC721E"/>
    <w:rsid w:val="00FD2C52"/>
    <w:rsid w:val="00FD44DC"/>
    <w:rsid w:val="00FD7C38"/>
    <w:rsid w:val="00FF04D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127"/>
    <w:pPr>
      <w:ind w:left="720"/>
      <w:contextualSpacing/>
    </w:pPr>
  </w:style>
  <w:style w:type="paragraph" w:styleId="BalloonText">
    <w:name w:val="Balloon Text"/>
    <w:basedOn w:val="Normal"/>
    <w:link w:val="BalloonTextChar"/>
    <w:uiPriority w:val="99"/>
    <w:semiHidden/>
    <w:rsid w:val="0017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7B9"/>
    <w:rPr>
      <w:rFonts w:ascii="Tahoma" w:hAnsi="Tahoma" w:cs="Tahoma"/>
      <w:sz w:val="16"/>
      <w:szCs w:val="16"/>
      <w:lang w:val="pt-PT"/>
    </w:rPr>
  </w:style>
  <w:style w:type="character" w:customStyle="1" w:styleId="shorttext">
    <w:name w:val="short_text"/>
    <w:basedOn w:val="DefaultParagraphFont"/>
    <w:uiPriority w:val="99"/>
    <w:rsid w:val="00FB126E"/>
    <w:rPr>
      <w:rFonts w:cs="Times New Roman"/>
    </w:rPr>
  </w:style>
  <w:style w:type="character" w:customStyle="1" w:styleId="hps">
    <w:name w:val="hps"/>
    <w:basedOn w:val="DefaultParagraphFont"/>
    <w:uiPriority w:val="99"/>
    <w:rsid w:val="00FB126E"/>
    <w:rPr>
      <w:rFonts w:cs="Times New Roman"/>
    </w:rPr>
  </w:style>
  <w:style w:type="paragraph" w:styleId="Header">
    <w:name w:val="header"/>
    <w:basedOn w:val="Normal"/>
    <w:link w:val="HeaderChar"/>
    <w:uiPriority w:val="99"/>
    <w:rsid w:val="00BD55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550C"/>
    <w:rPr>
      <w:rFonts w:cs="Times New Roman"/>
      <w:lang w:val="pt-PT"/>
    </w:rPr>
  </w:style>
  <w:style w:type="paragraph" w:styleId="Footer">
    <w:name w:val="footer"/>
    <w:basedOn w:val="Normal"/>
    <w:link w:val="FooterChar"/>
    <w:uiPriority w:val="99"/>
    <w:rsid w:val="00BD55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550C"/>
    <w:rPr>
      <w:rFonts w:cs="Times New Roman"/>
      <w:lang w:val="pt-PT"/>
    </w:rPr>
  </w:style>
  <w:style w:type="paragraph" w:styleId="FootnoteText">
    <w:name w:val="footnote text"/>
    <w:aliases w:val="RSC_WP (footnotes) Char Char,RSC_WP (footnotes),Footnote Text OCR,Footnote Text Char3,Footnote Text Char Char,Footnote Text Char2 Char Char Char Char Char Char Char Char Char Char Char Char Char"/>
    <w:basedOn w:val="Normal"/>
    <w:link w:val="FootnoteTextChar"/>
    <w:uiPriority w:val="99"/>
    <w:semiHidden/>
    <w:rsid w:val="00CF5D0D"/>
    <w:pPr>
      <w:spacing w:after="0" w:line="240" w:lineRule="auto"/>
    </w:pPr>
    <w:rPr>
      <w:rFonts w:ascii="Times New Roman" w:eastAsia="Times New Roman" w:hAnsi="Times New Roman"/>
      <w:sz w:val="20"/>
      <w:szCs w:val="20"/>
      <w:lang w:eastAsia="pt-PT"/>
    </w:rPr>
  </w:style>
  <w:style w:type="character" w:customStyle="1" w:styleId="FootnoteTextChar">
    <w:name w:val="Footnote Text Char"/>
    <w:aliases w:val="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semiHidden/>
    <w:locked/>
    <w:rsid w:val="00CF5D0D"/>
    <w:rPr>
      <w:rFonts w:eastAsia="Times New Roman" w:cs="Times New Roman"/>
      <w:lang w:val="pt-PT" w:eastAsia="pt-PT" w:bidi="ar-SA"/>
    </w:rPr>
  </w:style>
  <w:style w:type="character" w:styleId="FootnoteReference">
    <w:name w:val="footnote reference"/>
    <w:aliases w:val="Footnotes refss,Footnote symbol,RSC_WP (footnote reference),Appel note de bas de p.,Fus note"/>
    <w:basedOn w:val="DefaultParagraphFont"/>
    <w:uiPriority w:val="99"/>
    <w:semiHidden/>
    <w:rsid w:val="00CF5D0D"/>
    <w:rPr>
      <w:rFonts w:cs="Times New Roman"/>
      <w:vertAlign w:val="superscript"/>
    </w:rPr>
  </w:style>
  <w:style w:type="character" w:customStyle="1" w:styleId="mediumtext1">
    <w:name w:val="medium_text1"/>
    <w:uiPriority w:val="99"/>
    <w:rsid w:val="00CF5D0D"/>
    <w:rPr>
      <w:sz w:val="24"/>
    </w:rPr>
  </w:style>
  <w:style w:type="character" w:customStyle="1" w:styleId="shorttext1">
    <w:name w:val="short_text1"/>
    <w:uiPriority w:val="99"/>
    <w:rsid w:val="00CF5D0D"/>
    <w:rPr>
      <w:sz w:val="29"/>
    </w:rPr>
  </w:style>
  <w:style w:type="paragraph" w:styleId="BodyText">
    <w:name w:val="Body Text"/>
    <w:basedOn w:val="Normal"/>
    <w:link w:val="BodyTextChar"/>
    <w:uiPriority w:val="99"/>
    <w:rsid w:val="001813E7"/>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1813E7"/>
    <w:rPr>
      <w:rFonts w:eastAsia="Times New Roman" w:cs="Times New Roman"/>
      <w:lang w:val="pt-PT" w:eastAsia="en-US" w:bidi="ar-SA"/>
    </w:rPr>
  </w:style>
</w:styles>
</file>

<file path=word/webSettings.xml><?xml version="1.0" encoding="utf-8"?>
<w:webSettings xmlns:r="http://schemas.openxmlformats.org/officeDocument/2006/relationships" xmlns:w="http://schemas.openxmlformats.org/wordprocessingml/2006/main">
  <w:divs>
    <w:div w:id="200751797">
      <w:marLeft w:val="0"/>
      <w:marRight w:val="0"/>
      <w:marTop w:val="0"/>
      <w:marBottom w:val="0"/>
      <w:divBdr>
        <w:top w:val="none" w:sz="0" w:space="0" w:color="auto"/>
        <w:left w:val="none" w:sz="0" w:space="0" w:color="auto"/>
        <w:bottom w:val="none" w:sz="0" w:space="0" w:color="auto"/>
        <w:right w:val="none" w:sz="0" w:space="0" w:color="auto"/>
      </w:divBdr>
      <w:divsChild>
        <w:div w:id="200751799">
          <w:marLeft w:val="0"/>
          <w:marRight w:val="0"/>
          <w:marTop w:val="0"/>
          <w:marBottom w:val="0"/>
          <w:divBdr>
            <w:top w:val="none" w:sz="0" w:space="0" w:color="auto"/>
            <w:left w:val="none" w:sz="0" w:space="0" w:color="auto"/>
            <w:bottom w:val="none" w:sz="0" w:space="0" w:color="auto"/>
            <w:right w:val="none" w:sz="0" w:space="0" w:color="auto"/>
          </w:divBdr>
          <w:divsChild>
            <w:div w:id="200751810">
              <w:marLeft w:val="0"/>
              <w:marRight w:val="0"/>
              <w:marTop w:val="0"/>
              <w:marBottom w:val="0"/>
              <w:divBdr>
                <w:top w:val="none" w:sz="0" w:space="0" w:color="auto"/>
                <w:left w:val="none" w:sz="0" w:space="0" w:color="auto"/>
                <w:bottom w:val="none" w:sz="0" w:space="0" w:color="auto"/>
                <w:right w:val="none" w:sz="0" w:space="0" w:color="auto"/>
              </w:divBdr>
              <w:divsChild>
                <w:div w:id="200751800">
                  <w:marLeft w:val="0"/>
                  <w:marRight w:val="0"/>
                  <w:marTop w:val="0"/>
                  <w:marBottom w:val="0"/>
                  <w:divBdr>
                    <w:top w:val="none" w:sz="0" w:space="0" w:color="auto"/>
                    <w:left w:val="none" w:sz="0" w:space="0" w:color="auto"/>
                    <w:bottom w:val="none" w:sz="0" w:space="0" w:color="auto"/>
                    <w:right w:val="none" w:sz="0" w:space="0" w:color="auto"/>
                  </w:divBdr>
                  <w:divsChild>
                    <w:div w:id="200751807">
                      <w:marLeft w:val="0"/>
                      <w:marRight w:val="0"/>
                      <w:marTop w:val="0"/>
                      <w:marBottom w:val="0"/>
                      <w:divBdr>
                        <w:top w:val="none" w:sz="0" w:space="0" w:color="auto"/>
                        <w:left w:val="none" w:sz="0" w:space="0" w:color="auto"/>
                        <w:bottom w:val="none" w:sz="0" w:space="0" w:color="auto"/>
                        <w:right w:val="none" w:sz="0" w:space="0" w:color="auto"/>
                      </w:divBdr>
                      <w:divsChild>
                        <w:div w:id="200751796">
                          <w:marLeft w:val="0"/>
                          <w:marRight w:val="0"/>
                          <w:marTop w:val="0"/>
                          <w:marBottom w:val="0"/>
                          <w:divBdr>
                            <w:top w:val="none" w:sz="0" w:space="0" w:color="auto"/>
                            <w:left w:val="none" w:sz="0" w:space="0" w:color="auto"/>
                            <w:bottom w:val="none" w:sz="0" w:space="0" w:color="auto"/>
                            <w:right w:val="none" w:sz="0" w:space="0" w:color="auto"/>
                          </w:divBdr>
                          <w:divsChild>
                            <w:div w:id="200751798">
                              <w:marLeft w:val="0"/>
                              <w:marRight w:val="0"/>
                              <w:marTop w:val="0"/>
                              <w:marBottom w:val="0"/>
                              <w:divBdr>
                                <w:top w:val="none" w:sz="0" w:space="0" w:color="auto"/>
                                <w:left w:val="none" w:sz="0" w:space="0" w:color="auto"/>
                                <w:bottom w:val="none" w:sz="0" w:space="0" w:color="auto"/>
                                <w:right w:val="none" w:sz="0" w:space="0" w:color="auto"/>
                              </w:divBdr>
                              <w:divsChild>
                                <w:div w:id="200751791">
                                  <w:marLeft w:val="0"/>
                                  <w:marRight w:val="0"/>
                                  <w:marTop w:val="0"/>
                                  <w:marBottom w:val="0"/>
                                  <w:divBdr>
                                    <w:top w:val="none" w:sz="0" w:space="0" w:color="auto"/>
                                    <w:left w:val="none" w:sz="0" w:space="0" w:color="auto"/>
                                    <w:bottom w:val="none" w:sz="0" w:space="0" w:color="auto"/>
                                    <w:right w:val="none" w:sz="0" w:space="0" w:color="auto"/>
                                  </w:divBdr>
                                  <w:divsChild>
                                    <w:div w:id="200751808">
                                      <w:marLeft w:val="0"/>
                                      <w:marRight w:val="0"/>
                                      <w:marTop w:val="0"/>
                                      <w:marBottom w:val="0"/>
                                      <w:divBdr>
                                        <w:top w:val="single" w:sz="6" w:space="0" w:color="F5F5F5"/>
                                        <w:left w:val="single" w:sz="6" w:space="0" w:color="F5F5F5"/>
                                        <w:bottom w:val="single" w:sz="6" w:space="0" w:color="F5F5F5"/>
                                        <w:right w:val="single" w:sz="6" w:space="0" w:color="F5F5F5"/>
                                      </w:divBdr>
                                      <w:divsChild>
                                        <w:div w:id="200751790">
                                          <w:marLeft w:val="0"/>
                                          <w:marRight w:val="0"/>
                                          <w:marTop w:val="0"/>
                                          <w:marBottom w:val="0"/>
                                          <w:divBdr>
                                            <w:top w:val="none" w:sz="0" w:space="0" w:color="auto"/>
                                            <w:left w:val="none" w:sz="0" w:space="0" w:color="auto"/>
                                            <w:bottom w:val="none" w:sz="0" w:space="0" w:color="auto"/>
                                            <w:right w:val="none" w:sz="0" w:space="0" w:color="auto"/>
                                          </w:divBdr>
                                          <w:divsChild>
                                            <w:div w:id="2007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51803">
      <w:marLeft w:val="0"/>
      <w:marRight w:val="0"/>
      <w:marTop w:val="0"/>
      <w:marBottom w:val="0"/>
      <w:divBdr>
        <w:top w:val="none" w:sz="0" w:space="0" w:color="auto"/>
        <w:left w:val="none" w:sz="0" w:space="0" w:color="auto"/>
        <w:bottom w:val="none" w:sz="0" w:space="0" w:color="auto"/>
        <w:right w:val="none" w:sz="0" w:space="0" w:color="auto"/>
      </w:divBdr>
      <w:divsChild>
        <w:div w:id="200751794">
          <w:marLeft w:val="0"/>
          <w:marRight w:val="0"/>
          <w:marTop w:val="0"/>
          <w:marBottom w:val="0"/>
          <w:divBdr>
            <w:top w:val="none" w:sz="0" w:space="0" w:color="auto"/>
            <w:left w:val="none" w:sz="0" w:space="0" w:color="auto"/>
            <w:bottom w:val="none" w:sz="0" w:space="0" w:color="auto"/>
            <w:right w:val="none" w:sz="0" w:space="0" w:color="auto"/>
          </w:divBdr>
          <w:divsChild>
            <w:div w:id="200751801">
              <w:marLeft w:val="0"/>
              <w:marRight w:val="0"/>
              <w:marTop w:val="0"/>
              <w:marBottom w:val="0"/>
              <w:divBdr>
                <w:top w:val="none" w:sz="0" w:space="0" w:color="auto"/>
                <w:left w:val="none" w:sz="0" w:space="0" w:color="auto"/>
                <w:bottom w:val="none" w:sz="0" w:space="0" w:color="auto"/>
                <w:right w:val="none" w:sz="0" w:space="0" w:color="auto"/>
              </w:divBdr>
              <w:divsChild>
                <w:div w:id="200751795">
                  <w:marLeft w:val="0"/>
                  <w:marRight w:val="0"/>
                  <w:marTop w:val="0"/>
                  <w:marBottom w:val="0"/>
                  <w:divBdr>
                    <w:top w:val="none" w:sz="0" w:space="0" w:color="auto"/>
                    <w:left w:val="none" w:sz="0" w:space="0" w:color="auto"/>
                    <w:bottom w:val="none" w:sz="0" w:space="0" w:color="auto"/>
                    <w:right w:val="none" w:sz="0" w:space="0" w:color="auto"/>
                  </w:divBdr>
                  <w:divsChild>
                    <w:div w:id="200751809">
                      <w:marLeft w:val="0"/>
                      <w:marRight w:val="0"/>
                      <w:marTop w:val="0"/>
                      <w:marBottom w:val="0"/>
                      <w:divBdr>
                        <w:top w:val="none" w:sz="0" w:space="0" w:color="auto"/>
                        <w:left w:val="none" w:sz="0" w:space="0" w:color="auto"/>
                        <w:bottom w:val="none" w:sz="0" w:space="0" w:color="auto"/>
                        <w:right w:val="none" w:sz="0" w:space="0" w:color="auto"/>
                      </w:divBdr>
                      <w:divsChild>
                        <w:div w:id="200751792">
                          <w:marLeft w:val="0"/>
                          <w:marRight w:val="0"/>
                          <w:marTop w:val="0"/>
                          <w:marBottom w:val="0"/>
                          <w:divBdr>
                            <w:top w:val="none" w:sz="0" w:space="0" w:color="auto"/>
                            <w:left w:val="none" w:sz="0" w:space="0" w:color="auto"/>
                            <w:bottom w:val="none" w:sz="0" w:space="0" w:color="auto"/>
                            <w:right w:val="none" w:sz="0" w:space="0" w:color="auto"/>
                          </w:divBdr>
                          <w:divsChild>
                            <w:div w:id="200751793">
                              <w:marLeft w:val="0"/>
                              <w:marRight w:val="0"/>
                              <w:marTop w:val="0"/>
                              <w:marBottom w:val="0"/>
                              <w:divBdr>
                                <w:top w:val="none" w:sz="0" w:space="0" w:color="auto"/>
                                <w:left w:val="none" w:sz="0" w:space="0" w:color="auto"/>
                                <w:bottom w:val="none" w:sz="0" w:space="0" w:color="auto"/>
                                <w:right w:val="none" w:sz="0" w:space="0" w:color="auto"/>
                              </w:divBdr>
                              <w:divsChild>
                                <w:div w:id="200751789">
                                  <w:marLeft w:val="0"/>
                                  <w:marRight w:val="0"/>
                                  <w:marTop w:val="0"/>
                                  <w:marBottom w:val="0"/>
                                  <w:divBdr>
                                    <w:top w:val="none" w:sz="0" w:space="0" w:color="auto"/>
                                    <w:left w:val="none" w:sz="0" w:space="0" w:color="auto"/>
                                    <w:bottom w:val="none" w:sz="0" w:space="0" w:color="auto"/>
                                    <w:right w:val="none" w:sz="0" w:space="0" w:color="auto"/>
                                  </w:divBdr>
                                  <w:divsChild>
                                    <w:div w:id="200751804">
                                      <w:marLeft w:val="0"/>
                                      <w:marRight w:val="0"/>
                                      <w:marTop w:val="0"/>
                                      <w:marBottom w:val="0"/>
                                      <w:divBdr>
                                        <w:top w:val="single" w:sz="6" w:space="0" w:color="F5F5F5"/>
                                        <w:left w:val="single" w:sz="6" w:space="0" w:color="F5F5F5"/>
                                        <w:bottom w:val="single" w:sz="6" w:space="0" w:color="F5F5F5"/>
                                        <w:right w:val="single" w:sz="6" w:space="0" w:color="F5F5F5"/>
                                      </w:divBdr>
                                      <w:divsChild>
                                        <w:div w:id="200751806">
                                          <w:marLeft w:val="0"/>
                                          <w:marRight w:val="0"/>
                                          <w:marTop w:val="0"/>
                                          <w:marBottom w:val="0"/>
                                          <w:divBdr>
                                            <w:top w:val="none" w:sz="0" w:space="0" w:color="auto"/>
                                            <w:left w:val="none" w:sz="0" w:space="0" w:color="auto"/>
                                            <w:bottom w:val="none" w:sz="0" w:space="0" w:color="auto"/>
                                            <w:right w:val="none" w:sz="0" w:space="0" w:color="auto"/>
                                          </w:divBdr>
                                          <w:divsChild>
                                            <w:div w:id="200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FEFD2-A4ED-44FE-8C2B-C2AA6346E617}"/>
</file>

<file path=customXml/itemProps2.xml><?xml version="1.0" encoding="utf-8"?>
<ds:datastoreItem xmlns:ds="http://schemas.openxmlformats.org/officeDocument/2006/customXml" ds:itemID="{561CFC72-5E2F-468F-92FE-F7E68BB4B318}"/>
</file>

<file path=customXml/itemProps3.xml><?xml version="1.0" encoding="utf-8"?>
<ds:datastoreItem xmlns:ds="http://schemas.openxmlformats.org/officeDocument/2006/customXml" ds:itemID="{1909C5DD-F321-4016-BD9F-97366BE87B33}"/>
</file>

<file path=docProps/app.xml><?xml version="1.0" encoding="utf-8"?>
<Properties xmlns="http://schemas.openxmlformats.org/officeDocument/2006/extended-properties" xmlns:vt="http://schemas.openxmlformats.org/officeDocument/2006/docPropsVTypes">
  <Template>Normal_Wordconv</Template>
  <TotalTime>1</TotalTime>
  <Pages>5</Pages>
  <Words>1341</Words>
  <Characters>7245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 Questionnaire</dc:title>
  <dc:subject/>
  <dc:creator>Admin</dc:creator>
  <cp:keywords/>
  <dc:description/>
  <cp:lastModifiedBy>eduardo.silva</cp:lastModifiedBy>
  <cp:revision>2</cp:revision>
  <cp:lastPrinted>2012-05-18T13:18:00Z</cp:lastPrinted>
  <dcterms:created xsi:type="dcterms:W3CDTF">2012-05-21T17:22:00Z</dcterms:created>
  <dcterms:modified xsi:type="dcterms:W3CDTF">2012-05-21T17:22:00Z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