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3" w:rsidRDefault="00A640AF" w:rsidP="00A640AF">
      <w:pPr>
        <w:jc w:val="center"/>
        <w:rPr>
          <w:rFonts w:ascii="Arial" w:hAnsi="Arial" w:cs="Arial"/>
          <w:b/>
          <w:sz w:val="28"/>
          <w:szCs w:val="28"/>
        </w:rPr>
      </w:pPr>
      <w:r w:rsidRPr="009811FC">
        <w:rPr>
          <w:rFonts w:ascii="Arial" w:hAnsi="Arial" w:cs="Arial"/>
          <w:b/>
          <w:sz w:val="28"/>
          <w:szCs w:val="28"/>
        </w:rPr>
        <w:t>REPONSE AU QUESTIONNAIRE SUR</w:t>
      </w:r>
    </w:p>
    <w:p w:rsidR="007347D5" w:rsidRDefault="00A640AF" w:rsidP="00A640AF">
      <w:pPr>
        <w:jc w:val="center"/>
        <w:rPr>
          <w:rFonts w:ascii="Arial" w:hAnsi="Arial" w:cs="Arial"/>
          <w:b/>
          <w:sz w:val="28"/>
          <w:szCs w:val="28"/>
        </w:rPr>
      </w:pPr>
      <w:r w:rsidRPr="009811FC">
        <w:rPr>
          <w:rFonts w:ascii="Arial" w:hAnsi="Arial" w:cs="Arial"/>
          <w:b/>
          <w:sz w:val="28"/>
          <w:szCs w:val="28"/>
        </w:rPr>
        <w:t xml:space="preserve"> </w:t>
      </w:r>
      <w:r w:rsidR="005A5EBF">
        <w:rPr>
          <w:rFonts w:ascii="Arial" w:hAnsi="Arial" w:cs="Arial"/>
          <w:b/>
          <w:sz w:val="28"/>
          <w:szCs w:val="28"/>
        </w:rPr>
        <w:t>« </w:t>
      </w:r>
      <w:r w:rsidRPr="009811FC">
        <w:rPr>
          <w:rFonts w:ascii="Arial" w:hAnsi="Arial" w:cs="Arial"/>
          <w:b/>
          <w:sz w:val="28"/>
          <w:szCs w:val="28"/>
        </w:rPr>
        <w:t>LES POLITIQUES DE FINANCEMENT DU LOGEMENT ET DES PROGRAMMES</w:t>
      </w:r>
      <w:r w:rsidR="005A5EBF">
        <w:rPr>
          <w:rFonts w:ascii="Arial" w:hAnsi="Arial" w:cs="Arial"/>
          <w:b/>
          <w:sz w:val="28"/>
          <w:szCs w:val="28"/>
        </w:rPr>
        <w:t> »</w:t>
      </w:r>
    </w:p>
    <w:p w:rsidR="004A0F49" w:rsidRPr="009811FC" w:rsidRDefault="004A0F49" w:rsidP="00A640AF">
      <w:pPr>
        <w:jc w:val="center"/>
        <w:rPr>
          <w:rFonts w:ascii="Arial" w:hAnsi="Arial" w:cs="Arial"/>
          <w:b/>
          <w:sz w:val="28"/>
          <w:szCs w:val="28"/>
        </w:rPr>
      </w:pPr>
    </w:p>
    <w:p w:rsidR="00E06A65" w:rsidRPr="00A452C7" w:rsidRDefault="00212837" w:rsidP="004A0F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1.</w:t>
      </w:r>
      <w:r w:rsidRPr="00A452C7">
        <w:rPr>
          <w:rFonts w:ascii="Arial" w:hAnsi="Arial" w:cs="Arial"/>
          <w:sz w:val="24"/>
          <w:szCs w:val="24"/>
        </w:rPr>
        <w:t xml:space="preserve"> </w:t>
      </w:r>
      <w:r w:rsidR="004A0F49" w:rsidRPr="00A452C7">
        <w:rPr>
          <w:rFonts w:ascii="Arial" w:hAnsi="Arial" w:cs="Arial"/>
          <w:sz w:val="24"/>
          <w:szCs w:val="24"/>
        </w:rPr>
        <w:t xml:space="preserve">Depuis </w:t>
      </w:r>
      <w:r w:rsidR="00E8245A" w:rsidRPr="00A452C7">
        <w:rPr>
          <w:rFonts w:ascii="Arial" w:hAnsi="Arial" w:cs="Arial"/>
          <w:sz w:val="24"/>
          <w:szCs w:val="24"/>
        </w:rPr>
        <w:t xml:space="preserve">quatre décennies après </w:t>
      </w:r>
      <w:r w:rsidR="004A0F49" w:rsidRPr="00A452C7">
        <w:rPr>
          <w:rFonts w:ascii="Arial" w:hAnsi="Arial" w:cs="Arial"/>
          <w:sz w:val="24"/>
          <w:szCs w:val="24"/>
        </w:rPr>
        <w:t xml:space="preserve">l’arrêt du financement public </w:t>
      </w:r>
      <w:r w:rsidR="00E8245A" w:rsidRPr="00A452C7">
        <w:rPr>
          <w:rFonts w:ascii="Arial" w:hAnsi="Arial" w:cs="Arial"/>
          <w:sz w:val="24"/>
          <w:szCs w:val="24"/>
        </w:rPr>
        <w:t xml:space="preserve">pour l’octroi de logements </w:t>
      </w:r>
      <w:r w:rsidR="004A0F49" w:rsidRPr="00A452C7">
        <w:rPr>
          <w:rFonts w:ascii="Arial" w:hAnsi="Arial" w:cs="Arial"/>
          <w:sz w:val="24"/>
          <w:szCs w:val="24"/>
        </w:rPr>
        <w:t xml:space="preserve">aux fonctionnaires et autres cadres de l’Etat </w:t>
      </w:r>
      <w:r w:rsidR="00E8245A" w:rsidRPr="00A452C7">
        <w:rPr>
          <w:rFonts w:ascii="Arial" w:hAnsi="Arial" w:cs="Arial"/>
          <w:sz w:val="24"/>
          <w:szCs w:val="24"/>
        </w:rPr>
        <w:t>dans les années 70</w:t>
      </w:r>
      <w:r w:rsidR="004A0F49" w:rsidRPr="00A452C7">
        <w:rPr>
          <w:rFonts w:ascii="Arial" w:hAnsi="Arial" w:cs="Arial"/>
          <w:sz w:val="24"/>
          <w:szCs w:val="24"/>
        </w:rPr>
        <w:t>, et du financement de la CCCE (Caisse Centrale de Coopération Economique, r</w:t>
      </w:r>
      <w:r w:rsidR="00E06A65" w:rsidRPr="00A452C7">
        <w:rPr>
          <w:rFonts w:ascii="Arial" w:hAnsi="Arial" w:cs="Arial"/>
          <w:sz w:val="24"/>
          <w:szCs w:val="24"/>
        </w:rPr>
        <w:t xml:space="preserve">emplacée par l’AFD), il n’existait </w:t>
      </w:r>
      <w:r w:rsidR="004A0F49" w:rsidRPr="00A452C7">
        <w:rPr>
          <w:rFonts w:ascii="Arial" w:hAnsi="Arial" w:cs="Arial"/>
          <w:sz w:val="24"/>
          <w:szCs w:val="24"/>
        </w:rPr>
        <w:t xml:space="preserve">plus </w:t>
      </w:r>
      <w:r w:rsidR="00E06A65" w:rsidRPr="00A452C7">
        <w:rPr>
          <w:rFonts w:ascii="Arial" w:hAnsi="Arial" w:cs="Arial"/>
          <w:sz w:val="24"/>
          <w:szCs w:val="24"/>
        </w:rPr>
        <w:t>de Politique Nationale de l</w:t>
      </w:r>
      <w:r w:rsidR="00B02161" w:rsidRPr="00A452C7">
        <w:rPr>
          <w:rFonts w:ascii="Arial" w:hAnsi="Arial" w:cs="Arial"/>
          <w:sz w:val="24"/>
          <w:szCs w:val="24"/>
        </w:rPr>
        <w:t>’Habitat</w:t>
      </w:r>
      <w:r w:rsidR="00E06A65" w:rsidRPr="00A452C7">
        <w:rPr>
          <w:rFonts w:ascii="Arial" w:hAnsi="Arial" w:cs="Arial"/>
          <w:sz w:val="24"/>
          <w:szCs w:val="24"/>
        </w:rPr>
        <w:t xml:space="preserve"> ni de</w:t>
      </w:r>
      <w:r w:rsidR="004A0F49" w:rsidRPr="00A452C7">
        <w:rPr>
          <w:rFonts w:ascii="Arial" w:hAnsi="Arial" w:cs="Arial"/>
          <w:sz w:val="24"/>
          <w:szCs w:val="24"/>
        </w:rPr>
        <w:t xml:space="preserve"> financement public </w:t>
      </w:r>
      <w:r w:rsidR="00E06A65" w:rsidRPr="00A452C7">
        <w:rPr>
          <w:rFonts w:ascii="Arial" w:hAnsi="Arial" w:cs="Arial"/>
          <w:sz w:val="24"/>
          <w:szCs w:val="24"/>
        </w:rPr>
        <w:t xml:space="preserve">interne ou </w:t>
      </w:r>
      <w:r w:rsidR="004A0F49" w:rsidRPr="00A452C7">
        <w:rPr>
          <w:rFonts w:ascii="Arial" w:hAnsi="Arial" w:cs="Arial"/>
          <w:sz w:val="24"/>
          <w:szCs w:val="24"/>
        </w:rPr>
        <w:t>ext</w:t>
      </w:r>
      <w:r w:rsidR="00E06A65" w:rsidRPr="00A452C7">
        <w:rPr>
          <w:rFonts w:ascii="Arial" w:hAnsi="Arial" w:cs="Arial"/>
          <w:sz w:val="24"/>
          <w:szCs w:val="24"/>
        </w:rPr>
        <w:t>erne</w:t>
      </w:r>
      <w:r w:rsidR="004A0F49" w:rsidRPr="00A452C7">
        <w:rPr>
          <w:rFonts w:ascii="Arial" w:hAnsi="Arial" w:cs="Arial"/>
          <w:sz w:val="24"/>
          <w:szCs w:val="24"/>
        </w:rPr>
        <w:t xml:space="preserve"> destiné au secteur de l’habitat.</w:t>
      </w:r>
      <w:r w:rsidR="004A0F49" w:rsidRPr="00A452C7">
        <w:rPr>
          <w:rFonts w:ascii="AvantGardeITCbyBT-Book" w:hAnsi="AvantGardeITCbyBT-Book" w:cs="AvantGardeITCbyBT-Book"/>
          <w:sz w:val="24"/>
          <w:szCs w:val="24"/>
        </w:rPr>
        <w:t xml:space="preserve"> </w:t>
      </w:r>
      <w:r w:rsidR="004A0F49" w:rsidRPr="00A452C7">
        <w:rPr>
          <w:rFonts w:ascii="Arial" w:hAnsi="Arial" w:cs="Arial"/>
          <w:sz w:val="24"/>
          <w:szCs w:val="24"/>
        </w:rPr>
        <w:t>L</w:t>
      </w:r>
      <w:r w:rsidR="00B02161" w:rsidRPr="00A452C7">
        <w:rPr>
          <w:rFonts w:ascii="Arial" w:hAnsi="Arial" w:cs="Arial"/>
          <w:sz w:val="24"/>
          <w:szCs w:val="24"/>
        </w:rPr>
        <w:t>e financement du logement reposait</w:t>
      </w:r>
      <w:r w:rsidR="004A0F49" w:rsidRPr="00A452C7">
        <w:rPr>
          <w:rFonts w:ascii="Arial" w:hAnsi="Arial" w:cs="Arial"/>
          <w:sz w:val="24"/>
          <w:szCs w:val="24"/>
        </w:rPr>
        <w:t xml:space="preserve"> entièrement sur le secteur privé dont les ressources </w:t>
      </w:r>
      <w:r w:rsidR="000A6A51" w:rsidRPr="00A452C7">
        <w:rPr>
          <w:rFonts w:ascii="Arial" w:hAnsi="Arial" w:cs="Arial"/>
          <w:sz w:val="24"/>
          <w:szCs w:val="24"/>
        </w:rPr>
        <w:t xml:space="preserve">limitées </w:t>
      </w:r>
      <w:r w:rsidR="00B11F73" w:rsidRPr="00A452C7">
        <w:rPr>
          <w:rFonts w:ascii="Arial" w:hAnsi="Arial" w:cs="Arial"/>
          <w:sz w:val="24"/>
          <w:szCs w:val="24"/>
        </w:rPr>
        <w:t>provenaient</w:t>
      </w:r>
      <w:r w:rsidR="004A0F49" w:rsidRPr="00A452C7">
        <w:rPr>
          <w:rFonts w:ascii="Arial" w:hAnsi="Arial" w:cs="Arial"/>
          <w:sz w:val="24"/>
          <w:szCs w:val="24"/>
        </w:rPr>
        <w:t xml:space="preserve"> essentiellement de l’épargne intérieure (des particuliers, des entreprises et des institutionnels) et du secteur bancaire.</w:t>
      </w:r>
    </w:p>
    <w:p w:rsidR="000A6A51" w:rsidRPr="00A452C7" w:rsidRDefault="000A6A51" w:rsidP="004A0F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6A51" w:rsidRPr="00A452C7" w:rsidRDefault="00E06A65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Malgré ces conditions rédhibitoires</w:t>
      </w:r>
      <w:r w:rsidR="000A6A51" w:rsidRPr="00A452C7">
        <w:rPr>
          <w:rFonts w:ascii="Arial" w:hAnsi="Arial" w:cs="Arial"/>
          <w:sz w:val="24"/>
          <w:szCs w:val="24"/>
        </w:rPr>
        <w:t xml:space="preserve"> pour l’accès au logement et le contexte politico-diplomatique</w:t>
      </w:r>
      <w:r w:rsidRPr="00A452C7">
        <w:rPr>
          <w:rFonts w:ascii="Arial" w:hAnsi="Arial" w:cs="Arial"/>
          <w:sz w:val="24"/>
          <w:szCs w:val="24"/>
        </w:rPr>
        <w:t xml:space="preserve">, </w:t>
      </w:r>
      <w:r w:rsidR="001C5B3F" w:rsidRPr="00A452C7">
        <w:rPr>
          <w:rFonts w:ascii="Arial" w:hAnsi="Arial" w:cs="Arial"/>
          <w:sz w:val="24"/>
          <w:szCs w:val="24"/>
        </w:rPr>
        <w:t>l’Etat M</w:t>
      </w:r>
      <w:r w:rsidR="00B02161" w:rsidRPr="00A452C7">
        <w:rPr>
          <w:rFonts w:ascii="Arial" w:hAnsi="Arial" w:cs="Arial"/>
          <w:sz w:val="24"/>
          <w:szCs w:val="24"/>
        </w:rPr>
        <w:t>al</w:t>
      </w:r>
      <w:r w:rsidR="001C5B3F" w:rsidRPr="00A452C7">
        <w:rPr>
          <w:rFonts w:ascii="Arial" w:hAnsi="Arial" w:cs="Arial"/>
          <w:sz w:val="24"/>
          <w:szCs w:val="24"/>
        </w:rPr>
        <w:t>a</w:t>
      </w:r>
      <w:r w:rsidR="00B02161" w:rsidRPr="00A452C7">
        <w:rPr>
          <w:rFonts w:ascii="Arial" w:hAnsi="Arial" w:cs="Arial"/>
          <w:sz w:val="24"/>
          <w:szCs w:val="24"/>
        </w:rPr>
        <w:t>ga</w:t>
      </w:r>
      <w:r w:rsidR="001C5B3F" w:rsidRPr="00A452C7">
        <w:rPr>
          <w:rFonts w:ascii="Arial" w:hAnsi="Arial" w:cs="Arial"/>
          <w:sz w:val="24"/>
          <w:szCs w:val="24"/>
        </w:rPr>
        <w:t>sy</w:t>
      </w:r>
      <w:r w:rsidR="004A0F49" w:rsidRPr="00A452C7">
        <w:rPr>
          <w:rFonts w:ascii="Arial" w:hAnsi="Arial" w:cs="Arial"/>
          <w:sz w:val="24"/>
          <w:szCs w:val="24"/>
        </w:rPr>
        <w:t xml:space="preserve"> </w:t>
      </w:r>
      <w:r w:rsidR="00AA54A2" w:rsidRPr="00A452C7">
        <w:rPr>
          <w:rFonts w:ascii="Arial" w:hAnsi="Arial" w:cs="Arial"/>
          <w:sz w:val="24"/>
          <w:szCs w:val="24"/>
        </w:rPr>
        <w:t>veut relancer le programme de construction</w:t>
      </w:r>
      <w:r w:rsidR="00CC6CF3" w:rsidRPr="00A452C7">
        <w:rPr>
          <w:rFonts w:ascii="Arial" w:hAnsi="Arial" w:cs="Arial"/>
          <w:sz w:val="24"/>
          <w:szCs w:val="24"/>
        </w:rPr>
        <w:t xml:space="preserve"> de logements pour toutes les catégories de ménage, notamment pour les couches modestes</w:t>
      </w:r>
      <w:r w:rsidR="00B11F73" w:rsidRPr="00A452C7">
        <w:rPr>
          <w:rFonts w:ascii="Arial" w:hAnsi="Arial" w:cs="Arial"/>
          <w:sz w:val="24"/>
          <w:szCs w:val="24"/>
        </w:rPr>
        <w:t xml:space="preserve"> et ce par le peu de </w:t>
      </w:r>
      <w:r w:rsidR="000A6A51" w:rsidRPr="00A452C7">
        <w:rPr>
          <w:rFonts w:ascii="Arial" w:hAnsi="Arial" w:cs="Arial"/>
          <w:sz w:val="24"/>
          <w:szCs w:val="24"/>
        </w:rPr>
        <w:t>moyens à sa disposition</w:t>
      </w:r>
      <w:r w:rsidR="00AA54A2" w:rsidRPr="00A452C7">
        <w:rPr>
          <w:rFonts w:ascii="Arial" w:hAnsi="Arial" w:cs="Arial"/>
          <w:sz w:val="24"/>
          <w:szCs w:val="24"/>
        </w:rPr>
        <w:t>.</w:t>
      </w:r>
    </w:p>
    <w:p w:rsidR="00AA54A2" w:rsidRPr="00A452C7" w:rsidRDefault="00AA54A2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 xml:space="preserve"> </w:t>
      </w:r>
    </w:p>
    <w:p w:rsidR="00CC6CF3" w:rsidRPr="00A452C7" w:rsidRDefault="000A6A51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En effet, l</w:t>
      </w:r>
      <w:r w:rsidR="00CC6CF3" w:rsidRPr="00A452C7">
        <w:rPr>
          <w:rFonts w:ascii="Arial" w:hAnsi="Arial" w:cs="Arial"/>
          <w:sz w:val="24"/>
          <w:szCs w:val="24"/>
        </w:rPr>
        <w:t>’adoption de la Politique Nationale de l’Habitat</w:t>
      </w:r>
      <w:r w:rsidRPr="00A452C7">
        <w:rPr>
          <w:rFonts w:ascii="Arial" w:hAnsi="Arial" w:cs="Arial"/>
          <w:sz w:val="24"/>
          <w:szCs w:val="24"/>
        </w:rPr>
        <w:t xml:space="preserve"> en 2006</w:t>
      </w:r>
      <w:r w:rsidR="00CC6CF3" w:rsidRPr="00A452C7">
        <w:rPr>
          <w:rFonts w:ascii="Arial" w:hAnsi="Arial" w:cs="Arial"/>
          <w:sz w:val="24"/>
          <w:szCs w:val="24"/>
        </w:rPr>
        <w:t>,</w:t>
      </w:r>
      <w:r w:rsidRPr="00A452C7">
        <w:rPr>
          <w:rFonts w:ascii="Arial" w:hAnsi="Arial" w:cs="Arial"/>
          <w:sz w:val="24"/>
          <w:szCs w:val="24"/>
        </w:rPr>
        <w:t xml:space="preserve"> a mis en exergue</w:t>
      </w:r>
      <w:r w:rsidR="00CC6CF3" w:rsidRPr="00A452C7">
        <w:rPr>
          <w:rFonts w:ascii="Arial" w:hAnsi="Arial" w:cs="Arial"/>
          <w:sz w:val="24"/>
          <w:szCs w:val="24"/>
        </w:rPr>
        <w:t xml:space="preserve"> la promotion du log</w:t>
      </w:r>
      <w:r w:rsidRPr="00A452C7">
        <w:rPr>
          <w:rFonts w:ascii="Arial" w:hAnsi="Arial" w:cs="Arial"/>
          <w:sz w:val="24"/>
          <w:szCs w:val="24"/>
        </w:rPr>
        <w:t>ement social</w:t>
      </w:r>
      <w:r w:rsidR="00B11F73" w:rsidRPr="00A452C7">
        <w:rPr>
          <w:rFonts w:ascii="Arial" w:hAnsi="Arial" w:cs="Arial"/>
          <w:sz w:val="24"/>
          <w:szCs w:val="24"/>
        </w:rPr>
        <w:t xml:space="preserve"> et l’accès au logement </w:t>
      </w:r>
      <w:r w:rsidR="008F7F57" w:rsidRPr="00A452C7">
        <w:rPr>
          <w:rFonts w:ascii="Arial" w:hAnsi="Arial" w:cs="Arial"/>
          <w:sz w:val="24"/>
          <w:szCs w:val="24"/>
        </w:rPr>
        <w:t>pour</w:t>
      </w:r>
      <w:r w:rsidR="000B565F" w:rsidRPr="00A452C7">
        <w:rPr>
          <w:rFonts w:ascii="Arial" w:hAnsi="Arial" w:cs="Arial"/>
          <w:sz w:val="24"/>
          <w:szCs w:val="24"/>
        </w:rPr>
        <w:t xml:space="preserve"> l’ensemble </w:t>
      </w:r>
      <w:r w:rsidR="00B11F73" w:rsidRPr="00A452C7">
        <w:rPr>
          <w:rFonts w:ascii="Arial" w:hAnsi="Arial" w:cs="Arial"/>
          <w:sz w:val="24"/>
          <w:szCs w:val="24"/>
        </w:rPr>
        <w:t>de la population</w:t>
      </w:r>
      <w:r w:rsidR="00CC6CF3" w:rsidRPr="00A452C7">
        <w:rPr>
          <w:rFonts w:ascii="Arial" w:hAnsi="Arial" w:cs="Arial"/>
          <w:sz w:val="24"/>
          <w:szCs w:val="24"/>
        </w:rPr>
        <w:t xml:space="preserve"> à travers différentes stratégies telles que l’aménagement foncier urbain et la mobilisation de ressources financières, publiques et/ou issues d’un Partenariat Public Privé.</w:t>
      </w:r>
    </w:p>
    <w:p w:rsidR="00237ABC" w:rsidRPr="00A452C7" w:rsidRDefault="00237ABC" w:rsidP="00137A29">
      <w:pPr>
        <w:jc w:val="both"/>
        <w:rPr>
          <w:rFonts w:ascii="Arial" w:hAnsi="Arial" w:cs="Arial"/>
          <w:sz w:val="24"/>
          <w:szCs w:val="24"/>
        </w:rPr>
      </w:pPr>
    </w:p>
    <w:p w:rsidR="000A6A51" w:rsidRPr="00A452C7" w:rsidRDefault="00237ABC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 xml:space="preserve">Pour ce faire, des réserves foncières sont affectées au logement dans les différentes grandes villes </w:t>
      </w:r>
      <w:r w:rsidR="008F7F57" w:rsidRPr="00A452C7">
        <w:rPr>
          <w:rFonts w:ascii="Arial" w:hAnsi="Arial" w:cs="Arial"/>
          <w:sz w:val="24"/>
          <w:szCs w:val="24"/>
        </w:rPr>
        <w:t xml:space="preserve">en </w:t>
      </w:r>
      <w:r w:rsidRPr="00A452C7">
        <w:rPr>
          <w:rFonts w:ascii="Arial" w:hAnsi="Arial" w:cs="Arial"/>
          <w:sz w:val="24"/>
          <w:szCs w:val="24"/>
        </w:rPr>
        <w:t>se basant sur le</w:t>
      </w:r>
      <w:r w:rsidR="00B02161" w:rsidRPr="00A452C7">
        <w:rPr>
          <w:rFonts w:ascii="Arial" w:hAnsi="Arial" w:cs="Arial"/>
          <w:sz w:val="24"/>
          <w:szCs w:val="24"/>
        </w:rPr>
        <w:t xml:space="preserve"> P</w:t>
      </w:r>
      <w:r w:rsidRPr="00A452C7">
        <w:rPr>
          <w:rFonts w:ascii="Arial" w:hAnsi="Arial" w:cs="Arial"/>
          <w:sz w:val="24"/>
          <w:szCs w:val="24"/>
        </w:rPr>
        <w:t>lan d’Urbanisme Directeur de celles-ci</w:t>
      </w:r>
      <w:r w:rsidR="00B02161" w:rsidRPr="00A452C7">
        <w:rPr>
          <w:rFonts w:ascii="Arial" w:hAnsi="Arial" w:cs="Arial"/>
          <w:sz w:val="24"/>
          <w:szCs w:val="24"/>
        </w:rPr>
        <w:t>;</w:t>
      </w:r>
      <w:r w:rsidR="00B11F73" w:rsidRPr="00A452C7">
        <w:rPr>
          <w:rFonts w:ascii="Arial" w:hAnsi="Arial" w:cs="Arial"/>
          <w:sz w:val="24"/>
          <w:szCs w:val="24"/>
        </w:rPr>
        <w:t xml:space="preserve"> </w:t>
      </w:r>
      <w:r w:rsidR="00B02161" w:rsidRPr="00A452C7">
        <w:rPr>
          <w:rFonts w:ascii="Arial" w:hAnsi="Arial" w:cs="Arial"/>
          <w:sz w:val="24"/>
          <w:szCs w:val="24"/>
        </w:rPr>
        <w:t>de</w:t>
      </w:r>
      <w:r w:rsidR="00B11F73" w:rsidRPr="00A452C7">
        <w:rPr>
          <w:rFonts w:ascii="Arial" w:hAnsi="Arial" w:cs="Arial"/>
          <w:sz w:val="24"/>
          <w:szCs w:val="24"/>
        </w:rPr>
        <w:t>s</w:t>
      </w:r>
      <w:r w:rsidR="00B02161" w:rsidRPr="00A452C7">
        <w:rPr>
          <w:rFonts w:ascii="Arial" w:hAnsi="Arial" w:cs="Arial"/>
          <w:sz w:val="24"/>
          <w:szCs w:val="24"/>
        </w:rPr>
        <w:t xml:space="preserve"> mécanisme</w:t>
      </w:r>
      <w:r w:rsidR="00B11F73" w:rsidRPr="00A452C7">
        <w:rPr>
          <w:rFonts w:ascii="Arial" w:hAnsi="Arial" w:cs="Arial"/>
          <w:sz w:val="24"/>
          <w:szCs w:val="24"/>
        </w:rPr>
        <w:t>s</w:t>
      </w:r>
      <w:r w:rsidR="00B02161" w:rsidRPr="00A452C7">
        <w:rPr>
          <w:rFonts w:ascii="Arial" w:hAnsi="Arial" w:cs="Arial"/>
          <w:sz w:val="24"/>
          <w:szCs w:val="24"/>
        </w:rPr>
        <w:t xml:space="preserve"> de financement et d</w:t>
      </w:r>
      <w:r w:rsidR="008B1B14" w:rsidRPr="00A452C7">
        <w:rPr>
          <w:rFonts w:ascii="Arial" w:hAnsi="Arial" w:cs="Arial"/>
          <w:sz w:val="24"/>
          <w:szCs w:val="24"/>
        </w:rPr>
        <w:t xml:space="preserve">es </w:t>
      </w:r>
      <w:r w:rsidR="00B02161" w:rsidRPr="00A452C7">
        <w:rPr>
          <w:rFonts w:ascii="Arial" w:hAnsi="Arial" w:cs="Arial"/>
          <w:sz w:val="24"/>
          <w:szCs w:val="24"/>
        </w:rPr>
        <w:t>outils financiers</w:t>
      </w:r>
      <w:r w:rsidR="00B11F73" w:rsidRPr="00A452C7">
        <w:rPr>
          <w:rFonts w:ascii="Arial" w:hAnsi="Arial" w:cs="Arial"/>
          <w:sz w:val="24"/>
          <w:szCs w:val="24"/>
        </w:rPr>
        <w:t xml:space="preserve"> sont mis en place; </w:t>
      </w:r>
      <w:r w:rsidR="008F7F57" w:rsidRPr="00A452C7">
        <w:rPr>
          <w:rFonts w:ascii="Arial" w:hAnsi="Arial" w:cs="Arial"/>
          <w:sz w:val="24"/>
          <w:szCs w:val="24"/>
        </w:rPr>
        <w:t>des partenariats sont entre</w:t>
      </w:r>
      <w:r w:rsidR="006D36F2" w:rsidRPr="00A452C7">
        <w:rPr>
          <w:rFonts w:ascii="Arial" w:hAnsi="Arial" w:cs="Arial"/>
          <w:sz w:val="24"/>
          <w:szCs w:val="24"/>
        </w:rPr>
        <w:t>pris avec les universités et</w:t>
      </w:r>
      <w:r w:rsidR="008F7F57" w:rsidRPr="00A452C7">
        <w:rPr>
          <w:rFonts w:ascii="Arial" w:hAnsi="Arial" w:cs="Arial"/>
          <w:sz w:val="24"/>
          <w:szCs w:val="24"/>
        </w:rPr>
        <w:t xml:space="preserve"> instituts de recherche pour la promotion de</w:t>
      </w:r>
      <w:r w:rsidR="008E366A" w:rsidRPr="00A452C7">
        <w:rPr>
          <w:rFonts w:ascii="Arial" w:hAnsi="Arial" w:cs="Arial"/>
          <w:sz w:val="24"/>
          <w:szCs w:val="24"/>
        </w:rPr>
        <w:t xml:space="preserve"> logement écologique et durable</w:t>
      </w:r>
      <w:r w:rsidR="008F7F57" w:rsidRPr="00A452C7">
        <w:rPr>
          <w:rFonts w:ascii="Arial" w:hAnsi="Arial" w:cs="Arial"/>
          <w:sz w:val="24"/>
          <w:szCs w:val="24"/>
        </w:rPr>
        <w:t xml:space="preserve"> </w:t>
      </w:r>
      <w:r w:rsidR="008E366A" w:rsidRPr="00A452C7">
        <w:rPr>
          <w:rFonts w:ascii="Arial" w:hAnsi="Arial" w:cs="Arial"/>
          <w:sz w:val="24"/>
          <w:szCs w:val="24"/>
        </w:rPr>
        <w:t xml:space="preserve">avec emploi de </w:t>
      </w:r>
      <w:r w:rsidR="008F7F57" w:rsidRPr="00A452C7">
        <w:rPr>
          <w:rFonts w:ascii="Arial" w:hAnsi="Arial" w:cs="Arial"/>
          <w:sz w:val="24"/>
          <w:szCs w:val="24"/>
        </w:rPr>
        <w:t xml:space="preserve">matériaux locaux </w:t>
      </w:r>
      <w:r w:rsidR="008E366A" w:rsidRPr="00A452C7">
        <w:rPr>
          <w:rFonts w:ascii="Arial" w:hAnsi="Arial" w:cs="Arial"/>
          <w:sz w:val="24"/>
          <w:szCs w:val="24"/>
        </w:rPr>
        <w:t xml:space="preserve">afin de minimiser le coût; </w:t>
      </w:r>
      <w:r w:rsidR="008F7F57" w:rsidRPr="00A452C7">
        <w:rPr>
          <w:rFonts w:ascii="Arial" w:hAnsi="Arial" w:cs="Arial"/>
          <w:sz w:val="24"/>
          <w:szCs w:val="24"/>
        </w:rPr>
        <w:t xml:space="preserve"> </w:t>
      </w:r>
      <w:r w:rsidR="00DE756A" w:rsidRPr="00A452C7">
        <w:rPr>
          <w:rFonts w:ascii="Arial" w:hAnsi="Arial" w:cs="Arial"/>
          <w:sz w:val="24"/>
          <w:szCs w:val="24"/>
        </w:rPr>
        <w:t>des réformes institutionnelles sont entreprises par la création d’une agence du logement et de l’habitat</w:t>
      </w:r>
      <w:r w:rsidR="002F580D" w:rsidRPr="00A452C7">
        <w:rPr>
          <w:rFonts w:ascii="Arial" w:hAnsi="Arial" w:cs="Arial"/>
          <w:sz w:val="24"/>
          <w:szCs w:val="24"/>
        </w:rPr>
        <w:t>.</w:t>
      </w:r>
    </w:p>
    <w:p w:rsidR="00F31879" w:rsidRPr="00A452C7" w:rsidRDefault="00F31879" w:rsidP="00137A29">
      <w:pPr>
        <w:jc w:val="both"/>
        <w:rPr>
          <w:rFonts w:ascii="Arial" w:hAnsi="Arial" w:cs="Arial"/>
          <w:sz w:val="24"/>
          <w:szCs w:val="24"/>
        </w:rPr>
      </w:pPr>
    </w:p>
    <w:p w:rsidR="002F580D" w:rsidRPr="00A452C7" w:rsidRDefault="003B272A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Par ailleurs</w:t>
      </w:r>
      <w:r w:rsidR="002F580D" w:rsidRPr="00A452C7">
        <w:rPr>
          <w:rFonts w:ascii="Arial" w:hAnsi="Arial" w:cs="Arial"/>
          <w:sz w:val="24"/>
          <w:szCs w:val="24"/>
        </w:rPr>
        <w:t>, avec l’effort de la mise en œuvre de la Politique Nationale de l’Habitat par le gouvernement</w:t>
      </w:r>
      <w:r w:rsidRPr="00A452C7">
        <w:rPr>
          <w:rFonts w:ascii="Arial" w:hAnsi="Arial" w:cs="Arial"/>
          <w:sz w:val="24"/>
          <w:szCs w:val="24"/>
        </w:rPr>
        <w:t>, elle n’a pas eu d’impact conséquent sur l’amélioration de l’habitat et du logement des plus nécessiteux. C’est pourquoi, il s’avère nécessaire d’établir une</w:t>
      </w:r>
      <w:r w:rsidR="00F31879" w:rsidRPr="00A452C7">
        <w:rPr>
          <w:rFonts w:ascii="Arial" w:hAnsi="Arial" w:cs="Arial"/>
          <w:sz w:val="24"/>
          <w:szCs w:val="24"/>
        </w:rPr>
        <w:t xml:space="preserve"> Politique du Logement, afin d’apporter une réponse aux attentes de la population y compris les acteurs publics, territoriaux, privés et sociaux.</w:t>
      </w:r>
    </w:p>
    <w:p w:rsidR="001F3B7F" w:rsidRPr="00A452C7" w:rsidRDefault="001F3B7F" w:rsidP="00137A29">
      <w:pPr>
        <w:jc w:val="both"/>
        <w:rPr>
          <w:rFonts w:ascii="Arial" w:hAnsi="Arial" w:cs="Arial"/>
          <w:sz w:val="24"/>
          <w:szCs w:val="24"/>
        </w:rPr>
      </w:pPr>
    </w:p>
    <w:p w:rsidR="00212837" w:rsidRPr="00A452C7" w:rsidRDefault="00212837" w:rsidP="0021283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Avec le projet « </w:t>
      </w:r>
      <w:proofErr w:type="spellStart"/>
      <w:r w:rsidRPr="00A452C7">
        <w:rPr>
          <w:rFonts w:ascii="Arial" w:hAnsi="Arial" w:cs="Arial"/>
          <w:sz w:val="24"/>
          <w:szCs w:val="24"/>
        </w:rPr>
        <w:t>Trano</w:t>
      </w:r>
      <w:proofErr w:type="spellEnd"/>
      <w:r w:rsidRPr="00A452C7">
        <w:rPr>
          <w:rFonts w:ascii="Arial" w:hAnsi="Arial" w:cs="Arial"/>
          <w:sz w:val="24"/>
          <w:szCs w:val="24"/>
        </w:rPr>
        <w:t xml:space="preserve"> Mora » ou </w:t>
      </w:r>
      <w:r w:rsidR="00057C76" w:rsidRPr="00A452C7">
        <w:rPr>
          <w:rFonts w:ascii="Arial" w:hAnsi="Arial" w:cs="Arial"/>
          <w:sz w:val="24"/>
          <w:szCs w:val="24"/>
        </w:rPr>
        <w:t>« </w:t>
      </w:r>
      <w:r w:rsidRPr="00A452C7">
        <w:rPr>
          <w:rFonts w:ascii="Arial" w:hAnsi="Arial" w:cs="Arial"/>
          <w:sz w:val="24"/>
          <w:szCs w:val="24"/>
        </w:rPr>
        <w:t>logement</w:t>
      </w:r>
      <w:r w:rsidR="00F441F8" w:rsidRPr="00A452C7">
        <w:rPr>
          <w:rFonts w:ascii="Arial" w:hAnsi="Arial" w:cs="Arial"/>
          <w:sz w:val="24"/>
          <w:szCs w:val="24"/>
        </w:rPr>
        <w:t xml:space="preserve">s </w:t>
      </w:r>
      <w:r w:rsidRPr="00A452C7">
        <w:rPr>
          <w:rFonts w:ascii="Arial" w:hAnsi="Arial" w:cs="Arial"/>
          <w:sz w:val="24"/>
          <w:szCs w:val="24"/>
        </w:rPr>
        <w:t>à moindre coût</w:t>
      </w:r>
      <w:r w:rsidR="00057C76" w:rsidRPr="00A452C7">
        <w:rPr>
          <w:rFonts w:ascii="Arial" w:hAnsi="Arial" w:cs="Arial"/>
          <w:sz w:val="24"/>
          <w:szCs w:val="24"/>
        </w:rPr>
        <w:t> », programme de construction de logements avec accession à la propriété des ménages à faibles ou moyens revenus; l’intervention directe de l’Etat s’est faite par le biais de leur financement</w:t>
      </w:r>
      <w:r w:rsidR="00F950E2" w:rsidRPr="00A452C7">
        <w:rPr>
          <w:rFonts w:ascii="Arial" w:hAnsi="Arial" w:cs="Arial"/>
          <w:sz w:val="24"/>
          <w:szCs w:val="24"/>
        </w:rPr>
        <w:t xml:space="preserve"> sur fonds propre du pouvoir public.</w:t>
      </w:r>
    </w:p>
    <w:p w:rsidR="001F3B7F" w:rsidRPr="00A452C7" w:rsidRDefault="001F3B7F" w:rsidP="001F3B7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F25F80" w:rsidRPr="00A452C7" w:rsidRDefault="008838CD" w:rsidP="0021283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 xml:space="preserve">A travers ce programme, l’Etat Malagasy a invité la participation des professionnels du secteur notamment les institutions financières locales pour garantir sa pérennisation. Ils ont été sollicités à contribuer à la facilitation des crédits, à réfléchir sur leur participation au financement de l’acquisition du logement social. </w:t>
      </w:r>
      <w:r w:rsidR="00F25F80" w:rsidRPr="00A452C7">
        <w:rPr>
          <w:rFonts w:ascii="Arial" w:hAnsi="Arial" w:cs="Arial"/>
          <w:sz w:val="24"/>
          <w:szCs w:val="24"/>
        </w:rPr>
        <w:t>Le logement étant un secteur clé de la relance économique.</w:t>
      </w:r>
    </w:p>
    <w:p w:rsidR="001F3B7F" w:rsidRPr="00A452C7" w:rsidRDefault="001F3B7F" w:rsidP="001F3B7F">
      <w:pPr>
        <w:pStyle w:val="Paragraphedeliste"/>
        <w:rPr>
          <w:rFonts w:ascii="Arial" w:hAnsi="Arial" w:cs="Arial"/>
          <w:sz w:val="24"/>
          <w:szCs w:val="24"/>
        </w:rPr>
      </w:pPr>
    </w:p>
    <w:p w:rsidR="001F3B7F" w:rsidRPr="00A452C7" w:rsidRDefault="001F3B7F" w:rsidP="001F3B7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D40E74" w:rsidRPr="00A452C7" w:rsidRDefault="00AB7A02" w:rsidP="0021283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lastRenderedPageBreak/>
        <w:t>Ce</w:t>
      </w:r>
      <w:r w:rsidR="00C00EB7">
        <w:rPr>
          <w:rFonts w:ascii="Arial" w:hAnsi="Arial" w:cs="Arial"/>
          <w:sz w:val="24"/>
          <w:szCs w:val="24"/>
        </w:rPr>
        <w:t xml:space="preserve"> programme a été mis</w:t>
      </w:r>
      <w:r w:rsidR="00D40E74" w:rsidRPr="00A452C7">
        <w:rPr>
          <w:rFonts w:ascii="Arial" w:hAnsi="Arial" w:cs="Arial"/>
          <w:sz w:val="24"/>
          <w:szCs w:val="24"/>
        </w:rPr>
        <w:t xml:space="preserve"> en œuvre depuis fin 2010 et couvre l’ensemble des six provinces de Madagascar.</w:t>
      </w:r>
    </w:p>
    <w:p w:rsidR="001F3B7F" w:rsidRPr="00A452C7" w:rsidRDefault="001F3B7F" w:rsidP="001F3B7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F950E2" w:rsidRPr="00A452C7" w:rsidRDefault="009811FC" w:rsidP="0021283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Les gouvernements successifs depuis les évènements de 1972 ont essayé de solutionner le problème du logement par l’instauration de divers programmes</w:t>
      </w:r>
      <w:r w:rsidR="004A6DD1" w:rsidRPr="00A452C7">
        <w:rPr>
          <w:rFonts w:ascii="Arial" w:hAnsi="Arial" w:cs="Arial"/>
          <w:sz w:val="24"/>
          <w:szCs w:val="24"/>
        </w:rPr>
        <w:t>. Ceux-ci</w:t>
      </w:r>
      <w:r w:rsidRPr="00A452C7">
        <w:rPr>
          <w:rFonts w:ascii="Arial" w:hAnsi="Arial" w:cs="Arial"/>
          <w:sz w:val="24"/>
          <w:szCs w:val="24"/>
        </w:rPr>
        <w:t xml:space="preserve"> s’avéraient être dépassés par la croissance démographique et les problèmes récurrents à l’évolution d’une société confrontée à des crises socio-politico-économiques cycliques</w:t>
      </w:r>
      <w:r w:rsidR="004A6DD1" w:rsidRPr="00A452C7">
        <w:rPr>
          <w:rFonts w:ascii="Arial" w:hAnsi="Arial" w:cs="Arial"/>
          <w:sz w:val="24"/>
          <w:szCs w:val="24"/>
        </w:rPr>
        <w:t>,</w:t>
      </w:r>
      <w:r w:rsidR="00197100" w:rsidRPr="00A452C7">
        <w:rPr>
          <w:rFonts w:ascii="Arial" w:hAnsi="Arial" w:cs="Arial"/>
          <w:sz w:val="24"/>
          <w:szCs w:val="24"/>
        </w:rPr>
        <w:t xml:space="preserve"> </w:t>
      </w:r>
      <w:r w:rsidR="004A6DD1" w:rsidRPr="00A452C7">
        <w:rPr>
          <w:rFonts w:ascii="Arial" w:hAnsi="Arial" w:cs="Arial"/>
          <w:sz w:val="24"/>
          <w:szCs w:val="24"/>
        </w:rPr>
        <w:t xml:space="preserve">aggravées par les crises financières et économiques mondiales et </w:t>
      </w:r>
      <w:r w:rsidR="00197100" w:rsidRPr="00A452C7">
        <w:rPr>
          <w:rFonts w:ascii="Arial" w:hAnsi="Arial" w:cs="Arial"/>
          <w:sz w:val="24"/>
          <w:szCs w:val="24"/>
        </w:rPr>
        <w:t>qui ont ralenti la croissance de ce secteur</w:t>
      </w:r>
      <w:r w:rsidRPr="00A452C7">
        <w:rPr>
          <w:rFonts w:ascii="Arial" w:hAnsi="Arial" w:cs="Arial"/>
          <w:sz w:val="24"/>
          <w:szCs w:val="24"/>
        </w:rPr>
        <w:t xml:space="preserve">. </w:t>
      </w:r>
      <w:r w:rsidR="00893D55" w:rsidRPr="00A452C7">
        <w:rPr>
          <w:rFonts w:ascii="Arial" w:hAnsi="Arial" w:cs="Arial"/>
          <w:sz w:val="24"/>
          <w:szCs w:val="24"/>
        </w:rPr>
        <w:t>C’est dans ce contexte que le gouvernement malagasy a lancé ce programme dans le but de relancer l’esprit d’entreprise et la culture des normes à tous les niveaux du secteur</w:t>
      </w:r>
      <w:r w:rsidR="00D14262" w:rsidRPr="00A452C7">
        <w:rPr>
          <w:rFonts w:ascii="Arial" w:hAnsi="Arial" w:cs="Arial"/>
          <w:sz w:val="24"/>
          <w:szCs w:val="24"/>
        </w:rPr>
        <w:t xml:space="preserve">, la coopération entre les secteurs public et privé afin de mobiliser les flux d’investissement nécessaires dans le </w:t>
      </w:r>
      <w:r w:rsidR="008A1C7E" w:rsidRPr="00A452C7">
        <w:rPr>
          <w:rFonts w:ascii="Arial" w:hAnsi="Arial" w:cs="Arial"/>
          <w:sz w:val="24"/>
          <w:szCs w:val="24"/>
        </w:rPr>
        <w:t>domaine</w:t>
      </w:r>
      <w:r w:rsidR="00D14262" w:rsidRPr="00A452C7">
        <w:rPr>
          <w:rFonts w:ascii="Arial" w:hAnsi="Arial" w:cs="Arial"/>
          <w:sz w:val="24"/>
          <w:szCs w:val="24"/>
        </w:rPr>
        <w:t xml:space="preserve"> du logement.</w:t>
      </w:r>
    </w:p>
    <w:p w:rsidR="00525F30" w:rsidRPr="00A452C7" w:rsidRDefault="00525F30" w:rsidP="00525F3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A752B" w:rsidRPr="00A452C7" w:rsidRDefault="00EA752B" w:rsidP="007B6CE0">
      <w:pPr>
        <w:jc w:val="both"/>
        <w:rPr>
          <w:rFonts w:ascii="Arial" w:hAnsi="Arial" w:cs="Arial"/>
          <w:b/>
          <w:sz w:val="24"/>
          <w:szCs w:val="24"/>
        </w:rPr>
      </w:pPr>
    </w:p>
    <w:p w:rsidR="004C0518" w:rsidRPr="00A452C7" w:rsidRDefault="009E2C72" w:rsidP="007B6CE0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2.</w:t>
      </w:r>
      <w:r w:rsidR="00525F30" w:rsidRPr="00A452C7">
        <w:rPr>
          <w:rFonts w:ascii="Arial" w:hAnsi="Arial" w:cs="Arial"/>
          <w:sz w:val="24"/>
          <w:szCs w:val="24"/>
        </w:rPr>
        <w:t xml:space="preserve"> </w:t>
      </w:r>
      <w:r w:rsidR="004C0518" w:rsidRPr="00A452C7">
        <w:rPr>
          <w:rFonts w:ascii="Arial" w:hAnsi="Arial" w:cs="Arial"/>
          <w:sz w:val="24"/>
          <w:szCs w:val="24"/>
        </w:rPr>
        <w:t>La mise en œuvre de la Politique Nationale de l’Habitat encore naissante n’a pas eu d’impact assez conséquent sur la situation du logement. Des efforts sont encore à entreprendre comme l’atteste ces statistiques :</w:t>
      </w:r>
    </w:p>
    <w:p w:rsidR="001B0222" w:rsidRPr="00A452C7" w:rsidRDefault="001B0222" w:rsidP="007B6C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72" w:type="dxa"/>
        <w:tblInd w:w="108" w:type="dxa"/>
        <w:tblLayout w:type="fixed"/>
        <w:tblLook w:val="04A0"/>
      </w:tblPr>
      <w:tblGrid>
        <w:gridCol w:w="3686"/>
        <w:gridCol w:w="1134"/>
        <w:gridCol w:w="1559"/>
        <w:gridCol w:w="2693"/>
      </w:tblGrid>
      <w:tr w:rsidR="00A12249" w:rsidRPr="00A452C7" w:rsidTr="00A12249">
        <w:tc>
          <w:tcPr>
            <w:tcW w:w="3686" w:type="dxa"/>
            <w:vMerge w:val="restart"/>
            <w:vAlign w:val="center"/>
          </w:tcPr>
          <w:p w:rsidR="00A12249" w:rsidRPr="00A452C7" w:rsidRDefault="00A12249" w:rsidP="00F367C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>LIBELLE</w:t>
            </w:r>
          </w:p>
        </w:tc>
        <w:tc>
          <w:tcPr>
            <w:tcW w:w="2693" w:type="dxa"/>
            <w:gridSpan w:val="2"/>
          </w:tcPr>
          <w:p w:rsidR="00A12249" w:rsidRPr="00A452C7" w:rsidRDefault="00A12249" w:rsidP="00C019A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>Pourcentage</w:t>
            </w:r>
          </w:p>
        </w:tc>
        <w:tc>
          <w:tcPr>
            <w:tcW w:w="2693" w:type="dxa"/>
            <w:vMerge w:val="restart"/>
            <w:vAlign w:val="center"/>
          </w:tcPr>
          <w:p w:rsidR="00A12249" w:rsidRPr="00A452C7" w:rsidRDefault="00A12249" w:rsidP="00A1224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</w:tr>
      <w:tr w:rsidR="00A12249" w:rsidRPr="00A452C7" w:rsidTr="00B12139">
        <w:tc>
          <w:tcPr>
            <w:tcW w:w="3686" w:type="dxa"/>
            <w:vMerge/>
          </w:tcPr>
          <w:p w:rsidR="00A12249" w:rsidRPr="00A452C7" w:rsidRDefault="00A12249" w:rsidP="004C051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249" w:rsidRPr="00A452C7" w:rsidRDefault="00A12249" w:rsidP="00C019A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>Avant</w:t>
            </w:r>
          </w:p>
        </w:tc>
        <w:tc>
          <w:tcPr>
            <w:tcW w:w="1559" w:type="dxa"/>
          </w:tcPr>
          <w:p w:rsidR="00A12249" w:rsidRPr="00A452C7" w:rsidRDefault="00A12249" w:rsidP="00C019A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>Après</w:t>
            </w:r>
          </w:p>
        </w:tc>
        <w:tc>
          <w:tcPr>
            <w:tcW w:w="2693" w:type="dxa"/>
            <w:vMerge/>
          </w:tcPr>
          <w:p w:rsidR="00A12249" w:rsidRPr="00A452C7" w:rsidRDefault="00A12249" w:rsidP="00C019A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3A6" w:rsidRPr="00A452C7" w:rsidTr="00B12139">
        <w:tc>
          <w:tcPr>
            <w:tcW w:w="3686" w:type="dxa"/>
            <w:vAlign w:val="center"/>
          </w:tcPr>
          <w:p w:rsidR="000E63A6" w:rsidRPr="00A452C7" w:rsidRDefault="000E63A6" w:rsidP="00F367C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Pr="00A452C7">
              <w:rPr>
                <w:rFonts w:ascii="Arial" w:hAnsi="Arial" w:cs="Arial"/>
                <w:sz w:val="24"/>
                <w:szCs w:val="24"/>
              </w:rPr>
              <w:t>Population vivant dans le règlement informel</w:t>
            </w:r>
          </w:p>
        </w:tc>
        <w:tc>
          <w:tcPr>
            <w:tcW w:w="1134" w:type="dxa"/>
            <w:vAlign w:val="center"/>
          </w:tcPr>
          <w:p w:rsidR="000E63A6" w:rsidRPr="00A452C7" w:rsidRDefault="000E63A6" w:rsidP="00F367C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vMerge w:val="restart"/>
            <w:vAlign w:val="center"/>
          </w:tcPr>
          <w:p w:rsidR="000E63A6" w:rsidRPr="00A452C7" w:rsidRDefault="000E63A6" w:rsidP="00A1224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Attente de la mise en œuvre de la Politique Nationale du Logement</w:t>
            </w:r>
            <w:r w:rsidR="00A12249" w:rsidRPr="00A452C7">
              <w:rPr>
                <w:rFonts w:ascii="Arial" w:hAnsi="Arial" w:cs="Arial"/>
                <w:sz w:val="24"/>
                <w:szCs w:val="24"/>
              </w:rPr>
              <w:t xml:space="preserve"> (PNL)</w:t>
            </w:r>
            <w:r w:rsidRPr="00A452C7">
              <w:rPr>
                <w:rFonts w:ascii="Arial" w:hAnsi="Arial" w:cs="Arial"/>
                <w:sz w:val="24"/>
                <w:szCs w:val="24"/>
              </w:rPr>
              <w:t xml:space="preserve"> qui sortira fin 2012</w:t>
            </w:r>
          </w:p>
        </w:tc>
        <w:tc>
          <w:tcPr>
            <w:tcW w:w="2693" w:type="dxa"/>
          </w:tcPr>
          <w:p w:rsidR="000E63A6" w:rsidRPr="00A452C7" w:rsidRDefault="00A12249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Enquête périodique auprès des ménages 2010 (INSTAT)</w:t>
            </w:r>
          </w:p>
        </w:tc>
      </w:tr>
      <w:tr w:rsidR="000E63A6" w:rsidRPr="00A452C7" w:rsidTr="00B12139">
        <w:tc>
          <w:tcPr>
            <w:tcW w:w="3686" w:type="dxa"/>
            <w:vAlign w:val="center"/>
          </w:tcPr>
          <w:p w:rsidR="000E63A6" w:rsidRPr="00A452C7" w:rsidRDefault="000E63A6" w:rsidP="0098104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Pr="00A452C7">
              <w:rPr>
                <w:rFonts w:ascii="Arial" w:hAnsi="Arial" w:cs="Arial"/>
                <w:sz w:val="24"/>
                <w:szCs w:val="24"/>
              </w:rPr>
              <w:t>Ménage ayant axé à l’assainissement</w:t>
            </w:r>
          </w:p>
        </w:tc>
        <w:tc>
          <w:tcPr>
            <w:tcW w:w="1134" w:type="dxa"/>
            <w:vAlign w:val="center"/>
          </w:tcPr>
          <w:p w:rsidR="000E63A6" w:rsidRPr="00A452C7" w:rsidRDefault="000E63A6" w:rsidP="00F367C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</w:tcPr>
          <w:p w:rsidR="000E63A6" w:rsidRPr="00A452C7" w:rsidRDefault="000E63A6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3A6" w:rsidRPr="00A452C7" w:rsidRDefault="00A12249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Annuaire du secteur eau potable et assainissement 2012 (Ministère de l’Eau)</w:t>
            </w:r>
          </w:p>
        </w:tc>
      </w:tr>
      <w:tr w:rsidR="000E63A6" w:rsidRPr="00A452C7" w:rsidTr="00B12139">
        <w:tc>
          <w:tcPr>
            <w:tcW w:w="3686" w:type="dxa"/>
            <w:vAlign w:val="center"/>
          </w:tcPr>
          <w:p w:rsidR="000E63A6" w:rsidRPr="00A452C7" w:rsidRDefault="000E63A6" w:rsidP="00981043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Pr="00A452C7">
              <w:rPr>
                <w:rFonts w:ascii="Arial" w:hAnsi="Arial" w:cs="Arial"/>
                <w:sz w:val="24"/>
                <w:szCs w:val="24"/>
              </w:rPr>
              <w:t>Population ayant axée à l’électricité</w:t>
            </w:r>
          </w:p>
        </w:tc>
        <w:tc>
          <w:tcPr>
            <w:tcW w:w="1134" w:type="dxa"/>
            <w:vAlign w:val="center"/>
          </w:tcPr>
          <w:p w:rsidR="000E63A6" w:rsidRPr="00A452C7" w:rsidRDefault="000E63A6" w:rsidP="00F367C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559" w:type="dxa"/>
            <w:vMerge/>
          </w:tcPr>
          <w:p w:rsidR="000E63A6" w:rsidRPr="00A452C7" w:rsidRDefault="000E63A6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3A6" w:rsidRPr="00A452C7" w:rsidRDefault="00A12249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sz w:val="24"/>
                <w:szCs w:val="24"/>
              </w:rPr>
              <w:t>Enquête périodique auprès des ménages 2010 (INSTAT</w:t>
            </w:r>
          </w:p>
        </w:tc>
      </w:tr>
      <w:tr w:rsidR="000E63A6" w:rsidRPr="00A452C7" w:rsidTr="00B12139">
        <w:tc>
          <w:tcPr>
            <w:tcW w:w="3686" w:type="dxa"/>
            <w:vAlign w:val="center"/>
          </w:tcPr>
          <w:p w:rsidR="000E63A6" w:rsidRPr="00A452C7" w:rsidRDefault="000E63A6" w:rsidP="00B1213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52C7">
              <w:rPr>
                <w:rFonts w:ascii="Arial" w:hAnsi="Arial" w:cs="Arial"/>
                <w:b/>
                <w:sz w:val="24"/>
                <w:szCs w:val="24"/>
              </w:rPr>
              <w:t xml:space="preserve">d. </w:t>
            </w:r>
            <w:r w:rsidRPr="00A452C7">
              <w:rPr>
                <w:rFonts w:ascii="Arial" w:hAnsi="Arial" w:cs="Arial"/>
                <w:sz w:val="24"/>
                <w:szCs w:val="24"/>
              </w:rPr>
              <w:t>Propriété titrée et bornée</w:t>
            </w:r>
          </w:p>
        </w:tc>
        <w:tc>
          <w:tcPr>
            <w:tcW w:w="1134" w:type="dxa"/>
            <w:vAlign w:val="center"/>
          </w:tcPr>
          <w:p w:rsidR="000E63A6" w:rsidRPr="00A452C7" w:rsidRDefault="00B12139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330 000 titres délivrés</w:t>
            </w:r>
          </w:p>
        </w:tc>
        <w:tc>
          <w:tcPr>
            <w:tcW w:w="1559" w:type="dxa"/>
            <w:vMerge/>
          </w:tcPr>
          <w:p w:rsidR="000E63A6" w:rsidRPr="00A452C7" w:rsidRDefault="000E63A6" w:rsidP="009B32B0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63A6" w:rsidRPr="00A452C7" w:rsidRDefault="00B12139" w:rsidP="00B1213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DGSF(PNF)/DGAT</w:t>
            </w:r>
          </w:p>
        </w:tc>
      </w:tr>
    </w:tbl>
    <w:p w:rsidR="00525F30" w:rsidRPr="00A452C7" w:rsidRDefault="00525F30" w:rsidP="00525F3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A752B" w:rsidRPr="00A452C7" w:rsidRDefault="00EA752B" w:rsidP="00525F3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775A6" w:rsidRPr="00A452C7" w:rsidRDefault="00AB7A02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3.</w:t>
      </w:r>
      <w:r w:rsidR="00B75ED4" w:rsidRPr="00A452C7">
        <w:rPr>
          <w:rFonts w:ascii="Arial" w:hAnsi="Arial" w:cs="Arial"/>
          <w:sz w:val="24"/>
          <w:szCs w:val="24"/>
        </w:rPr>
        <w:t xml:space="preserve"> </w:t>
      </w:r>
      <w:r w:rsidR="003656BF" w:rsidRPr="00A452C7">
        <w:rPr>
          <w:rFonts w:ascii="Arial" w:hAnsi="Arial" w:cs="Arial"/>
          <w:sz w:val="24"/>
          <w:szCs w:val="24"/>
        </w:rPr>
        <w:t>Depuis les années 1970, l’offre en matière de logements est insignifiante par rapport à la demande sans cesse croissante</w:t>
      </w:r>
      <w:r w:rsidR="00636140" w:rsidRPr="00A452C7">
        <w:rPr>
          <w:rFonts w:ascii="Arial" w:hAnsi="Arial" w:cs="Arial"/>
          <w:sz w:val="24"/>
          <w:szCs w:val="24"/>
        </w:rPr>
        <w:t>.</w:t>
      </w:r>
      <w:r w:rsidR="0071335E" w:rsidRPr="00A452C7">
        <w:rPr>
          <w:rFonts w:ascii="Arial" w:hAnsi="Arial" w:cs="Arial"/>
          <w:sz w:val="24"/>
          <w:szCs w:val="24"/>
        </w:rPr>
        <w:t xml:space="preserve"> Seule la </w:t>
      </w:r>
      <w:proofErr w:type="spellStart"/>
      <w:r w:rsidR="0071335E" w:rsidRPr="00A452C7">
        <w:rPr>
          <w:rFonts w:ascii="Arial" w:hAnsi="Arial" w:cs="Arial"/>
          <w:sz w:val="24"/>
          <w:szCs w:val="24"/>
        </w:rPr>
        <w:t>SEIMad</w:t>
      </w:r>
      <w:proofErr w:type="spellEnd"/>
      <w:r w:rsidR="00617521" w:rsidRPr="00A452C7">
        <w:rPr>
          <w:rFonts w:ascii="Arial" w:hAnsi="Arial" w:cs="Arial"/>
          <w:sz w:val="24"/>
          <w:szCs w:val="24"/>
        </w:rPr>
        <w:t xml:space="preserve"> </w:t>
      </w:r>
      <w:r w:rsidR="0071335E" w:rsidRPr="00A452C7">
        <w:rPr>
          <w:rFonts w:ascii="Arial" w:hAnsi="Arial" w:cs="Arial"/>
          <w:sz w:val="24"/>
          <w:szCs w:val="24"/>
        </w:rPr>
        <w:t>-</w:t>
      </w:r>
      <w:r w:rsidR="00617521" w:rsidRPr="00A452C7">
        <w:rPr>
          <w:rFonts w:ascii="Arial" w:hAnsi="Arial" w:cs="Arial"/>
          <w:sz w:val="24"/>
          <w:szCs w:val="24"/>
        </w:rPr>
        <w:t xml:space="preserve"> </w:t>
      </w:r>
      <w:r w:rsidR="003656BF" w:rsidRPr="00A452C7">
        <w:rPr>
          <w:rFonts w:ascii="Arial" w:hAnsi="Arial" w:cs="Arial"/>
          <w:sz w:val="24"/>
          <w:szCs w:val="24"/>
        </w:rPr>
        <w:t xml:space="preserve">Société d’Equipement Immobilier de </w:t>
      </w:r>
      <w:r w:rsidR="0071335E" w:rsidRPr="00A452C7">
        <w:rPr>
          <w:rFonts w:ascii="Arial" w:hAnsi="Arial" w:cs="Arial"/>
          <w:sz w:val="24"/>
          <w:szCs w:val="24"/>
        </w:rPr>
        <w:t>Madagascar (Société d’Etat</w:t>
      </w:r>
      <w:r w:rsidR="003656BF" w:rsidRPr="00A452C7">
        <w:rPr>
          <w:rFonts w:ascii="Arial" w:hAnsi="Arial" w:cs="Arial"/>
          <w:sz w:val="24"/>
          <w:szCs w:val="24"/>
        </w:rPr>
        <w:t>) a</w:t>
      </w:r>
      <w:r w:rsidR="0071335E" w:rsidRPr="00A452C7">
        <w:rPr>
          <w:rFonts w:ascii="Arial" w:hAnsi="Arial" w:cs="Arial"/>
          <w:sz w:val="24"/>
          <w:szCs w:val="24"/>
        </w:rPr>
        <w:t xml:space="preserve"> pu bénéficier</w:t>
      </w:r>
      <w:r w:rsidR="003656BF" w:rsidRPr="00A452C7">
        <w:rPr>
          <w:rFonts w:ascii="Arial" w:hAnsi="Arial" w:cs="Arial"/>
          <w:sz w:val="24"/>
          <w:szCs w:val="24"/>
        </w:rPr>
        <w:t xml:space="preserve"> des subventions de l’Etat </w:t>
      </w:r>
      <w:r w:rsidR="00E22850" w:rsidRPr="00A452C7">
        <w:rPr>
          <w:rFonts w:ascii="Arial" w:hAnsi="Arial" w:cs="Arial"/>
          <w:sz w:val="24"/>
          <w:szCs w:val="24"/>
        </w:rPr>
        <w:t xml:space="preserve">et de la Caisse Centrale de Coopération Economique </w:t>
      </w:r>
      <w:r w:rsidR="009C5606" w:rsidRPr="00A452C7">
        <w:rPr>
          <w:rFonts w:ascii="Arial" w:hAnsi="Arial" w:cs="Arial"/>
          <w:sz w:val="24"/>
          <w:szCs w:val="24"/>
        </w:rPr>
        <w:t xml:space="preserve">durant les années 60 </w:t>
      </w:r>
      <w:r w:rsidR="0071335E" w:rsidRPr="00A452C7">
        <w:rPr>
          <w:rFonts w:ascii="Arial" w:hAnsi="Arial" w:cs="Arial"/>
          <w:sz w:val="24"/>
          <w:szCs w:val="24"/>
        </w:rPr>
        <w:t xml:space="preserve">et </w:t>
      </w:r>
      <w:r w:rsidR="009C5606" w:rsidRPr="00A452C7">
        <w:rPr>
          <w:rFonts w:ascii="Arial" w:hAnsi="Arial" w:cs="Arial"/>
          <w:sz w:val="24"/>
          <w:szCs w:val="24"/>
        </w:rPr>
        <w:t>a contribué à l’offre publique de logements. Environ 7000 logements ont été construits.</w:t>
      </w:r>
    </w:p>
    <w:p w:rsidR="008775A6" w:rsidRPr="00A452C7" w:rsidRDefault="008775A6" w:rsidP="00137A29">
      <w:pPr>
        <w:jc w:val="both"/>
        <w:rPr>
          <w:rFonts w:ascii="Arial" w:hAnsi="Arial" w:cs="Arial"/>
          <w:sz w:val="24"/>
          <w:szCs w:val="24"/>
        </w:rPr>
      </w:pPr>
    </w:p>
    <w:p w:rsidR="008775A6" w:rsidRPr="00A452C7" w:rsidRDefault="009C5606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 xml:space="preserve">Vers les années 1990, les fonds propres de la </w:t>
      </w:r>
      <w:proofErr w:type="spellStart"/>
      <w:r w:rsidRPr="00A452C7">
        <w:rPr>
          <w:rFonts w:ascii="Arial" w:hAnsi="Arial" w:cs="Arial"/>
          <w:sz w:val="24"/>
          <w:szCs w:val="24"/>
        </w:rPr>
        <w:t>SEIMad</w:t>
      </w:r>
      <w:proofErr w:type="spellEnd"/>
      <w:r w:rsidRPr="00A452C7">
        <w:rPr>
          <w:rFonts w:ascii="Arial" w:hAnsi="Arial" w:cs="Arial"/>
          <w:sz w:val="24"/>
          <w:szCs w:val="24"/>
        </w:rPr>
        <w:t xml:space="preserve"> ont permis la production d’une centaine de logements par an destinés à la classe moyenne aisée, mis en location grâce au financement de l’AFD, puis en vente à leurs occupants avec des facilités de paiement.</w:t>
      </w:r>
    </w:p>
    <w:p w:rsidR="008775A6" w:rsidRPr="00A452C7" w:rsidRDefault="008775A6" w:rsidP="00137A29">
      <w:pPr>
        <w:jc w:val="both"/>
        <w:rPr>
          <w:rFonts w:ascii="Arial" w:hAnsi="Arial" w:cs="Arial"/>
          <w:sz w:val="24"/>
          <w:szCs w:val="24"/>
        </w:rPr>
      </w:pPr>
    </w:p>
    <w:p w:rsidR="0071335E" w:rsidRPr="00A452C7" w:rsidRDefault="009C5606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 xml:space="preserve"> L’offre privée a été très faible par le passé, a disparu avant les années 1980. Elle est réapparue progressivement depuis, mais son importance est tout à fait relative</w:t>
      </w:r>
      <w:r w:rsidR="0071335E" w:rsidRPr="00A452C7">
        <w:rPr>
          <w:rFonts w:ascii="Arial" w:hAnsi="Arial" w:cs="Arial"/>
          <w:sz w:val="24"/>
          <w:szCs w:val="24"/>
        </w:rPr>
        <w:t xml:space="preserve"> et ne </w:t>
      </w:r>
      <w:r w:rsidR="0071335E" w:rsidRPr="00A452C7">
        <w:rPr>
          <w:rFonts w:ascii="Arial" w:hAnsi="Arial" w:cs="Arial"/>
          <w:sz w:val="24"/>
          <w:szCs w:val="24"/>
        </w:rPr>
        <w:lastRenderedPageBreak/>
        <w:t>dépassait pas la centaine d’unités de logement par an réalisés par des sociétés commerciales et des ONG.</w:t>
      </w:r>
    </w:p>
    <w:p w:rsidR="008775A6" w:rsidRPr="00A452C7" w:rsidRDefault="008775A6" w:rsidP="00137A29">
      <w:pPr>
        <w:jc w:val="both"/>
        <w:rPr>
          <w:rFonts w:ascii="Arial" w:hAnsi="Arial" w:cs="Arial"/>
          <w:sz w:val="24"/>
          <w:szCs w:val="24"/>
        </w:rPr>
      </w:pPr>
    </w:p>
    <w:p w:rsidR="00212837" w:rsidRPr="00A452C7" w:rsidRDefault="00B75ED4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La construction de logements pour les plus pauvres voit l’intervention d’organismes nationaux et internationaux tels ONU Habitat, ENDA OI,</w:t>
      </w:r>
      <w:r w:rsidR="00A248B1" w:rsidRPr="00A452C7">
        <w:rPr>
          <w:rFonts w:ascii="Arial" w:hAnsi="Arial" w:cs="Arial"/>
          <w:sz w:val="24"/>
          <w:szCs w:val="24"/>
        </w:rPr>
        <w:t xml:space="preserve"> Habitat pour l’Humanité</w:t>
      </w:r>
      <w:r w:rsidRPr="00A452C7">
        <w:rPr>
          <w:rFonts w:ascii="Arial" w:hAnsi="Arial" w:cs="Arial"/>
          <w:sz w:val="24"/>
          <w:szCs w:val="24"/>
        </w:rPr>
        <w:t xml:space="preserve"> ou l’association AKAMASOA</w:t>
      </w:r>
      <w:r w:rsidR="005A5EBF" w:rsidRPr="00A452C7">
        <w:rPr>
          <w:rFonts w:ascii="Arial" w:hAnsi="Arial" w:cs="Arial"/>
          <w:sz w:val="24"/>
          <w:szCs w:val="24"/>
        </w:rPr>
        <w:t>…</w:t>
      </w:r>
    </w:p>
    <w:p w:rsidR="00D73BA5" w:rsidRPr="00A452C7" w:rsidRDefault="008D49FE" w:rsidP="00137A29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La Politique Nationale de l’Habitat adoptée en 2006 donne des orientations claires pour favoriser l’accès à un logement décent de toutes les catégories de ménage, notamment les couches modestes.</w:t>
      </w:r>
      <w:r w:rsidR="00D73BA5" w:rsidRPr="00A452C7">
        <w:rPr>
          <w:rFonts w:ascii="Arial" w:hAnsi="Arial" w:cs="Arial"/>
          <w:sz w:val="24"/>
          <w:szCs w:val="24"/>
        </w:rPr>
        <w:t xml:space="preserve"> Ses principaux objectifs </w:t>
      </w:r>
      <w:r w:rsidR="00141DCD" w:rsidRPr="00A452C7">
        <w:rPr>
          <w:rFonts w:ascii="Arial" w:hAnsi="Arial" w:cs="Arial"/>
          <w:sz w:val="24"/>
          <w:szCs w:val="24"/>
        </w:rPr>
        <w:t>sont</w:t>
      </w:r>
      <w:r w:rsidR="00D73BA5" w:rsidRPr="00A452C7">
        <w:rPr>
          <w:rFonts w:ascii="Arial" w:hAnsi="Arial" w:cs="Arial"/>
          <w:sz w:val="24"/>
          <w:szCs w:val="24"/>
        </w:rPr>
        <w:t> :</w:t>
      </w:r>
    </w:p>
    <w:p w:rsidR="008D49FE" w:rsidRPr="00A452C7" w:rsidRDefault="00D73BA5" w:rsidP="00D73BA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offrir un cadre de vie organisé, harmonieux et sécurisé pour les citadins actuels et à venir,</w:t>
      </w:r>
    </w:p>
    <w:p w:rsidR="00D73BA5" w:rsidRPr="00A452C7" w:rsidRDefault="00D73BA5" w:rsidP="00D73BA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permettre aux instances décentralisées de s’affirmer et de se déployer</w:t>
      </w:r>
    </w:p>
    <w:p w:rsidR="00D73BA5" w:rsidRPr="00A452C7" w:rsidRDefault="00D73BA5" w:rsidP="00D73BA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rendre véritablement effectif le Partenariat Public Privé</w:t>
      </w:r>
      <w:r w:rsidR="00981043" w:rsidRPr="00A452C7">
        <w:rPr>
          <w:rFonts w:ascii="Arial" w:hAnsi="Arial" w:cs="Arial"/>
          <w:sz w:val="24"/>
          <w:szCs w:val="24"/>
        </w:rPr>
        <w:t>.</w:t>
      </w:r>
    </w:p>
    <w:p w:rsidR="008775A6" w:rsidRPr="00A452C7" w:rsidRDefault="008775A6" w:rsidP="008775A6">
      <w:pPr>
        <w:pStyle w:val="Paragraphedeliste"/>
        <w:ind w:left="784"/>
        <w:jc w:val="both"/>
        <w:rPr>
          <w:rFonts w:ascii="Arial" w:hAnsi="Arial" w:cs="Arial"/>
          <w:sz w:val="24"/>
          <w:szCs w:val="24"/>
        </w:rPr>
      </w:pPr>
    </w:p>
    <w:p w:rsidR="00981043" w:rsidRPr="00A452C7" w:rsidRDefault="00981043" w:rsidP="00981043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Par ailleurs, depuis 2003, le gouvernement a relancé la mise en place des Plans d’Urbanisme Directeur (</w:t>
      </w:r>
      <w:proofErr w:type="spellStart"/>
      <w:r w:rsidRPr="00A452C7">
        <w:rPr>
          <w:rFonts w:ascii="Arial" w:hAnsi="Arial" w:cs="Arial"/>
          <w:sz w:val="24"/>
          <w:szCs w:val="24"/>
        </w:rPr>
        <w:t>PUDi</w:t>
      </w:r>
      <w:proofErr w:type="spellEnd"/>
      <w:r w:rsidRPr="00A452C7">
        <w:rPr>
          <w:rFonts w:ascii="Arial" w:hAnsi="Arial" w:cs="Arial"/>
          <w:sz w:val="24"/>
          <w:szCs w:val="24"/>
        </w:rPr>
        <w:t>) d</w:t>
      </w:r>
      <w:r w:rsidR="005A5EBF" w:rsidRPr="00A452C7">
        <w:rPr>
          <w:rFonts w:ascii="Arial" w:hAnsi="Arial" w:cs="Arial"/>
          <w:sz w:val="24"/>
          <w:szCs w:val="24"/>
        </w:rPr>
        <w:t>ans les</w:t>
      </w:r>
      <w:r w:rsidRPr="00A452C7">
        <w:rPr>
          <w:rFonts w:ascii="Arial" w:hAnsi="Arial" w:cs="Arial"/>
          <w:sz w:val="24"/>
          <w:szCs w:val="24"/>
        </w:rPr>
        <w:t xml:space="preserve"> 06 grandes villes de Madagascar.</w:t>
      </w:r>
      <w:r w:rsidR="008070E1" w:rsidRPr="00A452C7">
        <w:rPr>
          <w:rFonts w:ascii="Arial" w:hAnsi="Arial" w:cs="Arial"/>
          <w:sz w:val="24"/>
          <w:szCs w:val="24"/>
        </w:rPr>
        <w:t xml:space="preserve"> Dans cette logique, les Plans d’Urbanisme de Détail (</w:t>
      </w:r>
      <w:proofErr w:type="spellStart"/>
      <w:r w:rsidR="008070E1" w:rsidRPr="00A452C7">
        <w:rPr>
          <w:rFonts w:ascii="Arial" w:hAnsi="Arial" w:cs="Arial"/>
          <w:sz w:val="24"/>
          <w:szCs w:val="24"/>
        </w:rPr>
        <w:t>PUDé</w:t>
      </w:r>
      <w:proofErr w:type="spellEnd"/>
      <w:r w:rsidR="008070E1" w:rsidRPr="00A452C7">
        <w:rPr>
          <w:rFonts w:ascii="Arial" w:hAnsi="Arial" w:cs="Arial"/>
          <w:sz w:val="24"/>
          <w:szCs w:val="24"/>
        </w:rPr>
        <w:t>) ont été étudiés, visant en priorité les quartiers en difficulté à travers la restructuration et l’amélioration des quartiers informels des communes pilotes.</w:t>
      </w:r>
      <w:r w:rsidR="00346F35" w:rsidRPr="00A452C7">
        <w:rPr>
          <w:rFonts w:ascii="Arial" w:hAnsi="Arial" w:cs="Arial"/>
          <w:sz w:val="24"/>
          <w:szCs w:val="24"/>
        </w:rPr>
        <w:t xml:space="preserve"> Une refonte du Code de l’Urbanisme et de l’Habitat a été </w:t>
      </w:r>
      <w:r w:rsidR="00A844FC" w:rsidRPr="00A452C7">
        <w:rPr>
          <w:rFonts w:ascii="Arial" w:hAnsi="Arial" w:cs="Arial"/>
          <w:sz w:val="24"/>
          <w:szCs w:val="24"/>
        </w:rPr>
        <w:t>effectuée</w:t>
      </w:r>
      <w:r w:rsidR="00346F35" w:rsidRPr="00A452C7">
        <w:rPr>
          <w:rFonts w:ascii="Arial" w:hAnsi="Arial" w:cs="Arial"/>
          <w:sz w:val="24"/>
          <w:szCs w:val="24"/>
        </w:rPr>
        <w:t xml:space="preserve"> depuis 2006.</w:t>
      </w:r>
    </w:p>
    <w:p w:rsidR="00405A20" w:rsidRPr="00A452C7" w:rsidRDefault="00405A20" w:rsidP="00981043">
      <w:pPr>
        <w:jc w:val="both"/>
        <w:rPr>
          <w:rFonts w:ascii="Arial" w:hAnsi="Arial" w:cs="Arial"/>
          <w:sz w:val="24"/>
          <w:szCs w:val="24"/>
        </w:rPr>
      </w:pPr>
    </w:p>
    <w:p w:rsidR="00405A20" w:rsidRPr="00A452C7" w:rsidRDefault="00405A20" w:rsidP="00981043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Ainsi, pour Madagascar</w:t>
      </w:r>
      <w:r w:rsidR="00145DF2" w:rsidRPr="00A452C7">
        <w:rPr>
          <w:rFonts w:ascii="Arial" w:hAnsi="Arial" w:cs="Arial"/>
          <w:sz w:val="24"/>
          <w:szCs w:val="24"/>
        </w:rPr>
        <w:t xml:space="preserve">, le </w:t>
      </w:r>
      <w:r w:rsidR="00261AD7" w:rsidRPr="00A452C7">
        <w:rPr>
          <w:rFonts w:ascii="Arial" w:hAnsi="Arial" w:cs="Arial"/>
          <w:sz w:val="24"/>
          <w:szCs w:val="24"/>
        </w:rPr>
        <w:t>domaine</w:t>
      </w:r>
      <w:r w:rsidR="00145DF2" w:rsidRPr="00A452C7">
        <w:rPr>
          <w:rFonts w:ascii="Arial" w:hAnsi="Arial" w:cs="Arial"/>
          <w:sz w:val="24"/>
          <w:szCs w:val="24"/>
        </w:rPr>
        <w:t xml:space="preserve"> du logement</w:t>
      </w:r>
      <w:r w:rsidR="00C81D2E" w:rsidRPr="00A452C7">
        <w:rPr>
          <w:rFonts w:ascii="Arial" w:hAnsi="Arial" w:cs="Arial"/>
          <w:sz w:val="24"/>
          <w:szCs w:val="24"/>
        </w:rPr>
        <w:t xml:space="preserve"> figure parmi celui visé par le gouvernement</w:t>
      </w:r>
      <w:r w:rsidR="00145DF2" w:rsidRPr="00A452C7">
        <w:rPr>
          <w:rFonts w:ascii="Arial" w:hAnsi="Arial" w:cs="Arial"/>
          <w:sz w:val="24"/>
          <w:szCs w:val="24"/>
        </w:rPr>
        <w:t xml:space="preserve"> afin de solutionner le problème du mal logé mais aussi de stimuler et booster le secteur</w:t>
      </w:r>
      <w:r w:rsidR="00867981" w:rsidRPr="00A452C7">
        <w:rPr>
          <w:rFonts w:ascii="Arial" w:hAnsi="Arial" w:cs="Arial"/>
          <w:sz w:val="24"/>
          <w:szCs w:val="24"/>
        </w:rPr>
        <w:t xml:space="preserve">. </w:t>
      </w:r>
      <w:r w:rsidR="00145DF2" w:rsidRPr="00A452C7">
        <w:rPr>
          <w:rFonts w:ascii="Arial" w:hAnsi="Arial" w:cs="Arial"/>
          <w:sz w:val="24"/>
          <w:szCs w:val="24"/>
        </w:rPr>
        <w:t>D’ailleurs, l</w:t>
      </w:r>
      <w:r w:rsidRPr="00A452C7">
        <w:rPr>
          <w:rFonts w:ascii="Arial" w:hAnsi="Arial" w:cs="Arial"/>
          <w:sz w:val="24"/>
          <w:szCs w:val="24"/>
        </w:rPr>
        <w:t xml:space="preserve">a constitution malgache fait du Logement un droit </w:t>
      </w:r>
      <w:r w:rsidR="00145DF2" w:rsidRPr="00A452C7">
        <w:rPr>
          <w:rFonts w:ascii="Arial" w:hAnsi="Arial" w:cs="Arial"/>
          <w:sz w:val="24"/>
          <w:szCs w:val="24"/>
        </w:rPr>
        <w:t>et non un privilège qui par conséquent est garanti dans notre pays.</w:t>
      </w:r>
    </w:p>
    <w:p w:rsidR="00A30364" w:rsidRPr="00A452C7" w:rsidRDefault="00A30364" w:rsidP="00981043">
      <w:pPr>
        <w:jc w:val="both"/>
        <w:rPr>
          <w:rFonts w:ascii="Arial" w:hAnsi="Arial" w:cs="Arial"/>
          <w:sz w:val="24"/>
          <w:szCs w:val="24"/>
        </w:rPr>
      </w:pPr>
    </w:p>
    <w:p w:rsidR="00A30364" w:rsidRPr="00A452C7" w:rsidRDefault="009872D1" w:rsidP="00981043">
      <w:pPr>
        <w:jc w:val="both"/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sz w:val="24"/>
          <w:szCs w:val="24"/>
        </w:rPr>
        <w:t>Mais m</w:t>
      </w:r>
      <w:r w:rsidR="00A30364" w:rsidRPr="00A452C7">
        <w:rPr>
          <w:rFonts w:ascii="Arial" w:hAnsi="Arial" w:cs="Arial"/>
          <w:sz w:val="24"/>
          <w:szCs w:val="24"/>
        </w:rPr>
        <w:t>algré ses efforts</w:t>
      </w:r>
      <w:r w:rsidRPr="00A452C7">
        <w:rPr>
          <w:rFonts w:ascii="Arial" w:hAnsi="Arial" w:cs="Arial"/>
          <w:sz w:val="24"/>
          <w:szCs w:val="24"/>
        </w:rPr>
        <w:t xml:space="preserve"> dans cette démarche, ses moyens sont</w:t>
      </w:r>
      <w:r w:rsidR="00A30364" w:rsidRPr="00A452C7">
        <w:rPr>
          <w:rFonts w:ascii="Arial" w:hAnsi="Arial" w:cs="Arial"/>
          <w:sz w:val="24"/>
          <w:szCs w:val="24"/>
        </w:rPr>
        <w:t xml:space="preserve"> limités</w:t>
      </w:r>
      <w:r w:rsidR="00FE1982" w:rsidRPr="00A452C7">
        <w:rPr>
          <w:rFonts w:ascii="Arial" w:hAnsi="Arial" w:cs="Arial"/>
          <w:sz w:val="24"/>
          <w:szCs w:val="24"/>
        </w:rPr>
        <w:t xml:space="preserve"> et nécessitent l’</w:t>
      </w:r>
      <w:r w:rsidR="00617521" w:rsidRPr="00A452C7">
        <w:rPr>
          <w:rFonts w:ascii="Arial" w:hAnsi="Arial" w:cs="Arial"/>
          <w:sz w:val="24"/>
          <w:szCs w:val="24"/>
        </w:rPr>
        <w:t>appui</w:t>
      </w:r>
      <w:r w:rsidR="00FE1982" w:rsidRPr="00A452C7">
        <w:rPr>
          <w:rFonts w:ascii="Arial" w:hAnsi="Arial" w:cs="Arial"/>
          <w:sz w:val="24"/>
          <w:szCs w:val="24"/>
        </w:rPr>
        <w:t xml:space="preserve"> des grands partenaires financiers tels la Banque Mondiale, le Fonds Monétaire International, le PNUD, l’AFD, l’Union Européenne, et les institutions internationales pour le développement de l’habitat et du logement.</w:t>
      </w:r>
    </w:p>
    <w:sectPr w:rsidR="00A30364" w:rsidRPr="00A452C7" w:rsidSect="0073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1D2"/>
    <w:multiLevelType w:val="hybridMultilevel"/>
    <w:tmpl w:val="74B48CD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1EC"/>
    <w:multiLevelType w:val="hybridMultilevel"/>
    <w:tmpl w:val="9550B2A2"/>
    <w:lvl w:ilvl="0" w:tplc="040C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41C617E"/>
    <w:multiLevelType w:val="hybridMultilevel"/>
    <w:tmpl w:val="D8A821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640AF"/>
    <w:rsid w:val="000116B5"/>
    <w:rsid w:val="00057C76"/>
    <w:rsid w:val="000A6A51"/>
    <w:rsid w:val="000B565F"/>
    <w:rsid w:val="000E63A6"/>
    <w:rsid w:val="00137A29"/>
    <w:rsid w:val="00141DCD"/>
    <w:rsid w:val="00145DF2"/>
    <w:rsid w:val="00197100"/>
    <w:rsid w:val="001B0222"/>
    <w:rsid w:val="001C5B3F"/>
    <w:rsid w:val="001F3B7F"/>
    <w:rsid w:val="00212837"/>
    <w:rsid w:val="00237ABC"/>
    <w:rsid w:val="00241882"/>
    <w:rsid w:val="00261AD7"/>
    <w:rsid w:val="002B6C4E"/>
    <w:rsid w:val="002F580D"/>
    <w:rsid w:val="00346F35"/>
    <w:rsid w:val="003656BF"/>
    <w:rsid w:val="003A0A16"/>
    <w:rsid w:val="003B272A"/>
    <w:rsid w:val="00405A20"/>
    <w:rsid w:val="004A0F49"/>
    <w:rsid w:val="004A6DD1"/>
    <w:rsid w:val="004B35F0"/>
    <w:rsid w:val="004C0518"/>
    <w:rsid w:val="00512269"/>
    <w:rsid w:val="00525F30"/>
    <w:rsid w:val="00564523"/>
    <w:rsid w:val="005A5EBF"/>
    <w:rsid w:val="00617521"/>
    <w:rsid w:val="00636140"/>
    <w:rsid w:val="00694BF4"/>
    <w:rsid w:val="006D36F2"/>
    <w:rsid w:val="0071335E"/>
    <w:rsid w:val="00727CEE"/>
    <w:rsid w:val="007347D5"/>
    <w:rsid w:val="00754CB8"/>
    <w:rsid w:val="007B6CE0"/>
    <w:rsid w:val="007D1B3E"/>
    <w:rsid w:val="00801FD4"/>
    <w:rsid w:val="008070E1"/>
    <w:rsid w:val="00867981"/>
    <w:rsid w:val="008775A6"/>
    <w:rsid w:val="0088333E"/>
    <w:rsid w:val="008838CD"/>
    <w:rsid w:val="00893D55"/>
    <w:rsid w:val="008A1C7E"/>
    <w:rsid w:val="008B1B14"/>
    <w:rsid w:val="008D49FE"/>
    <w:rsid w:val="008E366A"/>
    <w:rsid w:val="008F7F57"/>
    <w:rsid w:val="00900E7B"/>
    <w:rsid w:val="00981043"/>
    <w:rsid w:val="009811FC"/>
    <w:rsid w:val="009872D1"/>
    <w:rsid w:val="009B32B0"/>
    <w:rsid w:val="009C3049"/>
    <w:rsid w:val="009C4C60"/>
    <w:rsid w:val="009C5606"/>
    <w:rsid w:val="009E1E92"/>
    <w:rsid w:val="009E2C72"/>
    <w:rsid w:val="00A12249"/>
    <w:rsid w:val="00A248B1"/>
    <w:rsid w:val="00A30364"/>
    <w:rsid w:val="00A4009E"/>
    <w:rsid w:val="00A452C7"/>
    <w:rsid w:val="00A62DDE"/>
    <w:rsid w:val="00A640AF"/>
    <w:rsid w:val="00A844FC"/>
    <w:rsid w:val="00AA54A2"/>
    <w:rsid w:val="00AB7A02"/>
    <w:rsid w:val="00AE59C2"/>
    <w:rsid w:val="00B02161"/>
    <w:rsid w:val="00B11F73"/>
    <w:rsid w:val="00B12139"/>
    <w:rsid w:val="00B75ED4"/>
    <w:rsid w:val="00C00EB7"/>
    <w:rsid w:val="00C81D2E"/>
    <w:rsid w:val="00CC50B5"/>
    <w:rsid w:val="00CC6CF3"/>
    <w:rsid w:val="00D14262"/>
    <w:rsid w:val="00D40E74"/>
    <w:rsid w:val="00D629B2"/>
    <w:rsid w:val="00D73BA5"/>
    <w:rsid w:val="00DE756A"/>
    <w:rsid w:val="00E06A65"/>
    <w:rsid w:val="00E22850"/>
    <w:rsid w:val="00E54209"/>
    <w:rsid w:val="00E8245A"/>
    <w:rsid w:val="00EA66E3"/>
    <w:rsid w:val="00EA752B"/>
    <w:rsid w:val="00F1378D"/>
    <w:rsid w:val="00F25F80"/>
    <w:rsid w:val="00F31879"/>
    <w:rsid w:val="00F367CD"/>
    <w:rsid w:val="00F441F8"/>
    <w:rsid w:val="00F950E2"/>
    <w:rsid w:val="00FE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F9940-D3D1-4739-A716-723F4FFD89C7}"/>
</file>

<file path=customXml/itemProps2.xml><?xml version="1.0" encoding="utf-8"?>
<ds:datastoreItem xmlns:ds="http://schemas.openxmlformats.org/officeDocument/2006/customXml" ds:itemID="{23662C4E-5787-4839-ADF8-99EEBF067BAB}"/>
</file>

<file path=customXml/itemProps3.xml><?xml version="1.0" encoding="utf-8"?>
<ds:datastoreItem xmlns:ds="http://schemas.openxmlformats.org/officeDocument/2006/customXml" ds:itemID="{7051EFCF-C28C-4A4B-B280-32EB709FC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CAPLS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Bakoly ANDRIANASOLO</dc:creator>
  <cp:lastModifiedBy>Bakoly ANDRIANASOLO</cp:lastModifiedBy>
  <cp:revision>60</cp:revision>
  <cp:lastPrinted>2012-05-24T05:36:00Z</cp:lastPrinted>
  <dcterms:created xsi:type="dcterms:W3CDTF">2012-05-16T08:20:00Z</dcterms:created>
  <dcterms:modified xsi:type="dcterms:W3CDTF">2012-05-29T06:16:00Z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1086600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