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F6" w:rsidRPr="00CC562C" w:rsidRDefault="00AA1DBC" w:rsidP="00754B40">
      <w:pPr>
        <w:jc w:val="center"/>
        <w:rPr>
          <w:rFonts w:ascii="Arial" w:hAnsi="Arial" w:cs="Arial"/>
          <w:b/>
          <w:sz w:val="20"/>
          <w:lang w:val="en-GB"/>
        </w:rPr>
      </w:pPr>
      <w:bookmarkStart w:id="0" w:name="_GoBack"/>
      <w:bookmarkEnd w:id="0"/>
      <w:r w:rsidRPr="00CC562C">
        <w:rPr>
          <w:rFonts w:ascii="Arial" w:hAnsi="Arial" w:cs="Arial"/>
          <w:b/>
          <w:sz w:val="20"/>
          <w:lang w:val="en-GB"/>
        </w:rPr>
        <w:t>Designing and implementing effective human rights-based housing strategies</w:t>
      </w:r>
      <w:r w:rsidR="00574255">
        <w:rPr>
          <w:rFonts w:ascii="Arial" w:hAnsi="Arial" w:cs="Arial"/>
          <w:b/>
          <w:sz w:val="20"/>
          <w:lang w:val="en-GB"/>
        </w:rPr>
        <w:t xml:space="preserve">: </w:t>
      </w:r>
      <w:r w:rsidR="00B122BE" w:rsidRPr="00CC562C">
        <w:rPr>
          <w:rFonts w:ascii="Arial" w:hAnsi="Arial" w:cs="Arial"/>
          <w:b/>
          <w:sz w:val="20"/>
          <w:lang w:val="en-GB"/>
        </w:rPr>
        <w:t xml:space="preserve">Republic of </w:t>
      </w:r>
      <w:r w:rsidR="002778DA" w:rsidRPr="00CC562C">
        <w:rPr>
          <w:rFonts w:ascii="Arial" w:hAnsi="Arial" w:cs="Arial"/>
          <w:b/>
          <w:sz w:val="20"/>
          <w:lang w:val="en-GB"/>
        </w:rPr>
        <w:t>Slovenia</w:t>
      </w:r>
    </w:p>
    <w:p w:rsidR="00BC7BCB" w:rsidRDefault="000C28C8" w:rsidP="00B122BE">
      <w:pPr>
        <w:jc w:val="both"/>
        <w:rPr>
          <w:rFonts w:ascii="Arial" w:hAnsi="Arial" w:cs="Arial"/>
          <w:sz w:val="20"/>
          <w:lang w:val="en-GB"/>
        </w:rPr>
      </w:pPr>
      <w:r w:rsidRPr="00CC562C">
        <w:rPr>
          <w:rFonts w:ascii="Arial" w:hAnsi="Arial" w:cs="Arial"/>
          <w:sz w:val="20"/>
          <w:lang w:val="en-GB"/>
        </w:rPr>
        <w:t>Response to</w:t>
      </w:r>
      <w:r w:rsidR="00475A89" w:rsidRPr="00CC562C">
        <w:rPr>
          <w:rFonts w:ascii="Arial" w:hAnsi="Arial" w:cs="Arial"/>
          <w:sz w:val="20"/>
          <w:lang w:val="en-GB"/>
        </w:rPr>
        <w:t xml:space="preserve"> the</w:t>
      </w:r>
      <w:r w:rsidRPr="00CC562C">
        <w:rPr>
          <w:rFonts w:ascii="Arial" w:hAnsi="Arial" w:cs="Arial"/>
          <w:sz w:val="20"/>
          <w:lang w:val="en-GB"/>
        </w:rPr>
        <w:t xml:space="preserve"> request for contribution</w:t>
      </w:r>
      <w:r w:rsidR="00A74697" w:rsidRPr="00CC562C">
        <w:rPr>
          <w:rFonts w:ascii="Arial" w:hAnsi="Arial" w:cs="Arial"/>
          <w:sz w:val="20"/>
          <w:lang w:val="en-GB"/>
        </w:rPr>
        <w:t xml:space="preserve"> regarding</w:t>
      </w:r>
      <w:r w:rsidR="00A74697" w:rsidRPr="00CC562C">
        <w:rPr>
          <w:rFonts w:ascii="Arial" w:hAnsi="Arial" w:cs="Arial"/>
          <w:i/>
          <w:sz w:val="20"/>
          <w:lang w:val="en-GB"/>
        </w:rPr>
        <w:t xml:space="preserve"> “housing strategies with at least some of the </w:t>
      </w:r>
      <w:r w:rsidR="000A07F5" w:rsidRPr="00CC562C">
        <w:rPr>
          <w:rFonts w:ascii="Arial" w:hAnsi="Arial" w:cs="Arial"/>
          <w:i/>
          <w:sz w:val="20"/>
          <w:lang w:val="en-GB"/>
        </w:rPr>
        <w:t>characteristics</w:t>
      </w:r>
      <w:r w:rsidR="00A74697" w:rsidRPr="00CC562C">
        <w:rPr>
          <w:rFonts w:ascii="Arial" w:hAnsi="Arial" w:cs="Arial"/>
          <w:i/>
          <w:sz w:val="20"/>
          <w:lang w:val="en-GB"/>
        </w:rPr>
        <w:t xml:space="preserve"> of a human-rights based approach”</w:t>
      </w:r>
      <w:r w:rsidRPr="00CC562C">
        <w:rPr>
          <w:rFonts w:ascii="Arial" w:hAnsi="Arial" w:cs="Arial"/>
          <w:i/>
          <w:sz w:val="20"/>
          <w:lang w:val="en-GB"/>
        </w:rPr>
        <w:t xml:space="preserve"> </w:t>
      </w:r>
      <w:r w:rsidRPr="00CC562C">
        <w:rPr>
          <w:rFonts w:ascii="Arial" w:hAnsi="Arial" w:cs="Arial"/>
          <w:sz w:val="20"/>
          <w:lang w:val="en-GB"/>
        </w:rPr>
        <w:t>is</w:t>
      </w:r>
      <w:r w:rsidR="002778DA" w:rsidRPr="00CC562C">
        <w:rPr>
          <w:rFonts w:ascii="Arial" w:hAnsi="Arial" w:cs="Arial"/>
          <w:sz w:val="20"/>
          <w:lang w:val="en-GB"/>
        </w:rPr>
        <w:t xml:space="preserve"> </w:t>
      </w:r>
      <w:r w:rsidRPr="00CC562C">
        <w:rPr>
          <w:rFonts w:ascii="Arial" w:hAnsi="Arial" w:cs="Arial"/>
          <w:sz w:val="20"/>
          <w:lang w:val="en-GB"/>
        </w:rPr>
        <w:t xml:space="preserve">primarily </w:t>
      </w:r>
      <w:r w:rsidR="002778DA" w:rsidRPr="00CC562C">
        <w:rPr>
          <w:rFonts w:ascii="Arial" w:hAnsi="Arial" w:cs="Arial"/>
          <w:sz w:val="20"/>
          <w:lang w:val="en-GB"/>
        </w:rPr>
        <w:t xml:space="preserve">based on the </w:t>
      </w:r>
      <w:r w:rsidR="002778DA" w:rsidRPr="006253FD">
        <w:rPr>
          <w:rFonts w:ascii="Arial" w:hAnsi="Arial" w:cs="Arial"/>
          <w:b/>
          <w:sz w:val="20"/>
          <w:lang w:val="en-GB"/>
        </w:rPr>
        <w:t>Resolution on the Slovenian National Housing Programme for the period 2015–2025</w:t>
      </w:r>
      <w:r w:rsidR="002778DA" w:rsidRPr="00CC562C">
        <w:rPr>
          <w:rFonts w:ascii="Arial" w:hAnsi="Arial" w:cs="Arial"/>
          <w:sz w:val="20"/>
          <w:lang w:val="en-GB"/>
        </w:rPr>
        <w:t>.</w:t>
      </w:r>
    </w:p>
    <w:p w:rsidR="0046344D" w:rsidRPr="00E149F2" w:rsidRDefault="003569C1" w:rsidP="003569C1">
      <w:pPr>
        <w:pStyle w:val="ListParagraph"/>
        <w:numPr>
          <w:ilvl w:val="0"/>
          <w:numId w:val="3"/>
        </w:numPr>
        <w:jc w:val="both"/>
        <w:rPr>
          <w:rFonts w:ascii="Arial" w:hAnsi="Arial" w:cs="Arial"/>
          <w:b/>
          <w:sz w:val="20"/>
        </w:rPr>
      </w:pPr>
      <w:r w:rsidRPr="00E149F2">
        <w:rPr>
          <w:rFonts w:ascii="Arial" w:hAnsi="Arial" w:cs="Arial"/>
          <w:b/>
          <w:sz w:val="20"/>
        </w:rPr>
        <w:t>Introduction</w:t>
      </w:r>
    </w:p>
    <w:p w:rsidR="003569C1" w:rsidRPr="003569C1" w:rsidRDefault="003569C1" w:rsidP="003569C1">
      <w:pPr>
        <w:pStyle w:val="ListParagraph"/>
        <w:jc w:val="both"/>
        <w:rPr>
          <w:rFonts w:ascii="Arial" w:hAnsi="Arial" w:cs="Arial"/>
          <w:sz w:val="20"/>
        </w:rPr>
      </w:pPr>
    </w:p>
    <w:p w:rsidR="007F79EB" w:rsidRPr="00CC562C" w:rsidRDefault="000C28C8" w:rsidP="00B122BE">
      <w:pPr>
        <w:jc w:val="both"/>
        <w:rPr>
          <w:rFonts w:ascii="Arial" w:hAnsi="Arial" w:cs="Arial"/>
          <w:sz w:val="20"/>
          <w:lang w:val="en-GB"/>
        </w:rPr>
      </w:pPr>
      <w:r w:rsidRPr="00CC562C">
        <w:rPr>
          <w:rFonts w:ascii="Arial" w:hAnsi="Arial" w:cs="Arial"/>
          <w:sz w:val="20"/>
          <w:lang w:val="en-GB"/>
        </w:rPr>
        <w:t xml:space="preserve">The </w:t>
      </w:r>
      <w:r w:rsidR="00660275" w:rsidRPr="00CC562C">
        <w:rPr>
          <w:rFonts w:ascii="Arial" w:hAnsi="Arial" w:cs="Arial"/>
          <w:sz w:val="20"/>
          <w:lang w:val="en-GB"/>
        </w:rPr>
        <w:t xml:space="preserve">Slovenian </w:t>
      </w:r>
      <w:r w:rsidRPr="00CC562C">
        <w:rPr>
          <w:rFonts w:ascii="Arial" w:hAnsi="Arial" w:cs="Arial"/>
          <w:sz w:val="20"/>
          <w:lang w:val="en-GB"/>
        </w:rPr>
        <w:t>National Housing Programme</w:t>
      </w:r>
      <w:r w:rsidR="00406C59" w:rsidRPr="00CC562C">
        <w:rPr>
          <w:rStyle w:val="FootnoteReference"/>
          <w:rFonts w:ascii="Arial" w:hAnsi="Arial" w:cs="Arial"/>
          <w:sz w:val="20"/>
          <w:lang w:val="en-GB"/>
        </w:rPr>
        <w:footnoteReference w:id="1"/>
      </w:r>
      <w:r w:rsidRPr="00CC562C">
        <w:rPr>
          <w:rFonts w:ascii="Arial" w:hAnsi="Arial" w:cs="Arial"/>
          <w:sz w:val="20"/>
          <w:lang w:val="en-GB"/>
        </w:rPr>
        <w:t xml:space="preserve"> establishes</w:t>
      </w:r>
      <w:r w:rsidR="00A74697" w:rsidRPr="00CC562C">
        <w:rPr>
          <w:rFonts w:ascii="Arial" w:hAnsi="Arial" w:cs="Arial"/>
          <w:sz w:val="20"/>
          <w:lang w:val="en-GB"/>
        </w:rPr>
        <w:t xml:space="preserve"> (</w:t>
      </w:r>
      <w:r w:rsidR="00A74697" w:rsidRPr="00CC562C">
        <w:rPr>
          <w:rFonts w:ascii="Arial" w:hAnsi="Arial" w:cs="Arial"/>
          <w:i/>
          <w:sz w:val="20"/>
          <w:lang w:val="en-GB"/>
        </w:rPr>
        <w:t xml:space="preserve">see: </w:t>
      </w:r>
      <w:r w:rsidR="00BF0F23">
        <w:rPr>
          <w:rFonts w:ascii="Arial" w:hAnsi="Arial" w:cs="Arial"/>
          <w:i/>
          <w:sz w:val="20"/>
          <w:lang w:val="en-GB"/>
        </w:rPr>
        <w:t>A</w:t>
      </w:r>
      <w:r w:rsidR="00A74697" w:rsidRPr="00CC562C">
        <w:rPr>
          <w:rFonts w:ascii="Arial" w:hAnsi="Arial" w:cs="Arial"/>
          <w:i/>
          <w:sz w:val="20"/>
          <w:lang w:val="en-GB"/>
        </w:rPr>
        <w:t>nnex 1</w:t>
      </w:r>
      <w:r w:rsidR="00A74697" w:rsidRPr="00CC562C">
        <w:rPr>
          <w:rFonts w:ascii="Arial" w:hAnsi="Arial" w:cs="Arial"/>
          <w:sz w:val="20"/>
          <w:lang w:val="en-GB"/>
        </w:rPr>
        <w:t>)</w:t>
      </w:r>
      <w:r w:rsidRPr="00CC562C">
        <w:rPr>
          <w:rFonts w:ascii="Arial" w:hAnsi="Arial" w:cs="Arial"/>
          <w:sz w:val="20"/>
          <w:lang w:val="en-GB"/>
        </w:rPr>
        <w:t xml:space="preserve"> an active housing policy through which the state will contribute to the achievement of targets defined in its development, spatial planning and social development programmes</w:t>
      </w:r>
      <w:r w:rsidR="0064118B">
        <w:rPr>
          <w:rFonts w:ascii="Arial" w:hAnsi="Arial" w:cs="Arial"/>
          <w:sz w:val="20"/>
          <w:lang w:val="en-GB"/>
        </w:rPr>
        <w:t>.</w:t>
      </w:r>
      <w:r w:rsidR="00E1774D">
        <w:rPr>
          <w:rFonts w:ascii="Arial" w:hAnsi="Arial" w:cs="Arial"/>
          <w:sz w:val="20"/>
          <w:lang w:val="en-GB"/>
        </w:rPr>
        <w:t xml:space="preserve"> I</w:t>
      </w:r>
      <w:r w:rsidRPr="00CC562C">
        <w:rPr>
          <w:rFonts w:ascii="Arial" w:hAnsi="Arial" w:cs="Arial"/>
          <w:b/>
          <w:sz w:val="20"/>
          <w:lang w:val="en-GB"/>
        </w:rPr>
        <w:t>n drafting the new programme, public interest has been the guiding principle</w:t>
      </w:r>
      <w:r w:rsidRPr="00CC562C">
        <w:rPr>
          <w:rFonts w:ascii="Arial" w:hAnsi="Arial" w:cs="Arial"/>
          <w:sz w:val="20"/>
          <w:lang w:val="en-GB"/>
        </w:rPr>
        <w:t xml:space="preserve"> for establishing conditions that will offer a vast share of the population equal opportunities for addressing their housing needs</w:t>
      </w:r>
      <w:r w:rsidR="00C82370" w:rsidRPr="00CC562C">
        <w:rPr>
          <w:rFonts w:ascii="Arial" w:hAnsi="Arial" w:cs="Arial"/>
          <w:sz w:val="20"/>
          <w:lang w:val="en-GB"/>
        </w:rPr>
        <w:t xml:space="preserve">. </w:t>
      </w:r>
      <w:r w:rsidR="00AA350C" w:rsidRPr="00CC562C">
        <w:rPr>
          <w:rFonts w:ascii="Arial" w:hAnsi="Arial" w:cs="Arial"/>
          <w:sz w:val="20"/>
          <w:lang w:val="en-GB"/>
        </w:rPr>
        <w:t xml:space="preserve">The new Programme is a document that provides a response to the actual housing situation. In this document the state establishes conditions for implementing all citizens’ constitutional right of choice in addressing their housing needs, and defines the general targets of the housing policy. At the same time this is an </w:t>
      </w:r>
      <w:r w:rsidR="00AA350C" w:rsidRPr="004E29A5">
        <w:rPr>
          <w:rFonts w:ascii="Arial" w:hAnsi="Arial" w:cs="Arial"/>
          <w:b/>
          <w:sz w:val="20"/>
          <w:lang w:val="en-GB"/>
        </w:rPr>
        <w:t>operative document</w:t>
      </w:r>
      <w:r w:rsidR="004E29A5">
        <w:rPr>
          <w:rFonts w:ascii="Arial" w:hAnsi="Arial" w:cs="Arial"/>
          <w:b/>
          <w:sz w:val="20"/>
          <w:lang w:val="en-GB"/>
        </w:rPr>
        <w:t xml:space="preserve"> </w:t>
      </w:r>
      <w:r w:rsidR="004E29A5" w:rsidRPr="004E29A5">
        <w:rPr>
          <w:rFonts w:ascii="Arial" w:hAnsi="Arial" w:cs="Arial"/>
          <w:sz w:val="20"/>
          <w:lang w:val="en-GB"/>
        </w:rPr>
        <w:t xml:space="preserve">(see: </w:t>
      </w:r>
      <w:r w:rsidR="0044160A">
        <w:rPr>
          <w:rFonts w:ascii="Arial" w:hAnsi="Arial" w:cs="Arial"/>
          <w:sz w:val="20"/>
          <w:lang w:val="en-GB"/>
        </w:rPr>
        <w:t>A</w:t>
      </w:r>
      <w:r w:rsidR="004E29A5" w:rsidRPr="004E29A5">
        <w:rPr>
          <w:rFonts w:ascii="Arial" w:hAnsi="Arial" w:cs="Arial"/>
          <w:sz w:val="20"/>
          <w:lang w:val="en-GB"/>
        </w:rPr>
        <w:t>nnex 2</w:t>
      </w:r>
      <w:r w:rsidR="00C879AD">
        <w:rPr>
          <w:rFonts w:ascii="Arial" w:hAnsi="Arial" w:cs="Arial"/>
          <w:sz w:val="20"/>
          <w:lang w:val="en-GB"/>
        </w:rPr>
        <w:t xml:space="preserve"> – Action plan</w:t>
      </w:r>
      <w:r w:rsidR="004E29A5" w:rsidRPr="004E29A5">
        <w:rPr>
          <w:rFonts w:ascii="Arial" w:hAnsi="Arial" w:cs="Arial"/>
          <w:sz w:val="20"/>
          <w:lang w:val="en-GB"/>
        </w:rPr>
        <w:t>)</w:t>
      </w:r>
      <w:r w:rsidR="004E29A5" w:rsidRPr="004E29A5">
        <w:rPr>
          <w:rFonts w:ascii="Arial" w:hAnsi="Arial" w:cs="Arial"/>
          <w:b/>
          <w:sz w:val="20"/>
          <w:lang w:val="en-GB"/>
        </w:rPr>
        <w:t xml:space="preserve"> </w:t>
      </w:r>
      <w:r w:rsidR="00AA350C" w:rsidRPr="00CC562C">
        <w:rPr>
          <w:rFonts w:ascii="Arial" w:hAnsi="Arial" w:cs="Arial"/>
          <w:sz w:val="20"/>
          <w:lang w:val="en-GB"/>
        </w:rPr>
        <w:t xml:space="preserve">aimed at enhancing the options for the solution of citizens' housing needs. </w:t>
      </w:r>
      <w:r w:rsidR="00AA350C" w:rsidRPr="00CC562C">
        <w:rPr>
          <w:rFonts w:ascii="Arial" w:hAnsi="Arial" w:cs="Arial"/>
          <w:b/>
          <w:sz w:val="20"/>
          <w:lang w:val="en-GB"/>
        </w:rPr>
        <w:t>It focuses in particular on providing quality life for vulnerable population groups by taking into consideration their specific needs.</w:t>
      </w:r>
      <w:r w:rsidR="00A74697" w:rsidRPr="00CC562C">
        <w:rPr>
          <w:rFonts w:ascii="Arial" w:hAnsi="Arial" w:cs="Arial"/>
          <w:b/>
          <w:sz w:val="20"/>
          <w:lang w:val="en-GB"/>
        </w:rPr>
        <w:t xml:space="preserve"> </w:t>
      </w:r>
      <w:r w:rsidR="007F79EB" w:rsidRPr="00CC562C">
        <w:rPr>
          <w:rFonts w:ascii="Arial" w:hAnsi="Arial" w:cs="Arial"/>
          <w:sz w:val="20"/>
          <w:lang w:val="en-GB"/>
        </w:rPr>
        <w:t>The new Programme devotes particular attention to creating conditions for providing quality of life for various target populations groups. Interlinked measures in various priority areas, in the form of project packages, will address the housing needs of two specific target population groups: the young and the elderly.</w:t>
      </w:r>
    </w:p>
    <w:p w:rsidR="009B16E2" w:rsidRPr="00E149F2" w:rsidRDefault="003D5808" w:rsidP="009B16E2">
      <w:pPr>
        <w:rPr>
          <w:rFonts w:cs="Arial"/>
          <w:b/>
          <w:sz w:val="18"/>
          <w:lang w:val="en-GB"/>
        </w:rPr>
      </w:pPr>
      <w:r w:rsidRPr="00E149F2">
        <w:rPr>
          <w:rFonts w:cs="Arial"/>
          <w:b/>
          <w:sz w:val="18"/>
          <w:lang w:val="en-GB"/>
        </w:rPr>
        <w:t xml:space="preserve">Fig 1: </w:t>
      </w:r>
      <w:r w:rsidR="009B16E2" w:rsidRPr="00E149F2">
        <w:rPr>
          <w:rFonts w:cs="Arial"/>
          <w:b/>
          <w:sz w:val="18"/>
          <w:lang w:val="en-GB"/>
        </w:rPr>
        <w:t>National Housing Programme: projects by priority areas in the period 2015-2025: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78"/>
        <w:gridCol w:w="2127"/>
        <w:gridCol w:w="2137"/>
        <w:gridCol w:w="2257"/>
      </w:tblGrid>
      <w:tr w:rsidR="009B16E2" w:rsidRPr="00CC562C" w:rsidTr="00CC562C">
        <w:tc>
          <w:tcPr>
            <w:tcW w:w="1165" w:type="dxa"/>
            <w:vMerge w:val="restart"/>
            <w:shd w:val="clear" w:color="auto" w:fill="auto"/>
          </w:tcPr>
          <w:p w:rsidR="00CC562C" w:rsidRDefault="00CC562C" w:rsidP="00EE0337">
            <w:pPr>
              <w:jc w:val="center"/>
              <w:rPr>
                <w:rFonts w:eastAsia="Calibri" w:cs="Arial"/>
                <w:sz w:val="18"/>
                <w:szCs w:val="20"/>
                <w:lang w:val="en-GB"/>
              </w:rPr>
            </w:pPr>
          </w:p>
          <w:p w:rsidR="00A75F12" w:rsidRDefault="00A75F12" w:rsidP="00EE0337">
            <w:pPr>
              <w:jc w:val="center"/>
              <w:rPr>
                <w:rFonts w:eastAsia="Calibri" w:cs="Arial"/>
                <w:sz w:val="18"/>
                <w:szCs w:val="20"/>
                <w:lang w:val="en-GB"/>
              </w:rPr>
            </w:pP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P</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R</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O</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J</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E</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C</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T</w:t>
            </w:r>
          </w:p>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S</w:t>
            </w:r>
          </w:p>
        </w:tc>
        <w:tc>
          <w:tcPr>
            <w:tcW w:w="1778" w:type="dxa"/>
            <w:shd w:val="clear" w:color="auto" w:fill="8DB3E2" w:themeFill="text2" w:themeFillTint="66"/>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Activation of the existing housing stock</w:t>
            </w:r>
          </w:p>
        </w:tc>
        <w:tc>
          <w:tcPr>
            <w:tcW w:w="2127" w:type="dxa"/>
            <w:shd w:val="clear" w:color="auto" w:fill="BFBFBF" w:themeFill="background1" w:themeFillShade="BF"/>
          </w:tcPr>
          <w:p w:rsidR="009B16E2" w:rsidRPr="00CC562C" w:rsidRDefault="009B16E2" w:rsidP="008E275F">
            <w:pPr>
              <w:jc w:val="center"/>
              <w:rPr>
                <w:rFonts w:eastAsia="Calibri" w:cs="Arial"/>
                <w:b/>
                <w:sz w:val="18"/>
                <w:szCs w:val="20"/>
                <w:lang w:val="en-GB"/>
              </w:rPr>
            </w:pPr>
            <w:r w:rsidRPr="00CC562C">
              <w:rPr>
                <w:rFonts w:eastAsia="Calibri" w:cs="Arial"/>
                <w:b/>
                <w:sz w:val="18"/>
                <w:szCs w:val="20"/>
                <w:lang w:val="en-GB"/>
              </w:rPr>
              <w:t>Bette</w:t>
            </w:r>
            <w:r w:rsidR="00AA7B03">
              <w:rPr>
                <w:rFonts w:eastAsia="Calibri" w:cs="Arial"/>
                <w:b/>
                <w:sz w:val="18"/>
                <w:szCs w:val="20"/>
                <w:lang w:val="en-GB"/>
              </w:rPr>
              <w:t>r accessibility of housing</w:t>
            </w:r>
          </w:p>
        </w:tc>
        <w:tc>
          <w:tcPr>
            <w:tcW w:w="2137" w:type="dxa"/>
            <w:shd w:val="clear" w:color="auto" w:fill="8DB3E2" w:themeFill="text2" w:themeFillTint="66"/>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Renovation of the housing stock</w:t>
            </w:r>
          </w:p>
        </w:tc>
        <w:tc>
          <w:tcPr>
            <w:tcW w:w="2257" w:type="dxa"/>
            <w:shd w:val="clear" w:color="auto" w:fill="8DB3E2" w:themeFill="text2" w:themeFillTint="66"/>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Building of new housing in areas where there is the greatest need</w:t>
            </w:r>
          </w:p>
        </w:tc>
      </w:tr>
      <w:tr w:rsidR="009B16E2" w:rsidRPr="00CC562C" w:rsidTr="00CC562C">
        <w:trPr>
          <w:trHeight w:val="847"/>
        </w:trPr>
        <w:tc>
          <w:tcPr>
            <w:tcW w:w="1165" w:type="dxa"/>
            <w:vMerge/>
            <w:shd w:val="clear" w:color="auto" w:fill="auto"/>
          </w:tcPr>
          <w:p w:rsidR="009B16E2" w:rsidRPr="00CC562C" w:rsidRDefault="009B16E2" w:rsidP="00EE0337">
            <w:pPr>
              <w:rPr>
                <w:rFonts w:eastAsia="Calibri" w:cs="Arial"/>
                <w:sz w:val="18"/>
                <w:szCs w:val="20"/>
                <w:lang w:val="en-GB"/>
              </w:rPr>
            </w:pPr>
          </w:p>
        </w:tc>
        <w:tc>
          <w:tcPr>
            <w:tcW w:w="1778"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Increased security of tenancies</w:t>
            </w:r>
          </w:p>
        </w:tc>
        <w:tc>
          <w:tcPr>
            <w:tcW w:w="2127" w:type="dxa"/>
            <w:shd w:val="clear" w:color="auto" w:fill="BFBFBF" w:themeFill="background1" w:themeFillShade="BF"/>
          </w:tcPr>
          <w:p w:rsidR="009B16E2" w:rsidRPr="00CC562C" w:rsidRDefault="009B16E2" w:rsidP="00EE0337">
            <w:pPr>
              <w:rPr>
                <w:rFonts w:eastAsia="Calibri" w:cs="Arial"/>
                <w:b/>
                <w:sz w:val="18"/>
                <w:szCs w:val="20"/>
                <w:lang w:val="en-GB"/>
              </w:rPr>
            </w:pPr>
            <w:r w:rsidRPr="00CC562C">
              <w:rPr>
                <w:rFonts w:eastAsia="Calibri" w:cs="Arial"/>
                <w:b/>
                <w:sz w:val="18"/>
                <w:szCs w:val="20"/>
                <w:lang w:val="en-GB"/>
              </w:rPr>
              <w:t>New tenancy policy</w:t>
            </w:r>
          </w:p>
        </w:tc>
        <w:tc>
          <w:tcPr>
            <w:tcW w:w="2137"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Energy renovation  of residential buildings</w:t>
            </w:r>
          </w:p>
        </w:tc>
        <w:tc>
          <w:tcPr>
            <w:tcW w:w="2257"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Building of public rental dwellings</w:t>
            </w:r>
          </w:p>
        </w:tc>
      </w:tr>
      <w:tr w:rsidR="009B16E2" w:rsidRPr="00CC562C" w:rsidTr="00CC562C">
        <w:trPr>
          <w:trHeight w:val="933"/>
        </w:trPr>
        <w:tc>
          <w:tcPr>
            <w:tcW w:w="1165" w:type="dxa"/>
            <w:vMerge/>
            <w:shd w:val="clear" w:color="auto" w:fill="auto"/>
          </w:tcPr>
          <w:p w:rsidR="009B16E2" w:rsidRPr="00CC562C" w:rsidRDefault="009B16E2" w:rsidP="00EE0337">
            <w:pPr>
              <w:rPr>
                <w:rFonts w:eastAsia="Calibri" w:cs="Arial"/>
                <w:sz w:val="18"/>
                <w:szCs w:val="20"/>
                <w:lang w:val="en-GB"/>
              </w:rPr>
            </w:pPr>
          </w:p>
        </w:tc>
        <w:tc>
          <w:tcPr>
            <w:tcW w:w="1778"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Public service for managing rental housing stock</w:t>
            </w:r>
          </w:p>
        </w:tc>
        <w:tc>
          <w:tcPr>
            <w:tcW w:w="2127" w:type="dxa"/>
            <w:shd w:val="clear" w:color="auto" w:fill="BFBFBF" w:themeFill="background1" w:themeFillShade="BF"/>
          </w:tcPr>
          <w:p w:rsidR="009B16E2" w:rsidRPr="00CC562C" w:rsidRDefault="009B16E2" w:rsidP="00EE0337">
            <w:pPr>
              <w:rPr>
                <w:rFonts w:eastAsia="Calibri" w:cs="Arial"/>
                <w:b/>
                <w:sz w:val="18"/>
                <w:szCs w:val="20"/>
                <w:lang w:val="en-GB"/>
              </w:rPr>
            </w:pPr>
            <w:r w:rsidRPr="00CC562C">
              <w:rPr>
                <w:rFonts w:eastAsia="Calibri" w:cs="Arial"/>
                <w:b/>
                <w:sz w:val="18"/>
                <w:szCs w:val="20"/>
                <w:lang w:val="en-GB"/>
              </w:rPr>
              <w:t>Scheme for young people</w:t>
            </w:r>
          </w:p>
        </w:tc>
        <w:tc>
          <w:tcPr>
            <w:tcW w:w="2137"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Functional renovation of one-dwelling buildings</w:t>
            </w:r>
          </w:p>
        </w:tc>
        <w:tc>
          <w:tcPr>
            <w:tcW w:w="2257" w:type="dxa"/>
            <w:shd w:val="clear" w:color="auto" w:fill="auto"/>
          </w:tcPr>
          <w:p w:rsidR="009B16E2" w:rsidRPr="00CC562C" w:rsidRDefault="009B16E2" w:rsidP="00EE0337">
            <w:pPr>
              <w:rPr>
                <w:rFonts w:eastAsia="Calibri" w:cs="Arial"/>
                <w:sz w:val="18"/>
                <w:szCs w:val="20"/>
                <w:lang w:val="en-GB"/>
              </w:rPr>
            </w:pPr>
            <w:r w:rsidRPr="00CC562C">
              <w:rPr>
                <w:rFonts w:eastAsia="Calibri" w:cs="Arial"/>
                <w:sz w:val="18"/>
                <w:szCs w:val="20"/>
                <w:lang w:val="en-GB"/>
              </w:rPr>
              <w:t>Active land policy</w:t>
            </w:r>
          </w:p>
        </w:tc>
      </w:tr>
      <w:tr w:rsidR="00335746" w:rsidRPr="00CC562C" w:rsidTr="00CC562C">
        <w:trPr>
          <w:trHeight w:val="863"/>
        </w:trPr>
        <w:tc>
          <w:tcPr>
            <w:tcW w:w="1165" w:type="dxa"/>
            <w:vMerge/>
            <w:shd w:val="clear" w:color="auto" w:fill="auto"/>
          </w:tcPr>
          <w:p w:rsidR="00335746" w:rsidRPr="00CC562C" w:rsidRDefault="00335746" w:rsidP="00EE0337">
            <w:pPr>
              <w:rPr>
                <w:rFonts w:eastAsia="Calibri" w:cs="Arial"/>
                <w:sz w:val="18"/>
                <w:szCs w:val="20"/>
                <w:lang w:val="en-GB"/>
              </w:rPr>
            </w:pPr>
          </w:p>
        </w:tc>
        <w:tc>
          <w:tcPr>
            <w:tcW w:w="1778" w:type="dxa"/>
            <w:vMerge w:val="restart"/>
            <w:shd w:val="clear" w:color="auto" w:fill="auto"/>
          </w:tcPr>
          <w:p w:rsidR="00335746" w:rsidRPr="00CC562C" w:rsidRDefault="00335746" w:rsidP="00EE0337">
            <w:pPr>
              <w:rPr>
                <w:rFonts w:eastAsia="Calibri" w:cs="Arial"/>
                <w:sz w:val="18"/>
                <w:szCs w:val="20"/>
                <w:lang w:val="en-GB"/>
              </w:rPr>
            </w:pPr>
          </w:p>
        </w:tc>
        <w:tc>
          <w:tcPr>
            <w:tcW w:w="2127" w:type="dxa"/>
            <w:shd w:val="clear" w:color="auto" w:fill="BFBFBF" w:themeFill="background1" w:themeFillShade="BF"/>
          </w:tcPr>
          <w:p w:rsidR="00335746" w:rsidRPr="00CC562C" w:rsidRDefault="00335746" w:rsidP="00EE0337">
            <w:pPr>
              <w:rPr>
                <w:rFonts w:eastAsia="Calibri" w:cs="Arial"/>
                <w:b/>
                <w:sz w:val="18"/>
                <w:szCs w:val="20"/>
                <w:lang w:val="en-GB"/>
              </w:rPr>
            </w:pPr>
            <w:r w:rsidRPr="00CC562C">
              <w:rPr>
                <w:rFonts w:eastAsia="Calibri" w:cs="Arial"/>
                <w:b/>
                <w:sz w:val="18"/>
                <w:szCs w:val="20"/>
                <w:lang w:val="en-GB"/>
              </w:rPr>
              <w:t>Adequate housing for the elderly</w:t>
            </w:r>
          </w:p>
        </w:tc>
        <w:tc>
          <w:tcPr>
            <w:tcW w:w="2137" w:type="dxa"/>
            <w:shd w:val="clear" w:color="auto" w:fill="auto"/>
          </w:tcPr>
          <w:p w:rsidR="00335746" w:rsidRPr="00CC562C" w:rsidRDefault="00335746" w:rsidP="00EE0337">
            <w:pPr>
              <w:rPr>
                <w:rFonts w:eastAsia="Calibri" w:cs="Arial"/>
                <w:sz w:val="18"/>
                <w:szCs w:val="20"/>
                <w:lang w:val="en-GB"/>
              </w:rPr>
            </w:pPr>
            <w:r w:rsidRPr="00CC562C">
              <w:rPr>
                <w:rFonts w:eastAsia="Calibri" w:cs="Arial"/>
                <w:sz w:val="18"/>
                <w:szCs w:val="20"/>
                <w:lang w:val="en-GB"/>
              </w:rPr>
              <w:t>Integrated renovation of residential neighbourhoods</w:t>
            </w:r>
          </w:p>
        </w:tc>
        <w:tc>
          <w:tcPr>
            <w:tcW w:w="2257" w:type="dxa"/>
            <w:vMerge w:val="restart"/>
            <w:shd w:val="clear" w:color="auto" w:fill="auto"/>
          </w:tcPr>
          <w:p w:rsidR="00335746" w:rsidRPr="00CC562C" w:rsidRDefault="00335746" w:rsidP="00EE0337">
            <w:pPr>
              <w:rPr>
                <w:rFonts w:eastAsia="Calibri" w:cs="Arial"/>
                <w:sz w:val="18"/>
                <w:szCs w:val="20"/>
                <w:lang w:val="en-GB"/>
              </w:rPr>
            </w:pPr>
          </w:p>
        </w:tc>
      </w:tr>
      <w:tr w:rsidR="00335746" w:rsidRPr="00CC562C" w:rsidTr="000D63A9">
        <w:trPr>
          <w:trHeight w:val="731"/>
        </w:trPr>
        <w:tc>
          <w:tcPr>
            <w:tcW w:w="1165" w:type="dxa"/>
            <w:vMerge/>
            <w:shd w:val="clear" w:color="auto" w:fill="auto"/>
          </w:tcPr>
          <w:p w:rsidR="00335746" w:rsidRPr="00CC562C" w:rsidRDefault="00335746" w:rsidP="00EE0337">
            <w:pPr>
              <w:rPr>
                <w:rFonts w:eastAsia="Calibri" w:cs="Arial"/>
                <w:sz w:val="18"/>
                <w:szCs w:val="20"/>
                <w:lang w:val="en-GB"/>
              </w:rPr>
            </w:pPr>
          </w:p>
        </w:tc>
        <w:tc>
          <w:tcPr>
            <w:tcW w:w="1778" w:type="dxa"/>
            <w:vMerge/>
            <w:shd w:val="clear" w:color="auto" w:fill="auto"/>
          </w:tcPr>
          <w:p w:rsidR="00335746" w:rsidRPr="00CC562C" w:rsidRDefault="00335746" w:rsidP="00EE0337">
            <w:pPr>
              <w:rPr>
                <w:rFonts w:eastAsia="Calibri" w:cs="Arial"/>
                <w:sz w:val="18"/>
                <w:szCs w:val="20"/>
                <w:lang w:val="en-GB"/>
              </w:rPr>
            </w:pPr>
          </w:p>
        </w:tc>
        <w:tc>
          <w:tcPr>
            <w:tcW w:w="2127" w:type="dxa"/>
            <w:shd w:val="clear" w:color="auto" w:fill="808080" w:themeFill="background1" w:themeFillShade="80"/>
          </w:tcPr>
          <w:p w:rsidR="00335746" w:rsidRPr="00CC562C" w:rsidRDefault="00335746" w:rsidP="00EE0337">
            <w:pPr>
              <w:rPr>
                <w:rFonts w:eastAsia="Calibri" w:cs="Arial"/>
                <w:b/>
                <w:sz w:val="18"/>
                <w:szCs w:val="20"/>
                <w:lang w:val="en-GB"/>
              </w:rPr>
            </w:pPr>
            <w:r w:rsidRPr="00CC562C">
              <w:rPr>
                <w:rFonts w:eastAsia="Calibri" w:cs="Arial"/>
                <w:b/>
                <w:sz w:val="18"/>
                <w:szCs w:val="20"/>
                <w:lang w:val="en-GB"/>
              </w:rPr>
              <w:t>Scheme for providing special purpose dwelling units</w:t>
            </w:r>
          </w:p>
        </w:tc>
        <w:tc>
          <w:tcPr>
            <w:tcW w:w="2137" w:type="dxa"/>
            <w:shd w:val="clear" w:color="auto" w:fill="auto"/>
          </w:tcPr>
          <w:p w:rsidR="00335746" w:rsidRPr="00CC562C" w:rsidRDefault="00335746" w:rsidP="00EE0337">
            <w:pPr>
              <w:rPr>
                <w:rFonts w:eastAsia="Calibri" w:cs="Arial"/>
                <w:sz w:val="18"/>
                <w:szCs w:val="20"/>
                <w:lang w:val="en-GB"/>
              </w:rPr>
            </w:pPr>
          </w:p>
        </w:tc>
        <w:tc>
          <w:tcPr>
            <w:tcW w:w="2257" w:type="dxa"/>
            <w:vMerge/>
            <w:shd w:val="clear" w:color="auto" w:fill="auto"/>
          </w:tcPr>
          <w:p w:rsidR="00335746" w:rsidRPr="00CC562C" w:rsidRDefault="00335746" w:rsidP="00EE0337">
            <w:pPr>
              <w:rPr>
                <w:rFonts w:eastAsia="Calibri" w:cs="Arial"/>
                <w:sz w:val="18"/>
                <w:szCs w:val="20"/>
                <w:lang w:val="en-GB"/>
              </w:rPr>
            </w:pPr>
          </w:p>
        </w:tc>
      </w:tr>
      <w:tr w:rsidR="009B16E2" w:rsidRPr="00CC562C" w:rsidTr="00DA0F8B">
        <w:trPr>
          <w:trHeight w:val="294"/>
        </w:trPr>
        <w:tc>
          <w:tcPr>
            <w:tcW w:w="1165" w:type="dxa"/>
            <w:vMerge/>
            <w:shd w:val="clear" w:color="auto" w:fill="auto"/>
          </w:tcPr>
          <w:p w:rsidR="009B16E2" w:rsidRPr="00CC562C" w:rsidRDefault="009B16E2" w:rsidP="00EE0337">
            <w:pPr>
              <w:jc w:val="center"/>
              <w:rPr>
                <w:rFonts w:eastAsia="Calibri" w:cs="Arial"/>
                <w:sz w:val="18"/>
                <w:szCs w:val="20"/>
                <w:lang w:val="en-GB"/>
              </w:rPr>
            </w:pPr>
          </w:p>
        </w:tc>
        <w:tc>
          <w:tcPr>
            <w:tcW w:w="8299" w:type="dxa"/>
            <w:gridSpan w:val="4"/>
            <w:shd w:val="clear" w:color="auto" w:fill="auto"/>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Implementing bodies and supporting activities</w:t>
            </w:r>
          </w:p>
        </w:tc>
      </w:tr>
      <w:tr w:rsidR="009B16E2" w:rsidRPr="00CC562C" w:rsidTr="00CC562C">
        <w:trPr>
          <w:trHeight w:val="850"/>
        </w:trPr>
        <w:tc>
          <w:tcPr>
            <w:tcW w:w="1165" w:type="dxa"/>
            <w:vMerge/>
            <w:shd w:val="clear" w:color="auto" w:fill="auto"/>
          </w:tcPr>
          <w:p w:rsidR="009B16E2" w:rsidRPr="00CC562C" w:rsidRDefault="009B16E2" w:rsidP="00EE0337">
            <w:pPr>
              <w:jc w:val="center"/>
              <w:rPr>
                <w:rFonts w:eastAsia="Calibri" w:cs="Arial"/>
                <w:sz w:val="18"/>
                <w:szCs w:val="20"/>
                <w:lang w:val="en-GB"/>
              </w:rPr>
            </w:pPr>
          </w:p>
        </w:tc>
        <w:tc>
          <w:tcPr>
            <w:tcW w:w="1778" w:type="dxa"/>
            <w:shd w:val="clear" w:color="auto" w:fill="auto"/>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HOUSING FUND OF THE REPUBLIC OF SLOVENIA</w:t>
            </w:r>
          </w:p>
        </w:tc>
        <w:tc>
          <w:tcPr>
            <w:tcW w:w="2127" w:type="dxa"/>
            <w:shd w:val="clear" w:color="auto" w:fill="auto"/>
          </w:tcPr>
          <w:p w:rsidR="009B16E2" w:rsidRPr="00CC562C" w:rsidRDefault="009B16E2" w:rsidP="00FC7207">
            <w:pPr>
              <w:jc w:val="center"/>
              <w:rPr>
                <w:rFonts w:eastAsia="Calibri" w:cs="Arial"/>
                <w:sz w:val="18"/>
                <w:szCs w:val="20"/>
                <w:lang w:val="en-GB"/>
              </w:rPr>
            </w:pPr>
            <w:r w:rsidRPr="00CC562C">
              <w:rPr>
                <w:rFonts w:eastAsia="Calibri" w:cs="Arial"/>
                <w:sz w:val="18"/>
                <w:szCs w:val="20"/>
                <w:lang w:val="en-GB"/>
              </w:rPr>
              <w:t xml:space="preserve">LOCAL </w:t>
            </w:r>
            <w:r w:rsidR="00FC7207">
              <w:rPr>
                <w:rFonts w:eastAsia="Calibri" w:cs="Arial"/>
                <w:sz w:val="18"/>
                <w:szCs w:val="20"/>
                <w:lang w:val="en-GB"/>
              </w:rPr>
              <w:t>MUNICIPALITIES</w:t>
            </w:r>
          </w:p>
        </w:tc>
        <w:tc>
          <w:tcPr>
            <w:tcW w:w="2137" w:type="dxa"/>
            <w:shd w:val="clear" w:color="auto" w:fill="auto"/>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NON-GOVERNMENTAL ORGANISATIONS</w:t>
            </w:r>
          </w:p>
        </w:tc>
        <w:tc>
          <w:tcPr>
            <w:tcW w:w="2257" w:type="dxa"/>
            <w:shd w:val="clear" w:color="auto" w:fill="auto"/>
          </w:tcPr>
          <w:p w:rsidR="009B16E2" w:rsidRPr="00CC562C" w:rsidRDefault="009B16E2" w:rsidP="00EE0337">
            <w:pPr>
              <w:jc w:val="center"/>
              <w:rPr>
                <w:rFonts w:eastAsia="Calibri" w:cs="Arial"/>
                <w:sz w:val="18"/>
                <w:szCs w:val="20"/>
                <w:lang w:val="en-GB"/>
              </w:rPr>
            </w:pPr>
            <w:r w:rsidRPr="00CC562C">
              <w:rPr>
                <w:rFonts w:eastAsia="Calibri" w:cs="Arial"/>
                <w:sz w:val="18"/>
                <w:szCs w:val="20"/>
                <w:lang w:val="en-GB"/>
              </w:rPr>
              <w:t>NETWORKS FOR PROVIDING INFORMATION</w:t>
            </w:r>
          </w:p>
        </w:tc>
      </w:tr>
    </w:tbl>
    <w:p w:rsidR="009B09F7" w:rsidRPr="00E149F2" w:rsidRDefault="009B09F7" w:rsidP="009B09F7">
      <w:pPr>
        <w:pStyle w:val="ListParagraph"/>
        <w:numPr>
          <w:ilvl w:val="0"/>
          <w:numId w:val="3"/>
        </w:numPr>
        <w:jc w:val="both"/>
        <w:rPr>
          <w:rFonts w:ascii="Arial" w:hAnsi="Arial" w:cs="Arial"/>
          <w:b/>
          <w:sz w:val="20"/>
        </w:rPr>
      </w:pPr>
      <w:r w:rsidRPr="00E149F2">
        <w:rPr>
          <w:rFonts w:ascii="Arial" w:hAnsi="Arial" w:cs="Arial"/>
          <w:b/>
          <w:sz w:val="20"/>
        </w:rPr>
        <w:lastRenderedPageBreak/>
        <w:t>Monitoring the effectiveness of National Housing Programme</w:t>
      </w:r>
      <w:r w:rsidR="00805FA7" w:rsidRPr="00E149F2">
        <w:rPr>
          <w:rFonts w:ascii="Arial" w:hAnsi="Arial" w:cs="Arial"/>
          <w:b/>
          <w:sz w:val="20"/>
        </w:rPr>
        <w:t xml:space="preserve"> </w:t>
      </w:r>
      <w:r w:rsidR="00080901" w:rsidRPr="00E149F2">
        <w:rPr>
          <w:rFonts w:ascii="Arial" w:hAnsi="Arial" w:cs="Arial"/>
          <w:b/>
          <w:sz w:val="20"/>
        </w:rPr>
        <w:t>(</w:t>
      </w:r>
      <w:r w:rsidR="00805FA7" w:rsidRPr="00E149F2">
        <w:rPr>
          <w:rFonts w:ascii="Arial" w:hAnsi="Arial" w:cs="Arial"/>
          <w:b/>
          <w:sz w:val="20"/>
        </w:rPr>
        <w:t>goals and timelines</w:t>
      </w:r>
      <w:r w:rsidR="00080901" w:rsidRPr="00E149F2">
        <w:rPr>
          <w:rFonts w:ascii="Arial" w:hAnsi="Arial" w:cs="Arial"/>
          <w:b/>
          <w:sz w:val="20"/>
        </w:rPr>
        <w:t>)</w:t>
      </w:r>
    </w:p>
    <w:p w:rsidR="005631B3" w:rsidRPr="009B09F7" w:rsidRDefault="005631B3" w:rsidP="005631B3">
      <w:pPr>
        <w:pStyle w:val="ListParagraph"/>
        <w:jc w:val="both"/>
        <w:rPr>
          <w:rFonts w:ascii="Arial" w:hAnsi="Arial" w:cs="Arial"/>
          <w:sz w:val="20"/>
        </w:rPr>
      </w:pPr>
    </w:p>
    <w:p w:rsidR="00C82370" w:rsidRPr="00CC562C" w:rsidRDefault="00752508" w:rsidP="00C82370">
      <w:pPr>
        <w:jc w:val="both"/>
        <w:rPr>
          <w:rFonts w:ascii="Arial" w:hAnsi="Arial" w:cs="Arial"/>
          <w:sz w:val="20"/>
          <w:lang w:val="en-GB"/>
        </w:rPr>
      </w:pPr>
      <w:r w:rsidRPr="00CC562C">
        <w:rPr>
          <w:rFonts w:ascii="Arial" w:hAnsi="Arial" w:cs="Arial"/>
          <w:sz w:val="20"/>
          <w:lang w:val="en-GB"/>
        </w:rPr>
        <w:t>The implementation of the Slovenian National Housing Programme is monitored by a series of determined indicators linked to the implementation of measures and actions, and the achievement of the main targets.</w:t>
      </w:r>
      <w:r w:rsidR="00484DFF" w:rsidRPr="00CC562C">
        <w:rPr>
          <w:rFonts w:ascii="Arial" w:hAnsi="Arial" w:cs="Arial"/>
          <w:sz w:val="20"/>
          <w:lang w:val="en-GB"/>
        </w:rPr>
        <w:t xml:space="preserve"> Reports on the implementation of activities defined in the Action plan (see: annex 2) for the implementation of projects for 2015–2025 will be prepared on an annual basis. </w:t>
      </w:r>
      <w:r w:rsidR="00C82370" w:rsidRPr="00CC562C">
        <w:rPr>
          <w:rFonts w:ascii="Arial" w:hAnsi="Arial" w:cs="Arial"/>
          <w:sz w:val="20"/>
          <w:lang w:val="en-GB"/>
        </w:rPr>
        <w:t>The long-term achievement of set targets of the National Housing Programme will also be reviewed. The effectiveness of the National Housing Programme will be assessed at mid-term and at the conclusion of the programme; the results will be used to make corrections to the current programme and to draft the programme for the next programming period.</w:t>
      </w:r>
    </w:p>
    <w:p w:rsidR="00A1020B" w:rsidRPr="00033DC3" w:rsidRDefault="000526D8" w:rsidP="00A1020B">
      <w:pPr>
        <w:pStyle w:val="ListParagraph"/>
        <w:numPr>
          <w:ilvl w:val="0"/>
          <w:numId w:val="3"/>
        </w:numPr>
        <w:jc w:val="both"/>
        <w:rPr>
          <w:rFonts w:ascii="Arial" w:hAnsi="Arial" w:cs="Arial"/>
          <w:b/>
          <w:sz w:val="20"/>
        </w:rPr>
      </w:pPr>
      <w:r w:rsidRPr="00931F4D">
        <w:rPr>
          <w:rFonts w:ascii="Arial" w:hAnsi="Arial" w:cs="Arial"/>
          <w:b/>
          <w:sz w:val="20"/>
        </w:rPr>
        <w:t xml:space="preserve">Activities </w:t>
      </w:r>
      <w:r w:rsidR="0035484F" w:rsidRPr="00931F4D">
        <w:rPr>
          <w:rFonts w:ascii="Arial" w:hAnsi="Arial" w:cs="Arial"/>
          <w:b/>
          <w:sz w:val="20"/>
        </w:rPr>
        <w:t xml:space="preserve">in Slovenian National Housing Programme </w:t>
      </w:r>
      <w:r w:rsidR="005C6F09" w:rsidRPr="00931F4D">
        <w:rPr>
          <w:rFonts w:ascii="Arial" w:hAnsi="Arial" w:cs="Arial"/>
          <w:b/>
          <w:sz w:val="20"/>
        </w:rPr>
        <w:t>aimed to</w:t>
      </w:r>
      <w:r w:rsidRPr="00931F4D">
        <w:rPr>
          <w:rFonts w:ascii="Arial" w:hAnsi="Arial" w:cs="Arial"/>
          <w:b/>
          <w:sz w:val="20"/>
        </w:rPr>
        <w:t xml:space="preserve"> provide</w:t>
      </w:r>
      <w:r w:rsidR="000717B7" w:rsidRPr="00931F4D">
        <w:rPr>
          <w:rFonts w:ascii="Arial" w:hAnsi="Arial" w:cs="Arial"/>
          <w:b/>
          <w:sz w:val="20"/>
        </w:rPr>
        <w:t xml:space="preserve"> </w:t>
      </w:r>
      <w:r w:rsidRPr="00931F4D">
        <w:rPr>
          <w:rFonts w:ascii="Arial" w:hAnsi="Arial" w:cs="Arial"/>
          <w:b/>
          <w:sz w:val="20"/>
        </w:rPr>
        <w:t>b</w:t>
      </w:r>
      <w:r w:rsidR="008E275F" w:rsidRPr="00931F4D">
        <w:rPr>
          <w:rFonts w:ascii="Arial" w:hAnsi="Arial" w:cs="Arial"/>
          <w:b/>
          <w:sz w:val="20"/>
        </w:rPr>
        <w:t xml:space="preserve">etter access to </w:t>
      </w:r>
      <w:r w:rsidR="00E84252" w:rsidRPr="00931F4D">
        <w:rPr>
          <w:rFonts w:ascii="Arial" w:hAnsi="Arial" w:cs="Arial"/>
          <w:b/>
          <w:sz w:val="20"/>
        </w:rPr>
        <w:t>housing</w:t>
      </w:r>
      <w:r w:rsidR="008E275F" w:rsidRPr="00931F4D">
        <w:rPr>
          <w:rFonts w:ascii="Arial" w:hAnsi="Arial" w:cs="Arial"/>
          <w:b/>
          <w:sz w:val="20"/>
        </w:rPr>
        <w:t xml:space="preserve"> for vulnerable population groups</w:t>
      </w:r>
    </w:p>
    <w:p w:rsidR="00931F4D" w:rsidRPr="00931F4D" w:rsidRDefault="00931F4D" w:rsidP="008D07F2">
      <w:pPr>
        <w:pStyle w:val="ListParagraph"/>
        <w:jc w:val="both"/>
        <w:rPr>
          <w:rFonts w:ascii="Arial" w:hAnsi="Arial" w:cs="Arial"/>
          <w:sz w:val="20"/>
        </w:rPr>
      </w:pPr>
    </w:p>
    <w:p w:rsidR="008E275F" w:rsidRPr="008E275F" w:rsidRDefault="008E275F" w:rsidP="008E275F">
      <w:pPr>
        <w:jc w:val="both"/>
        <w:rPr>
          <w:rFonts w:ascii="Arial" w:hAnsi="Arial" w:cs="Arial"/>
          <w:sz w:val="20"/>
          <w:lang w:val="en-GB"/>
        </w:rPr>
      </w:pPr>
      <w:r w:rsidRPr="008E275F">
        <w:rPr>
          <w:rFonts w:ascii="Arial" w:hAnsi="Arial" w:cs="Arial"/>
          <w:sz w:val="20"/>
          <w:lang w:val="en-GB"/>
        </w:rPr>
        <w:t>The right to housing is one of the fundamental human rights, while homelessness and poor access to housing for socially disadvantaged population groups is an extremely severe form of social exclusion; for this reason the Government devote special attention to the addressing of the housing need of these population groups.</w:t>
      </w:r>
      <w:r w:rsidR="00EB2D4C">
        <w:rPr>
          <w:rFonts w:ascii="Arial" w:hAnsi="Arial" w:cs="Arial"/>
          <w:sz w:val="20"/>
          <w:lang w:val="en-GB"/>
        </w:rPr>
        <w:t xml:space="preserve"> </w:t>
      </w:r>
      <w:r w:rsidRPr="008E275F">
        <w:rPr>
          <w:rFonts w:ascii="Arial" w:hAnsi="Arial" w:cs="Arial"/>
          <w:sz w:val="20"/>
          <w:lang w:val="en-GB"/>
        </w:rPr>
        <w:t xml:space="preserve">Necessary measures to ensure better access to </w:t>
      </w:r>
      <w:r w:rsidR="00EB2D4C">
        <w:rPr>
          <w:rFonts w:ascii="Arial" w:hAnsi="Arial" w:cs="Arial"/>
          <w:sz w:val="20"/>
          <w:lang w:val="en-GB"/>
        </w:rPr>
        <w:t>housing</w:t>
      </w:r>
      <w:r w:rsidRPr="008E275F">
        <w:rPr>
          <w:rFonts w:ascii="Arial" w:hAnsi="Arial" w:cs="Arial"/>
          <w:sz w:val="20"/>
          <w:lang w:val="en-GB"/>
        </w:rPr>
        <w:t xml:space="preserve"> for vulnerable population groups:</w:t>
      </w:r>
    </w:p>
    <w:p w:rsidR="008E275F" w:rsidRPr="008E275F" w:rsidRDefault="008E275F" w:rsidP="008E275F">
      <w:pPr>
        <w:jc w:val="both"/>
        <w:rPr>
          <w:rFonts w:ascii="Arial" w:hAnsi="Arial" w:cs="Arial"/>
          <w:sz w:val="20"/>
          <w:lang w:val="en-GB"/>
        </w:rPr>
      </w:pPr>
      <w:r w:rsidRPr="008E275F">
        <w:rPr>
          <w:rFonts w:ascii="Arial" w:hAnsi="Arial" w:cs="Arial"/>
          <w:sz w:val="20"/>
          <w:lang w:val="en-GB"/>
        </w:rPr>
        <w:t>-</w:t>
      </w:r>
      <w:r w:rsidRPr="008E275F">
        <w:rPr>
          <w:rFonts w:ascii="Arial" w:hAnsi="Arial" w:cs="Arial"/>
          <w:sz w:val="20"/>
          <w:lang w:val="en-GB"/>
        </w:rPr>
        <w:tab/>
      </w:r>
      <w:r w:rsidR="003D6B8B">
        <w:rPr>
          <w:rFonts w:ascii="Arial" w:hAnsi="Arial" w:cs="Arial"/>
          <w:sz w:val="20"/>
          <w:lang w:val="en-GB"/>
        </w:rPr>
        <w:t>g</w:t>
      </w:r>
      <w:r w:rsidRPr="008E275F">
        <w:rPr>
          <w:rFonts w:ascii="Arial" w:hAnsi="Arial" w:cs="Arial"/>
          <w:sz w:val="20"/>
          <w:lang w:val="en-GB"/>
        </w:rPr>
        <w:t>radual introduction of the new rental policy will simplify maintenance of rental housing, encourage investors to invest in new housing stock, and will, at the same time, provide financial assistance for payment of rents for the economically weaker population</w:t>
      </w:r>
      <w:r w:rsidR="003D6B8B">
        <w:rPr>
          <w:rStyle w:val="FootnoteReference"/>
          <w:rFonts w:ascii="Arial" w:hAnsi="Arial" w:cs="Arial"/>
          <w:sz w:val="20"/>
          <w:lang w:val="en-GB"/>
        </w:rPr>
        <w:footnoteReference w:id="2"/>
      </w:r>
      <w:r w:rsidRPr="008E275F">
        <w:rPr>
          <w:rFonts w:ascii="Arial" w:hAnsi="Arial" w:cs="Arial"/>
          <w:sz w:val="20"/>
          <w:lang w:val="en-GB"/>
        </w:rPr>
        <w:t>.</w:t>
      </w:r>
    </w:p>
    <w:p w:rsidR="008E275F" w:rsidRPr="008E275F" w:rsidRDefault="008E275F" w:rsidP="008E275F">
      <w:pPr>
        <w:jc w:val="both"/>
        <w:rPr>
          <w:rFonts w:ascii="Arial" w:hAnsi="Arial" w:cs="Arial"/>
          <w:sz w:val="20"/>
          <w:lang w:val="en-GB"/>
        </w:rPr>
      </w:pPr>
      <w:r w:rsidRPr="008E275F">
        <w:rPr>
          <w:rFonts w:ascii="Arial" w:hAnsi="Arial" w:cs="Arial"/>
          <w:sz w:val="20"/>
          <w:lang w:val="en-GB"/>
        </w:rPr>
        <w:t>-</w:t>
      </w:r>
      <w:r w:rsidRPr="008E275F">
        <w:rPr>
          <w:rFonts w:ascii="Arial" w:hAnsi="Arial" w:cs="Arial"/>
          <w:sz w:val="20"/>
          <w:lang w:val="en-GB"/>
        </w:rPr>
        <w:tab/>
      </w:r>
      <w:proofErr w:type="gramStart"/>
      <w:r w:rsidR="003D6B8B">
        <w:rPr>
          <w:rFonts w:ascii="Arial" w:hAnsi="Arial" w:cs="Arial"/>
          <w:sz w:val="20"/>
          <w:lang w:val="en-GB"/>
        </w:rPr>
        <w:t>e</w:t>
      </w:r>
      <w:r w:rsidRPr="008E275F">
        <w:rPr>
          <w:rFonts w:ascii="Arial" w:hAnsi="Arial" w:cs="Arial"/>
          <w:sz w:val="20"/>
          <w:lang w:val="en-GB"/>
        </w:rPr>
        <w:t>ach</w:t>
      </w:r>
      <w:proofErr w:type="gramEnd"/>
      <w:r w:rsidRPr="008E275F">
        <w:rPr>
          <w:rFonts w:ascii="Arial" w:hAnsi="Arial" w:cs="Arial"/>
          <w:sz w:val="20"/>
          <w:lang w:val="en-GB"/>
        </w:rPr>
        <w:t xml:space="preserve"> public rental dwelling sold will have to be replaced by at least one public rental dwelling.</w:t>
      </w:r>
    </w:p>
    <w:p w:rsidR="008E275F" w:rsidRPr="008E275F" w:rsidRDefault="008E275F" w:rsidP="008E275F">
      <w:pPr>
        <w:jc w:val="both"/>
        <w:rPr>
          <w:rFonts w:ascii="Arial" w:hAnsi="Arial" w:cs="Arial"/>
          <w:sz w:val="20"/>
          <w:lang w:val="en-GB"/>
        </w:rPr>
      </w:pPr>
      <w:r w:rsidRPr="008E275F">
        <w:rPr>
          <w:rFonts w:ascii="Arial" w:hAnsi="Arial" w:cs="Arial"/>
          <w:sz w:val="20"/>
          <w:lang w:val="en-GB"/>
        </w:rPr>
        <w:t>-</w:t>
      </w:r>
      <w:r w:rsidRPr="008E275F">
        <w:rPr>
          <w:rFonts w:ascii="Arial" w:hAnsi="Arial" w:cs="Arial"/>
          <w:sz w:val="20"/>
          <w:lang w:val="en-GB"/>
        </w:rPr>
        <w:tab/>
      </w:r>
      <w:r w:rsidR="003D6B8B">
        <w:rPr>
          <w:rFonts w:ascii="Arial" w:hAnsi="Arial" w:cs="Arial"/>
          <w:sz w:val="20"/>
          <w:lang w:val="en-GB"/>
        </w:rPr>
        <w:t>t</w:t>
      </w:r>
      <w:r w:rsidRPr="008E275F">
        <w:rPr>
          <w:rFonts w:ascii="Arial" w:hAnsi="Arial" w:cs="Arial"/>
          <w:sz w:val="20"/>
          <w:lang w:val="en-GB"/>
        </w:rPr>
        <w:t>he range of possible options for addressing one's housing need will be improved and extended, in particular for the young, for the elderly and for persons with special needs.</w:t>
      </w:r>
    </w:p>
    <w:p w:rsidR="008E275F" w:rsidRPr="008E275F" w:rsidRDefault="008E275F" w:rsidP="008E275F">
      <w:pPr>
        <w:jc w:val="both"/>
        <w:rPr>
          <w:rFonts w:ascii="Arial" w:hAnsi="Arial" w:cs="Arial"/>
          <w:sz w:val="20"/>
          <w:lang w:val="en-GB"/>
        </w:rPr>
      </w:pPr>
      <w:r w:rsidRPr="008E275F">
        <w:rPr>
          <w:rFonts w:ascii="Arial" w:hAnsi="Arial" w:cs="Arial"/>
          <w:sz w:val="20"/>
          <w:lang w:val="en-GB"/>
        </w:rPr>
        <w:t>-</w:t>
      </w:r>
      <w:r w:rsidRPr="008E275F">
        <w:rPr>
          <w:rFonts w:ascii="Arial" w:hAnsi="Arial" w:cs="Arial"/>
          <w:sz w:val="20"/>
          <w:lang w:val="en-GB"/>
        </w:rPr>
        <w:tab/>
      </w:r>
      <w:r w:rsidR="003D6B8B">
        <w:rPr>
          <w:rFonts w:ascii="Arial" w:hAnsi="Arial" w:cs="Arial"/>
          <w:sz w:val="20"/>
          <w:lang w:val="en-GB"/>
        </w:rPr>
        <w:t>t</w:t>
      </w:r>
      <w:r w:rsidRPr="008E275F">
        <w:rPr>
          <w:rFonts w:ascii="Arial" w:hAnsi="Arial" w:cs="Arial"/>
          <w:sz w:val="20"/>
          <w:lang w:val="en-GB"/>
        </w:rPr>
        <w:t>he housing stock earmarked for addressing housing needs of the most vulnerable population groups will be increased in accordance with the demand and will be adapted so as to require minimum charges from the user.</w:t>
      </w:r>
    </w:p>
    <w:p w:rsidR="00F9537F" w:rsidRDefault="008E275F" w:rsidP="00F9537F">
      <w:pPr>
        <w:jc w:val="both"/>
        <w:rPr>
          <w:rFonts w:ascii="Arial" w:hAnsi="Arial" w:cs="Arial"/>
          <w:sz w:val="20"/>
          <w:lang w:val="en-GB"/>
        </w:rPr>
      </w:pPr>
      <w:r w:rsidRPr="008E275F">
        <w:rPr>
          <w:rFonts w:ascii="Arial" w:hAnsi="Arial" w:cs="Arial"/>
          <w:sz w:val="20"/>
          <w:lang w:val="en-GB"/>
        </w:rPr>
        <w:t>Addressing housing needs of the vulnerable population groups is a complex and interlinked area, which covers, besides the financial and physical accessibility of housing, specific social care programmes and solutions that are adapted to particular vulnerable groups. Issues linked to the accessibility of housing for vulnerable population groups concern not only setting non-profit rents, providing subsidies for rents, shortage of public rental dwellings, and appropriate dwellings for persons with specific needs, but also the lack of different forms of assistance for people to address their housing needs by themselves. The emphasis will be placed, besides on the gradual regulation of the system of rents, on the conservation of the public rental housing stock, and this by introducing the principle that each public rental dwelling sold must be replaced by at least one (comparable) new public rental dwelling.</w:t>
      </w:r>
      <w:r w:rsidR="0046344D">
        <w:rPr>
          <w:rFonts w:ascii="Arial" w:hAnsi="Arial" w:cs="Arial"/>
          <w:sz w:val="20"/>
          <w:lang w:val="en-GB"/>
        </w:rPr>
        <w:t xml:space="preserve"> </w:t>
      </w:r>
      <w:r w:rsidRPr="008E275F">
        <w:rPr>
          <w:rFonts w:ascii="Arial" w:hAnsi="Arial" w:cs="Arial"/>
          <w:sz w:val="20"/>
          <w:lang w:val="en-GB"/>
        </w:rPr>
        <w:t>Along with the system of incentives to increase the housing supply a system of social residence benefits must be established for socially disadvantages groups. Parallel to the introduction of cost rent for public rental housing a residence allowance must be introduced, which will increase the capacity of the economically weaker population to address their housing needs. As residential allowance is a financial transfer it is paramount that it is included in the established and operational national social relief system, that a mechanism of regular control of beneficiaries of residence allowance is put in place, that any abuse is prevented, and that interconnectivity of records is assured.</w:t>
      </w:r>
    </w:p>
    <w:p w:rsidR="00EB105F" w:rsidRPr="00A96604" w:rsidRDefault="00A96604" w:rsidP="00F9537F">
      <w:pPr>
        <w:jc w:val="both"/>
        <w:rPr>
          <w:rFonts w:cs="Arial"/>
          <w:b/>
          <w:sz w:val="18"/>
          <w:lang w:val="en-GB"/>
        </w:rPr>
      </w:pPr>
      <w:r>
        <w:rPr>
          <w:rFonts w:cs="Arial"/>
          <w:b/>
          <w:sz w:val="18"/>
          <w:lang w:val="en-GB"/>
        </w:rPr>
        <w:lastRenderedPageBreak/>
        <w:t xml:space="preserve">Fig. 2 </w:t>
      </w:r>
      <w:r w:rsidR="00EB105F" w:rsidRPr="00A96604">
        <w:rPr>
          <w:rFonts w:cs="Arial"/>
          <w:b/>
          <w:sz w:val="18"/>
          <w:lang w:val="en-GB"/>
        </w:rPr>
        <w:t xml:space="preserve">Scheme for providing special purpose dwelling units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30"/>
        <w:gridCol w:w="2122"/>
        <w:gridCol w:w="3366"/>
      </w:tblGrid>
      <w:tr w:rsidR="00EB105F" w:rsidRPr="00AB6A68" w:rsidTr="006E1CC4">
        <w:tc>
          <w:tcPr>
            <w:tcW w:w="1668" w:type="dxa"/>
            <w:shd w:val="clear" w:color="auto" w:fill="C6D9F1"/>
          </w:tcPr>
          <w:p w:rsidR="00EB105F" w:rsidRPr="00AB6A68" w:rsidRDefault="00EB105F" w:rsidP="00EE0337">
            <w:pPr>
              <w:tabs>
                <w:tab w:val="left" w:pos="709"/>
              </w:tabs>
              <w:jc w:val="both"/>
              <w:rPr>
                <w:rFonts w:ascii="Calibri" w:hAnsi="Calibri" w:cs="Calibri"/>
                <w:lang w:val="en-GB"/>
              </w:rPr>
            </w:pPr>
            <w:r w:rsidRPr="00AB6A68">
              <w:rPr>
                <w:rFonts w:ascii="Calibri" w:hAnsi="Calibri" w:cs="Calibri"/>
                <w:i/>
                <w:lang w:val="en-GB"/>
              </w:rPr>
              <w:t>Actions</w:t>
            </w:r>
          </w:p>
        </w:tc>
        <w:tc>
          <w:tcPr>
            <w:tcW w:w="2130" w:type="dxa"/>
            <w:shd w:val="clear" w:color="auto" w:fill="C6D9F1"/>
          </w:tcPr>
          <w:p w:rsidR="00EB105F" w:rsidRPr="00AB6A68" w:rsidRDefault="00EB105F" w:rsidP="00EE0337">
            <w:pPr>
              <w:tabs>
                <w:tab w:val="left" w:pos="709"/>
              </w:tabs>
              <w:jc w:val="both"/>
              <w:rPr>
                <w:rFonts w:ascii="Calibri" w:hAnsi="Calibri" w:cs="Calibri"/>
                <w:lang w:val="en-GB"/>
              </w:rPr>
            </w:pPr>
            <w:r w:rsidRPr="00AB6A68">
              <w:rPr>
                <w:rFonts w:ascii="Calibri" w:hAnsi="Calibri" w:cs="Calibri"/>
                <w:i/>
                <w:lang w:val="en-GB"/>
              </w:rPr>
              <w:t>Institution responsible</w:t>
            </w:r>
          </w:p>
        </w:tc>
        <w:tc>
          <w:tcPr>
            <w:tcW w:w="2122" w:type="dxa"/>
            <w:shd w:val="clear" w:color="auto" w:fill="C6D9F1"/>
          </w:tcPr>
          <w:p w:rsidR="00EB105F" w:rsidRPr="00AB6A68" w:rsidRDefault="00EB105F" w:rsidP="00EE0337">
            <w:pPr>
              <w:tabs>
                <w:tab w:val="left" w:pos="709"/>
              </w:tabs>
              <w:jc w:val="both"/>
              <w:rPr>
                <w:rFonts w:ascii="Calibri" w:hAnsi="Calibri" w:cs="Calibri"/>
                <w:lang w:val="en-GB"/>
              </w:rPr>
            </w:pPr>
            <w:r w:rsidRPr="00AB6A68">
              <w:rPr>
                <w:rFonts w:ascii="Calibri" w:hAnsi="Calibri" w:cs="Calibri"/>
                <w:i/>
                <w:lang w:val="en-GB"/>
              </w:rPr>
              <w:t>Time limit</w:t>
            </w:r>
          </w:p>
        </w:tc>
        <w:tc>
          <w:tcPr>
            <w:tcW w:w="3366" w:type="dxa"/>
            <w:shd w:val="clear" w:color="auto" w:fill="C6D9F1"/>
          </w:tcPr>
          <w:p w:rsidR="00EB105F" w:rsidRPr="00AB6A68" w:rsidRDefault="00EB105F" w:rsidP="00EE0337">
            <w:pPr>
              <w:tabs>
                <w:tab w:val="left" w:pos="709"/>
              </w:tabs>
              <w:jc w:val="both"/>
              <w:rPr>
                <w:rFonts w:ascii="Calibri" w:hAnsi="Calibri" w:cs="Calibri"/>
                <w:lang w:val="en-GB"/>
              </w:rPr>
            </w:pPr>
            <w:r w:rsidRPr="00AB6A68">
              <w:rPr>
                <w:rFonts w:ascii="Calibri" w:hAnsi="Calibri" w:cs="Calibri"/>
                <w:i/>
                <w:lang w:val="en-GB"/>
              </w:rPr>
              <w:t>Description of action</w:t>
            </w:r>
          </w:p>
        </w:tc>
      </w:tr>
      <w:tr w:rsidR="00EB105F" w:rsidRPr="00AB6A68" w:rsidTr="006E1CC4">
        <w:tc>
          <w:tcPr>
            <w:tcW w:w="1668" w:type="dxa"/>
          </w:tcPr>
          <w:p w:rsidR="00EB105F" w:rsidRPr="00AB6A68" w:rsidRDefault="00EB105F" w:rsidP="00EE0337">
            <w:pPr>
              <w:tabs>
                <w:tab w:val="left" w:pos="709"/>
              </w:tabs>
              <w:rPr>
                <w:rFonts w:ascii="Calibri" w:hAnsi="Calibri" w:cs="Calibri"/>
                <w:i/>
                <w:lang w:val="en-GB"/>
              </w:rPr>
            </w:pPr>
            <w:r w:rsidRPr="00AB6A68">
              <w:rPr>
                <w:rFonts w:ascii="Calibri" w:hAnsi="Calibri" w:cs="Calibri"/>
                <w:i/>
                <w:lang w:val="en-GB"/>
              </w:rPr>
              <w:t>scheme for providing special purpose housing units</w:t>
            </w:r>
          </w:p>
        </w:tc>
        <w:tc>
          <w:tcPr>
            <w:tcW w:w="2130" w:type="dxa"/>
          </w:tcPr>
          <w:p w:rsidR="00E149F2" w:rsidRDefault="00E149F2" w:rsidP="00EE0337">
            <w:pPr>
              <w:tabs>
                <w:tab w:val="left" w:pos="709"/>
              </w:tabs>
              <w:jc w:val="center"/>
              <w:rPr>
                <w:rFonts w:eastAsia="Calibri" w:cs="Arial"/>
                <w:sz w:val="18"/>
                <w:szCs w:val="20"/>
                <w:lang w:val="en-GB"/>
              </w:rPr>
            </w:pPr>
            <w:r w:rsidRPr="00CC562C">
              <w:rPr>
                <w:rFonts w:eastAsia="Calibri" w:cs="Arial"/>
                <w:sz w:val="18"/>
                <w:szCs w:val="20"/>
                <w:lang w:val="en-GB"/>
              </w:rPr>
              <w:t>HOUSING FUND OF THE REPUBLIC OF SLOVENIA</w:t>
            </w:r>
          </w:p>
          <w:p w:rsidR="00EB105F" w:rsidRPr="00AB6A68" w:rsidRDefault="00EB105F" w:rsidP="005C4000">
            <w:pPr>
              <w:tabs>
                <w:tab w:val="left" w:pos="709"/>
              </w:tabs>
              <w:jc w:val="center"/>
              <w:rPr>
                <w:rFonts w:ascii="Calibri" w:hAnsi="Calibri" w:cs="Calibri"/>
                <w:lang w:val="en-GB"/>
              </w:rPr>
            </w:pPr>
            <w:r w:rsidRPr="00AB6A68">
              <w:rPr>
                <w:rFonts w:ascii="Calibri" w:hAnsi="Calibri" w:cs="Calibri"/>
                <w:i/>
                <w:lang w:val="en-GB"/>
              </w:rPr>
              <w:t xml:space="preserve">(local </w:t>
            </w:r>
            <w:r w:rsidR="005C4000">
              <w:rPr>
                <w:rFonts w:ascii="Calibri" w:hAnsi="Calibri" w:cs="Calibri"/>
                <w:i/>
                <w:lang w:val="en-GB"/>
              </w:rPr>
              <w:t>municipalities</w:t>
            </w:r>
            <w:r w:rsidRPr="00AB6A68">
              <w:rPr>
                <w:rFonts w:ascii="Calibri" w:hAnsi="Calibri" w:cs="Calibri"/>
                <w:i/>
                <w:lang w:val="en-GB"/>
              </w:rPr>
              <w:t>)</w:t>
            </w:r>
          </w:p>
        </w:tc>
        <w:tc>
          <w:tcPr>
            <w:tcW w:w="2122" w:type="dxa"/>
          </w:tcPr>
          <w:p w:rsidR="00EB105F" w:rsidRPr="00AB6A68" w:rsidRDefault="00EB105F" w:rsidP="00EE0337">
            <w:pPr>
              <w:tabs>
                <w:tab w:val="left" w:pos="709"/>
              </w:tabs>
              <w:jc w:val="center"/>
              <w:rPr>
                <w:rFonts w:ascii="Calibri" w:hAnsi="Calibri" w:cs="Calibri"/>
                <w:lang w:val="en-GB"/>
              </w:rPr>
            </w:pPr>
            <w:r w:rsidRPr="00AB6A68">
              <w:rPr>
                <w:rFonts w:ascii="Calibri" w:hAnsi="Calibri" w:cs="Calibri"/>
                <w:i/>
                <w:lang w:val="en-GB"/>
              </w:rPr>
              <w:t>2016 - preparation of the scheme</w:t>
            </w:r>
            <w:r>
              <w:rPr>
                <w:rFonts w:ascii="Calibri" w:hAnsi="Calibri" w:cs="Calibri"/>
                <w:i/>
                <w:lang w:val="en-GB"/>
              </w:rPr>
              <w:t xml:space="preserve"> </w:t>
            </w:r>
          </w:p>
          <w:p w:rsidR="00EB105F" w:rsidRPr="00AB6A68" w:rsidRDefault="00EB105F" w:rsidP="00EE0337">
            <w:pPr>
              <w:tabs>
                <w:tab w:val="left" w:pos="709"/>
              </w:tabs>
              <w:jc w:val="center"/>
              <w:rPr>
                <w:rFonts w:ascii="Calibri" w:hAnsi="Calibri" w:cs="Calibri"/>
                <w:color w:val="000000"/>
                <w:lang w:val="en-GB"/>
              </w:rPr>
            </w:pPr>
            <w:r w:rsidRPr="00AB6A68">
              <w:rPr>
                <w:rFonts w:ascii="Calibri" w:hAnsi="Calibri" w:cs="Calibri"/>
                <w:i/>
                <w:color w:val="000000"/>
                <w:lang w:val="en-GB"/>
              </w:rPr>
              <w:t>2017 - start of implementing the scheme</w:t>
            </w:r>
            <w:r>
              <w:rPr>
                <w:rFonts w:ascii="Calibri" w:hAnsi="Calibri" w:cs="Calibri"/>
                <w:i/>
                <w:color w:val="000000"/>
                <w:lang w:val="en-GB"/>
              </w:rPr>
              <w:t xml:space="preserve"> </w:t>
            </w:r>
          </w:p>
        </w:tc>
        <w:tc>
          <w:tcPr>
            <w:tcW w:w="3366" w:type="dxa"/>
          </w:tcPr>
          <w:p w:rsidR="00EB105F" w:rsidRPr="00AB6A68" w:rsidRDefault="00EB105F" w:rsidP="00EB105F">
            <w:pPr>
              <w:numPr>
                <w:ilvl w:val="0"/>
                <w:numId w:val="4"/>
              </w:numPr>
              <w:tabs>
                <w:tab w:val="left" w:pos="144"/>
              </w:tabs>
              <w:spacing w:after="0" w:line="240" w:lineRule="auto"/>
              <w:contextualSpacing/>
              <w:rPr>
                <w:rFonts w:ascii="Calibri" w:hAnsi="Calibri" w:cs="Calibri"/>
                <w:i/>
                <w:lang w:val="en-GB"/>
              </w:rPr>
            </w:pPr>
            <w:r w:rsidRPr="00AB6A68">
              <w:rPr>
                <w:rFonts w:ascii="Calibri" w:hAnsi="Calibri" w:cs="Calibri"/>
                <w:i/>
                <w:lang w:val="en-GB"/>
              </w:rPr>
              <w:t>to include the needs expressed by the li</w:t>
            </w:r>
            <w:r>
              <w:rPr>
                <w:rFonts w:ascii="Calibri" w:hAnsi="Calibri" w:cs="Calibri"/>
                <w:i/>
                <w:lang w:val="en-GB"/>
              </w:rPr>
              <w:t>ne ministries</w:t>
            </w:r>
          </w:p>
          <w:p w:rsidR="00EB105F" w:rsidRPr="00AB6A68" w:rsidRDefault="00EB105F" w:rsidP="00EB105F">
            <w:pPr>
              <w:numPr>
                <w:ilvl w:val="0"/>
                <w:numId w:val="4"/>
              </w:numPr>
              <w:tabs>
                <w:tab w:val="left" w:pos="144"/>
              </w:tabs>
              <w:spacing w:after="0" w:line="240" w:lineRule="auto"/>
              <w:contextualSpacing/>
              <w:rPr>
                <w:rFonts w:ascii="Calibri" w:hAnsi="Calibri" w:cs="Calibri"/>
                <w:i/>
                <w:color w:val="000000"/>
                <w:lang w:val="en-GB"/>
              </w:rPr>
            </w:pPr>
            <w:r w:rsidRPr="00AB6A68">
              <w:rPr>
                <w:rFonts w:ascii="Calibri" w:hAnsi="Calibri" w:cs="Calibri"/>
                <w:i/>
                <w:color w:val="000000"/>
                <w:lang w:val="en-GB"/>
              </w:rPr>
              <w:t>to include</w:t>
            </w:r>
            <w:r>
              <w:rPr>
                <w:rFonts w:ascii="Calibri" w:hAnsi="Calibri" w:cs="Calibri"/>
                <w:i/>
                <w:color w:val="000000"/>
                <w:lang w:val="en-GB"/>
              </w:rPr>
              <w:t xml:space="preserve"> the needs of local </w:t>
            </w:r>
            <w:r w:rsidR="009C7936">
              <w:rPr>
                <w:rFonts w:ascii="Calibri" w:hAnsi="Calibri" w:cs="Calibri"/>
                <w:i/>
                <w:color w:val="000000"/>
                <w:lang w:val="en-GB"/>
              </w:rPr>
              <w:t>municipalities</w:t>
            </w:r>
          </w:p>
          <w:p w:rsidR="00EB105F" w:rsidRPr="00AB6A68" w:rsidRDefault="00EB105F" w:rsidP="00EB105F">
            <w:pPr>
              <w:numPr>
                <w:ilvl w:val="0"/>
                <w:numId w:val="4"/>
              </w:numPr>
              <w:tabs>
                <w:tab w:val="left" w:pos="144"/>
              </w:tabs>
              <w:spacing w:after="0" w:line="240" w:lineRule="auto"/>
              <w:contextualSpacing/>
              <w:rPr>
                <w:rFonts w:ascii="Calibri" w:hAnsi="Calibri" w:cs="Calibri"/>
                <w:i/>
                <w:color w:val="000000"/>
                <w:lang w:val="en-GB"/>
              </w:rPr>
            </w:pPr>
            <w:r w:rsidRPr="00AB6A68">
              <w:rPr>
                <w:rFonts w:ascii="Calibri" w:hAnsi="Calibri" w:cs="Calibri"/>
                <w:i/>
                <w:color w:val="000000"/>
                <w:lang w:val="en-GB"/>
              </w:rPr>
              <w:t xml:space="preserve">to define the </w:t>
            </w:r>
            <w:r>
              <w:rPr>
                <w:rFonts w:ascii="Calibri" w:hAnsi="Calibri" w:cs="Calibri"/>
                <w:i/>
                <w:color w:val="000000"/>
                <w:lang w:val="en-GB"/>
              </w:rPr>
              <w:t>scheme implementation programme</w:t>
            </w:r>
          </w:p>
          <w:p w:rsidR="00EB105F" w:rsidRPr="00AB6A68" w:rsidRDefault="00EB105F" w:rsidP="00EB105F">
            <w:pPr>
              <w:numPr>
                <w:ilvl w:val="0"/>
                <w:numId w:val="4"/>
              </w:numPr>
              <w:tabs>
                <w:tab w:val="left" w:pos="144"/>
              </w:tabs>
              <w:spacing w:after="0" w:line="240" w:lineRule="auto"/>
              <w:contextualSpacing/>
              <w:rPr>
                <w:rFonts w:ascii="Calibri" w:hAnsi="Calibri" w:cs="Calibri"/>
                <w:i/>
                <w:color w:val="000000"/>
                <w:lang w:val="en-GB"/>
              </w:rPr>
            </w:pPr>
            <w:r w:rsidRPr="00AB6A68">
              <w:rPr>
                <w:rFonts w:ascii="Calibri" w:hAnsi="Calibri" w:cs="Calibri"/>
                <w:i/>
                <w:color w:val="000000"/>
                <w:lang w:val="en-GB"/>
              </w:rPr>
              <w:t xml:space="preserve">to define the scheme budget </w:t>
            </w:r>
            <w:r>
              <w:rPr>
                <w:rFonts w:ascii="Calibri" w:hAnsi="Calibri" w:cs="Calibri"/>
                <w:i/>
                <w:color w:val="000000"/>
                <w:lang w:val="en-GB"/>
              </w:rPr>
              <w:t>- including financial resources</w:t>
            </w:r>
          </w:p>
          <w:p w:rsidR="00EB105F" w:rsidRPr="00AB6A68" w:rsidRDefault="00EB105F" w:rsidP="00EB105F">
            <w:pPr>
              <w:numPr>
                <w:ilvl w:val="0"/>
                <w:numId w:val="4"/>
              </w:numPr>
              <w:tabs>
                <w:tab w:val="left" w:pos="144"/>
              </w:tabs>
              <w:spacing w:after="0" w:line="240" w:lineRule="auto"/>
              <w:contextualSpacing/>
              <w:rPr>
                <w:rFonts w:ascii="Calibri" w:hAnsi="Calibri" w:cs="Calibri"/>
                <w:color w:val="000000"/>
                <w:lang w:val="en-GB"/>
              </w:rPr>
            </w:pPr>
            <w:r>
              <w:rPr>
                <w:rFonts w:ascii="Calibri" w:hAnsi="Calibri" w:cs="Calibri"/>
                <w:i/>
                <w:color w:val="000000"/>
                <w:lang w:val="en-GB"/>
              </w:rPr>
              <w:t>to implement the scheme</w:t>
            </w:r>
          </w:p>
        </w:tc>
      </w:tr>
      <w:tr w:rsidR="00EB105F" w:rsidRPr="00AB6A68" w:rsidTr="006E1CC4">
        <w:tc>
          <w:tcPr>
            <w:tcW w:w="1668" w:type="dxa"/>
          </w:tcPr>
          <w:p w:rsidR="00EB105F" w:rsidRPr="00AB6A68" w:rsidRDefault="00EB105F" w:rsidP="00EE0337">
            <w:pPr>
              <w:tabs>
                <w:tab w:val="left" w:pos="709"/>
              </w:tabs>
              <w:rPr>
                <w:rFonts w:ascii="Calibri" w:hAnsi="Calibri" w:cs="Calibri"/>
                <w:i/>
                <w:lang w:val="en-GB"/>
              </w:rPr>
            </w:pPr>
            <w:r w:rsidRPr="00AB6A68">
              <w:rPr>
                <w:rFonts w:ascii="Calibri" w:hAnsi="Calibri" w:cs="Calibri"/>
                <w:i/>
                <w:lang w:val="en-GB"/>
              </w:rPr>
              <w:t>scheme of providing housing units for evicted individuals and families</w:t>
            </w:r>
          </w:p>
        </w:tc>
        <w:tc>
          <w:tcPr>
            <w:tcW w:w="2130" w:type="dxa"/>
          </w:tcPr>
          <w:p w:rsidR="006E1CC4" w:rsidRPr="006E1CC4" w:rsidRDefault="006E1CC4" w:rsidP="006E1CC4">
            <w:pPr>
              <w:tabs>
                <w:tab w:val="left" w:pos="709"/>
              </w:tabs>
              <w:jc w:val="center"/>
              <w:rPr>
                <w:rFonts w:eastAsia="Calibri" w:cs="Arial"/>
                <w:sz w:val="18"/>
                <w:szCs w:val="20"/>
                <w:lang w:val="en-GB"/>
              </w:rPr>
            </w:pPr>
            <w:r w:rsidRPr="006E1CC4">
              <w:rPr>
                <w:rFonts w:eastAsia="Calibri" w:cs="Arial"/>
                <w:sz w:val="18"/>
                <w:szCs w:val="20"/>
                <w:lang w:val="en-GB"/>
              </w:rPr>
              <w:t>MINISTRY OF LABOUR, FAMILY, SOCIAL AFFAIRS AND EQUAL OPPORTUNITIES</w:t>
            </w:r>
          </w:p>
          <w:p w:rsidR="006E1CC4" w:rsidRPr="006E1CC4" w:rsidRDefault="006E1CC4" w:rsidP="006E1CC4">
            <w:pPr>
              <w:tabs>
                <w:tab w:val="left" w:pos="709"/>
              </w:tabs>
              <w:jc w:val="center"/>
              <w:rPr>
                <w:rFonts w:eastAsia="Calibri" w:cs="Arial"/>
                <w:sz w:val="18"/>
                <w:szCs w:val="20"/>
                <w:lang w:val="en-GB"/>
              </w:rPr>
            </w:pPr>
            <w:r w:rsidRPr="006E1CC4">
              <w:rPr>
                <w:rFonts w:eastAsia="Calibri" w:cs="Arial"/>
                <w:sz w:val="18"/>
                <w:szCs w:val="20"/>
                <w:lang w:val="en-GB"/>
              </w:rPr>
              <w:t xml:space="preserve"> MINISTRY OF THE ENVIRONMENT AND SPATIAL PLANNING</w:t>
            </w:r>
          </w:p>
          <w:p w:rsidR="00EB105F" w:rsidRPr="006E1CC4" w:rsidRDefault="006E1CC4" w:rsidP="006E1CC4">
            <w:pPr>
              <w:tabs>
                <w:tab w:val="left" w:pos="709"/>
              </w:tabs>
              <w:jc w:val="center"/>
              <w:rPr>
                <w:rFonts w:eastAsia="Calibri" w:cs="Arial"/>
                <w:sz w:val="18"/>
                <w:szCs w:val="20"/>
                <w:lang w:val="en-GB"/>
              </w:rPr>
            </w:pPr>
            <w:r w:rsidRPr="006E1CC4">
              <w:rPr>
                <w:rFonts w:eastAsia="Calibri" w:cs="Arial"/>
                <w:sz w:val="18"/>
                <w:szCs w:val="20"/>
                <w:lang w:val="en-GB"/>
              </w:rPr>
              <w:t xml:space="preserve"> HOUSING FUND OF THE REPUBLIC OF SLOVENIA</w:t>
            </w:r>
          </w:p>
        </w:tc>
        <w:tc>
          <w:tcPr>
            <w:tcW w:w="2122" w:type="dxa"/>
          </w:tcPr>
          <w:p w:rsidR="00EB105F" w:rsidRPr="00AB6A68" w:rsidRDefault="00EB105F" w:rsidP="00AF6D08">
            <w:pPr>
              <w:tabs>
                <w:tab w:val="left" w:pos="709"/>
              </w:tabs>
              <w:jc w:val="center"/>
              <w:rPr>
                <w:rFonts w:ascii="Calibri" w:hAnsi="Calibri" w:cs="Calibri"/>
                <w:i/>
                <w:lang w:val="en-GB"/>
              </w:rPr>
            </w:pPr>
            <w:r w:rsidRPr="00AB6A68">
              <w:rPr>
                <w:rFonts w:ascii="Calibri" w:hAnsi="Calibri" w:cs="Calibri"/>
                <w:i/>
                <w:lang w:val="en-GB"/>
              </w:rPr>
              <w:t>2015</w:t>
            </w:r>
          </w:p>
        </w:tc>
        <w:tc>
          <w:tcPr>
            <w:tcW w:w="3366" w:type="dxa"/>
          </w:tcPr>
          <w:p w:rsidR="00EB105F" w:rsidRPr="00AB6A68" w:rsidRDefault="00EB105F" w:rsidP="00EB105F">
            <w:pPr>
              <w:numPr>
                <w:ilvl w:val="0"/>
                <w:numId w:val="4"/>
              </w:numPr>
              <w:tabs>
                <w:tab w:val="left" w:pos="144"/>
              </w:tabs>
              <w:spacing w:after="0" w:line="240" w:lineRule="auto"/>
              <w:contextualSpacing/>
              <w:rPr>
                <w:rFonts w:ascii="Calibri" w:hAnsi="Calibri" w:cs="Calibri"/>
                <w:i/>
                <w:lang w:val="en-GB"/>
              </w:rPr>
            </w:pPr>
            <w:r w:rsidRPr="00AB6A68">
              <w:rPr>
                <w:rFonts w:ascii="Calibri" w:hAnsi="Calibri" w:cs="Calibri"/>
                <w:i/>
                <w:lang w:val="en-GB"/>
              </w:rPr>
              <w:t>to launch a pilot project that is to be the basis for the preparation of comprehensive solutions</w:t>
            </w:r>
          </w:p>
        </w:tc>
      </w:tr>
    </w:tbl>
    <w:p w:rsidR="00754B40" w:rsidRPr="00E66F1E" w:rsidRDefault="00754B40" w:rsidP="00EB105F">
      <w:pPr>
        <w:rPr>
          <w:rFonts w:cs="Arial"/>
          <w:b/>
          <w:sz w:val="12"/>
          <w:lang w:val="en-GB"/>
        </w:rPr>
      </w:pPr>
    </w:p>
    <w:p w:rsidR="00754B40" w:rsidRPr="006253FD" w:rsidRDefault="006253FD" w:rsidP="006253FD">
      <w:pPr>
        <w:jc w:val="both"/>
        <w:rPr>
          <w:rFonts w:ascii="Arial" w:hAnsi="Arial" w:cs="Arial"/>
          <w:sz w:val="20"/>
          <w:lang w:val="en-GB"/>
        </w:rPr>
      </w:pPr>
      <w:r>
        <w:rPr>
          <w:rFonts w:ascii="Arial" w:hAnsi="Arial" w:cs="Arial"/>
          <w:sz w:val="20"/>
          <w:lang w:val="en-GB"/>
        </w:rPr>
        <w:t>C</w:t>
      </w:r>
      <w:r w:rsidR="00754B40" w:rsidRPr="006253FD">
        <w:rPr>
          <w:rFonts w:ascii="Arial" w:hAnsi="Arial" w:cs="Arial"/>
          <w:sz w:val="20"/>
          <w:lang w:val="en-GB"/>
        </w:rPr>
        <w:t>o-financing for housing units</w:t>
      </w:r>
      <w:r w:rsidR="00F9537F">
        <w:rPr>
          <w:rFonts w:ascii="Arial" w:hAnsi="Arial" w:cs="Arial"/>
          <w:sz w:val="20"/>
          <w:lang w:val="en-GB"/>
        </w:rPr>
        <w:t xml:space="preserve"> (see </w:t>
      </w:r>
      <w:r w:rsidR="00447F00">
        <w:rPr>
          <w:rFonts w:ascii="Arial" w:hAnsi="Arial" w:cs="Arial"/>
          <w:sz w:val="20"/>
          <w:lang w:val="en-GB"/>
        </w:rPr>
        <w:t>F</w:t>
      </w:r>
      <w:r w:rsidR="00F9537F">
        <w:rPr>
          <w:rFonts w:ascii="Arial" w:hAnsi="Arial" w:cs="Arial"/>
          <w:sz w:val="20"/>
          <w:lang w:val="en-GB"/>
        </w:rPr>
        <w:t>ig. 2)</w:t>
      </w:r>
      <w:r w:rsidR="00754B40" w:rsidRPr="006253FD">
        <w:rPr>
          <w:rFonts w:ascii="Arial" w:hAnsi="Arial" w:cs="Arial"/>
          <w:sz w:val="20"/>
          <w:lang w:val="en-GB"/>
        </w:rPr>
        <w:t xml:space="preserve"> will be provided by the </w:t>
      </w:r>
      <w:r>
        <w:rPr>
          <w:rFonts w:ascii="Arial" w:hAnsi="Arial" w:cs="Arial"/>
          <w:sz w:val="20"/>
          <w:lang w:val="en-GB"/>
        </w:rPr>
        <w:t>H</w:t>
      </w:r>
      <w:r w:rsidR="00754B40" w:rsidRPr="006253FD">
        <w:rPr>
          <w:rFonts w:ascii="Arial" w:hAnsi="Arial" w:cs="Arial"/>
          <w:sz w:val="20"/>
          <w:lang w:val="en-GB"/>
        </w:rPr>
        <w:t>ousing Fund</w:t>
      </w:r>
      <w:r>
        <w:rPr>
          <w:rFonts w:ascii="Arial" w:hAnsi="Arial" w:cs="Arial"/>
          <w:sz w:val="20"/>
          <w:lang w:val="en-GB"/>
        </w:rPr>
        <w:t xml:space="preserve"> of the Republic of Slovenia</w:t>
      </w:r>
      <w:r w:rsidR="00754B40" w:rsidRPr="006253FD">
        <w:rPr>
          <w:rFonts w:ascii="Arial" w:hAnsi="Arial" w:cs="Arial"/>
          <w:sz w:val="20"/>
          <w:lang w:val="en-GB"/>
        </w:rPr>
        <w:t xml:space="preserve">. In cooperation with local </w:t>
      </w:r>
      <w:r w:rsidR="00C13BB9" w:rsidRPr="00C13BB9">
        <w:rPr>
          <w:rFonts w:ascii="Arial" w:hAnsi="Arial" w:cs="Arial"/>
          <w:sz w:val="20"/>
          <w:lang w:val="en-GB"/>
        </w:rPr>
        <w:t xml:space="preserve">municipalities </w:t>
      </w:r>
      <w:r w:rsidR="00754B40" w:rsidRPr="006253FD">
        <w:rPr>
          <w:rFonts w:ascii="Arial" w:hAnsi="Arial" w:cs="Arial"/>
          <w:sz w:val="20"/>
          <w:lang w:val="en-GB"/>
        </w:rPr>
        <w:t>and line ministries the Fund will prepare a scheme to supply housing units for the period of the implementation of the National Housing Programme. In this way the access to special purpose units will be broadened, and will not be linked to the requirement of permanent residence</w:t>
      </w:r>
      <w:r>
        <w:rPr>
          <w:rFonts w:ascii="Arial" w:hAnsi="Arial" w:cs="Arial"/>
          <w:sz w:val="20"/>
          <w:lang w:val="en-GB"/>
        </w:rPr>
        <w:t xml:space="preserve"> within local </w:t>
      </w:r>
      <w:r w:rsidR="00C13BB9" w:rsidRPr="00C13BB9">
        <w:rPr>
          <w:rFonts w:ascii="Arial" w:hAnsi="Arial" w:cs="Arial"/>
          <w:sz w:val="20"/>
          <w:lang w:val="en-GB"/>
        </w:rPr>
        <w:t>municipalit</w:t>
      </w:r>
      <w:r w:rsidR="00C13BB9">
        <w:rPr>
          <w:rFonts w:ascii="Arial" w:hAnsi="Arial" w:cs="Arial"/>
          <w:sz w:val="20"/>
          <w:lang w:val="en-GB"/>
        </w:rPr>
        <w:t>y</w:t>
      </w:r>
      <w:r w:rsidR="00754B40" w:rsidRPr="006253FD">
        <w:rPr>
          <w:rFonts w:ascii="Arial" w:hAnsi="Arial" w:cs="Arial"/>
          <w:sz w:val="20"/>
          <w:lang w:val="en-GB"/>
        </w:rPr>
        <w:t>. On the basis of the Operational Programme for the Implementation of the EU Cohesion Policy in the period 2014 and 2020 co-financing of dwellings for persons with special needs will be provided by the ministry responsible for social affairs.</w:t>
      </w:r>
    </w:p>
    <w:p w:rsidR="00754B40" w:rsidRPr="00FC7207" w:rsidRDefault="00754B40" w:rsidP="00FC7207">
      <w:pPr>
        <w:jc w:val="both"/>
        <w:rPr>
          <w:rFonts w:ascii="Arial" w:hAnsi="Arial" w:cs="Arial"/>
          <w:sz w:val="20"/>
          <w:lang w:val="en-GB"/>
        </w:rPr>
      </w:pPr>
      <w:r w:rsidRPr="00FC7207">
        <w:rPr>
          <w:rFonts w:ascii="Arial" w:hAnsi="Arial" w:cs="Arial"/>
          <w:sz w:val="20"/>
          <w:lang w:val="en-GB"/>
        </w:rPr>
        <w:t xml:space="preserve">Providing housing units is the competence of municipalities, as it addresses cases of the worst social distress; therefore local </w:t>
      </w:r>
      <w:r w:rsidR="00C13BB9" w:rsidRPr="00C13BB9">
        <w:rPr>
          <w:rFonts w:ascii="Arial" w:hAnsi="Arial" w:cs="Arial"/>
          <w:sz w:val="20"/>
          <w:lang w:val="en-GB"/>
        </w:rPr>
        <w:t>municipalities</w:t>
      </w:r>
      <w:r w:rsidRPr="00FC7207">
        <w:rPr>
          <w:rFonts w:ascii="Arial" w:hAnsi="Arial" w:cs="Arial"/>
          <w:sz w:val="20"/>
          <w:lang w:val="en-GB"/>
        </w:rPr>
        <w:t xml:space="preserve"> will participate by providing building land with infrastructure in place or adequate residential areas in need of renovation.</w:t>
      </w:r>
    </w:p>
    <w:p w:rsidR="00754B40" w:rsidRPr="00FC7207" w:rsidRDefault="00754B40" w:rsidP="00FC7207">
      <w:pPr>
        <w:jc w:val="both"/>
        <w:rPr>
          <w:rFonts w:ascii="Arial" w:hAnsi="Arial" w:cs="Arial"/>
          <w:sz w:val="20"/>
          <w:lang w:val="en-GB"/>
        </w:rPr>
      </w:pPr>
      <w:r w:rsidRPr="00FC7207">
        <w:rPr>
          <w:rFonts w:ascii="Arial" w:hAnsi="Arial" w:cs="Arial"/>
          <w:sz w:val="20"/>
          <w:lang w:val="en-GB"/>
        </w:rPr>
        <w:t>Living units are intended as temporary accommodation for vulnerable and the most-at-risk population groups, that is persons who lose their place to stay and are at risk of becoming homeless, and persons who live in unbearable conditions (such as female victims of violence or individuals homeless after an eviction or natural disaster). Living units are by no means a long-term solution to homelessness and are intended for short-term use.  These housing units ensure quality living and, at the same time, a minimum financial burden for their users.</w:t>
      </w:r>
    </w:p>
    <w:p w:rsidR="00754B40" w:rsidRDefault="00754B40" w:rsidP="00FC7207">
      <w:pPr>
        <w:jc w:val="both"/>
        <w:rPr>
          <w:rFonts w:ascii="Arial" w:hAnsi="Arial" w:cs="Arial"/>
          <w:sz w:val="20"/>
          <w:lang w:val="en-GB"/>
        </w:rPr>
      </w:pPr>
      <w:r w:rsidRPr="00FC7207">
        <w:rPr>
          <w:rFonts w:ascii="Arial" w:hAnsi="Arial" w:cs="Arial"/>
          <w:sz w:val="20"/>
          <w:lang w:val="en-GB"/>
        </w:rPr>
        <w:t xml:space="preserve">In the coming period special attention will be devoted to providing assistance and support to persons that had been forcibly evicted. In the period 2015-2017 the </w:t>
      </w:r>
      <w:r w:rsidR="006A507E">
        <w:rPr>
          <w:rFonts w:ascii="Arial" w:hAnsi="Arial" w:cs="Arial"/>
          <w:sz w:val="20"/>
          <w:lang w:val="en-GB"/>
        </w:rPr>
        <w:t>M</w:t>
      </w:r>
      <w:r w:rsidR="006A507E" w:rsidRPr="006A507E">
        <w:rPr>
          <w:rFonts w:ascii="Arial" w:hAnsi="Arial" w:cs="Arial"/>
          <w:sz w:val="20"/>
          <w:lang w:val="en-GB"/>
        </w:rPr>
        <w:t>inistry of labour, family, social affairs and equal opportunities</w:t>
      </w:r>
      <w:r w:rsidRPr="00FC7207">
        <w:rPr>
          <w:rFonts w:ascii="Arial" w:hAnsi="Arial" w:cs="Arial"/>
          <w:sz w:val="20"/>
          <w:lang w:val="en-GB"/>
        </w:rPr>
        <w:t xml:space="preserve">, the </w:t>
      </w:r>
      <w:r w:rsidR="006A507E">
        <w:rPr>
          <w:rFonts w:ascii="Arial" w:hAnsi="Arial" w:cs="Arial"/>
          <w:sz w:val="20"/>
          <w:lang w:val="en-GB"/>
        </w:rPr>
        <w:t>M</w:t>
      </w:r>
      <w:r w:rsidR="006A507E" w:rsidRPr="006A507E">
        <w:rPr>
          <w:rFonts w:ascii="Arial" w:hAnsi="Arial" w:cs="Arial"/>
          <w:sz w:val="20"/>
          <w:lang w:val="en-GB"/>
        </w:rPr>
        <w:t xml:space="preserve">inistry of the environment and spatial planning </w:t>
      </w:r>
      <w:r w:rsidRPr="00FC7207">
        <w:rPr>
          <w:rFonts w:ascii="Arial" w:hAnsi="Arial" w:cs="Arial"/>
          <w:sz w:val="20"/>
          <w:lang w:val="en-GB"/>
        </w:rPr>
        <w:t xml:space="preserve">and the </w:t>
      </w:r>
      <w:r w:rsidR="006A507E">
        <w:rPr>
          <w:rFonts w:ascii="Arial" w:hAnsi="Arial" w:cs="Arial"/>
          <w:sz w:val="18"/>
          <w:lang w:val="en-GB"/>
        </w:rPr>
        <w:t>H</w:t>
      </w:r>
      <w:r w:rsidR="006A507E" w:rsidRPr="006A507E">
        <w:rPr>
          <w:rFonts w:ascii="Arial" w:hAnsi="Arial" w:cs="Arial"/>
          <w:sz w:val="18"/>
          <w:lang w:val="en-GB"/>
        </w:rPr>
        <w:t xml:space="preserve">ousing fund of the republic of </w:t>
      </w:r>
      <w:r w:rsidR="006A507E">
        <w:rPr>
          <w:rFonts w:ascii="Arial" w:hAnsi="Arial" w:cs="Arial"/>
          <w:sz w:val="18"/>
          <w:lang w:val="en-GB"/>
        </w:rPr>
        <w:t>S</w:t>
      </w:r>
      <w:r w:rsidR="006A507E" w:rsidRPr="006A507E">
        <w:rPr>
          <w:rFonts w:ascii="Arial" w:hAnsi="Arial" w:cs="Arial"/>
          <w:sz w:val="18"/>
          <w:lang w:val="en-GB"/>
        </w:rPr>
        <w:t>lovenia</w:t>
      </w:r>
      <w:r w:rsidR="006A507E">
        <w:rPr>
          <w:rFonts w:ascii="Arial" w:hAnsi="Arial" w:cs="Arial"/>
          <w:sz w:val="20"/>
          <w:lang w:val="en-GB"/>
        </w:rPr>
        <w:t xml:space="preserve"> </w:t>
      </w:r>
      <w:r w:rsidRPr="00FC7207">
        <w:rPr>
          <w:rFonts w:ascii="Arial" w:hAnsi="Arial" w:cs="Arial"/>
          <w:sz w:val="20"/>
          <w:lang w:val="en-GB"/>
        </w:rPr>
        <w:t>carr</w:t>
      </w:r>
      <w:r w:rsidR="006A507E">
        <w:rPr>
          <w:rFonts w:ascii="Arial" w:hAnsi="Arial" w:cs="Arial"/>
          <w:sz w:val="20"/>
          <w:lang w:val="en-GB"/>
        </w:rPr>
        <w:t>ied</w:t>
      </w:r>
      <w:r w:rsidRPr="00FC7207">
        <w:rPr>
          <w:rFonts w:ascii="Arial" w:hAnsi="Arial" w:cs="Arial"/>
          <w:sz w:val="20"/>
          <w:lang w:val="en-GB"/>
        </w:rPr>
        <w:t xml:space="preserve"> out a special pilot project, which serve</w:t>
      </w:r>
      <w:r w:rsidR="009F6B9B">
        <w:rPr>
          <w:rFonts w:ascii="Arial" w:hAnsi="Arial" w:cs="Arial"/>
          <w:sz w:val="20"/>
          <w:lang w:val="en-GB"/>
        </w:rPr>
        <w:t>d</w:t>
      </w:r>
      <w:r w:rsidRPr="00FC7207">
        <w:rPr>
          <w:rFonts w:ascii="Arial" w:hAnsi="Arial" w:cs="Arial"/>
          <w:sz w:val="20"/>
          <w:lang w:val="en-GB"/>
        </w:rPr>
        <w:t xml:space="preserve"> as basis for the preparation of integrated and systematic solutions to address the housing needs of evicted individuals and families.</w:t>
      </w:r>
    </w:p>
    <w:p w:rsidR="00B10704" w:rsidRPr="00FC7207" w:rsidRDefault="00B10704" w:rsidP="00FC7207">
      <w:pPr>
        <w:jc w:val="both"/>
        <w:rPr>
          <w:rFonts w:ascii="Arial" w:hAnsi="Arial" w:cs="Arial"/>
          <w:sz w:val="20"/>
          <w:lang w:val="en-GB"/>
        </w:rPr>
      </w:pPr>
    </w:p>
    <w:p w:rsidR="00EB105F" w:rsidRPr="00A96604" w:rsidRDefault="00A96604" w:rsidP="00EB105F">
      <w:pPr>
        <w:rPr>
          <w:rFonts w:cs="Arial"/>
          <w:b/>
          <w:sz w:val="18"/>
          <w:lang w:val="en-GB"/>
        </w:rPr>
      </w:pPr>
      <w:r>
        <w:rPr>
          <w:rFonts w:cs="Arial"/>
          <w:b/>
          <w:sz w:val="18"/>
          <w:lang w:val="en-GB"/>
        </w:rPr>
        <w:lastRenderedPageBreak/>
        <w:t xml:space="preserve">Fig. 3 </w:t>
      </w:r>
      <w:r w:rsidR="00EB105F" w:rsidRPr="00A96604">
        <w:rPr>
          <w:rFonts w:cs="Arial"/>
          <w:b/>
          <w:sz w:val="18"/>
          <w:lang w:val="en-GB"/>
        </w:rPr>
        <w:t>Housing for people with special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1600"/>
        <w:gridCol w:w="3006"/>
      </w:tblGrid>
      <w:tr w:rsidR="00EB105F" w:rsidRPr="00AB6A68" w:rsidTr="00EE0337">
        <w:tc>
          <w:tcPr>
            <w:tcW w:w="2302" w:type="dxa"/>
            <w:shd w:val="clear" w:color="auto" w:fill="C6D9F1"/>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Actions</w:t>
            </w:r>
          </w:p>
        </w:tc>
        <w:tc>
          <w:tcPr>
            <w:tcW w:w="2302" w:type="dxa"/>
            <w:shd w:val="clear" w:color="auto" w:fill="C6D9F1"/>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Institution responsible</w:t>
            </w:r>
          </w:p>
        </w:tc>
        <w:tc>
          <w:tcPr>
            <w:tcW w:w="1600" w:type="dxa"/>
            <w:shd w:val="clear" w:color="auto" w:fill="C6D9F1"/>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Time limit</w:t>
            </w:r>
          </w:p>
        </w:tc>
        <w:tc>
          <w:tcPr>
            <w:tcW w:w="3006" w:type="dxa"/>
            <w:shd w:val="clear" w:color="auto" w:fill="C6D9F1"/>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Description of action</w:t>
            </w:r>
          </w:p>
        </w:tc>
      </w:tr>
      <w:tr w:rsidR="00EB105F" w:rsidRPr="00AB6A68" w:rsidTr="00EE0337">
        <w:tc>
          <w:tcPr>
            <w:tcW w:w="2302" w:type="dxa"/>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dwellings for people with special needs</w:t>
            </w:r>
          </w:p>
        </w:tc>
        <w:tc>
          <w:tcPr>
            <w:tcW w:w="2302" w:type="dxa"/>
          </w:tcPr>
          <w:p w:rsidR="006E1CC4" w:rsidRPr="006E1CC4" w:rsidRDefault="006E1CC4" w:rsidP="006E1CC4">
            <w:pPr>
              <w:tabs>
                <w:tab w:val="left" w:pos="709"/>
              </w:tabs>
              <w:rPr>
                <w:rFonts w:eastAsia="Calibri" w:cs="Arial"/>
                <w:sz w:val="18"/>
                <w:szCs w:val="20"/>
                <w:lang w:val="en-GB"/>
              </w:rPr>
            </w:pPr>
            <w:r w:rsidRPr="006E1CC4">
              <w:rPr>
                <w:rFonts w:eastAsia="Calibri" w:cs="Arial"/>
                <w:sz w:val="18"/>
                <w:szCs w:val="20"/>
                <w:lang w:val="en-GB"/>
              </w:rPr>
              <w:t>MINISTRY OF LABOUR, FAMILY, SOCIAL AFFAIRS AND EQUAL OPPORTUNITIES</w:t>
            </w:r>
          </w:p>
          <w:p w:rsidR="00EB105F" w:rsidRPr="00AB6A68" w:rsidRDefault="00EB105F" w:rsidP="00EE0337">
            <w:pPr>
              <w:rPr>
                <w:rFonts w:ascii="Calibri" w:hAnsi="Calibri" w:cs="Calibri"/>
                <w:sz w:val="24"/>
                <w:szCs w:val="24"/>
                <w:lang w:val="en-GB"/>
              </w:rPr>
            </w:pPr>
            <w:r w:rsidRPr="00AB6A68">
              <w:rPr>
                <w:rFonts w:ascii="Calibri" w:hAnsi="Calibri" w:cs="Calibri"/>
                <w:lang w:val="en-GB"/>
              </w:rPr>
              <w:t xml:space="preserve"> </w:t>
            </w:r>
            <w:r w:rsidRPr="00AB6A68">
              <w:rPr>
                <w:rFonts w:ascii="Calibri" w:hAnsi="Calibri" w:cs="Calibri"/>
                <w:i/>
                <w:lang w:val="en-GB"/>
              </w:rPr>
              <w:t xml:space="preserve">(local </w:t>
            </w:r>
            <w:r w:rsidR="00EB19D8">
              <w:rPr>
                <w:rFonts w:ascii="Calibri" w:hAnsi="Calibri" w:cs="Calibri"/>
                <w:i/>
                <w:lang w:val="en-GB"/>
              </w:rPr>
              <w:t>municipalities</w:t>
            </w:r>
            <w:r w:rsidRPr="00AB6A68">
              <w:rPr>
                <w:rFonts w:ascii="Calibri" w:hAnsi="Calibri" w:cs="Calibri"/>
                <w:i/>
                <w:lang w:val="en-GB"/>
              </w:rPr>
              <w:t>)</w:t>
            </w:r>
          </w:p>
        </w:tc>
        <w:tc>
          <w:tcPr>
            <w:tcW w:w="1600" w:type="dxa"/>
          </w:tcPr>
          <w:p w:rsidR="00EB105F" w:rsidRPr="00AB6A68" w:rsidRDefault="00EB105F" w:rsidP="00EE0337">
            <w:pPr>
              <w:rPr>
                <w:rFonts w:ascii="Calibri" w:hAnsi="Calibri" w:cs="Calibri"/>
                <w:sz w:val="24"/>
                <w:szCs w:val="24"/>
                <w:lang w:val="en-GB"/>
              </w:rPr>
            </w:pPr>
            <w:r w:rsidRPr="00AB6A68">
              <w:rPr>
                <w:rFonts w:ascii="Calibri" w:hAnsi="Calibri" w:cs="Calibri"/>
                <w:i/>
                <w:lang w:val="en-GB"/>
              </w:rPr>
              <w:t>2020</w:t>
            </w:r>
          </w:p>
        </w:tc>
        <w:tc>
          <w:tcPr>
            <w:tcW w:w="3006" w:type="dxa"/>
          </w:tcPr>
          <w:p w:rsidR="00EB105F" w:rsidRPr="00AB6A68" w:rsidRDefault="00EB105F" w:rsidP="00EB105F">
            <w:pPr>
              <w:numPr>
                <w:ilvl w:val="0"/>
                <w:numId w:val="4"/>
              </w:numPr>
              <w:tabs>
                <w:tab w:val="left" w:pos="144"/>
              </w:tabs>
              <w:spacing w:after="0" w:line="240" w:lineRule="auto"/>
              <w:contextualSpacing/>
              <w:rPr>
                <w:rFonts w:ascii="Calibri" w:hAnsi="Calibri" w:cs="Calibri"/>
                <w:i/>
                <w:lang w:val="en-GB"/>
              </w:rPr>
            </w:pPr>
            <w:r>
              <w:rPr>
                <w:rFonts w:ascii="Calibri" w:hAnsi="Calibri" w:cs="Calibri"/>
                <w:i/>
                <w:lang w:val="en-GB"/>
              </w:rPr>
              <w:t>to analyse the needs</w:t>
            </w:r>
          </w:p>
          <w:p w:rsidR="00EB105F" w:rsidRPr="00AB6A68" w:rsidRDefault="00EB105F" w:rsidP="00EB105F">
            <w:pPr>
              <w:numPr>
                <w:ilvl w:val="0"/>
                <w:numId w:val="4"/>
              </w:numPr>
              <w:tabs>
                <w:tab w:val="left" w:pos="144"/>
              </w:tabs>
              <w:spacing w:after="0" w:line="240" w:lineRule="auto"/>
              <w:contextualSpacing/>
              <w:rPr>
                <w:rFonts w:ascii="Calibri" w:hAnsi="Calibri" w:cs="Calibri"/>
                <w:i/>
                <w:lang w:val="en-GB"/>
              </w:rPr>
            </w:pPr>
            <w:r>
              <w:rPr>
                <w:rFonts w:ascii="Calibri" w:hAnsi="Calibri" w:cs="Calibri"/>
                <w:i/>
                <w:lang w:val="en-GB"/>
              </w:rPr>
              <w:t>to acquire and manage dwellings</w:t>
            </w:r>
          </w:p>
          <w:p w:rsidR="00EB105F" w:rsidRPr="00320E3E" w:rsidRDefault="00EB105F" w:rsidP="00EE0337">
            <w:pPr>
              <w:numPr>
                <w:ilvl w:val="0"/>
                <w:numId w:val="4"/>
              </w:numPr>
              <w:tabs>
                <w:tab w:val="left" w:pos="144"/>
              </w:tabs>
              <w:spacing w:after="0" w:line="240" w:lineRule="auto"/>
              <w:contextualSpacing/>
              <w:rPr>
                <w:rFonts w:ascii="Calibri" w:hAnsi="Calibri" w:cs="Calibri"/>
                <w:i/>
                <w:lang w:val="en-GB"/>
              </w:rPr>
            </w:pPr>
            <w:r w:rsidRPr="00AB6A68">
              <w:rPr>
                <w:rFonts w:ascii="Calibri" w:hAnsi="Calibri" w:cs="Calibri"/>
                <w:i/>
                <w:lang w:val="en-GB"/>
              </w:rPr>
              <w:t>the funds will be provided by the Operative Programme for Cohesion Policy Funding 2014-2020 (envi</w:t>
            </w:r>
            <w:r>
              <w:rPr>
                <w:rFonts w:ascii="Calibri" w:hAnsi="Calibri" w:cs="Calibri"/>
                <w:i/>
                <w:lang w:val="en-GB"/>
              </w:rPr>
              <w:t>saged budget of EUR 21,000,000)</w:t>
            </w:r>
          </w:p>
        </w:tc>
      </w:tr>
    </w:tbl>
    <w:p w:rsidR="006B3FFF" w:rsidRDefault="006B3FFF" w:rsidP="00F9537F">
      <w:pPr>
        <w:jc w:val="both"/>
        <w:rPr>
          <w:rFonts w:ascii="Arial" w:hAnsi="Arial" w:cs="Arial"/>
          <w:sz w:val="20"/>
          <w:lang w:val="en-GB"/>
        </w:rPr>
      </w:pPr>
    </w:p>
    <w:p w:rsidR="00EA53EC" w:rsidRDefault="00754B40" w:rsidP="00F9537F">
      <w:pPr>
        <w:jc w:val="both"/>
        <w:rPr>
          <w:rFonts w:ascii="Arial" w:hAnsi="Arial" w:cs="Arial"/>
          <w:sz w:val="20"/>
          <w:lang w:val="en-GB"/>
        </w:rPr>
      </w:pPr>
      <w:r w:rsidRPr="00F9537F">
        <w:rPr>
          <w:rFonts w:ascii="Arial" w:hAnsi="Arial" w:cs="Arial"/>
          <w:sz w:val="20"/>
          <w:lang w:val="en-GB"/>
        </w:rPr>
        <w:t xml:space="preserve">The state and the local </w:t>
      </w:r>
      <w:r w:rsidR="006B3FFF">
        <w:rPr>
          <w:rFonts w:ascii="Arial" w:hAnsi="Arial" w:cs="Arial"/>
          <w:sz w:val="20"/>
          <w:lang w:val="en-GB"/>
        </w:rPr>
        <w:t>municipalities</w:t>
      </w:r>
      <w:r w:rsidRPr="00F9537F">
        <w:rPr>
          <w:rFonts w:ascii="Arial" w:hAnsi="Arial" w:cs="Arial"/>
          <w:sz w:val="20"/>
          <w:lang w:val="en-GB"/>
        </w:rPr>
        <w:t xml:space="preserve"> ensure access to adequate housing, adapted to the needs of their users, namely persons with special needs</w:t>
      </w:r>
      <w:r w:rsidR="00483F69">
        <w:rPr>
          <w:rFonts w:ascii="Arial" w:hAnsi="Arial" w:cs="Arial"/>
          <w:sz w:val="20"/>
          <w:lang w:val="en-GB"/>
        </w:rPr>
        <w:t xml:space="preserve"> (see Fig. 3)</w:t>
      </w:r>
      <w:r w:rsidRPr="00F9537F">
        <w:rPr>
          <w:rFonts w:ascii="Arial" w:hAnsi="Arial" w:cs="Arial"/>
          <w:sz w:val="20"/>
          <w:lang w:val="en-GB"/>
        </w:rPr>
        <w:t>. In this context it is necessary to consider the need for including these people in society, and for providing the services they particularly require.</w:t>
      </w:r>
      <w:r w:rsidR="00EF0A1A">
        <w:rPr>
          <w:rFonts w:ascii="Arial" w:hAnsi="Arial" w:cs="Arial"/>
          <w:sz w:val="20"/>
          <w:lang w:val="en-GB"/>
        </w:rPr>
        <w:t xml:space="preserve"> </w:t>
      </w:r>
      <w:r w:rsidRPr="00F9537F">
        <w:rPr>
          <w:rFonts w:ascii="Arial" w:hAnsi="Arial" w:cs="Arial"/>
          <w:sz w:val="20"/>
          <w:lang w:val="en-GB"/>
        </w:rPr>
        <w:t xml:space="preserve">Housing for those with special needs must be provided in adequate locations on the basis of analyses of their needs as prepared by the ministry responsible for social affairs in cooperation with local </w:t>
      </w:r>
      <w:r w:rsidR="00EF0A1A">
        <w:rPr>
          <w:rFonts w:ascii="Arial" w:hAnsi="Arial" w:cs="Arial"/>
          <w:sz w:val="20"/>
          <w:lang w:val="en-GB"/>
        </w:rPr>
        <w:t>municipalities</w:t>
      </w:r>
      <w:r w:rsidRPr="00F9537F">
        <w:rPr>
          <w:rFonts w:ascii="Arial" w:hAnsi="Arial" w:cs="Arial"/>
          <w:sz w:val="20"/>
          <w:lang w:val="en-GB"/>
        </w:rPr>
        <w:t xml:space="preserve">. The </w:t>
      </w:r>
      <w:r w:rsidR="00F9535C">
        <w:rPr>
          <w:rFonts w:ascii="Arial" w:hAnsi="Arial" w:cs="Arial"/>
          <w:sz w:val="20"/>
          <w:lang w:val="en-GB"/>
        </w:rPr>
        <w:t>M</w:t>
      </w:r>
      <w:r w:rsidR="00F9535C" w:rsidRPr="00F9535C">
        <w:rPr>
          <w:rFonts w:ascii="Arial" w:hAnsi="Arial" w:cs="Arial"/>
          <w:sz w:val="20"/>
          <w:lang w:val="en-GB"/>
        </w:rPr>
        <w:t>inistry of labour, family, social affairs and equal opportunities</w:t>
      </w:r>
      <w:r w:rsidR="00F9535C">
        <w:rPr>
          <w:rFonts w:ascii="Arial" w:hAnsi="Arial" w:cs="Arial"/>
          <w:sz w:val="20"/>
          <w:lang w:val="en-GB"/>
        </w:rPr>
        <w:t xml:space="preserve"> </w:t>
      </w:r>
      <w:r w:rsidRPr="00F9537F">
        <w:rPr>
          <w:rFonts w:ascii="Arial" w:hAnsi="Arial" w:cs="Arial"/>
          <w:sz w:val="20"/>
          <w:lang w:val="en-GB"/>
        </w:rPr>
        <w:t xml:space="preserve">will participate with funds from the Operational Programme for the Implementation of the EU Cohesion Policy in the period 2014–2020 in supplying adequate housing units. Local </w:t>
      </w:r>
      <w:r w:rsidR="00E93998">
        <w:rPr>
          <w:rFonts w:ascii="Arial" w:hAnsi="Arial" w:cs="Arial"/>
          <w:sz w:val="20"/>
          <w:lang w:val="en-GB"/>
        </w:rPr>
        <w:t>municipalities</w:t>
      </w:r>
      <w:r w:rsidRPr="00F9537F">
        <w:rPr>
          <w:rFonts w:ascii="Arial" w:hAnsi="Arial" w:cs="Arial"/>
          <w:sz w:val="20"/>
          <w:lang w:val="en-GB"/>
        </w:rPr>
        <w:t xml:space="preserve"> will participate mostly by rapidly and effectively providing land with infrastructure in place.</w:t>
      </w:r>
      <w:r w:rsidR="00BF530A">
        <w:rPr>
          <w:rFonts w:ascii="Arial" w:hAnsi="Arial" w:cs="Arial"/>
          <w:sz w:val="20"/>
          <w:lang w:val="en-GB"/>
        </w:rPr>
        <w:t xml:space="preserve"> </w:t>
      </w:r>
      <w:r w:rsidRPr="00F9537F">
        <w:rPr>
          <w:rFonts w:ascii="Arial" w:hAnsi="Arial" w:cs="Arial"/>
          <w:sz w:val="20"/>
          <w:lang w:val="en-GB"/>
        </w:rPr>
        <w:t>The design of housing for persons with special needs must take into consideration specific architectural and functional requirements. Suitable types of housing are those that ensure an adequate level of providing care, enable maximum autonomy of living, and require the lowest housing costs.</w:t>
      </w:r>
    </w:p>
    <w:p w:rsidR="00D9725D" w:rsidRDefault="00EA53EC" w:rsidP="00F9537F">
      <w:pPr>
        <w:jc w:val="both"/>
        <w:rPr>
          <w:rFonts w:ascii="Arial" w:hAnsi="Arial" w:cs="Arial"/>
          <w:sz w:val="20"/>
          <w:lang w:val="en-GB"/>
        </w:rPr>
      </w:pPr>
      <w:r>
        <w:rPr>
          <w:rFonts w:ascii="Arial" w:hAnsi="Arial" w:cs="Arial"/>
          <w:sz w:val="20"/>
          <w:lang w:val="en-GB"/>
        </w:rPr>
        <w:t xml:space="preserve"> </w:t>
      </w:r>
      <w:r w:rsidR="000A07F5">
        <w:rPr>
          <w:rFonts w:ascii="Arial" w:hAnsi="Arial" w:cs="Arial"/>
          <w:sz w:val="20"/>
          <w:lang w:val="en-GB"/>
        </w:rPr>
        <w:t>_________________________________________________________________________________</w:t>
      </w:r>
    </w:p>
    <w:p w:rsidR="00010279" w:rsidRDefault="0011390A" w:rsidP="0011390A">
      <w:pPr>
        <w:jc w:val="both"/>
        <w:rPr>
          <w:rFonts w:ascii="Arial" w:hAnsi="Arial" w:cs="Arial"/>
          <w:b/>
          <w:sz w:val="20"/>
          <w:lang w:val="en-GB"/>
        </w:rPr>
      </w:pPr>
      <w:r>
        <w:rPr>
          <w:rFonts w:ascii="Arial" w:hAnsi="Arial" w:cs="Arial"/>
          <w:b/>
          <w:sz w:val="20"/>
          <w:lang w:val="en-GB"/>
        </w:rPr>
        <w:t xml:space="preserve">Annex 1: </w:t>
      </w:r>
      <w:r w:rsidRPr="0011390A">
        <w:rPr>
          <w:rFonts w:ascii="Arial" w:hAnsi="Arial" w:cs="Arial"/>
          <w:b/>
          <w:sz w:val="20"/>
          <w:lang w:val="en-GB"/>
        </w:rPr>
        <w:t>R</w:t>
      </w:r>
      <w:r>
        <w:rPr>
          <w:rFonts w:ascii="Arial" w:hAnsi="Arial" w:cs="Arial"/>
          <w:b/>
          <w:sz w:val="20"/>
          <w:lang w:val="en-GB"/>
        </w:rPr>
        <w:t xml:space="preserve">esolution </w:t>
      </w:r>
      <w:r w:rsidRPr="0011390A">
        <w:rPr>
          <w:rFonts w:ascii="Arial" w:hAnsi="Arial" w:cs="Arial"/>
          <w:b/>
          <w:sz w:val="20"/>
          <w:lang w:val="en-GB"/>
        </w:rPr>
        <w:t>on the Natio</w:t>
      </w:r>
      <w:r w:rsidR="00010279">
        <w:rPr>
          <w:rFonts w:ascii="Arial" w:hAnsi="Arial" w:cs="Arial"/>
          <w:b/>
          <w:sz w:val="20"/>
          <w:lang w:val="en-GB"/>
        </w:rPr>
        <w:t>nal Housing Programme 2015–2025</w:t>
      </w:r>
    </w:p>
    <w:p w:rsidR="0011390A" w:rsidRPr="00CC562C" w:rsidRDefault="0011390A" w:rsidP="0011390A">
      <w:pPr>
        <w:jc w:val="both"/>
        <w:rPr>
          <w:rFonts w:ascii="Arial" w:hAnsi="Arial" w:cs="Arial"/>
          <w:b/>
          <w:sz w:val="20"/>
          <w:lang w:val="en-GB"/>
        </w:rPr>
      </w:pPr>
      <w:r>
        <w:rPr>
          <w:rFonts w:ascii="Arial" w:hAnsi="Arial" w:cs="Arial"/>
          <w:b/>
          <w:sz w:val="20"/>
          <w:lang w:val="en-GB"/>
        </w:rPr>
        <w:t>Annex 2: A</w:t>
      </w:r>
      <w:r w:rsidRPr="0011390A">
        <w:rPr>
          <w:rFonts w:ascii="Arial" w:hAnsi="Arial" w:cs="Arial"/>
          <w:b/>
          <w:sz w:val="20"/>
          <w:lang w:val="en-GB"/>
        </w:rPr>
        <w:t>ction plan for the implementation of projects</w:t>
      </w:r>
      <w:r>
        <w:rPr>
          <w:rFonts w:ascii="Arial" w:hAnsi="Arial" w:cs="Arial"/>
          <w:b/>
          <w:sz w:val="20"/>
          <w:lang w:val="en-GB"/>
        </w:rPr>
        <w:t xml:space="preserve"> under the National Housing Programme</w:t>
      </w:r>
      <w:r w:rsidRPr="0011390A">
        <w:rPr>
          <w:rFonts w:ascii="Arial" w:hAnsi="Arial" w:cs="Arial"/>
          <w:b/>
          <w:sz w:val="20"/>
          <w:lang w:val="en-GB"/>
        </w:rPr>
        <w:t xml:space="preserve"> 2015-2025</w:t>
      </w:r>
    </w:p>
    <w:sectPr w:rsidR="0011390A" w:rsidRPr="00CC5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C5" w:rsidRDefault="00061DC5" w:rsidP="00406C59">
      <w:pPr>
        <w:spacing w:after="0" w:line="240" w:lineRule="auto"/>
      </w:pPr>
      <w:r>
        <w:separator/>
      </w:r>
    </w:p>
  </w:endnote>
  <w:endnote w:type="continuationSeparator" w:id="0">
    <w:p w:rsidR="00061DC5" w:rsidRDefault="00061DC5" w:rsidP="0040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C5" w:rsidRDefault="00061DC5" w:rsidP="00406C59">
      <w:pPr>
        <w:spacing w:after="0" w:line="240" w:lineRule="auto"/>
      </w:pPr>
      <w:r>
        <w:separator/>
      </w:r>
    </w:p>
  </w:footnote>
  <w:footnote w:type="continuationSeparator" w:id="0">
    <w:p w:rsidR="00061DC5" w:rsidRDefault="00061DC5" w:rsidP="00406C59">
      <w:pPr>
        <w:spacing w:after="0" w:line="240" w:lineRule="auto"/>
      </w:pPr>
      <w:r>
        <w:continuationSeparator/>
      </w:r>
    </w:p>
  </w:footnote>
  <w:footnote w:id="1">
    <w:p w:rsidR="00406C59" w:rsidRPr="000A07F5" w:rsidRDefault="00406C59">
      <w:pPr>
        <w:pStyle w:val="FootnoteText"/>
        <w:rPr>
          <w:lang w:val="en-GB"/>
        </w:rPr>
      </w:pPr>
      <w:r>
        <w:rPr>
          <w:rStyle w:val="FootnoteReference"/>
        </w:rPr>
        <w:footnoteRef/>
      </w:r>
      <w:r>
        <w:t xml:space="preserve"> </w:t>
      </w:r>
      <w:r w:rsidR="009930B0" w:rsidRPr="000A07F5">
        <w:rPr>
          <w:lang w:val="en-GB"/>
        </w:rPr>
        <w:t xml:space="preserve">The main goal of Slovenian National Housing Programme: </w:t>
      </w:r>
      <w:r w:rsidR="00AB2474" w:rsidRPr="000A07F5">
        <w:rPr>
          <w:lang w:val="en-GB"/>
        </w:rPr>
        <w:t>“Providing residents with options and conditions to have adequate and affordable housing in different periods of their lives ensures equality of opportunities for all, increases social security, eliminates poverty and contributes to sustainable demographic renewal in a long-living society. “</w:t>
      </w:r>
    </w:p>
  </w:footnote>
  <w:footnote w:id="2">
    <w:p w:rsidR="003D6B8B" w:rsidRDefault="003D6B8B">
      <w:pPr>
        <w:pStyle w:val="FootnoteText"/>
      </w:pPr>
      <w:r>
        <w:rPr>
          <w:rStyle w:val="FootnoteReference"/>
        </w:rPr>
        <w:footnoteRef/>
      </w:r>
      <w:r>
        <w:t xml:space="preserve"> </w:t>
      </w:r>
      <w:r w:rsidRPr="000A07F5">
        <w:rPr>
          <w:lang w:val="en-GB"/>
        </w:rPr>
        <w:t>The National Housing Programme plans to regulate tenancies and establish a new tenancy policy in view of increasing the supply of rental housing from the existing housing stock. On the other hand, the Programme will provide adapted measures that will provide public rental housing in areas with better employment opportunities, where the demand for housing is the greatest.</w:t>
      </w:r>
      <w:r w:rsidRPr="00CC562C">
        <w:rPr>
          <w:rFonts w:ascii="Arial" w:hAnsi="Arial" w:cs="Arial"/>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DA1"/>
    <w:multiLevelType w:val="hybridMultilevel"/>
    <w:tmpl w:val="AB6AB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1A5420D"/>
    <w:multiLevelType w:val="hybridMultilevel"/>
    <w:tmpl w:val="B9E8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473059"/>
    <w:multiLevelType w:val="hybridMultilevel"/>
    <w:tmpl w:val="D526ACE8"/>
    <w:lvl w:ilvl="0" w:tplc="861A13D0">
      <w:numFmt w:val="bullet"/>
      <w:lvlText w:val="-"/>
      <w:lvlJc w:val="left"/>
      <w:pPr>
        <w:ind w:left="504" w:hanging="360"/>
      </w:pPr>
      <w:rPr>
        <w:rFonts w:ascii="Calibri" w:eastAsia="Times New Roman" w:hAnsi="Calibri" w:hint="default"/>
      </w:rPr>
    </w:lvl>
    <w:lvl w:ilvl="1" w:tplc="04240003" w:tentative="1">
      <w:start w:val="1"/>
      <w:numFmt w:val="bullet"/>
      <w:lvlText w:val="o"/>
      <w:lvlJc w:val="left"/>
      <w:pPr>
        <w:ind w:left="1224" w:hanging="360"/>
      </w:pPr>
      <w:rPr>
        <w:rFonts w:ascii="Courier New" w:hAnsi="Courier New" w:hint="default"/>
      </w:rPr>
    </w:lvl>
    <w:lvl w:ilvl="2" w:tplc="04240005" w:tentative="1">
      <w:start w:val="1"/>
      <w:numFmt w:val="bullet"/>
      <w:lvlText w:val=""/>
      <w:lvlJc w:val="left"/>
      <w:pPr>
        <w:ind w:left="1944" w:hanging="360"/>
      </w:pPr>
      <w:rPr>
        <w:rFonts w:ascii="Wingdings" w:hAnsi="Wingdings" w:hint="default"/>
      </w:rPr>
    </w:lvl>
    <w:lvl w:ilvl="3" w:tplc="04240001" w:tentative="1">
      <w:start w:val="1"/>
      <w:numFmt w:val="bullet"/>
      <w:lvlText w:val=""/>
      <w:lvlJc w:val="left"/>
      <w:pPr>
        <w:ind w:left="2664" w:hanging="360"/>
      </w:pPr>
      <w:rPr>
        <w:rFonts w:ascii="Symbol" w:hAnsi="Symbol" w:hint="default"/>
      </w:rPr>
    </w:lvl>
    <w:lvl w:ilvl="4" w:tplc="04240003" w:tentative="1">
      <w:start w:val="1"/>
      <w:numFmt w:val="bullet"/>
      <w:lvlText w:val="o"/>
      <w:lvlJc w:val="left"/>
      <w:pPr>
        <w:ind w:left="3384" w:hanging="360"/>
      </w:pPr>
      <w:rPr>
        <w:rFonts w:ascii="Courier New" w:hAnsi="Courier New" w:hint="default"/>
      </w:rPr>
    </w:lvl>
    <w:lvl w:ilvl="5" w:tplc="04240005" w:tentative="1">
      <w:start w:val="1"/>
      <w:numFmt w:val="bullet"/>
      <w:lvlText w:val=""/>
      <w:lvlJc w:val="left"/>
      <w:pPr>
        <w:ind w:left="4104" w:hanging="360"/>
      </w:pPr>
      <w:rPr>
        <w:rFonts w:ascii="Wingdings" w:hAnsi="Wingdings" w:hint="default"/>
      </w:rPr>
    </w:lvl>
    <w:lvl w:ilvl="6" w:tplc="04240001" w:tentative="1">
      <w:start w:val="1"/>
      <w:numFmt w:val="bullet"/>
      <w:lvlText w:val=""/>
      <w:lvlJc w:val="left"/>
      <w:pPr>
        <w:ind w:left="4824" w:hanging="360"/>
      </w:pPr>
      <w:rPr>
        <w:rFonts w:ascii="Symbol" w:hAnsi="Symbol" w:hint="default"/>
      </w:rPr>
    </w:lvl>
    <w:lvl w:ilvl="7" w:tplc="04240003" w:tentative="1">
      <w:start w:val="1"/>
      <w:numFmt w:val="bullet"/>
      <w:lvlText w:val="o"/>
      <w:lvlJc w:val="left"/>
      <w:pPr>
        <w:ind w:left="5544" w:hanging="360"/>
      </w:pPr>
      <w:rPr>
        <w:rFonts w:ascii="Courier New" w:hAnsi="Courier New" w:hint="default"/>
      </w:rPr>
    </w:lvl>
    <w:lvl w:ilvl="8" w:tplc="04240005" w:tentative="1">
      <w:start w:val="1"/>
      <w:numFmt w:val="bullet"/>
      <w:lvlText w:val=""/>
      <w:lvlJc w:val="left"/>
      <w:pPr>
        <w:ind w:left="62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A8"/>
    <w:rsid w:val="00010279"/>
    <w:rsid w:val="00014487"/>
    <w:rsid w:val="00017089"/>
    <w:rsid w:val="00023376"/>
    <w:rsid w:val="00033DC3"/>
    <w:rsid w:val="000526D8"/>
    <w:rsid w:val="00061DC5"/>
    <w:rsid w:val="000662DF"/>
    <w:rsid w:val="000717B7"/>
    <w:rsid w:val="00080901"/>
    <w:rsid w:val="00080B50"/>
    <w:rsid w:val="000A07F5"/>
    <w:rsid w:val="000A2827"/>
    <w:rsid w:val="000C28C8"/>
    <w:rsid w:val="000D63A9"/>
    <w:rsid w:val="000E6063"/>
    <w:rsid w:val="0011390A"/>
    <w:rsid w:val="00192C8B"/>
    <w:rsid w:val="00244AC1"/>
    <w:rsid w:val="00251CF2"/>
    <w:rsid w:val="002778DA"/>
    <w:rsid w:val="00320E3E"/>
    <w:rsid w:val="00335746"/>
    <w:rsid w:val="0035484F"/>
    <w:rsid w:val="003569C1"/>
    <w:rsid w:val="00360F0B"/>
    <w:rsid w:val="003D5808"/>
    <w:rsid w:val="003D5CEB"/>
    <w:rsid w:val="003D6B8B"/>
    <w:rsid w:val="00406C59"/>
    <w:rsid w:val="0044160A"/>
    <w:rsid w:val="00447F00"/>
    <w:rsid w:val="0046344D"/>
    <w:rsid w:val="00475A89"/>
    <w:rsid w:val="00483F69"/>
    <w:rsid w:val="00484DFF"/>
    <w:rsid w:val="004E29A5"/>
    <w:rsid w:val="005251F6"/>
    <w:rsid w:val="00560A83"/>
    <w:rsid w:val="005631B3"/>
    <w:rsid w:val="00574255"/>
    <w:rsid w:val="005B524B"/>
    <w:rsid w:val="005C4000"/>
    <w:rsid w:val="005C6F09"/>
    <w:rsid w:val="005F0343"/>
    <w:rsid w:val="005F10C1"/>
    <w:rsid w:val="006253FD"/>
    <w:rsid w:val="0064118B"/>
    <w:rsid w:val="00660275"/>
    <w:rsid w:val="00693307"/>
    <w:rsid w:val="006A507E"/>
    <w:rsid w:val="006B3FFF"/>
    <w:rsid w:val="006E1CC4"/>
    <w:rsid w:val="006E3AAD"/>
    <w:rsid w:val="00752508"/>
    <w:rsid w:val="00754B40"/>
    <w:rsid w:val="007B4B1C"/>
    <w:rsid w:val="007C3B44"/>
    <w:rsid w:val="007F79EB"/>
    <w:rsid w:val="00805FA7"/>
    <w:rsid w:val="00896258"/>
    <w:rsid w:val="008D07F2"/>
    <w:rsid w:val="008D43D6"/>
    <w:rsid w:val="008E275F"/>
    <w:rsid w:val="00931F4D"/>
    <w:rsid w:val="009930B0"/>
    <w:rsid w:val="009B09F7"/>
    <w:rsid w:val="009B16E2"/>
    <w:rsid w:val="009C7936"/>
    <w:rsid w:val="009F6B9B"/>
    <w:rsid w:val="00A1020B"/>
    <w:rsid w:val="00A73759"/>
    <w:rsid w:val="00A74697"/>
    <w:rsid w:val="00A75F12"/>
    <w:rsid w:val="00A96604"/>
    <w:rsid w:val="00AA1DBC"/>
    <w:rsid w:val="00AA2E92"/>
    <w:rsid w:val="00AA350C"/>
    <w:rsid w:val="00AA7B03"/>
    <w:rsid w:val="00AB2474"/>
    <w:rsid w:val="00AD14E9"/>
    <w:rsid w:val="00AE26C2"/>
    <w:rsid w:val="00AF6D08"/>
    <w:rsid w:val="00B10704"/>
    <w:rsid w:val="00B122BE"/>
    <w:rsid w:val="00B22308"/>
    <w:rsid w:val="00B77033"/>
    <w:rsid w:val="00BC7BCB"/>
    <w:rsid w:val="00BF0F23"/>
    <w:rsid w:val="00BF530A"/>
    <w:rsid w:val="00C13BB9"/>
    <w:rsid w:val="00C82370"/>
    <w:rsid w:val="00C879AD"/>
    <w:rsid w:val="00CA1863"/>
    <w:rsid w:val="00CB0972"/>
    <w:rsid w:val="00CC562C"/>
    <w:rsid w:val="00D301A8"/>
    <w:rsid w:val="00D638C0"/>
    <w:rsid w:val="00D9725D"/>
    <w:rsid w:val="00DA0F8B"/>
    <w:rsid w:val="00DB6EF2"/>
    <w:rsid w:val="00DC67E1"/>
    <w:rsid w:val="00E149F2"/>
    <w:rsid w:val="00E1774D"/>
    <w:rsid w:val="00E52C8C"/>
    <w:rsid w:val="00E66F1E"/>
    <w:rsid w:val="00E84252"/>
    <w:rsid w:val="00E93998"/>
    <w:rsid w:val="00E967AF"/>
    <w:rsid w:val="00EA53EC"/>
    <w:rsid w:val="00EB105F"/>
    <w:rsid w:val="00EB19D8"/>
    <w:rsid w:val="00EB2D4C"/>
    <w:rsid w:val="00EE29E8"/>
    <w:rsid w:val="00EF0A1A"/>
    <w:rsid w:val="00F9535C"/>
    <w:rsid w:val="00F9537F"/>
    <w:rsid w:val="00FA69D2"/>
    <w:rsid w:val="00FC7207"/>
    <w:rsid w:val="00FD3BC1"/>
    <w:rsid w:val="00FD3C28"/>
    <w:rsid w:val="00FD7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DA"/>
    <w:pPr>
      <w:spacing w:after="0" w:line="240" w:lineRule="auto"/>
      <w:ind w:left="720"/>
      <w:contextualSpacing/>
    </w:pPr>
    <w:rPr>
      <w:sz w:val="24"/>
      <w:szCs w:val="24"/>
      <w:lang w:val="en-GB"/>
    </w:rPr>
  </w:style>
  <w:style w:type="paragraph" w:customStyle="1" w:styleId="Alineazaodstavkom">
    <w:name w:val="Alinea za odstavkom"/>
    <w:basedOn w:val="Normal"/>
    <w:link w:val="AlineazaodstavkomZnak"/>
    <w:qFormat/>
    <w:rsid w:val="002778DA"/>
    <w:pPr>
      <w:numPr>
        <w:numId w:val="2"/>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locked/>
    <w:rsid w:val="002778DA"/>
    <w:rPr>
      <w:rFonts w:ascii="Arial" w:eastAsia="Times New Roman" w:hAnsi="Arial" w:cs="Arial"/>
      <w:lang w:eastAsia="sl-SI"/>
    </w:rPr>
  </w:style>
  <w:style w:type="paragraph" w:customStyle="1" w:styleId="Odstavek">
    <w:name w:val="Odstavek"/>
    <w:basedOn w:val="Normal"/>
    <w:link w:val="OdstavekZnak"/>
    <w:qFormat/>
    <w:rsid w:val="007F79E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locked/>
    <w:rsid w:val="007F79EB"/>
    <w:rPr>
      <w:rFonts w:ascii="Arial" w:eastAsia="Times New Roman" w:hAnsi="Arial" w:cs="Arial"/>
      <w:lang w:eastAsia="sl-SI"/>
    </w:rPr>
  </w:style>
  <w:style w:type="paragraph" w:customStyle="1" w:styleId="Oddelek">
    <w:name w:val="Oddelek"/>
    <w:basedOn w:val="Normal"/>
    <w:link w:val="OddelekZnak1"/>
    <w:qFormat/>
    <w:rsid w:val="00C82370"/>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link w:val="Oddelek"/>
    <w:locked/>
    <w:rsid w:val="00C82370"/>
    <w:rPr>
      <w:rFonts w:ascii="Arial" w:eastAsia="Times New Roman" w:hAnsi="Arial" w:cs="Arial"/>
      <w:lang w:eastAsia="sl-SI"/>
    </w:rPr>
  </w:style>
  <w:style w:type="paragraph" w:styleId="FootnoteText">
    <w:name w:val="footnote text"/>
    <w:basedOn w:val="Normal"/>
    <w:link w:val="FootnoteTextChar"/>
    <w:uiPriority w:val="99"/>
    <w:semiHidden/>
    <w:unhideWhenUsed/>
    <w:rsid w:val="00406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C59"/>
    <w:rPr>
      <w:sz w:val="20"/>
      <w:szCs w:val="20"/>
    </w:rPr>
  </w:style>
  <w:style w:type="character" w:styleId="FootnoteReference">
    <w:name w:val="footnote reference"/>
    <w:basedOn w:val="DefaultParagraphFont"/>
    <w:uiPriority w:val="99"/>
    <w:semiHidden/>
    <w:unhideWhenUsed/>
    <w:rsid w:val="00406C59"/>
    <w:rPr>
      <w:vertAlign w:val="superscript"/>
    </w:rPr>
  </w:style>
  <w:style w:type="paragraph" w:styleId="Header">
    <w:name w:val="header"/>
    <w:basedOn w:val="Normal"/>
    <w:link w:val="HeaderChar"/>
    <w:uiPriority w:val="99"/>
    <w:unhideWhenUsed/>
    <w:rsid w:val="00080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B50"/>
  </w:style>
  <w:style w:type="paragraph" w:styleId="Footer">
    <w:name w:val="footer"/>
    <w:basedOn w:val="Normal"/>
    <w:link w:val="FooterChar"/>
    <w:uiPriority w:val="99"/>
    <w:unhideWhenUsed/>
    <w:rsid w:val="00080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DA"/>
    <w:pPr>
      <w:spacing w:after="0" w:line="240" w:lineRule="auto"/>
      <w:ind w:left="720"/>
      <w:contextualSpacing/>
    </w:pPr>
    <w:rPr>
      <w:sz w:val="24"/>
      <w:szCs w:val="24"/>
      <w:lang w:val="en-GB"/>
    </w:rPr>
  </w:style>
  <w:style w:type="paragraph" w:customStyle="1" w:styleId="Alineazaodstavkom">
    <w:name w:val="Alinea za odstavkom"/>
    <w:basedOn w:val="Normal"/>
    <w:link w:val="AlineazaodstavkomZnak"/>
    <w:qFormat/>
    <w:rsid w:val="002778DA"/>
    <w:pPr>
      <w:numPr>
        <w:numId w:val="2"/>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locked/>
    <w:rsid w:val="002778DA"/>
    <w:rPr>
      <w:rFonts w:ascii="Arial" w:eastAsia="Times New Roman" w:hAnsi="Arial" w:cs="Arial"/>
      <w:lang w:eastAsia="sl-SI"/>
    </w:rPr>
  </w:style>
  <w:style w:type="paragraph" w:customStyle="1" w:styleId="Odstavek">
    <w:name w:val="Odstavek"/>
    <w:basedOn w:val="Normal"/>
    <w:link w:val="OdstavekZnak"/>
    <w:qFormat/>
    <w:rsid w:val="007F79E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locked/>
    <w:rsid w:val="007F79EB"/>
    <w:rPr>
      <w:rFonts w:ascii="Arial" w:eastAsia="Times New Roman" w:hAnsi="Arial" w:cs="Arial"/>
      <w:lang w:eastAsia="sl-SI"/>
    </w:rPr>
  </w:style>
  <w:style w:type="paragraph" w:customStyle="1" w:styleId="Oddelek">
    <w:name w:val="Oddelek"/>
    <w:basedOn w:val="Normal"/>
    <w:link w:val="OddelekZnak1"/>
    <w:qFormat/>
    <w:rsid w:val="00C82370"/>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link w:val="Oddelek"/>
    <w:locked/>
    <w:rsid w:val="00C82370"/>
    <w:rPr>
      <w:rFonts w:ascii="Arial" w:eastAsia="Times New Roman" w:hAnsi="Arial" w:cs="Arial"/>
      <w:lang w:eastAsia="sl-SI"/>
    </w:rPr>
  </w:style>
  <w:style w:type="paragraph" w:styleId="FootnoteText">
    <w:name w:val="footnote text"/>
    <w:basedOn w:val="Normal"/>
    <w:link w:val="FootnoteTextChar"/>
    <w:uiPriority w:val="99"/>
    <w:semiHidden/>
    <w:unhideWhenUsed/>
    <w:rsid w:val="00406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C59"/>
    <w:rPr>
      <w:sz w:val="20"/>
      <w:szCs w:val="20"/>
    </w:rPr>
  </w:style>
  <w:style w:type="character" w:styleId="FootnoteReference">
    <w:name w:val="footnote reference"/>
    <w:basedOn w:val="DefaultParagraphFont"/>
    <w:uiPriority w:val="99"/>
    <w:semiHidden/>
    <w:unhideWhenUsed/>
    <w:rsid w:val="00406C59"/>
    <w:rPr>
      <w:vertAlign w:val="superscript"/>
    </w:rPr>
  </w:style>
  <w:style w:type="paragraph" w:styleId="Header">
    <w:name w:val="header"/>
    <w:basedOn w:val="Normal"/>
    <w:link w:val="HeaderChar"/>
    <w:uiPriority w:val="99"/>
    <w:unhideWhenUsed/>
    <w:rsid w:val="00080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B50"/>
  </w:style>
  <w:style w:type="paragraph" w:styleId="Footer">
    <w:name w:val="footer"/>
    <w:basedOn w:val="Normal"/>
    <w:link w:val="FooterChar"/>
    <w:uiPriority w:val="99"/>
    <w:unhideWhenUsed/>
    <w:rsid w:val="00080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636751-2B6A-4210-B5E4-F77A3E844B6C}">
  <ds:schemaRefs>
    <ds:schemaRef ds:uri="http://schemas.openxmlformats.org/officeDocument/2006/bibliography"/>
  </ds:schemaRefs>
</ds:datastoreItem>
</file>

<file path=customXml/itemProps2.xml><?xml version="1.0" encoding="utf-8"?>
<ds:datastoreItem xmlns:ds="http://schemas.openxmlformats.org/officeDocument/2006/customXml" ds:itemID="{85664AB2-5FDE-486C-B0AC-22ECE738E439}"/>
</file>

<file path=customXml/itemProps3.xml><?xml version="1.0" encoding="utf-8"?>
<ds:datastoreItem xmlns:ds="http://schemas.openxmlformats.org/officeDocument/2006/customXml" ds:itemID="{0841E40A-A328-4D0F-84DF-9BC99B88A971}"/>
</file>

<file path=customXml/itemProps4.xml><?xml version="1.0" encoding="utf-8"?>
<ds:datastoreItem xmlns:ds="http://schemas.openxmlformats.org/officeDocument/2006/customXml" ds:itemID="{EBA58B88-743C-4C98-B695-62BDA7CC23D3}"/>
</file>

<file path=docProps/app.xml><?xml version="1.0" encoding="utf-8"?>
<Properties xmlns="http://schemas.openxmlformats.org/officeDocument/2006/extended-properties" xmlns:vt="http://schemas.openxmlformats.org/officeDocument/2006/docPropsVTypes">
  <Template>1331C009</Template>
  <TotalTime>1</TotalTime>
  <Pages>4</Pages>
  <Words>1673</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MZIP</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Republic_of_Slovenia</dc:title>
  <dc:creator>Matija Polajnar</dc:creator>
  <cp:lastModifiedBy>A1191</cp:lastModifiedBy>
  <cp:revision>2</cp:revision>
  <dcterms:created xsi:type="dcterms:W3CDTF">2017-10-25T15:13:00Z</dcterms:created>
  <dcterms:modified xsi:type="dcterms:W3CDTF">2017-10-25T15:13:00Z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