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6FA7" w14:textId="77777777" w:rsidR="009162A0" w:rsidRPr="00B91191" w:rsidRDefault="009162A0" w:rsidP="00B9682D">
      <w:pPr>
        <w:spacing w:after="0" w:line="240" w:lineRule="auto"/>
        <w:jc w:val="both"/>
        <w:rPr>
          <w:rFonts w:ascii="Arial" w:eastAsia="Times New Roman" w:hAnsi="Arial" w:cs="Arial"/>
          <w:color w:val="000000"/>
          <w:sz w:val="24"/>
          <w:szCs w:val="24"/>
          <w:lang w:val="es-ES"/>
        </w:rPr>
      </w:pPr>
    </w:p>
    <w:p w14:paraId="75911E39" w14:textId="77777777" w:rsidR="00B9682D" w:rsidRPr="00B91191" w:rsidRDefault="00B9682D" w:rsidP="00B9682D">
      <w:pPr>
        <w:spacing w:after="0" w:line="240" w:lineRule="auto"/>
        <w:jc w:val="center"/>
        <w:rPr>
          <w:rFonts w:ascii="Arial" w:hAnsi="Arial" w:cs="Arial"/>
          <w:color w:val="000000"/>
          <w:sz w:val="24"/>
          <w:szCs w:val="24"/>
          <w:lang w:eastAsia="en-US"/>
        </w:rPr>
      </w:pPr>
      <w:proofErr w:type="spellStart"/>
      <w:r w:rsidRPr="00B91191">
        <w:rPr>
          <w:rFonts w:ascii="Arial" w:hAnsi="Arial" w:cs="Arial"/>
          <w:color w:val="000000"/>
          <w:sz w:val="24"/>
          <w:szCs w:val="24"/>
          <w:lang w:eastAsia="en-US"/>
        </w:rPr>
        <w:t>Solicitud</w:t>
      </w:r>
      <w:proofErr w:type="spellEnd"/>
      <w:r w:rsidRPr="00B91191">
        <w:rPr>
          <w:rFonts w:ascii="Arial" w:hAnsi="Arial" w:cs="Arial"/>
          <w:color w:val="000000"/>
          <w:sz w:val="24"/>
          <w:szCs w:val="24"/>
          <w:lang w:eastAsia="en-US"/>
        </w:rPr>
        <w:t xml:space="preserve"> de </w:t>
      </w:r>
      <w:proofErr w:type="spellStart"/>
      <w:r w:rsidRPr="00B91191">
        <w:rPr>
          <w:rFonts w:ascii="Arial" w:hAnsi="Arial" w:cs="Arial"/>
          <w:color w:val="000000"/>
          <w:sz w:val="24"/>
          <w:szCs w:val="24"/>
          <w:lang w:eastAsia="en-US"/>
        </w:rPr>
        <w:t>aportaciones</w:t>
      </w:r>
      <w:proofErr w:type="spellEnd"/>
      <w:r w:rsidRPr="00B91191">
        <w:rPr>
          <w:rFonts w:ascii="Arial" w:hAnsi="Arial" w:cs="Arial"/>
          <w:color w:val="000000"/>
          <w:sz w:val="24"/>
          <w:szCs w:val="24"/>
          <w:lang w:eastAsia="en-US"/>
        </w:rPr>
        <w:t>:</w:t>
      </w:r>
    </w:p>
    <w:p w14:paraId="5B4178A0" w14:textId="77777777" w:rsidR="009162A0" w:rsidRPr="00B91191" w:rsidRDefault="00B9682D" w:rsidP="00B9682D">
      <w:pPr>
        <w:spacing w:after="0" w:line="240" w:lineRule="auto"/>
        <w:jc w:val="center"/>
        <w:rPr>
          <w:rFonts w:ascii="Arial" w:hAnsi="Arial" w:cs="Arial"/>
          <w:color w:val="000000"/>
          <w:sz w:val="24"/>
          <w:szCs w:val="24"/>
          <w:lang w:eastAsia="en-US"/>
        </w:rPr>
      </w:pPr>
      <w:r w:rsidRPr="00B91191">
        <w:rPr>
          <w:rFonts w:ascii="Arial" w:hAnsi="Arial" w:cs="Arial"/>
          <w:color w:val="000000"/>
          <w:sz w:val="24"/>
          <w:szCs w:val="24"/>
          <w:lang w:eastAsia="en-US"/>
        </w:rPr>
        <w:t xml:space="preserve">Derecho a un </w:t>
      </w:r>
      <w:proofErr w:type="spellStart"/>
      <w:r w:rsidRPr="00B91191">
        <w:rPr>
          <w:rFonts w:ascii="Arial" w:hAnsi="Arial" w:cs="Arial"/>
          <w:color w:val="000000"/>
          <w:sz w:val="24"/>
          <w:szCs w:val="24"/>
          <w:lang w:eastAsia="en-US"/>
        </w:rPr>
        <w:t>medio</w:t>
      </w:r>
      <w:proofErr w:type="spellEnd"/>
      <w:r w:rsidRPr="00B91191">
        <w:rPr>
          <w:rFonts w:ascii="Arial" w:hAnsi="Arial" w:cs="Arial"/>
          <w:color w:val="000000"/>
          <w:sz w:val="24"/>
          <w:szCs w:val="24"/>
          <w:lang w:eastAsia="en-US"/>
        </w:rPr>
        <w:t xml:space="preserve"> </w:t>
      </w:r>
      <w:proofErr w:type="spellStart"/>
      <w:r w:rsidRPr="00B91191">
        <w:rPr>
          <w:rFonts w:ascii="Arial" w:hAnsi="Arial" w:cs="Arial"/>
          <w:color w:val="000000"/>
          <w:sz w:val="24"/>
          <w:szCs w:val="24"/>
          <w:lang w:eastAsia="en-US"/>
        </w:rPr>
        <w:t>ambiente</w:t>
      </w:r>
      <w:proofErr w:type="spellEnd"/>
      <w:r w:rsidRPr="00B91191">
        <w:rPr>
          <w:rFonts w:ascii="Arial" w:hAnsi="Arial" w:cs="Arial"/>
          <w:color w:val="000000"/>
          <w:sz w:val="24"/>
          <w:szCs w:val="24"/>
          <w:lang w:eastAsia="en-US"/>
        </w:rPr>
        <w:t xml:space="preserve"> sin </w:t>
      </w:r>
      <w:proofErr w:type="spellStart"/>
      <w:r w:rsidRPr="00B91191">
        <w:rPr>
          <w:rFonts w:ascii="Arial" w:hAnsi="Arial" w:cs="Arial"/>
          <w:color w:val="000000"/>
          <w:sz w:val="24"/>
          <w:szCs w:val="24"/>
          <w:lang w:eastAsia="en-US"/>
        </w:rPr>
        <w:t>riesgos</w:t>
      </w:r>
      <w:proofErr w:type="spellEnd"/>
      <w:r w:rsidRPr="00B91191">
        <w:rPr>
          <w:rFonts w:ascii="Arial" w:hAnsi="Arial" w:cs="Arial"/>
          <w:color w:val="000000"/>
          <w:sz w:val="24"/>
          <w:szCs w:val="24"/>
          <w:lang w:eastAsia="en-US"/>
        </w:rPr>
        <w:t xml:space="preserve">, </w:t>
      </w:r>
      <w:proofErr w:type="spellStart"/>
      <w:r w:rsidRPr="00B91191">
        <w:rPr>
          <w:rFonts w:ascii="Arial" w:hAnsi="Arial" w:cs="Arial"/>
          <w:color w:val="000000"/>
          <w:sz w:val="24"/>
          <w:szCs w:val="24"/>
          <w:lang w:eastAsia="en-US"/>
        </w:rPr>
        <w:t>limpio</w:t>
      </w:r>
      <w:proofErr w:type="spellEnd"/>
      <w:r w:rsidRPr="00B91191">
        <w:rPr>
          <w:rFonts w:ascii="Arial" w:hAnsi="Arial" w:cs="Arial"/>
          <w:color w:val="000000"/>
          <w:sz w:val="24"/>
          <w:szCs w:val="24"/>
          <w:lang w:eastAsia="en-US"/>
        </w:rPr>
        <w:t xml:space="preserve">, </w:t>
      </w:r>
      <w:proofErr w:type="spellStart"/>
      <w:r w:rsidRPr="00B91191">
        <w:rPr>
          <w:rFonts w:ascii="Arial" w:hAnsi="Arial" w:cs="Arial"/>
          <w:color w:val="000000"/>
          <w:sz w:val="24"/>
          <w:szCs w:val="24"/>
          <w:lang w:eastAsia="en-US"/>
        </w:rPr>
        <w:t>saludable</w:t>
      </w:r>
      <w:proofErr w:type="spellEnd"/>
      <w:r w:rsidRPr="00B91191">
        <w:rPr>
          <w:rFonts w:ascii="Arial" w:hAnsi="Arial" w:cs="Arial"/>
          <w:color w:val="000000"/>
          <w:sz w:val="24"/>
          <w:szCs w:val="24"/>
          <w:lang w:eastAsia="en-US"/>
        </w:rPr>
        <w:t xml:space="preserve"> y </w:t>
      </w:r>
      <w:proofErr w:type="spellStart"/>
      <w:r w:rsidRPr="00B91191">
        <w:rPr>
          <w:rFonts w:ascii="Arial" w:hAnsi="Arial" w:cs="Arial"/>
          <w:color w:val="000000"/>
          <w:sz w:val="24"/>
          <w:szCs w:val="24"/>
          <w:lang w:eastAsia="en-US"/>
        </w:rPr>
        <w:t>sostenible</w:t>
      </w:r>
      <w:proofErr w:type="spellEnd"/>
    </w:p>
    <w:p w14:paraId="5162757F" w14:textId="77777777" w:rsidR="00F31228" w:rsidRPr="00B91191" w:rsidRDefault="00F31228" w:rsidP="00B9682D">
      <w:pPr>
        <w:spacing w:after="0" w:line="240" w:lineRule="auto"/>
        <w:jc w:val="center"/>
        <w:rPr>
          <w:rFonts w:ascii="Arial" w:hAnsi="Arial" w:cs="Arial"/>
          <w:color w:val="000000"/>
          <w:sz w:val="24"/>
          <w:szCs w:val="24"/>
          <w:lang w:eastAsia="en-US"/>
        </w:rPr>
      </w:pPr>
    </w:p>
    <w:p w14:paraId="63E590DB" w14:textId="77777777" w:rsidR="00B91191" w:rsidRDefault="00F31228" w:rsidP="00B9682D">
      <w:pPr>
        <w:spacing w:after="0" w:line="240" w:lineRule="auto"/>
        <w:jc w:val="center"/>
        <w:rPr>
          <w:rFonts w:ascii="Arial" w:hAnsi="Arial" w:cs="Arial"/>
          <w:color w:val="000000"/>
          <w:sz w:val="24"/>
          <w:szCs w:val="24"/>
          <w:lang w:eastAsia="en-US"/>
        </w:rPr>
      </w:pPr>
      <w:proofErr w:type="spellStart"/>
      <w:r w:rsidRPr="00B91191">
        <w:rPr>
          <w:rFonts w:ascii="Arial" w:hAnsi="Arial" w:cs="Arial"/>
          <w:color w:val="000000"/>
          <w:sz w:val="24"/>
          <w:szCs w:val="24"/>
          <w:lang w:eastAsia="en-US"/>
        </w:rPr>
        <w:t>Cuestionario</w:t>
      </w:r>
      <w:proofErr w:type="spellEnd"/>
      <w:r w:rsidRPr="00B91191">
        <w:rPr>
          <w:rFonts w:ascii="Arial" w:hAnsi="Arial" w:cs="Arial"/>
          <w:color w:val="000000"/>
          <w:sz w:val="24"/>
          <w:szCs w:val="24"/>
          <w:lang w:eastAsia="en-US"/>
        </w:rPr>
        <w:t xml:space="preserve"> </w:t>
      </w:r>
      <w:proofErr w:type="spellStart"/>
      <w:r w:rsidRPr="00B91191">
        <w:rPr>
          <w:rFonts w:ascii="Arial" w:hAnsi="Arial" w:cs="Arial"/>
          <w:color w:val="000000"/>
          <w:sz w:val="24"/>
          <w:szCs w:val="24"/>
          <w:lang w:eastAsia="en-US"/>
        </w:rPr>
        <w:t>elaborado</w:t>
      </w:r>
      <w:proofErr w:type="spellEnd"/>
      <w:r w:rsidRPr="00B91191">
        <w:rPr>
          <w:rFonts w:ascii="Arial" w:hAnsi="Arial" w:cs="Arial"/>
          <w:color w:val="000000"/>
          <w:sz w:val="24"/>
          <w:szCs w:val="24"/>
          <w:lang w:eastAsia="en-US"/>
        </w:rPr>
        <w:t xml:space="preserve"> </w:t>
      </w:r>
      <w:proofErr w:type="spellStart"/>
      <w:r w:rsidRPr="00B91191">
        <w:rPr>
          <w:rFonts w:ascii="Arial" w:hAnsi="Arial" w:cs="Arial"/>
          <w:color w:val="000000"/>
          <w:sz w:val="24"/>
          <w:szCs w:val="24"/>
          <w:lang w:eastAsia="en-US"/>
        </w:rPr>
        <w:t>por</w:t>
      </w:r>
      <w:proofErr w:type="spellEnd"/>
      <w:r w:rsidRPr="00B91191">
        <w:rPr>
          <w:rFonts w:ascii="Arial" w:hAnsi="Arial" w:cs="Arial"/>
          <w:color w:val="000000"/>
          <w:sz w:val="24"/>
          <w:szCs w:val="24"/>
          <w:lang w:eastAsia="en-US"/>
        </w:rPr>
        <w:t xml:space="preserve">: </w:t>
      </w:r>
    </w:p>
    <w:p w14:paraId="49425809" w14:textId="78F31339" w:rsidR="00F31228" w:rsidRPr="00B91191" w:rsidRDefault="00F31228" w:rsidP="00B9682D">
      <w:pPr>
        <w:spacing w:after="0" w:line="240" w:lineRule="auto"/>
        <w:jc w:val="center"/>
        <w:rPr>
          <w:rFonts w:ascii="Arial" w:hAnsi="Arial" w:cs="Arial"/>
          <w:color w:val="000000"/>
          <w:sz w:val="24"/>
          <w:szCs w:val="24"/>
          <w:lang w:eastAsia="en-US"/>
        </w:rPr>
      </w:pPr>
      <w:r w:rsidRPr="00B91191">
        <w:rPr>
          <w:rFonts w:ascii="Arial" w:hAnsi="Arial" w:cs="Arial"/>
          <w:color w:val="000000"/>
          <w:sz w:val="24"/>
          <w:szCs w:val="24"/>
          <w:lang w:eastAsia="en-US"/>
        </w:rPr>
        <w:t>Patricia Madrigal Cordero</w:t>
      </w:r>
    </w:p>
    <w:p w14:paraId="11383560" w14:textId="63B82224" w:rsidR="00F31228" w:rsidRPr="00B91191" w:rsidRDefault="003B2E9C" w:rsidP="00B9682D">
      <w:pPr>
        <w:spacing w:after="0" w:line="240" w:lineRule="auto"/>
        <w:jc w:val="center"/>
        <w:rPr>
          <w:rFonts w:ascii="Arial" w:hAnsi="Arial" w:cs="Arial"/>
          <w:color w:val="000000"/>
          <w:sz w:val="24"/>
          <w:szCs w:val="24"/>
          <w:lang w:eastAsia="en-US"/>
        </w:rPr>
      </w:pPr>
      <w:hyperlink r:id="rId12" w:history="1">
        <w:r w:rsidR="00F31228" w:rsidRPr="00B91191">
          <w:rPr>
            <w:rStyle w:val="Hipervnculo"/>
            <w:rFonts w:ascii="Arial" w:hAnsi="Arial" w:cs="Arial"/>
            <w:sz w:val="24"/>
            <w:szCs w:val="24"/>
            <w:lang w:eastAsia="en-US"/>
          </w:rPr>
          <w:t>pmadrigalcordero@gmail.com</w:t>
        </w:r>
      </w:hyperlink>
    </w:p>
    <w:p w14:paraId="0C54BCE2" w14:textId="2A02AEA6" w:rsidR="00F31228" w:rsidRPr="00B91191" w:rsidRDefault="00F31228" w:rsidP="00B9682D">
      <w:pPr>
        <w:spacing w:after="0" w:line="240" w:lineRule="auto"/>
        <w:jc w:val="center"/>
        <w:rPr>
          <w:rFonts w:ascii="Arial" w:hAnsi="Arial" w:cs="Arial"/>
          <w:color w:val="000000"/>
          <w:sz w:val="24"/>
          <w:szCs w:val="24"/>
          <w:lang w:eastAsia="en-US"/>
        </w:rPr>
      </w:pPr>
      <w:r w:rsidRPr="00B91191">
        <w:rPr>
          <w:rFonts w:ascii="Arial" w:hAnsi="Arial" w:cs="Arial"/>
          <w:color w:val="000000"/>
          <w:sz w:val="24"/>
          <w:szCs w:val="24"/>
          <w:lang w:eastAsia="en-US"/>
        </w:rPr>
        <w:t>mayo 2019</w:t>
      </w:r>
    </w:p>
    <w:p w14:paraId="79BD7F24" w14:textId="77777777" w:rsidR="00B9682D" w:rsidRPr="00B91191" w:rsidRDefault="00B9682D" w:rsidP="00B9682D">
      <w:pPr>
        <w:spacing w:after="0" w:line="240" w:lineRule="auto"/>
        <w:jc w:val="both"/>
        <w:rPr>
          <w:rFonts w:ascii="Arial" w:eastAsia="Times New Roman" w:hAnsi="Arial" w:cs="Arial"/>
          <w:color w:val="000000"/>
          <w:sz w:val="24"/>
          <w:szCs w:val="24"/>
        </w:rPr>
      </w:pPr>
    </w:p>
    <w:p w14:paraId="75C3934B" w14:textId="77777777" w:rsidR="00A2541B" w:rsidRPr="00B91191" w:rsidRDefault="00A2541B"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t>La resolución 37/8 del Consejo de Derechos Humanos encarga al Relator Especial que organice un seminario de expertos "</w:t>
      </w:r>
      <w:r w:rsidRPr="00B91191">
        <w:rPr>
          <w:rFonts w:ascii="Arial" w:hAnsi="Arial" w:cs="Arial"/>
          <w:sz w:val="24"/>
          <w:szCs w:val="24"/>
          <w:lang w:val="es-ES"/>
        </w:rPr>
        <w:t xml:space="preserve"> </w:t>
      </w:r>
      <w:r w:rsidRPr="00B91191">
        <w:rPr>
          <w:rFonts w:ascii="Arial" w:eastAsia="Times New Roman" w:hAnsi="Arial" w:cs="Arial"/>
          <w:color w:val="000000"/>
          <w:sz w:val="24"/>
          <w:szCs w:val="24"/>
          <w:lang w:val="es-ES"/>
        </w:rPr>
        <w:t xml:space="preserve">un seminario de expertos sobre la experiencia y las mejores prácticas de los Estados en los planos nacional y regional respecto de las obligaciones de derechos humanos relacionadas con el medio ambiente". El Relator Especial, el Sr. David </w:t>
      </w:r>
      <w:proofErr w:type="spellStart"/>
      <w:r w:rsidRPr="00B91191">
        <w:rPr>
          <w:rFonts w:ascii="Arial" w:eastAsia="Times New Roman" w:hAnsi="Arial" w:cs="Arial"/>
          <w:color w:val="000000"/>
          <w:sz w:val="24"/>
          <w:szCs w:val="24"/>
          <w:lang w:val="es-ES"/>
        </w:rPr>
        <w:t>Boyd</w:t>
      </w:r>
      <w:proofErr w:type="spellEnd"/>
      <w:r w:rsidRPr="00B91191">
        <w:rPr>
          <w:rFonts w:ascii="Arial" w:eastAsia="Times New Roman" w:hAnsi="Arial" w:cs="Arial"/>
          <w:color w:val="000000"/>
          <w:sz w:val="24"/>
          <w:szCs w:val="24"/>
          <w:lang w:val="es-ES"/>
        </w:rPr>
        <w:t xml:space="preserve">, preparará un informe resumido sobre el seminario, así como un </w:t>
      </w:r>
      <w:bookmarkStart w:id="0" w:name="OLE_LINK9"/>
      <w:bookmarkStart w:id="1" w:name="OLE_LINK10"/>
      <w:r w:rsidRPr="00B91191">
        <w:rPr>
          <w:rFonts w:ascii="Arial" w:eastAsia="Times New Roman" w:hAnsi="Arial" w:cs="Arial"/>
          <w:color w:val="000000"/>
          <w:sz w:val="24"/>
          <w:szCs w:val="24"/>
          <w:lang w:val="es-ES"/>
        </w:rPr>
        <w:t>informe temático centrado en las buenas prácticas relacionadas específicamente con la aplicación del derecho a un medio ambiente sin riesgos, limpio, saludable y sostenible</w:t>
      </w:r>
      <w:bookmarkEnd w:id="0"/>
      <w:bookmarkEnd w:id="1"/>
      <w:r w:rsidRPr="00B91191">
        <w:rPr>
          <w:rFonts w:ascii="Arial" w:eastAsia="Times New Roman" w:hAnsi="Arial" w:cs="Arial"/>
          <w:color w:val="000000"/>
          <w:sz w:val="24"/>
          <w:szCs w:val="24"/>
          <w:lang w:val="es-ES"/>
        </w:rPr>
        <w:t xml:space="preserve"> (un derecho reconocido legalmente en la actualidad por más de 150 Estados). Con este fin, está recabando aportaciones de los Estados y otras partes interesadas sobre este importante tema mediante las respuestas al breve cuestionario que figura a continuación.</w:t>
      </w:r>
    </w:p>
    <w:p w14:paraId="6AF690F7" w14:textId="77777777" w:rsidR="00B9682D" w:rsidRPr="00B91191" w:rsidRDefault="00B9682D" w:rsidP="00B9682D">
      <w:pPr>
        <w:spacing w:after="0" w:line="240" w:lineRule="auto"/>
        <w:jc w:val="both"/>
        <w:rPr>
          <w:rFonts w:ascii="Arial" w:eastAsia="Times New Roman" w:hAnsi="Arial" w:cs="Arial"/>
          <w:color w:val="000000"/>
          <w:sz w:val="24"/>
          <w:szCs w:val="24"/>
          <w:lang w:val="es-ES"/>
        </w:rPr>
      </w:pPr>
    </w:p>
    <w:p w14:paraId="10244327"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 xml:space="preserve">Sus respuestas servirán de base para el análisis del Relator Especial y se incorporarán a su informe temático, que será presentado al Consejo de Derechos Humanos en marzo de 2020. </w:t>
      </w:r>
    </w:p>
    <w:p w14:paraId="5A30E68A" w14:textId="77777777" w:rsidR="009162A0" w:rsidRPr="00B91191" w:rsidRDefault="009162A0" w:rsidP="00B9682D">
      <w:pPr>
        <w:spacing w:after="0" w:line="240" w:lineRule="auto"/>
        <w:jc w:val="both"/>
        <w:rPr>
          <w:rFonts w:ascii="Arial" w:eastAsia="Times New Roman" w:hAnsi="Arial" w:cs="Arial"/>
          <w:color w:val="000000"/>
          <w:sz w:val="24"/>
          <w:szCs w:val="24"/>
          <w:lang w:val="es-ES"/>
        </w:rPr>
      </w:pPr>
    </w:p>
    <w:p w14:paraId="21091EE4" w14:textId="77777777" w:rsidR="00A2541B" w:rsidRPr="00B91191" w:rsidRDefault="00A2541B"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t xml:space="preserve">Cuestionario </w:t>
      </w:r>
    </w:p>
    <w:p w14:paraId="75F2D3BC" w14:textId="77777777" w:rsidR="009162A0" w:rsidRPr="00B91191" w:rsidRDefault="009162A0" w:rsidP="00B9682D">
      <w:pPr>
        <w:spacing w:after="0" w:line="240" w:lineRule="auto"/>
        <w:jc w:val="both"/>
        <w:rPr>
          <w:rFonts w:ascii="Arial" w:eastAsia="Times New Roman" w:hAnsi="Arial" w:cs="Arial"/>
          <w:sz w:val="24"/>
          <w:szCs w:val="24"/>
          <w:lang w:val="es-ES"/>
        </w:rPr>
      </w:pPr>
    </w:p>
    <w:p w14:paraId="7FB1DB5D" w14:textId="77777777" w:rsidR="00A2541B" w:rsidRPr="00B91191" w:rsidRDefault="00A2541B"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t xml:space="preserve">El Relator Especial invita y da la bienvenida a sus respuestas a las siguientes preguntas: </w:t>
      </w:r>
    </w:p>
    <w:p w14:paraId="65397997" w14:textId="77777777" w:rsidR="009162A0" w:rsidRPr="00B91191" w:rsidRDefault="009162A0" w:rsidP="00B9682D">
      <w:pPr>
        <w:spacing w:after="0" w:line="240" w:lineRule="auto"/>
        <w:jc w:val="both"/>
        <w:rPr>
          <w:rFonts w:ascii="Arial" w:eastAsia="Times New Roman" w:hAnsi="Arial" w:cs="Arial"/>
          <w:sz w:val="24"/>
          <w:szCs w:val="24"/>
          <w:lang w:val="es-ES"/>
        </w:rPr>
      </w:pPr>
    </w:p>
    <w:p w14:paraId="68FA8AF7" w14:textId="77777777" w:rsidR="00A2541B" w:rsidRPr="00B91191" w:rsidRDefault="00A2541B"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 xml:space="preserve">Sírvase proporcionar, en detalle, ejemplos de leyes, reglamentos, políticas y programas que incorporen específicamente el derecho humano </w:t>
      </w:r>
      <w:r w:rsidRPr="00B91191">
        <w:rPr>
          <w:rFonts w:ascii="Arial" w:hAnsi="Arial" w:cs="Arial"/>
          <w:color w:val="000000"/>
          <w:sz w:val="24"/>
          <w:szCs w:val="24"/>
          <w:lang w:val="es-ES"/>
        </w:rPr>
        <w:t>a un medio ambiente sin riesgos, limpio, saludable y sostenible (reconociendo que pueden utilizarse diferentes términos para describir este derecho humano)</w:t>
      </w:r>
      <w:r w:rsidRPr="00B91191">
        <w:rPr>
          <w:rFonts w:ascii="Arial" w:hAnsi="Arial" w:cs="Arial"/>
          <w:sz w:val="24"/>
          <w:szCs w:val="24"/>
          <w:lang w:val="es-ES"/>
        </w:rPr>
        <w:t xml:space="preserve">. </w:t>
      </w:r>
    </w:p>
    <w:p w14:paraId="14D64A25" w14:textId="77777777" w:rsidR="00854063" w:rsidRPr="00B91191" w:rsidRDefault="00854063" w:rsidP="00E148BE">
      <w:pPr>
        <w:spacing w:after="0" w:line="240" w:lineRule="auto"/>
        <w:jc w:val="both"/>
        <w:rPr>
          <w:rFonts w:ascii="Arial" w:hAnsi="Arial" w:cs="Arial"/>
          <w:sz w:val="24"/>
          <w:szCs w:val="24"/>
          <w:lang w:val="es-ES"/>
        </w:rPr>
      </w:pPr>
    </w:p>
    <w:p w14:paraId="231497F6" w14:textId="150DAC91" w:rsidR="00E148BE" w:rsidRPr="00B91191" w:rsidRDefault="00E148BE" w:rsidP="00E148BE">
      <w:pPr>
        <w:spacing w:after="0" w:line="240" w:lineRule="auto"/>
        <w:jc w:val="both"/>
        <w:rPr>
          <w:rFonts w:ascii="Arial" w:hAnsi="Arial" w:cs="Arial"/>
          <w:sz w:val="24"/>
          <w:szCs w:val="24"/>
          <w:lang w:val="es-ES"/>
        </w:rPr>
      </w:pPr>
      <w:r w:rsidRPr="00B91191">
        <w:rPr>
          <w:rFonts w:ascii="Arial" w:hAnsi="Arial" w:cs="Arial"/>
          <w:sz w:val="24"/>
          <w:szCs w:val="24"/>
          <w:lang w:val="es-ES"/>
        </w:rPr>
        <w:t xml:space="preserve">En 1994 se reformó el artículo 50 de la Constitución Política de Costa Rica para incluir el derecho a un ambiente sano y ecológicamente equilibrado como un Derecho Humano.  Nótese que se incluyó en este artículo que establece la distribución de la riqueza.  Está ubicado en el capítulo de </w:t>
      </w:r>
      <w:r w:rsidR="00F31228" w:rsidRPr="00B91191">
        <w:rPr>
          <w:rFonts w:ascii="Arial" w:hAnsi="Arial" w:cs="Arial"/>
          <w:sz w:val="24"/>
          <w:szCs w:val="24"/>
          <w:lang w:val="es-ES"/>
        </w:rPr>
        <w:t xml:space="preserve">las garantías </w:t>
      </w:r>
      <w:r w:rsidRPr="00B91191">
        <w:rPr>
          <w:rFonts w:ascii="Arial" w:hAnsi="Arial" w:cs="Arial"/>
          <w:sz w:val="24"/>
          <w:szCs w:val="24"/>
          <w:lang w:val="es-ES"/>
        </w:rPr>
        <w:t>sociales:</w:t>
      </w:r>
    </w:p>
    <w:p w14:paraId="23217BAA" w14:textId="77777777" w:rsidR="00E148BE" w:rsidRPr="00B91191" w:rsidRDefault="00E148BE" w:rsidP="00854063">
      <w:pPr>
        <w:spacing w:after="0" w:line="240" w:lineRule="auto"/>
        <w:ind w:left="720"/>
        <w:jc w:val="both"/>
        <w:rPr>
          <w:rFonts w:ascii="Arial" w:eastAsia="Times New Roman" w:hAnsi="Arial" w:cs="Arial"/>
          <w:sz w:val="24"/>
          <w:szCs w:val="24"/>
          <w:lang w:val="es-ES_tradnl" w:eastAsia="es-ES"/>
        </w:rPr>
      </w:pPr>
      <w:r w:rsidRPr="00B91191">
        <w:rPr>
          <w:rFonts w:ascii="Arial" w:eastAsia="Times New Roman" w:hAnsi="Arial" w:cs="Arial"/>
          <w:color w:val="0A0A0A"/>
          <w:sz w:val="24"/>
          <w:szCs w:val="24"/>
          <w:shd w:val="clear" w:color="auto" w:fill="FFFFFF"/>
          <w:lang w:val="es-ES_tradnl" w:eastAsia="es-ES"/>
        </w:rPr>
        <w:t>“El Estado procurará el mayor bienestar a todos los habitantes del país, organizando y estimulando la producción y el más adecuado reparto de la riqueza. Toda persona tiene derecho a un ambiente sano y ecológicamente equilibrado. Por ello, está legitimada para denunciar los actos que infrinjan ese derecho y para reclamar la reparación del daño causado. El Estado garantizará, defenderá y preservará ese derecho. La ley determinará las responsabilidades y las sanciones correspondientes”. </w:t>
      </w:r>
    </w:p>
    <w:p w14:paraId="37BACC71" w14:textId="4DD688A1" w:rsidR="00E148BE" w:rsidRPr="00B91191" w:rsidRDefault="008A6EC3" w:rsidP="00E148BE">
      <w:pPr>
        <w:spacing w:after="0" w:line="240" w:lineRule="auto"/>
        <w:jc w:val="both"/>
        <w:rPr>
          <w:rFonts w:ascii="Arial" w:hAnsi="Arial" w:cs="Arial"/>
          <w:sz w:val="24"/>
          <w:szCs w:val="24"/>
          <w:lang w:val="es-ES"/>
        </w:rPr>
      </w:pPr>
      <w:r w:rsidRPr="00B91191">
        <w:rPr>
          <w:rFonts w:ascii="Arial" w:hAnsi="Arial" w:cs="Arial"/>
          <w:sz w:val="24"/>
          <w:szCs w:val="24"/>
          <w:lang w:val="es-ES"/>
        </w:rPr>
        <w:lastRenderedPageBreak/>
        <w:t>Desde 1993</w:t>
      </w:r>
      <w:r w:rsidR="00E148BE" w:rsidRPr="00B91191">
        <w:rPr>
          <w:rFonts w:ascii="Arial" w:hAnsi="Arial" w:cs="Arial"/>
          <w:sz w:val="24"/>
          <w:szCs w:val="24"/>
          <w:lang w:val="es-ES"/>
        </w:rPr>
        <w:t xml:space="preserve"> la Sala Constitucional había reconocido este derecho derivado del derecho a la vida y a la salud,</w:t>
      </w:r>
      <w:r w:rsidRPr="00B91191">
        <w:rPr>
          <w:rStyle w:val="Refdenotaalpie"/>
          <w:rFonts w:ascii="Arial" w:hAnsi="Arial" w:cs="Arial"/>
          <w:sz w:val="24"/>
          <w:szCs w:val="24"/>
          <w:lang w:val="es-ES"/>
        </w:rPr>
        <w:footnoteReference w:id="1"/>
      </w:r>
      <w:r w:rsidR="00E148BE" w:rsidRPr="00B91191">
        <w:rPr>
          <w:rFonts w:ascii="Arial" w:hAnsi="Arial" w:cs="Arial"/>
          <w:sz w:val="24"/>
          <w:szCs w:val="24"/>
          <w:lang w:val="es-ES"/>
        </w:rPr>
        <w:t xml:space="preserve"> otorgando una legitimación amplia en su reivindicación y desarrollando posteriormente el ambiente como un interés difuso.</w:t>
      </w:r>
    </w:p>
    <w:p w14:paraId="225C4F01" w14:textId="77777777" w:rsidR="008A6EC3" w:rsidRPr="00B91191" w:rsidRDefault="008A6EC3" w:rsidP="00E148BE">
      <w:pPr>
        <w:spacing w:after="0" w:line="240" w:lineRule="auto"/>
        <w:jc w:val="both"/>
        <w:rPr>
          <w:rFonts w:ascii="Arial" w:hAnsi="Arial" w:cs="Arial"/>
          <w:sz w:val="24"/>
          <w:szCs w:val="24"/>
          <w:lang w:val="es-ES"/>
        </w:rPr>
      </w:pPr>
    </w:p>
    <w:p w14:paraId="5AC2FF44" w14:textId="03B71E90" w:rsidR="008A6EC3" w:rsidRPr="00B91191" w:rsidRDefault="008A6EC3" w:rsidP="008A6EC3">
      <w:pPr>
        <w:jc w:val="both"/>
        <w:rPr>
          <w:rFonts w:ascii="Arial" w:hAnsi="Arial" w:cs="Arial"/>
          <w:sz w:val="24"/>
          <w:szCs w:val="24"/>
          <w:lang w:val="es-CR"/>
        </w:rPr>
      </w:pPr>
      <w:r w:rsidRPr="00B91191">
        <w:rPr>
          <w:rFonts w:ascii="Arial" w:hAnsi="Arial" w:cs="Arial"/>
          <w:sz w:val="24"/>
          <w:szCs w:val="24"/>
          <w:lang w:val="es-CR"/>
        </w:rPr>
        <w:t>La Ley Orgánica del Ambiente #7554, 28 de setiembre de 1995 es una ley general que regula los recursos naturales y crea el Ministerio de Ambiente y Energía</w:t>
      </w:r>
      <w:r w:rsidR="00854063" w:rsidRPr="00B91191">
        <w:rPr>
          <w:rFonts w:ascii="Arial" w:hAnsi="Arial" w:cs="Arial"/>
          <w:sz w:val="24"/>
          <w:szCs w:val="24"/>
          <w:lang w:val="es-CR"/>
        </w:rPr>
        <w:t xml:space="preserve"> MINAE</w:t>
      </w:r>
      <w:r w:rsidRPr="00B91191">
        <w:rPr>
          <w:rFonts w:ascii="Arial" w:hAnsi="Arial" w:cs="Arial"/>
          <w:sz w:val="24"/>
          <w:szCs w:val="24"/>
          <w:lang w:val="es-CR"/>
        </w:rPr>
        <w:t xml:space="preserve">.  </w:t>
      </w:r>
      <w:r w:rsidR="00854063" w:rsidRPr="00B91191">
        <w:rPr>
          <w:rFonts w:ascii="Arial" w:hAnsi="Arial" w:cs="Arial"/>
          <w:sz w:val="24"/>
          <w:szCs w:val="24"/>
          <w:lang w:val="es-CR"/>
        </w:rPr>
        <w:t>Su objetivo es p</w:t>
      </w:r>
      <w:r w:rsidRPr="00B91191">
        <w:rPr>
          <w:rFonts w:ascii="Arial" w:hAnsi="Arial" w:cs="Arial"/>
          <w:sz w:val="24"/>
          <w:szCs w:val="24"/>
          <w:lang w:val="es-CR"/>
        </w:rPr>
        <w:t>rocura</w:t>
      </w:r>
      <w:r w:rsidR="00854063" w:rsidRPr="00B91191">
        <w:rPr>
          <w:rFonts w:ascii="Arial" w:hAnsi="Arial" w:cs="Arial"/>
          <w:sz w:val="24"/>
          <w:szCs w:val="24"/>
          <w:lang w:val="es-CR"/>
        </w:rPr>
        <w:t>r</w:t>
      </w:r>
      <w:r w:rsidRPr="00B91191">
        <w:rPr>
          <w:rFonts w:ascii="Arial" w:hAnsi="Arial" w:cs="Arial"/>
          <w:sz w:val="24"/>
          <w:szCs w:val="24"/>
          <w:lang w:val="es-CR"/>
        </w:rPr>
        <w:t xml:space="preserve"> alcanzar un ambiente sano y ecológicamente equilibrado para todos los costarricenses.</w:t>
      </w:r>
    </w:p>
    <w:p w14:paraId="595393EA" w14:textId="77777777" w:rsidR="008A6EC3" w:rsidRPr="00B91191" w:rsidRDefault="008A6EC3" w:rsidP="008A6EC3">
      <w:pPr>
        <w:jc w:val="both"/>
        <w:rPr>
          <w:rFonts w:ascii="Arial" w:hAnsi="Arial" w:cs="Arial"/>
          <w:sz w:val="24"/>
          <w:szCs w:val="24"/>
          <w:lang w:val="es-CR"/>
        </w:rPr>
      </w:pPr>
      <w:r w:rsidRPr="00B91191">
        <w:rPr>
          <w:rFonts w:ascii="Arial" w:hAnsi="Arial" w:cs="Arial"/>
          <w:sz w:val="24"/>
          <w:szCs w:val="24"/>
          <w:lang w:val="es-CR"/>
        </w:rPr>
        <w:t>Establece la responsabilidad del Estado de velar por el uso sostenible y abre espacios para la participación de la sociedad civil, a través de los Consejos Regionales Ambientales.</w:t>
      </w:r>
    </w:p>
    <w:p w14:paraId="1F2878F5" w14:textId="5CA14041" w:rsidR="008A6EC3" w:rsidRPr="00B91191" w:rsidRDefault="008A6EC3" w:rsidP="008A6EC3">
      <w:pPr>
        <w:jc w:val="both"/>
        <w:rPr>
          <w:rFonts w:ascii="Arial" w:hAnsi="Arial" w:cs="Arial"/>
          <w:sz w:val="24"/>
          <w:szCs w:val="24"/>
          <w:lang w:val="es-CR"/>
        </w:rPr>
      </w:pPr>
      <w:r w:rsidRPr="00B91191">
        <w:rPr>
          <w:rFonts w:ascii="Arial" w:hAnsi="Arial" w:cs="Arial"/>
          <w:sz w:val="24"/>
          <w:szCs w:val="24"/>
          <w:lang w:val="es-CR"/>
        </w:rPr>
        <w:t>Crea un Tribunal Ambiental Administrativo que recibe denuncias sobre hechos que atentan contra el ambiente, y un Contralo</w:t>
      </w:r>
      <w:r w:rsidR="00854063" w:rsidRPr="00B91191">
        <w:rPr>
          <w:rFonts w:ascii="Arial" w:hAnsi="Arial" w:cs="Arial"/>
          <w:sz w:val="24"/>
          <w:szCs w:val="24"/>
          <w:lang w:val="es-CR"/>
        </w:rPr>
        <w:t>r del Ambiente dentro del MINAE</w:t>
      </w:r>
      <w:r w:rsidR="00845F83" w:rsidRPr="00B91191">
        <w:rPr>
          <w:rFonts w:ascii="Arial" w:hAnsi="Arial" w:cs="Arial"/>
          <w:sz w:val="24"/>
          <w:szCs w:val="24"/>
          <w:lang w:val="es-CR"/>
        </w:rPr>
        <w:t xml:space="preserve"> para vigilar l</w:t>
      </w:r>
      <w:r w:rsidR="005609D2">
        <w:rPr>
          <w:rFonts w:ascii="Arial" w:hAnsi="Arial" w:cs="Arial"/>
          <w:sz w:val="24"/>
          <w:szCs w:val="24"/>
          <w:lang w:val="es-CR"/>
        </w:rPr>
        <w:t>a</w:t>
      </w:r>
      <w:r w:rsidR="009F0EDD">
        <w:rPr>
          <w:rFonts w:ascii="Arial" w:hAnsi="Arial" w:cs="Arial"/>
          <w:sz w:val="24"/>
          <w:szCs w:val="24"/>
          <w:lang w:val="es-CR"/>
        </w:rPr>
        <w:t xml:space="preserve"> </w:t>
      </w:r>
      <w:r w:rsidRPr="00B91191">
        <w:rPr>
          <w:rFonts w:ascii="Arial" w:hAnsi="Arial" w:cs="Arial"/>
          <w:sz w:val="24"/>
          <w:szCs w:val="24"/>
          <w:lang w:val="es-CR"/>
        </w:rPr>
        <w:t>aplicación de esta ley.</w:t>
      </w:r>
    </w:p>
    <w:p w14:paraId="313095B5" w14:textId="13EACE49" w:rsidR="00854063" w:rsidRPr="00B91191" w:rsidRDefault="008A6EC3" w:rsidP="008A6EC3">
      <w:pPr>
        <w:tabs>
          <w:tab w:val="left" w:pos="360"/>
        </w:tabs>
        <w:spacing w:after="0" w:line="240" w:lineRule="auto"/>
        <w:jc w:val="both"/>
        <w:rPr>
          <w:rFonts w:ascii="Arial" w:hAnsi="Arial" w:cs="Arial"/>
          <w:sz w:val="24"/>
          <w:szCs w:val="24"/>
          <w:lang w:val="es-MX"/>
        </w:rPr>
      </w:pPr>
      <w:r w:rsidRPr="00B91191">
        <w:rPr>
          <w:rFonts w:ascii="Arial" w:hAnsi="Arial" w:cs="Arial"/>
          <w:sz w:val="24"/>
          <w:szCs w:val="24"/>
          <w:lang w:val="es-MX"/>
        </w:rPr>
        <w:t>La Ley de Biodiversidad aprobada en 1998 establece como un criterio de interpretación</w:t>
      </w:r>
      <w:r w:rsidR="00854063" w:rsidRPr="00B91191">
        <w:rPr>
          <w:rFonts w:ascii="Arial" w:hAnsi="Arial" w:cs="Arial"/>
          <w:sz w:val="24"/>
          <w:szCs w:val="24"/>
          <w:lang w:val="es-MX"/>
        </w:rPr>
        <w:t xml:space="preserve">: </w:t>
      </w:r>
    </w:p>
    <w:p w14:paraId="73E5C4C0" w14:textId="31F88948" w:rsidR="008A6EC3" w:rsidRPr="00B91191" w:rsidRDefault="008A6EC3" w:rsidP="00854063">
      <w:pPr>
        <w:tabs>
          <w:tab w:val="left" w:pos="360"/>
        </w:tabs>
        <w:spacing w:after="0" w:line="240" w:lineRule="auto"/>
        <w:ind w:left="360"/>
        <w:jc w:val="both"/>
        <w:rPr>
          <w:rFonts w:ascii="Arial" w:hAnsi="Arial" w:cs="Arial"/>
          <w:sz w:val="24"/>
          <w:szCs w:val="24"/>
          <w:lang w:val="es-MX"/>
        </w:rPr>
      </w:pPr>
      <w:r w:rsidRPr="00B91191">
        <w:rPr>
          <w:rFonts w:ascii="Arial" w:hAnsi="Arial" w:cs="Arial"/>
          <w:sz w:val="24"/>
          <w:szCs w:val="24"/>
          <w:lang w:val="es-MX"/>
        </w:rPr>
        <w:t xml:space="preserve">"Criterio de interés público ambiental: el uso de los elementos de la biodiversidad deberá garantizar las opciones de desarrollo de las futuras generaciones, la seguridad alimentaria, la conservación de los ecosistemas, la protección de la salud humana y el mejoramiento de la calidad de vida de los ciudadanos". Artículo 11. </w:t>
      </w:r>
    </w:p>
    <w:p w14:paraId="03EE0BFD" w14:textId="77777777" w:rsidR="00497B65" w:rsidRPr="00B91191" w:rsidRDefault="00497B65" w:rsidP="00497B65">
      <w:pPr>
        <w:tabs>
          <w:tab w:val="left" w:pos="360"/>
        </w:tabs>
        <w:spacing w:after="0" w:line="240" w:lineRule="auto"/>
        <w:jc w:val="both"/>
        <w:rPr>
          <w:rFonts w:ascii="Arial" w:hAnsi="Arial" w:cs="Arial"/>
          <w:sz w:val="24"/>
          <w:szCs w:val="24"/>
          <w:lang w:val="es-MX"/>
        </w:rPr>
      </w:pPr>
    </w:p>
    <w:p w14:paraId="42CFC93B" w14:textId="38064CA0" w:rsidR="00497B65" w:rsidRPr="00B91191" w:rsidRDefault="00497B65" w:rsidP="00497B65">
      <w:pPr>
        <w:tabs>
          <w:tab w:val="left" w:pos="360"/>
        </w:tabs>
        <w:jc w:val="both"/>
        <w:rPr>
          <w:rFonts w:ascii="Arial" w:hAnsi="Arial" w:cs="Arial"/>
          <w:sz w:val="24"/>
          <w:szCs w:val="24"/>
          <w:lang w:val="es-ES_tradnl"/>
        </w:rPr>
      </w:pPr>
      <w:r w:rsidRPr="00B91191">
        <w:rPr>
          <w:rFonts w:ascii="Arial" w:hAnsi="Arial" w:cs="Arial"/>
          <w:sz w:val="24"/>
          <w:szCs w:val="24"/>
          <w:lang w:val="es-ES"/>
        </w:rPr>
        <w:t>Debe agregarse</w:t>
      </w:r>
      <w:r w:rsidR="00845F83" w:rsidRPr="00B91191">
        <w:rPr>
          <w:rFonts w:ascii="Arial" w:hAnsi="Arial" w:cs="Arial"/>
          <w:sz w:val="24"/>
          <w:szCs w:val="24"/>
          <w:lang w:val="es-ES"/>
        </w:rPr>
        <w:t xml:space="preserve"> al ordenamiento jurídico nacional el régimen del Sistema Interamericano como </w:t>
      </w:r>
      <w:r w:rsidRPr="00B91191">
        <w:rPr>
          <w:rFonts w:ascii="Arial" w:hAnsi="Arial" w:cs="Arial"/>
          <w:sz w:val="24"/>
          <w:szCs w:val="24"/>
          <w:lang w:val="es-ES"/>
        </w:rPr>
        <w:t xml:space="preserve">el Protocolo sobre Derechos Económicos, Sociales y Culturales mejor conocido como  Protocolo de San Salvador, suscrito el 17 de noviembre de 1988, </w:t>
      </w:r>
      <w:r w:rsidR="00845F83" w:rsidRPr="00B91191">
        <w:rPr>
          <w:rFonts w:ascii="Arial" w:hAnsi="Arial" w:cs="Arial"/>
          <w:sz w:val="24"/>
          <w:szCs w:val="24"/>
          <w:lang w:val="es-ES"/>
        </w:rPr>
        <w:t xml:space="preserve">que </w:t>
      </w:r>
      <w:r w:rsidRPr="00B91191">
        <w:rPr>
          <w:rFonts w:ascii="Arial" w:hAnsi="Arial" w:cs="Arial"/>
          <w:sz w:val="24"/>
          <w:szCs w:val="24"/>
          <w:lang w:val="es-ES"/>
        </w:rPr>
        <w:t xml:space="preserve">establece en el </w:t>
      </w:r>
      <w:r w:rsidRPr="00B91191">
        <w:rPr>
          <w:rFonts w:ascii="Arial" w:hAnsi="Arial" w:cs="Arial"/>
          <w:sz w:val="24"/>
          <w:szCs w:val="24"/>
          <w:lang w:val="es-CR"/>
        </w:rPr>
        <w:t>Artículo 11:</w:t>
      </w:r>
    </w:p>
    <w:p w14:paraId="7F6C1A37" w14:textId="23CD2A87" w:rsidR="00497B65" w:rsidRPr="00B91191" w:rsidRDefault="00497B65" w:rsidP="00497B65">
      <w:pPr>
        <w:tabs>
          <w:tab w:val="left" w:pos="360"/>
        </w:tabs>
        <w:spacing w:after="0" w:line="240" w:lineRule="auto"/>
        <w:ind w:left="360"/>
        <w:jc w:val="both"/>
        <w:rPr>
          <w:rFonts w:ascii="Arial" w:hAnsi="Arial" w:cs="Arial"/>
          <w:sz w:val="24"/>
          <w:szCs w:val="24"/>
          <w:lang w:val="es-ES_tradnl"/>
        </w:rPr>
      </w:pPr>
      <w:r w:rsidRPr="00B91191">
        <w:rPr>
          <w:rFonts w:ascii="Arial" w:hAnsi="Arial" w:cs="Arial"/>
          <w:sz w:val="24"/>
          <w:szCs w:val="24"/>
          <w:lang w:val="es-CR"/>
        </w:rPr>
        <w:t xml:space="preserve">“Toda persona tiene derecho a vivir en un medio ambiente sano y a contar con servicios públicos básicos. Los Estados Partes promoverán la protección, preservación y mejoramiento del medio ambiente”. </w:t>
      </w:r>
    </w:p>
    <w:p w14:paraId="221997B1" w14:textId="00010374" w:rsidR="00497B65" w:rsidRPr="00B91191" w:rsidRDefault="00497B65" w:rsidP="00497B65">
      <w:pPr>
        <w:tabs>
          <w:tab w:val="left" w:pos="360"/>
        </w:tabs>
        <w:spacing w:after="0" w:line="240" w:lineRule="auto"/>
        <w:jc w:val="both"/>
        <w:rPr>
          <w:rFonts w:ascii="Arial" w:hAnsi="Arial" w:cs="Arial"/>
          <w:sz w:val="24"/>
          <w:szCs w:val="24"/>
          <w:lang w:val="es-CR"/>
        </w:rPr>
      </w:pPr>
    </w:p>
    <w:p w14:paraId="5E4E9D6F" w14:textId="312AF127" w:rsidR="00497B65" w:rsidRPr="00B91191" w:rsidRDefault="00497B65" w:rsidP="00497B65">
      <w:pPr>
        <w:tabs>
          <w:tab w:val="left" w:pos="360"/>
        </w:tabs>
        <w:spacing w:after="0" w:line="240" w:lineRule="auto"/>
        <w:jc w:val="both"/>
        <w:rPr>
          <w:rFonts w:ascii="Arial" w:hAnsi="Arial" w:cs="Arial"/>
          <w:sz w:val="24"/>
          <w:szCs w:val="24"/>
          <w:lang w:val="es-MX"/>
        </w:rPr>
      </w:pPr>
      <w:r w:rsidRPr="00B91191">
        <w:rPr>
          <w:rFonts w:ascii="Arial" w:hAnsi="Arial" w:cs="Arial"/>
          <w:sz w:val="24"/>
          <w:szCs w:val="24"/>
          <w:lang w:val="es-MX"/>
        </w:rPr>
        <w:t xml:space="preserve">La Opinión Consultiva de la Corte Interamericana de Derechos Humanos OC-23/17 del 15 de noviembre del 2017, sobre medio ambiente y derechos humanos, </w:t>
      </w:r>
      <w:r w:rsidR="00845F83" w:rsidRPr="00B91191">
        <w:rPr>
          <w:rFonts w:ascii="Arial" w:hAnsi="Arial" w:cs="Arial"/>
          <w:sz w:val="24"/>
          <w:szCs w:val="24"/>
          <w:lang w:val="es-MX"/>
        </w:rPr>
        <w:t xml:space="preserve">recoge claramente la relación que existe entre el cumplimiento de los derechos humanos y el ambiente como un todo indisoluble que tiene su </w:t>
      </w:r>
      <w:r w:rsidR="005609D2" w:rsidRPr="00B91191">
        <w:rPr>
          <w:rFonts w:ascii="Arial" w:hAnsi="Arial" w:cs="Arial"/>
          <w:sz w:val="24"/>
          <w:szCs w:val="24"/>
          <w:lang w:val="es-MX"/>
        </w:rPr>
        <w:t>fundamento</w:t>
      </w:r>
      <w:r w:rsidR="00845F83" w:rsidRPr="00B91191">
        <w:rPr>
          <w:rFonts w:ascii="Arial" w:hAnsi="Arial" w:cs="Arial"/>
          <w:sz w:val="24"/>
          <w:szCs w:val="24"/>
          <w:lang w:val="es-MX"/>
        </w:rPr>
        <w:t xml:space="preserve"> en la dignidad humana.</w:t>
      </w:r>
    </w:p>
    <w:p w14:paraId="11198129" w14:textId="77777777" w:rsidR="00845F83" w:rsidRPr="00B91191" w:rsidRDefault="00845F83" w:rsidP="00497B65">
      <w:pPr>
        <w:tabs>
          <w:tab w:val="left" w:pos="360"/>
        </w:tabs>
        <w:spacing w:after="0" w:line="240" w:lineRule="auto"/>
        <w:jc w:val="both"/>
        <w:rPr>
          <w:rFonts w:ascii="Arial" w:hAnsi="Arial" w:cs="Arial"/>
          <w:sz w:val="24"/>
          <w:szCs w:val="24"/>
          <w:lang w:val="es-MX"/>
        </w:rPr>
      </w:pPr>
    </w:p>
    <w:p w14:paraId="1A7CAD95" w14:textId="494BAAE4" w:rsidR="00845F83" w:rsidRPr="00B91191" w:rsidRDefault="00845F83" w:rsidP="00497B65">
      <w:pPr>
        <w:tabs>
          <w:tab w:val="left" w:pos="360"/>
        </w:tabs>
        <w:spacing w:after="0" w:line="240" w:lineRule="auto"/>
        <w:jc w:val="both"/>
        <w:rPr>
          <w:rFonts w:ascii="Arial" w:hAnsi="Arial" w:cs="Arial"/>
          <w:sz w:val="24"/>
          <w:szCs w:val="24"/>
          <w:lang w:val="es-MX"/>
        </w:rPr>
      </w:pPr>
      <w:r w:rsidRPr="00B91191">
        <w:rPr>
          <w:rFonts w:ascii="Arial" w:hAnsi="Arial" w:cs="Arial"/>
          <w:sz w:val="24"/>
          <w:szCs w:val="24"/>
          <w:lang w:val="es-MX"/>
        </w:rPr>
        <w:t xml:space="preserve">Igualmente el Acuerdo Regional sobre el Acceso a la Información, la Participación Pública y el Acceso a la Justicia en Asuntos Ambientales en América Latina y el Caribe, conocido como el Acuerdo de Escazú, abierto para la firma, </w:t>
      </w:r>
      <w:r w:rsidR="001E40DF" w:rsidRPr="00B91191">
        <w:rPr>
          <w:rFonts w:ascii="Arial" w:hAnsi="Arial" w:cs="Arial"/>
          <w:sz w:val="24"/>
          <w:szCs w:val="24"/>
          <w:lang w:val="es-MX"/>
        </w:rPr>
        <w:t>establece en el artículo 1 como el objetivo la protección del derecho de cada persona, de las generaciones presentes y futuras, a vivir en un medio ambiente sano y al desarrollo sostenible.</w:t>
      </w:r>
    </w:p>
    <w:p w14:paraId="33AC4BD4" w14:textId="77777777" w:rsidR="008A6EC3" w:rsidRPr="00B91191" w:rsidRDefault="008A6EC3" w:rsidP="00E148BE">
      <w:pPr>
        <w:spacing w:after="0" w:line="240" w:lineRule="auto"/>
        <w:jc w:val="both"/>
        <w:rPr>
          <w:rFonts w:ascii="Arial" w:hAnsi="Arial" w:cs="Arial"/>
          <w:sz w:val="24"/>
          <w:szCs w:val="24"/>
          <w:lang w:val="es-ES"/>
        </w:rPr>
      </w:pPr>
    </w:p>
    <w:p w14:paraId="42D939D5" w14:textId="77777777" w:rsidR="00A2541B" w:rsidRPr="00B91191" w:rsidRDefault="00A2541B"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 xml:space="preserve">Sírvanse proporcionar ejemplos concretos de buenas prácticas en la aplicación del derecho humano a un medio ambiente </w:t>
      </w:r>
      <w:r w:rsidRPr="00B91191">
        <w:rPr>
          <w:rFonts w:ascii="Arial" w:hAnsi="Arial" w:cs="Arial"/>
          <w:color w:val="000000"/>
          <w:sz w:val="24"/>
          <w:szCs w:val="24"/>
          <w:lang w:val="es-ES"/>
        </w:rPr>
        <w:t>sin riesgos, limpio, saludable y sostenible</w:t>
      </w:r>
      <w:r w:rsidRPr="00B91191">
        <w:rPr>
          <w:rFonts w:ascii="Arial" w:hAnsi="Arial" w:cs="Arial"/>
          <w:sz w:val="24"/>
          <w:szCs w:val="24"/>
          <w:lang w:val="es-ES"/>
        </w:rPr>
        <w:t xml:space="preserve">. </w:t>
      </w:r>
      <w:r w:rsidRPr="00B91191">
        <w:rPr>
          <w:rFonts w:ascii="Arial" w:hAnsi="Arial" w:cs="Arial"/>
          <w:sz w:val="24"/>
          <w:szCs w:val="24"/>
          <w:lang w:val="es-ES"/>
        </w:rPr>
        <w:lastRenderedPageBreak/>
        <w:t xml:space="preserve">Los ejemplos pueden incluir prácticas relacionadas con: garantizar los derechos procesales (por ejemplo, acceso a la información, participación pública en la toma de decisiones </w:t>
      </w:r>
      <w:r w:rsidR="008E15F3" w:rsidRPr="00B91191">
        <w:rPr>
          <w:rFonts w:ascii="Arial" w:hAnsi="Arial" w:cs="Arial"/>
          <w:sz w:val="24"/>
          <w:szCs w:val="24"/>
          <w:lang w:val="es-ES"/>
        </w:rPr>
        <w:t>sobre el medio ambiente y acceso a la justicia y a la reparación)</w:t>
      </w:r>
      <w:r w:rsidRPr="00B91191">
        <w:rPr>
          <w:rFonts w:ascii="Arial" w:hAnsi="Arial" w:cs="Arial"/>
          <w:sz w:val="24"/>
          <w:szCs w:val="24"/>
          <w:lang w:val="es-ES"/>
        </w:rPr>
        <w:t xml:space="preserve">; protección de los elementos sustantivos del derecho (incluyendo: </w:t>
      </w:r>
      <w:r w:rsidR="008E15F3" w:rsidRPr="00B91191">
        <w:rPr>
          <w:rFonts w:ascii="Arial" w:hAnsi="Arial" w:cs="Arial"/>
          <w:sz w:val="24"/>
          <w:szCs w:val="24"/>
          <w:lang w:val="es-ES"/>
        </w:rPr>
        <w:t>aire limpio; acceso a agua limpia y saneamiento; alimentos sanos y producidos de manera sostenible; un entorno no tóxico en el que vivir, trabajar, estudiar y jugar; un clima seguro; y una biodiversidad y ecosistemas sanos</w:t>
      </w:r>
      <w:r w:rsidRPr="00B91191">
        <w:rPr>
          <w:rFonts w:ascii="Arial" w:hAnsi="Arial" w:cs="Arial"/>
          <w:sz w:val="24"/>
          <w:szCs w:val="24"/>
          <w:lang w:val="es-ES"/>
        </w:rPr>
        <w:t>); monitoreo de</w:t>
      </w:r>
      <w:r w:rsidR="008E15F3" w:rsidRPr="00B91191">
        <w:rPr>
          <w:rFonts w:ascii="Arial" w:hAnsi="Arial" w:cs="Arial"/>
          <w:sz w:val="24"/>
          <w:szCs w:val="24"/>
          <w:lang w:val="es-ES"/>
        </w:rPr>
        <w:t xml:space="preserve"> los</w:t>
      </w:r>
      <w:r w:rsidRPr="00B91191">
        <w:rPr>
          <w:rFonts w:ascii="Arial" w:hAnsi="Arial" w:cs="Arial"/>
          <w:sz w:val="24"/>
          <w:szCs w:val="24"/>
          <w:lang w:val="es-ES"/>
        </w:rPr>
        <w:t xml:space="preserve"> impactos adversos sobre el </w:t>
      </w:r>
      <w:r w:rsidR="008E15F3" w:rsidRPr="00B91191">
        <w:rPr>
          <w:rFonts w:ascii="Arial" w:hAnsi="Arial" w:cs="Arial"/>
          <w:sz w:val="24"/>
          <w:szCs w:val="24"/>
          <w:lang w:val="es-ES"/>
        </w:rPr>
        <w:t xml:space="preserve">derecho </w:t>
      </w:r>
      <w:r w:rsidRPr="00B91191">
        <w:rPr>
          <w:rFonts w:ascii="Arial" w:hAnsi="Arial" w:cs="Arial"/>
          <w:sz w:val="24"/>
          <w:szCs w:val="24"/>
          <w:lang w:val="es-ES"/>
        </w:rPr>
        <w:t xml:space="preserve">humano </w:t>
      </w:r>
      <w:r w:rsidRPr="00B91191">
        <w:rPr>
          <w:rFonts w:ascii="Arial" w:hAnsi="Arial" w:cs="Arial"/>
          <w:color w:val="000000"/>
          <w:sz w:val="24"/>
          <w:szCs w:val="24"/>
          <w:lang w:val="es-ES"/>
        </w:rPr>
        <w:t xml:space="preserve">a un </w:t>
      </w:r>
      <w:r w:rsidR="008E15F3" w:rsidRPr="00B91191">
        <w:rPr>
          <w:rFonts w:ascii="Arial" w:hAnsi="Arial" w:cs="Arial"/>
          <w:color w:val="000000"/>
          <w:sz w:val="24"/>
          <w:szCs w:val="24"/>
          <w:lang w:val="es-ES"/>
        </w:rPr>
        <w:t>medio ambiente sin riesgos, limpio, saludable y sostenible</w:t>
      </w:r>
      <w:r w:rsidRPr="00B91191">
        <w:rPr>
          <w:rFonts w:ascii="Arial" w:hAnsi="Arial" w:cs="Arial"/>
          <w:sz w:val="24"/>
          <w:szCs w:val="24"/>
          <w:lang w:val="es-ES"/>
        </w:rPr>
        <w:t xml:space="preserve">; promover el disfrute del derecho a </w:t>
      </w:r>
      <w:r w:rsidR="008E15F3" w:rsidRPr="00B91191">
        <w:rPr>
          <w:rFonts w:ascii="Arial" w:hAnsi="Arial" w:cs="Arial"/>
          <w:color w:val="000000"/>
          <w:sz w:val="24"/>
          <w:szCs w:val="24"/>
          <w:lang w:val="es-ES"/>
        </w:rPr>
        <w:t>medio ambiente sin riesgos, limpio, saludable y sostenible</w:t>
      </w:r>
      <w:r w:rsidRPr="00B91191">
        <w:rPr>
          <w:rFonts w:ascii="Arial" w:hAnsi="Arial" w:cs="Arial"/>
          <w:sz w:val="24"/>
          <w:szCs w:val="24"/>
          <w:lang w:val="es-ES"/>
        </w:rPr>
        <w:t xml:space="preserve">; </w:t>
      </w:r>
      <w:r w:rsidR="008E15F3" w:rsidRPr="00B91191">
        <w:rPr>
          <w:rFonts w:ascii="Arial" w:hAnsi="Arial" w:cs="Arial"/>
          <w:sz w:val="24"/>
          <w:szCs w:val="24"/>
          <w:lang w:val="es-ES"/>
        </w:rPr>
        <w:t xml:space="preserve">regular las actividades empresariales de conformidad con los Principios Rectores sobre las Empresas y los Derechos Humanos de las Naciones Unidas para proteger el derecho </w:t>
      </w:r>
      <w:r w:rsidRPr="00B91191">
        <w:rPr>
          <w:rFonts w:ascii="Arial" w:hAnsi="Arial" w:cs="Arial"/>
          <w:color w:val="000000"/>
          <w:sz w:val="24"/>
          <w:szCs w:val="24"/>
          <w:lang w:val="es-ES"/>
        </w:rPr>
        <w:t xml:space="preserve">a un </w:t>
      </w:r>
      <w:r w:rsidR="008E15F3" w:rsidRPr="00B91191">
        <w:rPr>
          <w:rFonts w:ascii="Arial" w:hAnsi="Arial" w:cs="Arial"/>
          <w:color w:val="000000"/>
          <w:sz w:val="24"/>
          <w:szCs w:val="24"/>
          <w:lang w:val="es-ES"/>
        </w:rPr>
        <w:t>medio ambiente sin riesgos, limpio, saludable y sostenible</w:t>
      </w:r>
      <w:r w:rsidRPr="00B91191">
        <w:rPr>
          <w:rFonts w:ascii="Arial" w:hAnsi="Arial" w:cs="Arial"/>
          <w:sz w:val="24"/>
          <w:szCs w:val="24"/>
          <w:lang w:val="es-ES"/>
        </w:rPr>
        <w:t xml:space="preserve">; y </w:t>
      </w:r>
      <w:r w:rsidR="00690CA0" w:rsidRPr="00B91191">
        <w:rPr>
          <w:rFonts w:ascii="Arial" w:hAnsi="Arial" w:cs="Arial"/>
          <w:sz w:val="24"/>
          <w:szCs w:val="24"/>
          <w:lang w:val="es-ES"/>
        </w:rPr>
        <w:t xml:space="preserve">las reparaciones que se han proporcionado a las víctimas de violaciones del derecho a un medio ambiente </w:t>
      </w:r>
      <w:r w:rsidR="00690CA0" w:rsidRPr="00B91191">
        <w:rPr>
          <w:rFonts w:ascii="Arial" w:hAnsi="Arial" w:cs="Arial"/>
          <w:color w:val="000000"/>
          <w:sz w:val="24"/>
          <w:szCs w:val="24"/>
          <w:lang w:val="es-ES"/>
        </w:rPr>
        <w:t>sin riesgos, limpio, saludable y sostenible</w:t>
      </w:r>
      <w:r w:rsidRPr="00B91191">
        <w:rPr>
          <w:rFonts w:ascii="Arial" w:hAnsi="Arial" w:cs="Arial"/>
          <w:sz w:val="24"/>
          <w:szCs w:val="24"/>
          <w:lang w:val="es-ES"/>
        </w:rPr>
        <w:t xml:space="preserve">. </w:t>
      </w:r>
      <w:r w:rsidR="00690CA0" w:rsidRPr="00B91191">
        <w:rPr>
          <w:rFonts w:ascii="Arial" w:hAnsi="Arial" w:cs="Arial"/>
          <w:sz w:val="24"/>
          <w:szCs w:val="24"/>
          <w:lang w:val="es-ES"/>
        </w:rPr>
        <w:t xml:space="preserve">Estos ejemplos pueden darse a nivel internacional, nacional, </w:t>
      </w:r>
      <w:proofErr w:type="spellStart"/>
      <w:r w:rsidR="00690CA0" w:rsidRPr="00B91191">
        <w:rPr>
          <w:rFonts w:ascii="Arial" w:hAnsi="Arial" w:cs="Arial"/>
          <w:sz w:val="24"/>
          <w:szCs w:val="24"/>
          <w:lang w:val="es-ES"/>
        </w:rPr>
        <w:t>subnacional</w:t>
      </w:r>
      <w:proofErr w:type="spellEnd"/>
      <w:r w:rsidR="00690CA0" w:rsidRPr="00B91191">
        <w:rPr>
          <w:rFonts w:ascii="Arial" w:hAnsi="Arial" w:cs="Arial"/>
          <w:sz w:val="24"/>
          <w:szCs w:val="24"/>
          <w:lang w:val="es-ES"/>
        </w:rPr>
        <w:t xml:space="preserve"> o local</w:t>
      </w:r>
      <w:r w:rsidRPr="00B91191">
        <w:rPr>
          <w:rFonts w:ascii="Arial" w:hAnsi="Arial" w:cs="Arial"/>
          <w:sz w:val="24"/>
          <w:szCs w:val="24"/>
          <w:lang w:val="es-ES"/>
        </w:rPr>
        <w:t>.</w:t>
      </w:r>
    </w:p>
    <w:p w14:paraId="76E7BFB2" w14:textId="77777777" w:rsidR="001E40DF" w:rsidRPr="00B91191" w:rsidRDefault="001E40DF" w:rsidP="001E40DF">
      <w:pPr>
        <w:spacing w:after="0" w:line="240" w:lineRule="auto"/>
        <w:jc w:val="both"/>
        <w:rPr>
          <w:rFonts w:ascii="Arial" w:hAnsi="Arial" w:cs="Arial"/>
          <w:sz w:val="24"/>
          <w:szCs w:val="24"/>
          <w:lang w:val="es-ES"/>
        </w:rPr>
      </w:pPr>
    </w:p>
    <w:p w14:paraId="64CE67F3" w14:textId="083B1784" w:rsidR="001E40DF" w:rsidRPr="00B91191" w:rsidRDefault="001E40DF" w:rsidP="001E40DF">
      <w:pPr>
        <w:spacing w:after="0" w:line="240" w:lineRule="auto"/>
        <w:jc w:val="both"/>
        <w:rPr>
          <w:rFonts w:ascii="Arial" w:hAnsi="Arial" w:cs="Arial"/>
          <w:sz w:val="24"/>
          <w:szCs w:val="24"/>
          <w:lang w:val="es-ES"/>
        </w:rPr>
      </w:pPr>
      <w:r w:rsidRPr="00B91191">
        <w:rPr>
          <w:rFonts w:ascii="Arial" w:hAnsi="Arial" w:cs="Arial"/>
          <w:sz w:val="24"/>
          <w:szCs w:val="24"/>
          <w:lang w:val="es-ES"/>
        </w:rPr>
        <w:t>En Costa Rica existen numerosos ejemplos de políticas, proyectos e iniciativas que pueden considerar “buenas prácticas” para garantizar el ejercicio y goce del derecho a un ambiente sano y ecológicamente equilibrado.  Se puede consultar el VI Informe presentado ante el Convenio de Diversidad Biológica que recoge estas “buenas prácticas” en forma extensiva.  Para los efectos de este cuestionario se presentan tres:</w:t>
      </w:r>
    </w:p>
    <w:p w14:paraId="23D39D02" w14:textId="55175FEB" w:rsidR="001E40DF" w:rsidRPr="00B91191" w:rsidRDefault="001E40DF" w:rsidP="001E40DF">
      <w:pPr>
        <w:pStyle w:val="Prrafodelista"/>
        <w:numPr>
          <w:ilvl w:val="0"/>
          <w:numId w:val="19"/>
        </w:numPr>
        <w:spacing w:after="0" w:line="240" w:lineRule="auto"/>
        <w:jc w:val="both"/>
        <w:rPr>
          <w:rFonts w:ascii="Arial" w:hAnsi="Arial" w:cs="Arial"/>
          <w:sz w:val="24"/>
          <w:szCs w:val="24"/>
          <w:lang w:val="es-ES"/>
        </w:rPr>
      </w:pPr>
      <w:r w:rsidRPr="00B91191">
        <w:rPr>
          <w:rFonts w:ascii="Arial" w:hAnsi="Arial" w:cs="Arial"/>
          <w:sz w:val="24"/>
          <w:szCs w:val="24"/>
          <w:lang w:val="es-ES"/>
        </w:rPr>
        <w:t>El programa de pago por servicios ambientales</w:t>
      </w:r>
      <w:r w:rsidR="005609D2">
        <w:rPr>
          <w:rFonts w:ascii="Arial" w:hAnsi="Arial" w:cs="Arial"/>
          <w:sz w:val="24"/>
          <w:szCs w:val="24"/>
          <w:lang w:val="es-ES"/>
        </w:rPr>
        <w:t xml:space="preserve"> (PPSA)</w:t>
      </w:r>
    </w:p>
    <w:p w14:paraId="5E01E8DC" w14:textId="4040060D" w:rsidR="001E40DF" w:rsidRPr="00B91191" w:rsidRDefault="001E40DF" w:rsidP="001E40DF">
      <w:pPr>
        <w:pStyle w:val="Prrafodelista"/>
        <w:numPr>
          <w:ilvl w:val="0"/>
          <w:numId w:val="19"/>
        </w:numPr>
        <w:spacing w:after="0" w:line="240" w:lineRule="auto"/>
        <w:jc w:val="both"/>
        <w:rPr>
          <w:rFonts w:ascii="Arial" w:hAnsi="Arial" w:cs="Arial"/>
          <w:sz w:val="24"/>
          <w:szCs w:val="24"/>
          <w:lang w:val="es-ES"/>
        </w:rPr>
      </w:pPr>
      <w:r w:rsidRPr="00B91191">
        <w:rPr>
          <w:rFonts w:ascii="Arial" w:hAnsi="Arial" w:cs="Arial"/>
          <w:sz w:val="24"/>
          <w:szCs w:val="24"/>
          <w:lang w:val="es-ES"/>
        </w:rPr>
        <w:t>El Fondo de Biodiversidad Sostenible</w:t>
      </w:r>
      <w:r w:rsidR="005609D2">
        <w:rPr>
          <w:rFonts w:ascii="Arial" w:hAnsi="Arial" w:cs="Arial"/>
          <w:sz w:val="24"/>
          <w:szCs w:val="24"/>
          <w:lang w:val="es-ES"/>
        </w:rPr>
        <w:t>, (FBS)</w:t>
      </w:r>
      <w:r w:rsidRPr="00B91191">
        <w:rPr>
          <w:rFonts w:ascii="Arial" w:hAnsi="Arial" w:cs="Arial"/>
          <w:sz w:val="24"/>
          <w:szCs w:val="24"/>
          <w:lang w:val="es-ES"/>
        </w:rPr>
        <w:t xml:space="preserve"> y</w:t>
      </w:r>
    </w:p>
    <w:p w14:paraId="1AEB4BD6" w14:textId="23DF81B8" w:rsidR="001E40DF" w:rsidRPr="00B91191" w:rsidRDefault="001E40DF" w:rsidP="001E40DF">
      <w:pPr>
        <w:pStyle w:val="Prrafodelista"/>
        <w:numPr>
          <w:ilvl w:val="0"/>
          <w:numId w:val="19"/>
        </w:numPr>
        <w:spacing w:after="0" w:line="240" w:lineRule="auto"/>
        <w:jc w:val="both"/>
        <w:rPr>
          <w:rFonts w:ascii="Arial" w:hAnsi="Arial" w:cs="Arial"/>
          <w:sz w:val="24"/>
          <w:szCs w:val="24"/>
          <w:lang w:val="es-ES"/>
        </w:rPr>
      </w:pPr>
      <w:r w:rsidRPr="00B91191">
        <w:rPr>
          <w:rFonts w:ascii="Arial" w:hAnsi="Arial" w:cs="Arial"/>
          <w:sz w:val="24"/>
          <w:szCs w:val="24"/>
          <w:lang w:val="es-ES"/>
        </w:rPr>
        <w:t xml:space="preserve">El </w:t>
      </w:r>
      <w:proofErr w:type="spellStart"/>
      <w:r w:rsidRPr="00B91191">
        <w:rPr>
          <w:rFonts w:ascii="Arial" w:hAnsi="Arial" w:cs="Arial"/>
          <w:sz w:val="24"/>
          <w:szCs w:val="24"/>
          <w:lang w:val="es-ES"/>
        </w:rPr>
        <w:t>distintitivo</w:t>
      </w:r>
      <w:proofErr w:type="spellEnd"/>
      <w:r w:rsidRPr="00B91191">
        <w:rPr>
          <w:rFonts w:ascii="Arial" w:hAnsi="Arial" w:cs="Arial"/>
          <w:sz w:val="24"/>
          <w:szCs w:val="24"/>
          <w:lang w:val="es-ES"/>
        </w:rPr>
        <w:t xml:space="preserve"> de acceso a recursos genéticos y bioquímicos</w:t>
      </w:r>
      <w:r w:rsidR="005609D2">
        <w:rPr>
          <w:rFonts w:ascii="Arial" w:hAnsi="Arial" w:cs="Arial"/>
          <w:sz w:val="24"/>
          <w:szCs w:val="24"/>
          <w:lang w:val="es-ES"/>
        </w:rPr>
        <w:t>,(ABS)</w:t>
      </w:r>
      <w:r w:rsidRPr="00B91191">
        <w:rPr>
          <w:rFonts w:ascii="Arial" w:hAnsi="Arial" w:cs="Arial"/>
          <w:sz w:val="24"/>
          <w:szCs w:val="24"/>
          <w:lang w:val="es-ES"/>
        </w:rPr>
        <w:t xml:space="preserve">. </w:t>
      </w:r>
    </w:p>
    <w:p w14:paraId="2641E6DB" w14:textId="77777777" w:rsidR="008A6EC3" w:rsidRPr="00B91191" w:rsidRDefault="008A6EC3" w:rsidP="001E40DF">
      <w:pPr>
        <w:spacing w:after="0" w:line="240" w:lineRule="auto"/>
        <w:jc w:val="both"/>
        <w:rPr>
          <w:rFonts w:ascii="Arial" w:hAnsi="Arial" w:cs="Arial"/>
          <w:sz w:val="24"/>
          <w:szCs w:val="24"/>
          <w:lang w:val="es-ES"/>
        </w:rPr>
      </w:pPr>
    </w:p>
    <w:p w14:paraId="6A221804" w14:textId="77777777" w:rsidR="001E40DF" w:rsidRPr="00B91191" w:rsidRDefault="001E40DF" w:rsidP="001E40DF">
      <w:pPr>
        <w:pStyle w:val="Prrafodelista"/>
        <w:numPr>
          <w:ilvl w:val="0"/>
          <w:numId w:val="20"/>
        </w:numPr>
        <w:spacing w:after="0" w:line="240" w:lineRule="auto"/>
        <w:jc w:val="both"/>
        <w:rPr>
          <w:rFonts w:ascii="Arial" w:hAnsi="Arial" w:cs="Arial"/>
          <w:sz w:val="24"/>
          <w:szCs w:val="24"/>
          <w:lang w:val="es-ES"/>
        </w:rPr>
      </w:pPr>
      <w:r w:rsidRPr="00B91191">
        <w:rPr>
          <w:rFonts w:ascii="Arial" w:hAnsi="Arial" w:cs="Arial"/>
          <w:sz w:val="24"/>
          <w:szCs w:val="24"/>
          <w:lang w:val="es-ES"/>
        </w:rPr>
        <w:t>El programa de pago por servicios ambientales</w:t>
      </w:r>
    </w:p>
    <w:p w14:paraId="2D211B53" w14:textId="77777777" w:rsidR="001E40DF" w:rsidRPr="00B91191" w:rsidRDefault="001E40DF" w:rsidP="001E40DF">
      <w:pPr>
        <w:spacing w:after="0" w:line="240" w:lineRule="auto"/>
        <w:jc w:val="both"/>
        <w:rPr>
          <w:rFonts w:ascii="Arial" w:hAnsi="Arial" w:cs="Arial"/>
          <w:sz w:val="24"/>
          <w:szCs w:val="24"/>
          <w:lang w:val="es-ES"/>
        </w:rPr>
      </w:pPr>
    </w:p>
    <w:p w14:paraId="34E272E8" w14:textId="26FA0D14" w:rsidR="00457585" w:rsidRPr="00B91191" w:rsidRDefault="008A6EC3" w:rsidP="00254500">
      <w:pPr>
        <w:jc w:val="both"/>
        <w:rPr>
          <w:rFonts w:ascii="Arial" w:hAnsi="Arial" w:cs="Arial"/>
          <w:sz w:val="24"/>
          <w:szCs w:val="24"/>
          <w:lang w:val="es-ES"/>
        </w:rPr>
      </w:pPr>
      <w:r w:rsidRPr="00B91191">
        <w:rPr>
          <w:rFonts w:ascii="Arial" w:hAnsi="Arial" w:cs="Arial"/>
          <w:sz w:val="24"/>
          <w:szCs w:val="24"/>
          <w:lang w:val="es-ES"/>
        </w:rPr>
        <w:t xml:space="preserve">La </w:t>
      </w:r>
      <w:r w:rsidR="00254500" w:rsidRPr="00B91191">
        <w:rPr>
          <w:rFonts w:ascii="Arial" w:hAnsi="Arial" w:cs="Arial"/>
          <w:sz w:val="24"/>
          <w:szCs w:val="24"/>
          <w:lang w:val="es-CR"/>
        </w:rPr>
        <w:t>Ley Forestal # 7575,</w:t>
      </w:r>
      <w:r w:rsidR="001E40DF" w:rsidRPr="00B91191">
        <w:rPr>
          <w:rFonts w:ascii="Arial" w:hAnsi="Arial" w:cs="Arial"/>
          <w:sz w:val="24"/>
          <w:szCs w:val="24"/>
          <w:lang w:val="es-CR"/>
        </w:rPr>
        <w:t xml:space="preserve"> del</w:t>
      </w:r>
      <w:r w:rsidR="00254500" w:rsidRPr="00B91191">
        <w:rPr>
          <w:rFonts w:ascii="Arial" w:hAnsi="Arial" w:cs="Arial"/>
          <w:sz w:val="24"/>
          <w:szCs w:val="24"/>
          <w:lang w:val="es-CR"/>
        </w:rPr>
        <w:t xml:space="preserve"> 5 de febrero de 1996</w:t>
      </w:r>
      <w:r w:rsidR="001E40DF" w:rsidRPr="00B91191">
        <w:rPr>
          <w:rFonts w:ascii="Arial" w:hAnsi="Arial" w:cs="Arial"/>
          <w:sz w:val="24"/>
          <w:szCs w:val="24"/>
          <w:lang w:val="es-CR"/>
        </w:rPr>
        <w:t>,</w:t>
      </w:r>
      <w:r w:rsidR="00254500" w:rsidRPr="00B91191">
        <w:rPr>
          <w:rFonts w:ascii="Arial" w:hAnsi="Arial" w:cs="Arial"/>
          <w:sz w:val="24"/>
          <w:szCs w:val="24"/>
          <w:lang w:val="es-CR"/>
        </w:rPr>
        <w:t xml:space="preserve"> </w:t>
      </w:r>
      <w:r w:rsidRPr="00B91191">
        <w:rPr>
          <w:rFonts w:ascii="Arial" w:hAnsi="Arial" w:cs="Arial"/>
          <w:sz w:val="24"/>
          <w:szCs w:val="24"/>
          <w:lang w:val="es-ES"/>
        </w:rPr>
        <w:t>prohíbe el cambio de uso del suelo de los t</w:t>
      </w:r>
      <w:r w:rsidR="00254500" w:rsidRPr="00B91191">
        <w:rPr>
          <w:rFonts w:ascii="Arial" w:hAnsi="Arial" w:cs="Arial"/>
          <w:sz w:val="24"/>
          <w:szCs w:val="24"/>
          <w:lang w:val="es-ES"/>
        </w:rPr>
        <w:t xml:space="preserve">errenos de aptitud forestal.  Para brindar alternativas a los propietarios de terrenos forestales se estableció desde hace 20 años </w:t>
      </w:r>
      <w:r w:rsidR="001E40DF" w:rsidRPr="00B91191">
        <w:rPr>
          <w:rFonts w:ascii="Arial" w:hAnsi="Arial" w:cs="Arial"/>
          <w:sz w:val="24"/>
          <w:szCs w:val="24"/>
          <w:lang w:val="es-ES"/>
        </w:rPr>
        <w:t xml:space="preserve">el </w:t>
      </w:r>
      <w:r w:rsidR="00254500" w:rsidRPr="00B91191">
        <w:rPr>
          <w:rFonts w:ascii="Arial" w:hAnsi="Arial" w:cs="Arial"/>
          <w:sz w:val="24"/>
          <w:szCs w:val="24"/>
          <w:lang w:val="es-ES"/>
        </w:rPr>
        <w:t>Fondo Nacional de Financiamiento Forestal FONAFIFO</w:t>
      </w:r>
      <w:r w:rsidR="00457585" w:rsidRPr="00B91191">
        <w:rPr>
          <w:rFonts w:ascii="Arial" w:hAnsi="Arial" w:cs="Arial"/>
          <w:sz w:val="24"/>
          <w:szCs w:val="24"/>
          <w:lang w:val="es-ES"/>
        </w:rPr>
        <w:t xml:space="preserve">.  </w:t>
      </w:r>
    </w:p>
    <w:p w14:paraId="5B22F791" w14:textId="61D48058" w:rsidR="00C16747" w:rsidRPr="00B91191" w:rsidRDefault="00C16747" w:rsidP="0053086B">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Calibri"/>
          <w:color w:val="000000"/>
          <w:sz w:val="24"/>
          <w:szCs w:val="24"/>
          <w:lang w:val="es-ES"/>
        </w:rPr>
        <w:t xml:space="preserve">El PPSA consiste en un reconocimiento financiero por parte del Estado, a los (las) propietarios(as) y poseedores(as) de bosques y plantaciones forestales por los servicios que éstos proveen en cuanto a 1) mitigación de emisiones de gases de efecto invernadero, 2) protección del agua para uso urbano, rural o hidroeléctrico, 3) protección de la biodiversidad para su conservación y uso sostenible, científico y farmacéutico, de investigación y de mejoramiento genético, y 4) belleza escénica natural para fines turísticos y científicos (de conformidad con la Ley Forestal No. 7575). El PPSA se gestiona </w:t>
      </w:r>
      <w:r w:rsidR="001E40DF" w:rsidRPr="00B91191">
        <w:rPr>
          <w:rFonts w:ascii="Arial" w:hAnsi="Arial" w:cs="Calibri"/>
          <w:color w:val="000000"/>
          <w:sz w:val="24"/>
          <w:szCs w:val="24"/>
          <w:lang w:val="es-ES"/>
        </w:rPr>
        <w:t xml:space="preserve">principalmente </w:t>
      </w:r>
      <w:r w:rsidRPr="00B91191">
        <w:rPr>
          <w:rFonts w:ascii="Arial" w:hAnsi="Arial" w:cs="Calibri"/>
          <w:color w:val="000000"/>
          <w:sz w:val="24"/>
          <w:szCs w:val="24"/>
          <w:lang w:val="es-ES"/>
        </w:rPr>
        <w:t xml:space="preserve">bajo dos modalidades 1) el mantenimiento de la cobertura forestal a través de la protección y manejo de bosques existentes, y 2) la recuperación de la cobertura forestal a través de procesos de reforestación, regeneración natural y establecimiento de sistemas agroforestales (FONAFIFO; 2018) </w:t>
      </w:r>
    </w:p>
    <w:p w14:paraId="315F7AF6" w14:textId="6721C8E7" w:rsidR="00254500" w:rsidRPr="00B91191" w:rsidRDefault="00254500" w:rsidP="00254500">
      <w:pPr>
        <w:jc w:val="both"/>
        <w:rPr>
          <w:rFonts w:ascii="Arial" w:hAnsi="Arial" w:cs="Arial"/>
          <w:sz w:val="24"/>
          <w:szCs w:val="24"/>
        </w:rPr>
      </w:pPr>
      <w:r w:rsidRPr="00B91191">
        <w:rPr>
          <w:rFonts w:ascii="Arial" w:hAnsi="Arial" w:cs="Arial"/>
          <w:sz w:val="24"/>
          <w:szCs w:val="24"/>
        </w:rPr>
        <w:lastRenderedPageBreak/>
        <w:t>El P</w:t>
      </w:r>
      <w:r w:rsidR="00854063" w:rsidRPr="00B91191">
        <w:rPr>
          <w:rFonts w:ascii="Arial" w:hAnsi="Arial" w:cs="Arial"/>
          <w:sz w:val="24"/>
          <w:szCs w:val="24"/>
        </w:rPr>
        <w:t>P</w:t>
      </w:r>
      <w:r w:rsidRPr="00B91191">
        <w:rPr>
          <w:rFonts w:ascii="Arial" w:hAnsi="Arial" w:cs="Arial"/>
          <w:sz w:val="24"/>
          <w:szCs w:val="24"/>
        </w:rPr>
        <w:t xml:space="preserve">SA </w:t>
      </w:r>
      <w:proofErr w:type="spellStart"/>
      <w:r w:rsidRPr="00B91191">
        <w:rPr>
          <w:rFonts w:ascii="Arial" w:hAnsi="Arial" w:cs="Arial"/>
          <w:sz w:val="24"/>
          <w:szCs w:val="24"/>
        </w:rPr>
        <w:t>es</w:t>
      </w:r>
      <w:proofErr w:type="spellEnd"/>
      <w:r w:rsidRPr="00B91191">
        <w:rPr>
          <w:rFonts w:ascii="Arial" w:hAnsi="Arial" w:cs="Arial"/>
          <w:sz w:val="24"/>
          <w:szCs w:val="24"/>
        </w:rPr>
        <w:t xml:space="preserve"> </w:t>
      </w:r>
      <w:proofErr w:type="spellStart"/>
      <w:r w:rsidRPr="00B91191">
        <w:rPr>
          <w:rFonts w:ascii="Arial" w:hAnsi="Arial" w:cs="Arial"/>
          <w:sz w:val="24"/>
          <w:szCs w:val="24"/>
        </w:rPr>
        <w:t>reconocido</w:t>
      </w:r>
      <w:proofErr w:type="spellEnd"/>
      <w:r w:rsidRPr="00B91191">
        <w:rPr>
          <w:rFonts w:ascii="Arial" w:hAnsi="Arial" w:cs="Arial"/>
          <w:sz w:val="24"/>
          <w:szCs w:val="24"/>
        </w:rPr>
        <w:t xml:space="preserve"> </w:t>
      </w:r>
      <w:proofErr w:type="spellStart"/>
      <w:r w:rsidRPr="00B91191">
        <w:rPr>
          <w:rFonts w:ascii="Arial" w:hAnsi="Arial" w:cs="Arial"/>
          <w:sz w:val="24"/>
          <w:szCs w:val="24"/>
        </w:rPr>
        <w:t>por</w:t>
      </w:r>
      <w:proofErr w:type="spellEnd"/>
      <w:r w:rsidRPr="00B91191">
        <w:rPr>
          <w:rFonts w:ascii="Arial" w:hAnsi="Arial" w:cs="Arial"/>
          <w:sz w:val="24"/>
          <w:szCs w:val="24"/>
        </w:rPr>
        <w:t xml:space="preserve"> </w:t>
      </w:r>
      <w:proofErr w:type="spellStart"/>
      <w:r w:rsidRPr="00B91191">
        <w:rPr>
          <w:rFonts w:ascii="Arial" w:hAnsi="Arial" w:cs="Arial"/>
          <w:sz w:val="24"/>
          <w:szCs w:val="24"/>
        </w:rPr>
        <w:t>transferir</w:t>
      </w:r>
      <w:proofErr w:type="spellEnd"/>
      <w:r w:rsidRPr="00B91191">
        <w:rPr>
          <w:rFonts w:ascii="Arial" w:hAnsi="Arial" w:cs="Arial"/>
          <w:sz w:val="24"/>
          <w:szCs w:val="24"/>
        </w:rPr>
        <w:t xml:space="preserve"> </w:t>
      </w:r>
      <w:proofErr w:type="spellStart"/>
      <w:r w:rsidRPr="00B91191">
        <w:rPr>
          <w:rFonts w:ascii="Arial" w:hAnsi="Arial" w:cs="Arial"/>
          <w:sz w:val="24"/>
          <w:szCs w:val="24"/>
        </w:rPr>
        <w:t>cerca</w:t>
      </w:r>
      <w:proofErr w:type="spellEnd"/>
      <w:r w:rsidRPr="00B91191">
        <w:rPr>
          <w:rFonts w:ascii="Arial" w:hAnsi="Arial" w:cs="Arial"/>
          <w:sz w:val="24"/>
          <w:szCs w:val="24"/>
        </w:rPr>
        <w:t xml:space="preserve"> de $500 </w:t>
      </w:r>
      <w:proofErr w:type="spellStart"/>
      <w:r w:rsidRPr="00B91191">
        <w:rPr>
          <w:rFonts w:ascii="Arial" w:hAnsi="Arial" w:cs="Arial"/>
          <w:sz w:val="24"/>
          <w:szCs w:val="24"/>
        </w:rPr>
        <w:t>millones</w:t>
      </w:r>
      <w:proofErr w:type="spellEnd"/>
      <w:r w:rsidRPr="00B91191">
        <w:rPr>
          <w:rFonts w:ascii="Arial" w:hAnsi="Arial" w:cs="Arial"/>
          <w:sz w:val="24"/>
          <w:szCs w:val="24"/>
        </w:rPr>
        <w:t xml:space="preserve"> de </w:t>
      </w:r>
      <w:proofErr w:type="spellStart"/>
      <w:r w:rsidRPr="00B91191">
        <w:rPr>
          <w:rFonts w:ascii="Arial" w:hAnsi="Arial" w:cs="Arial"/>
          <w:sz w:val="24"/>
          <w:szCs w:val="24"/>
        </w:rPr>
        <w:t>dólares</w:t>
      </w:r>
      <w:proofErr w:type="spellEnd"/>
      <w:r w:rsidRPr="00B91191">
        <w:rPr>
          <w:rFonts w:ascii="Arial" w:hAnsi="Arial" w:cs="Arial"/>
          <w:sz w:val="24"/>
          <w:szCs w:val="24"/>
        </w:rPr>
        <w:t xml:space="preserve"> </w:t>
      </w:r>
      <w:proofErr w:type="gramStart"/>
      <w:r w:rsidR="005609D2">
        <w:rPr>
          <w:rFonts w:ascii="Arial" w:hAnsi="Arial" w:cs="Arial"/>
          <w:sz w:val="24"/>
          <w:szCs w:val="24"/>
        </w:rPr>
        <w:t>( 1997</w:t>
      </w:r>
      <w:proofErr w:type="gramEnd"/>
      <w:r w:rsidR="005609D2">
        <w:rPr>
          <w:rFonts w:ascii="Arial" w:hAnsi="Arial" w:cs="Arial"/>
          <w:sz w:val="24"/>
          <w:szCs w:val="24"/>
        </w:rPr>
        <w:t xml:space="preserve">-2018) </w:t>
      </w:r>
      <w:r w:rsidRPr="00B91191">
        <w:rPr>
          <w:rFonts w:ascii="Arial" w:hAnsi="Arial" w:cs="Arial"/>
          <w:sz w:val="24"/>
          <w:szCs w:val="24"/>
        </w:rPr>
        <w:t xml:space="preserve">a las </w:t>
      </w:r>
      <w:proofErr w:type="spellStart"/>
      <w:r w:rsidRPr="00B91191">
        <w:rPr>
          <w:rFonts w:ascii="Arial" w:hAnsi="Arial" w:cs="Arial"/>
          <w:sz w:val="24"/>
          <w:szCs w:val="24"/>
        </w:rPr>
        <w:t>economías</w:t>
      </w:r>
      <w:proofErr w:type="spellEnd"/>
      <w:r w:rsidRPr="00B91191">
        <w:rPr>
          <w:rFonts w:ascii="Arial" w:hAnsi="Arial" w:cs="Arial"/>
          <w:sz w:val="24"/>
          <w:szCs w:val="24"/>
        </w:rPr>
        <w:t xml:space="preserve"> </w:t>
      </w:r>
      <w:proofErr w:type="spellStart"/>
      <w:r w:rsidRPr="00B91191">
        <w:rPr>
          <w:rFonts w:ascii="Arial" w:hAnsi="Arial" w:cs="Arial"/>
          <w:sz w:val="24"/>
          <w:szCs w:val="24"/>
        </w:rPr>
        <w:t>rurales</w:t>
      </w:r>
      <w:proofErr w:type="spellEnd"/>
      <w:r w:rsidRPr="00B91191">
        <w:rPr>
          <w:rFonts w:ascii="Arial" w:hAnsi="Arial" w:cs="Arial"/>
          <w:sz w:val="24"/>
          <w:szCs w:val="24"/>
        </w:rPr>
        <w:t xml:space="preserve"> </w:t>
      </w:r>
      <w:proofErr w:type="spellStart"/>
      <w:r w:rsidRPr="00B91191">
        <w:rPr>
          <w:rFonts w:ascii="Arial" w:hAnsi="Arial" w:cs="Arial"/>
          <w:sz w:val="24"/>
          <w:szCs w:val="24"/>
        </w:rPr>
        <w:t>por</w:t>
      </w:r>
      <w:proofErr w:type="spellEnd"/>
      <w:r w:rsidRPr="00B91191">
        <w:rPr>
          <w:rFonts w:ascii="Arial" w:hAnsi="Arial" w:cs="Arial"/>
          <w:sz w:val="24"/>
          <w:szCs w:val="24"/>
        </w:rPr>
        <w:t xml:space="preserve"> </w:t>
      </w:r>
      <w:proofErr w:type="spellStart"/>
      <w:r w:rsidRPr="00B91191">
        <w:rPr>
          <w:rFonts w:ascii="Arial" w:hAnsi="Arial" w:cs="Arial"/>
          <w:sz w:val="24"/>
          <w:szCs w:val="24"/>
        </w:rPr>
        <w:t>concepto</w:t>
      </w:r>
      <w:proofErr w:type="spellEnd"/>
      <w:r w:rsidRPr="00B91191">
        <w:rPr>
          <w:rFonts w:ascii="Arial" w:hAnsi="Arial" w:cs="Arial"/>
          <w:sz w:val="24"/>
          <w:szCs w:val="24"/>
        </w:rPr>
        <w:t xml:space="preserve"> de </w:t>
      </w:r>
      <w:proofErr w:type="spellStart"/>
      <w:r w:rsidRPr="00B91191">
        <w:rPr>
          <w:rFonts w:ascii="Arial" w:hAnsi="Arial" w:cs="Arial"/>
          <w:sz w:val="24"/>
          <w:szCs w:val="24"/>
        </w:rPr>
        <w:t>pago</w:t>
      </w:r>
      <w:proofErr w:type="spellEnd"/>
      <w:r w:rsidRPr="00B91191">
        <w:rPr>
          <w:rFonts w:ascii="Arial" w:hAnsi="Arial" w:cs="Arial"/>
          <w:sz w:val="24"/>
          <w:szCs w:val="24"/>
        </w:rPr>
        <w:t xml:space="preserve"> </w:t>
      </w:r>
      <w:proofErr w:type="spellStart"/>
      <w:r w:rsidRPr="00B91191">
        <w:rPr>
          <w:rFonts w:ascii="Arial" w:hAnsi="Arial" w:cs="Arial"/>
          <w:sz w:val="24"/>
          <w:szCs w:val="24"/>
        </w:rPr>
        <w:t>por</w:t>
      </w:r>
      <w:proofErr w:type="spellEnd"/>
      <w:r w:rsidRPr="00B91191">
        <w:rPr>
          <w:rFonts w:ascii="Arial" w:hAnsi="Arial" w:cs="Arial"/>
          <w:sz w:val="24"/>
          <w:szCs w:val="24"/>
        </w:rPr>
        <w:t xml:space="preserve"> los </w:t>
      </w:r>
      <w:proofErr w:type="spellStart"/>
      <w:r w:rsidRPr="00B91191">
        <w:rPr>
          <w:rFonts w:ascii="Arial" w:hAnsi="Arial" w:cs="Arial"/>
          <w:sz w:val="24"/>
          <w:szCs w:val="24"/>
        </w:rPr>
        <w:t>servicios</w:t>
      </w:r>
      <w:proofErr w:type="spellEnd"/>
      <w:r w:rsidRPr="00B91191">
        <w:rPr>
          <w:rFonts w:ascii="Arial" w:hAnsi="Arial" w:cs="Arial"/>
          <w:sz w:val="24"/>
          <w:szCs w:val="24"/>
        </w:rPr>
        <w:t xml:space="preserve"> </w:t>
      </w:r>
      <w:proofErr w:type="spellStart"/>
      <w:r w:rsidRPr="00B91191">
        <w:rPr>
          <w:rFonts w:ascii="Arial" w:hAnsi="Arial" w:cs="Arial"/>
          <w:sz w:val="24"/>
          <w:szCs w:val="24"/>
        </w:rPr>
        <w:t>ambientales</w:t>
      </w:r>
      <w:proofErr w:type="spellEnd"/>
      <w:r w:rsidR="001E40DF" w:rsidRPr="00B91191">
        <w:rPr>
          <w:rFonts w:ascii="Arial" w:hAnsi="Arial" w:cs="Arial"/>
          <w:sz w:val="24"/>
          <w:szCs w:val="24"/>
        </w:rPr>
        <w:t>.</w:t>
      </w:r>
    </w:p>
    <w:p w14:paraId="36FCFD5E" w14:textId="5DF81F28" w:rsidR="00254500" w:rsidRPr="00B91191" w:rsidRDefault="00254500" w:rsidP="00254500">
      <w:pPr>
        <w:jc w:val="both"/>
        <w:rPr>
          <w:rFonts w:ascii="Arial" w:hAnsi="Arial" w:cs="Arial"/>
          <w:sz w:val="24"/>
          <w:szCs w:val="24"/>
          <w:lang w:val="es-ES_tradnl"/>
        </w:rPr>
      </w:pPr>
      <w:r w:rsidRPr="00B91191">
        <w:rPr>
          <w:rFonts w:ascii="Arial" w:hAnsi="Arial" w:cs="Arial"/>
          <w:sz w:val="24"/>
          <w:szCs w:val="24"/>
          <w:lang w:val="es-ES_tradnl"/>
        </w:rPr>
        <w:t>Por otra parte, se han desarrollo programas de financiamiento para proyectos de pequeños y medianos productores de bienes y servicios forestales, bajo condiciones de tasas de interés y plazos adecuados a la realidad forestal del país</w:t>
      </w:r>
    </w:p>
    <w:p w14:paraId="2290DC5D" w14:textId="66A3A862" w:rsidR="00254500" w:rsidRDefault="00254500" w:rsidP="00254500">
      <w:pPr>
        <w:jc w:val="both"/>
        <w:rPr>
          <w:rFonts w:ascii="Arial" w:hAnsi="Arial" w:cs="Arial"/>
          <w:sz w:val="24"/>
          <w:szCs w:val="24"/>
          <w:lang w:val="es-ES_tradnl"/>
        </w:rPr>
      </w:pPr>
      <w:r w:rsidRPr="00B91191">
        <w:rPr>
          <w:rFonts w:ascii="Arial" w:hAnsi="Arial" w:cs="Arial"/>
          <w:sz w:val="24"/>
          <w:szCs w:val="24"/>
          <w:lang w:val="es-ES_tradnl"/>
        </w:rPr>
        <w:t>En estos años se han invertido recursos de crédito por casi 8.000 millones de colones en 1</w:t>
      </w:r>
      <w:r w:rsidR="001E40DF" w:rsidRPr="00B91191">
        <w:rPr>
          <w:rFonts w:ascii="Arial" w:hAnsi="Arial" w:cs="Arial"/>
          <w:sz w:val="24"/>
          <w:szCs w:val="24"/>
          <w:lang w:val="es-ES_tradnl"/>
        </w:rPr>
        <w:t>.</w:t>
      </w:r>
      <w:r w:rsidRPr="00B91191">
        <w:rPr>
          <w:rFonts w:ascii="Arial" w:hAnsi="Arial" w:cs="Arial"/>
          <w:sz w:val="24"/>
          <w:szCs w:val="24"/>
          <w:lang w:val="es-ES_tradnl"/>
        </w:rPr>
        <w:t>700 operaciones</w:t>
      </w:r>
      <w:r w:rsidR="005609D2">
        <w:rPr>
          <w:rFonts w:ascii="Arial" w:hAnsi="Arial" w:cs="Arial"/>
          <w:sz w:val="24"/>
          <w:szCs w:val="24"/>
          <w:lang w:val="es-ES_tradnl"/>
        </w:rPr>
        <w:t>, brindando una alternativa de financiamiento adecuada para fomentar la producción y el desarrollo rural</w:t>
      </w:r>
      <w:r w:rsidRPr="00B91191">
        <w:rPr>
          <w:rFonts w:ascii="Arial" w:hAnsi="Arial" w:cs="Arial"/>
          <w:sz w:val="24"/>
          <w:szCs w:val="24"/>
          <w:lang w:val="es-ES_tradnl"/>
        </w:rPr>
        <w:t xml:space="preserve"> </w:t>
      </w:r>
      <w:r w:rsidR="005609D2">
        <w:rPr>
          <w:rFonts w:ascii="Arial" w:hAnsi="Arial" w:cs="Arial"/>
          <w:sz w:val="24"/>
          <w:szCs w:val="24"/>
          <w:lang w:val="es-ES_tradnl"/>
        </w:rPr>
        <w:t xml:space="preserve">ya que en muchos casos estos productores no son sujetos de crédito en la banca comercial. </w:t>
      </w:r>
      <w:r w:rsidRPr="00B91191">
        <w:rPr>
          <w:rFonts w:ascii="Arial" w:hAnsi="Arial" w:cs="Arial"/>
          <w:sz w:val="24"/>
          <w:szCs w:val="24"/>
          <w:lang w:val="es-ES_tradnl"/>
        </w:rPr>
        <w:t xml:space="preserve"> </w:t>
      </w:r>
    </w:p>
    <w:p w14:paraId="7B48B6AE" w14:textId="556C3B73" w:rsidR="00310D65" w:rsidRDefault="00310D65" w:rsidP="00254500">
      <w:pPr>
        <w:jc w:val="both"/>
        <w:rPr>
          <w:rFonts w:ascii="Arial" w:hAnsi="Arial" w:cs="Arial"/>
          <w:color w:val="000000"/>
          <w:kern w:val="24"/>
          <w:sz w:val="24"/>
          <w:szCs w:val="24"/>
          <w:lang w:val="es-CR"/>
        </w:rPr>
      </w:pPr>
      <w:r>
        <w:rPr>
          <w:rFonts w:ascii="Arial" w:hAnsi="Arial" w:cs="Arial"/>
          <w:sz w:val="24"/>
          <w:szCs w:val="24"/>
          <w:lang w:val="es-ES_tradnl"/>
        </w:rPr>
        <w:t xml:space="preserve">Se continúan identificando formas de reconocer los aportes de los pequeños productores, por eso recientemente se estableció el Programa de </w:t>
      </w:r>
      <w:r w:rsidRPr="00310D65">
        <w:rPr>
          <w:rFonts w:ascii="Arial" w:hAnsi="Arial" w:cs="Arial"/>
          <w:sz w:val="24"/>
          <w:szCs w:val="24"/>
          <w:lang w:val="es-CR"/>
        </w:rPr>
        <w:t>“Sistemas Mixtos en Agroforestería para microproductores”</w:t>
      </w:r>
      <w:r>
        <w:rPr>
          <w:rFonts w:ascii="Arial" w:hAnsi="Arial" w:cs="Arial"/>
          <w:sz w:val="24"/>
          <w:szCs w:val="24"/>
          <w:lang w:val="es-CR"/>
        </w:rPr>
        <w:t xml:space="preserve"> con el objetivo de </w:t>
      </w:r>
      <w:r w:rsidR="005609D2" w:rsidRPr="00310D65">
        <w:rPr>
          <w:rFonts w:ascii="Arial" w:hAnsi="Arial" w:cs="Arial"/>
          <w:color w:val="000000"/>
          <w:kern w:val="24"/>
          <w:sz w:val="24"/>
          <w:szCs w:val="24"/>
          <w:lang w:val="es-CR"/>
        </w:rPr>
        <w:t>promover</w:t>
      </w:r>
      <w:r w:rsidRPr="00310D65">
        <w:rPr>
          <w:rFonts w:ascii="Arial" w:hAnsi="Arial" w:cs="Arial"/>
          <w:color w:val="000000"/>
          <w:kern w:val="24"/>
          <w:sz w:val="24"/>
          <w:szCs w:val="24"/>
          <w:lang w:val="es-CR"/>
        </w:rPr>
        <w:t xml:space="preserve"> las actividades de protección de bosques, regeneración natural y sistemas agroforestales en fincas menores de 10 hectáreas</w:t>
      </w:r>
      <w:r>
        <w:rPr>
          <w:rFonts w:ascii="Arial" w:hAnsi="Arial" w:cs="Arial"/>
          <w:color w:val="000000"/>
          <w:kern w:val="24"/>
          <w:sz w:val="24"/>
          <w:szCs w:val="24"/>
          <w:lang w:val="es-CR"/>
        </w:rPr>
        <w:t xml:space="preserve">. </w:t>
      </w:r>
      <w:r w:rsidRPr="00310D65">
        <w:rPr>
          <w:rFonts w:ascii="Arial" w:hAnsi="Arial" w:cs="Arial"/>
          <w:color w:val="000000"/>
          <w:kern w:val="24"/>
          <w:sz w:val="24"/>
          <w:szCs w:val="24"/>
          <w:lang w:val="es-CR"/>
        </w:rPr>
        <w:t xml:space="preserve"> </w:t>
      </w:r>
    </w:p>
    <w:p w14:paraId="30B06E69" w14:textId="6AFE6FF7" w:rsidR="00A65764" w:rsidRPr="00A65764" w:rsidRDefault="005609D2" w:rsidP="00254500">
      <w:pPr>
        <w:jc w:val="both"/>
        <w:rPr>
          <w:rFonts w:ascii="Arial" w:hAnsi="Arial" w:cs="Arial"/>
          <w:color w:val="000000"/>
          <w:kern w:val="24"/>
          <w:sz w:val="24"/>
          <w:szCs w:val="24"/>
          <w:lang w:val="es-CR"/>
        </w:rPr>
      </w:pPr>
      <w:r>
        <w:rPr>
          <w:rFonts w:ascii="Arial" w:hAnsi="Arial" w:cs="Arial"/>
          <w:color w:val="000000"/>
          <w:kern w:val="24"/>
          <w:sz w:val="24"/>
          <w:szCs w:val="24"/>
          <w:lang w:val="es-MX"/>
        </w:rPr>
        <w:t xml:space="preserve">Otra de las iniciativas muy bien recibidas por los productores </w:t>
      </w:r>
      <w:r w:rsidR="00847D66">
        <w:rPr>
          <w:rFonts w:ascii="Arial" w:hAnsi="Arial" w:cs="Arial"/>
          <w:color w:val="000000"/>
          <w:kern w:val="24"/>
          <w:sz w:val="24"/>
          <w:szCs w:val="24"/>
          <w:lang w:val="es-MX"/>
        </w:rPr>
        <w:t>es e</w:t>
      </w:r>
      <w:r w:rsidR="00A65764">
        <w:rPr>
          <w:rFonts w:ascii="Arial" w:hAnsi="Arial" w:cs="Arial"/>
          <w:color w:val="000000"/>
          <w:kern w:val="24"/>
          <w:sz w:val="24"/>
          <w:szCs w:val="24"/>
          <w:lang w:val="es-MX"/>
        </w:rPr>
        <w:t>l Programa de Plantaciones de Aprovechamiento Forestal PPAF tie</w:t>
      </w:r>
      <w:r w:rsidR="00D33E2B">
        <w:rPr>
          <w:rFonts w:ascii="Arial" w:hAnsi="Arial" w:cs="Arial"/>
          <w:color w:val="000000"/>
          <w:kern w:val="24"/>
          <w:sz w:val="24"/>
          <w:szCs w:val="24"/>
          <w:lang w:val="es-MX"/>
        </w:rPr>
        <w:t xml:space="preserve">ne </w:t>
      </w:r>
      <w:r w:rsidR="00847D66">
        <w:rPr>
          <w:rFonts w:ascii="Arial" w:hAnsi="Arial" w:cs="Arial"/>
          <w:color w:val="000000"/>
          <w:kern w:val="24"/>
          <w:sz w:val="24"/>
          <w:szCs w:val="24"/>
          <w:lang w:val="es-MX"/>
        </w:rPr>
        <w:t>como</w:t>
      </w:r>
      <w:r w:rsidR="00D33E2B">
        <w:rPr>
          <w:rFonts w:ascii="Arial" w:hAnsi="Arial" w:cs="Arial"/>
          <w:color w:val="000000"/>
          <w:kern w:val="24"/>
          <w:sz w:val="24"/>
          <w:szCs w:val="24"/>
          <w:lang w:val="es-MX"/>
        </w:rPr>
        <w:t xml:space="preserve"> objetivo e</w:t>
      </w:r>
      <w:r w:rsidR="00A65764" w:rsidRPr="00A65764">
        <w:rPr>
          <w:rFonts w:ascii="Arial" w:hAnsi="Arial" w:cs="Arial"/>
          <w:color w:val="000000"/>
          <w:kern w:val="24"/>
          <w:sz w:val="24"/>
          <w:szCs w:val="24"/>
          <w:lang w:val="es-MX"/>
        </w:rPr>
        <w:t>stimular a los productores agropecuarios para la siembra de árboles en sistemas agroforestales y silvo- pastoriles cuya finalidad es la adaptación al Cambio Climático</w:t>
      </w:r>
      <w:r w:rsidR="00D33E2B">
        <w:rPr>
          <w:rFonts w:ascii="Arial" w:hAnsi="Arial" w:cs="Arial"/>
          <w:color w:val="000000"/>
          <w:kern w:val="24"/>
          <w:sz w:val="24"/>
          <w:szCs w:val="24"/>
          <w:lang w:val="es-MX"/>
        </w:rPr>
        <w:t>.</w:t>
      </w:r>
    </w:p>
    <w:p w14:paraId="57513C24" w14:textId="3C7C474F" w:rsidR="00A65764" w:rsidRPr="00310D65" w:rsidRDefault="00A65764" w:rsidP="00254500">
      <w:pPr>
        <w:jc w:val="both"/>
        <w:rPr>
          <w:rFonts w:ascii="Arial" w:hAnsi="Arial" w:cs="Arial"/>
          <w:sz w:val="24"/>
          <w:szCs w:val="24"/>
          <w:lang w:val="es-ES_tradnl"/>
        </w:rPr>
      </w:pPr>
      <w:r w:rsidRPr="00A65764">
        <w:rPr>
          <w:rFonts w:ascii="Arial" w:hAnsi="Arial" w:cs="Arial"/>
          <w:noProof/>
          <w:sz w:val="24"/>
          <w:szCs w:val="24"/>
          <w:lang w:val="es-ES" w:eastAsia="es-ES"/>
        </w:rPr>
        <w:drawing>
          <wp:inline distT="0" distB="0" distL="0" distR="0" wp14:anchorId="50BBC4C0" wp14:editId="7DA95299">
            <wp:extent cx="4907425" cy="368210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72" cy="3682965"/>
                    </a:xfrm>
                    <a:prstGeom prst="rect">
                      <a:avLst/>
                    </a:prstGeom>
                    <a:noFill/>
                    <a:ln>
                      <a:noFill/>
                    </a:ln>
                  </pic:spPr>
                </pic:pic>
              </a:graphicData>
            </a:graphic>
          </wp:inline>
        </w:drawing>
      </w:r>
    </w:p>
    <w:p w14:paraId="2F7F9663" w14:textId="77777777" w:rsidR="003B2E9C" w:rsidRDefault="003B2E9C" w:rsidP="003B2E9C">
      <w:pPr>
        <w:pStyle w:val="Prrafodelista"/>
        <w:spacing w:after="0" w:line="240" w:lineRule="auto"/>
        <w:jc w:val="both"/>
        <w:rPr>
          <w:rFonts w:ascii="Arial" w:hAnsi="Arial" w:cs="Arial"/>
          <w:b/>
          <w:sz w:val="24"/>
          <w:szCs w:val="24"/>
          <w:lang w:val="es-ES"/>
        </w:rPr>
      </w:pPr>
      <w:bookmarkStart w:id="2" w:name="OLE_LINK1"/>
    </w:p>
    <w:p w14:paraId="769BDCB7" w14:textId="7DFEA5D3" w:rsidR="001E40DF" w:rsidRPr="00310D65" w:rsidRDefault="001E40DF" w:rsidP="001E40DF">
      <w:pPr>
        <w:pStyle w:val="Prrafodelista"/>
        <w:numPr>
          <w:ilvl w:val="0"/>
          <w:numId w:val="20"/>
        </w:numPr>
        <w:spacing w:after="0" w:line="240" w:lineRule="auto"/>
        <w:jc w:val="both"/>
        <w:rPr>
          <w:rFonts w:ascii="Arial" w:hAnsi="Arial" w:cs="Arial"/>
          <w:b/>
          <w:sz w:val="24"/>
          <w:szCs w:val="24"/>
          <w:lang w:val="es-ES"/>
        </w:rPr>
      </w:pPr>
      <w:r w:rsidRPr="00310D65">
        <w:rPr>
          <w:rFonts w:ascii="Arial" w:hAnsi="Arial" w:cs="Arial"/>
          <w:b/>
          <w:sz w:val="24"/>
          <w:szCs w:val="24"/>
          <w:lang w:val="es-ES"/>
        </w:rPr>
        <w:lastRenderedPageBreak/>
        <w:t>El Fondo de Biodiversidad Sostenible: Programa de Conservación de la Biodiversidad</w:t>
      </w:r>
      <w:bookmarkEnd w:id="2"/>
      <w:r w:rsidRPr="00310D65">
        <w:rPr>
          <w:rFonts w:ascii="Arial" w:hAnsi="Arial" w:cs="Arial"/>
          <w:b/>
          <w:sz w:val="24"/>
          <w:szCs w:val="24"/>
          <w:lang w:val="es-ES"/>
        </w:rPr>
        <w:t>.</w:t>
      </w:r>
    </w:p>
    <w:p w14:paraId="2D92DFAE" w14:textId="77777777" w:rsidR="001E40DF" w:rsidRPr="00B91191" w:rsidRDefault="001E40DF" w:rsidP="00254500">
      <w:pPr>
        <w:jc w:val="both"/>
        <w:rPr>
          <w:rFonts w:ascii="Arial" w:hAnsi="Arial" w:cs="Arial"/>
          <w:sz w:val="24"/>
          <w:szCs w:val="24"/>
          <w:lang w:val="es-ES_tradnl"/>
        </w:rPr>
      </w:pPr>
    </w:p>
    <w:p w14:paraId="784D9656" w14:textId="75D47861" w:rsidR="00254500" w:rsidRPr="00B91191" w:rsidRDefault="00254500" w:rsidP="00532279">
      <w:pPr>
        <w:widowControl w:val="0"/>
        <w:tabs>
          <w:tab w:val="left" w:pos="220"/>
          <w:tab w:val="left" w:pos="720"/>
        </w:tabs>
        <w:autoSpaceDE w:val="0"/>
        <w:autoSpaceDN w:val="0"/>
        <w:adjustRightInd w:val="0"/>
        <w:spacing w:after="0" w:line="240" w:lineRule="auto"/>
        <w:jc w:val="both"/>
        <w:rPr>
          <w:rFonts w:ascii="Arial" w:hAnsi="Arial" w:cs="Arial"/>
          <w:sz w:val="24"/>
          <w:szCs w:val="24"/>
          <w:lang w:val="es-ES"/>
        </w:rPr>
      </w:pPr>
      <w:r w:rsidRPr="00B91191">
        <w:rPr>
          <w:rFonts w:ascii="Arial" w:hAnsi="Arial" w:cs="Arial"/>
          <w:sz w:val="24"/>
          <w:szCs w:val="24"/>
          <w:lang w:val="es-CR"/>
        </w:rPr>
        <w:t xml:space="preserve">A partir de la experiencia del PPSA se lanzó en el 2015 </w:t>
      </w:r>
      <w:r w:rsidR="003B2E9C">
        <w:rPr>
          <w:rFonts w:ascii="Arial" w:hAnsi="Arial" w:cs="Arial"/>
          <w:sz w:val="24"/>
          <w:szCs w:val="24"/>
          <w:lang w:val="es-ES"/>
        </w:rPr>
        <w:t>e</w:t>
      </w:r>
      <w:r w:rsidRPr="00B91191">
        <w:rPr>
          <w:rFonts w:ascii="Arial" w:hAnsi="Arial" w:cs="Arial"/>
          <w:sz w:val="24"/>
          <w:szCs w:val="24"/>
          <w:lang w:val="es-ES"/>
        </w:rPr>
        <w:t xml:space="preserve">l Fondo de Biodiversidad Sostenible </w:t>
      </w:r>
      <w:r w:rsidR="00854063" w:rsidRPr="00B91191">
        <w:rPr>
          <w:rFonts w:ascii="Arial" w:hAnsi="Arial" w:cs="Arial"/>
          <w:sz w:val="24"/>
          <w:szCs w:val="24"/>
          <w:lang w:val="es-ES"/>
        </w:rPr>
        <w:t xml:space="preserve">FBS </w:t>
      </w:r>
      <w:r w:rsidRPr="00B91191">
        <w:rPr>
          <w:rFonts w:ascii="Arial" w:hAnsi="Arial" w:cs="Arial"/>
          <w:sz w:val="24"/>
          <w:szCs w:val="24"/>
          <w:lang w:val="es-ES"/>
        </w:rPr>
        <w:t xml:space="preserve">que es un mecanismo de financiamiento innovador, el que por medio de un fondo patrimonial, utiliza los rendimientos de sus inversiones para la conservación de la biodiversidad en terrenos privados. </w:t>
      </w:r>
    </w:p>
    <w:p w14:paraId="538D486B" w14:textId="77777777" w:rsidR="00254500" w:rsidRPr="00B91191" w:rsidRDefault="00254500" w:rsidP="00254500">
      <w:pPr>
        <w:widowControl w:val="0"/>
        <w:autoSpaceDE w:val="0"/>
        <w:autoSpaceDN w:val="0"/>
        <w:adjustRightInd w:val="0"/>
        <w:spacing w:after="0" w:line="240" w:lineRule="auto"/>
        <w:jc w:val="both"/>
        <w:rPr>
          <w:rFonts w:ascii="Arial" w:hAnsi="Arial" w:cs="Arial"/>
          <w:sz w:val="24"/>
          <w:szCs w:val="24"/>
          <w:lang w:val="es-ES"/>
        </w:rPr>
      </w:pPr>
    </w:p>
    <w:p w14:paraId="35BCF8FF" w14:textId="628D6E69" w:rsidR="00254500" w:rsidRPr="00B91191" w:rsidRDefault="00254500" w:rsidP="00532279">
      <w:pPr>
        <w:widowControl w:val="0"/>
        <w:tabs>
          <w:tab w:val="left" w:pos="220"/>
          <w:tab w:val="left" w:pos="720"/>
        </w:tabs>
        <w:autoSpaceDE w:val="0"/>
        <w:autoSpaceDN w:val="0"/>
        <w:adjustRightInd w:val="0"/>
        <w:spacing w:after="0" w:line="240" w:lineRule="auto"/>
        <w:jc w:val="both"/>
        <w:rPr>
          <w:rFonts w:ascii="Arial" w:hAnsi="Arial" w:cs="Arial"/>
          <w:sz w:val="24"/>
          <w:szCs w:val="24"/>
          <w:lang w:val="es-ES"/>
        </w:rPr>
      </w:pPr>
      <w:r w:rsidRPr="00B91191">
        <w:rPr>
          <w:rFonts w:ascii="Arial" w:hAnsi="Arial" w:cs="Arial"/>
          <w:sz w:val="24"/>
          <w:szCs w:val="24"/>
          <w:lang w:val="es-ES"/>
        </w:rPr>
        <w:t>Para alcanzar este objetivo, el FBS ejecuta el Programa de Conserv</w:t>
      </w:r>
      <w:r w:rsidR="00532279" w:rsidRPr="00B91191">
        <w:rPr>
          <w:rFonts w:ascii="Arial" w:hAnsi="Arial" w:cs="Arial"/>
          <w:sz w:val="24"/>
          <w:szCs w:val="24"/>
          <w:lang w:val="es-ES"/>
        </w:rPr>
        <w:t xml:space="preserve">ación de la Biodiversidad (PCB) el cual </w:t>
      </w:r>
      <w:r w:rsidRPr="00B91191">
        <w:rPr>
          <w:rFonts w:ascii="Arial" w:hAnsi="Arial" w:cs="Arial"/>
          <w:sz w:val="24"/>
          <w:szCs w:val="24"/>
          <w:lang w:val="es-ES"/>
        </w:rPr>
        <w:t>busca contribuir al cumplimiento de las metas nacionales e internacionales de conservación de la biodiversidad, fomentando la distribución de beneficios derivados de su gestión promoviendo el desarrollo económico, inclusivo y sostenible.</w:t>
      </w:r>
    </w:p>
    <w:p w14:paraId="5F5BBBB2" w14:textId="77777777" w:rsidR="00254500" w:rsidRPr="00B91191" w:rsidRDefault="00254500" w:rsidP="00254500">
      <w:pPr>
        <w:widowControl w:val="0"/>
        <w:autoSpaceDE w:val="0"/>
        <w:autoSpaceDN w:val="0"/>
        <w:adjustRightInd w:val="0"/>
        <w:spacing w:after="0" w:line="240" w:lineRule="auto"/>
        <w:jc w:val="both"/>
        <w:rPr>
          <w:rFonts w:ascii="Arial" w:hAnsi="Arial" w:cs="Arial"/>
          <w:sz w:val="24"/>
          <w:szCs w:val="24"/>
          <w:lang w:val="es-ES"/>
        </w:rPr>
      </w:pPr>
    </w:p>
    <w:p w14:paraId="5D3C7D98" w14:textId="77777777" w:rsidR="00254500" w:rsidRPr="00B91191" w:rsidRDefault="00254500" w:rsidP="00532279">
      <w:pPr>
        <w:widowControl w:val="0"/>
        <w:tabs>
          <w:tab w:val="left" w:pos="220"/>
          <w:tab w:val="left" w:pos="720"/>
        </w:tabs>
        <w:autoSpaceDE w:val="0"/>
        <w:autoSpaceDN w:val="0"/>
        <w:adjustRightInd w:val="0"/>
        <w:spacing w:after="0" w:line="240" w:lineRule="auto"/>
        <w:jc w:val="both"/>
        <w:rPr>
          <w:rFonts w:ascii="Arial" w:hAnsi="Arial" w:cs="Arial"/>
          <w:sz w:val="24"/>
          <w:szCs w:val="24"/>
          <w:lang w:val="es-ES"/>
        </w:rPr>
      </w:pPr>
      <w:r w:rsidRPr="00B91191">
        <w:rPr>
          <w:rFonts w:ascii="Arial" w:hAnsi="Arial" w:cs="Arial"/>
          <w:sz w:val="24"/>
          <w:szCs w:val="24"/>
          <w:lang w:val="es-ES"/>
        </w:rPr>
        <w:t>Este mecanismo voluntario busca implementar un esquema de incentivos financieros y no financieros para la conservación de la biodiversidad que reconozca los aportes que brindan las comunidades locales y pueblos indígenas, fortaleciendo el desarrollo económico, socialmente inclusivo y ambientalmente sostenible.</w:t>
      </w:r>
    </w:p>
    <w:p w14:paraId="74AB1991" w14:textId="77777777" w:rsidR="00254500" w:rsidRPr="00B91191" w:rsidRDefault="00254500" w:rsidP="00254500">
      <w:pPr>
        <w:widowControl w:val="0"/>
        <w:autoSpaceDE w:val="0"/>
        <w:autoSpaceDN w:val="0"/>
        <w:adjustRightInd w:val="0"/>
        <w:spacing w:after="0" w:line="240" w:lineRule="auto"/>
        <w:rPr>
          <w:rFonts w:ascii="Arial" w:hAnsi="Arial" w:cs="Arial"/>
          <w:sz w:val="24"/>
          <w:szCs w:val="24"/>
          <w:lang w:val="es-ES"/>
        </w:rPr>
      </w:pPr>
    </w:p>
    <w:p w14:paraId="6300B859" w14:textId="3B759643" w:rsidR="00254500" w:rsidRPr="00B91191" w:rsidRDefault="00254500" w:rsidP="00532279">
      <w:pPr>
        <w:widowControl w:val="0"/>
        <w:tabs>
          <w:tab w:val="left" w:pos="220"/>
          <w:tab w:val="left" w:pos="720"/>
        </w:tabs>
        <w:autoSpaceDE w:val="0"/>
        <w:autoSpaceDN w:val="0"/>
        <w:adjustRightInd w:val="0"/>
        <w:spacing w:after="0" w:line="240" w:lineRule="auto"/>
        <w:rPr>
          <w:rFonts w:ascii="Arial" w:hAnsi="Arial" w:cs="Arial"/>
          <w:sz w:val="24"/>
          <w:szCs w:val="24"/>
          <w:lang w:val="es-ES"/>
        </w:rPr>
      </w:pPr>
      <w:r w:rsidRPr="00B91191">
        <w:rPr>
          <w:rFonts w:ascii="Arial" w:hAnsi="Arial" w:cs="Arial"/>
          <w:sz w:val="24"/>
          <w:szCs w:val="24"/>
          <w:lang w:val="es-ES"/>
        </w:rPr>
        <w:t xml:space="preserve">El PCB se basa en dos componentes principales, un incentivo financiero otorgado por hectárea y </w:t>
      </w:r>
      <w:r w:rsidR="00854063" w:rsidRPr="00B91191">
        <w:rPr>
          <w:rFonts w:ascii="Arial" w:hAnsi="Arial" w:cs="Arial"/>
          <w:sz w:val="24"/>
          <w:szCs w:val="24"/>
          <w:lang w:val="es-ES"/>
        </w:rPr>
        <w:t xml:space="preserve">otros incentivos no financieros como el </w:t>
      </w:r>
      <w:r w:rsidRPr="00B91191">
        <w:rPr>
          <w:rFonts w:ascii="Arial" w:hAnsi="Arial" w:cs="Arial"/>
          <w:sz w:val="24"/>
          <w:szCs w:val="24"/>
          <w:lang w:val="es-ES"/>
        </w:rPr>
        <w:t xml:space="preserve">acompañamiento </w:t>
      </w:r>
      <w:r w:rsidR="00854063" w:rsidRPr="00B91191">
        <w:rPr>
          <w:rFonts w:ascii="Arial" w:hAnsi="Arial" w:cs="Arial"/>
          <w:sz w:val="24"/>
          <w:szCs w:val="24"/>
          <w:lang w:val="es-ES"/>
        </w:rPr>
        <w:t xml:space="preserve">por medio </w:t>
      </w:r>
      <w:r w:rsidRPr="00B91191">
        <w:rPr>
          <w:rFonts w:ascii="Arial" w:hAnsi="Arial" w:cs="Arial"/>
          <w:sz w:val="24"/>
          <w:szCs w:val="24"/>
          <w:lang w:val="es-ES"/>
        </w:rPr>
        <w:t xml:space="preserve">de capacitación, </w:t>
      </w:r>
      <w:r w:rsidR="00854063" w:rsidRPr="00B91191">
        <w:rPr>
          <w:rFonts w:ascii="Arial" w:hAnsi="Arial" w:cs="Arial"/>
          <w:sz w:val="24"/>
          <w:szCs w:val="24"/>
          <w:lang w:val="es-ES"/>
        </w:rPr>
        <w:t xml:space="preserve">la promoción del </w:t>
      </w:r>
      <w:r w:rsidRPr="00B91191">
        <w:rPr>
          <w:rFonts w:ascii="Arial" w:hAnsi="Arial" w:cs="Arial"/>
          <w:sz w:val="24"/>
          <w:szCs w:val="24"/>
          <w:lang w:val="es-ES"/>
        </w:rPr>
        <w:t xml:space="preserve">intercambio de experiencias y </w:t>
      </w:r>
      <w:r w:rsidR="00854063" w:rsidRPr="00B91191">
        <w:rPr>
          <w:rFonts w:ascii="Arial" w:hAnsi="Arial" w:cs="Arial"/>
          <w:sz w:val="24"/>
          <w:szCs w:val="24"/>
          <w:lang w:val="es-ES"/>
        </w:rPr>
        <w:t xml:space="preserve">el </w:t>
      </w:r>
      <w:r w:rsidRPr="00B91191">
        <w:rPr>
          <w:rFonts w:ascii="Arial" w:hAnsi="Arial" w:cs="Arial"/>
          <w:sz w:val="24"/>
          <w:szCs w:val="24"/>
          <w:lang w:val="es-ES"/>
        </w:rPr>
        <w:t xml:space="preserve">apoyo en temas claves para los </w:t>
      </w:r>
      <w:r w:rsidR="00847D66">
        <w:rPr>
          <w:rFonts w:ascii="Arial" w:hAnsi="Arial" w:cs="Arial"/>
          <w:sz w:val="24"/>
          <w:szCs w:val="24"/>
          <w:lang w:val="es-ES"/>
        </w:rPr>
        <w:t xml:space="preserve">productores, que les permite mejorar sus condiciones económicas implementando mejores prácticas que deriven en beneficios </w:t>
      </w:r>
      <w:r w:rsidR="003B2E9C">
        <w:rPr>
          <w:rFonts w:ascii="Arial" w:hAnsi="Arial" w:cs="Arial"/>
          <w:sz w:val="24"/>
          <w:szCs w:val="24"/>
          <w:lang w:val="es-ES"/>
        </w:rPr>
        <w:t>financieros</w:t>
      </w:r>
      <w:r w:rsidR="00847D66">
        <w:rPr>
          <w:rFonts w:ascii="Arial" w:hAnsi="Arial" w:cs="Arial"/>
          <w:sz w:val="24"/>
          <w:szCs w:val="24"/>
          <w:lang w:val="es-ES"/>
        </w:rPr>
        <w:t xml:space="preserve"> y ambientales </w:t>
      </w:r>
      <w:r w:rsidRPr="00B91191">
        <w:rPr>
          <w:rFonts w:ascii="Arial" w:hAnsi="Arial" w:cs="Arial"/>
          <w:sz w:val="24"/>
          <w:szCs w:val="24"/>
          <w:lang w:val="es-ES"/>
        </w:rPr>
        <w:t xml:space="preserve">. </w:t>
      </w:r>
    </w:p>
    <w:p w14:paraId="2DAD2518" w14:textId="77777777" w:rsidR="00254500" w:rsidRPr="00B91191" w:rsidRDefault="00254500" w:rsidP="00254500">
      <w:pPr>
        <w:widowControl w:val="0"/>
        <w:autoSpaceDE w:val="0"/>
        <w:autoSpaceDN w:val="0"/>
        <w:adjustRightInd w:val="0"/>
        <w:spacing w:after="0" w:line="240" w:lineRule="auto"/>
        <w:rPr>
          <w:rFonts w:ascii="Arial" w:hAnsi="Arial" w:cs="Arial"/>
          <w:sz w:val="24"/>
          <w:szCs w:val="24"/>
          <w:lang w:val="es-ES"/>
        </w:rPr>
      </w:pPr>
    </w:p>
    <w:p w14:paraId="1CA5B7A1" w14:textId="34D8B46E" w:rsidR="00254500" w:rsidRPr="00B91191" w:rsidRDefault="00254500" w:rsidP="00532279">
      <w:pPr>
        <w:widowControl w:val="0"/>
        <w:tabs>
          <w:tab w:val="left" w:pos="220"/>
          <w:tab w:val="left" w:pos="720"/>
        </w:tabs>
        <w:autoSpaceDE w:val="0"/>
        <w:autoSpaceDN w:val="0"/>
        <w:adjustRightInd w:val="0"/>
        <w:spacing w:after="0" w:line="240" w:lineRule="auto"/>
        <w:rPr>
          <w:rFonts w:ascii="Arial" w:hAnsi="Arial" w:cs="Arial"/>
          <w:sz w:val="24"/>
          <w:szCs w:val="24"/>
          <w:lang w:val="es-ES"/>
        </w:rPr>
      </w:pPr>
      <w:r w:rsidRPr="00B91191">
        <w:rPr>
          <w:rFonts w:ascii="Arial" w:hAnsi="Arial" w:cs="Arial"/>
          <w:sz w:val="24"/>
          <w:szCs w:val="24"/>
          <w:lang w:val="es-ES"/>
        </w:rPr>
        <w:t>Las mujeres son una parte importante de PCB, conformando un 27% de los beneficiarios totales.</w:t>
      </w:r>
      <w:r w:rsidR="001E40DF" w:rsidRPr="00B91191">
        <w:rPr>
          <w:rFonts w:ascii="Arial" w:hAnsi="Arial" w:cs="Arial"/>
          <w:sz w:val="24"/>
          <w:szCs w:val="24"/>
          <w:lang w:val="es-ES"/>
        </w:rPr>
        <w:t xml:space="preserve">  </w:t>
      </w:r>
      <w:r w:rsidRPr="00B91191">
        <w:rPr>
          <w:rFonts w:ascii="Arial" w:hAnsi="Arial" w:cs="Arial"/>
          <w:sz w:val="24"/>
          <w:szCs w:val="24"/>
          <w:lang w:val="es-ES"/>
        </w:rPr>
        <w:t>Asimismo, más del 15% de los beneficiarios del PCB se encuentran dentro o en cercanía a un conglomerado de pobreza</w:t>
      </w:r>
      <w:r w:rsidR="00754F11" w:rsidRPr="00B91191">
        <w:rPr>
          <w:rFonts w:ascii="Arial" w:hAnsi="Arial" w:cs="Arial"/>
          <w:sz w:val="24"/>
          <w:szCs w:val="24"/>
          <w:lang w:val="es-ES"/>
        </w:rPr>
        <w:t>.</w:t>
      </w:r>
      <w:r w:rsidRPr="00B91191">
        <w:rPr>
          <w:rFonts w:ascii="Arial" w:hAnsi="Arial" w:cs="Arial"/>
          <w:sz w:val="24"/>
          <w:szCs w:val="24"/>
          <w:lang w:val="es-ES"/>
        </w:rPr>
        <w:t xml:space="preserve"> </w:t>
      </w:r>
    </w:p>
    <w:p w14:paraId="1C82502A" w14:textId="77777777" w:rsidR="00254500" w:rsidRPr="00B91191" w:rsidRDefault="00254500" w:rsidP="00254500">
      <w:pPr>
        <w:widowControl w:val="0"/>
        <w:autoSpaceDE w:val="0"/>
        <w:autoSpaceDN w:val="0"/>
        <w:adjustRightInd w:val="0"/>
        <w:spacing w:after="0" w:line="240" w:lineRule="auto"/>
        <w:rPr>
          <w:rFonts w:ascii="Arial" w:hAnsi="Arial" w:cs="Arial"/>
          <w:sz w:val="24"/>
          <w:szCs w:val="24"/>
          <w:lang w:val="es-ES"/>
        </w:rPr>
      </w:pPr>
    </w:p>
    <w:p w14:paraId="199E9CF3" w14:textId="1021C7A1" w:rsidR="00754F11" w:rsidRPr="00310D65" w:rsidRDefault="00754F11" w:rsidP="00754F11">
      <w:pPr>
        <w:pStyle w:val="Prrafodelista"/>
        <w:numPr>
          <w:ilvl w:val="0"/>
          <w:numId w:val="20"/>
        </w:numPr>
        <w:spacing w:after="0" w:line="240" w:lineRule="auto"/>
        <w:jc w:val="both"/>
        <w:rPr>
          <w:rFonts w:ascii="Arial" w:hAnsi="Arial" w:cs="Arial"/>
          <w:b/>
          <w:sz w:val="24"/>
          <w:szCs w:val="24"/>
          <w:lang w:val="es-ES"/>
        </w:rPr>
      </w:pPr>
      <w:r w:rsidRPr="00310D65">
        <w:rPr>
          <w:rFonts w:ascii="Arial" w:hAnsi="Arial" w:cs="Arial"/>
          <w:b/>
          <w:sz w:val="24"/>
          <w:szCs w:val="24"/>
          <w:lang w:val="es-ES"/>
        </w:rPr>
        <w:t xml:space="preserve">El distintivo de acceso a recursos genéticos y bioquímicos. </w:t>
      </w:r>
    </w:p>
    <w:p w14:paraId="0C9A6197" w14:textId="77777777" w:rsidR="00754F11" w:rsidRPr="00B91191" w:rsidRDefault="00754F11" w:rsidP="00254500">
      <w:pPr>
        <w:widowControl w:val="0"/>
        <w:autoSpaceDE w:val="0"/>
        <w:autoSpaceDN w:val="0"/>
        <w:adjustRightInd w:val="0"/>
        <w:spacing w:after="0" w:line="240" w:lineRule="auto"/>
        <w:rPr>
          <w:rFonts w:ascii="Arial" w:hAnsi="Arial" w:cs="Arial"/>
          <w:sz w:val="24"/>
          <w:szCs w:val="24"/>
          <w:lang w:val="es-ES"/>
        </w:rPr>
      </w:pPr>
    </w:p>
    <w:p w14:paraId="58F642A0" w14:textId="77777777" w:rsidR="00D014D6" w:rsidRPr="00B91191" w:rsidRDefault="00D014D6" w:rsidP="00D014D6">
      <w:pPr>
        <w:spacing w:after="0" w:line="240" w:lineRule="auto"/>
        <w:rPr>
          <w:rFonts w:ascii="Arial" w:eastAsia="Times New Roman" w:hAnsi="Arial" w:cs="Arial"/>
          <w:sz w:val="24"/>
          <w:szCs w:val="24"/>
          <w:lang w:val="es-ES_tradnl" w:eastAsia="es-ES"/>
        </w:rPr>
      </w:pPr>
      <w:r w:rsidRPr="00B91191">
        <w:rPr>
          <w:rFonts w:ascii="Arial" w:eastAsia="Times New Roman" w:hAnsi="Arial" w:cs="Arial"/>
          <w:sz w:val="24"/>
          <w:szCs w:val="24"/>
          <w:shd w:val="clear" w:color="auto" w:fill="FFFFFF"/>
          <w:lang w:val="es-ES_tradnl" w:eastAsia="es-ES"/>
        </w:rPr>
        <w:t>La Comisión Nacional para la Gestión de la Biodiversidad (CONAGEBIO) en alianza con el Instituto de Normas Técnicas de Costa Rica (INTECO), desarrollaron el Distintivo ABS que permitirá a las empresas demostrar el cumplimiento de la normativa y las buenas prácticas de acceso a los recursos genéticos y bioquímicos y la distribución justa y equitativa de beneficios derivados de su utilización, de conformidad con los compromisos adquiridos internacionalmente con la ratificación del Convenio sobre la Diversidad Biológica. </w:t>
      </w:r>
    </w:p>
    <w:p w14:paraId="4FAEECBB" w14:textId="499B2401" w:rsidR="008A6EC3" w:rsidRPr="00B91191" w:rsidRDefault="008A6EC3" w:rsidP="00254500">
      <w:pPr>
        <w:jc w:val="both"/>
        <w:rPr>
          <w:rFonts w:ascii="Arial" w:hAnsi="Arial" w:cs="Arial"/>
          <w:sz w:val="24"/>
          <w:szCs w:val="24"/>
          <w:lang w:val="es-CR"/>
        </w:rPr>
      </w:pPr>
    </w:p>
    <w:p w14:paraId="584A2255" w14:textId="77777777" w:rsidR="00D014D6" w:rsidRPr="00B91191" w:rsidRDefault="00D014D6" w:rsidP="00D014D6">
      <w:pPr>
        <w:spacing w:after="0" w:line="240" w:lineRule="auto"/>
        <w:rPr>
          <w:rFonts w:ascii="Arial" w:eastAsia="Times New Roman" w:hAnsi="Arial" w:cs="Arial"/>
          <w:sz w:val="24"/>
          <w:szCs w:val="24"/>
          <w:lang w:val="es-ES_tradnl" w:eastAsia="es-ES"/>
        </w:rPr>
      </w:pPr>
      <w:r w:rsidRPr="00B91191">
        <w:rPr>
          <w:rFonts w:ascii="Arial" w:eastAsia="Times New Roman" w:hAnsi="Arial" w:cs="Arial"/>
          <w:sz w:val="24"/>
          <w:szCs w:val="24"/>
          <w:shd w:val="clear" w:color="auto" w:fill="FFFFFF"/>
          <w:lang w:val="es-ES_tradnl" w:eastAsia="es-ES"/>
        </w:rPr>
        <w:t>El Distintivo representa un aliado para las empresas, especialmente para las exportadoras, al brindar un valor agregado relacionado con el empleo de procesos ambientalmente sostenibles. Esto se convierte en un diferenciador en medio de las grandes exigencias de los mercados internacionales. </w:t>
      </w:r>
    </w:p>
    <w:p w14:paraId="7A66E7F6" w14:textId="77777777" w:rsidR="00D014D6" w:rsidRPr="00B91191" w:rsidRDefault="00D014D6" w:rsidP="00254500">
      <w:pPr>
        <w:jc w:val="both"/>
        <w:rPr>
          <w:rFonts w:ascii="Arial" w:hAnsi="Arial" w:cs="Arial"/>
          <w:sz w:val="24"/>
          <w:szCs w:val="24"/>
          <w:lang w:val="es-CR"/>
        </w:rPr>
      </w:pPr>
    </w:p>
    <w:p w14:paraId="194CCEB2" w14:textId="77777777" w:rsidR="00D014D6" w:rsidRPr="00B91191" w:rsidRDefault="00D014D6" w:rsidP="00D014D6">
      <w:pPr>
        <w:spacing w:after="0" w:line="240" w:lineRule="auto"/>
        <w:rPr>
          <w:rFonts w:ascii="Arial" w:eastAsia="Times New Roman" w:hAnsi="Arial" w:cs="Arial"/>
          <w:sz w:val="24"/>
          <w:szCs w:val="24"/>
          <w:lang w:val="es-ES_tradnl" w:eastAsia="es-ES"/>
        </w:rPr>
      </w:pPr>
      <w:r w:rsidRPr="00B91191">
        <w:rPr>
          <w:rFonts w:ascii="Arial" w:eastAsia="Times New Roman" w:hAnsi="Arial" w:cs="Arial"/>
          <w:sz w:val="24"/>
          <w:szCs w:val="24"/>
          <w:shd w:val="clear" w:color="auto" w:fill="FFFFFF"/>
          <w:lang w:val="es-ES_tradnl" w:eastAsia="es-ES"/>
        </w:rPr>
        <w:lastRenderedPageBreak/>
        <w:t>El Distintivo podrá ser utilizado en productos comercializados dentro o fuera del país, elaborados con dichos recursos, ya sean de la biodiversidad silvestre o domesticada, terrestre, marina, de agua dulce, in situ o ex situ, que se encuentran en el territorio nacional. Además, podrá ser incluido en los empaques, la publicidad y la documentación de los productos relacionados con el permiso de aprovechamiento económico aprobado.</w:t>
      </w:r>
    </w:p>
    <w:p w14:paraId="228C83F6" w14:textId="77777777" w:rsidR="00A2541B" w:rsidRPr="00B91191" w:rsidRDefault="00A2541B" w:rsidP="00754F11">
      <w:pPr>
        <w:spacing w:after="0" w:line="240" w:lineRule="auto"/>
        <w:jc w:val="both"/>
        <w:rPr>
          <w:rFonts w:ascii="Arial" w:eastAsia="Times New Roman" w:hAnsi="Arial" w:cs="Arial"/>
          <w:sz w:val="24"/>
          <w:szCs w:val="24"/>
          <w:lang w:val="es-ES"/>
        </w:rPr>
      </w:pPr>
    </w:p>
    <w:p w14:paraId="7842D668" w14:textId="77777777" w:rsidR="0053086B" w:rsidRPr="00B91191" w:rsidRDefault="00690CA0"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Sírvase proporcionar pruebas relacionadas con la eficacia de las medidas identificadas en sus respuestas a las Preguntas #2. Por ejemplo, las pruebas podrían consistir en la disminución medida de la contaminación del aire y el</w:t>
      </w:r>
      <w:r w:rsidR="00A2541B" w:rsidRPr="00B91191">
        <w:rPr>
          <w:rFonts w:ascii="Arial" w:hAnsi="Arial" w:cs="Arial"/>
          <w:sz w:val="24"/>
          <w:szCs w:val="24"/>
          <w:lang w:val="es-ES"/>
        </w:rPr>
        <w:t xml:space="preserve"> </w:t>
      </w:r>
      <w:r w:rsidRPr="00B91191">
        <w:rPr>
          <w:rFonts w:ascii="Arial" w:hAnsi="Arial" w:cs="Arial"/>
          <w:sz w:val="24"/>
          <w:szCs w:val="24"/>
          <w:lang w:val="es-ES"/>
        </w:rPr>
        <w:t xml:space="preserve">agua, una proporción creciente de la población con acceso a agua limpia y saneamiento adecuado, el aumento de la producción de energía renovable, la disminución de las emisiones de gases de efecto invernadero, un porcentaje cada vez mayor de </w:t>
      </w:r>
      <w:r w:rsidR="006B3B51" w:rsidRPr="00B91191">
        <w:rPr>
          <w:rFonts w:ascii="Arial" w:hAnsi="Arial" w:cs="Arial"/>
          <w:sz w:val="24"/>
          <w:szCs w:val="24"/>
          <w:lang w:val="es-ES"/>
        </w:rPr>
        <w:t>terreno</w:t>
      </w:r>
      <w:r w:rsidRPr="00B91191">
        <w:rPr>
          <w:rFonts w:ascii="Arial" w:hAnsi="Arial" w:cs="Arial"/>
          <w:sz w:val="24"/>
          <w:szCs w:val="24"/>
          <w:lang w:val="es-ES"/>
        </w:rPr>
        <w:t xml:space="preserve"> en las zonas terrestres y marinas protegidas, </w:t>
      </w:r>
      <w:r w:rsidR="006B3B51" w:rsidRPr="00B91191">
        <w:rPr>
          <w:rFonts w:ascii="Arial" w:hAnsi="Arial" w:cs="Arial"/>
          <w:sz w:val="24"/>
          <w:szCs w:val="24"/>
          <w:lang w:val="es-ES"/>
        </w:rPr>
        <w:t>la</w:t>
      </w:r>
      <w:r w:rsidRPr="00B91191">
        <w:rPr>
          <w:rFonts w:ascii="Arial" w:hAnsi="Arial" w:cs="Arial"/>
          <w:sz w:val="24"/>
          <w:szCs w:val="24"/>
          <w:lang w:val="es-ES"/>
        </w:rPr>
        <w:t xml:space="preserve"> disminución del uso de plaguicidas y/u otras sustancias tóxicas, la reducción de la carga corporal de las sustancias tóxicas, como los PCB y el plomo, y la disminución de las tasas de deforestación</w:t>
      </w:r>
      <w:r w:rsidR="0053086B" w:rsidRPr="00B91191">
        <w:rPr>
          <w:rFonts w:ascii="Arial" w:hAnsi="Arial" w:cs="Arial"/>
          <w:sz w:val="24"/>
          <w:szCs w:val="24"/>
          <w:lang w:val="es-ES"/>
        </w:rPr>
        <w:t>.</w:t>
      </w:r>
    </w:p>
    <w:p w14:paraId="636D129A" w14:textId="77777777" w:rsidR="0053086B" w:rsidRPr="00B91191" w:rsidRDefault="0053086B" w:rsidP="0053086B">
      <w:pPr>
        <w:widowControl w:val="0"/>
        <w:autoSpaceDE w:val="0"/>
        <w:autoSpaceDN w:val="0"/>
        <w:adjustRightInd w:val="0"/>
        <w:spacing w:after="240" w:line="300" w:lineRule="atLeast"/>
        <w:rPr>
          <w:rFonts w:ascii="Arial" w:hAnsi="Arial"/>
          <w:color w:val="000000"/>
          <w:sz w:val="24"/>
          <w:szCs w:val="24"/>
          <w:lang w:val="es-ES"/>
        </w:rPr>
      </w:pPr>
    </w:p>
    <w:p w14:paraId="1A9BAC1D" w14:textId="6B9EB18C" w:rsidR="00754F11" w:rsidRPr="00310D65" w:rsidRDefault="00754F11" w:rsidP="00754F11">
      <w:pPr>
        <w:pStyle w:val="Prrafodelista"/>
        <w:numPr>
          <w:ilvl w:val="0"/>
          <w:numId w:val="23"/>
        </w:numPr>
        <w:spacing w:after="0" w:line="240" w:lineRule="auto"/>
        <w:jc w:val="both"/>
        <w:rPr>
          <w:rFonts w:ascii="Arial" w:hAnsi="Arial" w:cs="Arial"/>
          <w:b/>
          <w:sz w:val="24"/>
          <w:szCs w:val="24"/>
          <w:lang w:val="es-ES"/>
        </w:rPr>
      </w:pPr>
      <w:r w:rsidRPr="00310D65">
        <w:rPr>
          <w:rFonts w:ascii="Arial" w:hAnsi="Arial" w:cs="Arial"/>
          <w:b/>
          <w:sz w:val="24"/>
          <w:szCs w:val="24"/>
          <w:lang w:val="es-ES"/>
        </w:rPr>
        <w:t>El programa de pago por servicios ambientales</w:t>
      </w:r>
    </w:p>
    <w:p w14:paraId="420E3A0D" w14:textId="77777777" w:rsidR="00754F11" w:rsidRPr="00B91191" w:rsidRDefault="00754F11" w:rsidP="00754F11">
      <w:pPr>
        <w:pStyle w:val="Prrafodelista"/>
        <w:spacing w:after="0" w:line="240" w:lineRule="auto"/>
        <w:jc w:val="both"/>
        <w:rPr>
          <w:rFonts w:ascii="Arial" w:hAnsi="Arial" w:cs="Arial"/>
          <w:sz w:val="24"/>
          <w:szCs w:val="24"/>
          <w:lang w:val="es-ES"/>
        </w:rPr>
      </w:pPr>
    </w:p>
    <w:p w14:paraId="44BF97E2" w14:textId="7AF4366A" w:rsidR="00754F11" w:rsidRPr="00B91191" w:rsidRDefault="0053086B" w:rsidP="0053086B">
      <w:pPr>
        <w:widowControl w:val="0"/>
        <w:autoSpaceDE w:val="0"/>
        <w:autoSpaceDN w:val="0"/>
        <w:adjustRightInd w:val="0"/>
        <w:spacing w:after="240" w:line="300" w:lineRule="atLeast"/>
        <w:rPr>
          <w:rFonts w:ascii="Arial" w:hAnsi="Arial"/>
          <w:color w:val="000000"/>
          <w:sz w:val="24"/>
          <w:szCs w:val="24"/>
          <w:lang w:val="es-ES"/>
        </w:rPr>
      </w:pPr>
      <w:r w:rsidRPr="00B91191">
        <w:rPr>
          <w:rFonts w:ascii="Arial" w:hAnsi="Arial"/>
          <w:color w:val="000000"/>
          <w:sz w:val="24"/>
          <w:szCs w:val="24"/>
          <w:lang w:val="es-ES"/>
        </w:rPr>
        <w:t>Entre 2014 y 2018 se ha</w:t>
      </w:r>
      <w:r w:rsidR="00754F11" w:rsidRPr="00B91191">
        <w:rPr>
          <w:rFonts w:ascii="Arial" w:hAnsi="Arial"/>
          <w:color w:val="000000"/>
          <w:sz w:val="24"/>
          <w:szCs w:val="24"/>
          <w:lang w:val="es-ES"/>
        </w:rPr>
        <w:t>n</w:t>
      </w:r>
      <w:r w:rsidRPr="00B91191">
        <w:rPr>
          <w:rFonts w:ascii="Arial" w:hAnsi="Arial"/>
          <w:color w:val="000000"/>
          <w:sz w:val="24"/>
          <w:szCs w:val="24"/>
          <w:lang w:val="es-ES"/>
        </w:rPr>
        <w:t xml:space="preserve"> establecido </w:t>
      </w:r>
      <w:r w:rsidR="00847D66">
        <w:rPr>
          <w:rFonts w:ascii="Arial" w:hAnsi="Arial"/>
          <w:color w:val="000000"/>
          <w:sz w:val="24"/>
          <w:szCs w:val="24"/>
          <w:lang w:val="es-ES"/>
        </w:rPr>
        <w:t xml:space="preserve">y mantenido </w:t>
      </w:r>
      <w:r w:rsidRPr="00B91191">
        <w:rPr>
          <w:rFonts w:ascii="Arial" w:hAnsi="Arial"/>
          <w:color w:val="000000"/>
          <w:sz w:val="24"/>
          <w:szCs w:val="24"/>
          <w:lang w:val="es-ES"/>
        </w:rPr>
        <w:t>contratos de PSA para un promedio de 2</w:t>
      </w:r>
      <w:r w:rsidR="00847D66">
        <w:rPr>
          <w:rFonts w:ascii="Arial" w:hAnsi="Arial"/>
          <w:color w:val="000000"/>
          <w:sz w:val="24"/>
          <w:szCs w:val="24"/>
          <w:lang w:val="es-ES"/>
        </w:rPr>
        <w:t>70</w:t>
      </w:r>
      <w:r w:rsidRPr="00B91191">
        <w:rPr>
          <w:rFonts w:ascii="Arial" w:hAnsi="Arial"/>
          <w:color w:val="000000"/>
          <w:sz w:val="24"/>
          <w:szCs w:val="24"/>
          <w:lang w:val="es-ES"/>
        </w:rPr>
        <w:t>,000 ha al año</w:t>
      </w:r>
      <w:r w:rsidR="00754F11" w:rsidRPr="00B91191">
        <w:rPr>
          <w:rFonts w:ascii="Arial" w:hAnsi="Arial"/>
          <w:color w:val="000000"/>
          <w:sz w:val="24"/>
          <w:szCs w:val="24"/>
          <w:lang w:val="es-ES"/>
        </w:rPr>
        <w:t>,</w:t>
      </w:r>
      <w:r w:rsidRPr="00B91191">
        <w:rPr>
          <w:rFonts w:ascii="Arial" w:hAnsi="Arial"/>
          <w:color w:val="000000"/>
          <w:sz w:val="24"/>
          <w:szCs w:val="24"/>
          <w:lang w:val="es-ES"/>
        </w:rPr>
        <w:t xml:space="preserve"> distribuidas principalmente en corredores biológicos, áreas silvestres protegidas y territorios indígenas. Las actividades de conservación y mantenimiento de la cobertura boscosa representan el 92% del área bajo el esquema de PSA en el período, mientras que las actividades de recuperación de la cobertura forestal el 8%. </w:t>
      </w:r>
    </w:p>
    <w:p w14:paraId="0C61F50A" w14:textId="4564B3BD" w:rsidR="0053086B" w:rsidRPr="00B91191" w:rsidRDefault="00754F11" w:rsidP="0053086B">
      <w:pPr>
        <w:widowControl w:val="0"/>
        <w:autoSpaceDE w:val="0"/>
        <w:autoSpaceDN w:val="0"/>
        <w:adjustRightInd w:val="0"/>
        <w:spacing w:after="240" w:line="300" w:lineRule="atLeast"/>
        <w:rPr>
          <w:rFonts w:ascii="Arial" w:hAnsi="Arial" w:cs="Arial"/>
          <w:sz w:val="24"/>
          <w:szCs w:val="24"/>
          <w:lang w:val="es-ES_tradnl"/>
        </w:rPr>
      </w:pPr>
      <w:r w:rsidRPr="00B91191">
        <w:rPr>
          <w:rFonts w:ascii="Arial" w:hAnsi="Arial"/>
          <w:color w:val="000000"/>
          <w:sz w:val="24"/>
          <w:szCs w:val="24"/>
          <w:lang w:val="es-ES"/>
        </w:rPr>
        <w:t>S</w:t>
      </w:r>
      <w:r w:rsidR="0053086B" w:rsidRPr="00B91191">
        <w:rPr>
          <w:rFonts w:ascii="Arial" w:hAnsi="Arial"/>
          <w:color w:val="000000"/>
          <w:sz w:val="24"/>
          <w:szCs w:val="24"/>
          <w:lang w:val="es-ES"/>
        </w:rPr>
        <w:t xml:space="preserve">e han registrado </w:t>
      </w:r>
      <w:r w:rsidR="00847D66">
        <w:rPr>
          <w:rFonts w:ascii="Arial" w:hAnsi="Arial"/>
          <w:color w:val="000000"/>
          <w:sz w:val="24"/>
          <w:szCs w:val="24"/>
          <w:lang w:val="es-ES"/>
        </w:rPr>
        <w:t xml:space="preserve">1,261,782 </w:t>
      </w:r>
      <w:r w:rsidR="0053086B" w:rsidRPr="00B91191">
        <w:rPr>
          <w:rFonts w:ascii="Arial" w:hAnsi="Arial"/>
          <w:color w:val="000000"/>
          <w:sz w:val="24"/>
          <w:szCs w:val="24"/>
          <w:lang w:val="es-ES"/>
        </w:rPr>
        <w:t xml:space="preserve"> hectáreas colocadas en zonas prioritarias dentro del PPSA, </w:t>
      </w:r>
      <w:r w:rsidR="0053086B" w:rsidRPr="00B91191">
        <w:rPr>
          <w:rFonts w:ascii="Arial" w:hAnsi="Arial" w:cs="Arial"/>
          <w:sz w:val="24"/>
          <w:szCs w:val="24"/>
          <w:lang w:val="es-ES_tradnl"/>
        </w:rPr>
        <w:t>para  de 1</w:t>
      </w:r>
      <w:r w:rsidR="00847D66">
        <w:rPr>
          <w:rFonts w:ascii="Arial" w:hAnsi="Arial" w:cs="Arial"/>
          <w:sz w:val="24"/>
          <w:szCs w:val="24"/>
          <w:lang w:val="es-ES_tradnl"/>
        </w:rPr>
        <w:t xml:space="preserve">7,377 </w:t>
      </w:r>
      <w:r w:rsidR="0053086B" w:rsidRPr="00B91191">
        <w:rPr>
          <w:rFonts w:ascii="Arial" w:hAnsi="Arial" w:cs="Arial"/>
          <w:sz w:val="24"/>
          <w:szCs w:val="24"/>
          <w:lang w:val="es-ES_tradnl"/>
        </w:rPr>
        <w:t xml:space="preserve"> beneficiarios entre organizaciones, mujeres, indígenas y campesinos.</w:t>
      </w:r>
    </w:p>
    <w:p w14:paraId="371EF79D" w14:textId="43502197" w:rsidR="0053086B" w:rsidRPr="00B91191" w:rsidRDefault="0053086B" w:rsidP="0053086B">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Calibri"/>
          <w:color w:val="000000"/>
          <w:sz w:val="24"/>
          <w:szCs w:val="24"/>
          <w:lang w:val="es-ES"/>
        </w:rPr>
        <w:t xml:space="preserve">Un total de </w:t>
      </w:r>
      <w:r w:rsidR="00847D66">
        <w:rPr>
          <w:rFonts w:ascii="Arial" w:hAnsi="Arial" w:cs="Calibri"/>
          <w:color w:val="000000"/>
          <w:sz w:val="24"/>
          <w:szCs w:val="24"/>
          <w:lang w:val="es-ES"/>
        </w:rPr>
        <w:t xml:space="preserve"> 2618 </w:t>
      </w:r>
      <w:r w:rsidRPr="00B91191">
        <w:rPr>
          <w:rFonts w:ascii="Arial" w:hAnsi="Arial" w:cs="Calibri"/>
          <w:color w:val="000000"/>
          <w:sz w:val="24"/>
          <w:szCs w:val="24"/>
          <w:lang w:val="es-ES"/>
        </w:rPr>
        <w:t xml:space="preserve"> mujeres propietarias han firmado contratos del PSA desde 1997 hasta el 2017. </w:t>
      </w:r>
    </w:p>
    <w:p w14:paraId="6E552A94" w14:textId="74258614" w:rsidR="00310D65" w:rsidRDefault="0053086B" w:rsidP="0053086B">
      <w:pPr>
        <w:jc w:val="both"/>
        <w:rPr>
          <w:rFonts w:ascii="Arial" w:hAnsi="Arial" w:cs="Arial"/>
          <w:sz w:val="24"/>
          <w:szCs w:val="24"/>
        </w:rPr>
      </w:pPr>
      <w:r w:rsidRPr="00B91191">
        <w:rPr>
          <w:rFonts w:ascii="Arial" w:hAnsi="Arial" w:cs="Arial"/>
          <w:sz w:val="24"/>
          <w:szCs w:val="24"/>
        </w:rPr>
        <w:t xml:space="preserve">El PPSA ha </w:t>
      </w:r>
      <w:proofErr w:type="spellStart"/>
      <w:r w:rsidRPr="00B91191">
        <w:rPr>
          <w:rFonts w:ascii="Arial" w:hAnsi="Arial" w:cs="Arial"/>
          <w:sz w:val="24"/>
          <w:szCs w:val="24"/>
        </w:rPr>
        <w:t>sido</w:t>
      </w:r>
      <w:proofErr w:type="spellEnd"/>
      <w:r w:rsidRPr="00B91191">
        <w:rPr>
          <w:rFonts w:ascii="Arial" w:hAnsi="Arial" w:cs="Arial"/>
          <w:sz w:val="24"/>
          <w:szCs w:val="24"/>
        </w:rPr>
        <w:t xml:space="preserve"> </w:t>
      </w:r>
      <w:proofErr w:type="spellStart"/>
      <w:r w:rsidRPr="00B91191">
        <w:rPr>
          <w:rFonts w:ascii="Arial" w:hAnsi="Arial" w:cs="Arial"/>
          <w:sz w:val="24"/>
          <w:szCs w:val="24"/>
        </w:rPr>
        <w:t>particularmente</w:t>
      </w:r>
      <w:proofErr w:type="spellEnd"/>
      <w:r w:rsidRPr="00B91191">
        <w:rPr>
          <w:rFonts w:ascii="Arial" w:hAnsi="Arial" w:cs="Arial"/>
          <w:sz w:val="24"/>
          <w:szCs w:val="24"/>
        </w:rPr>
        <w:t xml:space="preserve"> </w:t>
      </w:r>
      <w:proofErr w:type="spellStart"/>
      <w:r w:rsidRPr="00B91191">
        <w:rPr>
          <w:rFonts w:ascii="Arial" w:hAnsi="Arial" w:cs="Arial"/>
          <w:sz w:val="24"/>
          <w:szCs w:val="24"/>
        </w:rPr>
        <w:t>relevante</w:t>
      </w:r>
      <w:proofErr w:type="spellEnd"/>
      <w:r w:rsidRPr="00B91191">
        <w:rPr>
          <w:rFonts w:ascii="Arial" w:hAnsi="Arial" w:cs="Arial"/>
          <w:sz w:val="24"/>
          <w:szCs w:val="24"/>
        </w:rPr>
        <w:t xml:space="preserve"> para </w:t>
      </w:r>
      <w:proofErr w:type="spellStart"/>
      <w:r w:rsidRPr="00B91191">
        <w:rPr>
          <w:rFonts w:ascii="Arial" w:hAnsi="Arial" w:cs="Arial"/>
          <w:sz w:val="24"/>
          <w:szCs w:val="24"/>
        </w:rPr>
        <w:t>muchas</w:t>
      </w:r>
      <w:proofErr w:type="spellEnd"/>
      <w:r w:rsidRPr="00B91191">
        <w:rPr>
          <w:rFonts w:ascii="Arial" w:hAnsi="Arial" w:cs="Arial"/>
          <w:sz w:val="24"/>
          <w:szCs w:val="24"/>
        </w:rPr>
        <w:t xml:space="preserve"> </w:t>
      </w:r>
      <w:proofErr w:type="spellStart"/>
      <w:r w:rsidRPr="00B91191">
        <w:rPr>
          <w:rFonts w:ascii="Arial" w:hAnsi="Arial" w:cs="Arial"/>
          <w:sz w:val="24"/>
          <w:szCs w:val="24"/>
        </w:rPr>
        <w:t>comunidades</w:t>
      </w:r>
      <w:proofErr w:type="spellEnd"/>
      <w:r w:rsidRPr="00B91191">
        <w:rPr>
          <w:rFonts w:ascii="Arial" w:hAnsi="Arial" w:cs="Arial"/>
          <w:sz w:val="24"/>
          <w:szCs w:val="24"/>
        </w:rPr>
        <w:t xml:space="preserve"> </w:t>
      </w:r>
      <w:proofErr w:type="spellStart"/>
      <w:r w:rsidRPr="00B91191">
        <w:rPr>
          <w:rFonts w:ascii="Arial" w:hAnsi="Arial" w:cs="Arial"/>
          <w:sz w:val="24"/>
          <w:szCs w:val="24"/>
        </w:rPr>
        <w:t>indígenas</w:t>
      </w:r>
      <w:proofErr w:type="spellEnd"/>
      <w:r w:rsidRPr="00B91191">
        <w:rPr>
          <w:rFonts w:ascii="Arial" w:hAnsi="Arial" w:cs="Arial"/>
          <w:sz w:val="24"/>
          <w:szCs w:val="24"/>
        </w:rPr>
        <w:t xml:space="preserve">, </w:t>
      </w:r>
      <w:proofErr w:type="spellStart"/>
      <w:r w:rsidRPr="00B91191">
        <w:rPr>
          <w:rFonts w:ascii="Arial" w:hAnsi="Arial" w:cs="Arial"/>
          <w:sz w:val="24"/>
          <w:szCs w:val="24"/>
        </w:rPr>
        <w:t>pues</w:t>
      </w:r>
      <w:proofErr w:type="spellEnd"/>
      <w:r w:rsidRPr="00B91191">
        <w:rPr>
          <w:rFonts w:ascii="Arial" w:hAnsi="Arial" w:cs="Arial"/>
          <w:sz w:val="24"/>
          <w:szCs w:val="24"/>
        </w:rPr>
        <w:t xml:space="preserve"> gracias a </w:t>
      </w:r>
      <w:proofErr w:type="spellStart"/>
      <w:r w:rsidRPr="00B91191">
        <w:rPr>
          <w:rFonts w:ascii="Arial" w:hAnsi="Arial" w:cs="Arial"/>
          <w:sz w:val="24"/>
          <w:szCs w:val="24"/>
        </w:rPr>
        <w:t>esta</w:t>
      </w:r>
      <w:proofErr w:type="spellEnd"/>
      <w:r w:rsidRPr="00B91191">
        <w:rPr>
          <w:rFonts w:ascii="Arial" w:hAnsi="Arial" w:cs="Arial"/>
          <w:sz w:val="24"/>
          <w:szCs w:val="24"/>
        </w:rPr>
        <w:t xml:space="preserve"> </w:t>
      </w:r>
      <w:proofErr w:type="spellStart"/>
      <w:r w:rsidRPr="00B91191">
        <w:rPr>
          <w:rFonts w:ascii="Arial" w:hAnsi="Arial" w:cs="Arial"/>
          <w:sz w:val="24"/>
          <w:szCs w:val="24"/>
        </w:rPr>
        <w:t>compensación</w:t>
      </w:r>
      <w:proofErr w:type="spellEnd"/>
      <w:r w:rsidRPr="00B91191">
        <w:rPr>
          <w:rFonts w:ascii="Arial" w:hAnsi="Arial" w:cs="Arial"/>
          <w:sz w:val="24"/>
          <w:szCs w:val="24"/>
        </w:rPr>
        <w:t xml:space="preserve"> no solo </w:t>
      </w:r>
      <w:proofErr w:type="spellStart"/>
      <w:r w:rsidRPr="00B91191">
        <w:rPr>
          <w:rFonts w:ascii="Arial" w:hAnsi="Arial" w:cs="Arial"/>
          <w:sz w:val="24"/>
          <w:szCs w:val="24"/>
        </w:rPr>
        <w:t>garantizan</w:t>
      </w:r>
      <w:proofErr w:type="spellEnd"/>
      <w:r w:rsidRPr="00B91191">
        <w:rPr>
          <w:rFonts w:ascii="Arial" w:hAnsi="Arial" w:cs="Arial"/>
          <w:sz w:val="24"/>
          <w:szCs w:val="24"/>
        </w:rPr>
        <w:t xml:space="preserve"> la </w:t>
      </w:r>
      <w:proofErr w:type="spellStart"/>
      <w:r w:rsidRPr="00B91191">
        <w:rPr>
          <w:rFonts w:ascii="Arial" w:hAnsi="Arial" w:cs="Arial"/>
          <w:sz w:val="24"/>
          <w:szCs w:val="24"/>
        </w:rPr>
        <w:t>permanencia</w:t>
      </w:r>
      <w:proofErr w:type="spellEnd"/>
      <w:r w:rsidRPr="00B91191">
        <w:rPr>
          <w:rFonts w:ascii="Arial" w:hAnsi="Arial" w:cs="Arial"/>
          <w:sz w:val="24"/>
          <w:szCs w:val="24"/>
        </w:rPr>
        <w:t xml:space="preserve"> y </w:t>
      </w:r>
      <w:proofErr w:type="spellStart"/>
      <w:r w:rsidRPr="00B91191">
        <w:rPr>
          <w:rFonts w:ascii="Arial" w:hAnsi="Arial" w:cs="Arial"/>
          <w:sz w:val="24"/>
          <w:szCs w:val="24"/>
        </w:rPr>
        <w:t>cuido</w:t>
      </w:r>
      <w:proofErr w:type="spellEnd"/>
      <w:r w:rsidRPr="00B91191">
        <w:rPr>
          <w:rFonts w:ascii="Arial" w:hAnsi="Arial" w:cs="Arial"/>
          <w:sz w:val="24"/>
          <w:szCs w:val="24"/>
        </w:rPr>
        <w:t xml:space="preserve"> de </w:t>
      </w:r>
      <w:proofErr w:type="spellStart"/>
      <w:r w:rsidRPr="00B91191">
        <w:rPr>
          <w:rFonts w:ascii="Arial" w:hAnsi="Arial" w:cs="Arial"/>
          <w:sz w:val="24"/>
          <w:szCs w:val="24"/>
        </w:rPr>
        <w:t>sus</w:t>
      </w:r>
      <w:proofErr w:type="spellEnd"/>
      <w:r w:rsidRPr="00B91191">
        <w:rPr>
          <w:rFonts w:ascii="Arial" w:hAnsi="Arial" w:cs="Arial"/>
          <w:sz w:val="24"/>
          <w:szCs w:val="24"/>
        </w:rPr>
        <w:t xml:space="preserve"> </w:t>
      </w:r>
      <w:proofErr w:type="spellStart"/>
      <w:r w:rsidRPr="00B91191">
        <w:rPr>
          <w:rFonts w:ascii="Arial" w:hAnsi="Arial" w:cs="Arial"/>
          <w:sz w:val="24"/>
          <w:szCs w:val="24"/>
        </w:rPr>
        <w:t>bosques</w:t>
      </w:r>
      <w:proofErr w:type="spellEnd"/>
      <w:r w:rsidRPr="00B91191">
        <w:rPr>
          <w:rFonts w:ascii="Arial" w:hAnsi="Arial" w:cs="Arial"/>
          <w:sz w:val="24"/>
          <w:szCs w:val="24"/>
        </w:rPr>
        <w:t xml:space="preserve">, </w:t>
      </w:r>
      <w:proofErr w:type="spellStart"/>
      <w:r w:rsidRPr="00B91191">
        <w:rPr>
          <w:rFonts w:ascii="Arial" w:hAnsi="Arial" w:cs="Arial"/>
          <w:sz w:val="24"/>
          <w:szCs w:val="24"/>
        </w:rPr>
        <w:t>sino</w:t>
      </w:r>
      <w:proofErr w:type="spellEnd"/>
      <w:r w:rsidRPr="00B91191">
        <w:rPr>
          <w:rFonts w:ascii="Arial" w:hAnsi="Arial" w:cs="Arial"/>
          <w:sz w:val="24"/>
          <w:szCs w:val="24"/>
        </w:rPr>
        <w:t xml:space="preserve"> </w:t>
      </w:r>
      <w:proofErr w:type="spellStart"/>
      <w:r w:rsidRPr="00B91191">
        <w:rPr>
          <w:rFonts w:ascii="Arial" w:hAnsi="Arial" w:cs="Arial"/>
          <w:sz w:val="24"/>
          <w:szCs w:val="24"/>
        </w:rPr>
        <w:t>también</w:t>
      </w:r>
      <w:proofErr w:type="spellEnd"/>
      <w:r w:rsidRPr="00B91191">
        <w:rPr>
          <w:rFonts w:ascii="Arial" w:hAnsi="Arial" w:cs="Arial"/>
          <w:sz w:val="24"/>
          <w:szCs w:val="24"/>
        </w:rPr>
        <w:t xml:space="preserve"> la </w:t>
      </w:r>
      <w:proofErr w:type="spellStart"/>
      <w:r w:rsidRPr="00B91191">
        <w:rPr>
          <w:rFonts w:ascii="Arial" w:hAnsi="Arial" w:cs="Arial"/>
          <w:sz w:val="24"/>
          <w:szCs w:val="24"/>
        </w:rPr>
        <w:t>resolución</w:t>
      </w:r>
      <w:proofErr w:type="spellEnd"/>
      <w:r w:rsidRPr="00B91191">
        <w:rPr>
          <w:rFonts w:ascii="Arial" w:hAnsi="Arial" w:cs="Arial"/>
          <w:sz w:val="24"/>
          <w:szCs w:val="24"/>
        </w:rPr>
        <w:t xml:space="preserve"> de </w:t>
      </w:r>
      <w:proofErr w:type="spellStart"/>
      <w:r w:rsidRPr="00B91191">
        <w:rPr>
          <w:rFonts w:ascii="Arial" w:hAnsi="Arial" w:cs="Arial"/>
          <w:sz w:val="24"/>
          <w:szCs w:val="24"/>
        </w:rPr>
        <w:t>necesidades</w:t>
      </w:r>
      <w:proofErr w:type="spellEnd"/>
      <w:r w:rsidRPr="00B91191">
        <w:rPr>
          <w:rFonts w:ascii="Arial" w:hAnsi="Arial" w:cs="Arial"/>
          <w:sz w:val="24"/>
          <w:szCs w:val="24"/>
        </w:rPr>
        <w:t xml:space="preserve"> </w:t>
      </w:r>
      <w:proofErr w:type="spellStart"/>
      <w:r w:rsidRPr="00B91191">
        <w:rPr>
          <w:rFonts w:ascii="Arial" w:hAnsi="Arial" w:cs="Arial"/>
          <w:sz w:val="24"/>
          <w:szCs w:val="24"/>
        </w:rPr>
        <w:t>primarias</w:t>
      </w:r>
      <w:proofErr w:type="spellEnd"/>
      <w:r w:rsidRPr="00B91191">
        <w:rPr>
          <w:rFonts w:ascii="Arial" w:hAnsi="Arial" w:cs="Arial"/>
          <w:sz w:val="24"/>
          <w:szCs w:val="24"/>
        </w:rPr>
        <w:t xml:space="preserve"> y de </w:t>
      </w:r>
      <w:proofErr w:type="spellStart"/>
      <w:r w:rsidRPr="00B91191">
        <w:rPr>
          <w:rFonts w:ascii="Arial" w:hAnsi="Arial" w:cs="Arial"/>
          <w:sz w:val="24"/>
          <w:szCs w:val="24"/>
        </w:rPr>
        <w:t>infraestructura</w:t>
      </w:r>
      <w:proofErr w:type="spellEnd"/>
      <w:r w:rsidRPr="00B91191">
        <w:rPr>
          <w:rFonts w:ascii="Arial" w:hAnsi="Arial" w:cs="Arial"/>
          <w:sz w:val="24"/>
          <w:szCs w:val="24"/>
        </w:rPr>
        <w:t xml:space="preserve">, el </w:t>
      </w:r>
      <w:proofErr w:type="spellStart"/>
      <w:r w:rsidRPr="00B91191">
        <w:rPr>
          <w:rFonts w:ascii="Arial" w:hAnsi="Arial" w:cs="Arial"/>
          <w:sz w:val="24"/>
          <w:szCs w:val="24"/>
        </w:rPr>
        <w:t>giro</w:t>
      </w:r>
      <w:proofErr w:type="spellEnd"/>
      <w:r w:rsidRPr="00B91191">
        <w:rPr>
          <w:rFonts w:ascii="Arial" w:hAnsi="Arial" w:cs="Arial"/>
          <w:sz w:val="24"/>
          <w:szCs w:val="24"/>
        </w:rPr>
        <w:t xml:space="preserve"> de </w:t>
      </w:r>
      <w:proofErr w:type="spellStart"/>
      <w:r w:rsidRPr="00B91191">
        <w:rPr>
          <w:rFonts w:ascii="Arial" w:hAnsi="Arial" w:cs="Arial"/>
          <w:sz w:val="24"/>
          <w:szCs w:val="24"/>
        </w:rPr>
        <w:t>recursos</w:t>
      </w:r>
      <w:proofErr w:type="spellEnd"/>
      <w:r w:rsidRPr="00B91191">
        <w:rPr>
          <w:rFonts w:ascii="Arial" w:hAnsi="Arial" w:cs="Arial"/>
          <w:sz w:val="24"/>
          <w:szCs w:val="24"/>
        </w:rPr>
        <w:t xml:space="preserve"> a la </w:t>
      </w:r>
      <w:proofErr w:type="spellStart"/>
      <w:r w:rsidRPr="00B91191">
        <w:rPr>
          <w:rFonts w:ascii="Arial" w:hAnsi="Arial" w:cs="Arial"/>
          <w:sz w:val="24"/>
          <w:szCs w:val="24"/>
        </w:rPr>
        <w:t>fecha</w:t>
      </w:r>
      <w:proofErr w:type="spellEnd"/>
      <w:r w:rsidRPr="00B91191">
        <w:rPr>
          <w:rFonts w:ascii="Arial" w:hAnsi="Arial" w:cs="Arial"/>
          <w:sz w:val="24"/>
          <w:szCs w:val="24"/>
        </w:rPr>
        <w:t xml:space="preserve"> se </w:t>
      </w:r>
      <w:proofErr w:type="spellStart"/>
      <w:r w:rsidRPr="00B91191">
        <w:rPr>
          <w:rFonts w:ascii="Arial" w:hAnsi="Arial" w:cs="Arial"/>
          <w:sz w:val="24"/>
          <w:szCs w:val="24"/>
        </w:rPr>
        <w:t>aproxima</w:t>
      </w:r>
      <w:proofErr w:type="spellEnd"/>
      <w:r w:rsidRPr="00B91191">
        <w:rPr>
          <w:rFonts w:ascii="Arial" w:hAnsi="Arial" w:cs="Arial"/>
          <w:sz w:val="24"/>
          <w:szCs w:val="24"/>
        </w:rPr>
        <w:t xml:space="preserve"> a los </w:t>
      </w:r>
      <w:r w:rsidR="00847D66">
        <w:rPr>
          <w:rFonts w:ascii="Arial" w:hAnsi="Arial" w:cs="Arial"/>
          <w:sz w:val="24"/>
          <w:szCs w:val="24"/>
        </w:rPr>
        <w:t>100</w:t>
      </w:r>
      <w:r w:rsidRPr="00B91191">
        <w:rPr>
          <w:rFonts w:ascii="Arial" w:hAnsi="Arial" w:cs="Arial"/>
          <w:sz w:val="24"/>
          <w:szCs w:val="24"/>
        </w:rPr>
        <w:t xml:space="preserve">00 </w:t>
      </w:r>
      <w:proofErr w:type="spellStart"/>
      <w:r w:rsidRPr="00B91191">
        <w:rPr>
          <w:rFonts w:ascii="Arial" w:hAnsi="Arial" w:cs="Arial"/>
          <w:sz w:val="24"/>
          <w:szCs w:val="24"/>
        </w:rPr>
        <w:t>millones</w:t>
      </w:r>
      <w:proofErr w:type="spellEnd"/>
      <w:r w:rsidRPr="00B91191">
        <w:rPr>
          <w:rFonts w:ascii="Arial" w:hAnsi="Arial" w:cs="Arial"/>
          <w:sz w:val="24"/>
          <w:szCs w:val="24"/>
        </w:rPr>
        <w:t xml:space="preserve"> de </w:t>
      </w:r>
      <w:proofErr w:type="spellStart"/>
      <w:r w:rsidRPr="00B91191">
        <w:rPr>
          <w:rFonts w:ascii="Arial" w:hAnsi="Arial" w:cs="Arial"/>
          <w:sz w:val="24"/>
          <w:szCs w:val="24"/>
        </w:rPr>
        <w:t>colones</w:t>
      </w:r>
      <w:proofErr w:type="spellEnd"/>
      <w:r w:rsidRPr="00B91191">
        <w:rPr>
          <w:rFonts w:ascii="Arial" w:hAnsi="Arial" w:cs="Arial"/>
          <w:sz w:val="24"/>
          <w:szCs w:val="24"/>
        </w:rPr>
        <w:t xml:space="preserve"> y 35.4 </w:t>
      </w:r>
      <w:proofErr w:type="spellStart"/>
      <w:r w:rsidRPr="00B91191">
        <w:rPr>
          <w:rFonts w:ascii="Arial" w:hAnsi="Arial" w:cs="Arial"/>
          <w:sz w:val="24"/>
          <w:szCs w:val="24"/>
        </w:rPr>
        <w:t>millones</w:t>
      </w:r>
      <w:proofErr w:type="spellEnd"/>
      <w:r w:rsidRPr="00B91191">
        <w:rPr>
          <w:rFonts w:ascii="Arial" w:hAnsi="Arial" w:cs="Arial"/>
          <w:sz w:val="24"/>
          <w:szCs w:val="24"/>
        </w:rPr>
        <w:t xml:space="preserve"> de </w:t>
      </w:r>
      <w:proofErr w:type="spellStart"/>
      <w:r w:rsidRPr="00B91191">
        <w:rPr>
          <w:rFonts w:ascii="Arial" w:hAnsi="Arial" w:cs="Arial"/>
          <w:sz w:val="24"/>
          <w:szCs w:val="24"/>
        </w:rPr>
        <w:t>dólares</w:t>
      </w:r>
      <w:proofErr w:type="spellEnd"/>
      <w:r w:rsidRPr="00B91191">
        <w:rPr>
          <w:rFonts w:ascii="Arial" w:hAnsi="Arial" w:cs="Arial"/>
          <w:sz w:val="24"/>
          <w:szCs w:val="24"/>
        </w:rPr>
        <w:t>.</w:t>
      </w:r>
    </w:p>
    <w:p w14:paraId="43309706" w14:textId="77777777" w:rsidR="00310D65" w:rsidRDefault="00310D65" w:rsidP="00310D65">
      <w:pPr>
        <w:jc w:val="both"/>
        <w:rPr>
          <w:rFonts w:ascii="Arial" w:hAnsi="Arial" w:cs="Arial"/>
          <w:sz w:val="24"/>
          <w:szCs w:val="24"/>
          <w:lang w:val="es-CR"/>
        </w:rPr>
      </w:pPr>
      <w:r>
        <w:rPr>
          <w:rFonts w:ascii="Arial" w:hAnsi="Arial" w:cs="Arial"/>
          <w:sz w:val="24"/>
          <w:szCs w:val="24"/>
          <w:lang w:val="es-CR"/>
        </w:rPr>
        <w:t xml:space="preserve">El Programa de </w:t>
      </w:r>
      <w:r w:rsidRPr="00310D65">
        <w:rPr>
          <w:rFonts w:ascii="Arial" w:hAnsi="Arial" w:cs="Arial"/>
          <w:sz w:val="24"/>
          <w:szCs w:val="24"/>
          <w:lang w:val="es-CR"/>
        </w:rPr>
        <w:t>“Sistemas Mixtos en Agroforestería para microproductores”</w:t>
      </w:r>
      <w:r>
        <w:rPr>
          <w:rFonts w:ascii="Arial" w:hAnsi="Arial" w:cs="Arial"/>
          <w:sz w:val="24"/>
          <w:szCs w:val="24"/>
          <w:lang w:val="es-CR"/>
        </w:rPr>
        <w:t xml:space="preserve"> ha logrado escalar a nivel nacional y otorga:</w:t>
      </w:r>
    </w:p>
    <w:p w14:paraId="5AFD642D" w14:textId="10DAC89A" w:rsidR="00310D65" w:rsidRPr="00310D65" w:rsidRDefault="00310D65" w:rsidP="00310D65">
      <w:pPr>
        <w:jc w:val="both"/>
        <w:rPr>
          <w:rFonts w:ascii="Arial" w:hAnsi="Arial" w:cs="Arial"/>
          <w:sz w:val="24"/>
          <w:szCs w:val="24"/>
          <w:lang w:val="es-CR"/>
        </w:rPr>
      </w:pPr>
      <w:r>
        <w:rPr>
          <w:rFonts w:ascii="Arial" w:hAnsi="Arial" w:cs="Arial"/>
          <w:sz w:val="24"/>
          <w:szCs w:val="24"/>
          <w:lang w:val="es-CR"/>
        </w:rPr>
        <w:t xml:space="preserve"> </w:t>
      </w:r>
      <w:r w:rsidRPr="00310D65">
        <w:rPr>
          <w:rFonts w:ascii="Arial" w:hAnsi="Arial" w:cs="Arial"/>
          <w:sz w:val="24"/>
          <w:szCs w:val="24"/>
          <w:lang w:val="es-CR"/>
        </w:rPr>
        <w:t>Por proteger áreas con cobertura forestal un monto de ¢35.435/ha.</w:t>
      </w:r>
      <w:r>
        <w:rPr>
          <w:rFonts w:ascii="Arial" w:hAnsi="Arial" w:cs="Arial"/>
          <w:sz w:val="24"/>
          <w:szCs w:val="24"/>
          <w:lang w:val="es-CR"/>
        </w:rPr>
        <w:t xml:space="preserve"> ($ 60 / ha) </w:t>
      </w:r>
    </w:p>
    <w:p w14:paraId="78D4A741" w14:textId="417F839D" w:rsidR="00310D65" w:rsidRPr="00310D65" w:rsidRDefault="00310D65" w:rsidP="00310D65">
      <w:pPr>
        <w:jc w:val="both"/>
        <w:rPr>
          <w:rFonts w:ascii="Arial" w:hAnsi="Arial" w:cs="Arial"/>
          <w:sz w:val="24"/>
          <w:szCs w:val="24"/>
          <w:lang w:val="es-CR"/>
        </w:rPr>
      </w:pPr>
      <w:r w:rsidRPr="00310D65">
        <w:rPr>
          <w:rFonts w:ascii="Arial" w:hAnsi="Arial" w:cs="Arial"/>
          <w:sz w:val="24"/>
          <w:szCs w:val="24"/>
          <w:lang w:val="es-CR"/>
        </w:rPr>
        <w:lastRenderedPageBreak/>
        <w:t>Por la siembra de árboles maderables o de uso múltiple en sistemas agroforestales un monto ¢287 por árbol</w:t>
      </w:r>
      <w:r>
        <w:rPr>
          <w:rFonts w:ascii="Arial" w:hAnsi="Arial" w:cs="Arial"/>
          <w:sz w:val="24"/>
          <w:szCs w:val="24"/>
          <w:lang w:val="es-CR"/>
        </w:rPr>
        <w:t xml:space="preserve"> ($ 0,50 pa) </w:t>
      </w:r>
      <w:r w:rsidRPr="00310D65">
        <w:rPr>
          <w:rFonts w:ascii="Arial" w:hAnsi="Arial" w:cs="Arial"/>
          <w:sz w:val="24"/>
          <w:szCs w:val="24"/>
          <w:lang w:val="es-CR"/>
        </w:rPr>
        <w:t>. Mínimo 200 árboles, máximo 1600 por finca. Incluye los árboles ya existentes en la finca.</w:t>
      </w:r>
    </w:p>
    <w:p w14:paraId="48579BEA" w14:textId="3044B7F0" w:rsidR="00310D65" w:rsidRDefault="00310D65" w:rsidP="00310D65">
      <w:pPr>
        <w:jc w:val="both"/>
        <w:rPr>
          <w:rFonts w:ascii="Arial" w:hAnsi="Arial" w:cs="Arial"/>
          <w:sz w:val="24"/>
          <w:szCs w:val="24"/>
          <w:lang w:val="es-CR"/>
        </w:rPr>
      </w:pPr>
      <w:r w:rsidRPr="00310D65">
        <w:rPr>
          <w:rFonts w:ascii="Arial" w:hAnsi="Arial" w:cs="Arial"/>
          <w:sz w:val="24"/>
          <w:szCs w:val="24"/>
          <w:lang w:val="es-CR"/>
        </w:rPr>
        <w:t>Por la regeneración natural de aquellas áreas sin cobertura dentro de la finca un monto de ¢22.700/ha.</w:t>
      </w:r>
      <w:r>
        <w:rPr>
          <w:rFonts w:ascii="Arial" w:hAnsi="Arial" w:cs="Arial"/>
          <w:sz w:val="24"/>
          <w:szCs w:val="24"/>
          <w:lang w:val="es-CR"/>
        </w:rPr>
        <w:t xml:space="preserve"> ($ 34 /ha)</w:t>
      </w:r>
      <w:r w:rsidR="00A65764">
        <w:rPr>
          <w:rFonts w:ascii="Arial" w:hAnsi="Arial" w:cs="Arial"/>
          <w:sz w:val="24"/>
          <w:szCs w:val="24"/>
          <w:lang w:val="es-CR"/>
        </w:rPr>
        <w:t>.</w:t>
      </w:r>
    </w:p>
    <w:p w14:paraId="6BF850E8" w14:textId="18D1E396" w:rsidR="00A65764" w:rsidRPr="00310D65" w:rsidRDefault="005C7184" w:rsidP="00310D65">
      <w:pPr>
        <w:jc w:val="both"/>
        <w:rPr>
          <w:rFonts w:ascii="Arial" w:hAnsi="Arial" w:cs="Arial"/>
          <w:sz w:val="24"/>
          <w:szCs w:val="24"/>
          <w:lang w:val="es-CR"/>
        </w:rPr>
      </w:pPr>
      <w:r>
        <w:rPr>
          <w:rFonts w:ascii="Arial" w:hAnsi="Arial" w:cs="Arial"/>
          <w:sz w:val="24"/>
          <w:szCs w:val="24"/>
          <w:lang w:val="es-CR"/>
        </w:rPr>
        <w:t>El PPAF ha beneficiado fincas promedio d</w:t>
      </w:r>
      <w:r w:rsidR="00ED6301">
        <w:rPr>
          <w:rFonts w:ascii="Arial" w:hAnsi="Arial" w:cs="Arial"/>
          <w:sz w:val="24"/>
          <w:szCs w:val="24"/>
          <w:lang w:val="es-CR"/>
        </w:rPr>
        <w:t>e 13.4 has. y</w:t>
      </w:r>
      <w:r>
        <w:rPr>
          <w:rFonts w:ascii="Arial" w:hAnsi="Arial" w:cs="Arial"/>
          <w:sz w:val="24"/>
          <w:szCs w:val="24"/>
          <w:lang w:val="es-CR"/>
        </w:rPr>
        <w:t xml:space="preserve"> generado en </w:t>
      </w:r>
      <w:r w:rsidR="00ED6301">
        <w:rPr>
          <w:rFonts w:ascii="Arial" w:hAnsi="Arial" w:cs="Arial"/>
          <w:sz w:val="24"/>
          <w:szCs w:val="24"/>
          <w:lang w:val="es-CR"/>
        </w:rPr>
        <w:t xml:space="preserve">su proyecto piloto 133 empleos. Además de promover sistemas agro ambientales en las pequeñas fincas. </w:t>
      </w:r>
    </w:p>
    <w:p w14:paraId="544F5478" w14:textId="4625A949" w:rsidR="00310D65" w:rsidRPr="00B91191" w:rsidRDefault="00310D65" w:rsidP="0053086B">
      <w:pPr>
        <w:jc w:val="both"/>
        <w:rPr>
          <w:rFonts w:ascii="Arial" w:hAnsi="Arial" w:cs="Arial"/>
          <w:sz w:val="24"/>
          <w:szCs w:val="24"/>
        </w:rPr>
      </w:pPr>
    </w:p>
    <w:p w14:paraId="6A6F954E" w14:textId="10D74152" w:rsidR="0053086B" w:rsidRPr="00310D65" w:rsidRDefault="00D4171D" w:rsidP="0053086B">
      <w:pPr>
        <w:widowControl w:val="0"/>
        <w:autoSpaceDE w:val="0"/>
        <w:autoSpaceDN w:val="0"/>
        <w:adjustRightInd w:val="0"/>
        <w:spacing w:after="240" w:line="300" w:lineRule="atLeast"/>
        <w:rPr>
          <w:rFonts w:ascii="Arial" w:hAnsi="Arial" w:cs="Arial"/>
          <w:b/>
          <w:sz w:val="24"/>
          <w:szCs w:val="24"/>
          <w:lang w:val="es-ES"/>
        </w:rPr>
      </w:pPr>
      <w:r w:rsidRPr="00310D65">
        <w:rPr>
          <w:rFonts w:ascii="Arial" w:hAnsi="Arial" w:cs="Arial"/>
          <w:b/>
          <w:sz w:val="24"/>
          <w:szCs w:val="24"/>
          <w:lang w:val="es-ES"/>
        </w:rPr>
        <w:t xml:space="preserve">b. </w:t>
      </w:r>
      <w:r w:rsidR="00754F11" w:rsidRPr="00310D65">
        <w:rPr>
          <w:rFonts w:ascii="Arial" w:hAnsi="Arial" w:cs="Arial"/>
          <w:b/>
          <w:sz w:val="24"/>
          <w:szCs w:val="24"/>
          <w:lang w:val="es-ES"/>
        </w:rPr>
        <w:t>El Fondo de Biodiversidad Sostenible: Programa de Conservación de la Biodiversidad</w:t>
      </w:r>
      <w:r w:rsidRPr="00310D65">
        <w:rPr>
          <w:rFonts w:ascii="Arial" w:hAnsi="Arial" w:cs="Arial"/>
          <w:b/>
          <w:sz w:val="24"/>
          <w:szCs w:val="24"/>
          <w:lang w:val="es-ES"/>
        </w:rPr>
        <w:t>.</w:t>
      </w:r>
    </w:p>
    <w:p w14:paraId="68AA62EB" w14:textId="5E95A081" w:rsidR="00D4171D" w:rsidRPr="00B91191" w:rsidRDefault="00D4171D" w:rsidP="0053086B">
      <w:pPr>
        <w:widowControl w:val="0"/>
        <w:autoSpaceDE w:val="0"/>
        <w:autoSpaceDN w:val="0"/>
        <w:adjustRightInd w:val="0"/>
        <w:spacing w:after="240" w:line="300" w:lineRule="atLeast"/>
        <w:rPr>
          <w:rFonts w:ascii="Arial" w:hAnsi="Arial" w:cs="Arial"/>
          <w:sz w:val="24"/>
          <w:szCs w:val="24"/>
          <w:lang w:val="es-ES"/>
        </w:rPr>
      </w:pPr>
      <w:r w:rsidRPr="00B91191">
        <w:rPr>
          <w:rFonts w:ascii="Arial" w:hAnsi="Arial" w:cs="Arial"/>
          <w:sz w:val="24"/>
          <w:szCs w:val="24"/>
          <w:lang w:val="es-ES"/>
        </w:rPr>
        <w:t>Al 201</w:t>
      </w:r>
      <w:r w:rsidR="00847D66">
        <w:rPr>
          <w:rFonts w:ascii="Arial" w:hAnsi="Arial" w:cs="Arial"/>
          <w:sz w:val="24"/>
          <w:szCs w:val="24"/>
          <w:lang w:val="es-ES"/>
        </w:rPr>
        <w:t>8</w:t>
      </w:r>
      <w:r w:rsidRPr="00B91191">
        <w:rPr>
          <w:rFonts w:ascii="Arial" w:hAnsi="Arial" w:cs="Arial"/>
          <w:sz w:val="24"/>
          <w:szCs w:val="24"/>
          <w:lang w:val="es-ES"/>
        </w:rPr>
        <w:t xml:space="preserve"> se habían beneficiado más de </w:t>
      </w:r>
      <w:r w:rsidR="00847D66">
        <w:rPr>
          <w:rFonts w:ascii="Arial" w:hAnsi="Arial" w:cs="Arial"/>
          <w:sz w:val="24"/>
          <w:szCs w:val="24"/>
          <w:lang w:val="es-ES"/>
        </w:rPr>
        <w:t>6</w:t>
      </w:r>
      <w:r w:rsidRPr="00B91191">
        <w:rPr>
          <w:rFonts w:ascii="Arial" w:hAnsi="Arial" w:cs="Arial"/>
          <w:sz w:val="24"/>
          <w:szCs w:val="24"/>
          <w:lang w:val="es-ES"/>
        </w:rPr>
        <w:t>5</w:t>
      </w:r>
      <w:r w:rsidR="00847D66">
        <w:rPr>
          <w:rFonts w:ascii="Arial" w:hAnsi="Arial" w:cs="Arial"/>
          <w:sz w:val="24"/>
          <w:szCs w:val="24"/>
          <w:lang w:val="es-ES"/>
        </w:rPr>
        <w:t>00</w:t>
      </w:r>
      <w:r w:rsidRPr="00B91191">
        <w:rPr>
          <w:rFonts w:ascii="Arial" w:hAnsi="Arial" w:cs="Arial"/>
          <w:sz w:val="24"/>
          <w:szCs w:val="24"/>
          <w:lang w:val="es-ES"/>
        </w:rPr>
        <w:t xml:space="preserve"> mil hectáreas, 2</w:t>
      </w:r>
      <w:r w:rsidR="00F149DD" w:rsidRPr="00B91191">
        <w:rPr>
          <w:rFonts w:ascii="Arial" w:hAnsi="Arial" w:cs="Arial"/>
          <w:sz w:val="24"/>
          <w:szCs w:val="24"/>
          <w:lang w:val="es-ES"/>
        </w:rPr>
        <w:t>.3 millones de dólares a 5 años.</w:t>
      </w:r>
    </w:p>
    <w:p w14:paraId="251C06A2" w14:textId="4CEAFF9B" w:rsidR="00F149DD" w:rsidRPr="00B91191" w:rsidRDefault="00C31AC1" w:rsidP="00F149DD">
      <w:pPr>
        <w:widowControl w:val="0"/>
        <w:autoSpaceDE w:val="0"/>
        <w:autoSpaceDN w:val="0"/>
        <w:adjustRightInd w:val="0"/>
        <w:spacing w:after="240" w:line="300" w:lineRule="atLeast"/>
        <w:rPr>
          <w:rFonts w:ascii="Arial" w:hAnsi="Arial" w:cs="Times Roman"/>
          <w:color w:val="000000"/>
          <w:sz w:val="24"/>
          <w:szCs w:val="24"/>
          <w:lang w:val="es-ES_tradnl"/>
        </w:rPr>
      </w:pPr>
      <w:r>
        <w:rPr>
          <w:rFonts w:ascii="Arial" w:hAnsi="Arial" w:cs="Times Roman"/>
          <w:color w:val="000000"/>
          <w:sz w:val="24"/>
          <w:szCs w:val="24"/>
          <w:lang w:val="es-CR"/>
        </w:rPr>
        <w:t xml:space="preserve">Existen 75 </w:t>
      </w:r>
      <w:r w:rsidR="00F149DD" w:rsidRPr="00B91191">
        <w:rPr>
          <w:rFonts w:ascii="Arial" w:hAnsi="Arial" w:cs="Times Roman"/>
          <w:color w:val="000000"/>
          <w:sz w:val="24"/>
          <w:szCs w:val="24"/>
          <w:lang w:val="es-CR"/>
        </w:rPr>
        <w:t xml:space="preserve">fincas </w:t>
      </w:r>
      <w:r>
        <w:rPr>
          <w:rFonts w:ascii="Arial" w:hAnsi="Arial" w:cs="Times Roman"/>
          <w:color w:val="000000"/>
          <w:sz w:val="24"/>
          <w:szCs w:val="24"/>
          <w:lang w:val="es-CR"/>
        </w:rPr>
        <w:t xml:space="preserve">inscritas en el PCB y 46 </w:t>
      </w:r>
      <w:r w:rsidR="00F149DD" w:rsidRPr="00B91191">
        <w:rPr>
          <w:rFonts w:ascii="Arial" w:hAnsi="Arial" w:cs="Times Roman"/>
          <w:color w:val="000000"/>
          <w:sz w:val="24"/>
          <w:szCs w:val="24"/>
          <w:lang w:val="es-CR"/>
        </w:rPr>
        <w:t>se encuentran en cantones con un Indice de Desarrollo Social menor a</w:t>
      </w:r>
      <w:r w:rsidR="00113DB4">
        <w:rPr>
          <w:rFonts w:ascii="Arial" w:hAnsi="Arial" w:cs="Times Roman"/>
          <w:color w:val="000000"/>
          <w:sz w:val="24"/>
          <w:szCs w:val="24"/>
          <w:lang w:val="es-CR"/>
        </w:rPr>
        <w:t xml:space="preserve"> 40 puntos.</w:t>
      </w:r>
      <w:r w:rsidR="00F149DD" w:rsidRPr="00B91191">
        <w:rPr>
          <w:rFonts w:ascii="Arial" w:hAnsi="Arial" w:cs="Times Roman"/>
          <w:color w:val="000000"/>
          <w:sz w:val="24"/>
          <w:szCs w:val="24"/>
          <w:lang w:val="es-ES_tradnl"/>
        </w:rPr>
        <w:t xml:space="preserve"> </w:t>
      </w:r>
      <w:r w:rsidR="00113DB4">
        <w:rPr>
          <w:rFonts w:ascii="Arial" w:hAnsi="Arial" w:cs="Times Roman"/>
          <w:color w:val="000000"/>
          <w:sz w:val="24"/>
          <w:szCs w:val="24"/>
          <w:lang w:val="es-ES_tradnl"/>
        </w:rPr>
        <w:t xml:space="preserve"> </w:t>
      </w:r>
      <w:r w:rsidR="00F149DD" w:rsidRPr="00B91191">
        <w:rPr>
          <w:rFonts w:ascii="Arial" w:hAnsi="Arial" w:cs="Times Roman"/>
          <w:color w:val="000000"/>
          <w:sz w:val="24"/>
          <w:szCs w:val="24"/>
          <w:lang w:val="es-ES_tradnl"/>
        </w:rPr>
        <w:t>Los cantones de San Carlos, Osa y Golfito poseen la mayor cantidad de beneficiarios del PCB, sumando el 5</w:t>
      </w:r>
      <w:r>
        <w:rPr>
          <w:rFonts w:ascii="Arial" w:hAnsi="Arial" w:cs="Times Roman"/>
          <w:color w:val="000000"/>
          <w:sz w:val="24"/>
          <w:szCs w:val="24"/>
          <w:lang w:val="es-ES_tradnl"/>
        </w:rPr>
        <w:t>0</w:t>
      </w:r>
      <w:r w:rsidR="00F149DD" w:rsidRPr="00B91191">
        <w:rPr>
          <w:rFonts w:ascii="Arial" w:hAnsi="Arial" w:cs="Times Roman"/>
          <w:color w:val="000000"/>
          <w:sz w:val="24"/>
          <w:szCs w:val="24"/>
          <w:lang w:val="es-ES_tradnl"/>
        </w:rPr>
        <w:t>% del total inscritos en el programa.</w:t>
      </w:r>
    </w:p>
    <w:p w14:paraId="5DB67F66" w14:textId="7D5114DC" w:rsidR="00F149DD" w:rsidRPr="00B91191" w:rsidRDefault="00D704CA" w:rsidP="0053086B">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Times Roman"/>
          <w:color w:val="000000"/>
          <w:sz w:val="24"/>
          <w:szCs w:val="24"/>
          <w:lang w:val="es-ES"/>
        </w:rPr>
        <w:t xml:space="preserve">Se han beneficiado un </w:t>
      </w:r>
      <w:r w:rsidR="00C31AC1">
        <w:rPr>
          <w:rFonts w:ascii="Arial" w:hAnsi="Arial" w:cs="Times Roman"/>
          <w:color w:val="000000"/>
          <w:sz w:val="24"/>
          <w:szCs w:val="24"/>
          <w:lang w:val="es-ES"/>
        </w:rPr>
        <w:t xml:space="preserve">21 </w:t>
      </w:r>
      <w:r w:rsidRPr="00B91191">
        <w:rPr>
          <w:rFonts w:ascii="Arial" w:hAnsi="Arial" w:cs="Times Roman"/>
          <w:color w:val="000000"/>
          <w:sz w:val="24"/>
          <w:szCs w:val="24"/>
          <w:lang w:val="es-ES"/>
        </w:rPr>
        <w:t xml:space="preserve">% de mujeres. </w:t>
      </w:r>
    </w:p>
    <w:p w14:paraId="3FEC9AB8" w14:textId="72F85E61" w:rsidR="00D704CA" w:rsidRPr="00310D65" w:rsidRDefault="00D704CA" w:rsidP="0053086B">
      <w:pPr>
        <w:widowControl w:val="0"/>
        <w:autoSpaceDE w:val="0"/>
        <w:autoSpaceDN w:val="0"/>
        <w:adjustRightInd w:val="0"/>
        <w:spacing w:after="240" w:line="300" w:lineRule="atLeast"/>
        <w:rPr>
          <w:rFonts w:ascii="Arial" w:hAnsi="Arial" w:cs="Times Roman"/>
          <w:b/>
          <w:color w:val="000000"/>
          <w:sz w:val="24"/>
          <w:szCs w:val="24"/>
          <w:lang w:val="es-ES"/>
        </w:rPr>
      </w:pPr>
      <w:r w:rsidRPr="00310D65">
        <w:rPr>
          <w:rFonts w:ascii="Arial" w:hAnsi="Arial" w:cs="Times Roman"/>
          <w:b/>
          <w:color w:val="000000"/>
          <w:sz w:val="24"/>
          <w:szCs w:val="24"/>
          <w:lang w:val="es-ES"/>
        </w:rPr>
        <w:t>c. Distintivo ABS.</w:t>
      </w:r>
    </w:p>
    <w:p w14:paraId="03AF3735" w14:textId="76E2CE4A" w:rsidR="00690CA0" w:rsidRPr="00B91191" w:rsidRDefault="00690CA0" w:rsidP="0053086B">
      <w:pPr>
        <w:spacing w:after="0" w:line="240" w:lineRule="auto"/>
        <w:jc w:val="both"/>
        <w:rPr>
          <w:rFonts w:ascii="Arial" w:hAnsi="Arial" w:cs="Arial"/>
          <w:sz w:val="24"/>
          <w:szCs w:val="24"/>
          <w:lang w:val="es-ES"/>
        </w:rPr>
      </w:pPr>
      <w:r w:rsidRPr="00B91191">
        <w:rPr>
          <w:rFonts w:ascii="Arial" w:hAnsi="Arial" w:cs="Arial"/>
          <w:sz w:val="24"/>
          <w:szCs w:val="24"/>
          <w:lang w:val="es-ES"/>
        </w:rPr>
        <w:t xml:space="preserve"> </w:t>
      </w:r>
      <w:r w:rsidR="00754F11" w:rsidRPr="00B91191">
        <w:rPr>
          <w:rFonts w:ascii="Arial" w:hAnsi="Arial" w:cs="Arial"/>
          <w:sz w:val="24"/>
          <w:szCs w:val="24"/>
          <w:lang w:val="es-ES"/>
        </w:rPr>
        <w:t xml:space="preserve">El </w:t>
      </w:r>
      <w:proofErr w:type="spellStart"/>
      <w:r w:rsidR="00754F11" w:rsidRPr="00B91191">
        <w:rPr>
          <w:rFonts w:ascii="Arial" w:hAnsi="Arial" w:cs="Arial"/>
          <w:sz w:val="24"/>
          <w:szCs w:val="24"/>
          <w:lang w:val="es-ES"/>
        </w:rPr>
        <w:t>distintitivo</w:t>
      </w:r>
      <w:proofErr w:type="spellEnd"/>
      <w:r w:rsidR="00754F11" w:rsidRPr="00B91191">
        <w:rPr>
          <w:rFonts w:ascii="Arial" w:hAnsi="Arial" w:cs="Arial"/>
          <w:sz w:val="24"/>
          <w:szCs w:val="24"/>
          <w:lang w:val="es-ES"/>
        </w:rPr>
        <w:t xml:space="preserve"> ABS se entregará por primera vez </w:t>
      </w:r>
      <w:r w:rsidR="00C31AC1">
        <w:rPr>
          <w:rFonts w:ascii="Arial" w:hAnsi="Arial" w:cs="Arial"/>
          <w:sz w:val="24"/>
          <w:szCs w:val="24"/>
          <w:lang w:val="es-ES"/>
        </w:rPr>
        <w:t>en mayo 2019</w:t>
      </w:r>
      <w:r w:rsidR="00113DB4">
        <w:rPr>
          <w:rFonts w:ascii="Arial" w:hAnsi="Arial" w:cs="Arial"/>
          <w:sz w:val="24"/>
          <w:szCs w:val="24"/>
          <w:lang w:val="es-ES"/>
        </w:rPr>
        <w:t>.</w:t>
      </w:r>
      <w:r w:rsidR="00754F11" w:rsidRPr="00B91191">
        <w:rPr>
          <w:rFonts w:ascii="Arial" w:hAnsi="Arial" w:cs="Arial"/>
          <w:sz w:val="24"/>
          <w:szCs w:val="24"/>
          <w:lang w:val="es-ES"/>
        </w:rPr>
        <w:t xml:space="preserve"> Una empresa nacional, Laboratorio Lisan, lo recibirá por su producto BRONTOX.  Se espera que este entrega motive al sector privado que utiliza los elementos de la biodiversidad a cumplir con los requisitos establecidos para el acceso a los recursos genéticos y bioquímicos del país. </w:t>
      </w:r>
    </w:p>
    <w:p w14:paraId="73E5A0A0" w14:textId="470EA0F9" w:rsidR="00A2541B" w:rsidRPr="00B91191" w:rsidRDefault="00A2541B" w:rsidP="00B9682D">
      <w:pPr>
        <w:spacing w:after="0" w:line="240" w:lineRule="auto"/>
        <w:ind w:left="450" w:firstLine="60"/>
        <w:jc w:val="both"/>
        <w:rPr>
          <w:rFonts w:ascii="Arial" w:eastAsia="Times New Roman" w:hAnsi="Arial" w:cs="Arial"/>
          <w:sz w:val="24"/>
          <w:szCs w:val="24"/>
          <w:lang w:val="es-ES"/>
        </w:rPr>
      </w:pPr>
    </w:p>
    <w:p w14:paraId="4B50190E" w14:textId="77777777" w:rsidR="006B3B51" w:rsidRPr="00B91191" w:rsidRDefault="006B3B51"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Por favor, especifique cualquier desafío que su gobierno, empresa u organización haya experimentado en el cumplimiento de sus obligaciones respecto al derecho humano a un medio ambiente medio ambiente sin riesgos, limpio, saludable y sostenible</w:t>
      </w:r>
      <w:r w:rsidR="00A2541B" w:rsidRPr="00B91191">
        <w:rPr>
          <w:rFonts w:ascii="Arial" w:hAnsi="Arial" w:cs="Arial"/>
          <w:sz w:val="24"/>
          <w:szCs w:val="24"/>
          <w:lang w:val="es-ES"/>
        </w:rPr>
        <w:t>.</w:t>
      </w:r>
    </w:p>
    <w:p w14:paraId="172E7048" w14:textId="77777777" w:rsidR="00D014D6" w:rsidRPr="00B91191" w:rsidRDefault="00D014D6" w:rsidP="00D014D6">
      <w:pPr>
        <w:spacing w:after="0" w:line="240" w:lineRule="auto"/>
        <w:jc w:val="both"/>
        <w:rPr>
          <w:rFonts w:ascii="Arial" w:hAnsi="Arial" w:cs="Arial"/>
          <w:sz w:val="24"/>
          <w:szCs w:val="24"/>
          <w:lang w:val="es-ES"/>
        </w:rPr>
      </w:pPr>
    </w:p>
    <w:p w14:paraId="32A24B45" w14:textId="429B7AE0" w:rsidR="00D014D6" w:rsidRPr="00B91191" w:rsidRDefault="00854063" w:rsidP="00D014D6">
      <w:pPr>
        <w:spacing w:after="0" w:line="240" w:lineRule="auto"/>
        <w:jc w:val="both"/>
        <w:rPr>
          <w:rFonts w:ascii="Arial" w:hAnsi="Arial" w:cs="Arial"/>
          <w:sz w:val="24"/>
          <w:szCs w:val="24"/>
          <w:lang w:val="es-ES"/>
        </w:rPr>
      </w:pPr>
      <w:r w:rsidRPr="00B91191">
        <w:rPr>
          <w:rFonts w:ascii="Arial" w:hAnsi="Arial" w:cs="Arial"/>
          <w:sz w:val="24"/>
          <w:szCs w:val="24"/>
          <w:lang w:val="es-ES"/>
        </w:rPr>
        <w:t>El mayor desafío</w:t>
      </w:r>
      <w:r w:rsidR="00D014D6" w:rsidRPr="00B91191">
        <w:rPr>
          <w:rFonts w:ascii="Arial" w:hAnsi="Arial" w:cs="Arial"/>
          <w:sz w:val="24"/>
          <w:szCs w:val="24"/>
          <w:lang w:val="es-ES"/>
        </w:rPr>
        <w:t xml:space="preserve"> que enfrenta Costa Rica en el cumplimiento del derecho a un ambiente sano y ecológicamente equilibrado es la falta de r</w:t>
      </w:r>
      <w:r w:rsidR="00FF7FAC" w:rsidRPr="00B91191">
        <w:rPr>
          <w:rFonts w:ascii="Arial" w:hAnsi="Arial" w:cs="Arial"/>
          <w:sz w:val="24"/>
          <w:szCs w:val="24"/>
          <w:lang w:val="es-ES"/>
        </w:rPr>
        <w:t>ecursos humanos y financieros para</w:t>
      </w:r>
      <w:r w:rsidR="00777416" w:rsidRPr="00B91191">
        <w:rPr>
          <w:rFonts w:ascii="Arial" w:hAnsi="Arial" w:cs="Arial"/>
          <w:sz w:val="24"/>
          <w:szCs w:val="24"/>
          <w:lang w:val="es-ES"/>
        </w:rPr>
        <w:t xml:space="preserve"> garantizar su ejercicio y goce, así como la debilidad institucional y normativa para </w:t>
      </w:r>
      <w:r w:rsidR="00D704CA" w:rsidRPr="00B91191">
        <w:rPr>
          <w:rFonts w:ascii="Arial" w:hAnsi="Arial" w:cs="Arial"/>
          <w:sz w:val="24"/>
          <w:szCs w:val="24"/>
          <w:lang w:val="es-ES"/>
        </w:rPr>
        <w:t xml:space="preserve">brindar una atención especial e inclusiva a </w:t>
      </w:r>
      <w:r w:rsidR="00777416" w:rsidRPr="00B91191">
        <w:rPr>
          <w:rFonts w:ascii="Arial" w:hAnsi="Arial" w:cs="Arial"/>
          <w:sz w:val="24"/>
          <w:szCs w:val="24"/>
          <w:lang w:val="es-ES"/>
        </w:rPr>
        <w:t xml:space="preserve">los grupos en situación de vulnerabilidad como los pueblos indígenas. </w:t>
      </w:r>
    </w:p>
    <w:p w14:paraId="25862379" w14:textId="77777777" w:rsidR="006B157E" w:rsidRPr="00B91191" w:rsidRDefault="006B157E" w:rsidP="00D014D6">
      <w:pPr>
        <w:spacing w:after="0" w:line="240" w:lineRule="auto"/>
        <w:jc w:val="both"/>
        <w:rPr>
          <w:rFonts w:ascii="Arial" w:hAnsi="Arial" w:cs="Arial"/>
          <w:sz w:val="24"/>
          <w:szCs w:val="24"/>
          <w:lang w:val="es-ES"/>
        </w:rPr>
      </w:pPr>
    </w:p>
    <w:p w14:paraId="2B39A6E9" w14:textId="7610E464" w:rsidR="00FF7FAC" w:rsidRPr="00113DB4" w:rsidRDefault="006B157E" w:rsidP="00113DB4">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Calibri"/>
          <w:color w:val="000000"/>
          <w:sz w:val="24"/>
          <w:szCs w:val="24"/>
          <w:lang w:val="es-ES"/>
        </w:rPr>
        <w:t xml:space="preserve">“La Estrategia Nacional de Biodiversidad 2016 – 2025 (ENB) identificó que para revertir las tendencias de degradación y pérdida de la biodiversidad en Costa Rica es necesario aumentar los recursos humanos y financieros. En términos generales, el esfuerzo en recursos financieros y humanos no parece proporcional a las necesidades </w:t>
      </w:r>
      <w:r w:rsidRPr="00B91191">
        <w:rPr>
          <w:rFonts w:ascii="Arial" w:hAnsi="Arial" w:cs="Calibri"/>
          <w:color w:val="000000"/>
          <w:sz w:val="24"/>
          <w:szCs w:val="24"/>
          <w:lang w:val="es-ES"/>
        </w:rPr>
        <w:lastRenderedPageBreak/>
        <w:t>y compromisos adquiridos por el marco legal del país en materia de biodiversidad”</w:t>
      </w:r>
      <w:r w:rsidRPr="00B91191">
        <w:rPr>
          <w:rStyle w:val="Refdenotaalpie"/>
          <w:rFonts w:ascii="Arial" w:hAnsi="Arial" w:cs="Calibri"/>
          <w:color w:val="000000"/>
          <w:sz w:val="24"/>
          <w:szCs w:val="24"/>
          <w:lang w:val="es-ES"/>
        </w:rPr>
        <w:footnoteReference w:id="2"/>
      </w:r>
      <w:r w:rsidRPr="00B91191">
        <w:rPr>
          <w:rFonts w:ascii="Arial" w:hAnsi="Arial" w:cs="Calibri"/>
          <w:color w:val="000000"/>
          <w:sz w:val="24"/>
          <w:szCs w:val="24"/>
          <w:lang w:val="es-ES"/>
        </w:rPr>
        <w:t xml:space="preserve">. </w:t>
      </w:r>
    </w:p>
    <w:p w14:paraId="5B0892DC" w14:textId="0116C5BF" w:rsidR="00854063" w:rsidRPr="00113DB4" w:rsidRDefault="00FF7FAC" w:rsidP="00113DB4">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Calibri"/>
          <w:color w:val="000000"/>
          <w:sz w:val="24"/>
          <w:szCs w:val="24"/>
          <w:lang w:val="es-ES"/>
        </w:rPr>
        <w:t xml:space="preserve">Las principales amenazas de la biodiversidad reconocidas para Costa Rica son la pérdida del hábitat, la sobreexplotación, la contaminación, el cambio climático y presencia de especies exóticas invasoras. </w:t>
      </w:r>
      <w:r w:rsidR="006B157E" w:rsidRPr="00B91191">
        <w:rPr>
          <w:rStyle w:val="Refdenotaalpie"/>
          <w:rFonts w:ascii="Arial" w:hAnsi="Arial" w:cs="Calibri"/>
          <w:color w:val="000000"/>
          <w:sz w:val="24"/>
          <w:szCs w:val="24"/>
          <w:lang w:val="es-ES"/>
        </w:rPr>
        <w:footnoteReference w:id="3"/>
      </w:r>
    </w:p>
    <w:p w14:paraId="1578FCFD" w14:textId="40CCDAD0" w:rsidR="00D014D6" w:rsidRPr="00B91191" w:rsidRDefault="00D014D6" w:rsidP="00D014D6">
      <w:pPr>
        <w:spacing w:after="0" w:line="240" w:lineRule="auto"/>
        <w:jc w:val="both"/>
        <w:rPr>
          <w:rFonts w:ascii="Arial" w:hAnsi="Arial" w:cs="Arial"/>
          <w:sz w:val="24"/>
          <w:szCs w:val="24"/>
          <w:lang w:val="es-ES"/>
        </w:rPr>
      </w:pPr>
      <w:r w:rsidRPr="00B91191">
        <w:rPr>
          <w:rFonts w:ascii="Arial" w:hAnsi="Arial" w:cs="Arial"/>
          <w:sz w:val="24"/>
          <w:szCs w:val="24"/>
          <w:lang w:val="es-ES"/>
        </w:rPr>
        <w:t>El Sistema Nacional de Áreas de Conservación SINAC encargado de las áreas silvestres protegidas cuenta con 1189 funcionarios para todo el país: 50 mil kilómetros cuadrados terrestres y 10 veces más de territorio marino.</w:t>
      </w:r>
    </w:p>
    <w:p w14:paraId="603B66EC" w14:textId="77777777" w:rsidR="00F3443F" w:rsidRPr="00B91191" w:rsidRDefault="00F3443F" w:rsidP="00D014D6">
      <w:pPr>
        <w:spacing w:after="0" w:line="240" w:lineRule="auto"/>
        <w:jc w:val="both"/>
        <w:rPr>
          <w:rFonts w:ascii="Arial" w:hAnsi="Arial" w:cs="Arial"/>
          <w:sz w:val="24"/>
          <w:szCs w:val="24"/>
          <w:lang w:val="es-ES"/>
        </w:rPr>
      </w:pPr>
    </w:p>
    <w:p w14:paraId="5F271423" w14:textId="61C5B5CB" w:rsidR="00AE4A7D" w:rsidRPr="00B91191" w:rsidRDefault="00AE4A7D" w:rsidP="00AE4A7D">
      <w:pPr>
        <w:widowControl w:val="0"/>
        <w:autoSpaceDE w:val="0"/>
        <w:autoSpaceDN w:val="0"/>
        <w:adjustRightInd w:val="0"/>
        <w:spacing w:after="240" w:line="300" w:lineRule="atLeast"/>
        <w:rPr>
          <w:rFonts w:ascii="Arial" w:hAnsi="Arial" w:cs="Calibri"/>
          <w:color w:val="000000"/>
          <w:sz w:val="24"/>
          <w:szCs w:val="24"/>
          <w:lang w:val="es-ES"/>
        </w:rPr>
      </w:pPr>
      <w:r w:rsidRPr="00B91191">
        <w:rPr>
          <w:rFonts w:ascii="Arial" w:hAnsi="Arial" w:cs="Calibri"/>
          <w:color w:val="000000"/>
          <w:sz w:val="24"/>
          <w:szCs w:val="24"/>
          <w:lang w:val="es-ES"/>
        </w:rPr>
        <w:t>“Consolidar el sistema de áreas protegidas a partir de la compra de 82</w:t>
      </w:r>
      <w:r w:rsidR="00D704CA" w:rsidRPr="00B91191">
        <w:rPr>
          <w:rFonts w:ascii="Arial" w:hAnsi="Arial" w:cs="Calibri"/>
          <w:color w:val="000000"/>
          <w:sz w:val="24"/>
          <w:szCs w:val="24"/>
          <w:lang w:val="es-ES"/>
        </w:rPr>
        <w:t>.</w:t>
      </w:r>
      <w:r w:rsidRPr="00B91191">
        <w:rPr>
          <w:rFonts w:ascii="Arial" w:hAnsi="Arial" w:cs="Calibri"/>
          <w:color w:val="000000"/>
          <w:sz w:val="24"/>
          <w:szCs w:val="24"/>
          <w:lang w:val="es-ES"/>
        </w:rPr>
        <w:t>000 hectáreas pertenecientes a propietarios privados que quedaron incluidos dentro de los parques nacionales y las reservas biológicas es un saldo pendiente del Estado costarricense. No se ha reconocido suficientemente el impacto que ha causado la creación de ASP en comunidades locales y pueblos indígenas que quedaron dentro de sus límites, con las consiguientes restricciones en el uso de los recursos naturales.</w:t>
      </w:r>
    </w:p>
    <w:p w14:paraId="7B196D17" w14:textId="05CE544A" w:rsidR="00AE4A7D" w:rsidRPr="00B91191" w:rsidRDefault="00AE4A7D" w:rsidP="00AE4A7D">
      <w:pPr>
        <w:widowControl w:val="0"/>
        <w:autoSpaceDE w:val="0"/>
        <w:autoSpaceDN w:val="0"/>
        <w:adjustRightInd w:val="0"/>
        <w:spacing w:after="240" w:line="300" w:lineRule="atLeast"/>
        <w:rPr>
          <w:rFonts w:ascii="Arial" w:hAnsi="Arial" w:cs="Times Roman"/>
          <w:color w:val="000000"/>
          <w:sz w:val="24"/>
          <w:szCs w:val="24"/>
          <w:lang w:val="es-ES"/>
        </w:rPr>
      </w:pPr>
      <w:r w:rsidRPr="00B91191">
        <w:rPr>
          <w:rFonts w:ascii="Arial" w:hAnsi="Arial" w:cs="Calibri"/>
          <w:color w:val="000000"/>
          <w:sz w:val="24"/>
          <w:szCs w:val="24"/>
          <w:lang w:val="es-ES"/>
        </w:rPr>
        <w:t>Esta meta pertenece al tema estratégico 3 (Regularización del Patrimonio Natural del Estado y ordenamiento territorial y espacio marino) y surge a partir de una necesidad identificada en el diagnóstico sobre los conflictos ambientales</w:t>
      </w:r>
      <w:r w:rsidR="00C31AC1">
        <w:rPr>
          <w:rFonts w:ascii="Arial" w:hAnsi="Arial" w:cs="Calibri"/>
          <w:color w:val="000000"/>
          <w:sz w:val="24"/>
          <w:szCs w:val="24"/>
          <w:lang w:val="es-ES"/>
        </w:rPr>
        <w:t xml:space="preserve"> que </w:t>
      </w:r>
      <w:r w:rsidRPr="00B91191">
        <w:rPr>
          <w:rFonts w:ascii="Arial" w:hAnsi="Arial" w:cs="Calibri"/>
          <w:color w:val="000000"/>
          <w:sz w:val="24"/>
          <w:szCs w:val="24"/>
          <w:lang w:val="es-ES"/>
        </w:rPr>
        <w:t xml:space="preserve"> resaltan la necesidad de regularizar el Patrimonio Natural del Estado, ya que existen múltiples </w:t>
      </w:r>
      <w:r w:rsidR="00C31AC1">
        <w:rPr>
          <w:rFonts w:ascii="Arial" w:hAnsi="Arial" w:cs="Calibri"/>
          <w:color w:val="000000"/>
          <w:sz w:val="24"/>
          <w:szCs w:val="24"/>
          <w:lang w:val="es-ES"/>
        </w:rPr>
        <w:t xml:space="preserve">controversias </w:t>
      </w:r>
      <w:r w:rsidRPr="00B91191">
        <w:rPr>
          <w:rFonts w:ascii="Arial" w:hAnsi="Arial" w:cs="Calibri"/>
          <w:color w:val="000000"/>
          <w:sz w:val="24"/>
          <w:szCs w:val="24"/>
          <w:lang w:val="es-ES"/>
        </w:rPr>
        <w:t xml:space="preserve"> por la falta de delimitación del mismo, por las categorías de uso de algunas áreas silvestres protegidas y por las deudas del Estado en regularizar o adquirir propiedades de interés nacional; situación que se agrava aún más con el tiempo pues los precios de mercado hacen que el presupuesto total </w:t>
      </w:r>
      <w:r w:rsidR="00C31AC1">
        <w:rPr>
          <w:rFonts w:ascii="Arial" w:hAnsi="Arial" w:cs="Calibri"/>
          <w:color w:val="000000"/>
          <w:sz w:val="24"/>
          <w:szCs w:val="24"/>
          <w:lang w:val="es-ES"/>
        </w:rPr>
        <w:t xml:space="preserve">destinado </w:t>
      </w:r>
      <w:r w:rsidRPr="00B91191">
        <w:rPr>
          <w:rFonts w:ascii="Arial" w:hAnsi="Arial" w:cs="Calibri"/>
          <w:color w:val="000000"/>
          <w:sz w:val="24"/>
          <w:szCs w:val="24"/>
          <w:lang w:val="es-ES"/>
        </w:rPr>
        <w:t xml:space="preserve">para adquisición de tierras bajo deuda sea imperceptible. Es por ello que el Estado requiere adquirir áreas dentro de parques nacionales y reservas biológicas, y desarrollar un mecanismo financiero para la adquisición estas tierras”.  </w:t>
      </w:r>
      <w:r w:rsidRPr="00B91191">
        <w:rPr>
          <w:rStyle w:val="Refdenotaalpie"/>
          <w:rFonts w:ascii="Arial" w:hAnsi="Arial" w:cs="Calibri"/>
          <w:color w:val="000000"/>
          <w:sz w:val="24"/>
          <w:szCs w:val="24"/>
          <w:lang w:val="es-ES"/>
        </w:rPr>
        <w:footnoteReference w:id="4"/>
      </w:r>
    </w:p>
    <w:p w14:paraId="6B724B13" w14:textId="77777777" w:rsidR="00AE4A7D" w:rsidRPr="00B91191" w:rsidRDefault="00AE4A7D" w:rsidP="00D014D6">
      <w:pPr>
        <w:spacing w:after="0" w:line="240" w:lineRule="auto"/>
        <w:jc w:val="both"/>
        <w:rPr>
          <w:rFonts w:ascii="Arial" w:hAnsi="Arial" w:cs="Arial"/>
          <w:sz w:val="24"/>
          <w:szCs w:val="24"/>
          <w:lang w:val="es-ES"/>
        </w:rPr>
      </w:pPr>
    </w:p>
    <w:p w14:paraId="61E85DA0" w14:textId="78DC2574" w:rsidR="00F3443F" w:rsidRPr="00B91191" w:rsidRDefault="00F3443F" w:rsidP="00D014D6">
      <w:pPr>
        <w:spacing w:after="0" w:line="240" w:lineRule="auto"/>
        <w:jc w:val="both"/>
        <w:rPr>
          <w:rFonts w:ascii="Arial" w:hAnsi="Arial" w:cs="Arial"/>
          <w:sz w:val="24"/>
          <w:szCs w:val="24"/>
          <w:lang w:val="es-ES"/>
        </w:rPr>
      </w:pPr>
      <w:r w:rsidRPr="00B91191">
        <w:rPr>
          <w:rFonts w:ascii="Arial" w:hAnsi="Arial" w:cs="Arial"/>
          <w:sz w:val="24"/>
          <w:szCs w:val="24"/>
          <w:lang w:val="es-ES"/>
        </w:rPr>
        <w:t xml:space="preserve">El país tiene un 25% de su territorio protegido bajo la categoría de parques nacionales y poco más de un 50% en alguna categoría de manejo.  Estas tierras aunque tienen </w:t>
      </w:r>
      <w:r w:rsidRPr="00B91191">
        <w:rPr>
          <w:rFonts w:ascii="Arial" w:hAnsi="Arial" w:cs="Arial"/>
          <w:sz w:val="24"/>
          <w:szCs w:val="24"/>
          <w:lang w:val="es-ES"/>
        </w:rPr>
        <w:lastRenderedPageBreak/>
        <w:t>serias limitaciones en cuanto a los usos productivos a los que se pueden dedicar no han sido indemnizadas por el Estado, limitando seriamente el derecho a la propiedad privada</w:t>
      </w:r>
      <w:r w:rsidR="00854063" w:rsidRPr="00B91191">
        <w:rPr>
          <w:rFonts w:ascii="Arial" w:hAnsi="Arial" w:cs="Arial"/>
          <w:sz w:val="24"/>
          <w:szCs w:val="24"/>
          <w:lang w:val="es-ES"/>
        </w:rPr>
        <w:t xml:space="preserve"> e imponiendo una carga muy gravosa para muchas personas </w:t>
      </w:r>
      <w:r w:rsidR="00D704CA" w:rsidRPr="00B91191">
        <w:rPr>
          <w:rFonts w:ascii="Arial" w:hAnsi="Arial" w:cs="Arial"/>
          <w:sz w:val="24"/>
          <w:szCs w:val="24"/>
          <w:lang w:val="es-ES"/>
        </w:rPr>
        <w:t xml:space="preserve">y comunidades </w:t>
      </w:r>
      <w:r w:rsidR="00854063" w:rsidRPr="00B91191">
        <w:rPr>
          <w:rFonts w:ascii="Arial" w:hAnsi="Arial" w:cs="Arial"/>
          <w:sz w:val="24"/>
          <w:szCs w:val="24"/>
          <w:lang w:val="es-ES"/>
        </w:rPr>
        <w:t xml:space="preserve">en el país. </w:t>
      </w:r>
    </w:p>
    <w:p w14:paraId="7A558834" w14:textId="77777777" w:rsidR="00916911" w:rsidRPr="00B91191" w:rsidRDefault="00916911" w:rsidP="00D014D6">
      <w:pPr>
        <w:spacing w:after="0" w:line="240" w:lineRule="auto"/>
        <w:jc w:val="both"/>
        <w:rPr>
          <w:rFonts w:ascii="Arial" w:hAnsi="Arial" w:cs="Arial"/>
          <w:sz w:val="24"/>
          <w:szCs w:val="24"/>
          <w:lang w:val="es-ES"/>
        </w:rPr>
      </w:pPr>
    </w:p>
    <w:p w14:paraId="3E57259B" w14:textId="77EAF05E" w:rsidR="00916911" w:rsidRPr="00B91191" w:rsidRDefault="00916911" w:rsidP="00D014D6">
      <w:pPr>
        <w:spacing w:after="0" w:line="240" w:lineRule="auto"/>
        <w:jc w:val="both"/>
        <w:rPr>
          <w:rFonts w:ascii="Arial" w:hAnsi="Arial" w:cs="Arial"/>
          <w:sz w:val="24"/>
          <w:szCs w:val="24"/>
          <w:lang w:val="es-ES"/>
        </w:rPr>
      </w:pPr>
      <w:r w:rsidRPr="00B91191">
        <w:rPr>
          <w:rFonts w:ascii="Arial" w:hAnsi="Arial" w:cs="Arial"/>
          <w:sz w:val="24"/>
          <w:szCs w:val="24"/>
          <w:lang w:val="es-ES"/>
        </w:rPr>
        <w:t>El sistema de áreas protegidas enfrenta un enorme reto para incluir diversas formas de gobernanza, reconociendo los aportes que brindan a la conservación los privados, las comunidades y los pueblos indígenas.</w:t>
      </w:r>
    </w:p>
    <w:p w14:paraId="2E15DEDD" w14:textId="77777777" w:rsidR="00777416" w:rsidRPr="00B91191" w:rsidRDefault="00777416" w:rsidP="00D014D6">
      <w:pPr>
        <w:spacing w:after="0" w:line="240" w:lineRule="auto"/>
        <w:jc w:val="both"/>
        <w:rPr>
          <w:rFonts w:ascii="Arial" w:hAnsi="Arial" w:cs="Arial"/>
          <w:sz w:val="24"/>
          <w:szCs w:val="24"/>
          <w:lang w:val="es-ES"/>
        </w:rPr>
      </w:pPr>
    </w:p>
    <w:p w14:paraId="18139848" w14:textId="57844D15" w:rsidR="00777416" w:rsidRPr="00B91191" w:rsidRDefault="00777416" w:rsidP="00D704CA">
      <w:pPr>
        <w:widowControl w:val="0"/>
        <w:autoSpaceDE w:val="0"/>
        <w:autoSpaceDN w:val="0"/>
        <w:adjustRightInd w:val="0"/>
        <w:spacing w:after="240" w:line="300" w:lineRule="atLeast"/>
        <w:rPr>
          <w:rFonts w:ascii="Arial" w:hAnsi="Arial" w:cs="Calibri"/>
          <w:color w:val="000000"/>
          <w:sz w:val="24"/>
          <w:szCs w:val="24"/>
          <w:lang w:val="es-ES"/>
        </w:rPr>
      </w:pPr>
      <w:r w:rsidRPr="00B91191">
        <w:rPr>
          <w:rFonts w:ascii="Arial" w:hAnsi="Arial" w:cs="Calibri"/>
          <w:color w:val="000000"/>
          <w:sz w:val="24"/>
          <w:szCs w:val="24"/>
          <w:lang w:val="es-ES"/>
        </w:rPr>
        <w:t xml:space="preserve">En una consulta con 35 representantes de los 8 </w:t>
      </w:r>
      <w:r w:rsidR="00C31AC1">
        <w:rPr>
          <w:rFonts w:ascii="Arial" w:hAnsi="Arial" w:cs="Calibri"/>
          <w:color w:val="000000"/>
          <w:sz w:val="24"/>
          <w:szCs w:val="24"/>
          <w:lang w:val="es-ES"/>
        </w:rPr>
        <w:t xml:space="preserve">grupos </w:t>
      </w:r>
      <w:r w:rsidRPr="00B91191">
        <w:rPr>
          <w:rFonts w:ascii="Arial" w:hAnsi="Arial" w:cs="Calibri"/>
          <w:color w:val="000000"/>
          <w:sz w:val="24"/>
          <w:szCs w:val="24"/>
          <w:lang w:val="es-ES"/>
        </w:rPr>
        <w:t xml:space="preserve"> indígenas se  identificaron como la principal amenaza la pérdida de tierras indígenas en manos de no indígenas.  Esta amenaza su integridad cultural como pueblo, su biodiversidad y la provisión de los servicios </w:t>
      </w:r>
      <w:proofErr w:type="spellStart"/>
      <w:r w:rsidRPr="00B91191">
        <w:rPr>
          <w:rFonts w:ascii="Arial" w:hAnsi="Arial" w:cs="Calibri"/>
          <w:color w:val="000000"/>
          <w:sz w:val="24"/>
          <w:szCs w:val="24"/>
          <w:lang w:val="es-ES"/>
        </w:rPr>
        <w:t>ecosistémicos</w:t>
      </w:r>
      <w:proofErr w:type="spellEnd"/>
      <w:r w:rsidRPr="00B91191">
        <w:rPr>
          <w:rFonts w:ascii="Arial" w:hAnsi="Arial" w:cs="Calibri"/>
          <w:color w:val="000000"/>
          <w:sz w:val="24"/>
          <w:szCs w:val="24"/>
          <w:lang w:val="es-ES"/>
        </w:rPr>
        <w:t>.</w:t>
      </w:r>
      <w:r w:rsidRPr="00B91191">
        <w:rPr>
          <w:rStyle w:val="Refdenotaalpie"/>
          <w:rFonts w:ascii="Arial" w:hAnsi="Arial" w:cs="Calibri"/>
          <w:color w:val="000000"/>
          <w:sz w:val="24"/>
          <w:szCs w:val="24"/>
          <w:lang w:val="es-ES"/>
        </w:rPr>
        <w:footnoteReference w:id="5"/>
      </w:r>
    </w:p>
    <w:p w14:paraId="5160A782" w14:textId="77777777" w:rsidR="00F3443F" w:rsidRPr="00B91191" w:rsidRDefault="00F3443F" w:rsidP="00D014D6">
      <w:pPr>
        <w:spacing w:after="0" w:line="240" w:lineRule="auto"/>
        <w:jc w:val="both"/>
        <w:rPr>
          <w:rFonts w:ascii="Arial" w:hAnsi="Arial" w:cs="Arial"/>
          <w:sz w:val="24"/>
          <w:szCs w:val="24"/>
          <w:lang w:val="es-ES"/>
        </w:rPr>
      </w:pPr>
    </w:p>
    <w:p w14:paraId="109A4801" w14:textId="16BD4FF4" w:rsidR="005D6D0E" w:rsidRPr="00B91191" w:rsidRDefault="005D6D0E" w:rsidP="005D6D0E">
      <w:pPr>
        <w:spacing w:after="0" w:line="240" w:lineRule="auto"/>
        <w:rPr>
          <w:rFonts w:ascii="Arial" w:eastAsia="Times New Roman" w:hAnsi="Arial" w:cs="Arial"/>
          <w:sz w:val="24"/>
          <w:szCs w:val="24"/>
          <w:lang w:val="es-ES_tradnl" w:eastAsia="es-ES"/>
        </w:rPr>
      </w:pPr>
      <w:r w:rsidRPr="00B91191">
        <w:rPr>
          <w:rFonts w:ascii="Arial" w:eastAsia="Times New Roman" w:hAnsi="Arial" w:cs="Arial"/>
          <w:color w:val="333333"/>
          <w:sz w:val="24"/>
          <w:szCs w:val="24"/>
          <w:shd w:val="clear" w:color="auto" w:fill="FFFFFF"/>
          <w:lang w:val="es-ES_tradnl" w:eastAsia="es-ES"/>
        </w:rPr>
        <w:t xml:space="preserve">Costa Rica ha logrado avances ambientales importantes en décadas previas, incluyendo una </w:t>
      </w:r>
      <w:r w:rsidR="00C31AC1">
        <w:rPr>
          <w:rFonts w:ascii="Arial" w:eastAsia="Times New Roman" w:hAnsi="Arial" w:cs="Arial"/>
          <w:color w:val="333333"/>
          <w:sz w:val="24"/>
          <w:szCs w:val="24"/>
          <w:shd w:val="clear" w:color="auto" w:fill="FFFFFF"/>
          <w:lang w:val="es-ES_tradnl" w:eastAsia="es-ES"/>
        </w:rPr>
        <w:t xml:space="preserve">generación </w:t>
      </w:r>
      <w:r w:rsidRPr="00B91191">
        <w:rPr>
          <w:rFonts w:ascii="Arial" w:eastAsia="Times New Roman" w:hAnsi="Arial" w:cs="Arial"/>
          <w:color w:val="333333"/>
          <w:sz w:val="24"/>
          <w:szCs w:val="24"/>
          <w:shd w:val="clear" w:color="auto" w:fill="FFFFFF"/>
          <w:lang w:val="es-ES_tradnl" w:eastAsia="es-ES"/>
        </w:rPr>
        <w:t xml:space="preserve"> eléctrica en más de un 9</w:t>
      </w:r>
      <w:r w:rsidR="00C31AC1">
        <w:rPr>
          <w:rFonts w:ascii="Arial" w:eastAsia="Times New Roman" w:hAnsi="Arial" w:cs="Arial"/>
          <w:color w:val="333333"/>
          <w:sz w:val="24"/>
          <w:szCs w:val="24"/>
          <w:shd w:val="clear" w:color="auto" w:fill="FFFFFF"/>
          <w:lang w:val="es-ES_tradnl" w:eastAsia="es-ES"/>
        </w:rPr>
        <w:t>8</w:t>
      </w:r>
      <w:r w:rsidRPr="00B91191">
        <w:rPr>
          <w:rFonts w:ascii="Arial" w:eastAsia="Times New Roman" w:hAnsi="Arial" w:cs="Arial"/>
          <w:color w:val="333333"/>
          <w:sz w:val="24"/>
          <w:szCs w:val="24"/>
          <w:shd w:val="clear" w:color="auto" w:fill="FFFFFF"/>
          <w:lang w:val="es-ES_tradnl" w:eastAsia="es-ES"/>
        </w:rPr>
        <w:t xml:space="preserve">% </w:t>
      </w:r>
      <w:r w:rsidR="00C31AC1">
        <w:rPr>
          <w:rFonts w:ascii="Arial" w:eastAsia="Times New Roman" w:hAnsi="Arial" w:cs="Arial"/>
          <w:color w:val="333333"/>
          <w:sz w:val="24"/>
          <w:szCs w:val="24"/>
          <w:shd w:val="clear" w:color="auto" w:fill="FFFFFF"/>
          <w:lang w:val="es-ES_tradnl" w:eastAsia="es-ES"/>
        </w:rPr>
        <w:t xml:space="preserve">con energías renovables </w:t>
      </w:r>
      <w:r w:rsidRPr="00B91191">
        <w:rPr>
          <w:rFonts w:ascii="Arial" w:eastAsia="Times New Roman" w:hAnsi="Arial" w:cs="Arial"/>
          <w:color w:val="333333"/>
          <w:sz w:val="24"/>
          <w:szCs w:val="24"/>
          <w:shd w:val="clear" w:color="auto" w:fill="FFFFFF"/>
          <w:lang w:val="es-ES_tradnl" w:eastAsia="es-ES"/>
        </w:rPr>
        <w:t>y muy bajas tasas de deforestación con una cobertura boscosa que supera el 52% del territorio.</w:t>
      </w:r>
    </w:p>
    <w:p w14:paraId="1A3E8D80" w14:textId="77777777" w:rsidR="00F3443F" w:rsidRPr="00B91191" w:rsidRDefault="00F3443F" w:rsidP="00D014D6">
      <w:pPr>
        <w:spacing w:after="0" w:line="240" w:lineRule="auto"/>
        <w:jc w:val="both"/>
        <w:rPr>
          <w:rFonts w:ascii="Arial" w:hAnsi="Arial" w:cs="Arial"/>
          <w:sz w:val="24"/>
          <w:szCs w:val="24"/>
          <w:lang w:val="es-ES"/>
        </w:rPr>
      </w:pPr>
    </w:p>
    <w:p w14:paraId="068BF29D" w14:textId="74793F1A" w:rsidR="005D6D0E" w:rsidRPr="00B91191" w:rsidRDefault="005D6D0E" w:rsidP="005D6D0E">
      <w:pPr>
        <w:rPr>
          <w:rFonts w:ascii="Arial" w:eastAsia="Times New Roman" w:hAnsi="Arial" w:cs="Arial"/>
          <w:sz w:val="24"/>
          <w:szCs w:val="24"/>
          <w:lang w:val="es-ES_tradnl" w:eastAsia="es-ES"/>
        </w:rPr>
      </w:pPr>
      <w:r w:rsidRPr="00B91191">
        <w:rPr>
          <w:rFonts w:ascii="Arial" w:hAnsi="Arial" w:cs="Arial"/>
          <w:sz w:val="24"/>
          <w:szCs w:val="24"/>
          <w:lang w:val="es-ES"/>
        </w:rPr>
        <w:t xml:space="preserve">Recientemente ha lanzado su </w:t>
      </w:r>
      <w:r w:rsidRPr="00B91191">
        <w:rPr>
          <w:rFonts w:ascii="Arial" w:eastAsia="Times New Roman" w:hAnsi="Arial" w:cs="Arial"/>
          <w:color w:val="333333"/>
          <w:sz w:val="24"/>
          <w:szCs w:val="24"/>
          <w:bdr w:val="none" w:sz="0" w:space="0" w:color="auto" w:frame="1"/>
          <w:shd w:val="clear" w:color="auto" w:fill="FFFFFF"/>
          <w:lang w:val="es-ES_tradnl" w:eastAsia="es-ES"/>
        </w:rPr>
        <w:t xml:space="preserve"> Plan Nacional de </w:t>
      </w:r>
      <w:proofErr w:type="spellStart"/>
      <w:r w:rsidRPr="00B91191">
        <w:rPr>
          <w:rFonts w:ascii="Arial" w:eastAsia="Times New Roman" w:hAnsi="Arial" w:cs="Arial"/>
          <w:color w:val="333333"/>
          <w:sz w:val="24"/>
          <w:szCs w:val="24"/>
          <w:bdr w:val="none" w:sz="0" w:space="0" w:color="auto" w:frame="1"/>
          <w:shd w:val="clear" w:color="auto" w:fill="FFFFFF"/>
          <w:lang w:val="es-ES_tradnl" w:eastAsia="es-ES"/>
        </w:rPr>
        <w:t>Descarbonización</w:t>
      </w:r>
      <w:proofErr w:type="spellEnd"/>
      <w:r w:rsidRPr="00B91191">
        <w:rPr>
          <w:rFonts w:ascii="Arial" w:eastAsia="Times New Roman" w:hAnsi="Arial" w:cs="Arial"/>
          <w:color w:val="333333"/>
          <w:sz w:val="24"/>
          <w:szCs w:val="24"/>
          <w:bdr w:val="none" w:sz="0" w:space="0" w:color="auto" w:frame="1"/>
          <w:shd w:val="clear" w:color="auto" w:fill="FFFFFF"/>
          <w:lang w:val="es-ES_tradnl" w:eastAsia="es-ES"/>
        </w:rPr>
        <w:t xml:space="preserve">  el cual </w:t>
      </w:r>
      <w:r w:rsidRPr="00B91191">
        <w:rPr>
          <w:rFonts w:ascii="Arial" w:eastAsia="Times New Roman" w:hAnsi="Arial" w:cs="Arial"/>
          <w:color w:val="333333"/>
          <w:sz w:val="24"/>
          <w:szCs w:val="24"/>
          <w:shd w:val="clear" w:color="auto" w:fill="FFFFFF"/>
          <w:lang w:val="es-ES_tradnl" w:eastAsia="es-ES"/>
        </w:rPr>
        <w:t>realizará cambios y modificaciones significativas en su oferta de movilidad y transporte (público y privado), en la gestión de sus formas de energía, en la construcción sostenible y la industria instalada en el país, así como en la gestión de los residuos de sus ciudadanos y empresas.  Transporte y energía son sus retos más grandes sin duda.</w:t>
      </w:r>
    </w:p>
    <w:p w14:paraId="6D72B845" w14:textId="77777777" w:rsidR="00F3443F" w:rsidRPr="00B91191" w:rsidRDefault="00F3443F" w:rsidP="00D014D6">
      <w:pPr>
        <w:spacing w:after="0" w:line="240" w:lineRule="auto"/>
        <w:jc w:val="both"/>
        <w:rPr>
          <w:rFonts w:ascii="Arial" w:hAnsi="Arial" w:cs="Arial"/>
          <w:sz w:val="24"/>
          <w:szCs w:val="24"/>
          <w:lang w:val="es-ES"/>
        </w:rPr>
      </w:pPr>
    </w:p>
    <w:p w14:paraId="5ADDFC89" w14:textId="77777777" w:rsidR="006B3B51" w:rsidRPr="00B91191" w:rsidRDefault="006B3B51" w:rsidP="00B9682D">
      <w:pPr>
        <w:spacing w:after="0" w:line="240" w:lineRule="auto"/>
        <w:ind w:left="450" w:hanging="360"/>
        <w:jc w:val="both"/>
        <w:rPr>
          <w:rFonts w:ascii="Arial" w:eastAsia="Times New Roman" w:hAnsi="Arial" w:cs="Arial"/>
          <w:sz w:val="24"/>
          <w:szCs w:val="24"/>
          <w:lang w:val="es-ES"/>
        </w:rPr>
      </w:pPr>
    </w:p>
    <w:p w14:paraId="112DF46E" w14:textId="77777777" w:rsidR="006B3B51" w:rsidRPr="00B91191" w:rsidRDefault="006B3B51"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 xml:space="preserve">¿Cómo </w:t>
      </w:r>
      <w:r w:rsidR="00A73706" w:rsidRPr="00B91191">
        <w:rPr>
          <w:rFonts w:ascii="Arial" w:hAnsi="Arial" w:cs="Arial"/>
          <w:sz w:val="24"/>
          <w:szCs w:val="24"/>
          <w:lang w:val="es-ES"/>
        </w:rPr>
        <w:t>pueden contar con una mayor protección</w:t>
      </w:r>
      <w:r w:rsidRPr="00B91191">
        <w:rPr>
          <w:rFonts w:ascii="Arial" w:hAnsi="Arial" w:cs="Arial"/>
          <w:sz w:val="24"/>
          <w:szCs w:val="24"/>
          <w:lang w:val="es-ES"/>
        </w:rPr>
        <w:t xml:space="preserve"> los derechos de quienes </w:t>
      </w:r>
      <w:r w:rsidR="00A73706" w:rsidRPr="00B91191">
        <w:rPr>
          <w:rFonts w:ascii="Arial" w:hAnsi="Arial" w:cs="Arial"/>
          <w:sz w:val="24"/>
          <w:szCs w:val="24"/>
          <w:lang w:val="es-ES"/>
        </w:rPr>
        <w:t>podrían</w:t>
      </w:r>
      <w:r w:rsidRPr="00B91191">
        <w:rPr>
          <w:rFonts w:ascii="Arial" w:hAnsi="Arial" w:cs="Arial"/>
          <w:sz w:val="24"/>
          <w:szCs w:val="24"/>
          <w:lang w:val="es-ES"/>
        </w:rPr>
        <w:t xml:space="preserve"> ser particularmente vulnerables a la violación de su derecho a un medio ambiente sin riesgos, limpio, saludable y sostenible </w:t>
      </w:r>
      <w:r w:rsidRPr="00B91191">
        <w:rPr>
          <w:rFonts w:ascii="Arial" w:hAnsi="Arial" w:cs="Arial"/>
          <w:color w:val="000000"/>
          <w:sz w:val="24"/>
          <w:szCs w:val="24"/>
          <w:lang w:val="es-ES"/>
        </w:rPr>
        <w:t>(por ejemplo, las mujeres, los niños, las personas que viven en la pobreza, los miembros de los pueblos indígenas y las comunidades tradicionales, las personas de edad, las personas con discapacidad, las personas desplazadas y las minorías nacionales o étnicas, religiosas y lingüísticas)</w:t>
      </w:r>
      <w:r w:rsidRPr="00B91191">
        <w:rPr>
          <w:rFonts w:ascii="Arial" w:hAnsi="Arial" w:cs="Arial"/>
          <w:sz w:val="24"/>
          <w:szCs w:val="24"/>
          <w:lang w:val="es-ES"/>
        </w:rPr>
        <w:t>, a través de la de</w:t>
      </w:r>
      <w:r w:rsidR="00F94CAF" w:rsidRPr="00B91191">
        <w:rPr>
          <w:rFonts w:ascii="Arial" w:hAnsi="Arial" w:cs="Arial"/>
          <w:sz w:val="24"/>
          <w:szCs w:val="24"/>
          <w:lang w:val="es-ES"/>
        </w:rPr>
        <w:t>gradación del medio ambiente (por ejemplo,</w:t>
      </w:r>
      <w:r w:rsidRPr="00B91191">
        <w:rPr>
          <w:rFonts w:ascii="Arial" w:hAnsi="Arial" w:cs="Arial"/>
          <w:sz w:val="24"/>
          <w:szCs w:val="24"/>
          <w:lang w:val="es-ES"/>
        </w:rPr>
        <w:t xml:space="preserve"> contaminación del aire y del agua, exposición a sustancias tóxicas, impactos del cambio climático) o la falta de acceso a servicios ambientales (por ejemplo, agua potable, saneamiento adecuado, servicios de gestión de residuos, acceso a espacios naturales)?</w:t>
      </w:r>
    </w:p>
    <w:p w14:paraId="2B06DF94" w14:textId="77777777" w:rsidR="00A2541B" w:rsidRPr="00B91191" w:rsidRDefault="00A2541B" w:rsidP="00B9682D">
      <w:pPr>
        <w:spacing w:after="0" w:line="240" w:lineRule="auto"/>
        <w:ind w:left="450" w:firstLine="60"/>
        <w:jc w:val="both"/>
        <w:rPr>
          <w:rFonts w:ascii="Arial" w:eastAsia="Times New Roman" w:hAnsi="Arial" w:cs="Arial"/>
          <w:sz w:val="24"/>
          <w:szCs w:val="24"/>
          <w:lang w:val="es-ES"/>
        </w:rPr>
      </w:pPr>
    </w:p>
    <w:p w14:paraId="274DF56A" w14:textId="659CAFB1" w:rsidR="009B5E8C" w:rsidRPr="00B91191" w:rsidRDefault="00E0464E" w:rsidP="00854063">
      <w:pPr>
        <w:spacing w:after="0" w:line="240" w:lineRule="auto"/>
        <w:jc w:val="both"/>
        <w:rPr>
          <w:rFonts w:ascii="Arial" w:eastAsia="Times New Roman" w:hAnsi="Arial" w:cs="Arial"/>
          <w:sz w:val="24"/>
          <w:szCs w:val="24"/>
          <w:lang w:val="es-ES"/>
        </w:rPr>
      </w:pPr>
      <w:r w:rsidRPr="00B91191">
        <w:rPr>
          <w:rFonts w:ascii="Arial" w:eastAsia="Times New Roman" w:hAnsi="Arial" w:cs="Arial"/>
          <w:sz w:val="24"/>
          <w:szCs w:val="24"/>
          <w:lang w:val="es-ES"/>
        </w:rPr>
        <w:t xml:space="preserve">Las normas, políticas y estrategias en materia ambiental deben </w:t>
      </w:r>
      <w:r w:rsidR="00854063" w:rsidRPr="00B91191">
        <w:rPr>
          <w:rFonts w:ascii="Arial" w:eastAsia="Times New Roman" w:hAnsi="Arial" w:cs="Arial"/>
          <w:sz w:val="24"/>
          <w:szCs w:val="24"/>
          <w:lang w:val="es-ES"/>
        </w:rPr>
        <w:t xml:space="preserve">incluir un tratamiento específico y deliberado </w:t>
      </w:r>
      <w:r w:rsidRPr="00B91191">
        <w:rPr>
          <w:rFonts w:ascii="Arial" w:eastAsia="Times New Roman" w:hAnsi="Arial" w:cs="Arial"/>
          <w:sz w:val="24"/>
          <w:szCs w:val="24"/>
          <w:lang w:val="es-ES"/>
        </w:rPr>
        <w:t>para proteger los sectores en situación de vulnerabilidad.  En los países en desarrollo</w:t>
      </w:r>
      <w:r w:rsidR="00113DB4">
        <w:rPr>
          <w:rFonts w:ascii="Arial" w:eastAsia="Times New Roman" w:hAnsi="Arial" w:cs="Arial"/>
          <w:sz w:val="24"/>
          <w:szCs w:val="24"/>
          <w:lang w:val="es-ES"/>
        </w:rPr>
        <w:t>,</w:t>
      </w:r>
      <w:r w:rsidRPr="00B91191">
        <w:rPr>
          <w:rFonts w:ascii="Arial" w:eastAsia="Times New Roman" w:hAnsi="Arial" w:cs="Arial"/>
          <w:sz w:val="24"/>
          <w:szCs w:val="24"/>
          <w:lang w:val="es-ES"/>
        </w:rPr>
        <w:t xml:space="preserve"> la relación entre los programas de disminución de la pobreza y de conservación ambiental deben estar </w:t>
      </w:r>
      <w:r w:rsidR="00113DB4">
        <w:rPr>
          <w:rFonts w:ascii="Arial" w:eastAsia="Times New Roman" w:hAnsi="Arial" w:cs="Arial"/>
          <w:sz w:val="24"/>
          <w:szCs w:val="24"/>
          <w:lang w:val="es-ES"/>
        </w:rPr>
        <w:t xml:space="preserve">establecida expresamente. </w:t>
      </w:r>
      <w:r w:rsidRPr="00B91191">
        <w:rPr>
          <w:rFonts w:ascii="Arial" w:eastAsia="Times New Roman" w:hAnsi="Arial" w:cs="Arial"/>
          <w:sz w:val="24"/>
          <w:szCs w:val="24"/>
          <w:lang w:val="es-ES"/>
        </w:rPr>
        <w:t xml:space="preserve">Por ejemplo, al </w:t>
      </w:r>
      <w:r w:rsidRPr="00B91191">
        <w:rPr>
          <w:rFonts w:ascii="Arial" w:eastAsia="Times New Roman" w:hAnsi="Arial" w:cs="Arial"/>
          <w:sz w:val="24"/>
          <w:szCs w:val="24"/>
          <w:lang w:val="es-ES"/>
        </w:rPr>
        <w:lastRenderedPageBreak/>
        <w:t>incor</w:t>
      </w:r>
      <w:r w:rsidR="00854063" w:rsidRPr="00B91191">
        <w:rPr>
          <w:rFonts w:ascii="Arial" w:eastAsia="Times New Roman" w:hAnsi="Arial" w:cs="Arial"/>
          <w:sz w:val="24"/>
          <w:szCs w:val="24"/>
          <w:lang w:val="es-ES"/>
        </w:rPr>
        <w:t xml:space="preserve">porar en la tabla de valoración </w:t>
      </w:r>
      <w:r w:rsidRPr="00B91191">
        <w:rPr>
          <w:rFonts w:ascii="Arial" w:eastAsia="Times New Roman" w:hAnsi="Arial" w:cs="Arial"/>
          <w:sz w:val="24"/>
          <w:szCs w:val="24"/>
          <w:lang w:val="es-ES"/>
        </w:rPr>
        <w:t xml:space="preserve">de los terrenos que pueden optar por PPSA la variable </w:t>
      </w:r>
      <w:r w:rsidR="00D704CA" w:rsidRPr="00B91191">
        <w:rPr>
          <w:rFonts w:ascii="Arial" w:eastAsia="Times New Roman" w:hAnsi="Arial" w:cs="Arial"/>
          <w:sz w:val="24"/>
          <w:szCs w:val="24"/>
          <w:lang w:val="es-ES"/>
        </w:rPr>
        <w:t xml:space="preserve">geográfica </w:t>
      </w:r>
      <w:r w:rsidR="00113DB4">
        <w:rPr>
          <w:rFonts w:ascii="Arial" w:eastAsia="Times New Roman" w:hAnsi="Arial" w:cs="Arial"/>
          <w:sz w:val="24"/>
          <w:szCs w:val="24"/>
          <w:lang w:val="es-ES"/>
        </w:rPr>
        <w:t xml:space="preserve">con el objetivo de </w:t>
      </w:r>
      <w:r w:rsidR="00D704CA" w:rsidRPr="00B91191">
        <w:rPr>
          <w:rFonts w:ascii="Arial" w:eastAsia="Times New Roman" w:hAnsi="Arial" w:cs="Arial"/>
          <w:sz w:val="24"/>
          <w:szCs w:val="24"/>
          <w:lang w:val="es-ES"/>
        </w:rPr>
        <w:t xml:space="preserve">priorizar aquellos terrenos ubicados en zonas de rezago social , </w:t>
      </w:r>
      <w:r w:rsidR="00113DB4">
        <w:rPr>
          <w:rFonts w:ascii="Arial" w:eastAsia="Times New Roman" w:hAnsi="Arial" w:cs="Arial"/>
          <w:sz w:val="24"/>
          <w:szCs w:val="24"/>
          <w:lang w:val="es-ES"/>
        </w:rPr>
        <w:t xml:space="preserve">y así </w:t>
      </w:r>
      <w:r w:rsidRPr="00B91191">
        <w:rPr>
          <w:rFonts w:ascii="Arial" w:eastAsia="Times New Roman" w:hAnsi="Arial" w:cs="Arial"/>
          <w:sz w:val="24"/>
          <w:szCs w:val="24"/>
          <w:lang w:val="es-ES"/>
        </w:rPr>
        <w:t>favorecer el otorgamiento de este incentivos en esas zonas, permitió utilizar un programa de conservación ambiental para sectores con altos índice de pobreza.  El otorgamiento del PPSA se orientó en un 49,46% a fincas menores de 50 has,  la mitad de los créditos fue inferior a 5 m</w:t>
      </w:r>
      <w:r w:rsidR="009B5E8C" w:rsidRPr="00B91191">
        <w:rPr>
          <w:rFonts w:ascii="Arial" w:eastAsia="Times New Roman" w:hAnsi="Arial" w:cs="Arial"/>
          <w:sz w:val="24"/>
          <w:szCs w:val="24"/>
          <w:lang w:val="es-ES"/>
        </w:rPr>
        <w:t>illones de colones ($ 8.000 US).</w:t>
      </w:r>
    </w:p>
    <w:p w14:paraId="6B35CBC6" w14:textId="77777777" w:rsidR="009B5E8C" w:rsidRPr="00B91191" w:rsidRDefault="009B5E8C" w:rsidP="00B9682D">
      <w:pPr>
        <w:spacing w:after="0" w:line="240" w:lineRule="auto"/>
        <w:ind w:left="450" w:firstLine="60"/>
        <w:jc w:val="both"/>
        <w:rPr>
          <w:rFonts w:ascii="Arial" w:eastAsia="Times New Roman" w:hAnsi="Arial" w:cs="Arial"/>
          <w:sz w:val="24"/>
          <w:szCs w:val="24"/>
          <w:lang w:val="es-ES"/>
        </w:rPr>
      </w:pPr>
    </w:p>
    <w:p w14:paraId="280473E7" w14:textId="747DB250" w:rsidR="009B5E8C" w:rsidRPr="00B91191" w:rsidRDefault="009B5E8C" w:rsidP="009B5E8C">
      <w:pPr>
        <w:spacing w:after="0" w:line="240" w:lineRule="auto"/>
        <w:rPr>
          <w:rFonts w:ascii="Arial" w:eastAsia="Times New Roman" w:hAnsi="Arial" w:cs="Arial"/>
          <w:sz w:val="24"/>
          <w:szCs w:val="24"/>
          <w:lang w:val="es-ES_tradnl" w:eastAsia="es-ES"/>
        </w:rPr>
      </w:pPr>
      <w:r w:rsidRPr="00B91191">
        <w:rPr>
          <w:rFonts w:ascii="Arial" w:eastAsia="Times New Roman" w:hAnsi="Arial" w:cs="Arial"/>
          <w:color w:val="333333"/>
          <w:sz w:val="24"/>
          <w:szCs w:val="24"/>
          <w:shd w:val="clear" w:color="auto" w:fill="FFFFFF"/>
          <w:lang w:val="es-ES_tradnl" w:eastAsia="es-ES"/>
        </w:rPr>
        <w:t>El Fondo Nacional de Financiamiento Forestal (FONAFIFO), mediante el Programa Pago por Servicios Ambientales (</w:t>
      </w:r>
      <w:r w:rsidR="00854063" w:rsidRPr="00B91191">
        <w:rPr>
          <w:rFonts w:ascii="Arial" w:eastAsia="Times New Roman" w:hAnsi="Arial" w:cs="Arial"/>
          <w:color w:val="333333"/>
          <w:sz w:val="24"/>
          <w:szCs w:val="24"/>
          <w:shd w:val="clear" w:color="auto" w:fill="FFFFFF"/>
          <w:lang w:val="es-ES_tradnl" w:eastAsia="es-ES"/>
        </w:rPr>
        <w:t>P</w:t>
      </w:r>
      <w:r w:rsidRPr="00B91191">
        <w:rPr>
          <w:rFonts w:ascii="Arial" w:eastAsia="Times New Roman" w:hAnsi="Arial" w:cs="Arial"/>
          <w:color w:val="333333"/>
          <w:sz w:val="24"/>
          <w:szCs w:val="24"/>
          <w:shd w:val="clear" w:color="auto" w:fill="FFFFFF"/>
          <w:lang w:val="es-ES_tradnl" w:eastAsia="es-ES"/>
        </w:rPr>
        <w:t>PSA) ha desembolsado un total de ¢3,275,533,439  ($ 5.459</w:t>
      </w:r>
      <w:r w:rsidR="00170A3C" w:rsidRPr="00B91191">
        <w:rPr>
          <w:rFonts w:ascii="Arial" w:eastAsia="Times New Roman" w:hAnsi="Arial" w:cs="Arial"/>
          <w:color w:val="333333"/>
          <w:sz w:val="24"/>
          <w:szCs w:val="24"/>
          <w:shd w:val="clear" w:color="auto" w:fill="FFFFFF"/>
          <w:lang w:val="es-ES_tradnl" w:eastAsia="es-ES"/>
        </w:rPr>
        <w:t xml:space="preserve">,22 US) </w:t>
      </w:r>
      <w:r w:rsidRPr="00B91191">
        <w:rPr>
          <w:rFonts w:ascii="Arial" w:eastAsia="Times New Roman" w:hAnsi="Arial" w:cs="Arial"/>
          <w:color w:val="333333"/>
          <w:sz w:val="24"/>
          <w:szCs w:val="24"/>
          <w:shd w:val="clear" w:color="auto" w:fill="FFFFFF"/>
          <w:lang w:val="es-ES_tradnl" w:eastAsia="es-ES"/>
        </w:rPr>
        <w:t xml:space="preserve"> a comunidades indígenas que se han comprometido con cuidar y salvar los bosques. Con este esfuerzo, durante el período 2014 – 2017 los territorios indígenas han logrado incorporar un total de 41.258 hectáreas y han sembrado un promedio de 170.100 árboles en sus territorios.</w:t>
      </w:r>
    </w:p>
    <w:p w14:paraId="26D8A7B9" w14:textId="77777777" w:rsidR="00E0464E" w:rsidRPr="00B91191" w:rsidRDefault="00E0464E" w:rsidP="00B9682D">
      <w:pPr>
        <w:spacing w:after="0" w:line="240" w:lineRule="auto"/>
        <w:ind w:left="450" w:firstLine="60"/>
        <w:jc w:val="both"/>
        <w:rPr>
          <w:rFonts w:ascii="Arial" w:eastAsia="Times New Roman" w:hAnsi="Arial" w:cs="Arial"/>
          <w:sz w:val="24"/>
          <w:szCs w:val="24"/>
          <w:lang w:val="es-ES"/>
        </w:rPr>
      </w:pPr>
    </w:p>
    <w:p w14:paraId="41BBEC69" w14:textId="77777777" w:rsidR="00A2541B" w:rsidRPr="00B91191" w:rsidRDefault="00A73706"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¿Cómo se asegura de que se protejan los derechos de los defensores de los derechos humanos del medio ambiente? ¿Qué medidas ha adoptado su Gobierno, empresa u organización para crear un entorno seguro y propicio para que puedan ejercer libremente sus derechos sin temor a la intimidación, la violencia o las represalias?</w:t>
      </w:r>
    </w:p>
    <w:p w14:paraId="19017EBD" w14:textId="77777777" w:rsidR="00916911" w:rsidRPr="00B91191" w:rsidRDefault="00916911" w:rsidP="00B9682D">
      <w:pPr>
        <w:spacing w:after="0" w:line="240" w:lineRule="auto"/>
        <w:ind w:left="450" w:firstLine="60"/>
        <w:jc w:val="both"/>
        <w:rPr>
          <w:rFonts w:ascii="Arial" w:eastAsia="Times New Roman" w:hAnsi="Arial" w:cs="Arial"/>
          <w:sz w:val="24"/>
          <w:szCs w:val="24"/>
          <w:lang w:val="es-ES"/>
        </w:rPr>
      </w:pPr>
    </w:p>
    <w:p w14:paraId="0F4C71FA" w14:textId="77777777" w:rsidR="00916911" w:rsidRPr="00B91191" w:rsidRDefault="00916911" w:rsidP="00916911">
      <w:pPr>
        <w:widowControl w:val="0"/>
        <w:autoSpaceDE w:val="0"/>
        <w:autoSpaceDN w:val="0"/>
        <w:adjustRightInd w:val="0"/>
        <w:spacing w:after="240" w:line="276" w:lineRule="auto"/>
        <w:rPr>
          <w:rFonts w:ascii="Arial" w:hAnsi="Arial" w:cs="Arial"/>
          <w:color w:val="000000"/>
          <w:sz w:val="24"/>
          <w:szCs w:val="24"/>
          <w:lang w:val="es-ES"/>
        </w:rPr>
      </w:pPr>
      <w:r w:rsidRPr="00B91191">
        <w:rPr>
          <w:rFonts w:ascii="Arial" w:hAnsi="Arial" w:cs="Arial"/>
          <w:color w:val="000000"/>
          <w:sz w:val="24"/>
          <w:szCs w:val="24"/>
          <w:lang w:val="es-ES"/>
        </w:rPr>
        <w:t xml:space="preserve">En marzo del 2018 se adoptó el texto del Acuerdo Regional sobre el Acceso a la Información, la Participación Público y el Acceso a la Justicia en Asuntos Ambientales en América Latina y el Caribe.  Un instrumento internacional vital para la Democracia Ambiental en la región, el primero desde la Conferencia de Naciones Unidas sobre el Desarrollo Sostenible y fundamentado en el Principio 10 de la Declaración de Río sobre el Medio Ambiente y el Desarrollo de 1992.   Este proceso que tuvo la activa y significativa participación del público fue liderado por Costa Rica en su calidad de </w:t>
      </w:r>
      <w:proofErr w:type="spellStart"/>
      <w:r w:rsidRPr="00B91191">
        <w:rPr>
          <w:rFonts w:ascii="Arial" w:hAnsi="Arial" w:cs="Arial"/>
          <w:color w:val="000000"/>
          <w:sz w:val="24"/>
          <w:szCs w:val="24"/>
          <w:lang w:val="es-ES"/>
        </w:rPr>
        <w:t>CoPresidente</w:t>
      </w:r>
      <w:proofErr w:type="spellEnd"/>
      <w:r w:rsidRPr="00B91191">
        <w:rPr>
          <w:rFonts w:ascii="Arial" w:hAnsi="Arial" w:cs="Arial"/>
          <w:color w:val="000000"/>
          <w:sz w:val="24"/>
          <w:szCs w:val="24"/>
          <w:lang w:val="es-ES"/>
        </w:rPr>
        <w:t xml:space="preserve"> de la Mesa Directiva.  </w:t>
      </w:r>
    </w:p>
    <w:p w14:paraId="4440CD93" w14:textId="3F57F956" w:rsidR="00916911" w:rsidRPr="00B91191" w:rsidRDefault="00916911" w:rsidP="00916911">
      <w:pPr>
        <w:widowControl w:val="0"/>
        <w:tabs>
          <w:tab w:val="left" w:pos="220"/>
          <w:tab w:val="left" w:pos="720"/>
        </w:tabs>
        <w:autoSpaceDE w:val="0"/>
        <w:autoSpaceDN w:val="0"/>
        <w:adjustRightInd w:val="0"/>
        <w:spacing w:after="293"/>
        <w:contextualSpacing/>
        <w:rPr>
          <w:rFonts w:ascii="Arial" w:hAnsi="Arial" w:cs="Arial"/>
          <w:color w:val="000000"/>
          <w:sz w:val="24"/>
          <w:szCs w:val="24"/>
          <w:lang w:val="es-ES"/>
        </w:rPr>
      </w:pPr>
      <w:r w:rsidRPr="00B91191">
        <w:rPr>
          <w:rFonts w:ascii="Arial" w:hAnsi="Arial" w:cs="Arial"/>
          <w:color w:val="000000"/>
          <w:sz w:val="24"/>
          <w:szCs w:val="24"/>
          <w:lang w:val="es-ES"/>
        </w:rPr>
        <w:t xml:space="preserve">El país debe avanzar hacia la elaboración de un Plan de Acción para la aplicación y cumplimiento del Acuerdo de Escazú en donde se incluye el artículo 9 que para garantizarlo requiere de un protocolos de actuación por competencias institucionales para garantizar un entorno seguro y propicio </w:t>
      </w:r>
      <w:bookmarkStart w:id="3" w:name="OLE_LINK8"/>
      <w:r w:rsidRPr="00B91191">
        <w:rPr>
          <w:rFonts w:ascii="Arial" w:hAnsi="Arial" w:cs="Arial"/>
          <w:color w:val="000000"/>
          <w:sz w:val="24"/>
          <w:szCs w:val="24"/>
          <w:lang w:val="es-ES"/>
        </w:rPr>
        <w:t xml:space="preserve">para los defensores de derechos humanos en asuntos ambientales. </w:t>
      </w:r>
    </w:p>
    <w:p w14:paraId="2D053B00" w14:textId="77777777" w:rsidR="00D704CA" w:rsidRPr="00B91191" w:rsidRDefault="00D704CA" w:rsidP="00916911">
      <w:pPr>
        <w:widowControl w:val="0"/>
        <w:tabs>
          <w:tab w:val="left" w:pos="220"/>
          <w:tab w:val="left" w:pos="720"/>
        </w:tabs>
        <w:autoSpaceDE w:val="0"/>
        <w:autoSpaceDN w:val="0"/>
        <w:adjustRightInd w:val="0"/>
        <w:spacing w:after="293"/>
        <w:contextualSpacing/>
        <w:rPr>
          <w:rFonts w:ascii="Arial" w:hAnsi="Arial" w:cs="Arial"/>
          <w:color w:val="000000"/>
          <w:sz w:val="24"/>
          <w:szCs w:val="24"/>
          <w:lang w:val="es-ES"/>
        </w:rPr>
      </w:pPr>
    </w:p>
    <w:p w14:paraId="680CCD92" w14:textId="13BB1B72" w:rsidR="00D704CA" w:rsidRPr="00B91191" w:rsidRDefault="00D704CA" w:rsidP="00916911">
      <w:pPr>
        <w:widowControl w:val="0"/>
        <w:tabs>
          <w:tab w:val="left" w:pos="220"/>
          <w:tab w:val="left" w:pos="720"/>
        </w:tabs>
        <w:autoSpaceDE w:val="0"/>
        <w:autoSpaceDN w:val="0"/>
        <w:adjustRightInd w:val="0"/>
        <w:spacing w:after="293"/>
        <w:contextualSpacing/>
        <w:rPr>
          <w:rFonts w:ascii="Arial" w:hAnsi="Arial" w:cs="Arial"/>
          <w:color w:val="000000"/>
          <w:sz w:val="24"/>
          <w:szCs w:val="24"/>
          <w:lang w:val="es-ES"/>
        </w:rPr>
      </w:pPr>
      <w:r w:rsidRPr="00B91191">
        <w:rPr>
          <w:rFonts w:ascii="Arial" w:hAnsi="Arial" w:cs="Arial"/>
          <w:color w:val="000000"/>
          <w:sz w:val="24"/>
          <w:szCs w:val="24"/>
          <w:lang w:val="es-ES"/>
        </w:rPr>
        <w:t xml:space="preserve">El asesinato de Sergio Rojas, dirigente indígena el pasado 19 de marzo demuestra que aún cuando existían medidas cautelares emitidas para su protección y un protocolo de actuación, no fue suficiente para garantizar su integridad física. </w:t>
      </w:r>
    </w:p>
    <w:bookmarkEnd w:id="3"/>
    <w:p w14:paraId="6967CE4E" w14:textId="77777777" w:rsidR="00916911" w:rsidRPr="00B91191" w:rsidRDefault="00916911" w:rsidP="00916911">
      <w:pPr>
        <w:spacing w:after="0" w:line="240" w:lineRule="auto"/>
        <w:jc w:val="both"/>
        <w:rPr>
          <w:rFonts w:ascii="Arial" w:eastAsia="Times New Roman" w:hAnsi="Arial" w:cs="Arial"/>
          <w:sz w:val="24"/>
          <w:szCs w:val="24"/>
          <w:lang w:val="es-ES"/>
        </w:rPr>
      </w:pPr>
    </w:p>
    <w:p w14:paraId="1E199DA3" w14:textId="77777777" w:rsidR="00A2541B" w:rsidRPr="00B91191" w:rsidRDefault="00A2541B"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w:t>
      </w:r>
      <w:r w:rsidR="00A73706" w:rsidRPr="00B91191">
        <w:rPr>
          <w:rFonts w:ascii="Arial" w:hAnsi="Arial" w:cs="Arial"/>
          <w:sz w:val="24"/>
          <w:szCs w:val="24"/>
          <w:lang w:val="es-ES"/>
        </w:rPr>
        <w:t>De qué manera los Estados de ingresos altos deberían ayudar a los Estados de ingresos bajos a respetar, proteger y realizar el derecho humano a un medio ambiente sin riesgos, limpio, saludable y sostenible</w:t>
      </w:r>
      <w:r w:rsidRPr="00B91191">
        <w:rPr>
          <w:rFonts w:ascii="Arial" w:hAnsi="Arial" w:cs="Arial"/>
          <w:sz w:val="24"/>
          <w:szCs w:val="24"/>
          <w:lang w:val="es-ES"/>
        </w:rPr>
        <w:t>?</w:t>
      </w:r>
    </w:p>
    <w:p w14:paraId="152EA552" w14:textId="77777777" w:rsidR="00854063" w:rsidRPr="00B91191" w:rsidRDefault="00854063" w:rsidP="00916911">
      <w:pPr>
        <w:spacing w:after="0" w:line="240" w:lineRule="auto"/>
        <w:ind w:left="90"/>
        <w:jc w:val="both"/>
        <w:rPr>
          <w:rFonts w:ascii="Arial" w:hAnsi="Arial" w:cs="Arial"/>
          <w:sz w:val="24"/>
          <w:szCs w:val="24"/>
          <w:lang w:val="es-ES"/>
        </w:rPr>
      </w:pPr>
    </w:p>
    <w:p w14:paraId="03D8D075" w14:textId="7036A282" w:rsidR="00916911" w:rsidRPr="00B91191" w:rsidRDefault="00916911" w:rsidP="00916911">
      <w:pPr>
        <w:spacing w:after="0" w:line="240" w:lineRule="auto"/>
        <w:ind w:left="90"/>
        <w:jc w:val="both"/>
        <w:rPr>
          <w:rFonts w:ascii="Arial" w:hAnsi="Arial" w:cs="Arial"/>
          <w:sz w:val="24"/>
          <w:szCs w:val="24"/>
          <w:lang w:val="es-ES"/>
        </w:rPr>
      </w:pPr>
      <w:r w:rsidRPr="00B91191">
        <w:rPr>
          <w:rFonts w:ascii="Arial" w:hAnsi="Arial" w:cs="Arial"/>
          <w:sz w:val="24"/>
          <w:szCs w:val="24"/>
          <w:lang w:val="es-ES"/>
        </w:rPr>
        <w:lastRenderedPageBreak/>
        <w:t>Por medio de la cooperación en los temas que hayan sido previamente identificados, el intercambio de las buenas prácticas y el acompañamiento de procesos de mediano y largo plazo que sean monitoreados según indicados de avance.</w:t>
      </w:r>
    </w:p>
    <w:p w14:paraId="57C146E9" w14:textId="77777777" w:rsidR="00A2541B" w:rsidRPr="00B91191" w:rsidRDefault="00A2541B" w:rsidP="00B9682D">
      <w:pPr>
        <w:spacing w:after="0" w:line="240" w:lineRule="auto"/>
        <w:ind w:left="450" w:firstLine="60"/>
        <w:jc w:val="both"/>
        <w:rPr>
          <w:rFonts w:ascii="Arial" w:eastAsia="Times New Roman" w:hAnsi="Arial" w:cs="Arial"/>
          <w:sz w:val="24"/>
          <w:szCs w:val="24"/>
          <w:lang w:val="es-ES"/>
        </w:rPr>
      </w:pPr>
    </w:p>
    <w:p w14:paraId="2CCA4A89" w14:textId="77777777" w:rsidR="00A2541B" w:rsidRPr="00B91191" w:rsidRDefault="00A73706" w:rsidP="00B9682D">
      <w:pPr>
        <w:pStyle w:val="Prrafodelista"/>
        <w:numPr>
          <w:ilvl w:val="0"/>
          <w:numId w:val="3"/>
        </w:numPr>
        <w:spacing w:after="0" w:line="240" w:lineRule="auto"/>
        <w:ind w:left="450"/>
        <w:jc w:val="both"/>
        <w:rPr>
          <w:rFonts w:ascii="Arial" w:hAnsi="Arial" w:cs="Arial"/>
          <w:sz w:val="24"/>
          <w:szCs w:val="24"/>
          <w:lang w:val="es-ES"/>
        </w:rPr>
      </w:pPr>
      <w:r w:rsidRPr="00B91191">
        <w:rPr>
          <w:rFonts w:ascii="Arial" w:hAnsi="Arial" w:cs="Arial"/>
          <w:sz w:val="24"/>
          <w:szCs w:val="24"/>
          <w:lang w:val="es-ES"/>
        </w:rPr>
        <w:t>Para las empresas, ¿qué políticas o prácticas existen para asegurar que sus actividades, productos y servicios (extracción/abastecimiento, fabricación, distribución, venta y gestión del final de la vida útil) respeten y protejan el derecho humano a un medio ambiente sin riesgos, limpio, saludable y sostenible</w:t>
      </w:r>
      <w:r w:rsidR="00A2541B" w:rsidRPr="00B91191">
        <w:rPr>
          <w:rFonts w:ascii="Arial" w:hAnsi="Arial" w:cs="Arial"/>
          <w:sz w:val="24"/>
          <w:szCs w:val="24"/>
          <w:lang w:val="es-ES"/>
        </w:rPr>
        <w:t>?</w:t>
      </w:r>
    </w:p>
    <w:p w14:paraId="3988F0D0" w14:textId="77777777" w:rsidR="00854063" w:rsidRPr="00B91191" w:rsidRDefault="00854063" w:rsidP="00916911">
      <w:pPr>
        <w:spacing w:after="0" w:line="240" w:lineRule="auto"/>
        <w:jc w:val="both"/>
        <w:rPr>
          <w:rFonts w:ascii="Arial" w:hAnsi="Arial" w:cs="Arial"/>
          <w:sz w:val="24"/>
          <w:szCs w:val="24"/>
          <w:lang w:val="es-ES"/>
        </w:rPr>
      </w:pPr>
    </w:p>
    <w:p w14:paraId="7B05586C" w14:textId="5855E48C" w:rsidR="00916911" w:rsidRPr="00B91191" w:rsidRDefault="00916911" w:rsidP="00916911">
      <w:pPr>
        <w:spacing w:after="0" w:line="240" w:lineRule="auto"/>
        <w:jc w:val="both"/>
        <w:rPr>
          <w:rFonts w:ascii="Arial" w:hAnsi="Arial" w:cs="Arial"/>
          <w:sz w:val="24"/>
          <w:szCs w:val="24"/>
          <w:lang w:val="es-ES"/>
        </w:rPr>
      </w:pPr>
      <w:r w:rsidRPr="00B91191">
        <w:rPr>
          <w:rFonts w:ascii="Arial" w:hAnsi="Arial" w:cs="Arial"/>
          <w:sz w:val="24"/>
          <w:szCs w:val="24"/>
          <w:lang w:val="es-ES"/>
        </w:rPr>
        <w:t xml:space="preserve">Los instrumentos voluntarios promovidos por parte de los Estados constituyen buenas herramientas para que el sector privado se involucre en temas ambientales y de defensa de derechos humanos. </w:t>
      </w:r>
      <w:r w:rsidR="00E0464E" w:rsidRPr="00B91191">
        <w:rPr>
          <w:rFonts w:ascii="Arial" w:hAnsi="Arial" w:cs="Arial"/>
          <w:sz w:val="24"/>
          <w:szCs w:val="24"/>
          <w:lang w:val="es-ES"/>
        </w:rPr>
        <w:t xml:space="preserve"> Los ejemplos enumerados en la respuesta 2 como el distintivo de ABS brindan un valor agregado y se convierten en </w:t>
      </w:r>
      <w:r w:rsidR="00854063" w:rsidRPr="00B91191">
        <w:rPr>
          <w:rFonts w:ascii="Arial" w:hAnsi="Arial" w:cs="Arial"/>
          <w:sz w:val="24"/>
          <w:szCs w:val="24"/>
          <w:lang w:val="es-ES"/>
        </w:rPr>
        <w:t xml:space="preserve">promotores </w:t>
      </w:r>
      <w:r w:rsidR="00E0464E" w:rsidRPr="00B91191">
        <w:rPr>
          <w:rFonts w:ascii="Arial" w:hAnsi="Arial" w:cs="Arial"/>
          <w:sz w:val="24"/>
          <w:szCs w:val="24"/>
          <w:lang w:val="es-ES"/>
        </w:rPr>
        <w:t>para que otras empresas realicen también estas buenas prácticas.</w:t>
      </w:r>
    </w:p>
    <w:p w14:paraId="679A4734"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sz w:val="24"/>
          <w:szCs w:val="24"/>
          <w:lang w:val="es-ES"/>
        </w:rPr>
        <w:t> </w:t>
      </w:r>
    </w:p>
    <w:p w14:paraId="400E1643" w14:textId="77777777" w:rsidR="00E75DE1" w:rsidRPr="00B91191" w:rsidRDefault="00E75DE1" w:rsidP="00B9682D">
      <w:pPr>
        <w:spacing w:after="0" w:line="240" w:lineRule="auto"/>
        <w:jc w:val="both"/>
        <w:rPr>
          <w:rFonts w:ascii="Arial" w:eastAsia="Times New Roman" w:hAnsi="Arial" w:cs="Arial"/>
          <w:sz w:val="24"/>
          <w:szCs w:val="24"/>
          <w:lang w:val="es-ES"/>
        </w:rPr>
      </w:pPr>
    </w:p>
    <w:p w14:paraId="7778D284" w14:textId="47406DA2" w:rsidR="00E75DE1" w:rsidRPr="00B91191" w:rsidRDefault="00E75DE1"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sz w:val="24"/>
          <w:szCs w:val="24"/>
          <w:lang w:val="es-ES"/>
        </w:rPr>
        <w:t>Enlaces de referencia para mayor información:</w:t>
      </w:r>
    </w:p>
    <w:p w14:paraId="470CFD1B" w14:textId="77777777" w:rsidR="00113DB4" w:rsidRDefault="00113DB4" w:rsidP="00E75DE1">
      <w:pPr>
        <w:widowControl w:val="0"/>
        <w:autoSpaceDE w:val="0"/>
        <w:autoSpaceDN w:val="0"/>
        <w:adjustRightInd w:val="0"/>
        <w:spacing w:after="240" w:line="300" w:lineRule="atLeast"/>
        <w:rPr>
          <w:rFonts w:ascii="Arial" w:hAnsi="Arial" w:cs="Calibri"/>
          <w:color w:val="000000"/>
          <w:sz w:val="24"/>
          <w:szCs w:val="24"/>
          <w:lang w:val="es-ES"/>
        </w:rPr>
      </w:pPr>
    </w:p>
    <w:p w14:paraId="0B6DCF07" w14:textId="5064D1B6" w:rsidR="00E75DE1" w:rsidRPr="00B91191" w:rsidRDefault="00E75DE1" w:rsidP="00E75DE1">
      <w:pPr>
        <w:widowControl w:val="0"/>
        <w:autoSpaceDE w:val="0"/>
        <w:autoSpaceDN w:val="0"/>
        <w:adjustRightInd w:val="0"/>
        <w:spacing w:after="240" w:line="300" w:lineRule="atLeast"/>
        <w:rPr>
          <w:rFonts w:ascii="Arial" w:hAnsi="Arial" w:cs="Wingdings"/>
          <w:color w:val="000000"/>
          <w:sz w:val="24"/>
          <w:szCs w:val="24"/>
          <w:lang w:val="es-ES"/>
        </w:rPr>
      </w:pPr>
      <w:r w:rsidRPr="00B91191">
        <w:rPr>
          <w:rFonts w:ascii="Arial" w:hAnsi="Arial" w:cs="Calibri"/>
          <w:color w:val="000000"/>
          <w:sz w:val="24"/>
          <w:szCs w:val="24"/>
          <w:lang w:val="es-ES"/>
        </w:rPr>
        <w:t>Estrategia Nacional de Biodiversidad 2016-2025</w:t>
      </w:r>
      <w:r w:rsidR="00113DB4">
        <w:rPr>
          <w:rFonts w:ascii="Arial" w:hAnsi="Arial" w:cs="Calibri"/>
          <w:color w:val="000000"/>
          <w:sz w:val="24"/>
          <w:szCs w:val="24"/>
          <w:lang w:val="es-ES"/>
        </w:rPr>
        <w:t>:</w:t>
      </w:r>
      <w:r w:rsidRPr="00B91191">
        <w:rPr>
          <w:rFonts w:ascii="Arial" w:hAnsi="Arial" w:cs="Calibri"/>
          <w:color w:val="000000"/>
          <w:sz w:val="24"/>
          <w:szCs w:val="24"/>
          <w:lang w:val="es-ES"/>
        </w:rPr>
        <w:t xml:space="preserve"> </w:t>
      </w:r>
      <w:r w:rsidRPr="00B91191">
        <w:rPr>
          <w:rFonts w:ascii="Arial" w:hAnsi="Arial" w:cs="Calibri"/>
          <w:color w:val="0000FF"/>
          <w:sz w:val="24"/>
          <w:szCs w:val="24"/>
          <w:lang w:val="es-ES"/>
        </w:rPr>
        <w:t>www.enbcr.go.cr </w:t>
      </w:r>
      <w:r w:rsidRPr="00B91191">
        <w:rPr>
          <w:rFonts w:ascii="Arial" w:hAnsi="Arial" w:cs="Wingdings"/>
          <w:color w:val="000000"/>
          <w:sz w:val="24"/>
          <w:szCs w:val="24"/>
          <w:lang w:val="es-ES"/>
        </w:rPr>
        <w:t></w:t>
      </w:r>
    </w:p>
    <w:p w14:paraId="432C094E" w14:textId="0EAC0348" w:rsidR="00E75DE1" w:rsidRPr="00B91191" w:rsidRDefault="00E75DE1" w:rsidP="00E75DE1">
      <w:pPr>
        <w:widowControl w:val="0"/>
        <w:autoSpaceDE w:val="0"/>
        <w:autoSpaceDN w:val="0"/>
        <w:adjustRightInd w:val="0"/>
        <w:spacing w:after="240" w:line="300" w:lineRule="atLeast"/>
        <w:rPr>
          <w:rFonts w:ascii="Arial" w:hAnsi="Arial" w:cs="Calibri"/>
          <w:color w:val="0000FF"/>
          <w:sz w:val="24"/>
          <w:szCs w:val="24"/>
          <w:lang w:val="es-ES"/>
        </w:rPr>
      </w:pPr>
      <w:r w:rsidRPr="00B91191">
        <w:rPr>
          <w:rFonts w:ascii="Arial" w:hAnsi="Arial" w:cs="Calibri"/>
          <w:color w:val="000000"/>
          <w:sz w:val="24"/>
          <w:szCs w:val="24"/>
          <w:lang w:val="es-ES"/>
        </w:rPr>
        <w:t xml:space="preserve">Sistema Nacional de Áreas de Conservación (SINAC) </w:t>
      </w:r>
      <w:r w:rsidRPr="00B91191">
        <w:rPr>
          <w:rFonts w:ascii="Arial" w:hAnsi="Arial" w:cs="Calibri"/>
          <w:color w:val="0000FF"/>
          <w:sz w:val="24"/>
          <w:szCs w:val="24"/>
          <w:lang w:val="es-ES"/>
        </w:rPr>
        <w:t>www.sinac.go.cr/ES/asp/Paginas/default.aspx </w:t>
      </w:r>
    </w:p>
    <w:p w14:paraId="4B8567B7" w14:textId="77A6AB90" w:rsidR="00FF7FAC" w:rsidRDefault="00FF7FAC" w:rsidP="00E75DE1">
      <w:pPr>
        <w:widowControl w:val="0"/>
        <w:autoSpaceDE w:val="0"/>
        <w:autoSpaceDN w:val="0"/>
        <w:adjustRightInd w:val="0"/>
        <w:spacing w:after="240" w:line="300" w:lineRule="atLeast"/>
        <w:rPr>
          <w:rFonts w:ascii="Arial" w:hAnsi="Arial" w:cs="Wingdings"/>
          <w:color w:val="000000"/>
          <w:sz w:val="24"/>
          <w:szCs w:val="24"/>
          <w:lang w:val="es-ES"/>
        </w:rPr>
      </w:pPr>
      <w:r w:rsidRPr="00B91191">
        <w:rPr>
          <w:rFonts w:ascii="Arial" w:hAnsi="Arial" w:cs="Calibri"/>
          <w:color w:val="000000"/>
          <w:sz w:val="24"/>
          <w:szCs w:val="24"/>
          <w:lang w:val="es-ES"/>
        </w:rPr>
        <w:t xml:space="preserve">Comisión Nacional para la Gestión de la Biodiversidad (CONAGEBIO) </w:t>
      </w:r>
      <w:r w:rsidRPr="00B91191">
        <w:rPr>
          <w:rFonts w:ascii="Arial" w:hAnsi="Arial" w:cs="Calibri"/>
          <w:color w:val="0000FF"/>
          <w:sz w:val="24"/>
          <w:szCs w:val="24"/>
          <w:lang w:val="es-ES"/>
        </w:rPr>
        <w:t xml:space="preserve">www.conagebio.go.cr/Conagebio/public/ </w:t>
      </w:r>
      <w:r w:rsidRPr="00B91191">
        <w:rPr>
          <w:rFonts w:ascii="Arial" w:hAnsi="Arial" w:cs="Wingdings"/>
          <w:color w:val="000000"/>
          <w:sz w:val="24"/>
          <w:szCs w:val="24"/>
          <w:lang w:val="es-ES"/>
        </w:rPr>
        <w:t></w:t>
      </w:r>
    </w:p>
    <w:p w14:paraId="5856CC8C" w14:textId="5883B933" w:rsidR="00113DB4" w:rsidRDefault="00113DB4" w:rsidP="00E75DE1">
      <w:pPr>
        <w:widowControl w:val="0"/>
        <w:autoSpaceDE w:val="0"/>
        <w:autoSpaceDN w:val="0"/>
        <w:adjustRightInd w:val="0"/>
        <w:spacing w:after="240" w:line="300" w:lineRule="atLeast"/>
        <w:rPr>
          <w:rFonts w:ascii="Arial" w:hAnsi="Arial" w:cs="Wingdings"/>
          <w:color w:val="000000"/>
          <w:sz w:val="24"/>
          <w:szCs w:val="24"/>
          <w:lang w:val="es-ES"/>
        </w:rPr>
      </w:pPr>
      <w:hyperlink r:id="rId14" w:history="1">
        <w:r w:rsidRPr="001A35C5">
          <w:rPr>
            <w:rStyle w:val="Hipervnculo"/>
            <w:rFonts w:ascii="Arial" w:hAnsi="Arial" w:cs="Wingdings"/>
            <w:sz w:val="24"/>
            <w:szCs w:val="24"/>
            <w:lang w:val="es-ES"/>
          </w:rPr>
          <w:t>http://conagebio.go.cr/Conagebio/public</w:t>
        </w:r>
        <w:r w:rsidRPr="001A35C5">
          <w:rPr>
            <w:rStyle w:val="Hipervnculo"/>
            <w:rFonts w:ascii="Arial" w:hAnsi="Arial" w:cs="Wingdings"/>
            <w:sz w:val="24"/>
            <w:szCs w:val="24"/>
            <w:lang w:val="es-ES"/>
          </w:rPr>
          <w:t>/</w:t>
        </w:r>
        <w:r w:rsidRPr="001A35C5">
          <w:rPr>
            <w:rStyle w:val="Hipervnculo"/>
            <w:rFonts w:ascii="Arial" w:hAnsi="Arial" w:cs="Wingdings"/>
            <w:sz w:val="24"/>
            <w:szCs w:val="24"/>
            <w:lang w:val="es-ES"/>
          </w:rPr>
          <w:t>distintivoABS.html</w:t>
        </w:r>
      </w:hyperlink>
    </w:p>
    <w:p w14:paraId="3B189900" w14:textId="77777777" w:rsidR="00113DB4" w:rsidRPr="00B91191" w:rsidRDefault="00113DB4" w:rsidP="00E75DE1">
      <w:pPr>
        <w:widowControl w:val="0"/>
        <w:autoSpaceDE w:val="0"/>
        <w:autoSpaceDN w:val="0"/>
        <w:adjustRightInd w:val="0"/>
        <w:spacing w:after="240" w:line="300" w:lineRule="atLeast"/>
        <w:rPr>
          <w:rFonts w:ascii="Arial" w:hAnsi="Arial" w:cs="Times Roman"/>
          <w:color w:val="000000"/>
          <w:sz w:val="24"/>
          <w:szCs w:val="24"/>
          <w:lang w:val="es-ES"/>
        </w:rPr>
      </w:pPr>
    </w:p>
    <w:p w14:paraId="1DCFC998" w14:textId="68194C5D" w:rsidR="00F866A4" w:rsidRPr="00B91191" w:rsidRDefault="00F866A4" w:rsidP="00F866A4">
      <w:pPr>
        <w:widowControl w:val="0"/>
        <w:autoSpaceDE w:val="0"/>
        <w:autoSpaceDN w:val="0"/>
        <w:adjustRightInd w:val="0"/>
        <w:spacing w:after="240" w:line="300" w:lineRule="atLeast"/>
        <w:rPr>
          <w:rFonts w:ascii="Arial" w:hAnsi="Arial" w:cs="Calibri"/>
          <w:color w:val="0000FF"/>
          <w:sz w:val="24"/>
          <w:szCs w:val="24"/>
          <w:lang w:val="es-ES"/>
        </w:rPr>
      </w:pPr>
      <w:r w:rsidRPr="00B91191">
        <w:rPr>
          <w:rFonts w:ascii="Arial" w:hAnsi="Arial" w:cs="Calibri"/>
          <w:color w:val="000000"/>
          <w:sz w:val="24"/>
          <w:szCs w:val="24"/>
          <w:lang w:val="es-ES"/>
        </w:rPr>
        <w:t>Fondo Nacional de Financiamiento Forestal (FONAFIFO)</w:t>
      </w:r>
      <w:r w:rsidR="00113DB4">
        <w:rPr>
          <w:rFonts w:ascii="Arial" w:hAnsi="Arial" w:cs="Calibri"/>
          <w:color w:val="000000"/>
          <w:sz w:val="24"/>
          <w:szCs w:val="24"/>
          <w:lang w:val="es-ES"/>
        </w:rPr>
        <w:t xml:space="preserve">: </w:t>
      </w:r>
      <w:r w:rsidRPr="00B91191">
        <w:rPr>
          <w:rFonts w:ascii="Arial" w:hAnsi="Arial" w:cs="Calibri"/>
          <w:color w:val="000000"/>
          <w:sz w:val="24"/>
          <w:szCs w:val="24"/>
          <w:lang w:val="es-ES"/>
        </w:rPr>
        <w:t xml:space="preserve"> </w:t>
      </w:r>
      <w:r w:rsidRPr="00B91191">
        <w:rPr>
          <w:rFonts w:ascii="Arial" w:hAnsi="Arial" w:cs="Calibri"/>
          <w:color w:val="0000FF"/>
          <w:sz w:val="24"/>
          <w:szCs w:val="24"/>
          <w:lang w:val="es-ES"/>
        </w:rPr>
        <w:t>www.fonafifo.go.cr </w:t>
      </w:r>
    </w:p>
    <w:p w14:paraId="7A4128CB" w14:textId="68884AA7" w:rsidR="00F866A4" w:rsidRPr="00B91191" w:rsidRDefault="00F866A4" w:rsidP="00F866A4">
      <w:pPr>
        <w:widowControl w:val="0"/>
        <w:autoSpaceDE w:val="0"/>
        <w:autoSpaceDN w:val="0"/>
        <w:adjustRightInd w:val="0"/>
        <w:spacing w:after="240" w:line="300" w:lineRule="atLeast"/>
        <w:rPr>
          <w:rFonts w:ascii="Arial" w:hAnsi="Arial" w:cs="Calibri"/>
          <w:color w:val="000000"/>
          <w:sz w:val="24"/>
          <w:szCs w:val="24"/>
          <w:lang w:val="es-ES"/>
        </w:rPr>
      </w:pPr>
      <w:r w:rsidRPr="00B91191">
        <w:rPr>
          <w:rFonts w:ascii="Arial" w:hAnsi="Arial" w:cs="Calibri"/>
          <w:color w:val="000000"/>
          <w:sz w:val="24"/>
          <w:szCs w:val="24"/>
          <w:lang w:val="es-ES"/>
        </w:rPr>
        <w:t xml:space="preserve">Fondo de Biodiversidad Sostenible (FBS)  </w:t>
      </w:r>
      <w:hyperlink r:id="rId15" w:history="1">
        <w:r w:rsidRPr="00B91191">
          <w:rPr>
            <w:rStyle w:val="Hipervnculo"/>
            <w:rFonts w:ascii="Arial" w:hAnsi="Arial" w:cs="Calibri"/>
            <w:sz w:val="24"/>
            <w:szCs w:val="24"/>
            <w:lang w:val="es-ES"/>
          </w:rPr>
          <w:t>www.fbs.go.cr</w:t>
        </w:r>
      </w:hyperlink>
    </w:p>
    <w:p w14:paraId="2363A4E5" w14:textId="206D62DA" w:rsidR="00F866A4" w:rsidRPr="00B91191" w:rsidRDefault="00F866A4" w:rsidP="00F866A4">
      <w:pPr>
        <w:widowControl w:val="0"/>
        <w:autoSpaceDE w:val="0"/>
        <w:autoSpaceDN w:val="0"/>
        <w:adjustRightInd w:val="0"/>
        <w:spacing w:after="240" w:line="300" w:lineRule="atLeast"/>
        <w:rPr>
          <w:rFonts w:ascii="Arial" w:hAnsi="Arial" w:cs="Calibri"/>
          <w:color w:val="000000"/>
          <w:sz w:val="24"/>
          <w:szCs w:val="24"/>
          <w:lang w:val="es-ES"/>
        </w:rPr>
      </w:pPr>
      <w:r w:rsidRPr="00B91191">
        <w:rPr>
          <w:rFonts w:ascii="Arial" w:hAnsi="Arial" w:cs="Calibri"/>
          <w:color w:val="000000"/>
          <w:sz w:val="24"/>
          <w:szCs w:val="24"/>
          <w:lang w:val="es-ES"/>
        </w:rPr>
        <w:t xml:space="preserve"> Programa REDD+:  </w:t>
      </w:r>
      <w:hyperlink r:id="rId16" w:history="1">
        <w:r w:rsidRPr="00B91191">
          <w:rPr>
            <w:rStyle w:val="Hipervnculo"/>
            <w:rFonts w:ascii="Arial" w:hAnsi="Arial" w:cs="Calibri"/>
            <w:sz w:val="24"/>
            <w:szCs w:val="24"/>
            <w:lang w:val="es-ES"/>
          </w:rPr>
          <w:t>http://reddcr.go.cr</w:t>
        </w:r>
      </w:hyperlink>
    </w:p>
    <w:p w14:paraId="7D5D8638" w14:textId="134406F4" w:rsidR="001766CF" w:rsidRPr="00B91191" w:rsidRDefault="00F866A4" w:rsidP="00F866A4">
      <w:pPr>
        <w:widowControl w:val="0"/>
        <w:autoSpaceDE w:val="0"/>
        <w:autoSpaceDN w:val="0"/>
        <w:adjustRightInd w:val="0"/>
        <w:spacing w:after="240" w:line="300" w:lineRule="atLeast"/>
        <w:rPr>
          <w:rFonts w:ascii="Arial" w:hAnsi="Arial" w:cs="Calibri"/>
          <w:color w:val="000000"/>
          <w:sz w:val="24"/>
          <w:szCs w:val="24"/>
          <w:lang w:val="es-ES"/>
        </w:rPr>
      </w:pPr>
      <w:r w:rsidRPr="00B91191">
        <w:rPr>
          <w:rFonts w:ascii="Arial" w:hAnsi="Arial" w:cs="Calibri"/>
          <w:color w:val="000000"/>
          <w:sz w:val="24"/>
          <w:szCs w:val="24"/>
          <w:lang w:val="es-ES"/>
        </w:rPr>
        <w:t xml:space="preserve"> Informe del Estado del Ambiente Costa Rica 2017: </w:t>
      </w:r>
      <w:hyperlink r:id="rId17" w:history="1">
        <w:r w:rsidR="001766CF" w:rsidRPr="00B91191">
          <w:rPr>
            <w:rStyle w:val="Hipervnculo"/>
            <w:rFonts w:ascii="Arial" w:hAnsi="Arial" w:cs="Calibri"/>
            <w:sz w:val="24"/>
            <w:szCs w:val="24"/>
            <w:lang w:val="es-ES"/>
          </w:rPr>
          <w:t>http://informe-ambiente.minae.go.cr</w:t>
        </w:r>
      </w:hyperlink>
    </w:p>
    <w:p w14:paraId="0DBAC3A9" w14:textId="29EED051" w:rsidR="00E75DE1" w:rsidRPr="00B91191" w:rsidRDefault="00E75DE1" w:rsidP="00D704CA">
      <w:pPr>
        <w:widowControl w:val="0"/>
        <w:autoSpaceDE w:val="0"/>
        <w:autoSpaceDN w:val="0"/>
        <w:adjustRightInd w:val="0"/>
        <w:spacing w:after="240" w:line="300" w:lineRule="atLeast"/>
        <w:rPr>
          <w:rFonts w:ascii="Arial" w:hAnsi="Arial" w:cs="Calibri"/>
          <w:color w:val="000000"/>
          <w:sz w:val="24"/>
          <w:szCs w:val="24"/>
          <w:lang w:val="es-ES"/>
        </w:rPr>
      </w:pPr>
    </w:p>
    <w:p w14:paraId="24AA8323"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u w:val="single"/>
          <w:lang w:val="es-ES"/>
        </w:rPr>
        <w:t xml:space="preserve">Presentación de las respuestas </w:t>
      </w:r>
    </w:p>
    <w:p w14:paraId="3C75A91C" w14:textId="77777777" w:rsidR="00A73706" w:rsidRPr="00B91191" w:rsidRDefault="00A73706"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t xml:space="preserve">Le animamos a que envíe sus respuestas al cuestionario </w:t>
      </w:r>
      <w:r w:rsidRPr="00B91191">
        <w:rPr>
          <w:rFonts w:ascii="Arial" w:eastAsia="Times New Roman" w:hAnsi="Arial" w:cs="Arial"/>
          <w:color w:val="000000"/>
          <w:sz w:val="24"/>
          <w:szCs w:val="24"/>
          <w:u w:val="single"/>
          <w:lang w:val="es-ES"/>
        </w:rPr>
        <w:t>en formato Word</w:t>
      </w:r>
      <w:r w:rsidRPr="00B91191">
        <w:rPr>
          <w:rFonts w:ascii="Arial" w:eastAsia="Times New Roman" w:hAnsi="Arial" w:cs="Arial"/>
          <w:color w:val="000000"/>
          <w:sz w:val="24"/>
          <w:szCs w:val="24"/>
          <w:lang w:val="es-ES"/>
        </w:rPr>
        <w:t xml:space="preserve"> por correo electrónico a srenvironment@ohchr.org </w:t>
      </w:r>
    </w:p>
    <w:p w14:paraId="08E57762" w14:textId="77777777" w:rsidR="00A2541B" w:rsidRPr="00B91191" w:rsidRDefault="00A73706"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Le rogamos que su respuesta sea concisa y limitada a un máximo de 5 páginas (o 2.500 palabras), sin incluir los apéndices ni los archivos adjunto</w:t>
      </w:r>
      <w:r w:rsidR="00A2541B" w:rsidRPr="00B91191">
        <w:rPr>
          <w:rFonts w:ascii="Arial" w:eastAsia="Times New Roman" w:hAnsi="Arial" w:cs="Arial"/>
          <w:color w:val="000000"/>
          <w:sz w:val="24"/>
          <w:szCs w:val="24"/>
          <w:lang w:val="es-ES"/>
        </w:rPr>
        <w:t xml:space="preserve">. </w:t>
      </w:r>
    </w:p>
    <w:p w14:paraId="6621A6C4"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 </w:t>
      </w:r>
      <w:bookmarkStart w:id="4" w:name="_GoBack"/>
      <w:bookmarkEnd w:id="4"/>
    </w:p>
    <w:p w14:paraId="3407A7F0" w14:textId="77777777" w:rsidR="00A2541B" w:rsidRPr="00B91191" w:rsidRDefault="00A73706"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lastRenderedPageBreak/>
        <w:t>Debido a la capacidad limitada de traducción, también pedimos que sus aportes se envíen en inglés, francés o español</w:t>
      </w:r>
      <w:r w:rsidR="00A2541B" w:rsidRPr="00B91191">
        <w:rPr>
          <w:rFonts w:ascii="Arial" w:eastAsia="Times New Roman" w:hAnsi="Arial" w:cs="Arial"/>
          <w:color w:val="000000"/>
          <w:sz w:val="24"/>
          <w:szCs w:val="24"/>
          <w:lang w:val="es-ES"/>
        </w:rPr>
        <w:t xml:space="preserve">. </w:t>
      </w:r>
    </w:p>
    <w:p w14:paraId="24C269E5" w14:textId="77777777" w:rsidR="00B9682D" w:rsidRPr="00B91191" w:rsidRDefault="00B9682D" w:rsidP="00B9682D">
      <w:pPr>
        <w:spacing w:after="0" w:line="240" w:lineRule="auto"/>
        <w:jc w:val="both"/>
        <w:rPr>
          <w:rFonts w:ascii="Arial" w:eastAsia="Times New Roman" w:hAnsi="Arial" w:cs="Arial"/>
          <w:sz w:val="24"/>
          <w:szCs w:val="24"/>
          <w:lang w:val="es-ES"/>
        </w:rPr>
      </w:pPr>
    </w:p>
    <w:p w14:paraId="51654983" w14:textId="77777777" w:rsidR="00A2541B" w:rsidRPr="00B91191" w:rsidRDefault="00A73706"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Para evitar duplicaciones innecesarias: si usted ha respondido recientemente a otros cuestionarios de los mecanismos de derechos humanos de la ONU (u otros organismos internacionales) con información que también sería relevante para esta solicitud, le agradecemos que nos dirija a esas respuestas</w:t>
      </w:r>
      <w:r w:rsidR="00A2541B" w:rsidRPr="00B91191">
        <w:rPr>
          <w:rFonts w:ascii="Arial" w:eastAsia="Times New Roman" w:hAnsi="Arial" w:cs="Arial"/>
          <w:color w:val="000000"/>
          <w:sz w:val="24"/>
          <w:szCs w:val="24"/>
          <w:lang w:val="es-ES"/>
        </w:rPr>
        <w:t xml:space="preserve">. </w:t>
      </w:r>
    </w:p>
    <w:p w14:paraId="35C1FFD5"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 </w:t>
      </w:r>
    </w:p>
    <w:p w14:paraId="6E804EAA" w14:textId="77777777" w:rsidR="00A73706" w:rsidRPr="00B91191" w:rsidRDefault="00A73706" w:rsidP="00B9682D">
      <w:pPr>
        <w:spacing w:after="0" w:line="240" w:lineRule="auto"/>
        <w:jc w:val="both"/>
        <w:rPr>
          <w:rFonts w:ascii="Arial" w:eastAsia="Times New Roman" w:hAnsi="Arial" w:cs="Arial"/>
          <w:color w:val="000000"/>
          <w:sz w:val="24"/>
          <w:szCs w:val="24"/>
          <w:lang w:val="es-ES"/>
        </w:rPr>
      </w:pPr>
      <w:r w:rsidRPr="00B91191">
        <w:rPr>
          <w:rFonts w:ascii="Arial" w:eastAsia="Times New Roman" w:hAnsi="Arial" w:cs="Arial"/>
          <w:color w:val="000000"/>
          <w:sz w:val="24"/>
          <w:szCs w:val="24"/>
          <w:lang w:val="es-ES"/>
        </w:rPr>
        <w:t xml:space="preserve">La fecha límite de presentación es </w:t>
      </w:r>
      <w:r w:rsidR="009162A0" w:rsidRPr="00B91191">
        <w:rPr>
          <w:rFonts w:ascii="Arial" w:eastAsia="Times New Roman" w:hAnsi="Arial" w:cs="Arial"/>
          <w:color w:val="000000"/>
          <w:sz w:val="24"/>
          <w:szCs w:val="24"/>
          <w:lang w:val="es-ES"/>
        </w:rPr>
        <w:t>8</w:t>
      </w:r>
      <w:r w:rsidRPr="00B91191">
        <w:rPr>
          <w:rFonts w:ascii="Arial" w:eastAsia="Times New Roman" w:hAnsi="Arial" w:cs="Arial"/>
          <w:color w:val="000000"/>
          <w:sz w:val="24"/>
          <w:szCs w:val="24"/>
          <w:lang w:val="es-ES"/>
        </w:rPr>
        <w:t xml:space="preserve"> de junio de 2019. </w:t>
      </w:r>
    </w:p>
    <w:p w14:paraId="4B56CA1E" w14:textId="77777777" w:rsidR="00A2541B" w:rsidRPr="00B91191" w:rsidRDefault="00A73706"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color w:val="000000"/>
          <w:sz w:val="24"/>
          <w:szCs w:val="24"/>
          <w:lang w:val="es-ES"/>
        </w:rPr>
        <w:t>A menos que se solicite lo contrario, todas las respuestas se pondrán a disposición del público y se publicarán en la página web del Relator Especial en el sitio web del ACNUDH</w:t>
      </w:r>
      <w:r w:rsidR="00A2541B" w:rsidRPr="00B91191">
        <w:rPr>
          <w:rFonts w:ascii="Arial" w:eastAsia="Times New Roman" w:hAnsi="Arial" w:cs="Arial"/>
          <w:color w:val="000000"/>
          <w:sz w:val="24"/>
          <w:szCs w:val="24"/>
          <w:lang w:val="es-ES"/>
        </w:rPr>
        <w:t xml:space="preserve">. </w:t>
      </w:r>
    </w:p>
    <w:p w14:paraId="5B94AC33" w14:textId="77777777" w:rsidR="00A2541B" w:rsidRPr="00B91191" w:rsidRDefault="00A2541B" w:rsidP="00B9682D">
      <w:pPr>
        <w:spacing w:after="0" w:line="240" w:lineRule="auto"/>
        <w:jc w:val="both"/>
        <w:rPr>
          <w:rFonts w:ascii="Arial" w:eastAsia="Times New Roman" w:hAnsi="Arial" w:cs="Arial"/>
          <w:sz w:val="24"/>
          <w:szCs w:val="24"/>
          <w:lang w:val="es-ES"/>
        </w:rPr>
      </w:pPr>
      <w:r w:rsidRPr="00B91191">
        <w:rPr>
          <w:rFonts w:ascii="Arial" w:eastAsia="Times New Roman" w:hAnsi="Arial" w:cs="Arial"/>
          <w:sz w:val="24"/>
          <w:szCs w:val="24"/>
          <w:lang w:val="es-ES"/>
        </w:rPr>
        <w:t> </w:t>
      </w:r>
    </w:p>
    <w:p w14:paraId="719F0F6B" w14:textId="77777777" w:rsidR="00CE6BB5" w:rsidRPr="00007BBD" w:rsidRDefault="00CE6BB5" w:rsidP="00B9682D">
      <w:pPr>
        <w:spacing w:after="0" w:line="240" w:lineRule="auto"/>
        <w:jc w:val="both"/>
        <w:rPr>
          <w:rFonts w:ascii="Arial" w:hAnsi="Arial" w:cs="Arial"/>
          <w:sz w:val="24"/>
          <w:szCs w:val="24"/>
          <w:lang w:val="es-ES"/>
        </w:rPr>
      </w:pPr>
    </w:p>
    <w:sectPr w:rsidR="00CE6BB5" w:rsidRPr="00007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343D" w14:textId="77777777" w:rsidR="003B2E9C" w:rsidRDefault="003B2E9C" w:rsidP="008A6EC3">
      <w:pPr>
        <w:spacing w:after="0" w:line="240" w:lineRule="auto"/>
      </w:pPr>
      <w:r>
        <w:separator/>
      </w:r>
    </w:p>
  </w:endnote>
  <w:endnote w:type="continuationSeparator" w:id="0">
    <w:p w14:paraId="1122B49D" w14:textId="77777777" w:rsidR="003B2E9C" w:rsidRDefault="003B2E9C" w:rsidP="008A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AA4D0" w14:textId="77777777" w:rsidR="003B2E9C" w:rsidRDefault="003B2E9C" w:rsidP="008A6EC3">
      <w:pPr>
        <w:spacing w:after="0" w:line="240" w:lineRule="auto"/>
      </w:pPr>
      <w:r>
        <w:separator/>
      </w:r>
    </w:p>
  </w:footnote>
  <w:footnote w:type="continuationSeparator" w:id="0">
    <w:p w14:paraId="04EDD50F" w14:textId="77777777" w:rsidR="003B2E9C" w:rsidRDefault="003B2E9C" w:rsidP="008A6EC3">
      <w:pPr>
        <w:spacing w:after="0" w:line="240" w:lineRule="auto"/>
      </w:pPr>
      <w:r>
        <w:continuationSeparator/>
      </w:r>
    </w:p>
  </w:footnote>
  <w:footnote w:id="1">
    <w:p w14:paraId="6E8A8FE1" w14:textId="693C2603" w:rsidR="003B2E9C" w:rsidRPr="008A6EC3" w:rsidRDefault="003B2E9C">
      <w:pPr>
        <w:pStyle w:val="Textonotapie"/>
        <w:rPr>
          <w:lang w:val="es-ES_tradnl"/>
        </w:rPr>
      </w:pPr>
      <w:r>
        <w:rPr>
          <w:rStyle w:val="Refdenotaalpie"/>
        </w:rPr>
        <w:footnoteRef/>
      </w:r>
      <w:r>
        <w:t xml:space="preserve"> </w:t>
      </w:r>
      <w:proofErr w:type="spellStart"/>
      <w:r>
        <w:rPr>
          <w:sz w:val="16"/>
        </w:rPr>
        <w:t>Voto</w:t>
      </w:r>
      <w:proofErr w:type="spellEnd"/>
      <w:r>
        <w:rPr>
          <w:sz w:val="16"/>
        </w:rPr>
        <w:t xml:space="preserve"> no. 3705-93 Sala </w:t>
      </w:r>
      <w:proofErr w:type="spellStart"/>
      <w:r>
        <w:rPr>
          <w:sz w:val="16"/>
        </w:rPr>
        <w:t>Constituciona</w:t>
      </w:r>
      <w:proofErr w:type="spellEnd"/>
      <w:r>
        <w:rPr>
          <w:sz w:val="16"/>
        </w:rPr>
        <w:t xml:space="preserve">, 15:00 </w:t>
      </w:r>
      <w:proofErr w:type="gramStart"/>
      <w:r>
        <w:rPr>
          <w:sz w:val="16"/>
        </w:rPr>
        <w:t>del  30</w:t>
      </w:r>
      <w:proofErr w:type="gramEnd"/>
      <w:r>
        <w:rPr>
          <w:sz w:val="16"/>
        </w:rPr>
        <w:t xml:space="preserve"> </w:t>
      </w:r>
      <w:proofErr w:type="spellStart"/>
      <w:r>
        <w:rPr>
          <w:sz w:val="16"/>
        </w:rPr>
        <w:t>julio</w:t>
      </w:r>
      <w:proofErr w:type="spellEnd"/>
      <w:r>
        <w:rPr>
          <w:sz w:val="16"/>
        </w:rPr>
        <w:t xml:space="preserve"> de 1993.</w:t>
      </w:r>
    </w:p>
  </w:footnote>
  <w:footnote w:id="2">
    <w:p w14:paraId="72BE8CD6" w14:textId="6F15568D" w:rsidR="003B2E9C" w:rsidRPr="00AE4A7D" w:rsidRDefault="003B2E9C" w:rsidP="006B157E">
      <w:pPr>
        <w:rPr>
          <w:rFonts w:ascii="Arial" w:eastAsia="Times New Roman" w:hAnsi="Arial" w:cs="Arial"/>
          <w:color w:val="660099"/>
          <w:sz w:val="24"/>
          <w:szCs w:val="24"/>
          <w:shd w:val="clear" w:color="auto" w:fill="FFFFFF"/>
        </w:rPr>
      </w:pPr>
      <w:r>
        <w:rPr>
          <w:rStyle w:val="Refdenotaalpie"/>
        </w:rPr>
        <w:footnoteRef/>
      </w:r>
      <w:r>
        <w:t xml:space="preserve"> </w:t>
      </w:r>
      <w:r w:rsidRPr="00AE4A7D">
        <w:rPr>
          <w:rFonts w:ascii="Times Roman" w:hAnsi="Times Roman" w:cs="Times Roman"/>
          <w:color w:val="000000"/>
          <w:sz w:val="20"/>
          <w:szCs w:val="20"/>
          <w:lang w:val="es-ES"/>
        </w:rPr>
        <w:t xml:space="preserve">MINAE – SINAC – CONAGEBIO – FONAFIFO (2018) Resumen del Sexto Informe Nacional de Costa Rica ante el Convenio de Diversidad Biológica. Programa de Naciones Unidas para el Desarrollo - Apoyo técnico para que las Partes Elegibles desarrollen el Sexto Informe Nacional para el CDB (6NR-LAC) Costa Rica. </w:t>
      </w:r>
      <w:r>
        <w:rPr>
          <w:rFonts w:ascii="Times Roman" w:hAnsi="Times Roman" w:cs="Times Roman"/>
          <w:color w:val="000000"/>
          <w:sz w:val="20"/>
          <w:szCs w:val="20"/>
          <w:lang w:val="es-ES"/>
        </w:rPr>
        <w:t xml:space="preserve"> P. 35. </w:t>
      </w:r>
      <w:r>
        <w:rPr>
          <w:rFonts w:eastAsia="Times New Roman"/>
        </w:rPr>
        <w:fldChar w:fldCharType="begin"/>
      </w:r>
      <w:r>
        <w:rPr>
          <w:rFonts w:eastAsia="Times New Roman"/>
        </w:rPr>
        <w:instrText xml:space="preserve"> HYPERLINK "https://www.cbd.int/doc/nr/nr-06/cr-nr-06-p1-es.pdf" </w:instrText>
      </w:r>
      <w:r>
        <w:rPr>
          <w:rFonts w:eastAsia="Times New Roman"/>
        </w:rPr>
        <w:fldChar w:fldCharType="separate"/>
      </w:r>
      <w:r>
        <w:rPr>
          <w:rStyle w:val="CitaHTML"/>
          <w:rFonts w:ascii="Arial" w:eastAsia="Times New Roman" w:hAnsi="Arial" w:cs="Arial"/>
          <w:i w:val="0"/>
          <w:iCs w:val="0"/>
          <w:color w:val="006621"/>
          <w:sz w:val="21"/>
          <w:szCs w:val="21"/>
          <w:shd w:val="clear" w:color="auto" w:fill="FFFFFF"/>
        </w:rPr>
        <w:t>https://www.cbd.int/doc/nr/nr-06/cr-nr-06-p1-es.pdf</w:t>
      </w:r>
    </w:p>
    <w:p w14:paraId="19CB16C8" w14:textId="132DF09C" w:rsidR="003B2E9C" w:rsidRPr="006B157E" w:rsidRDefault="003B2E9C" w:rsidP="006B157E">
      <w:pPr>
        <w:pStyle w:val="Textonotapie"/>
        <w:rPr>
          <w:lang w:val="es-ES_tradnl"/>
        </w:rPr>
      </w:pPr>
      <w:r>
        <w:rPr>
          <w:rFonts w:eastAsia="Times New Roman"/>
        </w:rPr>
        <w:fldChar w:fldCharType="end"/>
      </w:r>
    </w:p>
  </w:footnote>
  <w:footnote w:id="3">
    <w:p w14:paraId="7856F042" w14:textId="411E5875" w:rsidR="003B2E9C" w:rsidRPr="006B157E" w:rsidRDefault="003B2E9C">
      <w:pPr>
        <w:pStyle w:val="Textonotapie"/>
        <w:rPr>
          <w:lang w:val="es-ES_tradnl"/>
        </w:rPr>
      </w:pPr>
      <w:r>
        <w:rPr>
          <w:rStyle w:val="Refdenotaalpie"/>
        </w:rPr>
        <w:footnoteRef/>
      </w:r>
      <w:r>
        <w:t xml:space="preserve"> </w:t>
      </w:r>
      <w:proofErr w:type="spellStart"/>
      <w:r>
        <w:rPr>
          <w:lang w:val="es-ES_tradnl"/>
        </w:rPr>
        <w:t>Ibidem</w:t>
      </w:r>
      <w:proofErr w:type="spellEnd"/>
      <w:r>
        <w:rPr>
          <w:lang w:val="es-ES_tradnl"/>
        </w:rPr>
        <w:t>, p.15</w:t>
      </w:r>
    </w:p>
  </w:footnote>
  <w:footnote w:id="4">
    <w:p w14:paraId="156C9293" w14:textId="44346848" w:rsidR="003B2E9C" w:rsidRDefault="003B2E9C" w:rsidP="006B157E">
      <w:pPr>
        <w:rPr>
          <w:rFonts w:ascii="Times New Roman" w:eastAsia="Times New Roman" w:hAnsi="Times New Roman" w:cs="Times New Roman"/>
          <w:sz w:val="20"/>
          <w:szCs w:val="20"/>
        </w:rPr>
      </w:pPr>
      <w:r>
        <w:rPr>
          <w:rStyle w:val="Refdenotaalpie"/>
        </w:rPr>
        <w:footnoteRef/>
      </w:r>
      <w:r>
        <w:t xml:space="preserve"> </w:t>
      </w:r>
      <w:proofErr w:type="spellStart"/>
      <w:r>
        <w:t>Ibidem</w:t>
      </w:r>
      <w:proofErr w:type="spellEnd"/>
      <w:r>
        <w:t>, p. 20</w:t>
      </w:r>
    </w:p>
    <w:p w14:paraId="013FC9D4" w14:textId="1AFA8A7B" w:rsidR="003B2E9C" w:rsidRDefault="003B2E9C" w:rsidP="00AE4A7D">
      <w:pPr>
        <w:rPr>
          <w:rFonts w:ascii="Times New Roman" w:eastAsia="Times New Roman" w:hAnsi="Times New Roman" w:cs="Times New Roman"/>
          <w:sz w:val="20"/>
          <w:szCs w:val="20"/>
        </w:rPr>
      </w:pPr>
    </w:p>
    <w:p w14:paraId="5D66704D" w14:textId="3DEF10F7" w:rsidR="003B2E9C" w:rsidRPr="00AE4A7D" w:rsidRDefault="003B2E9C" w:rsidP="00AE4A7D">
      <w:pPr>
        <w:widowControl w:val="0"/>
        <w:autoSpaceDE w:val="0"/>
        <w:autoSpaceDN w:val="0"/>
        <w:adjustRightInd w:val="0"/>
        <w:spacing w:after="240" w:line="240" w:lineRule="auto"/>
        <w:rPr>
          <w:rFonts w:ascii="Times Roman" w:hAnsi="Times Roman" w:cs="Times Roman"/>
          <w:color w:val="000000"/>
          <w:sz w:val="20"/>
          <w:szCs w:val="20"/>
          <w:lang w:val="es-ES"/>
        </w:rPr>
      </w:pPr>
    </w:p>
    <w:p w14:paraId="0E66ADB4" w14:textId="0B2EA18F" w:rsidR="003B2E9C" w:rsidRPr="00AE4A7D" w:rsidRDefault="003B2E9C">
      <w:pPr>
        <w:pStyle w:val="Textonotapie"/>
        <w:rPr>
          <w:lang w:val="es-ES_tradnl"/>
        </w:rPr>
      </w:pPr>
    </w:p>
  </w:footnote>
  <w:footnote w:id="5">
    <w:p w14:paraId="372FF121" w14:textId="5A51FB55" w:rsidR="003B2E9C" w:rsidRPr="00777416" w:rsidRDefault="003B2E9C">
      <w:pPr>
        <w:pStyle w:val="Textonotapie"/>
        <w:rPr>
          <w:lang w:val="es-ES_tradnl"/>
        </w:rPr>
      </w:pPr>
      <w:r>
        <w:rPr>
          <w:rStyle w:val="Refdenotaalpie"/>
        </w:rPr>
        <w:footnoteRef/>
      </w:r>
      <w:r>
        <w:t xml:space="preserve"> </w:t>
      </w:r>
      <w:proofErr w:type="spellStart"/>
      <w:r>
        <w:t>Ibidem</w:t>
      </w:r>
      <w:proofErr w:type="spellEnd"/>
      <w:r>
        <w:t xml:space="preserve"> p. 283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729F5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845A09"/>
    <w:multiLevelType w:val="singleLevel"/>
    <w:tmpl w:val="554C989C"/>
    <w:lvl w:ilvl="0">
      <w:start w:val="1"/>
      <w:numFmt w:val="bullet"/>
      <w:lvlText w:val=""/>
      <w:lvlJc w:val="left"/>
      <w:pPr>
        <w:tabs>
          <w:tab w:val="num" w:pos="417"/>
        </w:tabs>
        <w:ind w:left="113" w:hanging="56"/>
      </w:pPr>
      <w:rPr>
        <w:rFonts w:ascii="Monotype Sorts" w:hAnsi="Monotype Sorts" w:hint="default"/>
        <w:sz w:val="16"/>
      </w:rPr>
    </w:lvl>
  </w:abstractNum>
  <w:abstractNum w:abstractNumId="12">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FD0067"/>
    <w:multiLevelType w:val="hybridMultilevel"/>
    <w:tmpl w:val="194CB710"/>
    <w:lvl w:ilvl="0" w:tplc="578AA160">
      <w:start w:val="1"/>
      <w:numFmt w:val="decimal"/>
      <w:lvlText w:val="%1."/>
      <w:lvlJc w:val="left"/>
      <w:pPr>
        <w:ind w:left="720" w:hanging="360"/>
      </w:pPr>
      <w:rPr>
        <w:rFonts w:ascii="Arial" w:eastAsiaTheme="minorEastAsia" w:hAnsi="Arial" w:cs="Aria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9800DD"/>
    <w:multiLevelType w:val="hybridMultilevel"/>
    <w:tmpl w:val="746CCFA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50C0F"/>
    <w:multiLevelType w:val="hybridMultilevel"/>
    <w:tmpl w:val="4F8875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BB5068"/>
    <w:multiLevelType w:val="hybridMultilevel"/>
    <w:tmpl w:val="2EA4C3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274FB7"/>
    <w:multiLevelType w:val="hybridMultilevel"/>
    <w:tmpl w:val="77241BF8"/>
    <w:lvl w:ilvl="0" w:tplc="08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4E39"/>
    <w:multiLevelType w:val="hybridMultilevel"/>
    <w:tmpl w:val="2EA4C3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AC7C13"/>
    <w:multiLevelType w:val="hybridMultilevel"/>
    <w:tmpl w:val="2EA4C3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D716CD"/>
    <w:multiLevelType w:val="hybridMultilevel"/>
    <w:tmpl w:val="4F8875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E951B3"/>
    <w:multiLevelType w:val="hybridMultilevel"/>
    <w:tmpl w:val="1B341E2E"/>
    <w:lvl w:ilvl="0" w:tplc="1A2C5F40">
      <w:start w:val="1"/>
      <w:numFmt w:val="bullet"/>
      <w:lvlText w:val=""/>
      <w:lvlJc w:val="left"/>
      <w:pPr>
        <w:tabs>
          <w:tab w:val="num" w:pos="720"/>
        </w:tabs>
        <w:ind w:left="720" w:hanging="360"/>
      </w:pPr>
      <w:rPr>
        <w:rFonts w:ascii="Wingdings" w:hAnsi="Wingdings" w:hint="default"/>
      </w:rPr>
    </w:lvl>
    <w:lvl w:ilvl="1" w:tplc="7CECC56A" w:tentative="1">
      <w:start w:val="1"/>
      <w:numFmt w:val="bullet"/>
      <w:lvlText w:val=""/>
      <w:lvlJc w:val="left"/>
      <w:pPr>
        <w:tabs>
          <w:tab w:val="num" w:pos="1440"/>
        </w:tabs>
        <w:ind w:left="1440" w:hanging="360"/>
      </w:pPr>
      <w:rPr>
        <w:rFonts w:ascii="Wingdings" w:hAnsi="Wingdings" w:hint="default"/>
      </w:rPr>
    </w:lvl>
    <w:lvl w:ilvl="2" w:tplc="F392D402" w:tentative="1">
      <w:start w:val="1"/>
      <w:numFmt w:val="bullet"/>
      <w:lvlText w:val=""/>
      <w:lvlJc w:val="left"/>
      <w:pPr>
        <w:tabs>
          <w:tab w:val="num" w:pos="2160"/>
        </w:tabs>
        <w:ind w:left="2160" w:hanging="360"/>
      </w:pPr>
      <w:rPr>
        <w:rFonts w:ascii="Wingdings" w:hAnsi="Wingdings" w:hint="default"/>
      </w:rPr>
    </w:lvl>
    <w:lvl w:ilvl="3" w:tplc="0A4A3708" w:tentative="1">
      <w:start w:val="1"/>
      <w:numFmt w:val="bullet"/>
      <w:lvlText w:val=""/>
      <w:lvlJc w:val="left"/>
      <w:pPr>
        <w:tabs>
          <w:tab w:val="num" w:pos="2880"/>
        </w:tabs>
        <w:ind w:left="2880" w:hanging="360"/>
      </w:pPr>
      <w:rPr>
        <w:rFonts w:ascii="Wingdings" w:hAnsi="Wingdings" w:hint="default"/>
      </w:rPr>
    </w:lvl>
    <w:lvl w:ilvl="4" w:tplc="BDAC1FB6" w:tentative="1">
      <w:start w:val="1"/>
      <w:numFmt w:val="bullet"/>
      <w:lvlText w:val=""/>
      <w:lvlJc w:val="left"/>
      <w:pPr>
        <w:tabs>
          <w:tab w:val="num" w:pos="3600"/>
        </w:tabs>
        <w:ind w:left="3600" w:hanging="360"/>
      </w:pPr>
      <w:rPr>
        <w:rFonts w:ascii="Wingdings" w:hAnsi="Wingdings" w:hint="default"/>
      </w:rPr>
    </w:lvl>
    <w:lvl w:ilvl="5" w:tplc="01C2B764" w:tentative="1">
      <w:start w:val="1"/>
      <w:numFmt w:val="bullet"/>
      <w:lvlText w:val=""/>
      <w:lvlJc w:val="left"/>
      <w:pPr>
        <w:tabs>
          <w:tab w:val="num" w:pos="4320"/>
        </w:tabs>
        <w:ind w:left="4320" w:hanging="360"/>
      </w:pPr>
      <w:rPr>
        <w:rFonts w:ascii="Wingdings" w:hAnsi="Wingdings" w:hint="default"/>
      </w:rPr>
    </w:lvl>
    <w:lvl w:ilvl="6" w:tplc="F33CE628" w:tentative="1">
      <w:start w:val="1"/>
      <w:numFmt w:val="bullet"/>
      <w:lvlText w:val=""/>
      <w:lvlJc w:val="left"/>
      <w:pPr>
        <w:tabs>
          <w:tab w:val="num" w:pos="5040"/>
        </w:tabs>
        <w:ind w:left="5040" w:hanging="360"/>
      </w:pPr>
      <w:rPr>
        <w:rFonts w:ascii="Wingdings" w:hAnsi="Wingdings" w:hint="default"/>
      </w:rPr>
    </w:lvl>
    <w:lvl w:ilvl="7" w:tplc="20BC2D18" w:tentative="1">
      <w:start w:val="1"/>
      <w:numFmt w:val="bullet"/>
      <w:lvlText w:val=""/>
      <w:lvlJc w:val="left"/>
      <w:pPr>
        <w:tabs>
          <w:tab w:val="num" w:pos="5760"/>
        </w:tabs>
        <w:ind w:left="5760" w:hanging="360"/>
      </w:pPr>
      <w:rPr>
        <w:rFonts w:ascii="Wingdings" w:hAnsi="Wingdings" w:hint="default"/>
      </w:rPr>
    </w:lvl>
    <w:lvl w:ilvl="8" w:tplc="645A4EA8"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3"/>
  </w:num>
  <w:num w:numId="17">
    <w:abstractNumId w:val="0"/>
    <w:lvlOverride w:ilvl="0">
      <w:lvl w:ilvl="0">
        <w:numFmt w:val="bullet"/>
        <w:lvlText w:val=""/>
        <w:legacy w:legacy="1" w:legacySpace="0" w:legacyIndent="0"/>
        <w:lvlJc w:val="left"/>
        <w:rPr>
          <w:rFonts w:ascii="Wingdings" w:hAnsi="Wingdings" w:hint="default"/>
          <w:sz w:val="41"/>
        </w:rPr>
      </w:lvl>
    </w:lvlOverride>
  </w:num>
  <w:num w:numId="18">
    <w:abstractNumId w:val="21"/>
  </w:num>
  <w:num w:numId="19">
    <w:abstractNumId w:val="16"/>
  </w:num>
  <w:num w:numId="20">
    <w:abstractNumId w:val="20"/>
  </w:num>
  <w:num w:numId="21">
    <w:abstractNumId w:val="18"/>
  </w:num>
  <w:num w:numId="22">
    <w:abstractNumId w:val="19"/>
  </w:num>
  <w:num w:numId="23">
    <w:abstractNumId w:val="15"/>
  </w:num>
  <w:num w:numId="24">
    <w:abstractNumId w:val="0"/>
    <w:lvlOverride w:ilvl="0">
      <w:lvl w:ilvl="0">
        <w:numFmt w:val="bullet"/>
        <w:lvlText w:val="•"/>
        <w:legacy w:legacy="1" w:legacySpace="0" w:legacyIndent="0"/>
        <w:lvlJc w:val="left"/>
        <w:rPr>
          <w:rFonts w:ascii="Arial" w:hAnsi="Arial" w:cs="Arial" w:hint="default"/>
          <w:sz w:val="48"/>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Mario Rodríguez Zúñiga">
    <w15:presenceInfo w15:providerId="AD" w15:userId="S-1-5-21-365663367-3599675667-530664279-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B"/>
    <w:rsid w:val="00007BBD"/>
    <w:rsid w:val="00113DB4"/>
    <w:rsid w:val="00136889"/>
    <w:rsid w:val="00170A3C"/>
    <w:rsid w:val="001766CF"/>
    <w:rsid w:val="001E40DF"/>
    <w:rsid w:val="00254500"/>
    <w:rsid w:val="00295D88"/>
    <w:rsid w:val="00310D65"/>
    <w:rsid w:val="00364C37"/>
    <w:rsid w:val="003B2E9C"/>
    <w:rsid w:val="00457585"/>
    <w:rsid w:val="00497B65"/>
    <w:rsid w:val="0053086B"/>
    <w:rsid w:val="00532279"/>
    <w:rsid w:val="005609D2"/>
    <w:rsid w:val="005C7184"/>
    <w:rsid w:val="005D6D0E"/>
    <w:rsid w:val="00690CA0"/>
    <w:rsid w:val="006B157E"/>
    <w:rsid w:val="006B3B51"/>
    <w:rsid w:val="00754F11"/>
    <w:rsid w:val="00777416"/>
    <w:rsid w:val="00845F83"/>
    <w:rsid w:val="00847D66"/>
    <w:rsid w:val="00854063"/>
    <w:rsid w:val="008A6EC3"/>
    <w:rsid w:val="008E15F3"/>
    <w:rsid w:val="009162A0"/>
    <w:rsid w:val="00916911"/>
    <w:rsid w:val="009B5E8C"/>
    <w:rsid w:val="009F0EDD"/>
    <w:rsid w:val="00A2541B"/>
    <w:rsid w:val="00A65764"/>
    <w:rsid w:val="00A73706"/>
    <w:rsid w:val="00AC6083"/>
    <w:rsid w:val="00AE1413"/>
    <w:rsid w:val="00AE4A7D"/>
    <w:rsid w:val="00B91191"/>
    <w:rsid w:val="00B9682D"/>
    <w:rsid w:val="00BC2397"/>
    <w:rsid w:val="00C16747"/>
    <w:rsid w:val="00C31AC1"/>
    <w:rsid w:val="00CE6BB5"/>
    <w:rsid w:val="00D014D6"/>
    <w:rsid w:val="00D33E2B"/>
    <w:rsid w:val="00D4171D"/>
    <w:rsid w:val="00D704CA"/>
    <w:rsid w:val="00E0464E"/>
    <w:rsid w:val="00E148BE"/>
    <w:rsid w:val="00E75DE1"/>
    <w:rsid w:val="00ED6301"/>
    <w:rsid w:val="00F149DD"/>
    <w:rsid w:val="00F31228"/>
    <w:rsid w:val="00F3443F"/>
    <w:rsid w:val="00F57E6F"/>
    <w:rsid w:val="00F866A4"/>
    <w:rsid w:val="00F94CAF"/>
    <w:rsid w:val="00FF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41B"/>
    <w:pPr>
      <w:spacing w:after="200" w:line="276" w:lineRule="auto"/>
      <w:ind w:left="720"/>
    </w:pPr>
    <w:rPr>
      <w:rFonts w:ascii="Calibri" w:eastAsia="Times New Roman" w:hAnsi="Calibri" w:cs="Calibri"/>
    </w:rPr>
  </w:style>
  <w:style w:type="paragraph" w:customStyle="1" w:styleId="Default">
    <w:name w:val="Default"/>
    <w:rsid w:val="00B9682D"/>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Textonotapie">
    <w:name w:val="footnote text"/>
    <w:basedOn w:val="Normal"/>
    <w:link w:val="TextonotapieCar"/>
    <w:uiPriority w:val="99"/>
    <w:unhideWhenUsed/>
    <w:rsid w:val="008A6EC3"/>
    <w:pPr>
      <w:spacing w:after="0" w:line="240" w:lineRule="auto"/>
    </w:pPr>
    <w:rPr>
      <w:sz w:val="24"/>
      <w:szCs w:val="24"/>
    </w:rPr>
  </w:style>
  <w:style w:type="character" w:customStyle="1" w:styleId="TextonotapieCar">
    <w:name w:val="Texto nota pie Car"/>
    <w:basedOn w:val="Fuentedeprrafopredeter"/>
    <w:link w:val="Textonotapie"/>
    <w:uiPriority w:val="99"/>
    <w:rsid w:val="008A6EC3"/>
    <w:rPr>
      <w:sz w:val="24"/>
      <w:szCs w:val="24"/>
    </w:rPr>
  </w:style>
  <w:style w:type="character" w:styleId="Refdenotaalpie">
    <w:name w:val="footnote reference"/>
    <w:basedOn w:val="Fuentedeprrafopredeter"/>
    <w:uiPriority w:val="99"/>
    <w:unhideWhenUsed/>
    <w:rsid w:val="008A6EC3"/>
    <w:rPr>
      <w:vertAlign w:val="superscript"/>
    </w:rPr>
  </w:style>
  <w:style w:type="character" w:styleId="Textoennegrita">
    <w:name w:val="Strong"/>
    <w:basedOn w:val="Fuentedeprrafopredeter"/>
    <w:uiPriority w:val="22"/>
    <w:qFormat/>
    <w:rsid w:val="005D6D0E"/>
    <w:rPr>
      <w:b/>
      <w:bCs/>
    </w:rPr>
  </w:style>
  <w:style w:type="character" w:styleId="Hipervnculo">
    <w:name w:val="Hyperlink"/>
    <w:basedOn w:val="Fuentedeprrafopredeter"/>
    <w:uiPriority w:val="99"/>
    <w:unhideWhenUsed/>
    <w:rsid w:val="00F866A4"/>
    <w:rPr>
      <w:color w:val="0563C1" w:themeColor="hyperlink"/>
      <w:u w:val="single"/>
    </w:rPr>
  </w:style>
  <w:style w:type="character" w:styleId="CitaHTML">
    <w:name w:val="HTML Cite"/>
    <w:basedOn w:val="Fuentedeprrafopredeter"/>
    <w:uiPriority w:val="99"/>
    <w:semiHidden/>
    <w:unhideWhenUsed/>
    <w:rsid w:val="00AE4A7D"/>
    <w:rPr>
      <w:i/>
      <w:iCs/>
    </w:rPr>
  </w:style>
  <w:style w:type="paragraph" w:styleId="Textodeglobo">
    <w:name w:val="Balloon Text"/>
    <w:basedOn w:val="Normal"/>
    <w:link w:val="TextodegloboCar"/>
    <w:uiPriority w:val="99"/>
    <w:semiHidden/>
    <w:unhideWhenUsed/>
    <w:rsid w:val="00754F1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4F1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113DB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41B"/>
    <w:pPr>
      <w:spacing w:after="200" w:line="276" w:lineRule="auto"/>
      <w:ind w:left="720"/>
    </w:pPr>
    <w:rPr>
      <w:rFonts w:ascii="Calibri" w:eastAsia="Times New Roman" w:hAnsi="Calibri" w:cs="Calibri"/>
    </w:rPr>
  </w:style>
  <w:style w:type="paragraph" w:customStyle="1" w:styleId="Default">
    <w:name w:val="Default"/>
    <w:rsid w:val="00B9682D"/>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Textonotapie">
    <w:name w:val="footnote text"/>
    <w:basedOn w:val="Normal"/>
    <w:link w:val="TextonotapieCar"/>
    <w:uiPriority w:val="99"/>
    <w:unhideWhenUsed/>
    <w:rsid w:val="008A6EC3"/>
    <w:pPr>
      <w:spacing w:after="0" w:line="240" w:lineRule="auto"/>
    </w:pPr>
    <w:rPr>
      <w:sz w:val="24"/>
      <w:szCs w:val="24"/>
    </w:rPr>
  </w:style>
  <w:style w:type="character" w:customStyle="1" w:styleId="TextonotapieCar">
    <w:name w:val="Texto nota pie Car"/>
    <w:basedOn w:val="Fuentedeprrafopredeter"/>
    <w:link w:val="Textonotapie"/>
    <w:uiPriority w:val="99"/>
    <w:rsid w:val="008A6EC3"/>
    <w:rPr>
      <w:sz w:val="24"/>
      <w:szCs w:val="24"/>
    </w:rPr>
  </w:style>
  <w:style w:type="character" w:styleId="Refdenotaalpie">
    <w:name w:val="footnote reference"/>
    <w:basedOn w:val="Fuentedeprrafopredeter"/>
    <w:uiPriority w:val="99"/>
    <w:unhideWhenUsed/>
    <w:rsid w:val="008A6EC3"/>
    <w:rPr>
      <w:vertAlign w:val="superscript"/>
    </w:rPr>
  </w:style>
  <w:style w:type="character" w:styleId="Textoennegrita">
    <w:name w:val="Strong"/>
    <w:basedOn w:val="Fuentedeprrafopredeter"/>
    <w:uiPriority w:val="22"/>
    <w:qFormat/>
    <w:rsid w:val="005D6D0E"/>
    <w:rPr>
      <w:b/>
      <w:bCs/>
    </w:rPr>
  </w:style>
  <w:style w:type="character" w:styleId="Hipervnculo">
    <w:name w:val="Hyperlink"/>
    <w:basedOn w:val="Fuentedeprrafopredeter"/>
    <w:uiPriority w:val="99"/>
    <w:unhideWhenUsed/>
    <w:rsid w:val="00F866A4"/>
    <w:rPr>
      <w:color w:val="0563C1" w:themeColor="hyperlink"/>
      <w:u w:val="single"/>
    </w:rPr>
  </w:style>
  <w:style w:type="character" w:styleId="CitaHTML">
    <w:name w:val="HTML Cite"/>
    <w:basedOn w:val="Fuentedeprrafopredeter"/>
    <w:uiPriority w:val="99"/>
    <w:semiHidden/>
    <w:unhideWhenUsed/>
    <w:rsid w:val="00AE4A7D"/>
    <w:rPr>
      <w:i/>
      <w:iCs/>
    </w:rPr>
  </w:style>
  <w:style w:type="paragraph" w:styleId="Textodeglobo">
    <w:name w:val="Balloon Text"/>
    <w:basedOn w:val="Normal"/>
    <w:link w:val="TextodegloboCar"/>
    <w:uiPriority w:val="99"/>
    <w:semiHidden/>
    <w:unhideWhenUsed/>
    <w:rsid w:val="00754F1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4F1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11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008">
      <w:bodyDiv w:val="1"/>
      <w:marLeft w:val="0"/>
      <w:marRight w:val="0"/>
      <w:marTop w:val="0"/>
      <w:marBottom w:val="0"/>
      <w:divBdr>
        <w:top w:val="none" w:sz="0" w:space="0" w:color="auto"/>
        <w:left w:val="none" w:sz="0" w:space="0" w:color="auto"/>
        <w:bottom w:val="none" w:sz="0" w:space="0" w:color="auto"/>
        <w:right w:val="none" w:sz="0" w:space="0" w:color="auto"/>
      </w:divBdr>
    </w:div>
    <w:div w:id="130483302">
      <w:bodyDiv w:val="1"/>
      <w:marLeft w:val="0"/>
      <w:marRight w:val="0"/>
      <w:marTop w:val="0"/>
      <w:marBottom w:val="0"/>
      <w:divBdr>
        <w:top w:val="none" w:sz="0" w:space="0" w:color="auto"/>
        <w:left w:val="none" w:sz="0" w:space="0" w:color="auto"/>
        <w:bottom w:val="none" w:sz="0" w:space="0" w:color="auto"/>
        <w:right w:val="none" w:sz="0" w:space="0" w:color="auto"/>
      </w:divBdr>
    </w:div>
    <w:div w:id="495193174">
      <w:bodyDiv w:val="1"/>
      <w:marLeft w:val="0"/>
      <w:marRight w:val="0"/>
      <w:marTop w:val="0"/>
      <w:marBottom w:val="0"/>
      <w:divBdr>
        <w:top w:val="none" w:sz="0" w:space="0" w:color="auto"/>
        <w:left w:val="none" w:sz="0" w:space="0" w:color="auto"/>
        <w:bottom w:val="none" w:sz="0" w:space="0" w:color="auto"/>
        <w:right w:val="none" w:sz="0" w:space="0" w:color="auto"/>
      </w:divBdr>
    </w:div>
    <w:div w:id="669605281">
      <w:bodyDiv w:val="1"/>
      <w:marLeft w:val="0"/>
      <w:marRight w:val="0"/>
      <w:marTop w:val="0"/>
      <w:marBottom w:val="0"/>
      <w:divBdr>
        <w:top w:val="none" w:sz="0" w:space="0" w:color="auto"/>
        <w:left w:val="none" w:sz="0" w:space="0" w:color="auto"/>
        <w:bottom w:val="none" w:sz="0" w:space="0" w:color="auto"/>
        <w:right w:val="none" w:sz="0" w:space="0" w:color="auto"/>
      </w:divBdr>
    </w:div>
    <w:div w:id="1022167215">
      <w:bodyDiv w:val="1"/>
      <w:marLeft w:val="0"/>
      <w:marRight w:val="0"/>
      <w:marTop w:val="0"/>
      <w:marBottom w:val="0"/>
      <w:divBdr>
        <w:top w:val="none" w:sz="0" w:space="0" w:color="auto"/>
        <w:left w:val="none" w:sz="0" w:space="0" w:color="auto"/>
        <w:bottom w:val="none" w:sz="0" w:space="0" w:color="auto"/>
        <w:right w:val="none" w:sz="0" w:space="0" w:color="auto"/>
      </w:divBdr>
    </w:div>
    <w:div w:id="1040209091">
      <w:bodyDiv w:val="1"/>
      <w:marLeft w:val="0"/>
      <w:marRight w:val="0"/>
      <w:marTop w:val="0"/>
      <w:marBottom w:val="0"/>
      <w:divBdr>
        <w:top w:val="none" w:sz="0" w:space="0" w:color="auto"/>
        <w:left w:val="none" w:sz="0" w:space="0" w:color="auto"/>
        <w:bottom w:val="none" w:sz="0" w:space="0" w:color="auto"/>
        <w:right w:val="none" w:sz="0" w:space="0" w:color="auto"/>
      </w:divBdr>
      <w:divsChild>
        <w:div w:id="2076933289">
          <w:marLeft w:val="547"/>
          <w:marRight w:val="0"/>
          <w:marTop w:val="139"/>
          <w:marBottom w:val="0"/>
          <w:divBdr>
            <w:top w:val="none" w:sz="0" w:space="0" w:color="auto"/>
            <w:left w:val="none" w:sz="0" w:space="0" w:color="auto"/>
            <w:bottom w:val="none" w:sz="0" w:space="0" w:color="auto"/>
            <w:right w:val="none" w:sz="0" w:space="0" w:color="auto"/>
          </w:divBdr>
        </w:div>
        <w:div w:id="220406051">
          <w:marLeft w:val="547"/>
          <w:marRight w:val="0"/>
          <w:marTop w:val="139"/>
          <w:marBottom w:val="0"/>
          <w:divBdr>
            <w:top w:val="none" w:sz="0" w:space="0" w:color="auto"/>
            <w:left w:val="none" w:sz="0" w:space="0" w:color="auto"/>
            <w:bottom w:val="none" w:sz="0" w:space="0" w:color="auto"/>
            <w:right w:val="none" w:sz="0" w:space="0" w:color="auto"/>
          </w:divBdr>
        </w:div>
        <w:div w:id="1562473208">
          <w:marLeft w:val="547"/>
          <w:marRight w:val="0"/>
          <w:marTop w:val="139"/>
          <w:marBottom w:val="0"/>
          <w:divBdr>
            <w:top w:val="none" w:sz="0" w:space="0" w:color="auto"/>
            <w:left w:val="none" w:sz="0" w:space="0" w:color="auto"/>
            <w:bottom w:val="none" w:sz="0" w:space="0" w:color="auto"/>
            <w:right w:val="none" w:sz="0" w:space="0" w:color="auto"/>
          </w:divBdr>
        </w:div>
      </w:divsChild>
    </w:div>
    <w:div w:id="1099372340">
      <w:bodyDiv w:val="1"/>
      <w:marLeft w:val="0"/>
      <w:marRight w:val="0"/>
      <w:marTop w:val="0"/>
      <w:marBottom w:val="0"/>
      <w:divBdr>
        <w:top w:val="none" w:sz="0" w:space="0" w:color="auto"/>
        <w:left w:val="none" w:sz="0" w:space="0" w:color="auto"/>
        <w:bottom w:val="none" w:sz="0" w:space="0" w:color="auto"/>
        <w:right w:val="none" w:sz="0" w:space="0" w:color="auto"/>
      </w:divBdr>
    </w:div>
    <w:div w:id="1341005030">
      <w:bodyDiv w:val="1"/>
      <w:marLeft w:val="0"/>
      <w:marRight w:val="0"/>
      <w:marTop w:val="0"/>
      <w:marBottom w:val="0"/>
      <w:divBdr>
        <w:top w:val="none" w:sz="0" w:space="0" w:color="auto"/>
        <w:left w:val="none" w:sz="0" w:space="0" w:color="auto"/>
        <w:bottom w:val="none" w:sz="0" w:space="0" w:color="auto"/>
        <w:right w:val="none" w:sz="0" w:space="0" w:color="auto"/>
      </w:divBdr>
      <w:divsChild>
        <w:div w:id="1316297422">
          <w:marLeft w:val="0"/>
          <w:marRight w:val="0"/>
          <w:marTop w:val="0"/>
          <w:marBottom w:val="0"/>
          <w:divBdr>
            <w:top w:val="none" w:sz="0" w:space="0" w:color="auto"/>
            <w:left w:val="none" w:sz="0" w:space="0" w:color="auto"/>
            <w:bottom w:val="none" w:sz="0" w:space="0" w:color="auto"/>
            <w:right w:val="none" w:sz="0" w:space="0" w:color="auto"/>
          </w:divBdr>
        </w:div>
      </w:divsChild>
    </w:div>
    <w:div w:id="1512060875">
      <w:bodyDiv w:val="1"/>
      <w:marLeft w:val="0"/>
      <w:marRight w:val="0"/>
      <w:marTop w:val="0"/>
      <w:marBottom w:val="0"/>
      <w:divBdr>
        <w:top w:val="none" w:sz="0" w:space="0" w:color="auto"/>
        <w:left w:val="none" w:sz="0" w:space="0" w:color="auto"/>
        <w:bottom w:val="none" w:sz="0" w:space="0" w:color="auto"/>
        <w:right w:val="none" w:sz="0" w:space="0" w:color="auto"/>
      </w:divBdr>
    </w:div>
    <w:div w:id="1789396066">
      <w:bodyDiv w:val="1"/>
      <w:marLeft w:val="0"/>
      <w:marRight w:val="0"/>
      <w:marTop w:val="0"/>
      <w:marBottom w:val="0"/>
      <w:divBdr>
        <w:top w:val="none" w:sz="0" w:space="0" w:color="auto"/>
        <w:left w:val="none" w:sz="0" w:space="0" w:color="auto"/>
        <w:bottom w:val="none" w:sz="0" w:space="0" w:color="auto"/>
        <w:right w:val="none" w:sz="0" w:space="0" w:color="auto"/>
      </w:divBdr>
    </w:div>
    <w:div w:id="1861161330">
      <w:bodyDiv w:val="1"/>
      <w:marLeft w:val="0"/>
      <w:marRight w:val="0"/>
      <w:marTop w:val="0"/>
      <w:marBottom w:val="0"/>
      <w:divBdr>
        <w:top w:val="none" w:sz="0" w:space="0" w:color="auto"/>
        <w:left w:val="none" w:sz="0" w:space="0" w:color="auto"/>
        <w:bottom w:val="none" w:sz="0" w:space="0" w:color="auto"/>
        <w:right w:val="none" w:sz="0" w:space="0" w:color="auto"/>
      </w:divBdr>
    </w:div>
    <w:div w:id="2098624530">
      <w:bodyDiv w:val="1"/>
      <w:marLeft w:val="0"/>
      <w:marRight w:val="0"/>
      <w:marTop w:val="0"/>
      <w:marBottom w:val="0"/>
      <w:divBdr>
        <w:top w:val="none" w:sz="0" w:space="0" w:color="auto"/>
        <w:left w:val="none" w:sz="0" w:space="0" w:color="auto"/>
        <w:bottom w:val="none" w:sz="0" w:space="0" w:color="auto"/>
        <w:right w:val="none" w:sz="0" w:space="0" w:color="auto"/>
      </w:divBdr>
    </w:div>
    <w:div w:id="21066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pmadrigalcordero@gmail.com" TargetMode="External"/><Relationship Id="rId13" Type="http://schemas.openxmlformats.org/officeDocument/2006/relationships/image" Target="media/image1.emf"/><Relationship Id="rId14" Type="http://schemas.openxmlformats.org/officeDocument/2006/relationships/hyperlink" Target="http://conagebio.go.cr/Conagebio/public/distintivoABS.html" TargetMode="External"/><Relationship Id="rId15" Type="http://schemas.openxmlformats.org/officeDocument/2006/relationships/hyperlink" Target="http://www.fbs.go.cr" TargetMode="External"/><Relationship Id="rId16" Type="http://schemas.openxmlformats.org/officeDocument/2006/relationships/hyperlink" Target="http://reddcr.go.cr" TargetMode="External"/><Relationship Id="rId17" Type="http://schemas.openxmlformats.org/officeDocument/2006/relationships/hyperlink" Target="http://informe-ambiente.minae.go.c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4C32-41CC-427B-863B-51BDE5F4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1DF2D-2EEC-498C-8EB4-13D3CADF72D0}">
  <ds:schemaRefs>
    <ds:schemaRef ds:uri="http://schemas.microsoft.com/sharepoint/v3/contenttype/forms"/>
  </ds:schemaRefs>
</ds:datastoreItem>
</file>

<file path=customXml/itemProps3.xml><?xml version="1.0" encoding="utf-8"?>
<ds:datastoreItem xmlns:ds="http://schemas.openxmlformats.org/officeDocument/2006/customXml" ds:itemID="{4CE8EA6A-252D-434E-94DA-17BCF860FB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B2A0C2-3C44-FD4D-ABA5-209A4EBE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4119</Words>
  <Characters>22821</Characters>
  <Application>Microsoft Macintosh Word</Application>
  <DocSecurity>0</DocSecurity>
  <Lines>447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HRC_RtHE_Questionnaire_SP</vt:lpstr>
      <vt:lpstr/>
    </vt:vector>
  </TitlesOfParts>
  <Company>OHCHR</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HRC_RtHE_Questionnaire_SP</dc:title>
  <dc:subject/>
  <dc:creator>GARCIA TORRENTE Maria</dc:creator>
  <cp:keywords/>
  <dc:description/>
  <cp:lastModifiedBy>Patricia Madrigal</cp:lastModifiedBy>
  <cp:revision>3</cp:revision>
  <dcterms:created xsi:type="dcterms:W3CDTF">2019-06-03T15:11:00Z</dcterms:created>
  <dcterms:modified xsi:type="dcterms:W3CDTF">2019-06-03T15:35:00Z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