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C189" w14:textId="77777777" w:rsidR="00F926C6" w:rsidRPr="00134B74" w:rsidRDefault="00F926C6" w:rsidP="00E53E5C">
      <w:pPr>
        <w:pStyle w:val="Default"/>
        <w:tabs>
          <w:tab w:val="left" w:pos="7938"/>
        </w:tabs>
        <w:jc w:val="center"/>
        <w:rPr>
          <w:b/>
          <w:color w:val="000000" w:themeColor="text1"/>
          <w:sz w:val="28"/>
          <w:szCs w:val="28"/>
        </w:rPr>
      </w:pPr>
      <w:r w:rsidRPr="00134B74">
        <w:rPr>
          <w:b/>
          <w:color w:val="000000" w:themeColor="text1"/>
          <w:sz w:val="28"/>
          <w:szCs w:val="28"/>
        </w:rPr>
        <w:t>The Right to a Safe, Clean, Healthy and Sustainable Environment</w:t>
      </w:r>
    </w:p>
    <w:p w14:paraId="2088F584" w14:textId="77777777" w:rsidR="004E702C" w:rsidRPr="00167CB8" w:rsidRDefault="004E702C" w:rsidP="0068167B">
      <w:pPr>
        <w:ind w:left="360" w:hanging="360"/>
        <w:jc w:val="both"/>
        <w:rPr>
          <w:rFonts w:ascii="Times New Roman" w:eastAsia="Times New Roman" w:hAnsi="Times New Roman" w:cs="Times New Roman"/>
          <w:color w:val="000000" w:themeColor="text1"/>
          <w:lang w:val="en-US" w:eastAsia="en-GB"/>
        </w:rPr>
      </w:pPr>
    </w:p>
    <w:p w14:paraId="2F9808C9" w14:textId="77777777" w:rsidR="00F926C6" w:rsidRPr="00167CB8" w:rsidRDefault="00F926C6" w:rsidP="00F926C6">
      <w:pPr>
        <w:rPr>
          <w:rFonts w:ascii="Times New Roman" w:eastAsia="Times New Roman" w:hAnsi="Times New Roman" w:cs="Times New Roman"/>
          <w:b/>
          <w:bCs/>
          <w:color w:val="000000" w:themeColor="text1"/>
          <w:lang w:eastAsia="en-GB"/>
        </w:rPr>
      </w:pPr>
    </w:p>
    <w:p w14:paraId="1D765B72" w14:textId="77777777" w:rsidR="00580BE6" w:rsidRPr="00167CB8" w:rsidRDefault="004E702C" w:rsidP="00580BE6">
      <w:pPr>
        <w:ind w:left="360" w:hanging="360"/>
        <w:jc w:val="center"/>
        <w:rPr>
          <w:rFonts w:ascii="Times New Roman" w:eastAsia="Times New Roman" w:hAnsi="Times New Roman" w:cs="Times New Roman"/>
          <w:b/>
          <w:bCs/>
          <w:color w:val="000000" w:themeColor="text1"/>
          <w:lang w:eastAsia="en-GB"/>
        </w:rPr>
      </w:pPr>
      <w:r w:rsidRPr="00167CB8">
        <w:rPr>
          <w:rFonts w:ascii="Times New Roman" w:eastAsia="Times New Roman" w:hAnsi="Times New Roman" w:cs="Times New Roman"/>
          <w:b/>
          <w:bCs/>
          <w:color w:val="000000" w:themeColor="text1"/>
          <w:lang w:eastAsia="en-GB"/>
        </w:rPr>
        <w:t>Jane Goodall’s Roots and Shoots, Macquarie University</w:t>
      </w:r>
    </w:p>
    <w:p w14:paraId="3FE2481A" w14:textId="2D5E808D" w:rsidR="004E702C" w:rsidRPr="00167CB8" w:rsidRDefault="00580BE6" w:rsidP="00580BE6">
      <w:pPr>
        <w:ind w:left="360" w:hanging="360"/>
        <w:jc w:val="center"/>
        <w:rPr>
          <w:rFonts w:ascii="Times New Roman" w:eastAsia="Times New Roman" w:hAnsi="Times New Roman" w:cs="Times New Roman"/>
          <w:b/>
          <w:bCs/>
          <w:color w:val="000000" w:themeColor="text1"/>
          <w:lang w:eastAsia="en-GB"/>
        </w:rPr>
      </w:pPr>
      <w:r w:rsidRPr="00167CB8">
        <w:rPr>
          <w:rFonts w:ascii="Times New Roman" w:eastAsia="Times New Roman" w:hAnsi="Times New Roman" w:cs="Times New Roman"/>
          <w:b/>
          <w:bCs/>
          <w:color w:val="000000" w:themeColor="text1"/>
          <w:lang w:eastAsia="en-GB"/>
        </w:rPr>
        <w:t xml:space="preserve">Sydney, </w:t>
      </w:r>
      <w:r w:rsidR="004E702C" w:rsidRPr="00167CB8">
        <w:rPr>
          <w:rFonts w:ascii="Times New Roman" w:eastAsia="Times New Roman" w:hAnsi="Times New Roman" w:cs="Times New Roman"/>
          <w:b/>
          <w:bCs/>
          <w:color w:val="000000" w:themeColor="text1"/>
          <w:lang w:eastAsia="en-GB"/>
        </w:rPr>
        <w:t>Australia</w:t>
      </w:r>
    </w:p>
    <w:p w14:paraId="26BEC4B2" w14:textId="458F0F91" w:rsidR="004E702C" w:rsidRPr="00167CB8" w:rsidRDefault="004E702C" w:rsidP="004E702C">
      <w:pPr>
        <w:ind w:left="360" w:hanging="360"/>
        <w:jc w:val="center"/>
        <w:rPr>
          <w:rFonts w:ascii="Times New Roman" w:eastAsia="Times New Roman" w:hAnsi="Times New Roman" w:cs="Times New Roman"/>
          <w:i/>
          <w:iCs/>
          <w:color w:val="000000" w:themeColor="text1"/>
          <w:lang w:eastAsia="en-GB"/>
        </w:rPr>
      </w:pPr>
      <w:r w:rsidRPr="00167CB8">
        <w:rPr>
          <w:rFonts w:ascii="Times New Roman" w:eastAsia="Times New Roman" w:hAnsi="Times New Roman" w:cs="Times New Roman"/>
          <w:i/>
          <w:iCs/>
          <w:color w:val="000000" w:themeColor="text1"/>
          <w:lang w:eastAsia="en-GB"/>
        </w:rPr>
        <w:t xml:space="preserve">Sophie Maher, Annie </w:t>
      </w:r>
      <w:proofErr w:type="spellStart"/>
      <w:r w:rsidRPr="00167CB8">
        <w:rPr>
          <w:rFonts w:ascii="Times New Roman" w:eastAsia="Times New Roman" w:hAnsi="Times New Roman" w:cs="Times New Roman"/>
          <w:i/>
          <w:iCs/>
          <w:color w:val="000000" w:themeColor="text1"/>
          <w:lang w:eastAsia="en-GB"/>
        </w:rPr>
        <w:t>Renouf</w:t>
      </w:r>
      <w:proofErr w:type="spellEnd"/>
      <w:r w:rsidRPr="00167CB8">
        <w:rPr>
          <w:rFonts w:ascii="Times New Roman" w:eastAsia="Times New Roman" w:hAnsi="Times New Roman" w:cs="Times New Roman"/>
          <w:i/>
          <w:iCs/>
          <w:color w:val="000000" w:themeColor="text1"/>
          <w:lang w:eastAsia="en-GB"/>
        </w:rPr>
        <w:t xml:space="preserve">, Tessa Marsden, Alex Pan, Grace </w:t>
      </w:r>
      <w:proofErr w:type="spellStart"/>
      <w:r w:rsidRPr="00167CB8">
        <w:rPr>
          <w:rFonts w:ascii="Times New Roman" w:eastAsia="Times New Roman" w:hAnsi="Times New Roman" w:cs="Times New Roman"/>
          <w:i/>
          <w:iCs/>
          <w:color w:val="000000" w:themeColor="text1"/>
          <w:lang w:eastAsia="en-GB"/>
        </w:rPr>
        <w:t>Vegesana</w:t>
      </w:r>
      <w:proofErr w:type="spellEnd"/>
      <w:r w:rsidRPr="00167CB8">
        <w:rPr>
          <w:rFonts w:ascii="Times New Roman" w:eastAsia="Times New Roman" w:hAnsi="Times New Roman" w:cs="Times New Roman"/>
          <w:i/>
          <w:iCs/>
          <w:color w:val="000000" w:themeColor="text1"/>
          <w:lang w:eastAsia="en-GB"/>
        </w:rPr>
        <w:t>, Bell Knowles, Annabel Anderson</w:t>
      </w:r>
    </w:p>
    <w:p w14:paraId="1C54F96E" w14:textId="2072F896" w:rsidR="00956B25" w:rsidRPr="00167CB8" w:rsidRDefault="00956B25" w:rsidP="004E702C">
      <w:pPr>
        <w:ind w:left="360" w:hanging="360"/>
        <w:jc w:val="center"/>
        <w:rPr>
          <w:rFonts w:ascii="Times New Roman" w:eastAsia="Times New Roman" w:hAnsi="Times New Roman" w:cs="Times New Roman"/>
          <w:i/>
          <w:iCs/>
          <w:color w:val="000000" w:themeColor="text1"/>
          <w:lang w:eastAsia="en-GB"/>
        </w:rPr>
      </w:pPr>
      <w:r w:rsidRPr="00167CB8">
        <w:rPr>
          <w:rFonts w:ascii="Times New Roman" w:eastAsia="Times New Roman" w:hAnsi="Times New Roman" w:cs="Times New Roman"/>
          <w:i/>
          <w:iCs/>
          <w:color w:val="000000" w:themeColor="text1"/>
          <w:lang w:eastAsia="en-GB"/>
        </w:rPr>
        <w:t>(</w:t>
      </w:r>
      <w:r w:rsidR="001D673B">
        <w:rPr>
          <w:rFonts w:ascii="Times New Roman" w:eastAsia="Times New Roman" w:hAnsi="Times New Roman" w:cs="Times New Roman"/>
          <w:i/>
          <w:iCs/>
          <w:color w:val="000000" w:themeColor="text1"/>
          <w:lang w:eastAsia="en-GB"/>
        </w:rPr>
        <w:t>supervision:</w:t>
      </w:r>
      <w:r w:rsidRPr="00167CB8">
        <w:rPr>
          <w:rFonts w:ascii="Times New Roman" w:eastAsia="Times New Roman" w:hAnsi="Times New Roman" w:cs="Times New Roman"/>
          <w:i/>
          <w:iCs/>
          <w:color w:val="000000" w:themeColor="text1"/>
          <w:lang w:eastAsia="en-GB"/>
        </w:rPr>
        <w:t xml:space="preserve"> Zara Bending) </w:t>
      </w:r>
    </w:p>
    <w:p w14:paraId="5B769768" w14:textId="05F859F9" w:rsidR="004E702C" w:rsidRPr="00167CB8" w:rsidRDefault="004E702C" w:rsidP="0068167B">
      <w:pPr>
        <w:ind w:left="360" w:hanging="360"/>
        <w:jc w:val="both"/>
        <w:rPr>
          <w:rFonts w:ascii="Times New Roman" w:eastAsia="Times New Roman" w:hAnsi="Times New Roman" w:cs="Times New Roman"/>
          <w:color w:val="000000" w:themeColor="text1"/>
          <w:lang w:eastAsia="en-GB"/>
        </w:rPr>
      </w:pPr>
    </w:p>
    <w:p w14:paraId="23A06752" w14:textId="77777777" w:rsidR="004E702C" w:rsidRPr="00167CB8" w:rsidRDefault="004E702C" w:rsidP="0068167B">
      <w:pPr>
        <w:ind w:left="360" w:hanging="360"/>
        <w:jc w:val="both"/>
        <w:rPr>
          <w:rFonts w:ascii="Times New Roman" w:eastAsia="Times New Roman" w:hAnsi="Times New Roman" w:cs="Times New Roman"/>
          <w:color w:val="000000" w:themeColor="text1"/>
          <w:lang w:eastAsia="en-GB"/>
        </w:rPr>
      </w:pPr>
    </w:p>
    <w:p w14:paraId="1D7B6579" w14:textId="6D3ADE5D" w:rsidR="0068167B" w:rsidRPr="00167CB8" w:rsidRDefault="0068167B" w:rsidP="004E702C">
      <w:pPr>
        <w:jc w:val="both"/>
        <w:rPr>
          <w:rFonts w:ascii="Times New Roman" w:eastAsia="Times New Roman" w:hAnsi="Times New Roman" w:cs="Times New Roman"/>
          <w:b/>
          <w:bCs/>
          <w:color w:val="000000" w:themeColor="text1"/>
          <w:lang w:eastAsia="en-GB"/>
        </w:rPr>
      </w:pPr>
      <w:r w:rsidRPr="00167CB8">
        <w:rPr>
          <w:rFonts w:ascii="Times New Roman" w:eastAsia="Times New Roman" w:hAnsi="Times New Roman" w:cs="Times New Roman"/>
          <w:b/>
          <w:bCs/>
          <w:color w:val="000000" w:themeColor="text1"/>
          <w:lang w:eastAsia="en-GB"/>
        </w:rPr>
        <w:t xml:space="preserve">Please provide, in detail, examples of laws, regulations, policies and programmes that specifically incorporate the human right to a safe, clean, healthy and sustainable environment (acknowledging that different terms may be used to describe this human right) </w:t>
      </w:r>
    </w:p>
    <w:p w14:paraId="21F09B44" w14:textId="11550B9A" w:rsidR="0068167B" w:rsidRPr="00167CB8" w:rsidRDefault="0068167B" w:rsidP="0068167B">
      <w:pPr>
        <w:rPr>
          <w:rFonts w:ascii="Times New Roman" w:eastAsia="Times New Roman" w:hAnsi="Times New Roman" w:cs="Times New Roman"/>
          <w:color w:val="000000" w:themeColor="text1"/>
          <w:lang w:eastAsia="en-GB"/>
        </w:rPr>
      </w:pPr>
    </w:p>
    <w:p w14:paraId="06AACA79" w14:textId="50FC8C66" w:rsidR="00BA16CC" w:rsidRPr="00167CB8" w:rsidRDefault="00184527" w:rsidP="0068167B">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1.0 </w:t>
      </w:r>
      <w:r w:rsidR="00BA16CC" w:rsidRPr="00167CB8">
        <w:rPr>
          <w:rFonts w:ascii="Times New Roman" w:eastAsia="Times New Roman" w:hAnsi="Times New Roman" w:cs="Times New Roman"/>
          <w:color w:val="000000" w:themeColor="text1"/>
          <w:lang w:eastAsia="en-GB"/>
        </w:rPr>
        <w:t>While there is no universally accepted definition of the right to a safe, clean, healthy and sustainable environment</w:t>
      </w:r>
      <w:r w:rsidR="00DC293D" w:rsidRPr="00167CB8">
        <w:rPr>
          <w:rFonts w:ascii="Times New Roman" w:eastAsia="Times New Roman" w:hAnsi="Times New Roman" w:cs="Times New Roman"/>
          <w:color w:val="000000" w:themeColor="text1"/>
          <w:lang w:eastAsia="en-GB"/>
        </w:rPr>
        <w:t xml:space="preserve">, Boyd observes that the first formal recognition can be found in the Stockholm Declaration: </w:t>
      </w:r>
      <w:r w:rsidR="002A304E">
        <w:rPr>
          <w:rFonts w:ascii="Times New Roman" w:eastAsia="Times New Roman" w:hAnsi="Times New Roman" w:cs="Times New Roman"/>
          <w:color w:val="000000" w:themeColor="text1"/>
          <w:lang w:eastAsia="en-GB"/>
        </w:rPr>
        <w:t>‘</w:t>
      </w:r>
      <w:r w:rsidR="00DC293D" w:rsidRPr="00167CB8">
        <w:rPr>
          <w:rFonts w:ascii="Times New Roman" w:eastAsia="Times New Roman" w:hAnsi="Times New Roman" w:cs="Times New Roman"/>
          <w:color w:val="000000" w:themeColor="text1"/>
          <w:lang w:eastAsia="en-GB"/>
        </w:rPr>
        <w:t>Man has the fundamental right to freedom, equality and adequate conditions of life, in an environment of a quality that permits a life of dignity and well-being, and he bears a solemn responsibility to protect and improve the environment for present and future generations</w:t>
      </w:r>
      <w:r w:rsidR="002A304E">
        <w:rPr>
          <w:rFonts w:ascii="Times New Roman" w:eastAsia="Times New Roman" w:hAnsi="Times New Roman" w:cs="Times New Roman"/>
          <w:color w:val="000000" w:themeColor="text1"/>
          <w:lang w:eastAsia="en-GB"/>
        </w:rPr>
        <w:t>’</w:t>
      </w:r>
      <w:r w:rsidR="00DC293D" w:rsidRPr="00167CB8">
        <w:rPr>
          <w:rFonts w:ascii="Times New Roman" w:eastAsia="Times New Roman" w:hAnsi="Times New Roman" w:cs="Times New Roman"/>
          <w:color w:val="000000" w:themeColor="text1"/>
          <w:lang w:eastAsia="en-GB"/>
        </w:rPr>
        <w:t>.</w:t>
      </w:r>
      <w:r w:rsidR="00DC293D" w:rsidRPr="00167CB8">
        <w:rPr>
          <w:rStyle w:val="FootnoteReference"/>
          <w:rFonts w:ascii="Times New Roman" w:eastAsia="Times New Roman" w:hAnsi="Times New Roman" w:cs="Times New Roman"/>
          <w:color w:val="000000" w:themeColor="text1"/>
          <w:lang w:eastAsia="en-GB"/>
        </w:rPr>
        <w:footnoteReference w:id="1"/>
      </w:r>
      <w:r w:rsidR="00DC293D" w:rsidRPr="00167CB8">
        <w:rPr>
          <w:rFonts w:ascii="Times New Roman" w:eastAsia="Times New Roman" w:hAnsi="Times New Roman" w:cs="Times New Roman"/>
          <w:color w:val="000000" w:themeColor="text1"/>
          <w:lang w:eastAsia="en-GB"/>
        </w:rPr>
        <w:t xml:space="preserve"> Alternative expressions of this right have been enumerated such as the </w:t>
      </w:r>
      <w:r w:rsidR="001C55D7" w:rsidRPr="00167CB8">
        <w:rPr>
          <w:rFonts w:ascii="Times New Roman" w:eastAsia="Times New Roman" w:hAnsi="Times New Roman" w:cs="Times New Roman"/>
          <w:color w:val="000000" w:themeColor="text1"/>
          <w:lang w:eastAsia="en-GB"/>
        </w:rPr>
        <w:t>‘</w:t>
      </w:r>
      <w:r w:rsidR="00DC293D" w:rsidRPr="00167CB8">
        <w:rPr>
          <w:rFonts w:ascii="Times New Roman" w:eastAsia="Times New Roman" w:hAnsi="Times New Roman" w:cs="Times New Roman"/>
          <w:color w:val="000000" w:themeColor="text1"/>
          <w:lang w:eastAsia="en-GB"/>
        </w:rPr>
        <w:t>right to an ecologically balanced environment</w:t>
      </w:r>
      <w:r w:rsidR="001C55D7" w:rsidRPr="00167CB8">
        <w:rPr>
          <w:rFonts w:ascii="Times New Roman" w:eastAsia="Times New Roman" w:hAnsi="Times New Roman" w:cs="Times New Roman"/>
          <w:color w:val="000000" w:themeColor="text1"/>
          <w:lang w:eastAsia="en-GB"/>
        </w:rPr>
        <w:t>’,</w:t>
      </w:r>
      <w:r w:rsidR="00DC293D" w:rsidRPr="00167CB8">
        <w:rPr>
          <w:rFonts w:ascii="Times New Roman" w:eastAsia="Times New Roman" w:hAnsi="Times New Roman" w:cs="Times New Roman"/>
          <w:color w:val="000000" w:themeColor="text1"/>
          <w:lang w:eastAsia="en-GB"/>
        </w:rPr>
        <w:t xml:space="preserve"> </w:t>
      </w:r>
      <w:r w:rsidR="001C55D7" w:rsidRPr="00167CB8">
        <w:rPr>
          <w:rFonts w:ascii="Times New Roman" w:eastAsia="Times New Roman" w:hAnsi="Times New Roman" w:cs="Times New Roman"/>
          <w:color w:val="000000" w:themeColor="text1"/>
          <w:lang w:eastAsia="en-GB"/>
        </w:rPr>
        <w:t xml:space="preserve">a right of peoples to ‘a general satisfactory environment favourable to their development’, </w:t>
      </w:r>
      <w:r w:rsidR="00DC293D" w:rsidRPr="00167CB8">
        <w:rPr>
          <w:rFonts w:ascii="Times New Roman" w:eastAsia="Times New Roman" w:hAnsi="Times New Roman" w:cs="Times New Roman"/>
          <w:color w:val="000000" w:themeColor="text1"/>
          <w:lang w:eastAsia="en-GB"/>
        </w:rPr>
        <w:t xml:space="preserve">and </w:t>
      </w:r>
      <w:r w:rsidR="001C55D7" w:rsidRPr="00167CB8">
        <w:rPr>
          <w:rFonts w:ascii="Times New Roman" w:eastAsia="Times New Roman" w:hAnsi="Times New Roman" w:cs="Times New Roman"/>
          <w:color w:val="000000" w:themeColor="text1"/>
          <w:lang w:eastAsia="en-GB"/>
        </w:rPr>
        <w:t>‘</w:t>
      </w:r>
      <w:r w:rsidR="00DC293D" w:rsidRPr="00167CB8">
        <w:rPr>
          <w:rFonts w:ascii="Times New Roman" w:eastAsia="Times New Roman" w:hAnsi="Times New Roman" w:cs="Times New Roman"/>
          <w:color w:val="000000" w:themeColor="text1"/>
          <w:lang w:eastAsia="en-GB"/>
        </w:rPr>
        <w:t>the right to live in a benevolent environment</w:t>
      </w:r>
      <w:r w:rsidR="001C55D7" w:rsidRPr="00167CB8">
        <w:rPr>
          <w:rFonts w:ascii="Times New Roman" w:eastAsia="Times New Roman" w:hAnsi="Times New Roman" w:cs="Times New Roman"/>
          <w:color w:val="000000" w:themeColor="text1"/>
          <w:lang w:eastAsia="en-GB"/>
        </w:rPr>
        <w:t>’</w:t>
      </w:r>
      <w:r w:rsidR="00DC293D" w:rsidRPr="00167CB8">
        <w:rPr>
          <w:rFonts w:ascii="Times New Roman" w:eastAsia="Times New Roman" w:hAnsi="Times New Roman" w:cs="Times New Roman"/>
          <w:color w:val="000000" w:themeColor="text1"/>
          <w:lang w:eastAsia="en-GB"/>
        </w:rPr>
        <w:t xml:space="preserve">. </w:t>
      </w:r>
      <w:r w:rsidR="001C55D7" w:rsidRPr="00167CB8">
        <w:rPr>
          <w:rFonts w:ascii="Times New Roman" w:eastAsia="Times New Roman" w:hAnsi="Times New Roman" w:cs="Times New Roman"/>
          <w:color w:val="000000" w:themeColor="text1"/>
          <w:lang w:eastAsia="en-GB"/>
        </w:rPr>
        <w:t>Indeed, since</w:t>
      </w:r>
      <w:r w:rsidR="00817A1F">
        <w:rPr>
          <w:rFonts w:ascii="Times New Roman" w:eastAsia="Times New Roman" w:hAnsi="Times New Roman" w:cs="Times New Roman"/>
          <w:color w:val="000000" w:themeColor="text1"/>
          <w:lang w:eastAsia="en-GB"/>
        </w:rPr>
        <w:t xml:space="preserve"> the</w:t>
      </w:r>
      <w:r w:rsidR="001C55D7" w:rsidRPr="00167CB8">
        <w:rPr>
          <w:rFonts w:ascii="Times New Roman" w:eastAsia="Times New Roman" w:hAnsi="Times New Roman" w:cs="Times New Roman"/>
          <w:color w:val="000000" w:themeColor="text1"/>
          <w:lang w:eastAsia="en-GB"/>
        </w:rPr>
        <w:t xml:space="preserve"> United Nations Conference on the Human Environment in 1972, more than </w:t>
      </w:r>
      <w:r w:rsidR="0021243A" w:rsidRPr="00167CB8">
        <w:rPr>
          <w:rFonts w:ascii="Times New Roman" w:eastAsia="Times New Roman" w:hAnsi="Times New Roman" w:cs="Times New Roman"/>
          <w:color w:val="000000" w:themeColor="text1"/>
          <w:lang w:eastAsia="en-GB"/>
        </w:rPr>
        <w:t>one hundred</w:t>
      </w:r>
      <w:r w:rsidR="001C55D7" w:rsidRPr="00167CB8">
        <w:rPr>
          <w:rFonts w:ascii="Times New Roman" w:eastAsia="Times New Roman" w:hAnsi="Times New Roman" w:cs="Times New Roman"/>
          <w:color w:val="000000" w:themeColor="text1"/>
          <w:lang w:eastAsia="en-GB"/>
        </w:rPr>
        <w:t xml:space="preserve"> countries have incorporated the right to a healthy environment into their national constitutions.</w:t>
      </w:r>
      <w:r w:rsidR="00C248B9">
        <w:rPr>
          <w:rStyle w:val="FootnoteReference"/>
          <w:rFonts w:ascii="Times New Roman" w:eastAsia="Times New Roman" w:hAnsi="Times New Roman" w:cs="Times New Roman"/>
          <w:color w:val="000000" w:themeColor="text1"/>
          <w:lang w:eastAsia="en-GB"/>
        </w:rPr>
        <w:footnoteReference w:id="2"/>
      </w:r>
      <w:r w:rsidR="001C55D7" w:rsidRPr="00167CB8">
        <w:rPr>
          <w:rFonts w:ascii="Times New Roman" w:eastAsia="Times New Roman" w:hAnsi="Times New Roman" w:cs="Times New Roman"/>
          <w:color w:val="000000" w:themeColor="text1"/>
          <w:lang w:eastAsia="en-GB"/>
        </w:rPr>
        <w:t xml:space="preserve"> </w:t>
      </w:r>
    </w:p>
    <w:p w14:paraId="25B7B3BE" w14:textId="77777777" w:rsidR="00DC293D" w:rsidRPr="00167CB8" w:rsidRDefault="00DC293D" w:rsidP="0068167B">
      <w:pPr>
        <w:rPr>
          <w:rFonts w:ascii="Times New Roman" w:eastAsia="Times New Roman" w:hAnsi="Times New Roman" w:cs="Times New Roman"/>
          <w:color w:val="000000" w:themeColor="text1"/>
          <w:lang w:eastAsia="en-GB"/>
        </w:rPr>
      </w:pPr>
    </w:p>
    <w:p w14:paraId="26813E0C" w14:textId="3E0CCA8B" w:rsidR="0068167B" w:rsidRPr="00167CB8" w:rsidRDefault="00BA16CC" w:rsidP="0068167B">
      <w:pPr>
        <w:jc w:val="both"/>
        <w:rPr>
          <w:rFonts w:ascii="Times New Roman" w:eastAsia="Times New Roman" w:hAnsi="Times New Roman" w:cs="Times New Roman"/>
          <w:color w:val="000000" w:themeColor="text1"/>
          <w:u w:val="single"/>
          <w:lang w:eastAsia="en-GB"/>
        </w:rPr>
      </w:pPr>
      <w:r w:rsidRPr="00167CB8">
        <w:rPr>
          <w:rFonts w:ascii="Times New Roman" w:eastAsia="Times New Roman" w:hAnsi="Times New Roman" w:cs="Times New Roman"/>
          <w:color w:val="000000" w:themeColor="text1"/>
          <w:u w:val="single"/>
          <w:lang w:eastAsia="en-GB"/>
        </w:rPr>
        <w:t xml:space="preserve">The Human Right to a Healthy Environment &amp; Australian Environmental </w:t>
      </w:r>
      <w:r w:rsidR="0068167B" w:rsidRPr="00167CB8">
        <w:rPr>
          <w:rFonts w:ascii="Times New Roman" w:eastAsia="Times New Roman" w:hAnsi="Times New Roman" w:cs="Times New Roman"/>
          <w:color w:val="000000" w:themeColor="text1"/>
          <w:u w:val="single"/>
          <w:lang w:eastAsia="en-GB"/>
        </w:rPr>
        <w:t>Law</w:t>
      </w:r>
    </w:p>
    <w:p w14:paraId="58ECB10B" w14:textId="77777777" w:rsidR="00BA16CC" w:rsidRPr="00167CB8" w:rsidRDefault="00BA16CC" w:rsidP="0068167B">
      <w:pPr>
        <w:jc w:val="both"/>
        <w:rPr>
          <w:rFonts w:ascii="Times New Roman" w:eastAsia="Times New Roman" w:hAnsi="Times New Roman" w:cs="Times New Roman"/>
          <w:color w:val="000000" w:themeColor="text1"/>
          <w:lang w:eastAsia="en-GB"/>
        </w:rPr>
      </w:pPr>
    </w:p>
    <w:p w14:paraId="4933BCD9" w14:textId="1E584E1D" w:rsidR="00E53E5C" w:rsidRPr="00167CB8" w:rsidRDefault="00184527" w:rsidP="0068167B">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1.1 </w:t>
      </w:r>
      <w:r w:rsidR="0068167B" w:rsidRPr="00167CB8">
        <w:rPr>
          <w:rFonts w:ascii="Times New Roman" w:eastAsia="Times New Roman" w:hAnsi="Times New Roman" w:cs="Times New Roman"/>
          <w:color w:val="000000" w:themeColor="text1"/>
          <w:lang w:eastAsia="en-GB"/>
        </w:rPr>
        <w:t>The national law</w:t>
      </w:r>
      <w:r w:rsidR="001C55D7" w:rsidRPr="00167CB8">
        <w:rPr>
          <w:rFonts w:ascii="Times New Roman" w:eastAsia="Times New Roman" w:hAnsi="Times New Roman" w:cs="Times New Roman"/>
          <w:color w:val="000000" w:themeColor="text1"/>
          <w:lang w:eastAsia="en-GB"/>
        </w:rPr>
        <w:t xml:space="preserve"> that comes closest to providing for </w:t>
      </w:r>
      <w:r w:rsidR="0068167B" w:rsidRPr="00167CB8">
        <w:rPr>
          <w:rFonts w:ascii="Times New Roman" w:eastAsia="Times New Roman" w:hAnsi="Times New Roman" w:cs="Times New Roman"/>
          <w:color w:val="000000" w:themeColor="text1"/>
          <w:lang w:eastAsia="en-GB"/>
        </w:rPr>
        <w:t xml:space="preserve">the right to a safe, clean, healthy and sustainable environment is the </w:t>
      </w:r>
      <w:r w:rsidR="0068167B" w:rsidRPr="00167CB8">
        <w:rPr>
          <w:rFonts w:ascii="Times New Roman" w:eastAsia="Times New Roman" w:hAnsi="Times New Roman" w:cs="Times New Roman"/>
          <w:i/>
          <w:iCs/>
          <w:color w:val="000000" w:themeColor="text1"/>
          <w:lang w:eastAsia="en-GB"/>
        </w:rPr>
        <w:t xml:space="preserve">Environment Protection and Biodiversity Conservation Act 1999 </w:t>
      </w:r>
      <w:r w:rsidR="0068167B" w:rsidRPr="00167CB8">
        <w:rPr>
          <w:rFonts w:ascii="Times New Roman" w:eastAsia="Times New Roman" w:hAnsi="Times New Roman" w:cs="Times New Roman"/>
          <w:color w:val="000000" w:themeColor="text1"/>
          <w:lang w:eastAsia="en-GB"/>
        </w:rPr>
        <w:t>(</w:t>
      </w:r>
      <w:proofErr w:type="spellStart"/>
      <w:r w:rsidR="0068167B" w:rsidRPr="00167CB8">
        <w:rPr>
          <w:rFonts w:ascii="Times New Roman" w:eastAsia="Times New Roman" w:hAnsi="Times New Roman" w:cs="Times New Roman"/>
          <w:color w:val="000000" w:themeColor="text1"/>
          <w:lang w:eastAsia="en-GB"/>
        </w:rPr>
        <w:t>Cth</w:t>
      </w:r>
      <w:proofErr w:type="spellEnd"/>
      <w:r w:rsidR="0068167B" w:rsidRPr="00167CB8">
        <w:rPr>
          <w:rFonts w:ascii="Times New Roman" w:eastAsia="Times New Roman" w:hAnsi="Times New Roman" w:cs="Times New Roman"/>
          <w:color w:val="000000" w:themeColor="text1"/>
          <w:lang w:eastAsia="en-GB"/>
        </w:rPr>
        <w:t xml:space="preserve">) </w:t>
      </w:r>
      <w:r w:rsidR="0068167B" w:rsidRPr="00167CB8">
        <w:rPr>
          <w:rFonts w:ascii="Times New Roman" w:eastAsia="Times New Roman" w:hAnsi="Times New Roman" w:cs="Times New Roman"/>
          <w:i/>
          <w:iCs/>
          <w:color w:val="000000" w:themeColor="text1"/>
          <w:lang w:eastAsia="en-GB"/>
        </w:rPr>
        <w:t>(‘EPBC’)</w:t>
      </w:r>
      <w:r w:rsidR="0068167B" w:rsidRPr="00167CB8">
        <w:rPr>
          <w:rFonts w:ascii="Times New Roman" w:eastAsia="Times New Roman" w:hAnsi="Times New Roman" w:cs="Times New Roman"/>
          <w:color w:val="000000" w:themeColor="text1"/>
          <w:lang w:eastAsia="en-GB"/>
        </w:rPr>
        <w:t>. This statute aims to ensure the protection of the Australian environment across all state jurisdictions,</w:t>
      </w:r>
      <w:r w:rsidR="00B86BF0" w:rsidRPr="00167CB8">
        <w:rPr>
          <w:rStyle w:val="FootnoteReference"/>
          <w:rFonts w:ascii="Times New Roman" w:eastAsia="Times New Roman" w:hAnsi="Times New Roman" w:cs="Times New Roman"/>
          <w:color w:val="000000" w:themeColor="text1"/>
          <w:lang w:eastAsia="en-GB"/>
        </w:rPr>
        <w:footnoteReference w:id="3"/>
      </w:r>
      <w:r w:rsidR="0068167B" w:rsidRPr="00167CB8">
        <w:rPr>
          <w:rFonts w:ascii="Times New Roman" w:eastAsia="Times New Roman" w:hAnsi="Times New Roman" w:cs="Times New Roman"/>
          <w:color w:val="000000" w:themeColor="text1"/>
          <w:lang w:eastAsia="en-GB"/>
        </w:rPr>
        <w:t xml:space="preserve"> with an ecologically sustainable development approach. This includes incorporating the principles of sustainable use, the precautionary principle, the principle of intergenerational equity, ensuring that environmental considerations are fundamental in all decision making</w:t>
      </w:r>
      <w:r w:rsidR="00205C76" w:rsidRPr="00167CB8">
        <w:rPr>
          <w:rFonts w:ascii="Times New Roman" w:eastAsia="Times New Roman" w:hAnsi="Times New Roman" w:cs="Times New Roman"/>
          <w:color w:val="000000" w:themeColor="text1"/>
          <w:lang w:eastAsia="en-GB"/>
        </w:rPr>
        <w:t>,</w:t>
      </w:r>
      <w:r w:rsidR="0068167B" w:rsidRPr="00167CB8">
        <w:rPr>
          <w:rFonts w:ascii="Times New Roman" w:eastAsia="Times New Roman" w:hAnsi="Times New Roman" w:cs="Times New Roman"/>
          <w:color w:val="000000" w:themeColor="text1"/>
          <w:lang w:eastAsia="en-GB"/>
        </w:rPr>
        <w:t xml:space="preserve"> and using market strategies to encourage environmental protection.</w:t>
      </w:r>
      <w:r w:rsidR="00B86BF0" w:rsidRPr="00167CB8">
        <w:rPr>
          <w:rStyle w:val="FootnoteReference"/>
          <w:rFonts w:ascii="Times New Roman" w:eastAsia="Times New Roman" w:hAnsi="Times New Roman" w:cs="Times New Roman"/>
          <w:color w:val="000000" w:themeColor="text1"/>
          <w:lang w:eastAsia="en-GB"/>
        </w:rPr>
        <w:footnoteReference w:id="4"/>
      </w:r>
      <w:r w:rsidR="0068167B" w:rsidRPr="00167CB8">
        <w:rPr>
          <w:rFonts w:ascii="Times New Roman" w:eastAsia="Times New Roman" w:hAnsi="Times New Roman" w:cs="Times New Roman"/>
          <w:color w:val="000000" w:themeColor="text1"/>
          <w:lang w:eastAsia="en-GB"/>
        </w:rPr>
        <w:t xml:space="preserve"> Importantly, it also empowers entities to bring proceedings for judicial review and civil enforcement proceedings of governmental decisions that affect the environment.</w:t>
      </w:r>
      <w:r w:rsidR="00B86BF0" w:rsidRPr="00167CB8">
        <w:rPr>
          <w:rStyle w:val="FootnoteReference"/>
          <w:rFonts w:ascii="Times New Roman" w:eastAsia="Times New Roman" w:hAnsi="Times New Roman" w:cs="Times New Roman"/>
          <w:color w:val="000000" w:themeColor="text1"/>
          <w:lang w:eastAsia="en-GB"/>
        </w:rPr>
        <w:footnoteReference w:id="5"/>
      </w:r>
      <w:r w:rsidR="0068167B" w:rsidRPr="00167CB8">
        <w:rPr>
          <w:rFonts w:ascii="Times New Roman" w:eastAsia="Times New Roman" w:hAnsi="Times New Roman" w:cs="Times New Roman"/>
          <w:color w:val="000000" w:themeColor="text1"/>
          <w:lang w:eastAsia="en-GB"/>
        </w:rPr>
        <w:t xml:space="preserve"> The legislation largely concerns ‘environmental impact assessment and approval</w:t>
      </w:r>
      <w:r w:rsidR="00817A1F">
        <w:rPr>
          <w:rFonts w:ascii="Times New Roman" w:eastAsia="Times New Roman" w:hAnsi="Times New Roman" w:cs="Times New Roman"/>
          <w:color w:val="000000" w:themeColor="text1"/>
          <w:lang w:eastAsia="en-GB"/>
        </w:rPr>
        <w:t xml:space="preserve">’ </w:t>
      </w:r>
      <w:r w:rsidR="0068167B" w:rsidRPr="00167CB8">
        <w:rPr>
          <w:rFonts w:ascii="Times New Roman" w:eastAsia="Times New Roman" w:hAnsi="Times New Roman" w:cs="Times New Roman"/>
          <w:color w:val="000000" w:themeColor="text1"/>
          <w:lang w:eastAsia="en-GB"/>
        </w:rPr>
        <w:t>(‘EIAA’) provisions, which outlines the steps of how the Minister for the Environment is to determine whether an action can proceed if it will or is predicted to have impacts on the environment.</w:t>
      </w:r>
      <w:r w:rsidR="00B86BF0" w:rsidRPr="00167CB8">
        <w:rPr>
          <w:rStyle w:val="FootnoteReference"/>
          <w:rFonts w:ascii="Times New Roman" w:eastAsia="Times New Roman" w:hAnsi="Times New Roman" w:cs="Times New Roman"/>
          <w:color w:val="000000" w:themeColor="text1"/>
          <w:lang w:eastAsia="en-GB"/>
        </w:rPr>
        <w:footnoteReference w:id="6"/>
      </w:r>
      <w:r w:rsidR="0068167B" w:rsidRPr="00167CB8">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lastRenderedPageBreak/>
        <w:t xml:space="preserve">1.2 </w:t>
      </w:r>
      <w:r w:rsidR="0068167B" w:rsidRPr="00167CB8">
        <w:rPr>
          <w:rFonts w:ascii="Times New Roman" w:eastAsia="Times New Roman" w:hAnsi="Times New Roman" w:cs="Times New Roman"/>
          <w:color w:val="000000" w:themeColor="text1"/>
          <w:lang w:eastAsia="en-GB"/>
        </w:rPr>
        <w:t>Therefore, actions under the EIAA provisions are regarding the judicial review process of the</w:t>
      </w:r>
      <w:r w:rsidR="00957A85" w:rsidRPr="00167CB8">
        <w:rPr>
          <w:rFonts w:ascii="Times New Roman" w:eastAsia="Times New Roman" w:hAnsi="Times New Roman" w:cs="Times New Roman"/>
          <w:color w:val="000000" w:themeColor="text1"/>
          <w:lang w:eastAsia="en-GB"/>
        </w:rPr>
        <w:t xml:space="preserve"> decisions of the </w:t>
      </w:r>
      <w:r w:rsidR="0068167B" w:rsidRPr="00167CB8">
        <w:rPr>
          <w:rFonts w:ascii="Times New Roman" w:eastAsia="Times New Roman" w:hAnsi="Times New Roman" w:cs="Times New Roman"/>
          <w:color w:val="000000" w:themeColor="text1"/>
          <w:lang w:eastAsia="en-GB"/>
        </w:rPr>
        <w:t>Minister for the Environment. The non-EIAA section of the legislation concerns mainly wildlife trade permits. Between the period of 2000-2015, 129 legal proceedings were brought either under the EPBC Act or in relation to it, however only 19 of these were environmental citizen suits, of which only 21% were successful.</w:t>
      </w:r>
      <w:r w:rsidR="00B86BF0" w:rsidRPr="00167CB8">
        <w:rPr>
          <w:rStyle w:val="FootnoteReference"/>
          <w:rFonts w:ascii="Times New Roman" w:eastAsia="Times New Roman" w:hAnsi="Times New Roman" w:cs="Times New Roman"/>
          <w:color w:val="000000" w:themeColor="text1"/>
          <w:lang w:eastAsia="en-GB"/>
        </w:rPr>
        <w:footnoteReference w:id="7"/>
      </w:r>
    </w:p>
    <w:p w14:paraId="58B7C468" w14:textId="77777777" w:rsidR="0068167B" w:rsidRPr="00167CB8" w:rsidRDefault="0068167B" w:rsidP="0068167B">
      <w:pPr>
        <w:rPr>
          <w:rFonts w:ascii="Times New Roman" w:eastAsia="Times New Roman" w:hAnsi="Times New Roman" w:cs="Times New Roman"/>
          <w:color w:val="000000" w:themeColor="text1"/>
          <w:lang w:eastAsia="en-GB"/>
        </w:rPr>
      </w:pPr>
    </w:p>
    <w:p w14:paraId="1B5711B5" w14:textId="681C6644" w:rsidR="00BA16CC" w:rsidRPr="00167CB8" w:rsidRDefault="00184527" w:rsidP="0068167B">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1.3 </w:t>
      </w:r>
      <w:r w:rsidR="0068167B" w:rsidRPr="00167CB8">
        <w:rPr>
          <w:rFonts w:ascii="Times New Roman" w:eastAsia="Times New Roman" w:hAnsi="Times New Roman" w:cs="Times New Roman"/>
          <w:color w:val="000000" w:themeColor="text1"/>
          <w:lang w:eastAsia="en-GB"/>
        </w:rPr>
        <w:t xml:space="preserve">Nonetheless, the effectiveness of Australian environmental law in incorporating the human right to a safe, clean, healthy and sustainable environment is questionable, as it </w:t>
      </w:r>
      <w:r w:rsidR="00BA2060" w:rsidRPr="00167CB8">
        <w:rPr>
          <w:rFonts w:ascii="Times New Roman" w:eastAsia="Times New Roman" w:hAnsi="Times New Roman" w:cs="Times New Roman"/>
          <w:color w:val="000000" w:themeColor="text1"/>
          <w:lang w:eastAsia="en-GB"/>
        </w:rPr>
        <w:t xml:space="preserve">has </w:t>
      </w:r>
      <w:r w:rsidR="0068167B" w:rsidRPr="00167CB8">
        <w:rPr>
          <w:rFonts w:ascii="Times New Roman" w:eastAsia="Times New Roman" w:hAnsi="Times New Roman" w:cs="Times New Roman"/>
          <w:color w:val="000000" w:themeColor="text1"/>
          <w:lang w:eastAsia="en-GB"/>
        </w:rPr>
        <w:t>improved environmental outcomes in Australia</w:t>
      </w:r>
      <w:r w:rsidR="00817A1F">
        <w:rPr>
          <w:rFonts w:ascii="Times New Roman" w:eastAsia="Times New Roman" w:hAnsi="Times New Roman" w:cs="Times New Roman"/>
          <w:color w:val="000000" w:themeColor="text1"/>
          <w:lang w:eastAsia="en-GB"/>
        </w:rPr>
        <w:t>,</w:t>
      </w:r>
      <w:r w:rsidR="0068167B" w:rsidRPr="00167CB8">
        <w:rPr>
          <w:rFonts w:ascii="Times New Roman" w:eastAsia="Times New Roman" w:hAnsi="Times New Roman" w:cs="Times New Roman"/>
          <w:color w:val="000000" w:themeColor="text1"/>
          <w:lang w:eastAsia="en-GB"/>
        </w:rPr>
        <w:t xml:space="preserve"> however </w:t>
      </w:r>
      <w:r w:rsidR="00BA2060" w:rsidRPr="00167CB8">
        <w:rPr>
          <w:rFonts w:ascii="Times New Roman" w:eastAsia="Times New Roman" w:hAnsi="Times New Roman" w:cs="Times New Roman"/>
          <w:color w:val="000000" w:themeColor="text1"/>
          <w:lang w:eastAsia="en-GB"/>
        </w:rPr>
        <w:t xml:space="preserve">this has not been consistent </w:t>
      </w:r>
      <w:r w:rsidR="0068167B" w:rsidRPr="00167CB8">
        <w:rPr>
          <w:rFonts w:ascii="Times New Roman" w:eastAsia="Times New Roman" w:hAnsi="Times New Roman" w:cs="Times New Roman"/>
          <w:color w:val="000000" w:themeColor="text1"/>
          <w:lang w:eastAsia="en-GB"/>
        </w:rPr>
        <w:t>across all sectors.</w:t>
      </w:r>
      <w:r w:rsidR="00B86BF0" w:rsidRPr="00167CB8">
        <w:rPr>
          <w:rStyle w:val="FootnoteReference"/>
          <w:rFonts w:ascii="Times New Roman" w:eastAsia="Times New Roman" w:hAnsi="Times New Roman" w:cs="Times New Roman"/>
          <w:color w:val="000000" w:themeColor="text1"/>
          <w:lang w:eastAsia="en-GB"/>
        </w:rPr>
        <w:footnoteReference w:id="8"/>
      </w:r>
      <w:r w:rsidR="0068167B" w:rsidRPr="00167CB8">
        <w:rPr>
          <w:rFonts w:ascii="Times New Roman" w:eastAsia="Times New Roman" w:hAnsi="Times New Roman" w:cs="Times New Roman"/>
          <w:color w:val="000000" w:themeColor="text1"/>
          <w:lang w:eastAsia="en-GB"/>
        </w:rPr>
        <w:t>  </w:t>
      </w:r>
      <w:r w:rsidR="00BA16CC" w:rsidRPr="00167CB8">
        <w:rPr>
          <w:rFonts w:ascii="Times New Roman" w:eastAsia="Times New Roman" w:hAnsi="Times New Roman" w:cs="Times New Roman"/>
          <w:color w:val="000000" w:themeColor="text1"/>
          <w:lang w:eastAsia="en-GB"/>
        </w:rPr>
        <w:t xml:space="preserve">Moreover, a review by the Australian Panel of Experts on Environmental Law found the Australian framework lacking, recommending among a suite of reforms the integration of environmental democracy as a core component of the next generation of environmental law, including: </w:t>
      </w:r>
      <w:r w:rsidR="002A304E">
        <w:rPr>
          <w:rFonts w:ascii="Times New Roman" w:eastAsia="Times New Roman" w:hAnsi="Times New Roman" w:cs="Times New Roman"/>
          <w:color w:val="000000" w:themeColor="text1"/>
          <w:lang w:eastAsia="en-GB"/>
        </w:rPr>
        <w:t>‘</w:t>
      </w:r>
      <w:r w:rsidR="00BA16CC" w:rsidRPr="00167CB8">
        <w:rPr>
          <w:rFonts w:ascii="Times New Roman" w:eastAsia="Times New Roman" w:hAnsi="Times New Roman" w:cs="Times New Roman"/>
          <w:color w:val="000000" w:themeColor="text1"/>
          <w:lang w:eastAsia="en-GB"/>
        </w:rPr>
        <w:t>a substantive right to a safe, clean and healthy environment; and procedural environmental rights (including the right to information, to public participation and access to justice in environmental matters).</w:t>
      </w:r>
      <w:r w:rsidR="002A304E">
        <w:rPr>
          <w:rFonts w:ascii="Times New Roman" w:eastAsia="Times New Roman" w:hAnsi="Times New Roman" w:cs="Times New Roman"/>
          <w:color w:val="000000" w:themeColor="text1"/>
          <w:lang w:eastAsia="en-GB"/>
        </w:rPr>
        <w:t>’</w:t>
      </w:r>
      <w:r w:rsidR="00BA16CC" w:rsidRPr="00167CB8">
        <w:rPr>
          <w:rStyle w:val="FootnoteReference"/>
          <w:rFonts w:ascii="Times New Roman" w:eastAsia="Times New Roman" w:hAnsi="Times New Roman" w:cs="Times New Roman"/>
          <w:color w:val="000000" w:themeColor="text1"/>
          <w:lang w:eastAsia="en-GB"/>
        </w:rPr>
        <w:footnoteReference w:id="9"/>
      </w:r>
    </w:p>
    <w:p w14:paraId="5327024F" w14:textId="77777777" w:rsidR="00BA16CC" w:rsidRPr="00167CB8" w:rsidRDefault="00BA16CC" w:rsidP="0068167B">
      <w:pPr>
        <w:jc w:val="both"/>
        <w:rPr>
          <w:rFonts w:ascii="Times New Roman" w:eastAsia="Times New Roman" w:hAnsi="Times New Roman" w:cs="Times New Roman"/>
          <w:color w:val="000000" w:themeColor="text1"/>
          <w:lang w:eastAsia="en-GB"/>
        </w:rPr>
      </w:pPr>
    </w:p>
    <w:p w14:paraId="48BA1FBC" w14:textId="28A6540D" w:rsidR="004E702C" w:rsidRPr="00167CB8" w:rsidRDefault="00184527" w:rsidP="0068167B">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1.4 </w:t>
      </w:r>
      <w:r w:rsidR="00E53E5C" w:rsidRPr="00167CB8">
        <w:rPr>
          <w:rFonts w:ascii="Times New Roman" w:eastAsia="Times New Roman" w:hAnsi="Times New Roman" w:cs="Times New Roman"/>
          <w:color w:val="000000" w:themeColor="text1"/>
          <w:lang w:eastAsia="en-GB"/>
        </w:rPr>
        <w:t>Australia is one of only fifteen nations that does not currently recognise the human right to a healthy environment at the federal level in the absence of a federal bill of rights</w:t>
      </w:r>
      <w:r w:rsidR="00DC293D" w:rsidRPr="00167CB8">
        <w:rPr>
          <w:rFonts w:ascii="Times New Roman" w:eastAsia="Times New Roman" w:hAnsi="Times New Roman" w:cs="Times New Roman"/>
          <w:color w:val="000000" w:themeColor="text1"/>
          <w:lang w:eastAsia="en-GB"/>
        </w:rPr>
        <w:t xml:space="preserve"> or express recognition under the Australian Constitution</w:t>
      </w:r>
      <w:r w:rsidR="00E53E5C" w:rsidRPr="00167CB8">
        <w:rPr>
          <w:rFonts w:ascii="Times New Roman" w:eastAsia="Times New Roman" w:hAnsi="Times New Roman" w:cs="Times New Roman"/>
          <w:color w:val="000000" w:themeColor="text1"/>
          <w:lang w:eastAsia="en-GB"/>
        </w:rPr>
        <w:t>.</w:t>
      </w:r>
      <w:r w:rsidR="00100303">
        <w:rPr>
          <w:rStyle w:val="FootnoteReference"/>
          <w:rFonts w:ascii="Times New Roman" w:eastAsia="Times New Roman" w:hAnsi="Times New Roman" w:cs="Times New Roman"/>
          <w:color w:val="000000" w:themeColor="text1"/>
          <w:lang w:eastAsia="en-GB"/>
        </w:rPr>
        <w:footnoteReference w:id="10"/>
      </w:r>
      <w:r w:rsidR="00817A1F">
        <w:rPr>
          <w:rFonts w:ascii="Times New Roman" w:eastAsia="Times New Roman" w:hAnsi="Times New Roman" w:cs="Times New Roman"/>
          <w:color w:val="000000" w:themeColor="text1"/>
          <w:lang w:eastAsia="en-GB"/>
        </w:rPr>
        <w:t xml:space="preserve"> </w:t>
      </w:r>
      <w:r w:rsidR="00E53E5C" w:rsidRPr="00167CB8">
        <w:rPr>
          <w:rFonts w:ascii="Times New Roman" w:eastAsia="Times New Roman" w:hAnsi="Times New Roman" w:cs="Times New Roman"/>
          <w:color w:val="000000" w:themeColor="text1"/>
          <w:lang w:eastAsia="en-GB"/>
        </w:rPr>
        <w:t xml:space="preserve">While Australia has a Parliamentary Joint Committee on Human Rights charged with the responsibility to examine the compatibility of proposed laws with articulated international human rights, it is not required to consider impacts on or compatibility with a right to a healthy environment. As was demonstrated in 2016 during deliberations on amendments to the EPBC Act, where the Minister found that there was no </w:t>
      </w:r>
      <w:r w:rsidR="002A304E">
        <w:rPr>
          <w:rFonts w:ascii="Times New Roman" w:eastAsia="Times New Roman" w:hAnsi="Times New Roman" w:cs="Times New Roman"/>
          <w:color w:val="000000" w:themeColor="text1"/>
          <w:lang w:eastAsia="en-GB"/>
        </w:rPr>
        <w:t>‘</w:t>
      </w:r>
      <w:r w:rsidR="00E53E5C" w:rsidRPr="00167CB8">
        <w:rPr>
          <w:rFonts w:ascii="Times New Roman" w:eastAsia="Times New Roman" w:hAnsi="Times New Roman" w:cs="Times New Roman"/>
          <w:color w:val="000000" w:themeColor="text1"/>
          <w:lang w:eastAsia="en-GB"/>
        </w:rPr>
        <w:t>standalone right to a healthy environment</w:t>
      </w:r>
      <w:r w:rsidR="002A304E">
        <w:rPr>
          <w:rFonts w:ascii="Times New Roman" w:eastAsia="Times New Roman" w:hAnsi="Times New Roman" w:cs="Times New Roman"/>
          <w:color w:val="000000" w:themeColor="text1"/>
          <w:lang w:eastAsia="en-GB"/>
        </w:rPr>
        <w:t>.’</w:t>
      </w:r>
      <w:r w:rsidR="00817A1F">
        <w:rPr>
          <w:rStyle w:val="FootnoteReference"/>
          <w:rFonts w:ascii="Times New Roman" w:eastAsia="Times New Roman" w:hAnsi="Times New Roman" w:cs="Times New Roman"/>
          <w:color w:val="000000" w:themeColor="text1"/>
          <w:lang w:eastAsia="en-GB"/>
        </w:rPr>
        <w:footnoteReference w:id="11"/>
      </w:r>
      <w:r w:rsidR="00E53E5C" w:rsidRPr="00167CB8">
        <w:rPr>
          <w:rFonts w:ascii="Times New Roman" w:eastAsia="Times New Roman" w:hAnsi="Times New Roman" w:cs="Times New Roman"/>
          <w:color w:val="000000" w:themeColor="text1"/>
          <w:lang w:eastAsia="en-GB"/>
        </w:rPr>
        <w:t xml:space="preserve"> Instead, the Committee narrowed its scope to consider the amendment’s </w:t>
      </w:r>
      <w:r w:rsidR="002A304E">
        <w:rPr>
          <w:rFonts w:ascii="Times New Roman" w:eastAsia="Times New Roman" w:hAnsi="Times New Roman" w:cs="Times New Roman"/>
          <w:color w:val="000000" w:themeColor="text1"/>
          <w:lang w:eastAsia="en-GB"/>
        </w:rPr>
        <w:t>‘</w:t>
      </w:r>
      <w:r w:rsidR="00E53E5C" w:rsidRPr="00167CB8">
        <w:rPr>
          <w:rFonts w:ascii="Times New Roman" w:eastAsia="Times New Roman" w:hAnsi="Times New Roman" w:cs="Times New Roman"/>
          <w:color w:val="000000" w:themeColor="text1"/>
          <w:lang w:eastAsia="en-GB"/>
        </w:rPr>
        <w:t>impact on environmental protection indirectly through consideration of its impact on the right to health</w:t>
      </w:r>
      <w:r w:rsidR="002A304E">
        <w:rPr>
          <w:rFonts w:ascii="Times New Roman" w:eastAsia="Times New Roman" w:hAnsi="Times New Roman" w:cs="Times New Roman"/>
          <w:color w:val="000000" w:themeColor="text1"/>
          <w:lang w:eastAsia="en-GB"/>
        </w:rPr>
        <w:t>’</w:t>
      </w:r>
      <w:r w:rsidR="00E53E5C" w:rsidRPr="00167CB8">
        <w:rPr>
          <w:rFonts w:ascii="Times New Roman" w:eastAsia="Times New Roman" w:hAnsi="Times New Roman" w:cs="Times New Roman"/>
          <w:color w:val="000000" w:themeColor="text1"/>
          <w:lang w:eastAsia="en-GB"/>
        </w:rPr>
        <w:t xml:space="preserve"> (which includes the ‘underlying determinants of health such as a healthy environment).</w:t>
      </w:r>
      <w:r w:rsidR="00BA16CC" w:rsidRPr="00167CB8">
        <w:rPr>
          <w:rStyle w:val="FootnoteReference"/>
          <w:rFonts w:ascii="Times New Roman" w:eastAsia="Times New Roman" w:hAnsi="Times New Roman" w:cs="Times New Roman"/>
          <w:color w:val="000000" w:themeColor="text1"/>
          <w:lang w:eastAsia="en-GB"/>
        </w:rPr>
        <w:footnoteReference w:id="12"/>
      </w:r>
      <w:r w:rsidR="00DC293D" w:rsidRPr="00167CB8">
        <w:rPr>
          <w:rFonts w:ascii="Times New Roman" w:eastAsia="Times New Roman" w:hAnsi="Times New Roman" w:cs="Times New Roman"/>
          <w:color w:val="000000" w:themeColor="text1"/>
          <w:lang w:eastAsia="en-GB"/>
        </w:rPr>
        <w:t xml:space="preserve"> </w:t>
      </w:r>
      <w:r w:rsidR="00E53E5C" w:rsidRPr="00167CB8">
        <w:rPr>
          <w:rFonts w:ascii="Times New Roman" w:eastAsia="Times New Roman" w:hAnsi="Times New Roman" w:cs="Times New Roman"/>
          <w:color w:val="000000" w:themeColor="text1"/>
          <w:lang w:eastAsia="en-GB"/>
        </w:rPr>
        <w:t xml:space="preserve">We note that the recent move by the state of Queensland in enacting its </w:t>
      </w:r>
      <w:r w:rsidR="00E53E5C" w:rsidRPr="00167CB8">
        <w:rPr>
          <w:rFonts w:ascii="Times New Roman" w:eastAsia="Times New Roman" w:hAnsi="Times New Roman" w:cs="Times New Roman"/>
          <w:i/>
          <w:iCs/>
          <w:color w:val="000000" w:themeColor="text1"/>
          <w:lang w:eastAsia="en-GB"/>
        </w:rPr>
        <w:t xml:space="preserve">Human Rights Act 2019 </w:t>
      </w:r>
      <w:r w:rsidR="00E53E5C" w:rsidRPr="00167CB8">
        <w:rPr>
          <w:rFonts w:ascii="Times New Roman" w:eastAsia="Times New Roman" w:hAnsi="Times New Roman" w:cs="Times New Roman"/>
          <w:color w:val="000000" w:themeColor="text1"/>
          <w:lang w:eastAsia="en-GB"/>
        </w:rPr>
        <w:t>(Qld) did not include an express right to a healthy environment despite grave public concerns regarding the impacts of mining developments</w:t>
      </w:r>
      <w:r w:rsidR="009A3EEC">
        <w:rPr>
          <w:rFonts w:ascii="Times New Roman" w:eastAsia="Times New Roman" w:hAnsi="Times New Roman" w:cs="Times New Roman"/>
          <w:color w:val="000000" w:themeColor="text1"/>
          <w:lang w:eastAsia="en-GB"/>
        </w:rPr>
        <w:t xml:space="preserve">, </w:t>
      </w:r>
      <w:r w:rsidR="00E53E5C" w:rsidRPr="00167CB8">
        <w:rPr>
          <w:rFonts w:ascii="Times New Roman" w:eastAsia="Times New Roman" w:hAnsi="Times New Roman" w:cs="Times New Roman"/>
          <w:color w:val="000000" w:themeColor="text1"/>
          <w:lang w:eastAsia="en-GB"/>
        </w:rPr>
        <w:t xml:space="preserve">such as the Adani coal mine. </w:t>
      </w:r>
    </w:p>
    <w:p w14:paraId="16E60B7B" w14:textId="77777777" w:rsidR="00FF2AC9" w:rsidRDefault="00FF2AC9" w:rsidP="000B5B85">
      <w:pPr>
        <w:rPr>
          <w:rFonts w:ascii="Times New Roman" w:eastAsia="Times New Roman" w:hAnsi="Times New Roman" w:cs="Times New Roman"/>
          <w:b/>
          <w:bCs/>
          <w:color w:val="000000" w:themeColor="text1"/>
          <w:lang w:eastAsia="en-GB"/>
        </w:rPr>
      </w:pPr>
    </w:p>
    <w:p w14:paraId="18DE8292" w14:textId="77777777" w:rsidR="00FF2AC9" w:rsidRDefault="00FF2AC9" w:rsidP="000B5B85">
      <w:pPr>
        <w:rPr>
          <w:rFonts w:ascii="Times New Roman" w:eastAsia="Times New Roman" w:hAnsi="Times New Roman" w:cs="Times New Roman"/>
          <w:b/>
          <w:bCs/>
          <w:color w:val="000000" w:themeColor="text1"/>
          <w:lang w:eastAsia="en-GB"/>
        </w:rPr>
      </w:pPr>
    </w:p>
    <w:p w14:paraId="65EB91E1" w14:textId="77777777" w:rsidR="00FF2AC9" w:rsidRDefault="00FF2AC9" w:rsidP="000B5B85">
      <w:pPr>
        <w:rPr>
          <w:rFonts w:ascii="Times New Roman" w:eastAsia="Times New Roman" w:hAnsi="Times New Roman" w:cs="Times New Roman"/>
          <w:b/>
          <w:bCs/>
          <w:color w:val="000000" w:themeColor="text1"/>
          <w:lang w:eastAsia="en-GB"/>
        </w:rPr>
      </w:pPr>
    </w:p>
    <w:p w14:paraId="053372D2" w14:textId="77777777" w:rsidR="00FF2AC9" w:rsidRDefault="00FF2AC9" w:rsidP="000B5B85">
      <w:pPr>
        <w:rPr>
          <w:rFonts w:ascii="Times New Roman" w:eastAsia="Times New Roman" w:hAnsi="Times New Roman" w:cs="Times New Roman"/>
          <w:b/>
          <w:bCs/>
          <w:color w:val="000000" w:themeColor="text1"/>
          <w:lang w:eastAsia="en-GB"/>
        </w:rPr>
      </w:pPr>
    </w:p>
    <w:p w14:paraId="246331B1" w14:textId="77777777" w:rsidR="00FF2AC9" w:rsidRDefault="00FF2AC9" w:rsidP="000B5B85">
      <w:pPr>
        <w:rPr>
          <w:rFonts w:ascii="Times New Roman" w:eastAsia="Times New Roman" w:hAnsi="Times New Roman" w:cs="Times New Roman"/>
          <w:b/>
          <w:bCs/>
          <w:color w:val="000000" w:themeColor="text1"/>
          <w:lang w:eastAsia="en-GB"/>
        </w:rPr>
      </w:pPr>
    </w:p>
    <w:p w14:paraId="2950368D" w14:textId="77777777" w:rsidR="00FF2AC9" w:rsidRDefault="00FF2AC9" w:rsidP="000B5B85">
      <w:pPr>
        <w:rPr>
          <w:rFonts w:ascii="Times New Roman" w:eastAsia="Times New Roman" w:hAnsi="Times New Roman" w:cs="Times New Roman"/>
          <w:b/>
          <w:bCs/>
          <w:color w:val="000000" w:themeColor="text1"/>
          <w:lang w:eastAsia="en-GB"/>
        </w:rPr>
      </w:pPr>
    </w:p>
    <w:p w14:paraId="6EFE4079" w14:textId="77777777" w:rsidR="00FF2AC9" w:rsidRDefault="00FF2AC9" w:rsidP="000B5B85">
      <w:pPr>
        <w:rPr>
          <w:rFonts w:ascii="Times New Roman" w:eastAsia="Times New Roman" w:hAnsi="Times New Roman" w:cs="Times New Roman"/>
          <w:b/>
          <w:bCs/>
          <w:color w:val="000000" w:themeColor="text1"/>
          <w:lang w:eastAsia="en-GB"/>
        </w:rPr>
      </w:pPr>
    </w:p>
    <w:p w14:paraId="7E668CEA" w14:textId="77777777" w:rsidR="00FF2AC9" w:rsidRDefault="00FF2AC9" w:rsidP="000B5B85">
      <w:pPr>
        <w:rPr>
          <w:rFonts w:ascii="Times New Roman" w:eastAsia="Times New Roman" w:hAnsi="Times New Roman" w:cs="Times New Roman"/>
          <w:b/>
          <w:bCs/>
          <w:color w:val="000000" w:themeColor="text1"/>
          <w:lang w:eastAsia="en-GB"/>
        </w:rPr>
      </w:pPr>
    </w:p>
    <w:p w14:paraId="1388B488" w14:textId="2577C252" w:rsidR="000B5B85" w:rsidRPr="00167CB8" w:rsidRDefault="000B5B85" w:rsidP="000B5B85">
      <w:pPr>
        <w:rPr>
          <w:rFonts w:ascii="Times New Roman" w:eastAsia="Times New Roman" w:hAnsi="Times New Roman" w:cs="Times New Roman"/>
          <w:b/>
          <w:bCs/>
          <w:color w:val="000000" w:themeColor="text1"/>
          <w:lang w:eastAsia="en-GB"/>
        </w:rPr>
      </w:pPr>
      <w:r w:rsidRPr="00167CB8">
        <w:rPr>
          <w:rFonts w:ascii="Times New Roman" w:eastAsia="Times New Roman" w:hAnsi="Times New Roman" w:cs="Times New Roman"/>
          <w:b/>
          <w:bCs/>
          <w:color w:val="000000" w:themeColor="text1"/>
          <w:lang w:eastAsia="en-GB"/>
        </w:rPr>
        <w:lastRenderedPageBreak/>
        <w:t>How do you ensure that the rights of environmental human rights defenders are protected? What efforts has your Government, business or organization made to create a safe and enabling environment for them to freely exercise their rights without fear of intimidation, violence or reprisal?</w:t>
      </w:r>
    </w:p>
    <w:p w14:paraId="373A61B4" w14:textId="55C31626" w:rsidR="0068167B" w:rsidRPr="00167CB8" w:rsidRDefault="0068167B" w:rsidP="0068167B">
      <w:pPr>
        <w:jc w:val="both"/>
        <w:rPr>
          <w:rFonts w:ascii="Times New Roman" w:eastAsia="Times New Roman" w:hAnsi="Times New Roman" w:cs="Times New Roman"/>
          <w:color w:val="000000" w:themeColor="text1"/>
          <w:lang w:eastAsia="en-GB"/>
        </w:rPr>
      </w:pPr>
    </w:p>
    <w:p w14:paraId="4D996973" w14:textId="50BB166E" w:rsidR="003D2D84" w:rsidRPr="00167CB8" w:rsidRDefault="00184527" w:rsidP="003D2D84">
      <w:pPr>
        <w:shd w:val="clear" w:color="auto" w:fill="FFFFFF"/>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2.0 </w:t>
      </w:r>
      <w:r w:rsidR="00D714B3" w:rsidRPr="00167CB8">
        <w:rPr>
          <w:rFonts w:ascii="Times New Roman" w:eastAsia="Times New Roman" w:hAnsi="Times New Roman" w:cs="Times New Roman"/>
          <w:color w:val="000000" w:themeColor="text1"/>
          <w:lang w:eastAsia="en-GB"/>
        </w:rPr>
        <w:t>The right to protest is an implied human right under the Australian Constitution.</w:t>
      </w:r>
      <w:r w:rsidR="00D714B3" w:rsidRPr="00167CB8">
        <w:rPr>
          <w:rStyle w:val="FootnoteReference"/>
          <w:rFonts w:ascii="Times New Roman" w:eastAsia="Times New Roman" w:hAnsi="Times New Roman" w:cs="Times New Roman"/>
          <w:color w:val="000000" w:themeColor="text1"/>
          <w:lang w:eastAsia="en-GB"/>
        </w:rPr>
        <w:footnoteReference w:id="13"/>
      </w:r>
      <w:r w:rsidR="00D714B3" w:rsidRPr="00167CB8">
        <w:rPr>
          <w:rFonts w:ascii="Times New Roman" w:eastAsia="Times New Roman" w:hAnsi="Times New Roman" w:cs="Times New Roman"/>
          <w:color w:val="000000" w:themeColor="text1"/>
          <w:lang w:eastAsia="en-GB"/>
        </w:rPr>
        <w:t xml:space="preserve"> </w:t>
      </w:r>
      <w:r w:rsidR="007E1A43" w:rsidRPr="00167CB8">
        <w:rPr>
          <w:rFonts w:ascii="Times New Roman" w:eastAsia="Times New Roman" w:hAnsi="Times New Roman" w:cs="Times New Roman"/>
          <w:color w:val="000000" w:themeColor="text1"/>
          <w:lang w:eastAsia="en-GB"/>
        </w:rPr>
        <w:t xml:space="preserve">Therefore, in general, Australia has </w:t>
      </w:r>
      <w:r w:rsidR="0090406B" w:rsidRPr="00167CB8">
        <w:rPr>
          <w:rFonts w:ascii="Times New Roman" w:eastAsia="Times New Roman" w:hAnsi="Times New Roman" w:cs="Times New Roman"/>
          <w:color w:val="000000" w:themeColor="text1"/>
          <w:lang w:eastAsia="en-GB"/>
        </w:rPr>
        <w:t xml:space="preserve">a largely accepting </w:t>
      </w:r>
      <w:r w:rsidR="007E1A43" w:rsidRPr="00167CB8">
        <w:rPr>
          <w:rFonts w:ascii="Times New Roman" w:eastAsia="Times New Roman" w:hAnsi="Times New Roman" w:cs="Times New Roman"/>
          <w:color w:val="000000" w:themeColor="text1"/>
          <w:lang w:eastAsia="en-GB"/>
        </w:rPr>
        <w:t>environment in relation to peaceful actions of environmental human rights defenders. Nonetheless, there are still active efforts by the government to quash voices</w:t>
      </w:r>
      <w:r w:rsidR="005336B3" w:rsidRPr="00167CB8">
        <w:rPr>
          <w:rFonts w:ascii="Times New Roman" w:eastAsia="Times New Roman" w:hAnsi="Times New Roman" w:cs="Times New Roman"/>
          <w:color w:val="000000" w:themeColor="text1"/>
          <w:lang w:eastAsia="en-GB"/>
        </w:rPr>
        <w:t xml:space="preserve"> in opposition</w:t>
      </w:r>
      <w:r w:rsidR="007E1A43" w:rsidRPr="00167CB8">
        <w:rPr>
          <w:rFonts w:ascii="Times New Roman" w:eastAsia="Times New Roman" w:hAnsi="Times New Roman" w:cs="Times New Roman"/>
          <w:color w:val="000000" w:themeColor="text1"/>
          <w:lang w:eastAsia="en-GB"/>
        </w:rPr>
        <w:t xml:space="preserve">. An example includes the recent attempted amendment by the federal government to make it more difficult for citizen suits to be brought under the </w:t>
      </w:r>
      <w:r w:rsidR="007E1A43" w:rsidRPr="00167CB8">
        <w:rPr>
          <w:rFonts w:ascii="Times New Roman" w:eastAsia="Times New Roman" w:hAnsi="Times New Roman" w:cs="Times New Roman"/>
          <w:i/>
          <w:iCs/>
          <w:color w:val="000000" w:themeColor="text1"/>
          <w:lang w:eastAsia="en-GB"/>
        </w:rPr>
        <w:t xml:space="preserve">EPBC </w:t>
      </w:r>
      <w:r w:rsidR="007E1A43" w:rsidRPr="00167CB8">
        <w:rPr>
          <w:rFonts w:ascii="Times New Roman" w:eastAsia="Times New Roman" w:hAnsi="Times New Roman" w:cs="Times New Roman"/>
          <w:color w:val="000000" w:themeColor="text1"/>
          <w:lang w:eastAsia="en-GB"/>
        </w:rPr>
        <w:t>by setting a higher threshold of legal standing.</w:t>
      </w:r>
      <w:r w:rsidR="007E1A43" w:rsidRPr="00167CB8">
        <w:rPr>
          <w:rStyle w:val="FootnoteReference"/>
          <w:rFonts w:ascii="Times New Roman" w:eastAsia="Times New Roman" w:hAnsi="Times New Roman" w:cs="Times New Roman"/>
          <w:color w:val="000000" w:themeColor="text1"/>
          <w:lang w:eastAsia="en-GB"/>
        </w:rPr>
        <w:footnoteReference w:id="14"/>
      </w:r>
      <w:r w:rsidR="007E1A43" w:rsidRPr="00167CB8">
        <w:rPr>
          <w:rFonts w:ascii="Times New Roman" w:eastAsia="Times New Roman" w:hAnsi="Times New Roman" w:cs="Times New Roman"/>
          <w:color w:val="000000" w:themeColor="text1"/>
          <w:lang w:eastAsia="en-GB"/>
        </w:rPr>
        <w:t xml:space="preserve"> What is significantly concerning about this is also the fact that this amendment directly followed a successful environmental action under the </w:t>
      </w:r>
      <w:r w:rsidR="007E1A43" w:rsidRPr="00167CB8">
        <w:rPr>
          <w:rFonts w:ascii="Times New Roman" w:eastAsia="Times New Roman" w:hAnsi="Times New Roman" w:cs="Times New Roman"/>
          <w:i/>
          <w:iCs/>
          <w:color w:val="000000" w:themeColor="text1"/>
          <w:lang w:eastAsia="en-GB"/>
        </w:rPr>
        <w:t>EPBC</w:t>
      </w:r>
      <w:r w:rsidR="007E1A43" w:rsidRPr="00167CB8">
        <w:rPr>
          <w:rFonts w:ascii="Times New Roman" w:eastAsia="Times New Roman" w:hAnsi="Times New Roman" w:cs="Times New Roman"/>
          <w:color w:val="000000" w:themeColor="text1"/>
          <w:lang w:eastAsia="en-GB"/>
        </w:rPr>
        <w:t>.</w:t>
      </w:r>
      <w:r w:rsidR="007E1A43" w:rsidRPr="00167CB8">
        <w:rPr>
          <w:rStyle w:val="FootnoteReference"/>
          <w:rFonts w:ascii="Times New Roman" w:eastAsia="Times New Roman" w:hAnsi="Times New Roman" w:cs="Times New Roman"/>
          <w:color w:val="000000" w:themeColor="text1"/>
          <w:lang w:eastAsia="en-GB"/>
        </w:rPr>
        <w:footnoteReference w:id="15"/>
      </w:r>
      <w:r w:rsidR="00DC293D" w:rsidRPr="00167CB8">
        <w:rPr>
          <w:rFonts w:ascii="Times New Roman" w:eastAsia="Times New Roman" w:hAnsi="Times New Roman" w:cs="Times New Roman"/>
          <w:color w:val="000000" w:themeColor="text1"/>
          <w:lang w:eastAsia="en-GB"/>
        </w:rPr>
        <w:t xml:space="preserve"> </w:t>
      </w:r>
      <w:r w:rsidR="003D2D84" w:rsidRPr="00167CB8">
        <w:rPr>
          <w:rFonts w:ascii="Times New Roman" w:eastAsia="Times New Roman" w:hAnsi="Times New Roman" w:cs="Times New Roman"/>
          <w:color w:val="000000" w:themeColor="text1"/>
          <w:lang w:eastAsia="en-GB"/>
        </w:rPr>
        <w:t xml:space="preserve">There are also more subtle ways that the Australian Government has sought </w:t>
      </w:r>
      <w:r w:rsidR="005336B3" w:rsidRPr="00167CB8">
        <w:rPr>
          <w:rFonts w:ascii="Times New Roman" w:eastAsia="Times New Roman" w:hAnsi="Times New Roman" w:cs="Times New Roman"/>
          <w:color w:val="000000" w:themeColor="text1"/>
          <w:lang w:eastAsia="en-GB"/>
        </w:rPr>
        <w:t xml:space="preserve">to adversely affect the capacity for environmental human rights defenders to challenge the status quo, including funding cuts to the Environmental Defenders Offices (the only public interest environmental lawyers in Australia), and attempts to undermine the operation of environmental charities and not-for-profits (including increasing administration costs and </w:t>
      </w:r>
      <w:r w:rsidR="003D2D84" w:rsidRPr="00167CB8">
        <w:rPr>
          <w:rFonts w:ascii="Times New Roman" w:eastAsia="Times New Roman" w:hAnsi="Times New Roman" w:cs="Times New Roman"/>
          <w:color w:val="000000" w:themeColor="text1"/>
          <w:lang w:eastAsia="en-GB"/>
        </w:rPr>
        <w:t>attempts to limit the amount of advocacy or activism in order to main</w:t>
      </w:r>
      <w:r w:rsidR="005336B3" w:rsidRPr="00167CB8">
        <w:rPr>
          <w:rFonts w:ascii="Times New Roman" w:eastAsia="Times New Roman" w:hAnsi="Times New Roman" w:cs="Times New Roman"/>
          <w:color w:val="000000" w:themeColor="text1"/>
          <w:lang w:eastAsia="en-GB"/>
        </w:rPr>
        <w:t>tain</w:t>
      </w:r>
      <w:r w:rsidR="003D2D84" w:rsidRPr="00167CB8">
        <w:rPr>
          <w:rFonts w:ascii="Times New Roman" w:eastAsia="Times New Roman" w:hAnsi="Times New Roman" w:cs="Times New Roman"/>
          <w:color w:val="000000" w:themeColor="text1"/>
          <w:lang w:eastAsia="en-GB"/>
        </w:rPr>
        <w:t xml:space="preserve"> direct-gift-recipient status</w:t>
      </w:r>
      <w:r w:rsidR="005336B3" w:rsidRPr="00167CB8">
        <w:rPr>
          <w:rFonts w:ascii="Times New Roman" w:eastAsia="Times New Roman" w:hAnsi="Times New Roman" w:cs="Times New Roman"/>
          <w:color w:val="000000" w:themeColor="text1"/>
          <w:lang w:eastAsia="en-GB"/>
        </w:rPr>
        <w:t>)</w:t>
      </w:r>
      <w:r w:rsidR="003D2D84" w:rsidRPr="00167CB8">
        <w:rPr>
          <w:rFonts w:ascii="Times New Roman" w:eastAsia="Times New Roman" w:hAnsi="Times New Roman" w:cs="Times New Roman"/>
          <w:color w:val="000000" w:themeColor="text1"/>
          <w:lang w:eastAsia="en-GB"/>
        </w:rPr>
        <w:t>.</w:t>
      </w:r>
      <w:r w:rsidR="005336B3" w:rsidRPr="00167CB8">
        <w:rPr>
          <w:rFonts w:ascii="Times New Roman" w:eastAsia="Times New Roman" w:hAnsi="Times New Roman" w:cs="Times New Roman"/>
          <w:color w:val="000000" w:themeColor="text1"/>
          <w:lang w:eastAsia="en-GB"/>
        </w:rPr>
        <w:t xml:space="preserve"> Public interest litigants and NGOs</w:t>
      </w:r>
      <w:r w:rsidR="003D2D84" w:rsidRPr="00167CB8">
        <w:rPr>
          <w:rFonts w:ascii="Times New Roman" w:eastAsia="Times New Roman" w:hAnsi="Times New Roman" w:cs="Times New Roman"/>
          <w:color w:val="000000" w:themeColor="text1"/>
          <w:lang w:eastAsia="en-GB"/>
        </w:rPr>
        <w:t xml:space="preserve"> have always played an active role in healthy </w:t>
      </w:r>
      <w:r w:rsidR="005336B3" w:rsidRPr="00167CB8">
        <w:rPr>
          <w:rFonts w:ascii="Times New Roman" w:eastAsia="Times New Roman" w:hAnsi="Times New Roman" w:cs="Times New Roman"/>
          <w:color w:val="000000" w:themeColor="text1"/>
          <w:lang w:eastAsia="en-GB"/>
        </w:rPr>
        <w:t xml:space="preserve">public discourse, demanding accountability from decisionmakers and transparency of their reasoning and interests, and these back-door attempts to diminish their impact are not conducive to environmental democracy. </w:t>
      </w:r>
      <w:r w:rsidR="00606873" w:rsidRPr="00167CB8">
        <w:rPr>
          <w:rFonts w:ascii="Times New Roman" w:eastAsia="Times New Roman" w:hAnsi="Times New Roman" w:cs="Times New Roman"/>
          <w:color w:val="000000" w:themeColor="text1"/>
          <w:lang w:eastAsia="en-GB"/>
        </w:rPr>
        <w:t>As observed by Orellana, ‘civil society organizations have consistently voiced the need to preserve the earth’s capability to sustain life, restore degraded ecosystems, and foster a balanced interaction between humans and nature’.</w:t>
      </w:r>
      <w:r w:rsidR="00606873" w:rsidRPr="00167CB8">
        <w:rPr>
          <w:rStyle w:val="FootnoteReference"/>
          <w:rFonts w:ascii="Times New Roman" w:eastAsia="Times New Roman" w:hAnsi="Times New Roman" w:cs="Times New Roman"/>
          <w:color w:val="000000" w:themeColor="text1"/>
          <w:lang w:eastAsia="en-GB"/>
        </w:rPr>
        <w:footnoteReference w:id="16"/>
      </w:r>
      <w:r w:rsidR="00606873" w:rsidRPr="00167CB8">
        <w:rPr>
          <w:rFonts w:ascii="Times New Roman" w:eastAsia="Times New Roman" w:hAnsi="Times New Roman" w:cs="Times New Roman"/>
          <w:color w:val="000000" w:themeColor="text1"/>
          <w:lang w:eastAsia="en-GB"/>
        </w:rPr>
        <w:t xml:space="preserve"> </w:t>
      </w:r>
      <w:r w:rsidR="001C55D7" w:rsidRPr="00167CB8">
        <w:rPr>
          <w:rFonts w:ascii="Times New Roman" w:eastAsia="Times New Roman" w:hAnsi="Times New Roman" w:cs="Times New Roman"/>
          <w:color w:val="000000" w:themeColor="text1"/>
          <w:lang w:eastAsia="en-GB"/>
        </w:rPr>
        <w:t xml:space="preserve">Therefore, efforts to enumerate a right to a safe, clean, healthy and sustainable environment must </w:t>
      </w:r>
      <w:r w:rsidR="00606873" w:rsidRPr="00167CB8">
        <w:rPr>
          <w:rFonts w:ascii="Times New Roman" w:eastAsia="Times New Roman" w:hAnsi="Times New Roman" w:cs="Times New Roman"/>
          <w:color w:val="000000" w:themeColor="text1"/>
          <w:lang w:eastAsia="en-GB"/>
        </w:rPr>
        <w:t xml:space="preserve">encompass </w:t>
      </w:r>
      <w:r w:rsidR="001C55D7" w:rsidRPr="00167CB8">
        <w:rPr>
          <w:rFonts w:ascii="Times New Roman" w:eastAsia="Times New Roman" w:hAnsi="Times New Roman" w:cs="Times New Roman"/>
          <w:color w:val="000000" w:themeColor="text1"/>
          <w:lang w:eastAsia="en-GB"/>
        </w:rPr>
        <w:t>substantive</w:t>
      </w:r>
      <w:r w:rsidR="001C55D7" w:rsidRPr="00167CB8">
        <w:rPr>
          <w:rFonts w:ascii="Times New Roman" w:eastAsia="Times New Roman" w:hAnsi="Times New Roman" w:cs="Times New Roman"/>
          <w:b/>
          <w:bCs/>
          <w:color w:val="000000" w:themeColor="text1"/>
          <w:lang w:eastAsia="en-GB"/>
        </w:rPr>
        <w:t xml:space="preserve"> </w:t>
      </w:r>
      <w:r w:rsidR="001C55D7" w:rsidRPr="00167CB8">
        <w:rPr>
          <w:rFonts w:ascii="Times New Roman" w:eastAsia="Times New Roman" w:hAnsi="Times New Roman" w:cs="Times New Roman"/>
          <w:color w:val="000000" w:themeColor="text1"/>
          <w:lang w:eastAsia="en-GB"/>
        </w:rPr>
        <w:t>and procedural rights</w:t>
      </w:r>
      <w:r w:rsidR="002A304E">
        <w:rPr>
          <w:rFonts w:ascii="Times New Roman" w:eastAsia="Times New Roman" w:hAnsi="Times New Roman" w:cs="Times New Roman"/>
          <w:color w:val="000000" w:themeColor="text1"/>
          <w:lang w:eastAsia="en-GB"/>
        </w:rPr>
        <w:t xml:space="preserve">, that is, </w:t>
      </w:r>
      <w:r w:rsidR="00606873" w:rsidRPr="00167CB8">
        <w:rPr>
          <w:rFonts w:ascii="Times New Roman" w:eastAsia="Times New Roman" w:hAnsi="Times New Roman" w:cs="Times New Roman"/>
          <w:color w:val="000000" w:themeColor="text1"/>
          <w:lang w:eastAsia="en-GB"/>
        </w:rPr>
        <w:t xml:space="preserve">provide for the content of the right and make provision for access to justice and enforcement. </w:t>
      </w:r>
    </w:p>
    <w:p w14:paraId="1AB4BB3C" w14:textId="77777777" w:rsidR="003D2D84" w:rsidRPr="00167CB8" w:rsidRDefault="003D2D84" w:rsidP="003D2D84">
      <w:pPr>
        <w:shd w:val="clear" w:color="auto" w:fill="FFFFFF"/>
        <w:rPr>
          <w:rFonts w:ascii="Times New Roman" w:eastAsia="Times New Roman" w:hAnsi="Times New Roman" w:cs="Times New Roman"/>
          <w:color w:val="000000" w:themeColor="text1"/>
          <w:lang w:eastAsia="en-GB"/>
        </w:rPr>
      </w:pPr>
    </w:p>
    <w:p w14:paraId="38E0D98E" w14:textId="7C8DE4A6" w:rsidR="0090406B" w:rsidRPr="00167CB8" w:rsidRDefault="00184527" w:rsidP="005336B3">
      <w:pPr>
        <w:shd w:val="clear" w:color="auto" w:fill="FFFFFF"/>
        <w:rPr>
          <w:rFonts w:ascii="Times New Roman" w:eastAsia="Times New Roman" w:hAnsi="Times New Roman" w:cs="Times New Roman"/>
          <w:color w:val="000000" w:themeColor="text1"/>
          <w:lang w:eastAsia="en-AU"/>
        </w:rPr>
      </w:pPr>
      <w:r>
        <w:rPr>
          <w:rFonts w:ascii="Times New Roman" w:eastAsia="Times New Roman" w:hAnsi="Times New Roman" w:cs="Times New Roman"/>
          <w:color w:val="000000" w:themeColor="text1"/>
          <w:lang w:eastAsia="en-GB"/>
        </w:rPr>
        <w:t xml:space="preserve">2.1 </w:t>
      </w:r>
      <w:r w:rsidR="00DC293D" w:rsidRPr="00167CB8">
        <w:rPr>
          <w:rFonts w:ascii="Times New Roman" w:eastAsia="Times New Roman" w:hAnsi="Times New Roman" w:cs="Times New Roman"/>
          <w:color w:val="000000" w:themeColor="text1"/>
          <w:lang w:eastAsia="en-GB"/>
        </w:rPr>
        <w:t xml:space="preserve">At the present time, we observe that the extent of protection of the rights of environment human rights defenders </w:t>
      </w:r>
      <w:r w:rsidR="003D2D84" w:rsidRPr="00167CB8">
        <w:rPr>
          <w:rFonts w:ascii="Times New Roman" w:eastAsia="Times New Roman" w:hAnsi="Times New Roman" w:cs="Times New Roman"/>
          <w:color w:val="000000" w:themeColor="text1"/>
          <w:lang w:eastAsia="en-GB"/>
        </w:rPr>
        <w:t xml:space="preserve">relies largely on the separation of powers between the legislature, executive and judicature. In the last week </w:t>
      </w:r>
      <w:r w:rsidR="00DC293D" w:rsidRPr="00167CB8">
        <w:rPr>
          <w:rFonts w:ascii="Times New Roman" w:eastAsia="Times New Roman" w:hAnsi="Times New Roman" w:cs="Times New Roman"/>
          <w:color w:val="000000" w:themeColor="text1"/>
          <w:lang w:eastAsia="en-GB"/>
        </w:rPr>
        <w:t xml:space="preserve">a Queensland court upheld the rights of civil liberties protesters to march </w:t>
      </w:r>
      <w:r w:rsidR="003D2D84" w:rsidRPr="00167CB8">
        <w:rPr>
          <w:rFonts w:ascii="Times New Roman" w:eastAsia="Times New Roman" w:hAnsi="Times New Roman" w:cs="Times New Roman"/>
          <w:color w:val="000000" w:themeColor="text1"/>
          <w:lang w:eastAsia="en-GB"/>
        </w:rPr>
        <w:t xml:space="preserve">despite claims that local residents would </w:t>
      </w:r>
      <w:r w:rsidR="002A304E">
        <w:rPr>
          <w:rFonts w:ascii="Times New Roman" w:eastAsia="Times New Roman" w:hAnsi="Times New Roman" w:cs="Times New Roman"/>
          <w:color w:val="000000" w:themeColor="text1"/>
          <w:lang w:eastAsia="en-GB"/>
        </w:rPr>
        <w:t>‘</w:t>
      </w:r>
      <w:r w:rsidR="003D2D84" w:rsidRPr="00167CB8">
        <w:rPr>
          <w:rFonts w:ascii="Times New Roman" w:eastAsia="Times New Roman" w:hAnsi="Times New Roman" w:cs="Times New Roman"/>
          <w:color w:val="000000" w:themeColor="text1"/>
          <w:lang w:eastAsia="en-GB"/>
        </w:rPr>
        <w:t>fall victim to green extremists</w:t>
      </w:r>
      <w:r w:rsidR="002A304E">
        <w:rPr>
          <w:rFonts w:ascii="Times New Roman" w:eastAsia="Times New Roman" w:hAnsi="Times New Roman" w:cs="Times New Roman"/>
          <w:color w:val="000000" w:themeColor="text1"/>
          <w:lang w:eastAsia="en-GB"/>
        </w:rPr>
        <w:t>’</w:t>
      </w:r>
      <w:r w:rsidR="003D2D84" w:rsidRPr="00167CB8">
        <w:rPr>
          <w:rFonts w:ascii="Times New Roman" w:eastAsia="Times New Roman" w:hAnsi="Times New Roman" w:cs="Times New Roman"/>
          <w:color w:val="000000" w:themeColor="text1"/>
          <w:lang w:eastAsia="en-GB"/>
        </w:rPr>
        <w:t>.</w:t>
      </w:r>
      <w:r w:rsidR="003D2D84" w:rsidRPr="00167CB8">
        <w:rPr>
          <w:rStyle w:val="FootnoteReference"/>
          <w:rFonts w:ascii="Times New Roman" w:eastAsia="Times New Roman" w:hAnsi="Times New Roman" w:cs="Times New Roman"/>
          <w:color w:val="000000" w:themeColor="text1"/>
          <w:lang w:eastAsia="en-GB"/>
        </w:rPr>
        <w:footnoteReference w:id="17"/>
      </w:r>
      <w:r w:rsidR="003D2D84" w:rsidRPr="00167CB8">
        <w:rPr>
          <w:rFonts w:ascii="Times New Roman" w:eastAsia="Times New Roman" w:hAnsi="Times New Roman" w:cs="Times New Roman"/>
          <w:color w:val="000000" w:themeColor="text1"/>
          <w:lang w:eastAsia="en-GB"/>
        </w:rPr>
        <w:t xml:space="preserve"> In 2017, </w:t>
      </w:r>
      <w:r w:rsidR="003D2D84" w:rsidRPr="00167CB8">
        <w:rPr>
          <w:rFonts w:ascii="Times New Roman" w:eastAsia="Times New Roman" w:hAnsi="Times New Roman" w:cs="Times New Roman"/>
          <w:color w:val="000000" w:themeColor="text1"/>
          <w:lang w:eastAsia="en-AU"/>
        </w:rPr>
        <w:t>the High Court of Australia handed down a landmark decision in </w:t>
      </w:r>
      <w:r w:rsidR="00167CB8" w:rsidRPr="00167CB8">
        <w:rPr>
          <w:rFonts w:ascii="Times New Roman" w:eastAsia="Times New Roman" w:hAnsi="Times New Roman" w:cs="Times New Roman"/>
          <w:i/>
          <w:iCs/>
          <w:color w:val="000000" w:themeColor="text1"/>
          <w:lang w:eastAsia="en-AU"/>
        </w:rPr>
        <w:t xml:space="preserve">Brown v Tasmania </w:t>
      </w:r>
      <w:r w:rsidR="00167CB8" w:rsidRPr="00167CB8">
        <w:rPr>
          <w:rFonts w:ascii="Times New Roman" w:eastAsia="Times New Roman" w:hAnsi="Times New Roman" w:cs="Times New Roman"/>
          <w:color w:val="000000" w:themeColor="text1"/>
          <w:lang w:eastAsia="en-AU"/>
        </w:rPr>
        <w:t xml:space="preserve">(2017) 261 CLR 328 </w:t>
      </w:r>
      <w:r w:rsidR="003D2D84" w:rsidRPr="00167CB8">
        <w:rPr>
          <w:rFonts w:ascii="Times New Roman" w:eastAsia="Times New Roman" w:hAnsi="Times New Roman" w:cs="Times New Roman"/>
          <w:color w:val="000000" w:themeColor="text1"/>
          <w:lang w:eastAsia="en-AU"/>
        </w:rPr>
        <w:t>concerning the validity of Tasmania’s anti-protest laws, under which former Australian Greens leader Bob Brown had been charged while protesting the logging of 49 hectares of the Lapoinya forest. The laws had been designed to prevent the disruption of mining and forestry projects. The Court ruled in favour of Mr Brown</w:t>
      </w:r>
      <w:r w:rsidR="00606873" w:rsidRPr="00167CB8">
        <w:rPr>
          <w:rFonts w:ascii="Times New Roman" w:eastAsia="Times New Roman" w:hAnsi="Times New Roman" w:cs="Times New Roman"/>
          <w:color w:val="000000" w:themeColor="text1"/>
          <w:lang w:eastAsia="en-AU"/>
        </w:rPr>
        <w:t xml:space="preserve"> </w:t>
      </w:r>
      <w:r w:rsidR="003D2D84" w:rsidRPr="00167CB8">
        <w:rPr>
          <w:rFonts w:ascii="Times New Roman" w:eastAsia="Times New Roman" w:hAnsi="Times New Roman" w:cs="Times New Roman"/>
          <w:color w:val="000000" w:themeColor="text1"/>
          <w:lang w:eastAsia="en-AU"/>
        </w:rPr>
        <w:t xml:space="preserve">in a 6:1 majority decision, finding that while Parliament may legislate with respect to protesters who interfere with business operations, a number of provisions within the Tasmanian law </w:t>
      </w:r>
      <w:r w:rsidR="002A304E">
        <w:rPr>
          <w:rFonts w:ascii="Times New Roman" w:eastAsia="Times New Roman" w:hAnsi="Times New Roman" w:cs="Times New Roman"/>
          <w:color w:val="000000" w:themeColor="text1"/>
          <w:lang w:eastAsia="en-AU"/>
        </w:rPr>
        <w:t>‘</w:t>
      </w:r>
      <w:r w:rsidR="003D2D84" w:rsidRPr="00167CB8">
        <w:rPr>
          <w:rFonts w:ascii="Times New Roman" w:eastAsia="Times New Roman" w:hAnsi="Times New Roman" w:cs="Times New Roman"/>
          <w:color w:val="000000" w:themeColor="text1"/>
          <w:lang w:eastAsia="en-AU"/>
        </w:rPr>
        <w:t>were not reasonably appropriate and adapted, or proportionate</w:t>
      </w:r>
      <w:r w:rsidR="002A304E">
        <w:rPr>
          <w:rFonts w:ascii="Times New Roman" w:eastAsia="Times New Roman" w:hAnsi="Times New Roman" w:cs="Times New Roman"/>
          <w:color w:val="000000" w:themeColor="text1"/>
          <w:lang w:eastAsia="en-AU"/>
        </w:rPr>
        <w:t>’</w:t>
      </w:r>
      <w:r w:rsidR="002A304E">
        <w:rPr>
          <w:rStyle w:val="FootnoteReference"/>
          <w:rFonts w:ascii="Times New Roman" w:eastAsia="Times New Roman" w:hAnsi="Times New Roman" w:cs="Times New Roman"/>
          <w:color w:val="000000" w:themeColor="text1"/>
          <w:lang w:eastAsia="en-AU"/>
        </w:rPr>
        <w:footnoteReference w:id="18"/>
      </w:r>
      <w:r w:rsidR="003D2D84" w:rsidRPr="00167CB8">
        <w:rPr>
          <w:rFonts w:ascii="Times New Roman" w:eastAsia="Times New Roman" w:hAnsi="Times New Roman" w:cs="Times New Roman"/>
          <w:color w:val="000000" w:themeColor="text1"/>
          <w:lang w:eastAsia="en-AU"/>
        </w:rPr>
        <w:t xml:space="preserve"> towards that aim while being compatible with </w:t>
      </w:r>
      <w:r w:rsidR="002A304E">
        <w:rPr>
          <w:rFonts w:ascii="Times New Roman" w:eastAsia="Times New Roman" w:hAnsi="Times New Roman" w:cs="Times New Roman"/>
          <w:color w:val="000000" w:themeColor="text1"/>
          <w:lang w:eastAsia="en-AU"/>
        </w:rPr>
        <w:t>‘</w:t>
      </w:r>
      <w:r w:rsidR="003D2D84" w:rsidRPr="00167CB8">
        <w:rPr>
          <w:rFonts w:ascii="Times New Roman" w:eastAsia="Times New Roman" w:hAnsi="Times New Roman" w:cs="Times New Roman"/>
          <w:color w:val="000000" w:themeColor="text1"/>
          <w:lang w:eastAsia="en-AU"/>
        </w:rPr>
        <w:t xml:space="preserve">the system of representative and responsible </w:t>
      </w:r>
      <w:r w:rsidR="003D2D84" w:rsidRPr="00167CB8">
        <w:rPr>
          <w:rFonts w:ascii="Times New Roman" w:eastAsia="Times New Roman" w:hAnsi="Times New Roman" w:cs="Times New Roman"/>
          <w:color w:val="000000" w:themeColor="text1"/>
          <w:lang w:eastAsia="en-AU"/>
        </w:rPr>
        <w:lastRenderedPageBreak/>
        <w:t xml:space="preserve">government </w:t>
      </w:r>
      <w:r w:rsidR="006C6CD6">
        <w:rPr>
          <w:rFonts w:ascii="Times New Roman" w:eastAsia="Times New Roman" w:hAnsi="Times New Roman" w:cs="Times New Roman"/>
          <w:color w:val="000000" w:themeColor="text1"/>
          <w:lang w:eastAsia="en-AU"/>
        </w:rPr>
        <w:t>for which</w:t>
      </w:r>
      <w:r w:rsidR="003D2D84" w:rsidRPr="00167CB8">
        <w:rPr>
          <w:rFonts w:ascii="Times New Roman" w:eastAsia="Times New Roman" w:hAnsi="Times New Roman" w:cs="Times New Roman"/>
          <w:color w:val="000000" w:themeColor="text1"/>
          <w:lang w:eastAsia="en-AU"/>
        </w:rPr>
        <w:t xml:space="preserve"> the Constitution </w:t>
      </w:r>
      <w:r w:rsidR="006C6CD6">
        <w:rPr>
          <w:rFonts w:ascii="Times New Roman" w:eastAsia="Times New Roman" w:hAnsi="Times New Roman" w:cs="Times New Roman"/>
          <w:color w:val="000000" w:themeColor="text1"/>
          <w:lang w:eastAsia="en-AU"/>
        </w:rPr>
        <w:t>provides</w:t>
      </w:r>
      <w:r w:rsidR="003D2D84" w:rsidRPr="00167CB8">
        <w:rPr>
          <w:rFonts w:ascii="Times New Roman" w:eastAsia="Times New Roman" w:hAnsi="Times New Roman" w:cs="Times New Roman"/>
          <w:color w:val="000000" w:themeColor="text1"/>
          <w:lang w:eastAsia="en-AU"/>
        </w:rPr>
        <w:t>.</w:t>
      </w:r>
      <w:r w:rsidR="002A304E">
        <w:rPr>
          <w:rFonts w:ascii="Times New Roman" w:eastAsia="Times New Roman" w:hAnsi="Times New Roman" w:cs="Times New Roman"/>
          <w:color w:val="000000" w:themeColor="text1"/>
          <w:lang w:eastAsia="en-AU"/>
        </w:rPr>
        <w:t>’</w:t>
      </w:r>
      <w:r w:rsidR="006C6CD6">
        <w:rPr>
          <w:rStyle w:val="FootnoteReference"/>
          <w:rFonts w:ascii="Times New Roman" w:eastAsia="Times New Roman" w:hAnsi="Times New Roman" w:cs="Times New Roman"/>
          <w:color w:val="000000" w:themeColor="text1"/>
          <w:lang w:eastAsia="en-AU"/>
        </w:rPr>
        <w:footnoteReference w:id="19"/>
      </w:r>
      <w:r w:rsidR="003D2D84" w:rsidRPr="00167CB8">
        <w:rPr>
          <w:rFonts w:ascii="Times New Roman" w:eastAsia="Times New Roman" w:hAnsi="Times New Roman" w:cs="Times New Roman"/>
          <w:color w:val="000000" w:themeColor="text1"/>
          <w:lang w:eastAsia="en-AU"/>
        </w:rPr>
        <w:t xml:space="preserve"> The decision prompted State and Territory governments across Australia to review their anti-protest laws</w:t>
      </w:r>
      <w:r w:rsidR="00606873" w:rsidRPr="00167CB8">
        <w:rPr>
          <w:rFonts w:ascii="Times New Roman" w:eastAsia="Times New Roman" w:hAnsi="Times New Roman" w:cs="Times New Roman"/>
          <w:color w:val="000000" w:themeColor="text1"/>
          <w:lang w:eastAsia="en-AU"/>
        </w:rPr>
        <w:t xml:space="preserve">. </w:t>
      </w:r>
      <w:r w:rsidR="003D2D84" w:rsidRPr="00167CB8">
        <w:rPr>
          <w:rFonts w:ascii="Times New Roman" w:eastAsia="Times New Roman" w:hAnsi="Times New Roman" w:cs="Times New Roman"/>
          <w:color w:val="000000" w:themeColor="text1"/>
          <w:lang w:eastAsia="en-AU"/>
        </w:rPr>
        <w:t>In the absence of express rights to ‘protest’ and ‘free speech’ in</w:t>
      </w:r>
      <w:r w:rsidR="00606873" w:rsidRPr="00167CB8">
        <w:rPr>
          <w:rFonts w:ascii="Times New Roman" w:eastAsia="Times New Roman" w:hAnsi="Times New Roman" w:cs="Times New Roman"/>
          <w:color w:val="000000" w:themeColor="text1"/>
          <w:lang w:eastAsia="en-AU"/>
        </w:rPr>
        <w:t xml:space="preserve"> </w:t>
      </w:r>
      <w:r w:rsidR="003D2D84" w:rsidRPr="00167CB8">
        <w:rPr>
          <w:rFonts w:ascii="Times New Roman" w:eastAsia="Times New Roman" w:hAnsi="Times New Roman" w:cs="Times New Roman"/>
          <w:color w:val="000000" w:themeColor="text1"/>
          <w:lang w:eastAsia="en-AU"/>
        </w:rPr>
        <w:t>Australia, </w:t>
      </w:r>
      <w:r w:rsidR="003D2D84" w:rsidRPr="00167CB8">
        <w:rPr>
          <w:rFonts w:ascii="Times New Roman" w:eastAsia="Times New Roman" w:hAnsi="Times New Roman" w:cs="Times New Roman"/>
          <w:i/>
          <w:iCs/>
          <w:color w:val="000000" w:themeColor="text1"/>
          <w:lang w:eastAsia="en-AU"/>
        </w:rPr>
        <w:t>Brown v Tasmania</w:t>
      </w:r>
      <w:r w:rsidR="00A51ACD" w:rsidRPr="005E0B91">
        <w:rPr>
          <w:rStyle w:val="FootnoteReference"/>
          <w:rFonts w:ascii="Times New Roman" w:eastAsia="Times New Roman" w:hAnsi="Times New Roman" w:cs="Times New Roman"/>
          <w:color w:val="000000" w:themeColor="text1"/>
          <w:lang w:eastAsia="en-AU"/>
        </w:rPr>
        <w:footnoteReference w:id="20"/>
      </w:r>
      <w:r w:rsidR="003D2D84" w:rsidRPr="005E0B91">
        <w:rPr>
          <w:rFonts w:ascii="Times New Roman" w:eastAsia="Times New Roman" w:hAnsi="Times New Roman" w:cs="Times New Roman"/>
          <w:color w:val="000000" w:themeColor="text1"/>
          <w:lang w:eastAsia="en-AU"/>
        </w:rPr>
        <w:t> </w:t>
      </w:r>
      <w:r w:rsidR="003D2D84" w:rsidRPr="00167CB8">
        <w:rPr>
          <w:rFonts w:ascii="Times New Roman" w:eastAsia="Times New Roman" w:hAnsi="Times New Roman" w:cs="Times New Roman"/>
          <w:color w:val="000000" w:themeColor="text1"/>
          <w:lang w:eastAsia="en-AU"/>
        </w:rPr>
        <w:t xml:space="preserve">underscores the importance of the judiciary in determining the legality of laws that seek to burden the </w:t>
      </w:r>
      <w:r w:rsidR="005E0B91">
        <w:rPr>
          <w:rFonts w:ascii="Times New Roman" w:eastAsia="Times New Roman" w:hAnsi="Times New Roman" w:cs="Times New Roman"/>
          <w:color w:val="000000" w:themeColor="text1"/>
          <w:lang w:eastAsia="en-AU"/>
        </w:rPr>
        <w:t>‘</w:t>
      </w:r>
      <w:r w:rsidR="003D2D84" w:rsidRPr="00167CB8">
        <w:rPr>
          <w:rFonts w:ascii="Times New Roman" w:eastAsia="Times New Roman" w:hAnsi="Times New Roman" w:cs="Times New Roman"/>
          <w:color w:val="000000" w:themeColor="text1"/>
          <w:lang w:eastAsia="en-AU"/>
        </w:rPr>
        <w:t>implied freedom of political communication</w:t>
      </w:r>
      <w:r w:rsidR="005E0B91">
        <w:rPr>
          <w:rFonts w:ascii="Times New Roman" w:eastAsia="Times New Roman" w:hAnsi="Times New Roman" w:cs="Times New Roman"/>
          <w:color w:val="000000" w:themeColor="text1"/>
          <w:lang w:eastAsia="en-AU"/>
        </w:rPr>
        <w:t>’</w:t>
      </w:r>
      <w:r w:rsidR="003D2D84" w:rsidRPr="00167CB8">
        <w:rPr>
          <w:rFonts w:ascii="Times New Roman" w:eastAsia="Times New Roman" w:hAnsi="Times New Roman" w:cs="Times New Roman"/>
          <w:color w:val="000000" w:themeColor="text1"/>
          <w:lang w:eastAsia="en-AU"/>
        </w:rPr>
        <w:t>.</w:t>
      </w:r>
      <w:r w:rsidR="005E0B91">
        <w:rPr>
          <w:rStyle w:val="FootnoteReference"/>
          <w:rFonts w:ascii="Times New Roman" w:eastAsia="Times New Roman" w:hAnsi="Times New Roman" w:cs="Times New Roman"/>
          <w:color w:val="000000" w:themeColor="text1"/>
          <w:lang w:eastAsia="en-AU"/>
        </w:rPr>
        <w:footnoteReference w:id="21"/>
      </w:r>
      <w:r w:rsidR="003D2D84" w:rsidRPr="00167CB8">
        <w:rPr>
          <w:rFonts w:ascii="Times New Roman" w:eastAsia="Times New Roman" w:hAnsi="Times New Roman" w:cs="Times New Roman"/>
          <w:color w:val="000000" w:themeColor="text1"/>
          <w:lang w:eastAsia="en-AU"/>
        </w:rPr>
        <w:t xml:space="preserve"> However, we see its true significance as the latest in a long line of Australian cases where environmental protection has rested in the hands of communities who understand the connection between people, animals and our shared environment. </w:t>
      </w:r>
    </w:p>
    <w:p w14:paraId="142EC78B" w14:textId="77777777" w:rsidR="0090406B" w:rsidRPr="00167CB8" w:rsidRDefault="0090406B" w:rsidP="0068167B">
      <w:pPr>
        <w:jc w:val="both"/>
        <w:rPr>
          <w:rFonts w:ascii="Times New Roman" w:eastAsia="Times New Roman" w:hAnsi="Times New Roman" w:cs="Times New Roman"/>
          <w:color w:val="000000" w:themeColor="text1"/>
          <w:lang w:eastAsia="en-GB"/>
        </w:rPr>
      </w:pPr>
    </w:p>
    <w:p w14:paraId="38358EE4" w14:textId="211C7445" w:rsidR="0068167B" w:rsidRPr="00167CB8" w:rsidRDefault="00184527" w:rsidP="0068167B">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2.2 </w:t>
      </w:r>
      <w:r w:rsidR="00941CA2" w:rsidRPr="00167CB8">
        <w:rPr>
          <w:rFonts w:ascii="Times New Roman" w:eastAsia="Times New Roman" w:hAnsi="Times New Roman" w:cs="Times New Roman"/>
          <w:color w:val="000000" w:themeColor="text1"/>
          <w:lang w:eastAsia="en-GB"/>
        </w:rPr>
        <w:t>The fact that the human right to a safe, clean, healthy and sustainable environment is not established in the Australian Constitutio</w:t>
      </w:r>
      <w:r w:rsidR="00C968C9" w:rsidRPr="00167CB8">
        <w:rPr>
          <w:rFonts w:ascii="Times New Roman" w:eastAsia="Times New Roman" w:hAnsi="Times New Roman" w:cs="Times New Roman"/>
          <w:color w:val="000000" w:themeColor="text1"/>
          <w:lang w:eastAsia="en-GB"/>
        </w:rPr>
        <w:t>n</w:t>
      </w:r>
      <w:r w:rsidR="00941CA2" w:rsidRPr="00167CB8">
        <w:rPr>
          <w:rFonts w:ascii="Times New Roman" w:eastAsia="Times New Roman" w:hAnsi="Times New Roman" w:cs="Times New Roman"/>
          <w:color w:val="000000" w:themeColor="text1"/>
          <w:lang w:eastAsia="en-GB"/>
        </w:rPr>
        <w:t xml:space="preserve"> means that the legislation can be </w:t>
      </w:r>
      <w:r w:rsidR="00DC293D" w:rsidRPr="00167CB8">
        <w:rPr>
          <w:rFonts w:ascii="Times New Roman" w:eastAsia="Times New Roman" w:hAnsi="Times New Roman" w:cs="Times New Roman"/>
          <w:color w:val="000000" w:themeColor="text1"/>
          <w:lang w:eastAsia="en-GB"/>
        </w:rPr>
        <w:t xml:space="preserve">easily and swiftly amended </w:t>
      </w:r>
      <w:r w:rsidR="00941CA2" w:rsidRPr="00167CB8">
        <w:rPr>
          <w:rFonts w:ascii="Times New Roman" w:eastAsia="Times New Roman" w:hAnsi="Times New Roman" w:cs="Times New Roman"/>
          <w:color w:val="000000" w:themeColor="text1"/>
          <w:lang w:eastAsia="en-GB"/>
        </w:rPr>
        <w:t xml:space="preserve">by parliament, as was nearly seen. The right is also not even made expressly in any federal legislation. Therefore, there </w:t>
      </w:r>
      <w:r w:rsidR="00C968C9" w:rsidRPr="00167CB8">
        <w:rPr>
          <w:rFonts w:ascii="Times New Roman" w:eastAsia="Times New Roman" w:hAnsi="Times New Roman" w:cs="Times New Roman"/>
          <w:color w:val="000000" w:themeColor="text1"/>
          <w:lang w:eastAsia="en-GB"/>
        </w:rPr>
        <w:t>are</w:t>
      </w:r>
      <w:r w:rsidR="00941CA2" w:rsidRPr="00167CB8">
        <w:rPr>
          <w:rFonts w:ascii="Times New Roman" w:eastAsia="Times New Roman" w:hAnsi="Times New Roman" w:cs="Times New Roman"/>
          <w:color w:val="000000" w:themeColor="text1"/>
          <w:lang w:eastAsia="en-GB"/>
        </w:rPr>
        <w:t xml:space="preserve"> very few safeguards that ensure this right will be upheld and not arbitrarily modified when it becomes politically, or commercially, inconvenient. </w:t>
      </w:r>
    </w:p>
    <w:p w14:paraId="3FB01CC0" w14:textId="77777777" w:rsidR="0068167B" w:rsidRPr="00167CB8" w:rsidRDefault="0068167B" w:rsidP="0068167B">
      <w:pPr>
        <w:rPr>
          <w:rFonts w:ascii="Times New Roman" w:eastAsia="Times New Roman" w:hAnsi="Times New Roman" w:cs="Times New Roman"/>
          <w:b/>
          <w:bCs/>
          <w:color w:val="000000" w:themeColor="text1"/>
          <w:lang w:eastAsia="en-GB"/>
        </w:rPr>
      </w:pPr>
    </w:p>
    <w:p w14:paraId="028B1690" w14:textId="0C15CCA1" w:rsidR="0068167B" w:rsidRPr="00167CB8" w:rsidRDefault="0068167B" w:rsidP="004E702C">
      <w:pPr>
        <w:jc w:val="both"/>
        <w:rPr>
          <w:rFonts w:ascii="Times New Roman" w:eastAsia="Times New Roman" w:hAnsi="Times New Roman" w:cs="Times New Roman"/>
          <w:b/>
          <w:bCs/>
          <w:color w:val="000000" w:themeColor="text1"/>
          <w:lang w:eastAsia="en-GB"/>
        </w:rPr>
      </w:pPr>
      <w:r w:rsidRPr="00167CB8">
        <w:rPr>
          <w:rFonts w:ascii="Times New Roman" w:eastAsia="Times New Roman" w:hAnsi="Times New Roman" w:cs="Times New Roman"/>
          <w:b/>
          <w:bCs/>
          <w:color w:val="000000" w:themeColor="text1"/>
          <w:lang w:eastAsia="en-GB"/>
        </w:rPr>
        <w:t xml:space="preserve">What are ways in which high-income States should assist low-income States in respecting, protecting, and fulfilling the human right to a safe, clean, healthy and sustainable environment? </w:t>
      </w:r>
    </w:p>
    <w:p w14:paraId="2CED31A2" w14:textId="6C85831C" w:rsidR="0068167B" w:rsidRPr="00167CB8" w:rsidRDefault="0068167B" w:rsidP="0068167B">
      <w:pPr>
        <w:rPr>
          <w:rFonts w:ascii="Times New Roman" w:eastAsia="Times New Roman" w:hAnsi="Times New Roman" w:cs="Times New Roman"/>
          <w:color w:val="000000" w:themeColor="text1"/>
          <w:lang w:eastAsia="en-GB"/>
        </w:rPr>
      </w:pPr>
    </w:p>
    <w:p w14:paraId="01069102" w14:textId="712DCC6E" w:rsidR="00455A98" w:rsidRPr="00167CB8" w:rsidRDefault="00455A98" w:rsidP="00455A98">
      <w:pPr>
        <w:rPr>
          <w:rFonts w:ascii="Times New Roman" w:eastAsia="Times New Roman" w:hAnsi="Times New Roman" w:cs="Times New Roman"/>
          <w:color w:val="000000" w:themeColor="text1"/>
          <w:u w:val="single"/>
          <w:lang w:eastAsia="en-GB"/>
        </w:rPr>
      </w:pPr>
      <w:r w:rsidRPr="00167CB8">
        <w:rPr>
          <w:rFonts w:ascii="Times New Roman" w:eastAsia="Times New Roman" w:hAnsi="Times New Roman" w:cs="Times New Roman"/>
          <w:color w:val="000000" w:themeColor="text1"/>
          <w:u w:val="single"/>
          <w:lang w:eastAsia="en-GB"/>
        </w:rPr>
        <w:t>The Principle of Common but Differentiated Responsibility</w:t>
      </w:r>
      <w:r w:rsidRPr="00167CB8">
        <w:rPr>
          <w:rStyle w:val="FootnoteReference"/>
          <w:rFonts w:ascii="Times New Roman" w:eastAsia="Times New Roman" w:hAnsi="Times New Roman" w:cs="Times New Roman"/>
          <w:color w:val="000000" w:themeColor="text1"/>
          <w:u w:val="single"/>
          <w:lang w:eastAsia="en-GB"/>
        </w:rPr>
        <w:footnoteReference w:id="22"/>
      </w:r>
    </w:p>
    <w:p w14:paraId="73F5B9B6" w14:textId="760CA1E0" w:rsidR="00455A98" w:rsidRPr="00167CB8" w:rsidRDefault="00FD5C69" w:rsidP="00455A98">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3.0 </w:t>
      </w:r>
      <w:r w:rsidR="00455A98" w:rsidRPr="00167CB8">
        <w:rPr>
          <w:rFonts w:ascii="Times New Roman" w:eastAsia="Times New Roman" w:hAnsi="Times New Roman" w:cs="Times New Roman"/>
          <w:color w:val="000000" w:themeColor="text1"/>
          <w:lang w:eastAsia="en-GB"/>
        </w:rPr>
        <w:t>This concept</w:t>
      </w:r>
      <w:r w:rsidR="00B342E1" w:rsidRPr="00167CB8">
        <w:rPr>
          <w:rFonts w:ascii="Times New Roman" w:eastAsia="Times New Roman" w:hAnsi="Times New Roman" w:cs="Times New Roman"/>
          <w:color w:val="000000" w:themeColor="text1"/>
          <w:lang w:eastAsia="en-GB"/>
        </w:rPr>
        <w:t xml:space="preserve"> is two-fold: it</w:t>
      </w:r>
      <w:r w:rsidR="00455A98" w:rsidRPr="00167CB8">
        <w:rPr>
          <w:rFonts w:ascii="Times New Roman" w:eastAsia="Times New Roman" w:hAnsi="Times New Roman" w:cs="Times New Roman"/>
          <w:color w:val="000000" w:themeColor="text1"/>
          <w:lang w:eastAsia="en-GB"/>
        </w:rPr>
        <w:t xml:space="preserve"> involves accepting the collective responsibility all states have towards protecting the environment</w:t>
      </w:r>
      <w:r w:rsidR="00B342E1" w:rsidRPr="00167CB8">
        <w:rPr>
          <w:rFonts w:ascii="Times New Roman" w:eastAsia="Times New Roman" w:hAnsi="Times New Roman" w:cs="Times New Roman"/>
          <w:color w:val="000000" w:themeColor="text1"/>
          <w:lang w:eastAsia="en-GB"/>
        </w:rPr>
        <w:t xml:space="preserve"> and</w:t>
      </w:r>
      <w:r w:rsidR="00455A98" w:rsidRPr="00167CB8">
        <w:rPr>
          <w:rFonts w:ascii="Times New Roman" w:eastAsia="Times New Roman" w:hAnsi="Times New Roman" w:cs="Times New Roman"/>
          <w:color w:val="000000" w:themeColor="text1"/>
          <w:lang w:eastAsia="en-GB"/>
        </w:rPr>
        <w:t xml:space="preserve"> the different contributions states have towards environmental degradation, a</w:t>
      </w:r>
      <w:r w:rsidR="00B342E1" w:rsidRPr="00167CB8">
        <w:rPr>
          <w:rFonts w:ascii="Times New Roman" w:eastAsia="Times New Roman" w:hAnsi="Times New Roman" w:cs="Times New Roman"/>
          <w:color w:val="000000" w:themeColor="text1"/>
          <w:lang w:eastAsia="en-GB"/>
        </w:rPr>
        <w:t>s well as</w:t>
      </w:r>
      <w:r w:rsidR="00455A98" w:rsidRPr="00167CB8">
        <w:rPr>
          <w:rFonts w:ascii="Times New Roman" w:eastAsia="Times New Roman" w:hAnsi="Times New Roman" w:cs="Times New Roman"/>
          <w:color w:val="000000" w:themeColor="text1"/>
          <w:lang w:eastAsia="en-GB"/>
        </w:rPr>
        <w:t xml:space="preserve"> the different capacities states have to prevent and resolve environmental harm.</w:t>
      </w:r>
      <w:r w:rsidR="00455A98" w:rsidRPr="00167CB8">
        <w:rPr>
          <w:rStyle w:val="FootnoteReference"/>
          <w:rFonts w:ascii="Times New Roman" w:eastAsia="Times New Roman" w:hAnsi="Times New Roman" w:cs="Times New Roman"/>
          <w:color w:val="000000" w:themeColor="text1"/>
          <w:lang w:eastAsia="en-GB"/>
        </w:rPr>
        <w:footnoteReference w:id="23"/>
      </w:r>
      <w:r w:rsidR="00455A98" w:rsidRPr="00167CB8">
        <w:rPr>
          <w:rFonts w:ascii="Times New Roman" w:eastAsia="Times New Roman" w:hAnsi="Times New Roman" w:cs="Times New Roman"/>
          <w:color w:val="000000" w:themeColor="text1"/>
          <w:lang w:eastAsia="en-GB"/>
        </w:rPr>
        <w:t xml:space="preserve"> </w:t>
      </w:r>
      <w:r w:rsidR="00AA2665" w:rsidRPr="00167CB8">
        <w:rPr>
          <w:rFonts w:ascii="Times New Roman" w:eastAsia="Times New Roman" w:hAnsi="Times New Roman" w:cs="Times New Roman"/>
          <w:color w:val="000000" w:themeColor="text1"/>
          <w:lang w:eastAsia="en-GB"/>
        </w:rPr>
        <w:t xml:space="preserve">This </w:t>
      </w:r>
      <w:r w:rsidR="007F51A4" w:rsidRPr="00167CB8">
        <w:rPr>
          <w:rFonts w:ascii="Times New Roman" w:eastAsia="Times New Roman" w:hAnsi="Times New Roman" w:cs="Times New Roman"/>
          <w:color w:val="000000" w:themeColor="text1"/>
          <w:lang w:eastAsia="en-GB"/>
        </w:rPr>
        <w:t xml:space="preserve">is a significant imperative for </w:t>
      </w:r>
      <w:r w:rsidR="0039219D" w:rsidRPr="00167CB8">
        <w:rPr>
          <w:rFonts w:ascii="Times New Roman" w:eastAsia="Times New Roman" w:hAnsi="Times New Roman" w:cs="Times New Roman"/>
          <w:color w:val="000000" w:themeColor="text1"/>
          <w:lang w:eastAsia="en-GB"/>
        </w:rPr>
        <w:t xml:space="preserve">high-income </w:t>
      </w:r>
      <w:r w:rsidR="007F51A4" w:rsidRPr="00167CB8">
        <w:rPr>
          <w:rFonts w:ascii="Times New Roman" w:eastAsia="Times New Roman" w:hAnsi="Times New Roman" w:cs="Times New Roman"/>
          <w:color w:val="000000" w:themeColor="text1"/>
          <w:lang w:eastAsia="en-GB"/>
        </w:rPr>
        <w:t xml:space="preserve">states to assist </w:t>
      </w:r>
      <w:r w:rsidR="0039219D" w:rsidRPr="00167CB8">
        <w:rPr>
          <w:rFonts w:ascii="Times New Roman" w:eastAsia="Times New Roman" w:hAnsi="Times New Roman" w:cs="Times New Roman"/>
          <w:color w:val="000000" w:themeColor="text1"/>
          <w:lang w:eastAsia="en-GB"/>
        </w:rPr>
        <w:t>low-income</w:t>
      </w:r>
      <w:r w:rsidR="007F51A4" w:rsidRPr="00167CB8">
        <w:rPr>
          <w:rFonts w:ascii="Times New Roman" w:eastAsia="Times New Roman" w:hAnsi="Times New Roman" w:cs="Times New Roman"/>
          <w:color w:val="000000" w:themeColor="text1"/>
          <w:lang w:eastAsia="en-GB"/>
        </w:rPr>
        <w:t xml:space="preserve"> states in fulfilling their human rights obligations</w:t>
      </w:r>
      <w:r w:rsidR="006B0B86" w:rsidRPr="00167CB8">
        <w:rPr>
          <w:rFonts w:ascii="Times New Roman" w:eastAsia="Times New Roman" w:hAnsi="Times New Roman" w:cs="Times New Roman"/>
          <w:color w:val="000000" w:themeColor="text1"/>
          <w:lang w:eastAsia="en-GB"/>
        </w:rPr>
        <w:t xml:space="preserve">. Particularly </w:t>
      </w:r>
      <w:r w:rsidR="007F51A4" w:rsidRPr="00167CB8">
        <w:rPr>
          <w:rFonts w:ascii="Times New Roman" w:eastAsia="Times New Roman" w:hAnsi="Times New Roman" w:cs="Times New Roman"/>
          <w:color w:val="000000" w:themeColor="text1"/>
          <w:lang w:eastAsia="en-GB"/>
        </w:rPr>
        <w:t xml:space="preserve">in relation to the issue of climate change, this principle also recognises the necessity for states to accept their historical emissions; though </w:t>
      </w:r>
      <w:r w:rsidR="0039219D" w:rsidRPr="00167CB8">
        <w:rPr>
          <w:rFonts w:ascii="Times New Roman" w:eastAsia="Times New Roman" w:hAnsi="Times New Roman" w:cs="Times New Roman"/>
          <w:color w:val="000000" w:themeColor="text1"/>
          <w:lang w:eastAsia="en-GB"/>
        </w:rPr>
        <w:t>high income</w:t>
      </w:r>
      <w:r w:rsidR="007F51A4" w:rsidRPr="00167CB8">
        <w:rPr>
          <w:rFonts w:ascii="Times New Roman" w:eastAsia="Times New Roman" w:hAnsi="Times New Roman" w:cs="Times New Roman"/>
          <w:color w:val="000000" w:themeColor="text1"/>
          <w:lang w:eastAsia="en-GB"/>
        </w:rPr>
        <w:t xml:space="preserve"> states contribute the highest amount of greenhouse gas emissions </w:t>
      </w:r>
      <w:r w:rsidR="006B0B86" w:rsidRPr="00167CB8">
        <w:rPr>
          <w:rFonts w:ascii="Times New Roman" w:eastAsia="Times New Roman" w:hAnsi="Times New Roman" w:cs="Times New Roman"/>
          <w:color w:val="000000" w:themeColor="text1"/>
          <w:lang w:eastAsia="en-GB"/>
        </w:rPr>
        <w:t>at present</w:t>
      </w:r>
      <w:r w:rsidR="007F51A4" w:rsidRPr="00167CB8">
        <w:rPr>
          <w:rFonts w:ascii="Times New Roman" w:eastAsia="Times New Roman" w:hAnsi="Times New Roman" w:cs="Times New Roman"/>
          <w:color w:val="000000" w:themeColor="text1"/>
          <w:lang w:eastAsia="en-GB"/>
        </w:rPr>
        <w:t>,</w:t>
      </w:r>
      <w:r w:rsidR="007F51A4" w:rsidRPr="00167CB8">
        <w:rPr>
          <w:rStyle w:val="FootnoteReference"/>
          <w:rFonts w:ascii="Times New Roman" w:eastAsia="Times New Roman" w:hAnsi="Times New Roman" w:cs="Times New Roman"/>
          <w:color w:val="000000" w:themeColor="text1"/>
          <w:lang w:eastAsia="en-GB"/>
        </w:rPr>
        <w:footnoteReference w:id="24"/>
      </w:r>
      <w:r w:rsidR="00394F58" w:rsidRPr="00167CB8">
        <w:rPr>
          <w:rFonts w:ascii="Times New Roman" w:eastAsia="Times New Roman" w:hAnsi="Times New Roman" w:cs="Times New Roman"/>
          <w:color w:val="000000" w:themeColor="text1"/>
          <w:lang w:eastAsia="en-GB"/>
        </w:rPr>
        <w:t xml:space="preserve"> the earlier industrial revolution of the developed world significantly contributed to putting the world in the </w:t>
      </w:r>
      <w:r w:rsidR="006B0B86" w:rsidRPr="00167CB8">
        <w:rPr>
          <w:rFonts w:ascii="Times New Roman" w:eastAsia="Times New Roman" w:hAnsi="Times New Roman" w:cs="Times New Roman"/>
          <w:color w:val="000000" w:themeColor="text1"/>
          <w:lang w:eastAsia="en-GB"/>
        </w:rPr>
        <w:t>difficult position</w:t>
      </w:r>
      <w:r w:rsidR="00394F58" w:rsidRPr="00167CB8">
        <w:rPr>
          <w:rFonts w:ascii="Times New Roman" w:eastAsia="Times New Roman" w:hAnsi="Times New Roman" w:cs="Times New Roman"/>
          <w:color w:val="000000" w:themeColor="text1"/>
          <w:lang w:eastAsia="en-GB"/>
        </w:rPr>
        <w:t xml:space="preserve"> it is today.</w:t>
      </w:r>
      <w:r w:rsidR="00394F58" w:rsidRPr="00167CB8">
        <w:rPr>
          <w:rStyle w:val="FootnoteReference"/>
          <w:rFonts w:ascii="Times New Roman" w:eastAsia="Times New Roman" w:hAnsi="Times New Roman" w:cs="Times New Roman"/>
          <w:color w:val="000000" w:themeColor="text1"/>
          <w:lang w:eastAsia="en-GB"/>
        </w:rPr>
        <w:footnoteReference w:id="25"/>
      </w:r>
      <w:r w:rsidR="00394F58" w:rsidRPr="00167CB8">
        <w:rPr>
          <w:rFonts w:ascii="Times New Roman" w:eastAsia="Times New Roman" w:hAnsi="Times New Roman" w:cs="Times New Roman"/>
          <w:color w:val="000000" w:themeColor="text1"/>
          <w:lang w:eastAsia="en-GB"/>
        </w:rPr>
        <w:t xml:space="preserve"> </w:t>
      </w:r>
    </w:p>
    <w:p w14:paraId="2E3D4ED8" w14:textId="77777777" w:rsidR="00455A98" w:rsidRPr="00167CB8" w:rsidRDefault="00455A98" w:rsidP="0068167B">
      <w:pPr>
        <w:rPr>
          <w:rFonts w:ascii="Times New Roman" w:eastAsia="Times New Roman" w:hAnsi="Times New Roman" w:cs="Times New Roman"/>
          <w:color w:val="000000" w:themeColor="text1"/>
          <w:lang w:eastAsia="en-GB"/>
        </w:rPr>
      </w:pPr>
    </w:p>
    <w:p w14:paraId="2295EAD9" w14:textId="453074B2" w:rsidR="0068167B" w:rsidRPr="00167CB8" w:rsidRDefault="0068167B" w:rsidP="004E702C">
      <w:pPr>
        <w:jc w:val="both"/>
        <w:rPr>
          <w:rFonts w:ascii="Times New Roman" w:eastAsia="Times New Roman" w:hAnsi="Times New Roman" w:cs="Times New Roman"/>
          <w:color w:val="000000" w:themeColor="text1"/>
          <w:lang w:eastAsia="en-GB"/>
        </w:rPr>
      </w:pPr>
      <w:r w:rsidRPr="00167CB8">
        <w:rPr>
          <w:rFonts w:ascii="Times New Roman" w:eastAsia="Times New Roman" w:hAnsi="Times New Roman" w:cs="Times New Roman"/>
          <w:color w:val="000000" w:themeColor="text1"/>
          <w:u w:val="single"/>
          <w:lang w:eastAsia="en-GB"/>
        </w:rPr>
        <w:t>Capacity building</w:t>
      </w:r>
    </w:p>
    <w:p w14:paraId="1C21A510" w14:textId="1B8A986B" w:rsidR="0039219D" w:rsidRPr="00167CB8" w:rsidRDefault="00FD5C69" w:rsidP="004E702C">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3.1 </w:t>
      </w:r>
      <w:r w:rsidR="004E702C" w:rsidRPr="00167CB8">
        <w:rPr>
          <w:rFonts w:ascii="Times New Roman" w:eastAsia="Times New Roman" w:hAnsi="Times New Roman" w:cs="Times New Roman"/>
          <w:color w:val="000000" w:themeColor="text1"/>
          <w:lang w:eastAsia="en-GB"/>
        </w:rPr>
        <w:t>Capacity building ensures the long-term improvement of a state, as it creates an approach to resolving health and environmental issues that are directly adapted to the country.</w:t>
      </w:r>
      <w:r w:rsidR="00017CF6" w:rsidRPr="00167CB8">
        <w:rPr>
          <w:rFonts w:ascii="Times New Roman" w:eastAsia="Times New Roman" w:hAnsi="Times New Roman" w:cs="Times New Roman"/>
          <w:color w:val="000000" w:themeColor="text1"/>
          <w:lang w:eastAsia="en-GB"/>
        </w:rPr>
        <w:t xml:space="preserve"> </w:t>
      </w:r>
      <w:r w:rsidR="004E702C" w:rsidRPr="00167CB8">
        <w:rPr>
          <w:rFonts w:ascii="Times New Roman" w:eastAsia="Times New Roman" w:hAnsi="Times New Roman" w:cs="Times New Roman"/>
          <w:color w:val="000000" w:themeColor="text1"/>
          <w:lang w:eastAsia="en-GB"/>
        </w:rPr>
        <w:t xml:space="preserve">It is especially important to facilitate this process in </w:t>
      </w:r>
      <w:r w:rsidR="0039219D" w:rsidRPr="00167CB8">
        <w:rPr>
          <w:rFonts w:ascii="Times New Roman" w:eastAsia="Times New Roman" w:hAnsi="Times New Roman" w:cs="Times New Roman"/>
          <w:color w:val="000000" w:themeColor="text1"/>
          <w:lang w:eastAsia="en-GB"/>
        </w:rPr>
        <w:t>low-income</w:t>
      </w:r>
      <w:r w:rsidR="004E702C" w:rsidRPr="00167CB8">
        <w:rPr>
          <w:rFonts w:ascii="Times New Roman" w:eastAsia="Times New Roman" w:hAnsi="Times New Roman" w:cs="Times New Roman"/>
          <w:color w:val="000000" w:themeColor="text1"/>
          <w:lang w:eastAsia="en-GB"/>
        </w:rPr>
        <w:t xml:space="preserve"> countries as they </w:t>
      </w:r>
      <w:r w:rsidR="00017CF6" w:rsidRPr="00167CB8">
        <w:rPr>
          <w:rFonts w:ascii="Times New Roman" w:eastAsia="Times New Roman" w:hAnsi="Times New Roman" w:cs="Times New Roman"/>
          <w:color w:val="000000" w:themeColor="text1"/>
          <w:lang w:eastAsia="en-GB"/>
        </w:rPr>
        <w:t xml:space="preserve">are </w:t>
      </w:r>
      <w:r w:rsidR="004E702C" w:rsidRPr="00167CB8">
        <w:rPr>
          <w:rFonts w:ascii="Times New Roman" w:eastAsia="Times New Roman" w:hAnsi="Times New Roman" w:cs="Times New Roman"/>
          <w:color w:val="000000" w:themeColor="text1"/>
          <w:lang w:eastAsia="en-GB"/>
        </w:rPr>
        <w:t>among the highest polluters in the world.</w:t>
      </w:r>
      <w:r w:rsidR="00B86BF0" w:rsidRPr="00167CB8">
        <w:rPr>
          <w:rStyle w:val="FootnoteReference"/>
          <w:rFonts w:ascii="Times New Roman" w:eastAsia="Times New Roman" w:hAnsi="Times New Roman" w:cs="Times New Roman"/>
          <w:color w:val="000000" w:themeColor="text1"/>
          <w:lang w:eastAsia="en-GB"/>
        </w:rPr>
        <w:footnoteReference w:id="26"/>
      </w:r>
      <w:r w:rsidR="004E702C" w:rsidRPr="00167CB8">
        <w:rPr>
          <w:rFonts w:ascii="Times New Roman" w:eastAsia="Times New Roman" w:hAnsi="Times New Roman" w:cs="Times New Roman"/>
          <w:color w:val="000000" w:themeColor="text1"/>
          <w:lang w:eastAsia="en-GB"/>
        </w:rPr>
        <w:t xml:space="preserve"> This can be compared to the often-used alternative of mere ‘financial resources’, as specified in article 9 of the Paris Climate Accord, which states that high-income countries are to contribute financially to low-income states.</w:t>
      </w:r>
      <w:r w:rsidR="000911BD" w:rsidRPr="00167CB8">
        <w:rPr>
          <w:rStyle w:val="FootnoteReference"/>
          <w:rFonts w:ascii="Times New Roman" w:eastAsia="Times New Roman" w:hAnsi="Times New Roman" w:cs="Times New Roman"/>
          <w:color w:val="000000" w:themeColor="text1"/>
          <w:lang w:eastAsia="en-GB"/>
        </w:rPr>
        <w:footnoteReference w:id="27"/>
      </w:r>
      <w:r w:rsidR="004E702C" w:rsidRPr="00167CB8">
        <w:rPr>
          <w:rFonts w:ascii="Times New Roman" w:eastAsia="Times New Roman" w:hAnsi="Times New Roman" w:cs="Times New Roman"/>
          <w:color w:val="000000" w:themeColor="text1"/>
          <w:lang w:eastAsia="en-GB"/>
        </w:rPr>
        <w:t xml:space="preserve"> </w:t>
      </w:r>
    </w:p>
    <w:p w14:paraId="364BE1A2" w14:textId="77777777" w:rsidR="0039219D" w:rsidRPr="00167CB8" w:rsidRDefault="0039219D" w:rsidP="004E702C">
      <w:pPr>
        <w:rPr>
          <w:rFonts w:ascii="Times New Roman" w:eastAsia="Times New Roman" w:hAnsi="Times New Roman" w:cs="Times New Roman"/>
          <w:color w:val="000000" w:themeColor="text1"/>
          <w:lang w:eastAsia="en-GB"/>
        </w:rPr>
      </w:pPr>
    </w:p>
    <w:p w14:paraId="09F99AFC" w14:textId="6E7E380E" w:rsidR="004E702C" w:rsidRPr="00167CB8" w:rsidRDefault="00184527" w:rsidP="004E702C">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lastRenderedPageBreak/>
        <w:t xml:space="preserve">3.2 </w:t>
      </w:r>
      <w:r w:rsidR="0039219D" w:rsidRPr="00167CB8">
        <w:rPr>
          <w:rFonts w:ascii="Times New Roman" w:eastAsia="Times New Roman" w:hAnsi="Times New Roman" w:cs="Times New Roman"/>
          <w:color w:val="000000" w:themeColor="text1"/>
          <w:lang w:eastAsia="en-GB"/>
        </w:rPr>
        <w:t xml:space="preserve">This method of </w:t>
      </w:r>
      <w:r w:rsidR="00932459">
        <w:rPr>
          <w:rFonts w:ascii="Times New Roman" w:eastAsia="Times New Roman" w:hAnsi="Times New Roman" w:cs="Times New Roman"/>
          <w:color w:val="000000" w:themeColor="text1"/>
          <w:lang w:eastAsia="en-GB"/>
        </w:rPr>
        <w:t xml:space="preserve">assistance </w:t>
      </w:r>
      <w:r w:rsidR="004E702C" w:rsidRPr="00167CB8">
        <w:rPr>
          <w:rFonts w:ascii="Times New Roman" w:eastAsia="Times New Roman" w:hAnsi="Times New Roman" w:cs="Times New Roman"/>
          <w:color w:val="000000" w:themeColor="text1"/>
          <w:lang w:eastAsia="en-GB"/>
        </w:rPr>
        <w:t>has proven effective in many sectors of facilitating development in low-income countries, such as in combating the HIV epidemic.</w:t>
      </w:r>
      <w:r w:rsidR="00B86BF0" w:rsidRPr="00167CB8">
        <w:rPr>
          <w:rStyle w:val="FootnoteReference"/>
          <w:rFonts w:ascii="Times New Roman" w:eastAsia="Times New Roman" w:hAnsi="Times New Roman" w:cs="Times New Roman"/>
          <w:color w:val="000000" w:themeColor="text1"/>
          <w:lang w:eastAsia="en-GB"/>
        </w:rPr>
        <w:footnoteReference w:id="28"/>
      </w:r>
      <w:r w:rsidR="004E702C" w:rsidRPr="00167CB8">
        <w:rPr>
          <w:rFonts w:ascii="Times New Roman" w:eastAsia="Times New Roman" w:hAnsi="Times New Roman" w:cs="Times New Roman"/>
          <w:color w:val="000000" w:themeColor="text1"/>
          <w:lang w:eastAsia="en-GB"/>
        </w:rPr>
        <w:t xml:space="preserve"> This includes working specifically with local people who work in environmental and health care institutions to ensure that </w:t>
      </w:r>
      <w:r w:rsidR="0039219D" w:rsidRPr="00167CB8">
        <w:rPr>
          <w:rFonts w:ascii="Times New Roman" w:eastAsia="Times New Roman" w:hAnsi="Times New Roman" w:cs="Times New Roman"/>
          <w:color w:val="000000" w:themeColor="text1"/>
          <w:lang w:eastAsia="en-GB"/>
        </w:rPr>
        <w:t>development and human rights</w:t>
      </w:r>
      <w:r w:rsidR="004E702C" w:rsidRPr="00167CB8">
        <w:rPr>
          <w:rFonts w:ascii="Times New Roman" w:eastAsia="Times New Roman" w:hAnsi="Times New Roman" w:cs="Times New Roman"/>
          <w:color w:val="000000" w:themeColor="text1"/>
          <w:lang w:eastAsia="en-GB"/>
        </w:rPr>
        <w:t xml:space="preserve"> goals are met. </w:t>
      </w:r>
      <w:r w:rsidR="0090406B" w:rsidRPr="00167CB8">
        <w:rPr>
          <w:rFonts w:ascii="Times New Roman" w:eastAsia="Times New Roman" w:hAnsi="Times New Roman" w:cs="Times New Roman"/>
          <w:color w:val="000000" w:themeColor="text1"/>
          <w:lang w:eastAsia="en-GB"/>
        </w:rPr>
        <w:t>Notably</w:t>
      </w:r>
      <w:r w:rsidR="004E702C" w:rsidRPr="00167CB8">
        <w:rPr>
          <w:rFonts w:ascii="Times New Roman" w:eastAsia="Times New Roman" w:hAnsi="Times New Roman" w:cs="Times New Roman"/>
          <w:color w:val="000000" w:themeColor="text1"/>
          <w:lang w:eastAsia="en-GB"/>
        </w:rPr>
        <w:t>, capacity building also encourages low-income states to respect th</w:t>
      </w:r>
      <w:r w:rsidR="0039219D" w:rsidRPr="00167CB8">
        <w:rPr>
          <w:rFonts w:ascii="Times New Roman" w:eastAsia="Times New Roman" w:hAnsi="Times New Roman" w:cs="Times New Roman"/>
          <w:color w:val="000000" w:themeColor="text1"/>
          <w:lang w:eastAsia="en-GB"/>
        </w:rPr>
        <w:t xml:space="preserve">e right to a healthy environment </w:t>
      </w:r>
      <w:r w:rsidR="004E702C" w:rsidRPr="00167CB8">
        <w:rPr>
          <w:rFonts w:ascii="Times New Roman" w:eastAsia="Times New Roman" w:hAnsi="Times New Roman" w:cs="Times New Roman"/>
          <w:color w:val="000000" w:themeColor="text1"/>
          <w:lang w:eastAsia="en-GB"/>
        </w:rPr>
        <w:t>as they take ownership of their efforts to improve the health of their environment and their people.</w:t>
      </w:r>
      <w:r w:rsidR="00927127" w:rsidRPr="00167CB8">
        <w:rPr>
          <w:rStyle w:val="FootnoteReference"/>
          <w:rFonts w:ascii="Times New Roman" w:eastAsia="Times New Roman" w:hAnsi="Times New Roman" w:cs="Times New Roman"/>
          <w:color w:val="000000" w:themeColor="text1"/>
          <w:lang w:eastAsia="en-GB"/>
        </w:rPr>
        <w:footnoteReference w:id="29"/>
      </w:r>
      <w:r w:rsidR="004E702C" w:rsidRPr="00167CB8">
        <w:rPr>
          <w:rFonts w:ascii="Times New Roman" w:eastAsia="Times New Roman" w:hAnsi="Times New Roman" w:cs="Times New Roman"/>
          <w:color w:val="000000" w:themeColor="text1"/>
          <w:lang w:eastAsia="en-GB"/>
        </w:rPr>
        <w:t> </w:t>
      </w:r>
    </w:p>
    <w:p w14:paraId="47BB6653" w14:textId="4E9F924B" w:rsidR="004E702C" w:rsidRPr="00167CB8" w:rsidRDefault="004E702C" w:rsidP="004E702C">
      <w:pPr>
        <w:rPr>
          <w:rFonts w:ascii="Times New Roman" w:eastAsia="Times New Roman" w:hAnsi="Times New Roman" w:cs="Times New Roman"/>
          <w:color w:val="000000" w:themeColor="text1"/>
          <w:lang w:eastAsia="en-GB"/>
        </w:rPr>
      </w:pPr>
      <w:r w:rsidRPr="00167CB8">
        <w:rPr>
          <w:rFonts w:ascii="Times New Roman" w:eastAsia="Times New Roman" w:hAnsi="Times New Roman" w:cs="Times New Roman"/>
          <w:color w:val="000000" w:themeColor="text1"/>
          <w:lang w:eastAsia="en-GB"/>
        </w:rPr>
        <w:br/>
      </w:r>
      <w:r w:rsidR="00184527">
        <w:rPr>
          <w:rFonts w:ascii="Times New Roman" w:eastAsia="Times New Roman" w:hAnsi="Times New Roman" w:cs="Times New Roman"/>
          <w:color w:val="000000" w:themeColor="text1"/>
          <w:lang w:eastAsia="en-GB"/>
        </w:rPr>
        <w:t xml:space="preserve">3.3 </w:t>
      </w:r>
      <w:r w:rsidR="009C13E4" w:rsidRPr="00167CB8">
        <w:rPr>
          <w:rFonts w:ascii="Times New Roman" w:eastAsia="Times New Roman" w:hAnsi="Times New Roman" w:cs="Times New Roman"/>
          <w:color w:val="000000" w:themeColor="text1"/>
          <w:lang w:eastAsia="en-GB"/>
        </w:rPr>
        <w:t>It is also</w:t>
      </w:r>
      <w:r w:rsidRPr="00167CB8">
        <w:rPr>
          <w:rFonts w:ascii="Times New Roman" w:eastAsia="Times New Roman" w:hAnsi="Times New Roman" w:cs="Times New Roman"/>
          <w:color w:val="000000" w:themeColor="text1"/>
          <w:lang w:eastAsia="en-GB"/>
        </w:rPr>
        <w:t xml:space="preserve"> </w:t>
      </w:r>
      <w:r w:rsidR="0090406B" w:rsidRPr="00167CB8">
        <w:rPr>
          <w:rFonts w:ascii="Times New Roman" w:eastAsia="Times New Roman" w:hAnsi="Times New Roman" w:cs="Times New Roman"/>
          <w:color w:val="000000" w:themeColor="text1"/>
          <w:lang w:eastAsia="en-GB"/>
        </w:rPr>
        <w:t>essential</w:t>
      </w:r>
      <w:r w:rsidRPr="00167CB8">
        <w:rPr>
          <w:rFonts w:ascii="Times New Roman" w:eastAsia="Times New Roman" w:hAnsi="Times New Roman" w:cs="Times New Roman"/>
          <w:color w:val="000000" w:themeColor="text1"/>
          <w:lang w:eastAsia="en-GB"/>
        </w:rPr>
        <w:t xml:space="preserve"> </w:t>
      </w:r>
      <w:r w:rsidR="009C13E4" w:rsidRPr="00167CB8">
        <w:rPr>
          <w:rFonts w:ascii="Times New Roman" w:eastAsia="Times New Roman" w:hAnsi="Times New Roman" w:cs="Times New Roman"/>
          <w:color w:val="000000" w:themeColor="text1"/>
          <w:lang w:eastAsia="en-GB"/>
        </w:rPr>
        <w:t xml:space="preserve">that capacity building initiatives are </w:t>
      </w:r>
      <w:r w:rsidRPr="00167CB8">
        <w:rPr>
          <w:rFonts w:ascii="Times New Roman" w:eastAsia="Times New Roman" w:hAnsi="Times New Roman" w:cs="Times New Roman"/>
          <w:color w:val="000000" w:themeColor="text1"/>
          <w:lang w:eastAsia="en-GB"/>
        </w:rPr>
        <w:t>implemented uniformly across all three arms of government</w:t>
      </w:r>
      <w:r w:rsidR="009C13E4" w:rsidRPr="00167CB8">
        <w:rPr>
          <w:rFonts w:ascii="Times New Roman" w:eastAsia="Times New Roman" w:hAnsi="Times New Roman" w:cs="Times New Roman"/>
          <w:color w:val="000000" w:themeColor="text1"/>
          <w:lang w:eastAsia="en-GB"/>
        </w:rPr>
        <w:t xml:space="preserve">: </w:t>
      </w:r>
      <w:r w:rsidRPr="00167CB8">
        <w:rPr>
          <w:rFonts w:ascii="Times New Roman" w:eastAsia="Times New Roman" w:hAnsi="Times New Roman" w:cs="Times New Roman"/>
          <w:color w:val="000000" w:themeColor="text1"/>
          <w:lang w:eastAsia="en-GB"/>
        </w:rPr>
        <w:t>the legislature, the executive and the judiciary. This represents the ‘dialogue model’ advocated by the Australian National Human Rights Consultation Committee.</w:t>
      </w:r>
      <w:r w:rsidR="00927127" w:rsidRPr="00167CB8">
        <w:rPr>
          <w:rStyle w:val="FootnoteReference"/>
          <w:rFonts w:ascii="Times New Roman" w:eastAsia="Times New Roman" w:hAnsi="Times New Roman" w:cs="Times New Roman"/>
          <w:color w:val="000000" w:themeColor="text1"/>
          <w:lang w:eastAsia="en-GB"/>
        </w:rPr>
        <w:footnoteReference w:id="30"/>
      </w:r>
      <w:r w:rsidRPr="00167CB8">
        <w:rPr>
          <w:rFonts w:ascii="Times New Roman" w:eastAsia="Times New Roman" w:hAnsi="Times New Roman" w:cs="Times New Roman"/>
          <w:color w:val="000000" w:themeColor="text1"/>
          <w:lang w:eastAsia="en-GB"/>
        </w:rPr>
        <w:t xml:space="preserve"> </w:t>
      </w:r>
    </w:p>
    <w:p w14:paraId="4EA7892C" w14:textId="26401729" w:rsidR="0068167B" w:rsidRPr="00167CB8" w:rsidRDefault="0068167B" w:rsidP="0068167B">
      <w:pPr>
        <w:rPr>
          <w:rFonts w:ascii="Times New Roman" w:eastAsia="Times New Roman" w:hAnsi="Times New Roman" w:cs="Times New Roman"/>
          <w:color w:val="000000" w:themeColor="text1"/>
          <w:u w:val="single"/>
          <w:lang w:eastAsia="en-GB"/>
        </w:rPr>
      </w:pPr>
    </w:p>
    <w:p w14:paraId="27D870F4" w14:textId="512C5655" w:rsidR="00050919" w:rsidRPr="00167CB8" w:rsidRDefault="00581277">
      <w:pPr>
        <w:rPr>
          <w:rFonts w:ascii="Times New Roman" w:eastAsia="Times New Roman" w:hAnsi="Times New Roman" w:cs="Times New Roman"/>
          <w:color w:val="000000" w:themeColor="text1"/>
          <w:u w:val="single"/>
          <w:lang w:eastAsia="en-GB"/>
        </w:rPr>
      </w:pPr>
      <w:r w:rsidRPr="00167CB8">
        <w:rPr>
          <w:rFonts w:ascii="Times New Roman" w:eastAsia="Times New Roman" w:hAnsi="Times New Roman" w:cs="Times New Roman"/>
          <w:color w:val="000000" w:themeColor="text1"/>
          <w:u w:val="single"/>
          <w:lang w:eastAsia="en-GB"/>
        </w:rPr>
        <w:t>Education</w:t>
      </w:r>
    </w:p>
    <w:p w14:paraId="4BC09584" w14:textId="671647B5" w:rsidR="00184527" w:rsidRDefault="00FD5C69">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3.4 </w:t>
      </w:r>
      <w:r w:rsidR="00581277" w:rsidRPr="00167CB8">
        <w:rPr>
          <w:rFonts w:ascii="Times New Roman" w:eastAsia="Times New Roman" w:hAnsi="Times New Roman" w:cs="Times New Roman"/>
          <w:color w:val="000000" w:themeColor="text1"/>
          <w:lang w:eastAsia="en-GB"/>
        </w:rPr>
        <w:t xml:space="preserve">This is arguably the most </w:t>
      </w:r>
      <w:r w:rsidR="0090406B" w:rsidRPr="00167CB8">
        <w:rPr>
          <w:rFonts w:ascii="Times New Roman" w:eastAsia="Times New Roman" w:hAnsi="Times New Roman" w:cs="Times New Roman"/>
          <w:color w:val="000000" w:themeColor="text1"/>
          <w:lang w:eastAsia="en-GB"/>
        </w:rPr>
        <w:t xml:space="preserve">fundamental </w:t>
      </w:r>
      <w:r w:rsidR="000D033D" w:rsidRPr="00167CB8">
        <w:rPr>
          <w:rFonts w:ascii="Times New Roman" w:eastAsia="Times New Roman" w:hAnsi="Times New Roman" w:cs="Times New Roman"/>
          <w:color w:val="000000" w:themeColor="text1"/>
          <w:lang w:eastAsia="en-GB"/>
        </w:rPr>
        <w:t>means of assistance</w:t>
      </w:r>
      <w:r w:rsidR="0067711A" w:rsidRPr="00167CB8">
        <w:rPr>
          <w:rFonts w:ascii="Times New Roman" w:eastAsia="Times New Roman" w:hAnsi="Times New Roman" w:cs="Times New Roman"/>
          <w:color w:val="000000" w:themeColor="text1"/>
          <w:lang w:eastAsia="en-GB"/>
        </w:rPr>
        <w:t xml:space="preserve">, as it empowers </w:t>
      </w:r>
      <w:r w:rsidR="000D033D" w:rsidRPr="00167CB8">
        <w:rPr>
          <w:rFonts w:ascii="Times New Roman" w:eastAsia="Times New Roman" w:hAnsi="Times New Roman" w:cs="Times New Roman"/>
          <w:color w:val="000000" w:themeColor="text1"/>
          <w:lang w:eastAsia="en-GB"/>
        </w:rPr>
        <w:t xml:space="preserve">and inspires </w:t>
      </w:r>
      <w:r w:rsidR="0067711A" w:rsidRPr="00167CB8">
        <w:rPr>
          <w:rFonts w:ascii="Times New Roman" w:eastAsia="Times New Roman" w:hAnsi="Times New Roman" w:cs="Times New Roman"/>
          <w:color w:val="000000" w:themeColor="text1"/>
          <w:lang w:eastAsia="en-GB"/>
        </w:rPr>
        <w:t xml:space="preserve">communities to be engaged in upholding this human right. </w:t>
      </w:r>
      <w:r w:rsidR="00CD0BF4" w:rsidRPr="00167CB8">
        <w:rPr>
          <w:rFonts w:ascii="Times New Roman" w:eastAsia="Times New Roman" w:hAnsi="Times New Roman" w:cs="Times New Roman"/>
          <w:color w:val="000000" w:themeColor="text1"/>
          <w:lang w:eastAsia="en-GB"/>
        </w:rPr>
        <w:t xml:space="preserve">This </w:t>
      </w:r>
      <w:r w:rsidR="007F3814" w:rsidRPr="00167CB8">
        <w:rPr>
          <w:rFonts w:ascii="Times New Roman" w:eastAsia="Times New Roman" w:hAnsi="Times New Roman" w:cs="Times New Roman"/>
          <w:color w:val="000000" w:themeColor="text1"/>
          <w:lang w:eastAsia="en-GB"/>
        </w:rPr>
        <w:t>is inevitably</w:t>
      </w:r>
      <w:r w:rsidR="00CD0BF4" w:rsidRPr="00167CB8">
        <w:rPr>
          <w:rFonts w:ascii="Times New Roman" w:eastAsia="Times New Roman" w:hAnsi="Times New Roman" w:cs="Times New Roman"/>
          <w:color w:val="000000" w:themeColor="text1"/>
          <w:lang w:eastAsia="en-GB"/>
        </w:rPr>
        <w:t xml:space="preserve"> facilitated by capacity building as well, however implementing education programs prior to establishing capacity building programs may facilitate a more </w:t>
      </w:r>
      <w:r w:rsidR="007F3814" w:rsidRPr="00167CB8">
        <w:rPr>
          <w:rFonts w:ascii="Times New Roman" w:eastAsia="Times New Roman" w:hAnsi="Times New Roman" w:cs="Times New Roman"/>
          <w:color w:val="000000" w:themeColor="text1"/>
          <w:lang w:eastAsia="en-GB"/>
        </w:rPr>
        <w:t>welcoming</w:t>
      </w:r>
      <w:r w:rsidR="00CD0BF4" w:rsidRPr="00167CB8">
        <w:rPr>
          <w:rFonts w:ascii="Times New Roman" w:eastAsia="Times New Roman" w:hAnsi="Times New Roman" w:cs="Times New Roman"/>
          <w:color w:val="000000" w:themeColor="text1"/>
          <w:lang w:eastAsia="en-GB"/>
        </w:rPr>
        <w:t xml:space="preserve"> approach at the onse</w:t>
      </w:r>
      <w:r w:rsidR="00452DDB" w:rsidRPr="00167CB8">
        <w:rPr>
          <w:rFonts w:ascii="Times New Roman" w:eastAsia="Times New Roman" w:hAnsi="Times New Roman" w:cs="Times New Roman"/>
          <w:color w:val="000000" w:themeColor="text1"/>
          <w:lang w:eastAsia="en-GB"/>
        </w:rPr>
        <w:t>t of these programs</w:t>
      </w:r>
      <w:r w:rsidR="00CD0BF4" w:rsidRPr="00167CB8">
        <w:rPr>
          <w:rFonts w:ascii="Times New Roman" w:eastAsia="Times New Roman" w:hAnsi="Times New Roman" w:cs="Times New Roman"/>
          <w:color w:val="000000" w:themeColor="text1"/>
          <w:lang w:eastAsia="en-GB"/>
        </w:rPr>
        <w:t xml:space="preserve">. </w:t>
      </w:r>
    </w:p>
    <w:p w14:paraId="1FF10521" w14:textId="77777777" w:rsidR="00184527" w:rsidRDefault="00184527">
      <w:pPr>
        <w:rPr>
          <w:rFonts w:ascii="Times New Roman" w:eastAsia="Times New Roman" w:hAnsi="Times New Roman" w:cs="Times New Roman"/>
          <w:color w:val="000000" w:themeColor="text1"/>
          <w:lang w:eastAsia="en-GB"/>
        </w:rPr>
      </w:pPr>
    </w:p>
    <w:p w14:paraId="46F95714" w14:textId="4BCFEC7F" w:rsidR="00581277" w:rsidRPr="00167CB8" w:rsidRDefault="00184527">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3.5 As part of a network of young people who recognise the interconnection between human health, peace and security; environmental quality and the return of ecosystem services; and the role that all forms of life of Earth play in ensuring our survival as a species, Jane Goodall’s Roots &amp; Shoots, Macquarie University underscores the pivotal role that education plays towards fulfilling the vision of a future worth safeguarding. </w:t>
      </w:r>
      <w:r w:rsidR="00FD5C69">
        <w:rPr>
          <w:rFonts w:ascii="Times New Roman" w:eastAsia="Times New Roman" w:hAnsi="Times New Roman" w:cs="Times New Roman"/>
          <w:color w:val="000000" w:themeColor="text1"/>
          <w:lang w:eastAsia="en-GB"/>
        </w:rPr>
        <w:t>We view a</w:t>
      </w:r>
      <w:r>
        <w:rPr>
          <w:rFonts w:ascii="Times New Roman" w:eastAsia="Times New Roman" w:hAnsi="Times New Roman" w:cs="Times New Roman"/>
          <w:color w:val="000000" w:themeColor="text1"/>
          <w:lang w:eastAsia="en-GB"/>
        </w:rPr>
        <w:t xml:space="preserve">ccess to education as a means to interpret scientific data and inform evidence-based policies </w:t>
      </w:r>
      <w:r w:rsidR="00FD5C69">
        <w:rPr>
          <w:rFonts w:ascii="Times New Roman" w:eastAsia="Times New Roman" w:hAnsi="Times New Roman" w:cs="Times New Roman"/>
          <w:color w:val="000000" w:themeColor="text1"/>
          <w:lang w:eastAsia="en-GB"/>
        </w:rPr>
        <w:t>as</w:t>
      </w:r>
      <w:r>
        <w:rPr>
          <w:rFonts w:ascii="Times New Roman" w:eastAsia="Times New Roman" w:hAnsi="Times New Roman" w:cs="Times New Roman"/>
          <w:color w:val="000000" w:themeColor="text1"/>
          <w:lang w:eastAsia="en-GB"/>
        </w:rPr>
        <w:t xml:space="preserve"> essential towards inter and intra generational equity</w:t>
      </w:r>
      <w:r w:rsidR="00FD5C69">
        <w:rPr>
          <w:rFonts w:ascii="Times New Roman" w:eastAsia="Times New Roman" w:hAnsi="Times New Roman" w:cs="Times New Roman"/>
          <w:color w:val="000000" w:themeColor="text1"/>
          <w:lang w:eastAsia="en-GB"/>
        </w:rPr>
        <w:t xml:space="preserve"> and are hopeful that the Report by the Special Rapporteur will advance humankind towards access to environmental justice and the fulfilment of our human rights.</w:t>
      </w:r>
      <w:bookmarkStart w:id="0" w:name="_GoBack"/>
      <w:bookmarkEnd w:id="0"/>
    </w:p>
    <w:sectPr w:rsidR="00581277" w:rsidRPr="00167CB8" w:rsidSect="00DB63F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6309" w14:textId="77777777" w:rsidR="00336987" w:rsidRDefault="00336987" w:rsidP="0068167B">
      <w:r>
        <w:separator/>
      </w:r>
    </w:p>
  </w:endnote>
  <w:endnote w:type="continuationSeparator" w:id="0">
    <w:p w14:paraId="0083A20A" w14:textId="77777777" w:rsidR="00336987" w:rsidRDefault="00336987" w:rsidP="006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63BA" w14:textId="77777777" w:rsidR="00336987" w:rsidRDefault="00336987" w:rsidP="0068167B">
      <w:r>
        <w:separator/>
      </w:r>
    </w:p>
  </w:footnote>
  <w:footnote w:type="continuationSeparator" w:id="0">
    <w:p w14:paraId="43B63548" w14:textId="77777777" w:rsidR="00336987" w:rsidRDefault="00336987" w:rsidP="0068167B">
      <w:r>
        <w:continuationSeparator/>
      </w:r>
    </w:p>
  </w:footnote>
  <w:footnote w:id="1">
    <w:p w14:paraId="5CC30136" w14:textId="61DCAB80" w:rsidR="00DC293D" w:rsidRPr="00C171F9" w:rsidRDefault="00DC293D">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w:t>
      </w:r>
      <w:r w:rsidR="0021243A" w:rsidRPr="00C171F9">
        <w:rPr>
          <w:rFonts w:ascii="Times New Roman" w:hAnsi="Times New Roman" w:cs="Times New Roman"/>
          <w:color w:val="000000" w:themeColor="text1"/>
        </w:rPr>
        <w:t xml:space="preserve">David R Boyd, </w:t>
      </w:r>
      <w:r w:rsidR="0021243A" w:rsidRPr="00C171F9">
        <w:rPr>
          <w:rFonts w:ascii="Times New Roman" w:hAnsi="Times New Roman" w:cs="Times New Roman"/>
          <w:i/>
          <w:iCs/>
          <w:color w:val="000000" w:themeColor="text1"/>
        </w:rPr>
        <w:t>The Environmental Rights Revolution</w:t>
      </w:r>
      <w:r w:rsidR="0021243A" w:rsidRPr="00C171F9">
        <w:rPr>
          <w:rFonts w:ascii="Times New Roman" w:hAnsi="Times New Roman" w:cs="Times New Roman"/>
          <w:color w:val="000000" w:themeColor="text1"/>
        </w:rPr>
        <w:t xml:space="preserve"> (UBC Press, 2011); </w:t>
      </w:r>
      <w:r w:rsidR="0022219E" w:rsidRPr="00C171F9">
        <w:rPr>
          <w:rFonts w:ascii="Times New Roman" w:hAnsi="Times New Roman" w:cs="Times New Roman"/>
          <w:color w:val="000000" w:themeColor="text1"/>
        </w:rPr>
        <w:t xml:space="preserve">Stockholm Declaration 1972. </w:t>
      </w:r>
    </w:p>
  </w:footnote>
  <w:footnote w:id="2">
    <w:p w14:paraId="1C0269A7" w14:textId="18B5C49C" w:rsidR="00C248B9" w:rsidRPr="00C171F9" w:rsidRDefault="00C248B9">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Marcos Orellana, ‘The Case for a Right to a Healthy Environment’ </w:t>
      </w:r>
      <w:r w:rsidRPr="00C171F9">
        <w:rPr>
          <w:rFonts w:ascii="Times New Roman" w:hAnsi="Times New Roman" w:cs="Times New Roman"/>
          <w:i/>
          <w:iCs/>
          <w:color w:val="000000" w:themeColor="text1"/>
        </w:rPr>
        <w:t xml:space="preserve">Human Rights Watch </w:t>
      </w:r>
      <w:r w:rsidRPr="00C171F9">
        <w:rPr>
          <w:rFonts w:ascii="Times New Roman" w:hAnsi="Times New Roman" w:cs="Times New Roman"/>
          <w:color w:val="000000" w:themeColor="text1"/>
        </w:rPr>
        <w:t>(Commentary, 1 March 2018) &lt;</w:t>
      </w:r>
      <w:hyperlink r:id="rId1" w:history="1">
        <w:r w:rsidRPr="00C171F9">
          <w:rPr>
            <w:rStyle w:val="Hyperlink"/>
            <w:rFonts w:ascii="Times New Roman" w:hAnsi="Times New Roman" w:cs="Times New Roman"/>
            <w:color w:val="000000" w:themeColor="text1"/>
          </w:rPr>
          <w:t>https://www.hrw.org/news/2018/03/01/case-right-healthy-environment</w:t>
        </w:r>
      </w:hyperlink>
      <w:r w:rsidRPr="00C171F9">
        <w:rPr>
          <w:rFonts w:ascii="Times New Roman" w:hAnsi="Times New Roman" w:cs="Times New Roman"/>
          <w:color w:val="000000" w:themeColor="text1"/>
        </w:rPr>
        <w:t>&gt;.</w:t>
      </w:r>
    </w:p>
  </w:footnote>
  <w:footnote w:id="3">
    <w:p w14:paraId="009B83E4" w14:textId="43966B99" w:rsidR="00B86BF0" w:rsidRPr="00C171F9" w:rsidRDefault="00B86BF0" w:rsidP="00B86BF0">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Pr="00C171F9">
        <w:rPr>
          <w:rFonts w:ascii="Times New Roman" w:eastAsia="Times New Roman" w:hAnsi="Times New Roman" w:cs="Times New Roman"/>
          <w:i/>
          <w:iCs/>
          <w:color w:val="000000" w:themeColor="text1"/>
          <w:sz w:val="20"/>
          <w:szCs w:val="20"/>
          <w:lang w:eastAsia="en-GB"/>
        </w:rPr>
        <w:t xml:space="preserve">Environment Protection and Biodiversity Conservation Act 1999 </w:t>
      </w:r>
      <w:r w:rsidRPr="00C171F9">
        <w:rPr>
          <w:rFonts w:ascii="Times New Roman" w:eastAsia="Times New Roman" w:hAnsi="Times New Roman" w:cs="Times New Roman"/>
          <w:color w:val="000000" w:themeColor="text1"/>
          <w:sz w:val="20"/>
          <w:szCs w:val="20"/>
          <w:lang w:eastAsia="en-GB"/>
        </w:rPr>
        <w:t>(</w:t>
      </w:r>
      <w:proofErr w:type="spellStart"/>
      <w:r w:rsidRPr="00C171F9">
        <w:rPr>
          <w:rFonts w:ascii="Times New Roman" w:eastAsia="Times New Roman" w:hAnsi="Times New Roman" w:cs="Times New Roman"/>
          <w:color w:val="000000" w:themeColor="text1"/>
          <w:sz w:val="20"/>
          <w:szCs w:val="20"/>
          <w:lang w:eastAsia="en-GB"/>
        </w:rPr>
        <w:t>Cth</w:t>
      </w:r>
      <w:proofErr w:type="spellEnd"/>
      <w:r w:rsidRPr="00C171F9">
        <w:rPr>
          <w:rFonts w:ascii="Times New Roman" w:eastAsia="Times New Roman" w:hAnsi="Times New Roman" w:cs="Times New Roman"/>
          <w:color w:val="000000" w:themeColor="text1"/>
          <w:sz w:val="20"/>
          <w:szCs w:val="20"/>
          <w:lang w:eastAsia="en-GB"/>
        </w:rPr>
        <w:t xml:space="preserve">) </w:t>
      </w:r>
      <w:proofErr w:type="spellStart"/>
      <w:r w:rsidRPr="00C171F9">
        <w:rPr>
          <w:rFonts w:ascii="Times New Roman" w:eastAsia="Times New Roman" w:hAnsi="Times New Roman" w:cs="Times New Roman"/>
          <w:color w:val="000000" w:themeColor="text1"/>
          <w:sz w:val="20"/>
          <w:szCs w:val="20"/>
          <w:lang w:eastAsia="en-GB"/>
        </w:rPr>
        <w:t>pt</w:t>
      </w:r>
      <w:proofErr w:type="spellEnd"/>
      <w:r w:rsidRPr="00C171F9">
        <w:rPr>
          <w:rFonts w:ascii="Times New Roman" w:eastAsia="Times New Roman" w:hAnsi="Times New Roman" w:cs="Times New Roman"/>
          <w:color w:val="000000" w:themeColor="text1"/>
          <w:sz w:val="20"/>
          <w:szCs w:val="20"/>
          <w:lang w:eastAsia="en-GB"/>
        </w:rPr>
        <w:t xml:space="preserve"> 1(3) </w:t>
      </w:r>
      <w:r w:rsidRPr="00C171F9">
        <w:rPr>
          <w:rFonts w:ascii="Times New Roman" w:eastAsia="Times New Roman" w:hAnsi="Times New Roman" w:cs="Times New Roman"/>
          <w:i/>
          <w:iCs/>
          <w:color w:val="000000" w:themeColor="text1"/>
          <w:sz w:val="20"/>
          <w:szCs w:val="20"/>
          <w:lang w:eastAsia="en-GB"/>
        </w:rPr>
        <w:t>(‘EPBC’)</w:t>
      </w:r>
      <w:r w:rsidRPr="00C171F9">
        <w:rPr>
          <w:rFonts w:ascii="Times New Roman" w:eastAsia="Times New Roman" w:hAnsi="Times New Roman" w:cs="Times New Roman"/>
          <w:color w:val="000000" w:themeColor="text1"/>
          <w:sz w:val="20"/>
          <w:szCs w:val="20"/>
          <w:lang w:eastAsia="en-GB"/>
        </w:rPr>
        <w:t xml:space="preserve">. </w:t>
      </w:r>
    </w:p>
  </w:footnote>
  <w:footnote w:id="4">
    <w:p w14:paraId="3843DFFA" w14:textId="6F447EA3" w:rsidR="00B86BF0" w:rsidRPr="00C171F9" w:rsidRDefault="00B86BF0" w:rsidP="00B86BF0">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Pr="00C171F9">
        <w:rPr>
          <w:rFonts w:ascii="Times New Roman" w:eastAsia="Times New Roman" w:hAnsi="Times New Roman" w:cs="Times New Roman"/>
          <w:color w:val="000000" w:themeColor="text1"/>
          <w:sz w:val="20"/>
          <w:szCs w:val="20"/>
          <w:lang w:eastAsia="en-GB"/>
        </w:rPr>
        <w:t xml:space="preserve">Ibid </w:t>
      </w:r>
      <w:proofErr w:type="spellStart"/>
      <w:r w:rsidRPr="00C171F9">
        <w:rPr>
          <w:rFonts w:ascii="Times New Roman" w:eastAsia="Times New Roman" w:hAnsi="Times New Roman" w:cs="Times New Roman"/>
          <w:color w:val="000000" w:themeColor="text1"/>
          <w:sz w:val="20"/>
          <w:szCs w:val="20"/>
          <w:lang w:eastAsia="en-GB"/>
        </w:rPr>
        <w:t>pt</w:t>
      </w:r>
      <w:proofErr w:type="spellEnd"/>
      <w:r w:rsidRPr="00C171F9">
        <w:rPr>
          <w:rFonts w:ascii="Times New Roman" w:eastAsia="Times New Roman" w:hAnsi="Times New Roman" w:cs="Times New Roman"/>
          <w:color w:val="000000" w:themeColor="text1"/>
          <w:sz w:val="20"/>
          <w:szCs w:val="20"/>
          <w:lang w:eastAsia="en-GB"/>
        </w:rPr>
        <w:t xml:space="preserve"> 1(3)(a). </w:t>
      </w:r>
    </w:p>
  </w:footnote>
  <w:footnote w:id="5">
    <w:p w14:paraId="734C1D3D" w14:textId="0EAA7F5B" w:rsidR="00B86BF0" w:rsidRPr="00C171F9" w:rsidRDefault="00B86BF0" w:rsidP="00B86BF0">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000D5E51" w:rsidRPr="00C171F9">
        <w:rPr>
          <w:rFonts w:ascii="Times New Roman" w:eastAsia="Times New Roman" w:hAnsi="Times New Roman" w:cs="Times New Roman"/>
          <w:color w:val="000000" w:themeColor="text1"/>
          <w:sz w:val="20"/>
          <w:szCs w:val="20"/>
          <w:lang w:eastAsia="en-GB"/>
        </w:rPr>
        <w:t xml:space="preserve"> Andrew Macintosh, Heather Roberts and Amy Constable, ‘An Empirical Evaluation of Environmental Suits under the Environment Protection and Biodiversity Conservation Act 1999 (</w:t>
      </w:r>
      <w:proofErr w:type="spellStart"/>
      <w:r w:rsidR="000D5E51" w:rsidRPr="00C171F9">
        <w:rPr>
          <w:rFonts w:ascii="Times New Roman" w:eastAsia="Times New Roman" w:hAnsi="Times New Roman" w:cs="Times New Roman"/>
          <w:color w:val="000000" w:themeColor="text1"/>
          <w:sz w:val="20"/>
          <w:szCs w:val="20"/>
          <w:lang w:eastAsia="en-GB"/>
        </w:rPr>
        <w:t>Cth</w:t>
      </w:r>
      <w:proofErr w:type="spellEnd"/>
      <w:r w:rsidR="000D5E51" w:rsidRPr="00C171F9">
        <w:rPr>
          <w:rFonts w:ascii="Times New Roman" w:eastAsia="Times New Roman" w:hAnsi="Times New Roman" w:cs="Times New Roman"/>
          <w:color w:val="000000" w:themeColor="text1"/>
          <w:sz w:val="20"/>
          <w:szCs w:val="20"/>
          <w:lang w:eastAsia="en-GB"/>
        </w:rPr>
        <w:t xml:space="preserve">)’ (2017) </w:t>
      </w:r>
      <w:r w:rsidR="000D5E51" w:rsidRPr="00C171F9">
        <w:rPr>
          <w:rFonts w:ascii="Times New Roman" w:eastAsia="Times New Roman" w:hAnsi="Times New Roman" w:cs="Times New Roman"/>
          <w:i/>
          <w:iCs/>
          <w:color w:val="000000" w:themeColor="text1"/>
          <w:sz w:val="20"/>
          <w:szCs w:val="20"/>
          <w:lang w:eastAsia="en-GB"/>
        </w:rPr>
        <w:t xml:space="preserve">Sydney Law Review </w:t>
      </w:r>
      <w:r w:rsidR="000D5E51" w:rsidRPr="00C171F9">
        <w:rPr>
          <w:rFonts w:ascii="Times New Roman" w:eastAsia="Times New Roman" w:hAnsi="Times New Roman" w:cs="Times New Roman"/>
          <w:color w:val="000000" w:themeColor="text1"/>
          <w:sz w:val="20"/>
          <w:szCs w:val="20"/>
          <w:lang w:eastAsia="en-GB"/>
        </w:rPr>
        <w:t>39, 85</w:t>
      </w:r>
      <w:r w:rsidRPr="00C171F9">
        <w:rPr>
          <w:rFonts w:ascii="Times New Roman" w:eastAsia="Times New Roman" w:hAnsi="Times New Roman" w:cs="Times New Roman"/>
          <w:color w:val="000000" w:themeColor="text1"/>
          <w:sz w:val="20"/>
          <w:szCs w:val="20"/>
          <w:lang w:eastAsia="en-GB"/>
        </w:rPr>
        <w:t xml:space="preserve">; </w:t>
      </w:r>
      <w:r w:rsidR="000D5E51" w:rsidRPr="00C171F9">
        <w:rPr>
          <w:rFonts w:ascii="Times New Roman" w:eastAsia="Times New Roman" w:hAnsi="Times New Roman" w:cs="Times New Roman"/>
          <w:i/>
          <w:iCs/>
          <w:color w:val="000000" w:themeColor="text1"/>
          <w:sz w:val="20"/>
          <w:szCs w:val="20"/>
          <w:lang w:eastAsia="en-GB"/>
        </w:rPr>
        <w:t xml:space="preserve">EPBC </w:t>
      </w:r>
      <w:r w:rsidR="000D5E51" w:rsidRPr="00C171F9">
        <w:rPr>
          <w:rFonts w:ascii="Times New Roman" w:eastAsia="Times New Roman" w:hAnsi="Times New Roman" w:cs="Times New Roman"/>
          <w:color w:val="000000" w:themeColor="text1"/>
          <w:sz w:val="20"/>
          <w:szCs w:val="20"/>
          <w:lang w:eastAsia="en-GB"/>
        </w:rPr>
        <w:t>s</w:t>
      </w:r>
      <w:r w:rsidRPr="00C171F9">
        <w:rPr>
          <w:rFonts w:ascii="Times New Roman" w:eastAsia="Times New Roman" w:hAnsi="Times New Roman" w:cs="Times New Roman"/>
          <w:color w:val="000000" w:themeColor="text1"/>
          <w:sz w:val="20"/>
          <w:szCs w:val="20"/>
          <w:lang w:eastAsia="en-GB"/>
        </w:rPr>
        <w:t xml:space="preserve"> 475(6)(b),</w:t>
      </w:r>
      <w:r w:rsidR="000D5E51" w:rsidRPr="00C171F9">
        <w:rPr>
          <w:rFonts w:ascii="Times New Roman" w:eastAsia="Times New Roman" w:hAnsi="Times New Roman" w:cs="Times New Roman"/>
          <w:color w:val="000000" w:themeColor="text1"/>
          <w:sz w:val="20"/>
          <w:szCs w:val="20"/>
          <w:lang w:eastAsia="en-GB"/>
        </w:rPr>
        <w:t xml:space="preserve"> </w:t>
      </w:r>
      <w:r w:rsidRPr="00C171F9">
        <w:rPr>
          <w:rFonts w:ascii="Times New Roman" w:eastAsia="Times New Roman" w:hAnsi="Times New Roman" w:cs="Times New Roman"/>
          <w:color w:val="000000" w:themeColor="text1"/>
          <w:sz w:val="20"/>
          <w:szCs w:val="20"/>
          <w:lang w:eastAsia="en-GB"/>
        </w:rPr>
        <w:t xml:space="preserve">487(2)(b). </w:t>
      </w:r>
    </w:p>
  </w:footnote>
  <w:footnote w:id="6">
    <w:p w14:paraId="0D3D4073" w14:textId="7CE50F85" w:rsidR="00B86BF0" w:rsidRPr="00C171F9" w:rsidRDefault="00B86BF0" w:rsidP="00B86BF0">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00AA0419" w:rsidRPr="00C171F9">
        <w:rPr>
          <w:rFonts w:ascii="Times New Roman" w:eastAsia="Times New Roman" w:hAnsi="Times New Roman" w:cs="Times New Roman"/>
          <w:i/>
          <w:iCs/>
          <w:color w:val="000000" w:themeColor="text1"/>
          <w:sz w:val="20"/>
          <w:szCs w:val="20"/>
          <w:lang w:eastAsia="en-GB"/>
        </w:rPr>
        <w:t>EPBC</w:t>
      </w:r>
      <w:r w:rsidRPr="00C171F9">
        <w:rPr>
          <w:rFonts w:ascii="Times New Roman" w:eastAsia="Times New Roman" w:hAnsi="Times New Roman" w:cs="Times New Roman"/>
          <w:color w:val="000000" w:themeColor="text1"/>
          <w:sz w:val="20"/>
          <w:szCs w:val="20"/>
          <w:lang w:eastAsia="en-GB"/>
        </w:rPr>
        <w:t xml:space="preserve"> </w:t>
      </w:r>
      <w:proofErr w:type="spellStart"/>
      <w:r w:rsidRPr="00C171F9">
        <w:rPr>
          <w:rFonts w:ascii="Times New Roman" w:eastAsia="Times New Roman" w:hAnsi="Times New Roman" w:cs="Times New Roman"/>
          <w:color w:val="000000" w:themeColor="text1"/>
          <w:sz w:val="20"/>
          <w:szCs w:val="20"/>
          <w:lang w:eastAsia="en-GB"/>
        </w:rPr>
        <w:t>pt</w:t>
      </w:r>
      <w:proofErr w:type="spellEnd"/>
      <w:r w:rsidRPr="00C171F9">
        <w:rPr>
          <w:rFonts w:ascii="Times New Roman" w:eastAsia="Times New Roman" w:hAnsi="Times New Roman" w:cs="Times New Roman"/>
          <w:color w:val="000000" w:themeColor="text1"/>
          <w:sz w:val="20"/>
          <w:szCs w:val="20"/>
          <w:lang w:eastAsia="en-GB"/>
        </w:rPr>
        <w:t xml:space="preserve"> 2(11). </w:t>
      </w:r>
    </w:p>
  </w:footnote>
  <w:footnote w:id="7">
    <w:p w14:paraId="34C552C2" w14:textId="6ECA2F8F" w:rsidR="00B86BF0" w:rsidRPr="00C171F9" w:rsidRDefault="00B86BF0" w:rsidP="00B86BF0">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00AA0419" w:rsidRPr="00C171F9">
        <w:rPr>
          <w:rFonts w:ascii="Times New Roman" w:eastAsia="Times New Roman" w:hAnsi="Times New Roman" w:cs="Times New Roman"/>
          <w:color w:val="000000" w:themeColor="text1"/>
          <w:sz w:val="20"/>
          <w:szCs w:val="20"/>
          <w:lang w:eastAsia="en-GB"/>
        </w:rPr>
        <w:t xml:space="preserve">Macintosh (above n </w:t>
      </w:r>
      <w:r w:rsidR="00B44C9D" w:rsidRPr="00C171F9">
        <w:rPr>
          <w:rFonts w:ascii="Times New Roman" w:eastAsia="Times New Roman" w:hAnsi="Times New Roman" w:cs="Times New Roman"/>
          <w:color w:val="000000" w:themeColor="text1"/>
          <w:sz w:val="20"/>
          <w:szCs w:val="20"/>
          <w:lang w:eastAsia="en-GB"/>
        </w:rPr>
        <w:t>5</w:t>
      </w:r>
      <w:r w:rsidR="00AA0419" w:rsidRPr="00C171F9">
        <w:rPr>
          <w:rFonts w:ascii="Times New Roman" w:eastAsia="Times New Roman" w:hAnsi="Times New Roman" w:cs="Times New Roman"/>
          <w:color w:val="000000" w:themeColor="text1"/>
          <w:sz w:val="20"/>
          <w:szCs w:val="20"/>
          <w:lang w:eastAsia="en-GB"/>
        </w:rPr>
        <w:t xml:space="preserve">) </w:t>
      </w:r>
      <w:r w:rsidRPr="00C171F9">
        <w:rPr>
          <w:rFonts w:ascii="Times New Roman" w:eastAsia="Times New Roman" w:hAnsi="Times New Roman" w:cs="Times New Roman"/>
          <w:color w:val="000000" w:themeColor="text1"/>
          <w:sz w:val="20"/>
          <w:szCs w:val="20"/>
          <w:lang w:eastAsia="en-GB"/>
        </w:rPr>
        <w:t xml:space="preserve">102. </w:t>
      </w:r>
    </w:p>
  </w:footnote>
  <w:footnote w:id="8">
    <w:p w14:paraId="05C307BC" w14:textId="61252340" w:rsidR="00B86BF0" w:rsidRPr="00C171F9" w:rsidRDefault="00B86BF0" w:rsidP="00B86BF0">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Pr="00C171F9">
        <w:rPr>
          <w:rFonts w:ascii="Times New Roman" w:eastAsia="Times New Roman" w:hAnsi="Times New Roman" w:cs="Times New Roman"/>
          <w:color w:val="000000" w:themeColor="text1"/>
          <w:sz w:val="20"/>
          <w:szCs w:val="20"/>
          <w:lang w:eastAsia="en-GB"/>
        </w:rPr>
        <w:t xml:space="preserve">Susan </w:t>
      </w:r>
      <w:proofErr w:type="spellStart"/>
      <w:r w:rsidRPr="00C171F9">
        <w:rPr>
          <w:rFonts w:ascii="Times New Roman" w:eastAsia="Times New Roman" w:hAnsi="Times New Roman" w:cs="Times New Roman"/>
          <w:color w:val="000000" w:themeColor="text1"/>
          <w:sz w:val="20"/>
          <w:szCs w:val="20"/>
          <w:lang w:eastAsia="en-GB"/>
        </w:rPr>
        <w:t>Tridgell</w:t>
      </w:r>
      <w:proofErr w:type="spellEnd"/>
      <w:r w:rsidRPr="00C171F9">
        <w:rPr>
          <w:rFonts w:ascii="Times New Roman" w:eastAsia="Times New Roman" w:hAnsi="Times New Roman" w:cs="Times New Roman"/>
          <w:color w:val="000000" w:themeColor="text1"/>
          <w:sz w:val="20"/>
          <w:szCs w:val="20"/>
          <w:lang w:eastAsia="en-GB"/>
        </w:rPr>
        <w:t>, ‘Evaluating the effectiveness of the Environment Protection and Biodiversity Conservation Act 1999 (</w:t>
      </w:r>
      <w:proofErr w:type="spellStart"/>
      <w:r w:rsidRPr="00C171F9">
        <w:rPr>
          <w:rFonts w:ascii="Times New Roman" w:eastAsia="Times New Roman" w:hAnsi="Times New Roman" w:cs="Times New Roman"/>
          <w:color w:val="000000" w:themeColor="text1"/>
          <w:sz w:val="20"/>
          <w:szCs w:val="20"/>
          <w:lang w:eastAsia="en-GB"/>
        </w:rPr>
        <w:t>Cth</w:t>
      </w:r>
      <w:proofErr w:type="spellEnd"/>
      <w:r w:rsidRPr="00C171F9">
        <w:rPr>
          <w:rFonts w:ascii="Times New Roman" w:eastAsia="Times New Roman" w:hAnsi="Times New Roman" w:cs="Times New Roman"/>
          <w:color w:val="000000" w:themeColor="text1"/>
          <w:sz w:val="20"/>
          <w:szCs w:val="20"/>
          <w:lang w:eastAsia="en-GB"/>
        </w:rPr>
        <w:t xml:space="preserve">): 2008-12’ (2013) 30(3) </w:t>
      </w:r>
      <w:r w:rsidRPr="00C171F9">
        <w:rPr>
          <w:rFonts w:ascii="Times New Roman" w:eastAsia="Times New Roman" w:hAnsi="Times New Roman" w:cs="Times New Roman"/>
          <w:i/>
          <w:iCs/>
          <w:color w:val="000000" w:themeColor="text1"/>
          <w:sz w:val="20"/>
          <w:szCs w:val="20"/>
          <w:lang w:eastAsia="en-GB"/>
        </w:rPr>
        <w:t xml:space="preserve">Environmental and Planning Law Journal </w:t>
      </w:r>
      <w:r w:rsidRPr="00C171F9">
        <w:rPr>
          <w:rFonts w:ascii="Times New Roman" w:eastAsia="Times New Roman" w:hAnsi="Times New Roman" w:cs="Times New Roman"/>
          <w:color w:val="000000" w:themeColor="text1"/>
          <w:sz w:val="20"/>
          <w:szCs w:val="20"/>
          <w:lang w:eastAsia="en-GB"/>
        </w:rPr>
        <w:t xml:space="preserve">245, 258. </w:t>
      </w:r>
    </w:p>
  </w:footnote>
  <w:footnote w:id="9">
    <w:p w14:paraId="60C27138" w14:textId="2AAE6121" w:rsidR="00BA16CC" w:rsidRPr="00C171F9" w:rsidRDefault="00BA16CC" w:rsidP="00D913EF">
      <w:pPr>
        <w:rPr>
          <w:rFonts w:ascii="Times New Roman" w:hAnsi="Times New Roman" w:cs="Times New Roman"/>
          <w:color w:val="000000" w:themeColor="text1"/>
          <w:sz w:val="20"/>
          <w:szCs w:val="20"/>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00D913EF" w:rsidRPr="00C171F9">
        <w:rPr>
          <w:rFonts w:ascii="Times New Roman" w:hAnsi="Times New Roman" w:cs="Times New Roman"/>
          <w:color w:val="000000" w:themeColor="text1"/>
          <w:sz w:val="20"/>
          <w:szCs w:val="20"/>
        </w:rPr>
        <w:t xml:space="preserve">The Australian Panel of Experts on Environmental Law, </w:t>
      </w:r>
      <w:r w:rsidR="00D913EF" w:rsidRPr="00C171F9">
        <w:rPr>
          <w:rFonts w:ascii="Times New Roman" w:hAnsi="Times New Roman" w:cs="Times New Roman"/>
          <w:i/>
          <w:iCs/>
          <w:color w:val="000000" w:themeColor="text1"/>
          <w:sz w:val="20"/>
          <w:szCs w:val="20"/>
        </w:rPr>
        <w:t xml:space="preserve">Blueprint for the Next Generation of Australian Environmental Law </w:t>
      </w:r>
      <w:r w:rsidR="00D913EF" w:rsidRPr="00C171F9">
        <w:rPr>
          <w:rFonts w:ascii="Times New Roman" w:hAnsi="Times New Roman" w:cs="Times New Roman"/>
          <w:color w:val="000000" w:themeColor="text1"/>
          <w:sz w:val="20"/>
          <w:szCs w:val="20"/>
        </w:rPr>
        <w:t>(Summary of Key Ideas, August 2017) 3 &lt;</w:t>
      </w:r>
      <w:hyperlink r:id="rId2" w:history="1">
        <w:r w:rsidR="00D913EF" w:rsidRPr="00C171F9">
          <w:rPr>
            <w:rStyle w:val="Hyperlink"/>
            <w:rFonts w:ascii="Times New Roman" w:hAnsi="Times New Roman" w:cs="Times New Roman"/>
            <w:color w:val="000000" w:themeColor="text1"/>
            <w:sz w:val="20"/>
            <w:szCs w:val="20"/>
          </w:rPr>
          <w:t>https://static1.squarespace.com/static/56401dfde4b090fd5510d622/t/59bb6fe3f43b55b154728d29/1505456149104/APEEL+Blueprint+for+environmental+laws.pdf</w:t>
        </w:r>
      </w:hyperlink>
      <w:r w:rsidR="00D913EF" w:rsidRPr="00C171F9">
        <w:rPr>
          <w:rFonts w:ascii="Times New Roman" w:hAnsi="Times New Roman" w:cs="Times New Roman"/>
          <w:color w:val="000000" w:themeColor="text1"/>
          <w:sz w:val="20"/>
          <w:szCs w:val="20"/>
        </w:rPr>
        <w:t xml:space="preserve">&gt;. </w:t>
      </w:r>
    </w:p>
  </w:footnote>
  <w:footnote w:id="10">
    <w:p w14:paraId="241D63F4" w14:textId="38FFCAA2" w:rsidR="00100303" w:rsidRPr="00C171F9" w:rsidRDefault="00100303">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Meg Good, ‘Should Australia recognise the human right to a healthy environment’, </w:t>
      </w:r>
      <w:r w:rsidRPr="00C171F9">
        <w:rPr>
          <w:rFonts w:ascii="Times New Roman" w:hAnsi="Times New Roman" w:cs="Times New Roman"/>
          <w:i/>
          <w:iCs/>
          <w:color w:val="000000" w:themeColor="text1"/>
        </w:rPr>
        <w:t xml:space="preserve">The Conversation </w:t>
      </w:r>
      <w:r w:rsidRPr="00C171F9">
        <w:rPr>
          <w:rFonts w:ascii="Times New Roman" w:hAnsi="Times New Roman" w:cs="Times New Roman"/>
          <w:color w:val="000000" w:themeColor="text1"/>
        </w:rPr>
        <w:t>(Online, 22 February 2018) &lt;</w:t>
      </w:r>
      <w:hyperlink r:id="rId3" w:history="1">
        <w:r w:rsidRPr="00C171F9">
          <w:rPr>
            <w:rStyle w:val="Hyperlink"/>
            <w:rFonts w:ascii="Times New Roman" w:hAnsi="Times New Roman" w:cs="Times New Roman"/>
            <w:color w:val="000000" w:themeColor="text1"/>
          </w:rPr>
          <w:t>https://theconversation.com/should-australia-recognise-the-human-right-to-a-healthy-environment-92104</w:t>
        </w:r>
      </w:hyperlink>
      <w:r w:rsidRPr="00C171F9">
        <w:rPr>
          <w:rFonts w:ascii="Times New Roman" w:hAnsi="Times New Roman" w:cs="Times New Roman"/>
          <w:color w:val="000000" w:themeColor="text1"/>
        </w:rPr>
        <w:t>&gt;.</w:t>
      </w:r>
    </w:p>
  </w:footnote>
  <w:footnote w:id="11">
    <w:p w14:paraId="55EBE25E" w14:textId="1351EF13" w:rsidR="00817A1F" w:rsidRPr="00C171F9" w:rsidRDefault="00817A1F">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w:t>
      </w:r>
      <w:r w:rsidR="00100303" w:rsidRPr="00C171F9">
        <w:rPr>
          <w:rFonts w:ascii="Times New Roman" w:hAnsi="Times New Roman" w:cs="Times New Roman"/>
          <w:color w:val="000000" w:themeColor="text1"/>
        </w:rPr>
        <w:t xml:space="preserve">Ibid. </w:t>
      </w:r>
    </w:p>
  </w:footnote>
  <w:footnote w:id="12">
    <w:p w14:paraId="24575F3E" w14:textId="2A5F70F7" w:rsidR="00BA16CC" w:rsidRPr="00C171F9" w:rsidRDefault="00BA16CC" w:rsidP="00D913EF">
      <w:pPr>
        <w:rPr>
          <w:rFonts w:ascii="Times New Roman" w:hAnsi="Times New Roman" w:cs="Times New Roman"/>
          <w:color w:val="000000" w:themeColor="text1"/>
          <w:sz w:val="20"/>
          <w:szCs w:val="20"/>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00817A1F" w:rsidRPr="00C171F9">
        <w:rPr>
          <w:rFonts w:ascii="Times New Roman" w:hAnsi="Times New Roman" w:cs="Times New Roman"/>
          <w:color w:val="000000" w:themeColor="text1"/>
          <w:sz w:val="20"/>
          <w:szCs w:val="20"/>
        </w:rPr>
        <w:t xml:space="preserve">Ibid. </w:t>
      </w:r>
    </w:p>
  </w:footnote>
  <w:footnote w:id="13">
    <w:p w14:paraId="5896B5FE" w14:textId="6D362E5D" w:rsidR="00D714B3" w:rsidRPr="00C171F9" w:rsidRDefault="00D714B3">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w:t>
      </w:r>
      <w:r w:rsidRPr="00C171F9">
        <w:rPr>
          <w:rFonts w:ascii="Times New Roman" w:hAnsi="Times New Roman" w:cs="Times New Roman"/>
          <w:i/>
          <w:iCs/>
          <w:color w:val="000000" w:themeColor="text1"/>
        </w:rPr>
        <w:t xml:space="preserve">Nationwide News Pty Ltd v Wills </w:t>
      </w:r>
      <w:r w:rsidRPr="00C171F9">
        <w:rPr>
          <w:rFonts w:ascii="Times New Roman" w:hAnsi="Times New Roman" w:cs="Times New Roman"/>
          <w:color w:val="000000" w:themeColor="text1"/>
        </w:rPr>
        <w:t xml:space="preserve">(1992) 177 CLR 1. </w:t>
      </w:r>
    </w:p>
  </w:footnote>
  <w:footnote w:id="14">
    <w:p w14:paraId="7DE53F4D" w14:textId="03DF29B7" w:rsidR="007E1A43" w:rsidRPr="00C171F9" w:rsidRDefault="007E1A43">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w:t>
      </w:r>
      <w:r w:rsidRPr="00C171F9">
        <w:rPr>
          <w:rFonts w:ascii="Times New Roman" w:hAnsi="Times New Roman" w:cs="Times New Roman"/>
          <w:i/>
          <w:iCs/>
          <w:color w:val="000000" w:themeColor="text1"/>
        </w:rPr>
        <w:t xml:space="preserve">Environment Protection and Biodiversity Conservation Amendment (Standing) Bill 2015 </w:t>
      </w:r>
      <w:r w:rsidRPr="00C171F9">
        <w:rPr>
          <w:rFonts w:ascii="Times New Roman" w:hAnsi="Times New Roman" w:cs="Times New Roman"/>
          <w:color w:val="000000" w:themeColor="text1"/>
        </w:rPr>
        <w:t>(</w:t>
      </w:r>
      <w:proofErr w:type="spellStart"/>
      <w:r w:rsidRPr="00C171F9">
        <w:rPr>
          <w:rFonts w:ascii="Times New Roman" w:hAnsi="Times New Roman" w:cs="Times New Roman"/>
          <w:color w:val="000000" w:themeColor="text1"/>
        </w:rPr>
        <w:t>Cth</w:t>
      </w:r>
      <w:proofErr w:type="spellEnd"/>
      <w:r w:rsidRPr="00C171F9">
        <w:rPr>
          <w:rFonts w:ascii="Times New Roman" w:hAnsi="Times New Roman" w:cs="Times New Roman"/>
          <w:color w:val="000000" w:themeColor="text1"/>
        </w:rPr>
        <w:t xml:space="preserve">). </w:t>
      </w:r>
    </w:p>
  </w:footnote>
  <w:footnote w:id="15">
    <w:p w14:paraId="25B17DC8" w14:textId="662C5D66" w:rsidR="007E1A43" w:rsidRPr="00C171F9" w:rsidRDefault="007E1A43">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w:t>
      </w:r>
      <w:r w:rsidR="00EC60C9" w:rsidRPr="00C171F9">
        <w:rPr>
          <w:rFonts w:ascii="Times New Roman" w:hAnsi="Times New Roman" w:cs="Times New Roman"/>
          <w:color w:val="000000" w:themeColor="text1"/>
        </w:rPr>
        <w:t xml:space="preserve">Macintosh (n </w:t>
      </w:r>
      <w:r w:rsidR="00B44C9D" w:rsidRPr="00C171F9">
        <w:rPr>
          <w:rFonts w:ascii="Times New Roman" w:hAnsi="Times New Roman" w:cs="Times New Roman"/>
          <w:color w:val="000000" w:themeColor="text1"/>
        </w:rPr>
        <w:t>5</w:t>
      </w:r>
      <w:r w:rsidR="00EC60C9" w:rsidRPr="00C171F9">
        <w:rPr>
          <w:rFonts w:ascii="Times New Roman" w:hAnsi="Times New Roman" w:cs="Times New Roman"/>
          <w:color w:val="000000" w:themeColor="text1"/>
        </w:rPr>
        <w:t xml:space="preserve">) 87–88; GHD, ‘Carmichael Coal Mine and Rail Project: Supplementary Environment Impact Statement’ (Report, Adani Mining, 19 November 2013) 1–2; Federal Court of Australia, ‘Statement re NSD33/2015 </w:t>
      </w:r>
      <w:r w:rsidR="00EC60C9" w:rsidRPr="00C171F9">
        <w:rPr>
          <w:rFonts w:ascii="Times New Roman" w:hAnsi="Times New Roman" w:cs="Times New Roman"/>
          <w:i/>
          <w:iCs/>
          <w:color w:val="000000" w:themeColor="text1"/>
        </w:rPr>
        <w:t xml:space="preserve">Mackay Conservation Group v Minister for Environment’ </w:t>
      </w:r>
      <w:r w:rsidR="00EC60C9" w:rsidRPr="00C171F9">
        <w:rPr>
          <w:rFonts w:ascii="Times New Roman" w:hAnsi="Times New Roman" w:cs="Times New Roman"/>
          <w:color w:val="000000" w:themeColor="text1"/>
        </w:rPr>
        <w:t xml:space="preserve">(Media Release, 20 August 2015). </w:t>
      </w:r>
    </w:p>
  </w:footnote>
  <w:footnote w:id="16">
    <w:p w14:paraId="60B8699E" w14:textId="65BEAF8D" w:rsidR="00606873" w:rsidRPr="00C171F9" w:rsidRDefault="00606873">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000C6366" w:rsidRPr="00C171F9">
        <w:rPr>
          <w:rFonts w:ascii="Times New Roman" w:hAnsi="Times New Roman" w:cs="Times New Roman"/>
          <w:color w:val="000000" w:themeColor="text1"/>
        </w:rPr>
        <w:t xml:space="preserve"> </w:t>
      </w:r>
      <w:r w:rsidR="00D913EF" w:rsidRPr="00C171F9">
        <w:rPr>
          <w:rFonts w:ascii="Times New Roman" w:hAnsi="Times New Roman" w:cs="Times New Roman"/>
          <w:color w:val="000000" w:themeColor="text1"/>
        </w:rPr>
        <w:t>Orellana</w:t>
      </w:r>
      <w:r w:rsidR="000C6366" w:rsidRPr="00C171F9">
        <w:rPr>
          <w:rFonts w:ascii="Times New Roman" w:hAnsi="Times New Roman" w:cs="Times New Roman"/>
          <w:color w:val="000000" w:themeColor="text1"/>
        </w:rPr>
        <w:t xml:space="preserve"> (n 2). </w:t>
      </w:r>
    </w:p>
  </w:footnote>
  <w:footnote w:id="17">
    <w:p w14:paraId="6A5D072D" w14:textId="088BC762" w:rsidR="003D2D84" w:rsidRPr="00C171F9" w:rsidRDefault="003D2D84" w:rsidP="00C171F9">
      <w:pPr>
        <w:rPr>
          <w:rFonts w:ascii="Times New Roman" w:hAnsi="Times New Roman" w:cs="Times New Roman"/>
          <w:color w:val="000000" w:themeColor="text1"/>
          <w:sz w:val="20"/>
          <w:szCs w:val="20"/>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00C21E05" w:rsidRPr="00C171F9">
        <w:rPr>
          <w:rFonts w:ascii="Times New Roman" w:hAnsi="Times New Roman" w:cs="Times New Roman"/>
          <w:color w:val="000000" w:themeColor="text1"/>
          <w:sz w:val="20"/>
          <w:szCs w:val="20"/>
        </w:rPr>
        <w:t xml:space="preserve">Ben </w:t>
      </w:r>
      <w:proofErr w:type="spellStart"/>
      <w:r w:rsidR="00C21E05" w:rsidRPr="00C171F9">
        <w:rPr>
          <w:rFonts w:ascii="Times New Roman" w:hAnsi="Times New Roman" w:cs="Times New Roman"/>
          <w:color w:val="000000" w:themeColor="text1"/>
          <w:sz w:val="20"/>
          <w:szCs w:val="20"/>
        </w:rPr>
        <w:t>Smee</w:t>
      </w:r>
      <w:proofErr w:type="spellEnd"/>
      <w:r w:rsidR="00C21E05" w:rsidRPr="00C171F9">
        <w:rPr>
          <w:rFonts w:ascii="Times New Roman" w:hAnsi="Times New Roman" w:cs="Times New Roman"/>
          <w:color w:val="000000" w:themeColor="text1"/>
          <w:sz w:val="20"/>
          <w:szCs w:val="20"/>
        </w:rPr>
        <w:t xml:space="preserve">, ‘Brisbane city council loses court bid to prevent protest march’, </w:t>
      </w:r>
      <w:r w:rsidR="00C21E05" w:rsidRPr="00C171F9">
        <w:rPr>
          <w:rFonts w:ascii="Times New Roman" w:hAnsi="Times New Roman" w:cs="Times New Roman"/>
          <w:i/>
          <w:iCs/>
          <w:color w:val="000000" w:themeColor="text1"/>
          <w:sz w:val="20"/>
          <w:szCs w:val="20"/>
        </w:rPr>
        <w:t xml:space="preserve">The Guardian </w:t>
      </w:r>
      <w:r w:rsidR="00C21E05" w:rsidRPr="00C171F9">
        <w:rPr>
          <w:rFonts w:ascii="Times New Roman" w:hAnsi="Times New Roman" w:cs="Times New Roman"/>
          <w:color w:val="000000" w:themeColor="text1"/>
          <w:sz w:val="20"/>
          <w:szCs w:val="20"/>
        </w:rPr>
        <w:t>(online, 27 August 2019) &lt;</w:t>
      </w:r>
      <w:hyperlink r:id="rId4" w:history="1">
        <w:r w:rsidR="00C171F9" w:rsidRPr="00C171F9">
          <w:rPr>
            <w:rStyle w:val="Hyperlink"/>
            <w:rFonts w:ascii="Times New Roman" w:hAnsi="Times New Roman" w:cs="Times New Roman"/>
            <w:color w:val="000000" w:themeColor="text1"/>
            <w:sz w:val="20"/>
            <w:szCs w:val="20"/>
          </w:rPr>
          <w:t>https://www.theguardian.com/australia-news/2019/aug/27/brisbane-city-council-loses-court-bid-to-prevent-protest-march</w:t>
        </w:r>
      </w:hyperlink>
      <w:r w:rsidR="00C171F9" w:rsidRPr="00C171F9">
        <w:rPr>
          <w:rFonts w:ascii="Times New Roman" w:hAnsi="Times New Roman" w:cs="Times New Roman"/>
          <w:color w:val="000000" w:themeColor="text1"/>
          <w:sz w:val="20"/>
          <w:szCs w:val="20"/>
        </w:rPr>
        <w:t xml:space="preserve">&gt;. </w:t>
      </w:r>
      <w:r w:rsidR="00C21E05" w:rsidRPr="00C171F9">
        <w:rPr>
          <w:rFonts w:ascii="Times New Roman" w:hAnsi="Times New Roman" w:cs="Times New Roman"/>
          <w:color w:val="000000" w:themeColor="text1"/>
          <w:sz w:val="20"/>
          <w:szCs w:val="20"/>
        </w:rPr>
        <w:t xml:space="preserve"> </w:t>
      </w:r>
    </w:p>
  </w:footnote>
  <w:footnote w:id="18">
    <w:p w14:paraId="3E943FC5" w14:textId="56339271" w:rsidR="002A304E" w:rsidRPr="00C171F9" w:rsidRDefault="002A304E">
      <w:pPr>
        <w:pStyle w:val="FootnoteText"/>
        <w:rPr>
          <w:rFonts w:ascii="Times New Roman" w:hAnsi="Times New Roman" w:cs="Times New Roman"/>
          <w:i/>
          <w:iCs/>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w:t>
      </w:r>
      <w:r w:rsidRPr="00C171F9">
        <w:rPr>
          <w:rFonts w:ascii="Times New Roman" w:eastAsia="Times New Roman" w:hAnsi="Times New Roman" w:cs="Times New Roman"/>
          <w:i/>
          <w:iCs/>
          <w:color w:val="000000" w:themeColor="text1"/>
          <w:lang w:eastAsia="en-AU"/>
        </w:rPr>
        <w:t xml:space="preserve">Brown v Tasmania </w:t>
      </w:r>
      <w:r w:rsidRPr="00C171F9">
        <w:rPr>
          <w:rFonts w:ascii="Times New Roman" w:eastAsia="Times New Roman" w:hAnsi="Times New Roman" w:cs="Times New Roman"/>
          <w:color w:val="000000" w:themeColor="text1"/>
          <w:lang w:eastAsia="en-AU"/>
        </w:rPr>
        <w:t xml:space="preserve">(2017) 261 CLR 328, [104]. </w:t>
      </w:r>
    </w:p>
  </w:footnote>
  <w:footnote w:id="19">
    <w:p w14:paraId="59A9BBBF" w14:textId="06F02955" w:rsidR="006C6CD6" w:rsidRPr="00C171F9" w:rsidRDefault="006C6CD6">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Ibid [88]. </w:t>
      </w:r>
    </w:p>
  </w:footnote>
  <w:footnote w:id="20">
    <w:p w14:paraId="70484EC8" w14:textId="2F58EE02" w:rsidR="00A51ACD" w:rsidRPr="00C171F9" w:rsidRDefault="00A51ACD">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w:t>
      </w:r>
      <w:r w:rsidRPr="00C171F9">
        <w:rPr>
          <w:rFonts w:ascii="Times New Roman" w:eastAsia="Times New Roman" w:hAnsi="Times New Roman" w:cs="Times New Roman"/>
          <w:color w:val="000000" w:themeColor="text1"/>
          <w:lang w:eastAsia="en-AU"/>
        </w:rPr>
        <w:t xml:space="preserve">(2017) 261 CLR 328. </w:t>
      </w:r>
    </w:p>
  </w:footnote>
  <w:footnote w:id="21">
    <w:p w14:paraId="0469D391" w14:textId="7F40FA8F" w:rsidR="005E0B91" w:rsidRPr="00C171F9" w:rsidRDefault="005E0B91">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Ibid [61]. </w:t>
      </w:r>
    </w:p>
  </w:footnote>
  <w:footnote w:id="22">
    <w:p w14:paraId="34E27FF8" w14:textId="4FD639F0" w:rsidR="00455A98" w:rsidRPr="00C171F9" w:rsidRDefault="00455A98" w:rsidP="00455A98">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Rio Declaration</w:t>
      </w:r>
      <w:r w:rsidR="0021243A" w:rsidRPr="00C171F9">
        <w:rPr>
          <w:rFonts w:ascii="Times New Roman" w:hAnsi="Times New Roman" w:cs="Times New Roman"/>
          <w:color w:val="000000" w:themeColor="text1"/>
        </w:rPr>
        <w:t xml:space="preserve"> 1992</w:t>
      </w:r>
      <w:r w:rsidRPr="00C171F9">
        <w:rPr>
          <w:rFonts w:ascii="Times New Roman" w:hAnsi="Times New Roman" w:cs="Times New Roman"/>
          <w:color w:val="000000" w:themeColor="text1"/>
        </w:rPr>
        <w:t>; Climate Change Convention</w:t>
      </w:r>
      <w:r w:rsidR="0021243A" w:rsidRPr="00C171F9">
        <w:rPr>
          <w:rFonts w:ascii="Times New Roman" w:hAnsi="Times New Roman" w:cs="Times New Roman"/>
          <w:color w:val="000000" w:themeColor="text1"/>
        </w:rPr>
        <w:t xml:space="preserve"> 1992</w:t>
      </w:r>
      <w:r w:rsidR="00810B01" w:rsidRPr="00C171F9">
        <w:rPr>
          <w:rFonts w:ascii="Times New Roman" w:hAnsi="Times New Roman" w:cs="Times New Roman"/>
          <w:color w:val="000000" w:themeColor="text1"/>
        </w:rPr>
        <w:t xml:space="preserve">. </w:t>
      </w:r>
    </w:p>
  </w:footnote>
  <w:footnote w:id="23">
    <w:p w14:paraId="468816AB" w14:textId="12ADD55E" w:rsidR="00455A98" w:rsidRPr="00C171F9" w:rsidRDefault="00455A98">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Philippe Sands</w:t>
      </w:r>
      <w:r w:rsidR="001938F9" w:rsidRPr="00C171F9">
        <w:rPr>
          <w:rFonts w:ascii="Times New Roman" w:hAnsi="Times New Roman" w:cs="Times New Roman"/>
          <w:color w:val="000000" w:themeColor="text1"/>
        </w:rPr>
        <w:t xml:space="preserve"> et al</w:t>
      </w:r>
      <w:r w:rsidRPr="00C171F9">
        <w:rPr>
          <w:rFonts w:ascii="Times New Roman" w:hAnsi="Times New Roman" w:cs="Times New Roman"/>
          <w:color w:val="000000" w:themeColor="text1"/>
        </w:rPr>
        <w:t xml:space="preserve">, </w:t>
      </w:r>
      <w:r w:rsidRPr="00C171F9">
        <w:rPr>
          <w:rFonts w:ascii="Times New Roman" w:hAnsi="Times New Roman" w:cs="Times New Roman"/>
          <w:i/>
          <w:iCs/>
          <w:color w:val="000000" w:themeColor="text1"/>
        </w:rPr>
        <w:t xml:space="preserve">Principles of International Environmental Law </w:t>
      </w:r>
      <w:r w:rsidRPr="00C171F9">
        <w:rPr>
          <w:rFonts w:ascii="Times New Roman" w:hAnsi="Times New Roman" w:cs="Times New Roman"/>
          <w:color w:val="000000" w:themeColor="text1"/>
        </w:rPr>
        <w:t>(Cambridge University Press, 3</w:t>
      </w:r>
      <w:r w:rsidRPr="00C171F9">
        <w:rPr>
          <w:rFonts w:ascii="Times New Roman" w:hAnsi="Times New Roman" w:cs="Times New Roman"/>
          <w:color w:val="000000" w:themeColor="text1"/>
          <w:vertAlign w:val="superscript"/>
        </w:rPr>
        <w:t>rd</w:t>
      </w:r>
      <w:r w:rsidRPr="00C171F9">
        <w:rPr>
          <w:rFonts w:ascii="Times New Roman" w:hAnsi="Times New Roman" w:cs="Times New Roman"/>
          <w:color w:val="000000" w:themeColor="text1"/>
        </w:rPr>
        <w:t xml:space="preserve"> ed, 2012) 233. </w:t>
      </w:r>
    </w:p>
  </w:footnote>
  <w:footnote w:id="24">
    <w:p w14:paraId="131083AB" w14:textId="00D1D109" w:rsidR="007F51A4" w:rsidRPr="00C171F9" w:rsidRDefault="007F51A4">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‘Developing Countries Are Responsible for 63 Percent of Current Carbon Emissions’, </w:t>
      </w:r>
      <w:r w:rsidRPr="00C171F9">
        <w:rPr>
          <w:rFonts w:ascii="Times New Roman" w:hAnsi="Times New Roman" w:cs="Times New Roman"/>
          <w:i/>
          <w:iCs/>
          <w:color w:val="000000" w:themeColor="text1"/>
        </w:rPr>
        <w:t xml:space="preserve">Centre for Global Development </w:t>
      </w:r>
      <w:r w:rsidRPr="00C171F9">
        <w:rPr>
          <w:rFonts w:ascii="Times New Roman" w:hAnsi="Times New Roman" w:cs="Times New Roman"/>
          <w:color w:val="000000" w:themeColor="text1"/>
        </w:rPr>
        <w:t>(Web Page, 18 August 2015) &lt;</w:t>
      </w:r>
      <w:hyperlink r:id="rId5" w:history="1">
        <w:r w:rsidRPr="00C171F9">
          <w:rPr>
            <w:rFonts w:ascii="Times New Roman" w:eastAsia="Times New Roman" w:hAnsi="Times New Roman" w:cs="Times New Roman"/>
            <w:color w:val="000000" w:themeColor="text1"/>
            <w:u w:val="single"/>
            <w:lang w:eastAsia="en-GB"/>
          </w:rPr>
          <w:t>https://www.cgdev.org/media/developing-countries-are-responsible-63-percent-current-carbon-emissions</w:t>
        </w:r>
      </w:hyperlink>
      <w:r w:rsidRPr="00C171F9">
        <w:rPr>
          <w:rFonts w:ascii="Times New Roman" w:eastAsia="Times New Roman" w:hAnsi="Times New Roman" w:cs="Times New Roman"/>
          <w:color w:val="000000" w:themeColor="text1"/>
          <w:lang w:eastAsia="en-GB"/>
        </w:rPr>
        <w:t>&gt;.</w:t>
      </w:r>
    </w:p>
  </w:footnote>
  <w:footnote w:id="25">
    <w:p w14:paraId="5A61ABD3" w14:textId="4F40DF3D" w:rsidR="00394F58" w:rsidRPr="00C171F9" w:rsidRDefault="00394F58" w:rsidP="00394F58">
      <w:pPr>
        <w:rPr>
          <w:rFonts w:ascii="Times New Roman" w:hAnsi="Times New Roman" w:cs="Times New Roman"/>
          <w:color w:val="000000" w:themeColor="text1"/>
          <w:sz w:val="20"/>
          <w:szCs w:val="20"/>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Hannah Ritchie and Max </w:t>
      </w:r>
      <w:proofErr w:type="spellStart"/>
      <w:r w:rsidRPr="00C171F9">
        <w:rPr>
          <w:rFonts w:ascii="Times New Roman" w:hAnsi="Times New Roman" w:cs="Times New Roman"/>
          <w:color w:val="000000" w:themeColor="text1"/>
          <w:sz w:val="20"/>
          <w:szCs w:val="20"/>
        </w:rPr>
        <w:t>Roser</w:t>
      </w:r>
      <w:proofErr w:type="spellEnd"/>
      <w:r w:rsidRPr="00C171F9">
        <w:rPr>
          <w:rFonts w:ascii="Times New Roman" w:hAnsi="Times New Roman" w:cs="Times New Roman"/>
          <w:color w:val="000000" w:themeColor="text1"/>
          <w:sz w:val="20"/>
          <w:szCs w:val="20"/>
        </w:rPr>
        <w:t xml:space="preserve">, ‘CO2 and Greenhouse Gas Emissions’, </w:t>
      </w:r>
      <w:r w:rsidRPr="00C171F9">
        <w:rPr>
          <w:rFonts w:ascii="Times New Roman" w:hAnsi="Times New Roman" w:cs="Times New Roman"/>
          <w:i/>
          <w:iCs/>
          <w:color w:val="000000" w:themeColor="text1"/>
          <w:sz w:val="20"/>
          <w:szCs w:val="20"/>
        </w:rPr>
        <w:t>Our World in Data</w:t>
      </w:r>
      <w:r w:rsidRPr="00C171F9">
        <w:rPr>
          <w:rFonts w:ascii="Times New Roman" w:hAnsi="Times New Roman" w:cs="Times New Roman"/>
          <w:color w:val="000000" w:themeColor="text1"/>
          <w:sz w:val="20"/>
          <w:szCs w:val="20"/>
        </w:rPr>
        <w:t xml:space="preserve"> (Web Page, May 2017) &lt;</w:t>
      </w:r>
      <w:hyperlink r:id="rId6" w:history="1">
        <w:r w:rsidRPr="00C171F9">
          <w:rPr>
            <w:rStyle w:val="Hyperlink"/>
            <w:rFonts w:ascii="Times New Roman" w:hAnsi="Times New Roman" w:cs="Times New Roman"/>
            <w:color w:val="000000" w:themeColor="text1"/>
            <w:sz w:val="20"/>
            <w:szCs w:val="20"/>
          </w:rPr>
          <w:t>https://ourworldindata.org/co2-and-other-greenhouse-gas-emissions</w:t>
        </w:r>
      </w:hyperlink>
      <w:r w:rsidRPr="00C171F9">
        <w:rPr>
          <w:rFonts w:ascii="Times New Roman" w:hAnsi="Times New Roman" w:cs="Times New Roman"/>
          <w:color w:val="000000" w:themeColor="text1"/>
          <w:sz w:val="20"/>
          <w:szCs w:val="20"/>
        </w:rPr>
        <w:t xml:space="preserve">&gt;. </w:t>
      </w:r>
    </w:p>
  </w:footnote>
  <w:footnote w:id="26">
    <w:p w14:paraId="18414665" w14:textId="52FD0E63" w:rsidR="00B86BF0" w:rsidRPr="00C171F9" w:rsidRDefault="00B86BF0" w:rsidP="00B86BF0">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007F51A4" w:rsidRPr="00C171F9">
        <w:rPr>
          <w:rFonts w:ascii="Times New Roman" w:hAnsi="Times New Roman" w:cs="Times New Roman"/>
          <w:color w:val="000000" w:themeColor="text1"/>
          <w:sz w:val="20"/>
          <w:szCs w:val="20"/>
        </w:rPr>
        <w:t xml:space="preserve"> Ibid. </w:t>
      </w:r>
      <w:r w:rsidR="00374F62" w:rsidRPr="00C171F9">
        <w:rPr>
          <w:rFonts w:ascii="Times New Roman" w:eastAsia="Times New Roman" w:hAnsi="Times New Roman" w:cs="Times New Roman"/>
          <w:color w:val="000000" w:themeColor="text1"/>
          <w:sz w:val="20"/>
          <w:szCs w:val="20"/>
          <w:lang w:eastAsia="en-GB"/>
        </w:rPr>
        <w:t xml:space="preserve"> </w:t>
      </w:r>
    </w:p>
  </w:footnote>
  <w:footnote w:id="27">
    <w:p w14:paraId="12FF681B" w14:textId="6FBED538" w:rsidR="000911BD" w:rsidRPr="00C171F9" w:rsidRDefault="000911BD">
      <w:pPr>
        <w:pStyle w:val="FootnoteText"/>
        <w:rPr>
          <w:rFonts w:ascii="Times New Roman" w:hAnsi="Times New Roman" w:cs="Times New Roman"/>
          <w:color w:val="000000" w:themeColor="text1"/>
        </w:rPr>
      </w:pPr>
      <w:r w:rsidRPr="00C171F9">
        <w:rPr>
          <w:rStyle w:val="FootnoteReference"/>
          <w:rFonts w:ascii="Times New Roman" w:hAnsi="Times New Roman" w:cs="Times New Roman"/>
          <w:color w:val="000000" w:themeColor="text1"/>
        </w:rPr>
        <w:footnoteRef/>
      </w:r>
      <w:r w:rsidRPr="00C171F9">
        <w:rPr>
          <w:rFonts w:ascii="Times New Roman" w:hAnsi="Times New Roman" w:cs="Times New Roman"/>
          <w:color w:val="000000" w:themeColor="text1"/>
        </w:rPr>
        <w:t xml:space="preserve"> Paris Climate Accord 2016</w:t>
      </w:r>
      <w:r w:rsidR="009A5913" w:rsidRPr="00C171F9">
        <w:rPr>
          <w:rFonts w:ascii="Times New Roman" w:hAnsi="Times New Roman" w:cs="Times New Roman"/>
          <w:color w:val="000000" w:themeColor="text1"/>
        </w:rPr>
        <w:t xml:space="preserve">, article 9. </w:t>
      </w:r>
    </w:p>
  </w:footnote>
  <w:footnote w:id="28">
    <w:p w14:paraId="5379240B" w14:textId="21674D5B" w:rsidR="00B86BF0" w:rsidRPr="00C171F9" w:rsidRDefault="00B86BF0" w:rsidP="00374F62">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Pr="00C171F9">
        <w:rPr>
          <w:rFonts w:ascii="Times New Roman" w:eastAsia="Times New Roman" w:hAnsi="Times New Roman" w:cs="Times New Roman"/>
          <w:color w:val="000000" w:themeColor="text1"/>
          <w:sz w:val="20"/>
          <w:szCs w:val="20"/>
          <w:lang w:eastAsia="en-GB"/>
        </w:rPr>
        <w:t xml:space="preserve">Joshua </w:t>
      </w:r>
      <w:proofErr w:type="spellStart"/>
      <w:r w:rsidRPr="00C171F9">
        <w:rPr>
          <w:rFonts w:ascii="Times New Roman" w:eastAsia="Times New Roman" w:hAnsi="Times New Roman" w:cs="Times New Roman"/>
          <w:color w:val="000000" w:themeColor="text1"/>
          <w:sz w:val="20"/>
          <w:szCs w:val="20"/>
          <w:lang w:eastAsia="en-GB"/>
        </w:rPr>
        <w:t>Bardfield</w:t>
      </w:r>
      <w:proofErr w:type="spellEnd"/>
      <w:r w:rsidRPr="00C171F9">
        <w:rPr>
          <w:rFonts w:ascii="Times New Roman" w:eastAsia="Times New Roman" w:hAnsi="Times New Roman" w:cs="Times New Roman"/>
          <w:color w:val="000000" w:themeColor="text1"/>
          <w:sz w:val="20"/>
          <w:szCs w:val="20"/>
          <w:lang w:eastAsia="en-GB"/>
        </w:rPr>
        <w:t xml:space="preserve"> et al, ‘A Quality Improvement Approach to Capacity Building in Low- and Middle-Income Countries’ (2015) </w:t>
      </w:r>
      <w:r w:rsidRPr="00C171F9">
        <w:rPr>
          <w:rFonts w:ascii="Times New Roman" w:eastAsia="Times New Roman" w:hAnsi="Times New Roman" w:cs="Times New Roman"/>
          <w:i/>
          <w:iCs/>
          <w:color w:val="000000" w:themeColor="text1"/>
          <w:sz w:val="20"/>
          <w:szCs w:val="20"/>
          <w:lang w:eastAsia="en-GB"/>
        </w:rPr>
        <w:t>AIDS</w:t>
      </w:r>
      <w:r w:rsidRPr="00C171F9">
        <w:rPr>
          <w:rFonts w:ascii="Times New Roman" w:eastAsia="Times New Roman" w:hAnsi="Times New Roman" w:cs="Times New Roman"/>
          <w:color w:val="000000" w:themeColor="text1"/>
          <w:sz w:val="20"/>
          <w:szCs w:val="20"/>
          <w:lang w:eastAsia="en-GB"/>
        </w:rPr>
        <w:t xml:space="preserve"> 179. </w:t>
      </w:r>
    </w:p>
  </w:footnote>
  <w:footnote w:id="29">
    <w:p w14:paraId="6EE06362" w14:textId="549713F2" w:rsidR="00927127" w:rsidRPr="00C171F9" w:rsidRDefault="00927127" w:rsidP="00927127">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000938D2" w:rsidRPr="00C171F9">
        <w:rPr>
          <w:rFonts w:ascii="Times New Roman" w:hAnsi="Times New Roman" w:cs="Times New Roman"/>
          <w:color w:val="000000" w:themeColor="text1"/>
          <w:sz w:val="20"/>
          <w:szCs w:val="20"/>
        </w:rPr>
        <w:t xml:space="preserve"> Organisation for Economic Co-operation and Development, ‘Enhancing Capacity: A basis for greening development’ (Report Summary) &lt;</w:t>
      </w:r>
      <w:hyperlink r:id="rId7" w:history="1">
        <w:r w:rsidRPr="00C171F9">
          <w:rPr>
            <w:rFonts w:ascii="Times New Roman" w:eastAsia="Times New Roman" w:hAnsi="Times New Roman" w:cs="Times New Roman"/>
            <w:color w:val="000000" w:themeColor="text1"/>
            <w:sz w:val="20"/>
            <w:szCs w:val="20"/>
            <w:u w:val="single"/>
            <w:lang w:eastAsia="en-GB"/>
          </w:rPr>
          <w:t>https://www.oecd.org/dac/environment-development/49389301.pdf</w:t>
        </w:r>
      </w:hyperlink>
      <w:r w:rsidR="000938D2" w:rsidRPr="00C171F9">
        <w:rPr>
          <w:rFonts w:ascii="Times New Roman" w:eastAsia="Times New Roman" w:hAnsi="Times New Roman" w:cs="Times New Roman"/>
          <w:color w:val="000000" w:themeColor="text1"/>
          <w:sz w:val="20"/>
          <w:szCs w:val="20"/>
          <w:lang w:eastAsia="en-GB"/>
        </w:rPr>
        <w:t xml:space="preserve">&gt;. </w:t>
      </w:r>
    </w:p>
  </w:footnote>
  <w:footnote w:id="30">
    <w:p w14:paraId="3FCF5BD0" w14:textId="43CD7BF7" w:rsidR="00927127" w:rsidRPr="00C171F9" w:rsidRDefault="00927127" w:rsidP="009C13E4">
      <w:pPr>
        <w:rPr>
          <w:rFonts w:ascii="Times New Roman" w:eastAsia="Times New Roman" w:hAnsi="Times New Roman" w:cs="Times New Roman"/>
          <w:color w:val="000000" w:themeColor="text1"/>
          <w:sz w:val="20"/>
          <w:szCs w:val="20"/>
          <w:lang w:eastAsia="en-GB"/>
        </w:rPr>
      </w:pPr>
      <w:r w:rsidRPr="00C171F9">
        <w:rPr>
          <w:rStyle w:val="FootnoteReference"/>
          <w:rFonts w:ascii="Times New Roman" w:hAnsi="Times New Roman" w:cs="Times New Roman"/>
          <w:color w:val="000000" w:themeColor="text1"/>
          <w:sz w:val="20"/>
          <w:szCs w:val="20"/>
        </w:rPr>
        <w:footnoteRef/>
      </w:r>
      <w:r w:rsidRPr="00C171F9">
        <w:rPr>
          <w:rFonts w:ascii="Times New Roman" w:hAnsi="Times New Roman" w:cs="Times New Roman"/>
          <w:color w:val="000000" w:themeColor="text1"/>
          <w:sz w:val="20"/>
          <w:szCs w:val="20"/>
        </w:rPr>
        <w:t xml:space="preserve"> </w:t>
      </w:r>
      <w:r w:rsidR="00F90976" w:rsidRPr="00C171F9">
        <w:rPr>
          <w:rFonts w:ascii="Times New Roman" w:hAnsi="Times New Roman" w:cs="Times New Roman"/>
          <w:color w:val="000000" w:themeColor="text1"/>
          <w:sz w:val="20"/>
          <w:szCs w:val="20"/>
        </w:rPr>
        <w:t xml:space="preserve">The Hon Catherine Branson QC, ‘The National Human Rights Consultation: Outcomes’ (Speech, Centre for Comparative and Constitutional Law University of Melbourne, 21 October 2009) </w:t>
      </w:r>
      <w:hyperlink r:id="rId8" w:history="1">
        <w:r w:rsidR="00F90976" w:rsidRPr="00C171F9">
          <w:rPr>
            <w:rFonts w:ascii="Times New Roman" w:eastAsia="Times New Roman" w:hAnsi="Times New Roman" w:cs="Times New Roman"/>
            <w:color w:val="000000" w:themeColor="text1"/>
            <w:sz w:val="20"/>
            <w:szCs w:val="20"/>
            <w:lang w:eastAsia="en-GB"/>
          </w:rPr>
          <w:t>&lt;</w:t>
        </w:r>
        <w:r w:rsidRPr="00C171F9">
          <w:rPr>
            <w:rFonts w:ascii="Times New Roman" w:eastAsia="Times New Roman" w:hAnsi="Times New Roman" w:cs="Times New Roman"/>
            <w:color w:val="000000" w:themeColor="text1"/>
            <w:sz w:val="20"/>
            <w:szCs w:val="20"/>
            <w:u w:val="single"/>
            <w:lang w:eastAsia="en-GB"/>
          </w:rPr>
          <w:t>https://www.humanrights.gov.au/about/news/speeches/president-speech-national-human-rights-consultation-outcomes</w:t>
        </w:r>
      </w:hyperlink>
      <w:r w:rsidR="00F90976" w:rsidRPr="00C171F9">
        <w:rPr>
          <w:rFonts w:ascii="Times New Roman" w:eastAsia="Times New Roman" w:hAnsi="Times New Roman" w:cs="Times New Roman"/>
          <w:color w:val="000000" w:themeColor="text1"/>
          <w:sz w:val="20"/>
          <w:szCs w:val="20"/>
          <w:lang w:eastAsia="en-GB"/>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057" w14:textId="3C8CCD80" w:rsidR="0068167B" w:rsidRPr="00A12177" w:rsidRDefault="0068167B" w:rsidP="0068167B">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61"/>
    <w:rsid w:val="00017CF6"/>
    <w:rsid w:val="00050919"/>
    <w:rsid w:val="0005645B"/>
    <w:rsid w:val="000911BD"/>
    <w:rsid w:val="000938D2"/>
    <w:rsid w:val="000B05E4"/>
    <w:rsid w:val="000B5B85"/>
    <w:rsid w:val="000C6366"/>
    <w:rsid w:val="000D033D"/>
    <w:rsid w:val="000D5E51"/>
    <w:rsid w:val="000E0F85"/>
    <w:rsid w:val="00100303"/>
    <w:rsid w:val="00134B74"/>
    <w:rsid w:val="00167CB8"/>
    <w:rsid w:val="00184527"/>
    <w:rsid w:val="001938F9"/>
    <w:rsid w:val="001C55D7"/>
    <w:rsid w:val="001D673B"/>
    <w:rsid w:val="00205C76"/>
    <w:rsid w:val="0021243A"/>
    <w:rsid w:val="0022219E"/>
    <w:rsid w:val="002A304E"/>
    <w:rsid w:val="00336987"/>
    <w:rsid w:val="00374F62"/>
    <w:rsid w:val="0039219D"/>
    <w:rsid w:val="00394F58"/>
    <w:rsid w:val="003D2D84"/>
    <w:rsid w:val="003D5EBB"/>
    <w:rsid w:val="00452DDB"/>
    <w:rsid w:val="00455A98"/>
    <w:rsid w:val="00487CC6"/>
    <w:rsid w:val="004A1E61"/>
    <w:rsid w:val="004B1EEB"/>
    <w:rsid w:val="004C2056"/>
    <w:rsid w:val="004E702C"/>
    <w:rsid w:val="004E7DE4"/>
    <w:rsid w:val="004F44F6"/>
    <w:rsid w:val="005336B3"/>
    <w:rsid w:val="00580BE6"/>
    <w:rsid w:val="00581277"/>
    <w:rsid w:val="005E0B91"/>
    <w:rsid w:val="00606873"/>
    <w:rsid w:val="006136A3"/>
    <w:rsid w:val="0067711A"/>
    <w:rsid w:val="0068167B"/>
    <w:rsid w:val="006B0B86"/>
    <w:rsid w:val="006B56A5"/>
    <w:rsid w:val="006C6CD6"/>
    <w:rsid w:val="00702AA6"/>
    <w:rsid w:val="007E1A43"/>
    <w:rsid w:val="007F3814"/>
    <w:rsid w:val="007F51A4"/>
    <w:rsid w:val="00810B01"/>
    <w:rsid w:val="00817A1F"/>
    <w:rsid w:val="0090406B"/>
    <w:rsid w:val="00913E76"/>
    <w:rsid w:val="00927127"/>
    <w:rsid w:val="00932459"/>
    <w:rsid w:val="00941CA2"/>
    <w:rsid w:val="00956B25"/>
    <w:rsid w:val="00957A85"/>
    <w:rsid w:val="009A3EEC"/>
    <w:rsid w:val="009A5913"/>
    <w:rsid w:val="009C13E4"/>
    <w:rsid w:val="009D0F63"/>
    <w:rsid w:val="00A12177"/>
    <w:rsid w:val="00A51ACD"/>
    <w:rsid w:val="00AA0419"/>
    <w:rsid w:val="00AA2665"/>
    <w:rsid w:val="00B342E1"/>
    <w:rsid w:val="00B44C9D"/>
    <w:rsid w:val="00B86BF0"/>
    <w:rsid w:val="00BA16CC"/>
    <w:rsid w:val="00BA2060"/>
    <w:rsid w:val="00BD02FC"/>
    <w:rsid w:val="00C171F9"/>
    <w:rsid w:val="00C21E05"/>
    <w:rsid w:val="00C248B9"/>
    <w:rsid w:val="00C3641C"/>
    <w:rsid w:val="00C968C9"/>
    <w:rsid w:val="00CC77F1"/>
    <w:rsid w:val="00CD0BF4"/>
    <w:rsid w:val="00CF09D0"/>
    <w:rsid w:val="00D714B3"/>
    <w:rsid w:val="00D913EF"/>
    <w:rsid w:val="00DA09D2"/>
    <w:rsid w:val="00DB63F8"/>
    <w:rsid w:val="00DC293D"/>
    <w:rsid w:val="00E53E5C"/>
    <w:rsid w:val="00EC60C9"/>
    <w:rsid w:val="00ED773B"/>
    <w:rsid w:val="00EE034A"/>
    <w:rsid w:val="00F27D87"/>
    <w:rsid w:val="00F90976"/>
    <w:rsid w:val="00F926C6"/>
    <w:rsid w:val="00FA2BA8"/>
    <w:rsid w:val="00FD5C69"/>
    <w:rsid w:val="00FF2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F5B7"/>
  <w15:chartTrackingRefBased/>
  <w15:docId w15:val="{B6F81F21-CD70-E143-B770-AE8EE861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67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68167B"/>
  </w:style>
  <w:style w:type="paragraph" w:styleId="Header">
    <w:name w:val="header"/>
    <w:basedOn w:val="Normal"/>
    <w:link w:val="HeaderChar"/>
    <w:uiPriority w:val="99"/>
    <w:unhideWhenUsed/>
    <w:rsid w:val="0068167B"/>
    <w:pPr>
      <w:tabs>
        <w:tab w:val="center" w:pos="4680"/>
        <w:tab w:val="right" w:pos="9360"/>
      </w:tabs>
    </w:pPr>
  </w:style>
  <w:style w:type="character" w:customStyle="1" w:styleId="HeaderChar">
    <w:name w:val="Header Char"/>
    <w:basedOn w:val="DefaultParagraphFont"/>
    <w:link w:val="Header"/>
    <w:uiPriority w:val="99"/>
    <w:rsid w:val="0068167B"/>
  </w:style>
  <w:style w:type="paragraph" w:styleId="Footer">
    <w:name w:val="footer"/>
    <w:basedOn w:val="Normal"/>
    <w:link w:val="FooterChar"/>
    <w:uiPriority w:val="99"/>
    <w:unhideWhenUsed/>
    <w:rsid w:val="0068167B"/>
    <w:pPr>
      <w:tabs>
        <w:tab w:val="center" w:pos="4680"/>
        <w:tab w:val="right" w:pos="9360"/>
      </w:tabs>
    </w:pPr>
  </w:style>
  <w:style w:type="character" w:customStyle="1" w:styleId="FooterChar">
    <w:name w:val="Footer Char"/>
    <w:basedOn w:val="DefaultParagraphFont"/>
    <w:link w:val="Footer"/>
    <w:uiPriority w:val="99"/>
    <w:rsid w:val="0068167B"/>
  </w:style>
  <w:style w:type="paragraph" w:styleId="FootnoteText">
    <w:name w:val="footnote text"/>
    <w:basedOn w:val="Normal"/>
    <w:link w:val="FootnoteTextChar"/>
    <w:uiPriority w:val="99"/>
    <w:semiHidden/>
    <w:unhideWhenUsed/>
    <w:rsid w:val="00B86BF0"/>
    <w:rPr>
      <w:sz w:val="20"/>
      <w:szCs w:val="20"/>
    </w:rPr>
  </w:style>
  <w:style w:type="character" w:customStyle="1" w:styleId="FootnoteTextChar">
    <w:name w:val="Footnote Text Char"/>
    <w:basedOn w:val="DefaultParagraphFont"/>
    <w:link w:val="FootnoteText"/>
    <w:uiPriority w:val="99"/>
    <w:semiHidden/>
    <w:rsid w:val="00B86BF0"/>
    <w:rPr>
      <w:sz w:val="20"/>
      <w:szCs w:val="20"/>
    </w:rPr>
  </w:style>
  <w:style w:type="character" w:styleId="FootnoteReference">
    <w:name w:val="footnote reference"/>
    <w:basedOn w:val="DefaultParagraphFont"/>
    <w:uiPriority w:val="99"/>
    <w:semiHidden/>
    <w:unhideWhenUsed/>
    <w:rsid w:val="00B86BF0"/>
    <w:rPr>
      <w:vertAlign w:val="superscript"/>
    </w:rPr>
  </w:style>
  <w:style w:type="character" w:styleId="Hyperlink">
    <w:name w:val="Hyperlink"/>
    <w:basedOn w:val="DefaultParagraphFont"/>
    <w:uiPriority w:val="99"/>
    <w:unhideWhenUsed/>
    <w:rsid w:val="00B86BF0"/>
    <w:rPr>
      <w:color w:val="0000FF"/>
      <w:u w:val="single"/>
    </w:rPr>
  </w:style>
  <w:style w:type="character" w:styleId="UnresolvedMention">
    <w:name w:val="Unresolved Mention"/>
    <w:basedOn w:val="DefaultParagraphFont"/>
    <w:uiPriority w:val="99"/>
    <w:semiHidden/>
    <w:unhideWhenUsed/>
    <w:rsid w:val="00374F62"/>
    <w:rPr>
      <w:color w:val="605E5C"/>
      <w:shd w:val="clear" w:color="auto" w:fill="E1DFDD"/>
    </w:rPr>
  </w:style>
  <w:style w:type="paragraph" w:customStyle="1" w:styleId="Default">
    <w:name w:val="Default"/>
    <w:rsid w:val="00F926C6"/>
    <w:pPr>
      <w:widowControl w:val="0"/>
      <w:autoSpaceDE w:val="0"/>
      <w:autoSpaceDN w:val="0"/>
      <w:adjustRightInd w:val="0"/>
    </w:pPr>
    <w:rPr>
      <w:rFonts w:ascii="Times New Roman" w:eastAsiaTheme="minorEastAsia" w:hAnsi="Times New Roman" w:cs="Times New Roman"/>
      <w:color w:val="000000"/>
      <w:lang w:val="en-US"/>
    </w:rPr>
  </w:style>
  <w:style w:type="character" w:styleId="CommentReference">
    <w:name w:val="annotation reference"/>
    <w:basedOn w:val="DefaultParagraphFont"/>
    <w:uiPriority w:val="99"/>
    <w:semiHidden/>
    <w:unhideWhenUsed/>
    <w:rsid w:val="00BA16CC"/>
    <w:rPr>
      <w:sz w:val="16"/>
      <w:szCs w:val="16"/>
    </w:rPr>
  </w:style>
  <w:style w:type="paragraph" w:styleId="CommentText">
    <w:name w:val="annotation text"/>
    <w:basedOn w:val="Normal"/>
    <w:link w:val="CommentTextChar"/>
    <w:uiPriority w:val="99"/>
    <w:semiHidden/>
    <w:unhideWhenUsed/>
    <w:rsid w:val="00BA16CC"/>
    <w:rPr>
      <w:sz w:val="20"/>
      <w:szCs w:val="20"/>
    </w:rPr>
  </w:style>
  <w:style w:type="character" w:customStyle="1" w:styleId="CommentTextChar">
    <w:name w:val="Comment Text Char"/>
    <w:basedOn w:val="DefaultParagraphFont"/>
    <w:link w:val="CommentText"/>
    <w:uiPriority w:val="99"/>
    <w:semiHidden/>
    <w:rsid w:val="00BA16CC"/>
    <w:rPr>
      <w:sz w:val="20"/>
      <w:szCs w:val="20"/>
    </w:rPr>
  </w:style>
  <w:style w:type="paragraph" w:styleId="CommentSubject">
    <w:name w:val="annotation subject"/>
    <w:basedOn w:val="CommentText"/>
    <w:next w:val="CommentText"/>
    <w:link w:val="CommentSubjectChar"/>
    <w:uiPriority w:val="99"/>
    <w:semiHidden/>
    <w:unhideWhenUsed/>
    <w:rsid w:val="00BA16CC"/>
    <w:rPr>
      <w:b/>
      <w:bCs/>
    </w:rPr>
  </w:style>
  <w:style w:type="character" w:customStyle="1" w:styleId="CommentSubjectChar">
    <w:name w:val="Comment Subject Char"/>
    <w:basedOn w:val="CommentTextChar"/>
    <w:link w:val="CommentSubject"/>
    <w:uiPriority w:val="99"/>
    <w:semiHidden/>
    <w:rsid w:val="00BA16CC"/>
    <w:rPr>
      <w:b/>
      <w:bCs/>
      <w:sz w:val="20"/>
      <w:szCs w:val="20"/>
    </w:rPr>
  </w:style>
  <w:style w:type="paragraph" w:styleId="BalloonText">
    <w:name w:val="Balloon Text"/>
    <w:basedOn w:val="Normal"/>
    <w:link w:val="BalloonTextChar"/>
    <w:uiPriority w:val="99"/>
    <w:semiHidden/>
    <w:unhideWhenUsed/>
    <w:rsid w:val="00BA1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CC"/>
    <w:rPr>
      <w:rFonts w:ascii="Segoe UI" w:hAnsi="Segoe UI" w:cs="Segoe UI"/>
      <w:sz w:val="18"/>
      <w:szCs w:val="18"/>
    </w:rPr>
  </w:style>
  <w:style w:type="character" w:customStyle="1" w:styleId="il">
    <w:name w:val="il"/>
    <w:basedOn w:val="DefaultParagraphFont"/>
    <w:rsid w:val="003D2D84"/>
  </w:style>
  <w:style w:type="character" w:styleId="FollowedHyperlink">
    <w:name w:val="FollowedHyperlink"/>
    <w:basedOn w:val="DefaultParagraphFont"/>
    <w:uiPriority w:val="99"/>
    <w:semiHidden/>
    <w:unhideWhenUsed/>
    <w:rsid w:val="00212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415">
      <w:bodyDiv w:val="1"/>
      <w:marLeft w:val="0"/>
      <w:marRight w:val="0"/>
      <w:marTop w:val="0"/>
      <w:marBottom w:val="0"/>
      <w:divBdr>
        <w:top w:val="none" w:sz="0" w:space="0" w:color="auto"/>
        <w:left w:val="none" w:sz="0" w:space="0" w:color="auto"/>
        <w:bottom w:val="none" w:sz="0" w:space="0" w:color="auto"/>
        <w:right w:val="none" w:sz="0" w:space="0" w:color="auto"/>
      </w:divBdr>
    </w:div>
    <w:div w:id="60951591">
      <w:bodyDiv w:val="1"/>
      <w:marLeft w:val="0"/>
      <w:marRight w:val="0"/>
      <w:marTop w:val="0"/>
      <w:marBottom w:val="0"/>
      <w:divBdr>
        <w:top w:val="none" w:sz="0" w:space="0" w:color="auto"/>
        <w:left w:val="none" w:sz="0" w:space="0" w:color="auto"/>
        <w:bottom w:val="none" w:sz="0" w:space="0" w:color="auto"/>
        <w:right w:val="none" w:sz="0" w:space="0" w:color="auto"/>
      </w:divBdr>
    </w:div>
    <w:div w:id="80882890">
      <w:bodyDiv w:val="1"/>
      <w:marLeft w:val="0"/>
      <w:marRight w:val="0"/>
      <w:marTop w:val="0"/>
      <w:marBottom w:val="0"/>
      <w:divBdr>
        <w:top w:val="none" w:sz="0" w:space="0" w:color="auto"/>
        <w:left w:val="none" w:sz="0" w:space="0" w:color="auto"/>
        <w:bottom w:val="none" w:sz="0" w:space="0" w:color="auto"/>
        <w:right w:val="none" w:sz="0" w:space="0" w:color="auto"/>
      </w:divBdr>
    </w:div>
    <w:div w:id="232129908">
      <w:bodyDiv w:val="1"/>
      <w:marLeft w:val="0"/>
      <w:marRight w:val="0"/>
      <w:marTop w:val="0"/>
      <w:marBottom w:val="0"/>
      <w:divBdr>
        <w:top w:val="none" w:sz="0" w:space="0" w:color="auto"/>
        <w:left w:val="none" w:sz="0" w:space="0" w:color="auto"/>
        <w:bottom w:val="none" w:sz="0" w:space="0" w:color="auto"/>
        <w:right w:val="none" w:sz="0" w:space="0" w:color="auto"/>
      </w:divBdr>
    </w:div>
    <w:div w:id="290483458">
      <w:bodyDiv w:val="1"/>
      <w:marLeft w:val="0"/>
      <w:marRight w:val="0"/>
      <w:marTop w:val="0"/>
      <w:marBottom w:val="0"/>
      <w:divBdr>
        <w:top w:val="none" w:sz="0" w:space="0" w:color="auto"/>
        <w:left w:val="none" w:sz="0" w:space="0" w:color="auto"/>
        <w:bottom w:val="none" w:sz="0" w:space="0" w:color="auto"/>
        <w:right w:val="none" w:sz="0" w:space="0" w:color="auto"/>
      </w:divBdr>
    </w:div>
    <w:div w:id="360981104">
      <w:bodyDiv w:val="1"/>
      <w:marLeft w:val="0"/>
      <w:marRight w:val="0"/>
      <w:marTop w:val="0"/>
      <w:marBottom w:val="0"/>
      <w:divBdr>
        <w:top w:val="none" w:sz="0" w:space="0" w:color="auto"/>
        <w:left w:val="none" w:sz="0" w:space="0" w:color="auto"/>
        <w:bottom w:val="none" w:sz="0" w:space="0" w:color="auto"/>
        <w:right w:val="none" w:sz="0" w:space="0" w:color="auto"/>
      </w:divBdr>
    </w:div>
    <w:div w:id="392240964">
      <w:bodyDiv w:val="1"/>
      <w:marLeft w:val="0"/>
      <w:marRight w:val="0"/>
      <w:marTop w:val="0"/>
      <w:marBottom w:val="0"/>
      <w:divBdr>
        <w:top w:val="none" w:sz="0" w:space="0" w:color="auto"/>
        <w:left w:val="none" w:sz="0" w:space="0" w:color="auto"/>
        <w:bottom w:val="none" w:sz="0" w:space="0" w:color="auto"/>
        <w:right w:val="none" w:sz="0" w:space="0" w:color="auto"/>
      </w:divBdr>
    </w:div>
    <w:div w:id="397019339">
      <w:bodyDiv w:val="1"/>
      <w:marLeft w:val="0"/>
      <w:marRight w:val="0"/>
      <w:marTop w:val="0"/>
      <w:marBottom w:val="0"/>
      <w:divBdr>
        <w:top w:val="none" w:sz="0" w:space="0" w:color="auto"/>
        <w:left w:val="none" w:sz="0" w:space="0" w:color="auto"/>
        <w:bottom w:val="none" w:sz="0" w:space="0" w:color="auto"/>
        <w:right w:val="none" w:sz="0" w:space="0" w:color="auto"/>
      </w:divBdr>
    </w:div>
    <w:div w:id="455682915">
      <w:bodyDiv w:val="1"/>
      <w:marLeft w:val="0"/>
      <w:marRight w:val="0"/>
      <w:marTop w:val="0"/>
      <w:marBottom w:val="0"/>
      <w:divBdr>
        <w:top w:val="none" w:sz="0" w:space="0" w:color="auto"/>
        <w:left w:val="none" w:sz="0" w:space="0" w:color="auto"/>
        <w:bottom w:val="none" w:sz="0" w:space="0" w:color="auto"/>
        <w:right w:val="none" w:sz="0" w:space="0" w:color="auto"/>
      </w:divBdr>
    </w:div>
    <w:div w:id="475995139">
      <w:bodyDiv w:val="1"/>
      <w:marLeft w:val="0"/>
      <w:marRight w:val="0"/>
      <w:marTop w:val="0"/>
      <w:marBottom w:val="0"/>
      <w:divBdr>
        <w:top w:val="none" w:sz="0" w:space="0" w:color="auto"/>
        <w:left w:val="none" w:sz="0" w:space="0" w:color="auto"/>
        <w:bottom w:val="none" w:sz="0" w:space="0" w:color="auto"/>
        <w:right w:val="none" w:sz="0" w:space="0" w:color="auto"/>
      </w:divBdr>
    </w:div>
    <w:div w:id="499152072">
      <w:bodyDiv w:val="1"/>
      <w:marLeft w:val="0"/>
      <w:marRight w:val="0"/>
      <w:marTop w:val="0"/>
      <w:marBottom w:val="0"/>
      <w:divBdr>
        <w:top w:val="none" w:sz="0" w:space="0" w:color="auto"/>
        <w:left w:val="none" w:sz="0" w:space="0" w:color="auto"/>
        <w:bottom w:val="none" w:sz="0" w:space="0" w:color="auto"/>
        <w:right w:val="none" w:sz="0" w:space="0" w:color="auto"/>
      </w:divBdr>
    </w:div>
    <w:div w:id="513421799">
      <w:bodyDiv w:val="1"/>
      <w:marLeft w:val="0"/>
      <w:marRight w:val="0"/>
      <w:marTop w:val="0"/>
      <w:marBottom w:val="0"/>
      <w:divBdr>
        <w:top w:val="none" w:sz="0" w:space="0" w:color="auto"/>
        <w:left w:val="none" w:sz="0" w:space="0" w:color="auto"/>
        <w:bottom w:val="none" w:sz="0" w:space="0" w:color="auto"/>
        <w:right w:val="none" w:sz="0" w:space="0" w:color="auto"/>
      </w:divBdr>
    </w:div>
    <w:div w:id="701711458">
      <w:bodyDiv w:val="1"/>
      <w:marLeft w:val="0"/>
      <w:marRight w:val="0"/>
      <w:marTop w:val="0"/>
      <w:marBottom w:val="0"/>
      <w:divBdr>
        <w:top w:val="none" w:sz="0" w:space="0" w:color="auto"/>
        <w:left w:val="none" w:sz="0" w:space="0" w:color="auto"/>
        <w:bottom w:val="none" w:sz="0" w:space="0" w:color="auto"/>
        <w:right w:val="none" w:sz="0" w:space="0" w:color="auto"/>
      </w:divBdr>
    </w:div>
    <w:div w:id="703215882">
      <w:bodyDiv w:val="1"/>
      <w:marLeft w:val="0"/>
      <w:marRight w:val="0"/>
      <w:marTop w:val="0"/>
      <w:marBottom w:val="0"/>
      <w:divBdr>
        <w:top w:val="none" w:sz="0" w:space="0" w:color="auto"/>
        <w:left w:val="none" w:sz="0" w:space="0" w:color="auto"/>
        <w:bottom w:val="none" w:sz="0" w:space="0" w:color="auto"/>
        <w:right w:val="none" w:sz="0" w:space="0" w:color="auto"/>
      </w:divBdr>
    </w:div>
    <w:div w:id="1039743461">
      <w:bodyDiv w:val="1"/>
      <w:marLeft w:val="0"/>
      <w:marRight w:val="0"/>
      <w:marTop w:val="0"/>
      <w:marBottom w:val="0"/>
      <w:divBdr>
        <w:top w:val="none" w:sz="0" w:space="0" w:color="auto"/>
        <w:left w:val="none" w:sz="0" w:space="0" w:color="auto"/>
        <w:bottom w:val="none" w:sz="0" w:space="0" w:color="auto"/>
        <w:right w:val="none" w:sz="0" w:space="0" w:color="auto"/>
      </w:divBdr>
    </w:div>
    <w:div w:id="1071318761">
      <w:bodyDiv w:val="1"/>
      <w:marLeft w:val="0"/>
      <w:marRight w:val="0"/>
      <w:marTop w:val="0"/>
      <w:marBottom w:val="0"/>
      <w:divBdr>
        <w:top w:val="none" w:sz="0" w:space="0" w:color="auto"/>
        <w:left w:val="none" w:sz="0" w:space="0" w:color="auto"/>
        <w:bottom w:val="none" w:sz="0" w:space="0" w:color="auto"/>
        <w:right w:val="none" w:sz="0" w:space="0" w:color="auto"/>
      </w:divBdr>
    </w:div>
    <w:div w:id="1251547914">
      <w:bodyDiv w:val="1"/>
      <w:marLeft w:val="0"/>
      <w:marRight w:val="0"/>
      <w:marTop w:val="0"/>
      <w:marBottom w:val="0"/>
      <w:divBdr>
        <w:top w:val="none" w:sz="0" w:space="0" w:color="auto"/>
        <w:left w:val="none" w:sz="0" w:space="0" w:color="auto"/>
        <w:bottom w:val="none" w:sz="0" w:space="0" w:color="auto"/>
        <w:right w:val="none" w:sz="0" w:space="0" w:color="auto"/>
      </w:divBdr>
    </w:div>
    <w:div w:id="1356418382">
      <w:bodyDiv w:val="1"/>
      <w:marLeft w:val="0"/>
      <w:marRight w:val="0"/>
      <w:marTop w:val="0"/>
      <w:marBottom w:val="0"/>
      <w:divBdr>
        <w:top w:val="none" w:sz="0" w:space="0" w:color="auto"/>
        <w:left w:val="none" w:sz="0" w:space="0" w:color="auto"/>
        <w:bottom w:val="none" w:sz="0" w:space="0" w:color="auto"/>
        <w:right w:val="none" w:sz="0" w:space="0" w:color="auto"/>
      </w:divBdr>
    </w:div>
    <w:div w:id="1498836850">
      <w:bodyDiv w:val="1"/>
      <w:marLeft w:val="0"/>
      <w:marRight w:val="0"/>
      <w:marTop w:val="0"/>
      <w:marBottom w:val="0"/>
      <w:divBdr>
        <w:top w:val="none" w:sz="0" w:space="0" w:color="auto"/>
        <w:left w:val="none" w:sz="0" w:space="0" w:color="auto"/>
        <w:bottom w:val="none" w:sz="0" w:space="0" w:color="auto"/>
        <w:right w:val="none" w:sz="0" w:space="0" w:color="auto"/>
      </w:divBdr>
    </w:div>
    <w:div w:id="1500073139">
      <w:bodyDiv w:val="1"/>
      <w:marLeft w:val="0"/>
      <w:marRight w:val="0"/>
      <w:marTop w:val="0"/>
      <w:marBottom w:val="0"/>
      <w:divBdr>
        <w:top w:val="none" w:sz="0" w:space="0" w:color="auto"/>
        <w:left w:val="none" w:sz="0" w:space="0" w:color="auto"/>
        <w:bottom w:val="none" w:sz="0" w:space="0" w:color="auto"/>
        <w:right w:val="none" w:sz="0" w:space="0" w:color="auto"/>
      </w:divBdr>
    </w:div>
    <w:div w:id="1636332416">
      <w:bodyDiv w:val="1"/>
      <w:marLeft w:val="0"/>
      <w:marRight w:val="0"/>
      <w:marTop w:val="0"/>
      <w:marBottom w:val="0"/>
      <w:divBdr>
        <w:top w:val="none" w:sz="0" w:space="0" w:color="auto"/>
        <w:left w:val="none" w:sz="0" w:space="0" w:color="auto"/>
        <w:bottom w:val="none" w:sz="0" w:space="0" w:color="auto"/>
        <w:right w:val="none" w:sz="0" w:space="0" w:color="auto"/>
      </w:divBdr>
    </w:div>
    <w:div w:id="1698890530">
      <w:bodyDiv w:val="1"/>
      <w:marLeft w:val="0"/>
      <w:marRight w:val="0"/>
      <w:marTop w:val="0"/>
      <w:marBottom w:val="0"/>
      <w:divBdr>
        <w:top w:val="none" w:sz="0" w:space="0" w:color="auto"/>
        <w:left w:val="none" w:sz="0" w:space="0" w:color="auto"/>
        <w:bottom w:val="none" w:sz="0" w:space="0" w:color="auto"/>
        <w:right w:val="none" w:sz="0" w:space="0" w:color="auto"/>
      </w:divBdr>
    </w:div>
    <w:div w:id="1875998181">
      <w:bodyDiv w:val="1"/>
      <w:marLeft w:val="0"/>
      <w:marRight w:val="0"/>
      <w:marTop w:val="0"/>
      <w:marBottom w:val="0"/>
      <w:divBdr>
        <w:top w:val="none" w:sz="0" w:space="0" w:color="auto"/>
        <w:left w:val="none" w:sz="0" w:space="0" w:color="auto"/>
        <w:bottom w:val="none" w:sz="0" w:space="0" w:color="auto"/>
        <w:right w:val="none" w:sz="0" w:space="0" w:color="auto"/>
      </w:divBdr>
    </w:div>
    <w:div w:id="1928072244">
      <w:bodyDiv w:val="1"/>
      <w:marLeft w:val="0"/>
      <w:marRight w:val="0"/>
      <w:marTop w:val="0"/>
      <w:marBottom w:val="0"/>
      <w:divBdr>
        <w:top w:val="none" w:sz="0" w:space="0" w:color="auto"/>
        <w:left w:val="none" w:sz="0" w:space="0" w:color="auto"/>
        <w:bottom w:val="none" w:sz="0" w:space="0" w:color="auto"/>
        <w:right w:val="none" w:sz="0" w:space="0" w:color="auto"/>
      </w:divBdr>
    </w:div>
    <w:div w:id="20179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umanrights.gov.au/about/news/speeches/president-speech-national-human-rights-consultation-outcomes" TargetMode="External"/><Relationship Id="rId3" Type="http://schemas.openxmlformats.org/officeDocument/2006/relationships/hyperlink" Target="https://theconversation.com/should-australia-recognise-the-human-right-to-a-healthy-environment-92104" TargetMode="External"/><Relationship Id="rId7" Type="http://schemas.openxmlformats.org/officeDocument/2006/relationships/hyperlink" Target="https://www.oecd.org/dac/environment-development/49389301.pdf" TargetMode="External"/><Relationship Id="rId2" Type="http://schemas.openxmlformats.org/officeDocument/2006/relationships/hyperlink" Target="https://static1.squarespace.com/static/56401dfde4b090fd5510d622/t/59bb6fe3f43b55b154728d29/1505456149104/APEEL+Blueprint+for+environmental+laws.pdf" TargetMode="External"/><Relationship Id="rId1" Type="http://schemas.openxmlformats.org/officeDocument/2006/relationships/hyperlink" Target="https://www.hrw.org/news/2018/03/01/case-right-healthy-environment" TargetMode="External"/><Relationship Id="rId6" Type="http://schemas.openxmlformats.org/officeDocument/2006/relationships/hyperlink" Target="https://ourworldindata.org/co2-and-other-greenhouse-gas-emissions" TargetMode="External"/><Relationship Id="rId5" Type="http://schemas.openxmlformats.org/officeDocument/2006/relationships/hyperlink" Target="https://www.cgdev.org/media/developing-countries-are-responsible-63-percent-current-carbon-emissions" TargetMode="External"/><Relationship Id="rId4" Type="http://schemas.openxmlformats.org/officeDocument/2006/relationships/hyperlink" Target="https://www.theguardian.com/australia-news/2019/aug/27/brisbane-city-council-loses-court-bid-to-prevent-protest-m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C958CD-E746-46A0-9D40-F6DECCF07FDF}">
  <ds:schemaRefs>
    <ds:schemaRef ds:uri="http://schemas.openxmlformats.org/officeDocument/2006/bibliography"/>
  </ds:schemaRefs>
</ds:datastoreItem>
</file>

<file path=customXml/itemProps2.xml><?xml version="1.0" encoding="utf-8"?>
<ds:datastoreItem xmlns:ds="http://schemas.openxmlformats.org/officeDocument/2006/customXml" ds:itemID="{BF636241-DDAE-4E61-ACB2-349DD3CF676A}"/>
</file>

<file path=customXml/itemProps3.xml><?xml version="1.0" encoding="utf-8"?>
<ds:datastoreItem xmlns:ds="http://schemas.openxmlformats.org/officeDocument/2006/customXml" ds:itemID="{6E0EF3EC-F3D6-4A3C-94ED-8B82A72DD355}"/>
</file>

<file path=customXml/itemProps4.xml><?xml version="1.0" encoding="utf-8"?>
<ds:datastoreItem xmlns:ds="http://schemas.openxmlformats.org/officeDocument/2006/customXml" ds:itemID="{90921382-40BC-49B9-AE2A-6F45116FCBA4}"/>
</file>

<file path=docProps/app.xml><?xml version="1.0" encoding="utf-8"?>
<Properties xmlns="http://schemas.openxmlformats.org/officeDocument/2006/extended-properties" xmlns:vt="http://schemas.openxmlformats.org/officeDocument/2006/docPropsVTypes">
  <Template>Normal</Template>
  <TotalTime>12</TotalTime>
  <Pages>5</Pages>
  <Words>2269</Words>
  <Characters>10984</Characters>
  <Application>Microsoft Office Word</Application>
  <DocSecurity>0</DocSecurity>
  <Lines>192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Maher</dc:creator>
  <cp:keywords/>
  <dc:description/>
  <cp:lastModifiedBy>zara bending</cp:lastModifiedBy>
  <cp:revision>5</cp:revision>
  <dcterms:created xsi:type="dcterms:W3CDTF">2019-08-31T04:46:00Z</dcterms:created>
  <dcterms:modified xsi:type="dcterms:W3CDTF">2019-08-31T04:58:00Z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