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F" w:rsidRPr="003049D2" w:rsidRDefault="0038640F" w:rsidP="00AD20E2">
      <w:pPr>
        <w:rPr>
          <w:rFonts w:ascii="Times New Roman" w:hAnsi="Times New Roman"/>
          <w:b/>
          <w:smallCaps/>
          <w:sz w:val="24"/>
          <w:szCs w:val="24"/>
        </w:rPr>
      </w:pPr>
      <w:r w:rsidRPr="003049D2"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3049D2">
        <w:rPr>
          <w:rFonts w:ascii="Times New Roman" w:hAnsi="Times New Roman"/>
          <w:b/>
          <w:smallCaps/>
          <w:sz w:val="24"/>
          <w:szCs w:val="24"/>
        </w:rPr>
        <w:t>: Obligations Relating to Those in Vulnerable Situations</w:t>
      </w:r>
    </w:p>
    <w:p w:rsidR="0038640F" w:rsidRPr="003049D2" w:rsidRDefault="0038640F" w:rsidP="00AD20E2">
      <w:pPr>
        <w:rPr>
          <w:rFonts w:ascii="Times New Roman" w:hAnsi="Times New Roman"/>
          <w:b/>
          <w:smallCaps/>
          <w:sz w:val="24"/>
          <w:szCs w:val="24"/>
        </w:rPr>
      </w:pPr>
      <w:r w:rsidRPr="003049D2"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3049D2">
        <w:rPr>
          <w:rFonts w:ascii="Times New Roman" w:hAnsi="Times New Roman"/>
          <w:b/>
          <w:smallCaps/>
          <w:sz w:val="24"/>
          <w:szCs w:val="24"/>
        </w:rPr>
        <w:t>: Indigenous Peoples</w:t>
      </w:r>
    </w:p>
    <w:p w:rsidR="00AD20E2" w:rsidRPr="003049D2" w:rsidRDefault="00AD20E2" w:rsidP="00AD20E2">
      <w:pPr>
        <w:rPr>
          <w:rFonts w:ascii="Times New Roman" w:hAnsi="Times New Roman"/>
          <w:b/>
          <w:sz w:val="24"/>
          <w:szCs w:val="24"/>
        </w:rPr>
      </w:pPr>
      <w:r w:rsidRPr="003049D2">
        <w:rPr>
          <w:rFonts w:ascii="Times New Roman" w:hAnsi="Times New Roman"/>
          <w:b/>
          <w:smallCaps/>
          <w:sz w:val="24"/>
          <w:szCs w:val="24"/>
          <w:u w:val="single"/>
        </w:rPr>
        <w:t>Name of Good Practice</w:t>
      </w:r>
      <w:r w:rsidRPr="003049D2">
        <w:rPr>
          <w:rFonts w:ascii="Times New Roman" w:hAnsi="Times New Roman"/>
          <w:b/>
          <w:sz w:val="24"/>
          <w:szCs w:val="24"/>
        </w:rPr>
        <w:t xml:space="preserve">: </w:t>
      </w:r>
      <w:r w:rsidR="0038640F" w:rsidRPr="003049D2">
        <w:rPr>
          <w:rFonts w:ascii="Times New Roman" w:hAnsi="Times New Roman"/>
          <w:b/>
          <w:smallCaps/>
          <w:sz w:val="24"/>
          <w:szCs w:val="24"/>
        </w:rPr>
        <w:t xml:space="preserve">The Living Convention and Human Rights Standards for Conservation </w:t>
      </w:r>
    </w:p>
    <w:p w:rsidR="00AD20E2" w:rsidRPr="003049D2" w:rsidRDefault="00AD20E2" w:rsidP="00AD20E2">
      <w:pPr>
        <w:rPr>
          <w:rStyle w:val="Heading2Char"/>
          <w:rFonts w:ascii="Times New Roman" w:hAnsi="Times New Roman" w:cs="Times New Roman"/>
          <w:sz w:val="24"/>
          <w:szCs w:val="24"/>
        </w:rPr>
      </w:pPr>
      <w:r w:rsidRPr="003049D2">
        <w:rPr>
          <w:rStyle w:val="Heading2Char"/>
          <w:rFonts w:ascii="Times New Roman" w:hAnsi="Times New Roman" w:cs="Times New Roman"/>
          <w:sz w:val="24"/>
          <w:szCs w:val="24"/>
        </w:rPr>
        <w:t xml:space="preserve">Key Words: </w:t>
      </w:r>
      <w:r w:rsidR="002C1F91" w:rsidRPr="003049D2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Indigenous, Local Communities</w:t>
      </w:r>
      <w:r w:rsidR="00FE31F9" w:rsidRPr="003049D2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, Capacity Building, Awareness Raising</w:t>
      </w:r>
    </w:p>
    <w:p w:rsidR="00502A8C" w:rsidRPr="003049D2" w:rsidRDefault="00AD20E2" w:rsidP="00AD20E2">
      <w:pPr>
        <w:rPr>
          <w:rFonts w:ascii="Times New Roman" w:hAnsi="Times New Roman"/>
          <w:sz w:val="24"/>
          <w:szCs w:val="24"/>
        </w:rPr>
      </w:pPr>
      <w:r w:rsidRPr="003049D2">
        <w:rPr>
          <w:rStyle w:val="Heading2Char"/>
          <w:rFonts w:ascii="Times New Roman" w:hAnsi="Times New Roman" w:cs="Times New Roman"/>
          <w:sz w:val="24"/>
          <w:szCs w:val="24"/>
        </w:rPr>
        <w:t>Implementing Actors:</w:t>
      </w:r>
      <w:r w:rsidRPr="003049D2">
        <w:rPr>
          <w:rFonts w:ascii="Times New Roman" w:hAnsi="Times New Roman"/>
          <w:sz w:val="24"/>
          <w:szCs w:val="24"/>
        </w:rPr>
        <w:t xml:space="preserve"> </w:t>
      </w:r>
      <w:r w:rsidR="003049D2" w:rsidRPr="003049D2">
        <w:rPr>
          <w:rFonts w:ascii="Times New Roman" w:hAnsi="Times New Roman"/>
          <w:sz w:val="24"/>
          <w:szCs w:val="24"/>
        </w:rPr>
        <w:t>Civil Society Organisation</w:t>
      </w:r>
      <w:r w:rsidR="00817E3E" w:rsidRPr="003049D2">
        <w:rPr>
          <w:rFonts w:ascii="Times New Roman" w:hAnsi="Times New Roman"/>
          <w:sz w:val="24"/>
          <w:szCs w:val="24"/>
        </w:rPr>
        <w:t xml:space="preserve">: </w:t>
      </w:r>
      <w:r w:rsidR="00043AB2" w:rsidRPr="003049D2">
        <w:rPr>
          <w:rFonts w:ascii="Times New Roman" w:hAnsi="Times New Roman"/>
          <w:sz w:val="24"/>
          <w:szCs w:val="24"/>
        </w:rPr>
        <w:t xml:space="preserve">Natural Justice </w:t>
      </w:r>
      <w:r w:rsidR="00817E3E" w:rsidRPr="003049D2">
        <w:rPr>
          <w:rFonts w:ascii="Times New Roman" w:hAnsi="Times New Roman"/>
          <w:sz w:val="24"/>
          <w:szCs w:val="24"/>
        </w:rPr>
        <w:t>(South Africa)</w:t>
      </w:r>
    </w:p>
    <w:p w:rsidR="00AD20E2" w:rsidRPr="003049D2" w:rsidRDefault="00AD20E2" w:rsidP="00AD20E2">
      <w:pPr>
        <w:rPr>
          <w:rFonts w:ascii="Times New Roman" w:hAnsi="Times New Roman"/>
          <w:sz w:val="24"/>
          <w:szCs w:val="24"/>
        </w:rPr>
      </w:pPr>
      <w:r w:rsidRPr="003049D2">
        <w:rPr>
          <w:rStyle w:val="Heading2Char"/>
          <w:rFonts w:ascii="Times New Roman" w:hAnsi="Times New Roman" w:cs="Times New Roman"/>
          <w:sz w:val="24"/>
          <w:szCs w:val="24"/>
        </w:rPr>
        <w:t>Location:</w:t>
      </w:r>
      <w:r w:rsidRPr="003049D2">
        <w:rPr>
          <w:rFonts w:ascii="Times New Roman" w:hAnsi="Times New Roman"/>
          <w:sz w:val="24"/>
          <w:szCs w:val="24"/>
        </w:rPr>
        <w:t xml:space="preserve"> </w:t>
      </w:r>
      <w:r w:rsidR="00043AB2" w:rsidRPr="003049D2">
        <w:rPr>
          <w:rFonts w:ascii="Times New Roman" w:hAnsi="Times New Roman"/>
          <w:sz w:val="24"/>
          <w:szCs w:val="24"/>
        </w:rPr>
        <w:t>Global</w:t>
      </w:r>
    </w:p>
    <w:p w:rsidR="00A16ED4" w:rsidRPr="003049D2" w:rsidRDefault="00AD20E2" w:rsidP="00AD20E2">
      <w:pPr>
        <w:rPr>
          <w:rFonts w:ascii="Times New Roman" w:hAnsi="Times New Roman"/>
          <w:sz w:val="24"/>
          <w:szCs w:val="24"/>
        </w:rPr>
      </w:pPr>
      <w:r w:rsidRPr="003049D2">
        <w:rPr>
          <w:rStyle w:val="Heading2Char"/>
          <w:rFonts w:ascii="Times New Roman" w:hAnsi="Times New Roman" w:cs="Times New Roman"/>
          <w:sz w:val="24"/>
          <w:szCs w:val="24"/>
        </w:rPr>
        <w:t>Description:</w:t>
      </w:r>
      <w:r w:rsidRPr="003049D2">
        <w:rPr>
          <w:rFonts w:ascii="Times New Roman" w:hAnsi="Times New Roman"/>
          <w:sz w:val="24"/>
          <w:szCs w:val="24"/>
        </w:rPr>
        <w:t xml:space="preserve"> </w:t>
      </w:r>
      <w:r w:rsidR="00E1500D" w:rsidRPr="003049D2">
        <w:rPr>
          <w:rFonts w:ascii="Times New Roman" w:hAnsi="Times New Roman"/>
          <w:sz w:val="24"/>
          <w:szCs w:val="24"/>
        </w:rPr>
        <w:t xml:space="preserve">The rights of indigenous peoples and local communities are addressed in </w:t>
      </w:r>
      <w:r w:rsidR="00545DD6" w:rsidRPr="003049D2">
        <w:rPr>
          <w:rFonts w:ascii="Times New Roman" w:hAnsi="Times New Roman"/>
          <w:sz w:val="24"/>
          <w:szCs w:val="24"/>
        </w:rPr>
        <w:t xml:space="preserve">a wide range of international instruments, each with its own </w:t>
      </w:r>
      <w:r w:rsidR="002C1F91" w:rsidRPr="003049D2">
        <w:rPr>
          <w:rFonts w:ascii="Times New Roman" w:hAnsi="Times New Roman"/>
          <w:sz w:val="24"/>
          <w:szCs w:val="24"/>
        </w:rPr>
        <w:t>particular focus. As a result, i</w:t>
      </w:r>
      <w:r w:rsidR="00545DD6" w:rsidRPr="003049D2">
        <w:rPr>
          <w:rFonts w:ascii="Times New Roman" w:hAnsi="Times New Roman"/>
          <w:sz w:val="24"/>
          <w:szCs w:val="24"/>
        </w:rPr>
        <w:t xml:space="preserve">ndigenous peoples and local communities </w:t>
      </w:r>
      <w:r w:rsidR="002C1F91" w:rsidRPr="003049D2">
        <w:rPr>
          <w:rFonts w:ascii="Times New Roman" w:hAnsi="Times New Roman"/>
          <w:sz w:val="24"/>
          <w:szCs w:val="24"/>
        </w:rPr>
        <w:t>are often unaware of their</w:t>
      </w:r>
      <w:r w:rsidR="00545DD6" w:rsidRPr="003049D2">
        <w:rPr>
          <w:rFonts w:ascii="Times New Roman" w:hAnsi="Times New Roman"/>
          <w:sz w:val="24"/>
          <w:szCs w:val="24"/>
        </w:rPr>
        <w:t xml:space="preserve"> rights relating to issues such as development on their territories, lands and waters and the use of their natural resources and knowledge. </w:t>
      </w:r>
    </w:p>
    <w:p w:rsidR="00043AB2" w:rsidRPr="003049D2" w:rsidRDefault="00E1500D" w:rsidP="00AD20E2">
      <w:pPr>
        <w:rPr>
          <w:rFonts w:ascii="Times New Roman" w:hAnsi="Times New Roman"/>
          <w:sz w:val="24"/>
          <w:szCs w:val="24"/>
        </w:rPr>
      </w:pPr>
      <w:r w:rsidRPr="003049D2">
        <w:rPr>
          <w:rFonts w:ascii="Times New Roman" w:hAnsi="Times New Roman"/>
          <w:sz w:val="24"/>
          <w:szCs w:val="24"/>
        </w:rPr>
        <w:t xml:space="preserve">To help to publicize information about these rights, </w:t>
      </w:r>
      <w:r w:rsidR="00A16ED4" w:rsidRPr="003049D2">
        <w:rPr>
          <w:rFonts w:ascii="Times New Roman" w:hAnsi="Times New Roman"/>
          <w:sz w:val="24"/>
          <w:szCs w:val="24"/>
        </w:rPr>
        <w:t xml:space="preserve">Natural Justice </w:t>
      </w:r>
      <w:r w:rsidRPr="003049D2">
        <w:rPr>
          <w:rFonts w:ascii="Times New Roman" w:hAnsi="Times New Roman"/>
          <w:sz w:val="24"/>
          <w:szCs w:val="24"/>
        </w:rPr>
        <w:t xml:space="preserve">has developed an information resource which it calls </w:t>
      </w:r>
      <w:r w:rsidR="00A16ED4" w:rsidRPr="003049D2">
        <w:rPr>
          <w:rFonts w:ascii="Times New Roman" w:hAnsi="Times New Roman"/>
          <w:sz w:val="24"/>
          <w:szCs w:val="24"/>
        </w:rPr>
        <w:t xml:space="preserve">the </w:t>
      </w:r>
      <w:r w:rsidR="00043AB2" w:rsidRPr="003049D2">
        <w:rPr>
          <w:rFonts w:ascii="Times New Roman" w:hAnsi="Times New Roman"/>
          <w:sz w:val="24"/>
          <w:szCs w:val="24"/>
        </w:rPr>
        <w:t>Living Convention</w:t>
      </w:r>
      <w:r w:rsidRPr="003049D2">
        <w:rPr>
          <w:rFonts w:ascii="Times New Roman" w:hAnsi="Times New Roman"/>
          <w:sz w:val="24"/>
          <w:szCs w:val="24"/>
        </w:rPr>
        <w:t>.  I</w:t>
      </w:r>
      <w:r w:rsidR="00A16ED4" w:rsidRPr="003049D2">
        <w:rPr>
          <w:rFonts w:ascii="Times New Roman" w:hAnsi="Times New Roman"/>
          <w:sz w:val="24"/>
          <w:szCs w:val="24"/>
        </w:rPr>
        <w:t>t</w:t>
      </w:r>
      <w:r w:rsidR="00043AB2" w:rsidRPr="003049D2">
        <w:rPr>
          <w:rFonts w:ascii="Times New Roman" w:hAnsi="Times New Roman"/>
          <w:sz w:val="24"/>
          <w:szCs w:val="24"/>
        </w:rPr>
        <w:t xml:space="preserve"> </w:t>
      </w:r>
      <w:r w:rsidR="00A16ED4" w:rsidRPr="003049D2">
        <w:rPr>
          <w:rFonts w:ascii="Times New Roman" w:hAnsi="Times New Roman"/>
          <w:sz w:val="24"/>
          <w:szCs w:val="24"/>
        </w:rPr>
        <w:t>provides</w:t>
      </w:r>
      <w:r w:rsidR="00043AB2" w:rsidRPr="003049D2">
        <w:rPr>
          <w:rFonts w:ascii="Times New Roman" w:hAnsi="Times New Roman"/>
          <w:sz w:val="24"/>
          <w:szCs w:val="24"/>
        </w:rPr>
        <w:t xml:space="preserve"> a range of the most important provisions in international law relating to the linkages between </w:t>
      </w:r>
      <w:r w:rsidR="002C1F91" w:rsidRPr="003049D2">
        <w:rPr>
          <w:rFonts w:ascii="Times New Roman" w:hAnsi="Times New Roman"/>
          <w:sz w:val="24"/>
          <w:szCs w:val="24"/>
        </w:rPr>
        <w:t>i</w:t>
      </w:r>
      <w:r w:rsidR="00043AB2" w:rsidRPr="003049D2">
        <w:rPr>
          <w:rFonts w:ascii="Times New Roman" w:hAnsi="Times New Roman"/>
          <w:sz w:val="24"/>
          <w:szCs w:val="24"/>
        </w:rPr>
        <w:t xml:space="preserve">ndigenous </w:t>
      </w:r>
      <w:r w:rsidR="002C1F91" w:rsidRPr="003049D2">
        <w:rPr>
          <w:rFonts w:ascii="Times New Roman" w:hAnsi="Times New Roman"/>
          <w:sz w:val="24"/>
          <w:szCs w:val="24"/>
        </w:rPr>
        <w:t xml:space="preserve">and </w:t>
      </w:r>
      <w:r w:rsidR="00043AB2" w:rsidRPr="003049D2">
        <w:rPr>
          <w:rFonts w:ascii="Times New Roman" w:hAnsi="Times New Roman"/>
          <w:sz w:val="24"/>
          <w:szCs w:val="24"/>
        </w:rPr>
        <w:t>local communities and their territories, lands, natural resources, and knowledge</w:t>
      </w:r>
      <w:r w:rsidR="00B909E5" w:rsidRPr="003049D2">
        <w:rPr>
          <w:rFonts w:ascii="Times New Roman" w:hAnsi="Times New Roman"/>
          <w:sz w:val="24"/>
          <w:szCs w:val="24"/>
        </w:rPr>
        <w:t xml:space="preserve"> systems.</w:t>
      </w:r>
      <w:r w:rsidR="00510783" w:rsidRPr="003049D2">
        <w:rPr>
          <w:rFonts w:ascii="Times New Roman" w:hAnsi="Times New Roman"/>
          <w:sz w:val="24"/>
          <w:szCs w:val="24"/>
        </w:rPr>
        <w:t xml:space="preserve"> </w:t>
      </w:r>
      <w:r w:rsidR="00043AB2" w:rsidRPr="003049D2">
        <w:rPr>
          <w:rFonts w:ascii="Times New Roman" w:hAnsi="Times New Roman"/>
          <w:sz w:val="24"/>
          <w:szCs w:val="24"/>
        </w:rPr>
        <w:t xml:space="preserve">The Living Convention </w:t>
      </w:r>
      <w:r w:rsidRPr="003049D2">
        <w:rPr>
          <w:rFonts w:ascii="Times New Roman" w:hAnsi="Times New Roman"/>
          <w:sz w:val="24"/>
          <w:szCs w:val="24"/>
        </w:rPr>
        <w:t xml:space="preserve">reproduces provisions </w:t>
      </w:r>
      <w:r w:rsidR="00043AB2" w:rsidRPr="003049D2">
        <w:rPr>
          <w:rFonts w:ascii="Times New Roman" w:hAnsi="Times New Roman"/>
          <w:sz w:val="24"/>
          <w:szCs w:val="24"/>
        </w:rPr>
        <w:t>from international instruments that support the integrity and resilience of Indigenous Peoples’ and local communities’ territories and other social-ecological systems</w:t>
      </w:r>
      <w:r w:rsidRPr="003049D2">
        <w:rPr>
          <w:rFonts w:ascii="Times New Roman" w:hAnsi="Times New Roman"/>
          <w:sz w:val="24"/>
          <w:szCs w:val="24"/>
        </w:rPr>
        <w:t>.  It organizes</w:t>
      </w:r>
      <w:r w:rsidR="000E0BF8" w:rsidRPr="003049D2">
        <w:rPr>
          <w:rFonts w:ascii="Times New Roman" w:hAnsi="Times New Roman"/>
          <w:sz w:val="24"/>
          <w:szCs w:val="24"/>
        </w:rPr>
        <w:t xml:space="preserve"> rights </w:t>
      </w:r>
      <w:r w:rsidRPr="003049D2">
        <w:rPr>
          <w:rFonts w:ascii="Times New Roman" w:hAnsi="Times New Roman"/>
          <w:sz w:val="24"/>
          <w:szCs w:val="24"/>
        </w:rPr>
        <w:t xml:space="preserve">in </w:t>
      </w:r>
      <w:r w:rsidR="000E0BF8" w:rsidRPr="003049D2">
        <w:rPr>
          <w:rFonts w:ascii="Times New Roman" w:hAnsi="Times New Roman"/>
          <w:sz w:val="24"/>
          <w:szCs w:val="24"/>
        </w:rPr>
        <w:t xml:space="preserve">substantive </w:t>
      </w:r>
      <w:r w:rsidRPr="003049D2">
        <w:rPr>
          <w:rFonts w:ascii="Times New Roman" w:hAnsi="Times New Roman"/>
          <w:sz w:val="24"/>
          <w:szCs w:val="24"/>
        </w:rPr>
        <w:t>and</w:t>
      </w:r>
      <w:r w:rsidR="000E0BF8" w:rsidRPr="003049D2">
        <w:rPr>
          <w:rFonts w:ascii="Times New Roman" w:hAnsi="Times New Roman"/>
          <w:sz w:val="24"/>
          <w:szCs w:val="24"/>
        </w:rPr>
        <w:t xml:space="preserve"> procedural categories</w:t>
      </w:r>
      <w:r w:rsidRPr="003049D2">
        <w:rPr>
          <w:rFonts w:ascii="Times New Roman" w:hAnsi="Times New Roman"/>
          <w:sz w:val="24"/>
          <w:szCs w:val="24"/>
        </w:rPr>
        <w:t xml:space="preserve">, and </w:t>
      </w:r>
      <w:r w:rsidR="00043AB2" w:rsidRPr="003049D2">
        <w:rPr>
          <w:rFonts w:ascii="Times New Roman" w:hAnsi="Times New Roman"/>
          <w:sz w:val="24"/>
          <w:szCs w:val="24"/>
        </w:rPr>
        <w:t xml:space="preserve">under headings chosen to reflect rights as expressed and deployed in practice at local, national and international levels. </w:t>
      </w:r>
      <w:r w:rsidR="003049D2" w:rsidRPr="003049D2">
        <w:rPr>
          <w:rFonts w:ascii="Times New Roman" w:hAnsi="Times New Roman"/>
          <w:sz w:val="24"/>
          <w:szCs w:val="24"/>
        </w:rPr>
        <w:t>For</w:t>
      </w:r>
      <w:r w:rsidR="00043AB2" w:rsidRPr="003049D2">
        <w:rPr>
          <w:rFonts w:ascii="Times New Roman" w:hAnsi="Times New Roman"/>
          <w:sz w:val="24"/>
          <w:szCs w:val="24"/>
        </w:rPr>
        <w:t xml:space="preserve"> example, all provisions that deal with </w:t>
      </w:r>
      <w:r w:rsidR="00695D35">
        <w:rPr>
          <w:rFonts w:ascii="Times New Roman" w:hAnsi="Times New Roman"/>
          <w:sz w:val="24"/>
          <w:szCs w:val="24"/>
        </w:rPr>
        <w:t>the principle of “free, prior and informed consent” (</w:t>
      </w:r>
      <w:r w:rsidR="00043AB2" w:rsidRPr="003049D2">
        <w:rPr>
          <w:rFonts w:ascii="Times New Roman" w:hAnsi="Times New Roman"/>
          <w:sz w:val="24"/>
          <w:szCs w:val="24"/>
        </w:rPr>
        <w:t>FPIC</w:t>
      </w:r>
      <w:r w:rsidR="00695D35">
        <w:rPr>
          <w:rFonts w:ascii="Times New Roman" w:hAnsi="Times New Roman"/>
          <w:sz w:val="24"/>
          <w:szCs w:val="24"/>
        </w:rPr>
        <w:t>) are grouped under one headin</w:t>
      </w:r>
      <w:bookmarkStart w:id="0" w:name="_GoBack"/>
      <w:bookmarkEnd w:id="0"/>
      <w:r w:rsidR="00695D35">
        <w:rPr>
          <w:rFonts w:ascii="Times New Roman" w:hAnsi="Times New Roman"/>
          <w:sz w:val="24"/>
          <w:szCs w:val="24"/>
        </w:rPr>
        <w:t>g</w:t>
      </w:r>
      <w:r w:rsidR="00043AB2" w:rsidRPr="003049D2">
        <w:rPr>
          <w:rFonts w:ascii="Times New Roman" w:hAnsi="Times New Roman"/>
          <w:sz w:val="24"/>
          <w:szCs w:val="24"/>
        </w:rPr>
        <w:t xml:space="preserve">, regardless of whether they are located in human rights instruments or multilateral environmental agreements. </w:t>
      </w:r>
      <w:r w:rsidR="00510783" w:rsidRPr="003049D2">
        <w:rPr>
          <w:rFonts w:ascii="Times New Roman" w:hAnsi="Times New Roman"/>
          <w:sz w:val="24"/>
          <w:szCs w:val="24"/>
        </w:rPr>
        <w:t xml:space="preserve"> The Living Convention also includes annexes, which (among other things): detail the instruments reviewed, included, and excluded from the Compendium; provide</w:t>
      </w:r>
      <w:r w:rsidR="003049D2" w:rsidRPr="003049D2">
        <w:rPr>
          <w:rFonts w:ascii="Times New Roman" w:hAnsi="Times New Roman"/>
          <w:sz w:val="24"/>
          <w:szCs w:val="24"/>
        </w:rPr>
        <w:t>s</w:t>
      </w:r>
      <w:r w:rsidR="00510783" w:rsidRPr="003049D2">
        <w:rPr>
          <w:rFonts w:ascii="Times New Roman" w:hAnsi="Times New Roman"/>
          <w:sz w:val="24"/>
          <w:szCs w:val="24"/>
        </w:rPr>
        <w:t xml:space="preserve"> a list of relevant international and regional judgments; and list</w:t>
      </w:r>
      <w:r w:rsidR="003049D2" w:rsidRPr="003049D2">
        <w:rPr>
          <w:rFonts w:ascii="Times New Roman" w:hAnsi="Times New Roman"/>
          <w:sz w:val="24"/>
          <w:szCs w:val="24"/>
        </w:rPr>
        <w:t>s</w:t>
      </w:r>
      <w:r w:rsidR="00510783" w:rsidRPr="003049D2">
        <w:rPr>
          <w:rFonts w:ascii="Times New Roman" w:hAnsi="Times New Roman"/>
          <w:sz w:val="24"/>
          <w:szCs w:val="24"/>
        </w:rPr>
        <w:t xml:space="preserve"> a number of </w:t>
      </w:r>
      <w:r w:rsidR="00695D35">
        <w:rPr>
          <w:rFonts w:ascii="Times New Roman" w:hAnsi="Times New Roman"/>
          <w:sz w:val="24"/>
          <w:szCs w:val="24"/>
        </w:rPr>
        <w:t>i</w:t>
      </w:r>
      <w:r w:rsidR="00510783" w:rsidRPr="003049D2">
        <w:rPr>
          <w:rFonts w:ascii="Times New Roman" w:hAnsi="Times New Roman"/>
          <w:sz w:val="24"/>
          <w:szCs w:val="24"/>
        </w:rPr>
        <w:t>ndigenous peoples’ declarations.</w:t>
      </w:r>
    </w:p>
    <w:p w:rsidR="00AD20E2" w:rsidRPr="003049D2" w:rsidRDefault="00695D35" w:rsidP="00AD2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B4617" w:rsidRPr="003049D2">
        <w:rPr>
          <w:rFonts w:ascii="Times New Roman" w:hAnsi="Times New Roman"/>
          <w:sz w:val="24"/>
          <w:szCs w:val="24"/>
        </w:rPr>
        <w:t xml:space="preserve">he Living Convention is available for download in English and Spanish </w:t>
      </w:r>
      <w:r>
        <w:rPr>
          <w:rFonts w:ascii="Times New Roman" w:hAnsi="Times New Roman"/>
          <w:sz w:val="24"/>
          <w:szCs w:val="24"/>
        </w:rPr>
        <w:t>at</w:t>
      </w:r>
      <w:r w:rsidR="00BB4617" w:rsidRPr="003049D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721A6">
          <w:rPr>
            <w:rStyle w:val="Hyperlink"/>
            <w:rFonts w:ascii="Times New Roman" w:hAnsi="Times New Roman"/>
            <w:sz w:val="24"/>
            <w:szCs w:val="24"/>
          </w:rPr>
          <w:t>http://naturaljustice.org/library/our-publications/legal-research-resources/the-living-convention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F2F14" w:rsidRPr="00484851" w:rsidRDefault="00AD20E2">
      <w:pPr>
        <w:rPr>
          <w:rFonts w:ascii="Times New Roman" w:hAnsi="Times New Roman"/>
          <w:sz w:val="24"/>
          <w:szCs w:val="24"/>
        </w:rPr>
      </w:pPr>
      <w:r w:rsidRPr="003049D2">
        <w:rPr>
          <w:rStyle w:val="Heading2Char"/>
          <w:rFonts w:ascii="Times New Roman" w:hAnsi="Times New Roman" w:cs="Times New Roman"/>
          <w:sz w:val="24"/>
          <w:szCs w:val="24"/>
        </w:rPr>
        <w:t>Further Information</w:t>
      </w:r>
      <w:r w:rsidRPr="003049D2">
        <w:rPr>
          <w:rFonts w:ascii="Times New Roman" w:hAnsi="Times New Roman"/>
          <w:sz w:val="24"/>
          <w:szCs w:val="24"/>
        </w:rPr>
        <w:t xml:space="preserve">: </w:t>
      </w:r>
      <w:r w:rsidR="00BB4617" w:rsidRPr="003049D2">
        <w:rPr>
          <w:rFonts w:ascii="Times New Roman" w:hAnsi="Times New Roman"/>
          <w:sz w:val="24"/>
          <w:szCs w:val="24"/>
        </w:rPr>
        <w:t xml:space="preserve">Natural Justice’s web site: </w:t>
      </w:r>
      <w:hyperlink r:id="rId7" w:history="1">
        <w:r w:rsidR="00695D35" w:rsidRPr="001721A6">
          <w:rPr>
            <w:rStyle w:val="Hyperlink"/>
            <w:rFonts w:ascii="Times New Roman" w:hAnsi="Times New Roman"/>
            <w:sz w:val="24"/>
            <w:szCs w:val="24"/>
          </w:rPr>
          <w:t>http://naturaljustice.org</w:t>
        </w:r>
      </w:hyperlink>
      <w:r w:rsidR="00695D35">
        <w:rPr>
          <w:rFonts w:ascii="Times New Roman" w:hAnsi="Times New Roman"/>
          <w:sz w:val="24"/>
          <w:szCs w:val="24"/>
        </w:rPr>
        <w:t>.</w:t>
      </w:r>
    </w:p>
    <w:sectPr w:rsidR="006F2F14" w:rsidRPr="00484851" w:rsidSect="00043A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43AB2"/>
    <w:rsid w:val="000A1EB9"/>
    <w:rsid w:val="000B616F"/>
    <w:rsid w:val="000C6CEB"/>
    <w:rsid w:val="000E0BF8"/>
    <w:rsid w:val="002441CF"/>
    <w:rsid w:val="002C1F91"/>
    <w:rsid w:val="002D316B"/>
    <w:rsid w:val="003049D2"/>
    <w:rsid w:val="0038640F"/>
    <w:rsid w:val="0044401B"/>
    <w:rsid w:val="00484851"/>
    <w:rsid w:val="00502A8C"/>
    <w:rsid w:val="00510783"/>
    <w:rsid w:val="00545DD6"/>
    <w:rsid w:val="006332F4"/>
    <w:rsid w:val="00695D35"/>
    <w:rsid w:val="006F2F14"/>
    <w:rsid w:val="007F6BCE"/>
    <w:rsid w:val="00814CE6"/>
    <w:rsid w:val="00817E3E"/>
    <w:rsid w:val="00833BDD"/>
    <w:rsid w:val="00A16ED4"/>
    <w:rsid w:val="00AD20E2"/>
    <w:rsid w:val="00B909E5"/>
    <w:rsid w:val="00BB4617"/>
    <w:rsid w:val="00BD29C4"/>
    <w:rsid w:val="00DF2BCE"/>
    <w:rsid w:val="00E1500D"/>
    <w:rsid w:val="00EE1521"/>
    <w:rsid w:val="00F60B60"/>
    <w:rsid w:val="00FE3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0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0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0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0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0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0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turaljustice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aljustice.org/library/our-publications/legal-research-resources/the-living-convention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A5EDC-4326-4344-B4EC-EEEDA71CE299}"/>
</file>

<file path=customXml/itemProps2.xml><?xml version="1.0" encoding="utf-8"?>
<ds:datastoreItem xmlns:ds="http://schemas.openxmlformats.org/officeDocument/2006/customXml" ds:itemID="{F852BB53-1427-4D44-8D70-42C7EEAFD06C}"/>
</file>

<file path=customXml/itemProps3.xml><?xml version="1.0" encoding="utf-8"?>
<ds:datastoreItem xmlns:ds="http://schemas.openxmlformats.org/officeDocument/2006/customXml" ds:itemID="{7B96C238-0CD6-4651-BE35-F35477965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Knox, John H.</cp:lastModifiedBy>
  <cp:revision>3</cp:revision>
  <dcterms:created xsi:type="dcterms:W3CDTF">2014-11-27T14:32:00Z</dcterms:created>
  <dcterms:modified xsi:type="dcterms:W3CDTF">2014-11-27T14:37:00Z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