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187C6A" w:rsidRPr="00187C6A">
        <w:t xml:space="preserve"> </w:t>
      </w:r>
      <w:r w:rsidR="00187C6A" w:rsidRPr="00187C6A">
        <w:rPr>
          <w:rStyle w:val="Heading2Char"/>
          <w:rFonts w:ascii="Times New Roman" w:hAnsi="Times New Roman" w:cs="Times New Roman"/>
          <w:szCs w:val="24"/>
        </w:rPr>
        <w:t xml:space="preserve"> </w:t>
      </w:r>
      <w:r w:rsidR="00187C6A">
        <w:rPr>
          <w:rStyle w:val="Heading2Char"/>
          <w:rFonts w:ascii="Times New Roman" w:hAnsi="Times New Roman" w:cs="Times New Roman"/>
          <w:szCs w:val="24"/>
        </w:rPr>
        <w:t>Obligatio</w:t>
      </w:r>
      <w:bookmarkStart w:id="0" w:name="_GoBack"/>
      <w:bookmarkEnd w:id="0"/>
      <w:r w:rsidR="00187C6A">
        <w:rPr>
          <w:rStyle w:val="Heading2Char"/>
          <w:rFonts w:ascii="Times New Roman" w:hAnsi="Times New Roman" w:cs="Times New Roman"/>
          <w:szCs w:val="24"/>
        </w:rPr>
        <w:t>ns Relating to Those in Vulnerable Situations</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A468FE">
        <w:rPr>
          <w:rStyle w:val="Heading2Char"/>
          <w:rFonts w:ascii="Times New Roman" w:hAnsi="Times New Roman" w:cs="Times New Roman"/>
          <w:szCs w:val="24"/>
        </w:rPr>
        <w:t xml:space="preserve">: </w:t>
      </w:r>
      <w:r w:rsidR="00187C6A">
        <w:rPr>
          <w:rStyle w:val="Heading2Char"/>
          <w:rFonts w:ascii="Times New Roman" w:hAnsi="Times New Roman" w:cs="Times New Roman"/>
          <w:szCs w:val="24"/>
        </w:rPr>
        <w:t>Indigenous</w:t>
      </w:r>
      <w:r w:rsidR="00030343">
        <w:rPr>
          <w:rStyle w:val="Heading2Char"/>
          <w:rFonts w:ascii="Times New Roman" w:hAnsi="Times New Roman" w:cs="Times New Roman"/>
          <w:szCs w:val="24"/>
        </w:rPr>
        <w:t xml:space="preserve"> Peoples</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187C6A">
        <w:rPr>
          <w:rStyle w:val="Heading2Char"/>
          <w:rFonts w:ascii="Times New Roman" w:hAnsi="Times New Roman" w:cs="Times New Roman"/>
          <w:szCs w:val="24"/>
        </w:rPr>
        <w:t>Indigenous Peoples</w:t>
      </w:r>
      <w:r w:rsidR="006B4588">
        <w:rPr>
          <w:rStyle w:val="Heading2Char"/>
          <w:rFonts w:ascii="Times New Roman" w:hAnsi="Times New Roman" w:cs="Times New Roman"/>
          <w:szCs w:val="24"/>
        </w:rPr>
        <w:t>’ Property</w:t>
      </w:r>
      <w:r w:rsidR="00187C6A">
        <w:rPr>
          <w:rStyle w:val="Heading2Char"/>
          <w:rFonts w:ascii="Times New Roman" w:hAnsi="Times New Roman" w:cs="Times New Roman"/>
          <w:szCs w:val="24"/>
        </w:rPr>
        <w:t xml:space="preserve"> Rights</w:t>
      </w:r>
      <w:r w:rsidR="006B4588">
        <w:rPr>
          <w:rStyle w:val="Heading2Char"/>
          <w:rFonts w:ascii="Times New Roman" w:hAnsi="Times New Roman" w:cs="Times New Roman"/>
          <w:szCs w:val="24"/>
        </w:rPr>
        <w:t xml:space="preserve"> -</w:t>
      </w:r>
      <w:r w:rsidR="006A70D3">
        <w:rPr>
          <w:rStyle w:val="Heading2Char"/>
          <w:rFonts w:ascii="Times New Roman" w:hAnsi="Times New Roman" w:cs="Times New Roman"/>
          <w:szCs w:val="24"/>
        </w:rPr>
        <w:t xml:space="preserve"> Jurisprudence of the </w:t>
      </w:r>
      <w:r w:rsidR="00082320">
        <w:rPr>
          <w:rFonts w:ascii="Times New Roman" w:eastAsia="Times New Roman" w:hAnsi="Times New Roman"/>
          <w:b/>
          <w:bCs/>
          <w:smallCaps/>
          <w:color w:val="000000"/>
          <w:sz w:val="24"/>
          <w:szCs w:val="24"/>
          <w:lang w:val="en-US"/>
        </w:rPr>
        <w:t>Inter-American Court</w:t>
      </w:r>
      <w:r w:rsidR="006A70D3">
        <w:rPr>
          <w:rFonts w:ascii="Times New Roman" w:eastAsia="Times New Roman" w:hAnsi="Times New Roman"/>
          <w:b/>
          <w:bCs/>
          <w:smallCaps/>
          <w:color w:val="000000"/>
          <w:sz w:val="24"/>
          <w:szCs w:val="24"/>
          <w:lang w:val="en-US"/>
        </w:rPr>
        <w:t xml:space="preserve"> of Human Rights</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50347C">
        <w:rPr>
          <w:rFonts w:ascii="Times New Roman" w:hAnsi="Times New Roman"/>
          <w:sz w:val="24"/>
          <w:szCs w:val="24"/>
        </w:rPr>
        <w:t xml:space="preserve">Access to Justice, </w:t>
      </w:r>
      <w:r w:rsidR="00030343" w:rsidRPr="00030343">
        <w:rPr>
          <w:rFonts w:ascii="Times New Roman" w:hAnsi="Times New Roman"/>
          <w:sz w:val="24"/>
          <w:szCs w:val="24"/>
        </w:rPr>
        <w:t>Free Prior and Informed Consent</w:t>
      </w:r>
      <w:r w:rsidR="00030343">
        <w:rPr>
          <w:rFonts w:ascii="Times New Roman" w:hAnsi="Times New Roman"/>
          <w:sz w:val="24"/>
          <w:szCs w:val="24"/>
        </w:rPr>
        <w:t>,</w:t>
      </w:r>
      <w:r w:rsidR="00030343" w:rsidRPr="00030343">
        <w:rPr>
          <w:rFonts w:ascii="Times New Roman" w:hAnsi="Times New Roman"/>
          <w:sz w:val="24"/>
          <w:szCs w:val="24"/>
        </w:rPr>
        <w:t xml:space="preserve"> </w:t>
      </w:r>
      <w:r w:rsidR="006B4588">
        <w:rPr>
          <w:rFonts w:ascii="Times New Roman" w:hAnsi="Times New Roman"/>
          <w:sz w:val="24"/>
          <w:szCs w:val="24"/>
        </w:rPr>
        <w:t xml:space="preserve">Indigenous, </w:t>
      </w:r>
      <w:r w:rsidR="0050347C">
        <w:rPr>
          <w:rFonts w:ascii="Times New Roman" w:hAnsi="Times New Roman"/>
          <w:sz w:val="24"/>
          <w:szCs w:val="24"/>
        </w:rPr>
        <w:t xml:space="preserve">Jurisprudence, </w:t>
      </w:r>
      <w:r w:rsidR="00E07D91">
        <w:rPr>
          <w:rFonts w:ascii="Times New Roman" w:hAnsi="Times New Roman"/>
          <w:sz w:val="24"/>
          <w:szCs w:val="24"/>
        </w:rPr>
        <w:t xml:space="preserve">Regional, </w:t>
      </w:r>
      <w:r w:rsidR="0016516D">
        <w:rPr>
          <w:rFonts w:ascii="Times New Roman" w:hAnsi="Times New Roman"/>
          <w:sz w:val="24"/>
          <w:szCs w:val="24"/>
        </w:rPr>
        <w:t>Tr</w:t>
      </w:r>
      <w:r w:rsidR="0050347C">
        <w:rPr>
          <w:rFonts w:ascii="Times New Roman" w:hAnsi="Times New Roman"/>
          <w:sz w:val="24"/>
          <w:szCs w:val="24"/>
        </w:rPr>
        <w:t>ibunal</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8C4C5A">
        <w:rPr>
          <w:rFonts w:ascii="Times New Roman" w:hAnsi="Times New Roman"/>
          <w:sz w:val="24"/>
          <w:szCs w:val="24"/>
        </w:rPr>
        <w:t>Court</w:t>
      </w:r>
      <w:r w:rsidR="00A468FE">
        <w:rPr>
          <w:rFonts w:ascii="Times New Roman" w:hAnsi="Times New Roman"/>
          <w:sz w:val="24"/>
          <w:szCs w:val="24"/>
        </w:rPr>
        <w:t xml:space="preserve">: </w:t>
      </w:r>
      <w:r w:rsidR="00EF36CC">
        <w:rPr>
          <w:rFonts w:ascii="Times New Roman" w:hAnsi="Times New Roman"/>
          <w:sz w:val="24"/>
          <w:szCs w:val="24"/>
        </w:rPr>
        <w:t>Inter-American</w:t>
      </w:r>
      <w:r w:rsidR="008C4C5A">
        <w:rPr>
          <w:rFonts w:ascii="Times New Roman" w:hAnsi="Times New Roman"/>
          <w:sz w:val="24"/>
          <w:szCs w:val="24"/>
        </w:rPr>
        <w:t xml:space="preserve"> Court of Human Rights</w:t>
      </w:r>
      <w:r w:rsidR="00782D30">
        <w:rPr>
          <w:rFonts w:ascii="Times New Roman" w:hAnsi="Times New Roman"/>
          <w:sz w:val="24"/>
          <w:szCs w:val="24"/>
        </w:rPr>
        <w:t xml:space="preserve"> </w:t>
      </w:r>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8D775C">
        <w:rPr>
          <w:rFonts w:ascii="Times New Roman" w:hAnsi="Times New Roman"/>
          <w:sz w:val="24"/>
          <w:szCs w:val="24"/>
        </w:rPr>
        <w:t>20 countries in Latin America and the Caribbean subject to the Court’s jurisdiction</w:t>
      </w:r>
    </w:p>
    <w:p w:rsidR="00A73AE4" w:rsidRDefault="00FF4ED4" w:rsidP="00EF36CC">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782D30">
        <w:rPr>
          <w:rFonts w:ascii="Times New Roman" w:eastAsiaTheme="majorEastAsia" w:hAnsi="Times New Roman"/>
          <w:bCs/>
          <w:color w:val="000000" w:themeColor="text1"/>
          <w:sz w:val="24"/>
          <w:szCs w:val="24"/>
          <w:lang w:val="en-US"/>
        </w:rPr>
        <w:t xml:space="preserve">The </w:t>
      </w:r>
      <w:r w:rsidR="00EF36CC">
        <w:rPr>
          <w:rFonts w:ascii="Times New Roman" w:eastAsiaTheme="majorEastAsia" w:hAnsi="Times New Roman"/>
          <w:bCs/>
          <w:color w:val="000000" w:themeColor="text1"/>
          <w:sz w:val="24"/>
          <w:szCs w:val="24"/>
          <w:lang w:val="en-US"/>
        </w:rPr>
        <w:t>Inter-American Court of Human Rights</w:t>
      </w:r>
      <w:r w:rsidR="0050347C">
        <w:rPr>
          <w:rFonts w:ascii="Times New Roman" w:eastAsiaTheme="majorEastAsia" w:hAnsi="Times New Roman"/>
          <w:bCs/>
          <w:color w:val="000000" w:themeColor="text1"/>
          <w:sz w:val="24"/>
          <w:szCs w:val="24"/>
          <w:lang w:val="en-US"/>
        </w:rPr>
        <w:t xml:space="preserve"> </w:t>
      </w:r>
      <w:r w:rsidR="00EF36CC" w:rsidRPr="00EF36CC">
        <w:rPr>
          <w:rFonts w:ascii="Times New Roman" w:eastAsia="Times New Roman" w:hAnsi="Times New Roman"/>
          <w:bCs/>
          <w:color w:val="000000"/>
          <w:sz w:val="24"/>
          <w:szCs w:val="24"/>
          <w:lang w:val="en-US"/>
        </w:rPr>
        <w:t xml:space="preserve">applies and interprets the American Convention on Human Rights </w:t>
      </w:r>
      <w:r w:rsidR="00A73AE4">
        <w:rPr>
          <w:rFonts w:ascii="Times New Roman" w:eastAsiaTheme="majorEastAsia" w:hAnsi="Times New Roman"/>
          <w:bCs/>
          <w:color w:val="000000" w:themeColor="text1"/>
          <w:sz w:val="24"/>
          <w:szCs w:val="24"/>
          <w:lang w:val="en-US"/>
        </w:rPr>
        <w:t xml:space="preserve">in respect to the </w:t>
      </w:r>
      <w:r w:rsidR="004336E1">
        <w:rPr>
          <w:rFonts w:ascii="Times New Roman" w:eastAsiaTheme="majorEastAsia" w:hAnsi="Times New Roman"/>
          <w:bCs/>
          <w:color w:val="000000" w:themeColor="text1"/>
          <w:sz w:val="24"/>
          <w:szCs w:val="24"/>
          <w:lang w:val="en-US"/>
        </w:rPr>
        <w:t xml:space="preserve">20 </w:t>
      </w:r>
      <w:r w:rsidR="00A73AE4">
        <w:rPr>
          <w:rFonts w:ascii="Times New Roman" w:eastAsiaTheme="majorEastAsia" w:hAnsi="Times New Roman"/>
          <w:bCs/>
          <w:color w:val="000000" w:themeColor="text1"/>
          <w:sz w:val="24"/>
          <w:szCs w:val="24"/>
          <w:lang w:val="en-US"/>
        </w:rPr>
        <w:t>State</w:t>
      </w:r>
      <w:r w:rsidR="00EF36CC" w:rsidRPr="00EF36CC">
        <w:rPr>
          <w:rFonts w:ascii="Times New Roman" w:eastAsia="Times New Roman" w:hAnsi="Times New Roman"/>
          <w:bCs/>
          <w:color w:val="000000"/>
          <w:sz w:val="24"/>
          <w:szCs w:val="24"/>
          <w:lang w:val="en-US"/>
        </w:rPr>
        <w:t xml:space="preserve"> Parties </w:t>
      </w:r>
      <w:r w:rsidR="00A73AE4">
        <w:rPr>
          <w:rFonts w:ascii="Times New Roman" w:eastAsiaTheme="majorEastAsia" w:hAnsi="Times New Roman"/>
          <w:bCs/>
          <w:color w:val="000000" w:themeColor="text1"/>
          <w:sz w:val="24"/>
          <w:szCs w:val="24"/>
          <w:lang w:val="en-US"/>
        </w:rPr>
        <w:t xml:space="preserve">who have agreed to the Court’s contentious jurisdiction. </w:t>
      </w:r>
      <w:r w:rsidR="00A73AE4" w:rsidRPr="00A73AE4">
        <w:rPr>
          <w:rFonts w:ascii="Times New Roman" w:eastAsiaTheme="majorEastAsia" w:hAnsi="Times New Roman"/>
          <w:bCs/>
          <w:color w:val="000000" w:themeColor="text1"/>
          <w:sz w:val="24"/>
          <w:szCs w:val="24"/>
        </w:rPr>
        <w:t xml:space="preserve">Only a State Party or the Inter-American Commission on Human Rights </w:t>
      </w:r>
      <w:r w:rsidR="00A73AE4">
        <w:rPr>
          <w:rFonts w:ascii="Times New Roman" w:eastAsiaTheme="majorEastAsia" w:hAnsi="Times New Roman"/>
          <w:bCs/>
          <w:color w:val="000000" w:themeColor="text1"/>
          <w:sz w:val="24"/>
          <w:szCs w:val="24"/>
        </w:rPr>
        <w:t xml:space="preserve">has the capacity to bring cases before the </w:t>
      </w:r>
      <w:r w:rsidR="008F7BA0">
        <w:rPr>
          <w:rFonts w:ascii="Times New Roman" w:eastAsiaTheme="majorEastAsia" w:hAnsi="Times New Roman"/>
          <w:bCs/>
          <w:color w:val="000000" w:themeColor="text1"/>
          <w:sz w:val="24"/>
          <w:szCs w:val="24"/>
        </w:rPr>
        <w:t>Court</w:t>
      </w:r>
      <w:r w:rsidR="00A73AE4">
        <w:rPr>
          <w:rFonts w:ascii="Times New Roman" w:eastAsiaTheme="majorEastAsia" w:hAnsi="Times New Roman"/>
          <w:bCs/>
          <w:color w:val="000000" w:themeColor="text1"/>
          <w:sz w:val="24"/>
          <w:szCs w:val="24"/>
        </w:rPr>
        <w:t>.</w:t>
      </w:r>
    </w:p>
    <w:p w:rsidR="00F66E76" w:rsidRDefault="00A73AE4" w:rsidP="00A468FE">
      <w:pPr>
        <w:rPr>
          <w:rFonts w:ascii="Times New Roman" w:eastAsiaTheme="majorEastAsia" w:hAnsi="Times New Roman"/>
          <w:bCs/>
          <w:color w:val="000000" w:themeColor="text1"/>
          <w:sz w:val="24"/>
          <w:szCs w:val="24"/>
          <w:lang w:val="en-US"/>
        </w:rPr>
      </w:pPr>
      <w:r>
        <w:rPr>
          <w:rFonts w:ascii="Times New Roman" w:eastAsiaTheme="majorEastAsia" w:hAnsi="Times New Roman"/>
          <w:bCs/>
          <w:color w:val="000000" w:themeColor="text1"/>
          <w:sz w:val="24"/>
          <w:szCs w:val="24"/>
        </w:rPr>
        <w:t xml:space="preserve">The </w:t>
      </w:r>
      <w:r w:rsidR="008F7BA0">
        <w:rPr>
          <w:rFonts w:ascii="Times New Roman" w:eastAsiaTheme="majorEastAsia" w:hAnsi="Times New Roman"/>
          <w:bCs/>
          <w:color w:val="000000" w:themeColor="text1"/>
          <w:sz w:val="24"/>
          <w:szCs w:val="24"/>
        </w:rPr>
        <w:t>Court</w:t>
      </w:r>
      <w:r>
        <w:rPr>
          <w:rFonts w:ascii="Times New Roman" w:eastAsiaTheme="majorEastAsia" w:hAnsi="Times New Roman"/>
          <w:bCs/>
          <w:color w:val="000000" w:themeColor="text1"/>
          <w:sz w:val="24"/>
          <w:szCs w:val="24"/>
        </w:rPr>
        <w:t xml:space="preserve"> has</w:t>
      </w:r>
      <w:r w:rsidRPr="00A73AE4">
        <w:rPr>
          <w:rFonts w:ascii="Times New Roman" w:eastAsiaTheme="majorEastAsia" w:hAnsi="Times New Roman"/>
          <w:bCs/>
          <w:color w:val="000000" w:themeColor="text1"/>
          <w:sz w:val="24"/>
          <w:szCs w:val="24"/>
        </w:rPr>
        <w:t xml:space="preserve"> devel</w:t>
      </w:r>
      <w:r>
        <w:rPr>
          <w:rFonts w:ascii="Times New Roman" w:eastAsiaTheme="majorEastAsia" w:hAnsi="Times New Roman"/>
          <w:bCs/>
          <w:color w:val="000000" w:themeColor="text1"/>
          <w:sz w:val="24"/>
          <w:szCs w:val="24"/>
        </w:rPr>
        <w:t xml:space="preserve">oped a strong jurisprudence on indigenous </w:t>
      </w:r>
      <w:r w:rsidR="004B4FAE">
        <w:rPr>
          <w:rFonts w:ascii="Times New Roman" w:eastAsiaTheme="majorEastAsia" w:hAnsi="Times New Roman"/>
          <w:bCs/>
          <w:color w:val="000000" w:themeColor="text1"/>
          <w:sz w:val="24"/>
          <w:szCs w:val="24"/>
        </w:rPr>
        <w:t xml:space="preserve">and tribal property </w:t>
      </w:r>
      <w:r>
        <w:rPr>
          <w:rFonts w:ascii="Times New Roman" w:eastAsiaTheme="majorEastAsia" w:hAnsi="Times New Roman"/>
          <w:bCs/>
          <w:color w:val="000000" w:themeColor="text1"/>
          <w:sz w:val="24"/>
          <w:szCs w:val="24"/>
        </w:rPr>
        <w:t xml:space="preserve">rights </w:t>
      </w:r>
      <w:r w:rsidRPr="00A73AE4">
        <w:rPr>
          <w:rFonts w:ascii="Times New Roman" w:eastAsiaTheme="majorEastAsia" w:hAnsi="Times New Roman"/>
          <w:bCs/>
          <w:color w:val="000000" w:themeColor="text1"/>
          <w:sz w:val="24"/>
          <w:szCs w:val="24"/>
        </w:rPr>
        <w:t>issues through its interpretation</w:t>
      </w:r>
      <w:r>
        <w:rPr>
          <w:rFonts w:ascii="Times New Roman" w:eastAsiaTheme="majorEastAsia" w:hAnsi="Times New Roman"/>
          <w:bCs/>
          <w:color w:val="000000" w:themeColor="text1"/>
          <w:sz w:val="24"/>
          <w:szCs w:val="24"/>
        </w:rPr>
        <w:t xml:space="preserve"> of the American Convention.  </w:t>
      </w:r>
      <w:r w:rsidR="008D775C">
        <w:rPr>
          <w:rFonts w:ascii="Times New Roman" w:eastAsiaTheme="majorEastAsia" w:hAnsi="Times New Roman"/>
          <w:bCs/>
          <w:color w:val="000000" w:themeColor="text1"/>
          <w:sz w:val="24"/>
          <w:szCs w:val="24"/>
        </w:rPr>
        <w:t xml:space="preserve">For example, in the </w:t>
      </w:r>
      <w:r w:rsidR="008D775C" w:rsidRPr="008D775C">
        <w:rPr>
          <w:rFonts w:ascii="Times New Roman" w:eastAsia="Times New Roman" w:hAnsi="Times New Roman"/>
          <w:bCs/>
          <w:i/>
          <w:color w:val="000000"/>
          <w:sz w:val="24"/>
          <w:szCs w:val="24"/>
          <w:lang w:val="en-US"/>
        </w:rPr>
        <w:t xml:space="preserve">Case of the </w:t>
      </w:r>
      <w:proofErr w:type="spellStart"/>
      <w:r w:rsidR="008D775C" w:rsidRPr="008D775C">
        <w:rPr>
          <w:rFonts w:ascii="Times New Roman" w:eastAsia="Times New Roman" w:hAnsi="Times New Roman"/>
          <w:bCs/>
          <w:i/>
          <w:color w:val="000000"/>
          <w:sz w:val="24"/>
          <w:szCs w:val="24"/>
          <w:lang w:val="en-US"/>
        </w:rPr>
        <w:t>Mayagna</w:t>
      </w:r>
      <w:proofErr w:type="spellEnd"/>
      <w:r w:rsidR="008D775C" w:rsidRPr="008D775C">
        <w:rPr>
          <w:rFonts w:ascii="Times New Roman" w:eastAsia="Times New Roman" w:hAnsi="Times New Roman"/>
          <w:bCs/>
          <w:i/>
          <w:color w:val="000000"/>
          <w:sz w:val="24"/>
          <w:szCs w:val="24"/>
          <w:lang w:val="en-US"/>
        </w:rPr>
        <w:t xml:space="preserve"> (Sumo) </w:t>
      </w:r>
      <w:proofErr w:type="spellStart"/>
      <w:r w:rsidR="008D775C" w:rsidRPr="008D775C">
        <w:rPr>
          <w:rFonts w:ascii="Times New Roman" w:eastAsia="Times New Roman" w:hAnsi="Times New Roman"/>
          <w:bCs/>
          <w:i/>
          <w:color w:val="000000"/>
          <w:sz w:val="24"/>
          <w:szCs w:val="24"/>
          <w:lang w:val="en-US"/>
        </w:rPr>
        <w:t>Awas</w:t>
      </w:r>
      <w:proofErr w:type="spellEnd"/>
      <w:r w:rsidR="008D775C" w:rsidRPr="008D775C">
        <w:rPr>
          <w:rFonts w:ascii="Times New Roman" w:eastAsia="Times New Roman" w:hAnsi="Times New Roman"/>
          <w:bCs/>
          <w:i/>
          <w:color w:val="000000"/>
          <w:sz w:val="24"/>
          <w:szCs w:val="24"/>
          <w:lang w:val="en-US"/>
        </w:rPr>
        <w:t xml:space="preserve"> </w:t>
      </w:r>
      <w:proofErr w:type="spellStart"/>
      <w:r w:rsidR="008D775C" w:rsidRPr="008D775C">
        <w:rPr>
          <w:rFonts w:ascii="Times New Roman" w:eastAsia="Times New Roman" w:hAnsi="Times New Roman"/>
          <w:bCs/>
          <w:i/>
          <w:color w:val="000000"/>
          <w:sz w:val="24"/>
          <w:szCs w:val="24"/>
          <w:lang w:val="en-US"/>
        </w:rPr>
        <w:t>Tingni</w:t>
      </w:r>
      <w:proofErr w:type="spellEnd"/>
      <w:r w:rsidR="008D775C" w:rsidRPr="008D775C">
        <w:rPr>
          <w:rFonts w:ascii="Times New Roman" w:eastAsia="Times New Roman" w:hAnsi="Times New Roman"/>
          <w:bCs/>
          <w:i/>
          <w:color w:val="000000"/>
          <w:sz w:val="24"/>
          <w:szCs w:val="24"/>
          <w:lang w:val="en-US"/>
        </w:rPr>
        <w:t xml:space="preserve"> Community</w:t>
      </w:r>
      <w:r w:rsidR="008D775C">
        <w:rPr>
          <w:rFonts w:ascii="Times New Roman" w:eastAsiaTheme="majorEastAsia" w:hAnsi="Times New Roman"/>
          <w:bCs/>
          <w:color w:val="000000" w:themeColor="text1"/>
          <w:sz w:val="24"/>
          <w:szCs w:val="24"/>
          <w:lang w:val="en-US"/>
        </w:rPr>
        <w:t xml:space="preserve"> (</w:t>
      </w:r>
      <w:r w:rsidR="00754236">
        <w:rPr>
          <w:rFonts w:ascii="Times New Roman" w:eastAsiaTheme="majorEastAsia" w:hAnsi="Times New Roman"/>
          <w:bCs/>
          <w:color w:val="000000" w:themeColor="text1"/>
          <w:sz w:val="24"/>
          <w:szCs w:val="24"/>
          <w:lang w:val="en-US"/>
        </w:rPr>
        <w:t>2001)</w:t>
      </w:r>
      <w:r w:rsidR="006B4588">
        <w:rPr>
          <w:rFonts w:ascii="Times New Roman" w:eastAsiaTheme="majorEastAsia" w:hAnsi="Times New Roman"/>
          <w:bCs/>
          <w:color w:val="000000" w:themeColor="text1"/>
          <w:sz w:val="24"/>
          <w:szCs w:val="24"/>
          <w:lang w:val="en-US"/>
        </w:rPr>
        <w:t>, the Court</w:t>
      </w:r>
      <w:r w:rsidR="008D775C" w:rsidRPr="008D775C">
        <w:rPr>
          <w:rFonts w:ascii="Times New Roman" w:eastAsia="Times New Roman" w:hAnsi="Times New Roman"/>
          <w:sz w:val="24"/>
          <w:szCs w:val="24"/>
          <w:lang w:val="en-US"/>
        </w:rPr>
        <w:t xml:space="preserve"> </w:t>
      </w:r>
      <w:r w:rsidR="008D775C" w:rsidRPr="008D775C">
        <w:rPr>
          <w:rFonts w:ascii="Times New Roman" w:eastAsia="Times New Roman" w:hAnsi="Times New Roman"/>
          <w:bCs/>
          <w:color w:val="000000"/>
          <w:sz w:val="24"/>
          <w:szCs w:val="24"/>
          <w:lang w:val="en-US"/>
        </w:rPr>
        <w:t xml:space="preserve">established that States are required effectively to delimit and demarcate the ancestral property of indigenous </w:t>
      </w:r>
      <w:r w:rsidR="004B4FAE">
        <w:rPr>
          <w:rFonts w:ascii="Times New Roman" w:eastAsia="Times New Roman" w:hAnsi="Times New Roman"/>
          <w:bCs/>
          <w:color w:val="000000"/>
          <w:sz w:val="24"/>
          <w:szCs w:val="24"/>
          <w:lang w:val="en-US"/>
        </w:rPr>
        <w:t xml:space="preserve">and tribal </w:t>
      </w:r>
      <w:r w:rsidR="008D775C" w:rsidRPr="008D775C">
        <w:rPr>
          <w:rFonts w:ascii="Times New Roman" w:eastAsia="Times New Roman" w:hAnsi="Times New Roman"/>
          <w:bCs/>
          <w:color w:val="000000"/>
          <w:sz w:val="24"/>
          <w:szCs w:val="24"/>
          <w:lang w:val="en-US"/>
        </w:rPr>
        <w:t>peoples</w:t>
      </w:r>
      <w:r w:rsidR="00754236">
        <w:rPr>
          <w:rFonts w:ascii="Times New Roman" w:eastAsiaTheme="majorEastAsia" w:hAnsi="Times New Roman"/>
          <w:bCs/>
          <w:color w:val="000000" w:themeColor="text1"/>
          <w:sz w:val="24"/>
          <w:szCs w:val="24"/>
          <w:lang w:val="en-US"/>
        </w:rPr>
        <w:t xml:space="preserve"> and to “</w:t>
      </w:r>
      <w:r w:rsidR="00754236" w:rsidRPr="00754236">
        <w:rPr>
          <w:rFonts w:ascii="Times New Roman" w:eastAsia="Times New Roman" w:hAnsi="Times New Roman"/>
          <w:bCs/>
          <w:color w:val="000000"/>
          <w:sz w:val="24"/>
          <w:szCs w:val="24"/>
          <w:lang w:val="en-US"/>
        </w:rPr>
        <w:t xml:space="preserve">abstain from carrying out, until that delimitation, demarcation, and titling have been done, actions that might </w:t>
      </w:r>
      <w:r w:rsidR="00754236">
        <w:rPr>
          <w:rFonts w:ascii="Times New Roman" w:eastAsiaTheme="majorEastAsia" w:hAnsi="Times New Roman"/>
          <w:bCs/>
          <w:color w:val="000000" w:themeColor="text1"/>
          <w:sz w:val="24"/>
          <w:szCs w:val="24"/>
          <w:lang w:val="en-US"/>
        </w:rPr>
        <w:t xml:space="preserve">… </w:t>
      </w:r>
      <w:r w:rsidR="00754236" w:rsidRPr="00754236">
        <w:rPr>
          <w:rFonts w:ascii="Times New Roman" w:eastAsia="Times New Roman" w:hAnsi="Times New Roman"/>
          <w:bCs/>
          <w:color w:val="000000"/>
          <w:sz w:val="24"/>
          <w:szCs w:val="24"/>
          <w:lang w:val="en-US"/>
        </w:rPr>
        <w:t>affect the existence, value, use or enjoyment of the property located in the geographical area where the members of the Community live and carry out their activities</w:t>
      </w:r>
      <w:r w:rsidR="00754236">
        <w:rPr>
          <w:rFonts w:ascii="Times New Roman" w:eastAsiaTheme="majorEastAsia" w:hAnsi="Times New Roman"/>
          <w:bCs/>
          <w:color w:val="000000" w:themeColor="text1"/>
          <w:sz w:val="24"/>
          <w:szCs w:val="24"/>
          <w:lang w:val="en-US"/>
        </w:rPr>
        <w:t>.</w:t>
      </w:r>
      <w:r w:rsidR="006B4588">
        <w:rPr>
          <w:rFonts w:ascii="Times New Roman" w:eastAsiaTheme="majorEastAsia" w:hAnsi="Times New Roman"/>
          <w:bCs/>
          <w:color w:val="000000" w:themeColor="text1"/>
          <w:sz w:val="24"/>
          <w:szCs w:val="24"/>
          <w:lang w:val="en-US"/>
        </w:rPr>
        <w:t>”</w:t>
      </w:r>
      <w:r w:rsidR="00754236">
        <w:rPr>
          <w:rFonts w:ascii="Times New Roman" w:eastAsiaTheme="majorEastAsia" w:hAnsi="Times New Roman"/>
          <w:bCs/>
          <w:color w:val="000000" w:themeColor="text1"/>
          <w:sz w:val="24"/>
          <w:szCs w:val="24"/>
          <w:lang w:val="en-US"/>
        </w:rPr>
        <w:t xml:space="preserve">  </w:t>
      </w:r>
    </w:p>
    <w:p w:rsidR="00086383" w:rsidRPr="00030343" w:rsidRDefault="00754236" w:rsidP="00A468FE">
      <w:pPr>
        <w:rPr>
          <w:rFonts w:ascii="Times New Roman" w:eastAsiaTheme="majorEastAsia" w:hAnsi="Times New Roman"/>
          <w:b/>
          <w:bCs/>
          <w:color w:val="000000" w:themeColor="text1"/>
          <w:sz w:val="24"/>
          <w:szCs w:val="24"/>
        </w:rPr>
      </w:pPr>
      <w:r>
        <w:rPr>
          <w:rFonts w:ascii="Times New Roman" w:eastAsiaTheme="majorEastAsia" w:hAnsi="Times New Roman"/>
          <w:bCs/>
          <w:color w:val="000000" w:themeColor="text1"/>
          <w:sz w:val="24"/>
          <w:szCs w:val="24"/>
          <w:lang w:val="en-US"/>
        </w:rPr>
        <w:t>Moreover, the Court has articulated safeguards t</w:t>
      </w:r>
      <w:r w:rsidRPr="00754236">
        <w:rPr>
          <w:rFonts w:ascii="Times New Roman" w:eastAsia="Times New Roman" w:hAnsi="Times New Roman"/>
          <w:bCs/>
          <w:color w:val="000000"/>
          <w:sz w:val="24"/>
          <w:szCs w:val="24"/>
          <w:lang w:val="en-US"/>
        </w:rPr>
        <w:t xml:space="preserve">o ensure </w:t>
      </w:r>
      <w:r w:rsidR="006B4588">
        <w:rPr>
          <w:rFonts w:ascii="Times New Roman" w:eastAsia="Times New Roman" w:hAnsi="Times New Roman"/>
          <w:bCs/>
          <w:color w:val="000000"/>
          <w:sz w:val="24"/>
          <w:szCs w:val="24"/>
          <w:lang w:val="en-US"/>
        </w:rPr>
        <w:t xml:space="preserve">that </w:t>
      </w:r>
      <w:r>
        <w:rPr>
          <w:rFonts w:ascii="Times New Roman" w:eastAsiaTheme="majorEastAsia" w:hAnsi="Times New Roman"/>
          <w:bCs/>
          <w:color w:val="000000" w:themeColor="text1"/>
          <w:sz w:val="24"/>
          <w:szCs w:val="24"/>
          <w:lang w:val="en-US"/>
        </w:rPr>
        <w:t xml:space="preserve">any potential restrictions on indigenous </w:t>
      </w:r>
      <w:r w:rsidR="004B4FAE">
        <w:rPr>
          <w:rFonts w:ascii="Times New Roman" w:eastAsiaTheme="majorEastAsia" w:hAnsi="Times New Roman"/>
          <w:bCs/>
          <w:color w:val="000000" w:themeColor="text1"/>
          <w:sz w:val="24"/>
          <w:szCs w:val="24"/>
          <w:lang w:val="en-US"/>
        </w:rPr>
        <w:t xml:space="preserve">and tribal </w:t>
      </w:r>
      <w:r>
        <w:rPr>
          <w:rFonts w:ascii="Times New Roman" w:eastAsiaTheme="majorEastAsia" w:hAnsi="Times New Roman"/>
          <w:bCs/>
          <w:color w:val="000000" w:themeColor="text1"/>
          <w:sz w:val="24"/>
          <w:szCs w:val="24"/>
          <w:lang w:val="en-US"/>
        </w:rPr>
        <w:t xml:space="preserve">peoples’ </w:t>
      </w:r>
      <w:r w:rsidRPr="00754236">
        <w:rPr>
          <w:rFonts w:ascii="Times New Roman" w:eastAsia="Times New Roman" w:hAnsi="Times New Roman"/>
          <w:bCs/>
          <w:color w:val="000000"/>
          <w:sz w:val="24"/>
          <w:szCs w:val="24"/>
          <w:lang w:val="en-US"/>
        </w:rPr>
        <w:t>property rights</w:t>
      </w:r>
      <w:r w:rsidR="004B4FAE">
        <w:rPr>
          <w:rFonts w:ascii="Times New Roman" w:eastAsia="Times New Roman" w:hAnsi="Times New Roman"/>
          <w:bCs/>
          <w:color w:val="000000"/>
          <w:sz w:val="24"/>
          <w:szCs w:val="24"/>
          <w:lang w:val="en-US"/>
        </w:rPr>
        <w:t xml:space="preserve"> (</w:t>
      </w:r>
      <w:r w:rsidR="006B4588">
        <w:rPr>
          <w:rFonts w:ascii="Times New Roman" w:eastAsia="Times New Roman" w:hAnsi="Times New Roman"/>
          <w:bCs/>
          <w:color w:val="000000"/>
          <w:sz w:val="24"/>
          <w:szCs w:val="24"/>
          <w:lang w:val="en-US"/>
        </w:rPr>
        <w:t xml:space="preserve">e.g., </w:t>
      </w:r>
      <w:r w:rsidRPr="00754236">
        <w:rPr>
          <w:rFonts w:ascii="Times New Roman" w:eastAsia="Times New Roman" w:hAnsi="Times New Roman"/>
          <w:bCs/>
          <w:color w:val="000000"/>
          <w:sz w:val="24"/>
          <w:szCs w:val="24"/>
          <w:lang w:val="en-US"/>
        </w:rPr>
        <w:t>through the granting of concessions on their territories</w:t>
      </w:r>
      <w:r w:rsidR="004B4FAE">
        <w:rPr>
          <w:rFonts w:ascii="Times New Roman" w:eastAsia="Times New Roman" w:hAnsi="Times New Roman"/>
          <w:bCs/>
          <w:color w:val="000000"/>
          <w:sz w:val="24"/>
          <w:szCs w:val="24"/>
          <w:lang w:val="en-US"/>
        </w:rPr>
        <w:t>)</w:t>
      </w:r>
      <w:r w:rsidR="006B4588">
        <w:rPr>
          <w:rFonts w:ascii="Times New Roman" w:eastAsia="Times New Roman" w:hAnsi="Times New Roman"/>
          <w:bCs/>
          <w:color w:val="000000"/>
          <w:sz w:val="24"/>
          <w:szCs w:val="24"/>
          <w:lang w:val="en-US"/>
        </w:rPr>
        <w:t xml:space="preserve"> </w:t>
      </w:r>
      <w:r w:rsidRPr="00754236">
        <w:rPr>
          <w:rFonts w:ascii="Times New Roman" w:eastAsia="Times New Roman" w:hAnsi="Times New Roman"/>
          <w:bCs/>
          <w:color w:val="000000"/>
          <w:sz w:val="24"/>
          <w:szCs w:val="24"/>
          <w:lang w:val="en-US"/>
        </w:rPr>
        <w:t xml:space="preserve">preserve, protect and guarantee the special relationship that </w:t>
      </w:r>
      <w:r w:rsidR="004B4FAE">
        <w:rPr>
          <w:rFonts w:ascii="Times New Roman" w:eastAsia="Times New Roman" w:hAnsi="Times New Roman"/>
          <w:bCs/>
          <w:color w:val="000000"/>
          <w:sz w:val="24"/>
          <w:szCs w:val="24"/>
          <w:lang w:val="en-US"/>
        </w:rPr>
        <w:t>they</w:t>
      </w:r>
      <w:r w:rsidRPr="00754236">
        <w:rPr>
          <w:rFonts w:ascii="Times New Roman" w:eastAsia="Times New Roman" w:hAnsi="Times New Roman"/>
          <w:bCs/>
          <w:color w:val="000000"/>
          <w:sz w:val="24"/>
          <w:szCs w:val="24"/>
          <w:lang w:val="en-US"/>
        </w:rPr>
        <w:t xml:space="preserve"> have with their ancestral lands and do not endanger their surviva</w:t>
      </w:r>
      <w:r>
        <w:rPr>
          <w:rFonts w:ascii="Times New Roman" w:eastAsiaTheme="majorEastAsia" w:hAnsi="Times New Roman"/>
          <w:bCs/>
          <w:color w:val="000000" w:themeColor="text1"/>
          <w:sz w:val="24"/>
          <w:szCs w:val="24"/>
          <w:lang w:val="en-US"/>
        </w:rPr>
        <w:t xml:space="preserve">l. </w:t>
      </w:r>
      <w:r w:rsidR="00F65664">
        <w:rPr>
          <w:rFonts w:ascii="Times New Roman" w:eastAsiaTheme="majorEastAsia" w:hAnsi="Times New Roman"/>
          <w:bCs/>
          <w:color w:val="000000" w:themeColor="text1"/>
          <w:sz w:val="24"/>
          <w:szCs w:val="24"/>
          <w:lang w:val="en-US"/>
        </w:rPr>
        <w:t>For example, i</w:t>
      </w:r>
      <w:r w:rsidR="00702D9E">
        <w:rPr>
          <w:rFonts w:ascii="Times New Roman" w:eastAsiaTheme="majorEastAsia" w:hAnsi="Times New Roman"/>
          <w:bCs/>
          <w:color w:val="000000" w:themeColor="text1"/>
          <w:sz w:val="24"/>
          <w:szCs w:val="24"/>
          <w:lang w:val="en-US"/>
        </w:rPr>
        <w:t xml:space="preserve">n </w:t>
      </w:r>
      <w:proofErr w:type="spellStart"/>
      <w:r w:rsidR="00702D9E" w:rsidRPr="00702D9E">
        <w:rPr>
          <w:rFonts w:ascii="Times New Roman" w:eastAsia="Times New Roman" w:hAnsi="Times New Roman"/>
          <w:bCs/>
          <w:i/>
          <w:color w:val="000000"/>
          <w:sz w:val="24"/>
          <w:szCs w:val="24"/>
          <w:lang w:val="en-US"/>
        </w:rPr>
        <w:t>Saramaka</w:t>
      </w:r>
      <w:proofErr w:type="spellEnd"/>
      <w:r w:rsidR="00702D9E" w:rsidRPr="00702D9E">
        <w:rPr>
          <w:rFonts w:ascii="Times New Roman" w:eastAsia="Times New Roman" w:hAnsi="Times New Roman"/>
          <w:bCs/>
          <w:i/>
          <w:color w:val="000000"/>
          <w:sz w:val="24"/>
          <w:szCs w:val="24"/>
          <w:lang w:val="en-US"/>
        </w:rPr>
        <w:t xml:space="preserve"> People v. Suriname</w:t>
      </w:r>
      <w:r w:rsidR="00702D9E">
        <w:rPr>
          <w:rFonts w:ascii="Times New Roman" w:eastAsiaTheme="majorEastAsia" w:hAnsi="Times New Roman"/>
          <w:bCs/>
          <w:color w:val="000000" w:themeColor="text1"/>
          <w:sz w:val="24"/>
          <w:szCs w:val="24"/>
          <w:lang w:val="en-US"/>
        </w:rPr>
        <w:t xml:space="preserve"> (2007), </w:t>
      </w:r>
      <w:r w:rsidR="004B4FAE">
        <w:rPr>
          <w:rFonts w:ascii="Times New Roman" w:eastAsiaTheme="majorEastAsia" w:hAnsi="Times New Roman"/>
          <w:bCs/>
          <w:color w:val="000000" w:themeColor="text1"/>
          <w:sz w:val="24"/>
          <w:szCs w:val="24"/>
          <w:lang w:val="en-US"/>
        </w:rPr>
        <w:t>the Court held that a</w:t>
      </w:r>
      <w:r w:rsidR="004B4FAE" w:rsidRPr="004B4FAE">
        <w:rPr>
          <w:rFonts w:ascii="Times New Roman" w:eastAsiaTheme="majorEastAsia" w:hAnsi="Times New Roman"/>
          <w:bCs/>
          <w:color w:val="000000" w:themeColor="text1"/>
          <w:sz w:val="24"/>
          <w:szCs w:val="24"/>
          <w:lang w:val="en-US"/>
        </w:rPr>
        <w:t xml:space="preserve"> </w:t>
      </w:r>
      <w:r w:rsidR="004B4FAE">
        <w:rPr>
          <w:rFonts w:ascii="Times New Roman" w:eastAsiaTheme="majorEastAsia" w:hAnsi="Times New Roman"/>
          <w:bCs/>
          <w:color w:val="000000" w:themeColor="text1"/>
          <w:sz w:val="24"/>
          <w:szCs w:val="24"/>
          <w:lang w:val="en-US"/>
        </w:rPr>
        <w:t>S</w:t>
      </w:r>
      <w:r w:rsidR="004B4FAE" w:rsidRPr="004B4FAE">
        <w:rPr>
          <w:rFonts w:ascii="Times New Roman" w:eastAsiaTheme="majorEastAsia" w:hAnsi="Times New Roman"/>
          <w:bCs/>
          <w:color w:val="000000" w:themeColor="text1"/>
          <w:sz w:val="24"/>
          <w:szCs w:val="24"/>
          <w:lang w:val="en-US"/>
        </w:rPr>
        <w:t xml:space="preserve">tate must consult with </w:t>
      </w:r>
      <w:r w:rsidR="004B4FAE">
        <w:rPr>
          <w:rFonts w:ascii="Times New Roman" w:eastAsiaTheme="majorEastAsia" w:hAnsi="Times New Roman"/>
          <w:bCs/>
          <w:color w:val="000000" w:themeColor="text1"/>
          <w:sz w:val="24"/>
          <w:szCs w:val="24"/>
          <w:lang w:val="en-US"/>
        </w:rPr>
        <w:t xml:space="preserve">a </w:t>
      </w:r>
      <w:r w:rsidR="004B4FAE" w:rsidRPr="004B4FAE">
        <w:rPr>
          <w:rFonts w:ascii="Times New Roman" w:eastAsiaTheme="majorEastAsia" w:hAnsi="Times New Roman"/>
          <w:bCs/>
          <w:color w:val="000000" w:themeColor="text1"/>
          <w:sz w:val="24"/>
          <w:szCs w:val="24"/>
          <w:lang w:val="en-US"/>
        </w:rPr>
        <w:t xml:space="preserve">community regarding any proposed concessions or other activities that may affect </w:t>
      </w:r>
      <w:r w:rsidR="004B4FAE">
        <w:rPr>
          <w:rFonts w:ascii="Times New Roman" w:eastAsiaTheme="majorEastAsia" w:hAnsi="Times New Roman"/>
          <w:bCs/>
          <w:color w:val="000000" w:themeColor="text1"/>
          <w:sz w:val="24"/>
          <w:szCs w:val="24"/>
          <w:lang w:val="en-US"/>
        </w:rPr>
        <w:t>its</w:t>
      </w:r>
      <w:r w:rsidR="004B4FAE" w:rsidRPr="004B4FAE">
        <w:rPr>
          <w:rFonts w:ascii="Times New Roman" w:eastAsiaTheme="majorEastAsia" w:hAnsi="Times New Roman"/>
          <w:bCs/>
          <w:color w:val="000000" w:themeColor="text1"/>
          <w:sz w:val="24"/>
          <w:szCs w:val="24"/>
          <w:lang w:val="en-US"/>
        </w:rPr>
        <w:t xml:space="preserve"> lands and natural resources, ensure that no concession will be issued without a prior assessment of its environmental and social impacts, and guarantee that the community receives a “reasonable benefit” from any such plan if approved.  Moreover, </w:t>
      </w:r>
      <w:r w:rsidR="004B4FAE">
        <w:rPr>
          <w:rFonts w:ascii="Times New Roman" w:eastAsiaTheme="majorEastAsia" w:hAnsi="Times New Roman"/>
          <w:bCs/>
          <w:color w:val="000000" w:themeColor="text1"/>
          <w:sz w:val="24"/>
          <w:szCs w:val="24"/>
          <w:lang w:val="en-US"/>
        </w:rPr>
        <w:t xml:space="preserve">the Court stated that </w:t>
      </w:r>
      <w:r w:rsidR="004B4FAE" w:rsidRPr="004B4FAE">
        <w:rPr>
          <w:rFonts w:ascii="Times New Roman" w:eastAsiaTheme="majorEastAsia" w:hAnsi="Times New Roman"/>
          <w:bCs/>
          <w:color w:val="000000" w:themeColor="text1"/>
          <w:sz w:val="24"/>
          <w:szCs w:val="24"/>
          <w:lang w:val="en-US"/>
        </w:rPr>
        <w:t xml:space="preserve">with respect to “large-scale development or investment projects that would have a major impact within </w:t>
      </w:r>
      <w:proofErr w:type="spellStart"/>
      <w:r w:rsidR="004B4FAE" w:rsidRPr="004B4FAE">
        <w:rPr>
          <w:rFonts w:ascii="Times New Roman" w:eastAsiaTheme="majorEastAsia" w:hAnsi="Times New Roman"/>
          <w:bCs/>
          <w:color w:val="000000" w:themeColor="text1"/>
          <w:sz w:val="24"/>
          <w:szCs w:val="24"/>
          <w:lang w:val="en-US"/>
        </w:rPr>
        <w:t>Saramaka</w:t>
      </w:r>
      <w:proofErr w:type="spellEnd"/>
      <w:r w:rsidR="004B4FAE" w:rsidRPr="004B4FAE">
        <w:rPr>
          <w:rFonts w:ascii="Times New Roman" w:eastAsiaTheme="majorEastAsia" w:hAnsi="Times New Roman"/>
          <w:bCs/>
          <w:color w:val="000000" w:themeColor="text1"/>
          <w:sz w:val="24"/>
          <w:szCs w:val="24"/>
          <w:lang w:val="en-US"/>
        </w:rPr>
        <w:t xml:space="preserve"> territory,” the </w:t>
      </w:r>
      <w:r w:rsidR="004B4FAE">
        <w:rPr>
          <w:rFonts w:ascii="Times New Roman" w:eastAsiaTheme="majorEastAsia" w:hAnsi="Times New Roman"/>
          <w:bCs/>
          <w:color w:val="000000" w:themeColor="text1"/>
          <w:sz w:val="24"/>
          <w:szCs w:val="24"/>
          <w:lang w:val="en-US"/>
        </w:rPr>
        <w:t>S</w:t>
      </w:r>
      <w:r w:rsidR="004B4FAE" w:rsidRPr="004B4FAE">
        <w:rPr>
          <w:rFonts w:ascii="Times New Roman" w:eastAsiaTheme="majorEastAsia" w:hAnsi="Times New Roman"/>
          <w:bCs/>
          <w:color w:val="000000" w:themeColor="text1"/>
          <w:sz w:val="24"/>
          <w:szCs w:val="24"/>
          <w:lang w:val="en-US"/>
        </w:rPr>
        <w:t xml:space="preserve">tate must do more than consult with the </w:t>
      </w:r>
      <w:proofErr w:type="spellStart"/>
      <w:r w:rsidR="004B4FAE" w:rsidRPr="004B4FAE">
        <w:rPr>
          <w:rFonts w:ascii="Times New Roman" w:eastAsiaTheme="majorEastAsia" w:hAnsi="Times New Roman"/>
          <w:bCs/>
          <w:color w:val="000000" w:themeColor="text1"/>
          <w:sz w:val="24"/>
          <w:szCs w:val="24"/>
          <w:lang w:val="en-US"/>
        </w:rPr>
        <w:t>Saramaka</w:t>
      </w:r>
      <w:proofErr w:type="spellEnd"/>
      <w:r w:rsidR="004B4FAE" w:rsidRPr="004B4FAE">
        <w:rPr>
          <w:rFonts w:ascii="Times New Roman" w:eastAsiaTheme="majorEastAsia" w:hAnsi="Times New Roman"/>
          <w:bCs/>
          <w:color w:val="000000" w:themeColor="text1"/>
          <w:sz w:val="24"/>
          <w:szCs w:val="24"/>
          <w:lang w:val="en-US"/>
        </w:rPr>
        <w:t xml:space="preserve">; it must “obtain their free, prior, and informed consent, according to their customs and traditions.”  </w:t>
      </w:r>
    </w:p>
    <w:p w:rsidR="0060791D"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 xml:space="preserve">: </w:t>
      </w:r>
      <w:r w:rsidR="00782D30" w:rsidRPr="00782D30">
        <w:rPr>
          <w:rFonts w:ascii="Times New Roman" w:hAnsi="Times New Roman"/>
          <w:sz w:val="24"/>
          <w:szCs w:val="24"/>
        </w:rPr>
        <w:t xml:space="preserve">See the </w:t>
      </w:r>
      <w:r w:rsidR="008F7BA0">
        <w:rPr>
          <w:rFonts w:ascii="Times New Roman" w:hAnsi="Times New Roman"/>
          <w:sz w:val="24"/>
          <w:szCs w:val="24"/>
        </w:rPr>
        <w:t>Court</w:t>
      </w:r>
      <w:r w:rsidR="00E11D95">
        <w:rPr>
          <w:rFonts w:ascii="Times New Roman" w:hAnsi="Times New Roman"/>
          <w:sz w:val="24"/>
          <w:szCs w:val="24"/>
        </w:rPr>
        <w:t>’s</w:t>
      </w:r>
      <w:r w:rsidR="00782D30" w:rsidRPr="00782D30">
        <w:rPr>
          <w:rFonts w:ascii="Times New Roman" w:hAnsi="Times New Roman"/>
          <w:sz w:val="24"/>
          <w:szCs w:val="24"/>
        </w:rPr>
        <w:t xml:space="preserve"> web</w:t>
      </w:r>
      <w:r w:rsidR="00ED4E44">
        <w:rPr>
          <w:rFonts w:ascii="Times New Roman" w:hAnsi="Times New Roman"/>
          <w:sz w:val="24"/>
          <w:szCs w:val="24"/>
        </w:rPr>
        <w:t>site</w:t>
      </w:r>
      <w:r w:rsidR="00D643F1">
        <w:rPr>
          <w:rFonts w:ascii="Times New Roman" w:hAnsi="Times New Roman"/>
          <w:sz w:val="24"/>
          <w:szCs w:val="24"/>
        </w:rPr>
        <w:t xml:space="preserve">: </w:t>
      </w:r>
      <w:hyperlink r:id="rId9" w:history="1">
        <w:r w:rsidR="00030343" w:rsidRPr="003A4E0E">
          <w:rPr>
            <w:rStyle w:val="Hyperlink"/>
            <w:rFonts w:ascii="Times New Roman" w:hAnsi="Times New Roman"/>
            <w:sz w:val="24"/>
            <w:szCs w:val="24"/>
          </w:rPr>
          <w:t>http://www.corteidh.or.cr/index.php/en</w:t>
        </w:r>
      </w:hyperlink>
      <w:hyperlink r:id="rId10" w:history="1"/>
      <w:r w:rsidR="00D643F1">
        <w:rPr>
          <w:rFonts w:ascii="Times New Roman" w:hAnsi="Times New Roman"/>
          <w:sz w:val="24"/>
          <w:szCs w:val="24"/>
        </w:rPr>
        <w:t>;</w:t>
      </w:r>
      <w:r w:rsidR="00030343">
        <w:rPr>
          <w:rFonts w:ascii="Times New Roman" w:hAnsi="Times New Roman"/>
          <w:sz w:val="24"/>
          <w:szCs w:val="24"/>
        </w:rPr>
        <w:t xml:space="preserve"> </w:t>
      </w:r>
      <w:r w:rsidR="00D643F1">
        <w:rPr>
          <w:rFonts w:ascii="Times New Roman" w:hAnsi="Times New Roman"/>
          <w:sz w:val="24"/>
          <w:szCs w:val="24"/>
        </w:rPr>
        <w:t xml:space="preserve"> the Independent Expert’s </w:t>
      </w:r>
      <w:r w:rsidR="00D643F1" w:rsidRPr="00D643F1">
        <w:rPr>
          <w:rFonts w:ascii="Times New Roman" w:hAnsi="Times New Roman"/>
          <w:sz w:val="24"/>
          <w:szCs w:val="24"/>
        </w:rPr>
        <w:t>Individual Report on the</w:t>
      </w:r>
      <w:r w:rsidR="00030343">
        <w:rPr>
          <w:rFonts w:ascii="Times New Roman" w:hAnsi="Times New Roman"/>
          <w:sz w:val="24"/>
          <w:szCs w:val="24"/>
        </w:rPr>
        <w:t xml:space="preserve"> Inter-American human rights system:</w:t>
      </w:r>
      <w:r w:rsidR="00030343" w:rsidRPr="00030343">
        <w:t xml:space="preserve"> </w:t>
      </w:r>
      <w:hyperlink r:id="rId11" w:history="1">
        <w:r w:rsidR="00030343" w:rsidRPr="003A4E0E">
          <w:rPr>
            <w:rStyle w:val="Hyperlink"/>
            <w:rFonts w:ascii="Times New Roman" w:hAnsi="Times New Roman"/>
            <w:sz w:val="24"/>
            <w:szCs w:val="24"/>
          </w:rPr>
          <w:t>http://ieenvironment.org/mapping-report-2014-2/</w:t>
        </w:r>
      </w:hyperlink>
      <w:r w:rsidR="00030343">
        <w:rPr>
          <w:rFonts w:ascii="Times New Roman" w:hAnsi="Times New Roman"/>
          <w:sz w:val="24"/>
          <w:szCs w:val="24"/>
        </w:rPr>
        <w:t xml:space="preserve">. </w:t>
      </w:r>
      <w:r w:rsidR="00D643F1">
        <w:rPr>
          <w:rFonts w:ascii="Times New Roman" w:hAnsi="Times New Roman"/>
          <w:sz w:val="24"/>
          <w:szCs w:val="24"/>
        </w:rPr>
        <w:t xml:space="preserve"> </w:t>
      </w:r>
    </w:p>
    <w:sectPr w:rsidR="0060791D"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50" w:rsidRDefault="00873650" w:rsidP="00752822">
      <w:pPr>
        <w:spacing w:after="0" w:line="240" w:lineRule="auto"/>
      </w:pPr>
      <w:r>
        <w:separator/>
      </w:r>
    </w:p>
  </w:endnote>
  <w:endnote w:type="continuationSeparator" w:id="0">
    <w:p w:rsidR="00873650" w:rsidRDefault="00873650"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50" w:rsidRDefault="00873650" w:rsidP="00752822">
      <w:pPr>
        <w:spacing w:after="0" w:line="240" w:lineRule="auto"/>
      </w:pPr>
      <w:r>
        <w:separator/>
      </w:r>
    </w:p>
  </w:footnote>
  <w:footnote w:type="continuationSeparator" w:id="0">
    <w:p w:rsidR="00873650" w:rsidRDefault="00873650"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343"/>
    <w:rsid w:val="000611E3"/>
    <w:rsid w:val="00082320"/>
    <w:rsid w:val="00086383"/>
    <w:rsid w:val="000A10F4"/>
    <w:rsid w:val="000A1C9F"/>
    <w:rsid w:val="000A2B55"/>
    <w:rsid w:val="000B0B31"/>
    <w:rsid w:val="000D04E3"/>
    <w:rsid w:val="000F3EAB"/>
    <w:rsid w:val="000F5038"/>
    <w:rsid w:val="00101A5F"/>
    <w:rsid w:val="001370DD"/>
    <w:rsid w:val="00145B92"/>
    <w:rsid w:val="00157557"/>
    <w:rsid w:val="0016516D"/>
    <w:rsid w:val="00176228"/>
    <w:rsid w:val="00183F01"/>
    <w:rsid w:val="00187C6A"/>
    <w:rsid w:val="00190F25"/>
    <w:rsid w:val="00194BE9"/>
    <w:rsid w:val="001A2954"/>
    <w:rsid w:val="001E7D41"/>
    <w:rsid w:val="002114D9"/>
    <w:rsid w:val="00215CE3"/>
    <w:rsid w:val="002213AA"/>
    <w:rsid w:val="00233770"/>
    <w:rsid w:val="002351C1"/>
    <w:rsid w:val="00263DBE"/>
    <w:rsid w:val="002958FB"/>
    <w:rsid w:val="002A1597"/>
    <w:rsid w:val="002A7CC4"/>
    <w:rsid w:val="002B38A0"/>
    <w:rsid w:val="002C376C"/>
    <w:rsid w:val="002D327A"/>
    <w:rsid w:val="002F4FDE"/>
    <w:rsid w:val="002F6330"/>
    <w:rsid w:val="00304449"/>
    <w:rsid w:val="003205D5"/>
    <w:rsid w:val="00327A05"/>
    <w:rsid w:val="003366D8"/>
    <w:rsid w:val="003543FF"/>
    <w:rsid w:val="00372F6D"/>
    <w:rsid w:val="003A4BAF"/>
    <w:rsid w:val="003B283B"/>
    <w:rsid w:val="003C554F"/>
    <w:rsid w:val="003D01AF"/>
    <w:rsid w:val="003D47D7"/>
    <w:rsid w:val="003F5950"/>
    <w:rsid w:val="0040306A"/>
    <w:rsid w:val="00420DBC"/>
    <w:rsid w:val="004336E1"/>
    <w:rsid w:val="00463264"/>
    <w:rsid w:val="00473522"/>
    <w:rsid w:val="00481AF0"/>
    <w:rsid w:val="0048740F"/>
    <w:rsid w:val="004B124D"/>
    <w:rsid w:val="004B4FAE"/>
    <w:rsid w:val="004B4FCC"/>
    <w:rsid w:val="004D048A"/>
    <w:rsid w:val="004E6BD9"/>
    <w:rsid w:val="004F7FD4"/>
    <w:rsid w:val="0050347C"/>
    <w:rsid w:val="00520241"/>
    <w:rsid w:val="00535A69"/>
    <w:rsid w:val="00550B24"/>
    <w:rsid w:val="005C03F5"/>
    <w:rsid w:val="005C108F"/>
    <w:rsid w:val="0060791D"/>
    <w:rsid w:val="006147F8"/>
    <w:rsid w:val="00630229"/>
    <w:rsid w:val="0066769C"/>
    <w:rsid w:val="00670A16"/>
    <w:rsid w:val="00675951"/>
    <w:rsid w:val="00691B6C"/>
    <w:rsid w:val="006A4089"/>
    <w:rsid w:val="006A6812"/>
    <w:rsid w:val="006A70D3"/>
    <w:rsid w:val="006B4588"/>
    <w:rsid w:val="006F33F4"/>
    <w:rsid w:val="006F52B8"/>
    <w:rsid w:val="00702D9E"/>
    <w:rsid w:val="00750D3C"/>
    <w:rsid w:val="00752822"/>
    <w:rsid w:val="0075335B"/>
    <w:rsid w:val="00754236"/>
    <w:rsid w:val="00754DE5"/>
    <w:rsid w:val="0076772B"/>
    <w:rsid w:val="00782D30"/>
    <w:rsid w:val="00787A83"/>
    <w:rsid w:val="00797BD0"/>
    <w:rsid w:val="007A2831"/>
    <w:rsid w:val="007E451E"/>
    <w:rsid w:val="008011A8"/>
    <w:rsid w:val="00873650"/>
    <w:rsid w:val="008B027D"/>
    <w:rsid w:val="008C4A2D"/>
    <w:rsid w:val="008C4C5A"/>
    <w:rsid w:val="008D775C"/>
    <w:rsid w:val="008F7BA0"/>
    <w:rsid w:val="0091567C"/>
    <w:rsid w:val="00917D69"/>
    <w:rsid w:val="00922794"/>
    <w:rsid w:val="00931262"/>
    <w:rsid w:val="0093723C"/>
    <w:rsid w:val="00947203"/>
    <w:rsid w:val="0095635E"/>
    <w:rsid w:val="009806AC"/>
    <w:rsid w:val="00986738"/>
    <w:rsid w:val="00A4684A"/>
    <w:rsid w:val="00A468FE"/>
    <w:rsid w:val="00A73AE4"/>
    <w:rsid w:val="00A82B7F"/>
    <w:rsid w:val="00A86C2B"/>
    <w:rsid w:val="00AA76B2"/>
    <w:rsid w:val="00AD4CEE"/>
    <w:rsid w:val="00AE06CC"/>
    <w:rsid w:val="00AF09F2"/>
    <w:rsid w:val="00B0394D"/>
    <w:rsid w:val="00B05120"/>
    <w:rsid w:val="00B2173C"/>
    <w:rsid w:val="00B44F63"/>
    <w:rsid w:val="00B56C9C"/>
    <w:rsid w:val="00B61877"/>
    <w:rsid w:val="00B61B00"/>
    <w:rsid w:val="00B64247"/>
    <w:rsid w:val="00B653C9"/>
    <w:rsid w:val="00B65748"/>
    <w:rsid w:val="00B66BAE"/>
    <w:rsid w:val="00B70EE0"/>
    <w:rsid w:val="00B74AC4"/>
    <w:rsid w:val="00B96B59"/>
    <w:rsid w:val="00BC4C5E"/>
    <w:rsid w:val="00BE5A4A"/>
    <w:rsid w:val="00C33C55"/>
    <w:rsid w:val="00C84C86"/>
    <w:rsid w:val="00CB5B03"/>
    <w:rsid w:val="00D04745"/>
    <w:rsid w:val="00D16887"/>
    <w:rsid w:val="00D33421"/>
    <w:rsid w:val="00D3351E"/>
    <w:rsid w:val="00D51E6B"/>
    <w:rsid w:val="00D52A9D"/>
    <w:rsid w:val="00D6225E"/>
    <w:rsid w:val="00D643F1"/>
    <w:rsid w:val="00D745C4"/>
    <w:rsid w:val="00D75122"/>
    <w:rsid w:val="00D81E69"/>
    <w:rsid w:val="00DA4A93"/>
    <w:rsid w:val="00DB4487"/>
    <w:rsid w:val="00DD2DCA"/>
    <w:rsid w:val="00DE02C6"/>
    <w:rsid w:val="00DF01B5"/>
    <w:rsid w:val="00DF2246"/>
    <w:rsid w:val="00DF411E"/>
    <w:rsid w:val="00E07D91"/>
    <w:rsid w:val="00E11D95"/>
    <w:rsid w:val="00E854EA"/>
    <w:rsid w:val="00E9047B"/>
    <w:rsid w:val="00E906DF"/>
    <w:rsid w:val="00E9721C"/>
    <w:rsid w:val="00EA1652"/>
    <w:rsid w:val="00EC007E"/>
    <w:rsid w:val="00EC2261"/>
    <w:rsid w:val="00ED4E44"/>
    <w:rsid w:val="00EF36CC"/>
    <w:rsid w:val="00F0646D"/>
    <w:rsid w:val="00F064FF"/>
    <w:rsid w:val="00F47E9A"/>
    <w:rsid w:val="00F65664"/>
    <w:rsid w:val="00F66E76"/>
    <w:rsid w:val="00F73028"/>
    <w:rsid w:val="00F805F0"/>
    <w:rsid w:val="00F81351"/>
    <w:rsid w:val="00F91DDF"/>
    <w:rsid w:val="00FA43A8"/>
    <w:rsid w:val="00FB1AAB"/>
    <w:rsid w:val="00FD1F0B"/>
    <w:rsid w:val="00FD3501"/>
    <w:rsid w:val="00FD5B0B"/>
    <w:rsid w:val="00FD795F"/>
    <w:rsid w:val="00FE05A7"/>
    <w:rsid w:val="00FF01C9"/>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ListParagraph">
    <w:name w:val="List Paragraph"/>
    <w:basedOn w:val="Normal"/>
    <w:uiPriority w:val="34"/>
    <w:qFormat/>
    <w:rsid w:val="00782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ListParagraph">
    <w:name w:val="List Paragraph"/>
    <w:basedOn w:val="Normal"/>
    <w:uiPriority w:val="34"/>
    <w:qFormat/>
    <w:rsid w:val="0078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nvironment.org/mapping-report-2014-2/"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echr.coe.int/" TargetMode="External"/><Relationship Id="rId4" Type="http://schemas.microsoft.com/office/2007/relationships/stylesWithEffects" Target="stylesWithEffects.xml"/><Relationship Id="rId9" Type="http://schemas.openxmlformats.org/officeDocument/2006/relationships/hyperlink" Target="http://www.corteidh.or.cr/index.php/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CE76B8-EBEC-4623-BC81-8D4ABDE06884}"/>
</file>

<file path=customXml/itemProps2.xml><?xml version="1.0" encoding="utf-8"?>
<ds:datastoreItem xmlns:ds="http://schemas.openxmlformats.org/officeDocument/2006/customXml" ds:itemID="{B8694E43-06F0-40F3-BAAD-028FCBFB41E5}"/>
</file>

<file path=customXml/itemProps3.xml><?xml version="1.0" encoding="utf-8"?>
<ds:datastoreItem xmlns:ds="http://schemas.openxmlformats.org/officeDocument/2006/customXml" ds:itemID="{358276B2-FB9A-4B1D-9DA2-77C50D829C52}"/>
</file>

<file path=customXml/itemProps4.xml><?xml version="1.0" encoding="utf-8"?>
<ds:datastoreItem xmlns:ds="http://schemas.openxmlformats.org/officeDocument/2006/customXml" ds:itemID="{D1C4F37D-65DD-4446-9001-945B7B2803F6}"/>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2014-12-29T05:54:00Z</dcterms:created>
  <dcterms:modified xsi:type="dcterms:W3CDTF">2014-12-29T05:55:00Z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