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F" w:rsidRPr="001F2249" w:rsidRDefault="0038640F" w:rsidP="001F2249">
      <w:pPr>
        <w:rPr>
          <w:rFonts w:ascii="Times New Roman" w:hAnsi="Times New Roman"/>
          <w:b/>
          <w:smallCaps/>
          <w:sz w:val="24"/>
          <w:szCs w:val="24"/>
        </w:rPr>
      </w:pPr>
      <w:r w:rsidRPr="001F2249"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1F2249">
        <w:rPr>
          <w:rFonts w:ascii="Times New Roman" w:hAnsi="Times New Roman"/>
          <w:b/>
          <w:smallCaps/>
          <w:sz w:val="24"/>
          <w:szCs w:val="24"/>
        </w:rPr>
        <w:t>: Obligations Relating to Those in Vulnerable Situations</w:t>
      </w:r>
    </w:p>
    <w:p w:rsidR="0038640F" w:rsidRPr="001F2249" w:rsidRDefault="0038640F" w:rsidP="001F2249">
      <w:pPr>
        <w:rPr>
          <w:rFonts w:ascii="Times New Roman" w:hAnsi="Times New Roman"/>
          <w:b/>
          <w:smallCaps/>
          <w:sz w:val="24"/>
          <w:szCs w:val="24"/>
        </w:rPr>
      </w:pPr>
      <w:r w:rsidRPr="001F2249"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1F2249">
        <w:rPr>
          <w:rFonts w:ascii="Times New Roman" w:hAnsi="Times New Roman"/>
          <w:b/>
          <w:smallCaps/>
          <w:sz w:val="24"/>
          <w:szCs w:val="24"/>
        </w:rPr>
        <w:t>: Indigenous Peoples</w:t>
      </w:r>
    </w:p>
    <w:p w:rsidR="001F2249" w:rsidRPr="001F2249" w:rsidRDefault="001F2249" w:rsidP="001F2249">
      <w:pPr>
        <w:pStyle w:val="NoSpacing"/>
        <w:spacing w:after="240" w:line="276" w:lineRule="auto"/>
        <w:contextualSpacing w:val="0"/>
        <w:rPr>
          <w:rStyle w:val="Heading2Char"/>
          <w:rFonts w:ascii="Times New Roman" w:hAnsi="Times New Roman" w:cs="Times New Roman"/>
          <w:szCs w:val="24"/>
          <w:lang w:val="en-ZA"/>
        </w:rPr>
      </w:pPr>
      <w:r w:rsidRPr="001F2249">
        <w:rPr>
          <w:rStyle w:val="Heading2Char"/>
          <w:rFonts w:ascii="Times New Roman" w:hAnsi="Times New Roman" w:cs="Times New Roman"/>
          <w:szCs w:val="24"/>
          <w:u w:val="single"/>
        </w:rPr>
        <w:t>Name of Practice</w:t>
      </w:r>
      <w:r w:rsidRPr="001F2249">
        <w:rPr>
          <w:rStyle w:val="Heading2Char"/>
          <w:rFonts w:ascii="Times New Roman" w:hAnsi="Times New Roman" w:cs="Times New Roman"/>
          <w:szCs w:val="24"/>
        </w:rPr>
        <w:t xml:space="preserve">: </w:t>
      </w:r>
      <w:proofErr w:type="spellStart"/>
      <w:r w:rsidRPr="001F2249">
        <w:rPr>
          <w:rStyle w:val="Heading2Char"/>
          <w:rFonts w:ascii="Times New Roman" w:hAnsi="Times New Roman" w:cs="Times New Roman"/>
          <w:szCs w:val="24"/>
          <w:lang w:val="en-ZA"/>
        </w:rPr>
        <w:t>Whakatane</w:t>
      </w:r>
      <w:proofErr w:type="spellEnd"/>
      <w:r w:rsidRPr="001F2249">
        <w:rPr>
          <w:rStyle w:val="Heading2Char"/>
          <w:rFonts w:ascii="Times New Roman" w:hAnsi="Times New Roman" w:cs="Times New Roman"/>
          <w:szCs w:val="24"/>
          <w:lang w:val="en-ZA"/>
        </w:rPr>
        <w:t xml:space="preserve"> Assessments, Rights-Based Assessments of Protected Areas</w:t>
      </w:r>
    </w:p>
    <w:p w:rsidR="001F2249" w:rsidRPr="001F2249" w:rsidRDefault="001F2249" w:rsidP="001F2249">
      <w:pPr>
        <w:pStyle w:val="NoSpacing"/>
        <w:spacing w:after="24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1F2249">
        <w:rPr>
          <w:rFonts w:cs="Times New Roman"/>
          <w:szCs w:val="24"/>
        </w:rPr>
        <w:t xml:space="preserve"> </w:t>
      </w:r>
      <w:r w:rsidR="00D5585A">
        <w:rPr>
          <w:rFonts w:cs="Times New Roman"/>
          <w:szCs w:val="24"/>
        </w:rPr>
        <w:t xml:space="preserve">International Organisation: </w:t>
      </w:r>
      <w:r w:rsidRPr="001F2249">
        <w:rPr>
          <w:rFonts w:cs="Times New Roman"/>
          <w:szCs w:val="24"/>
        </w:rPr>
        <w:t xml:space="preserve">IUCN </w:t>
      </w:r>
      <w:r w:rsidR="00D5585A">
        <w:rPr>
          <w:rFonts w:cs="Times New Roman"/>
          <w:szCs w:val="24"/>
        </w:rPr>
        <w:t>secretariat,</w:t>
      </w:r>
      <w:r w:rsidRPr="001F2249">
        <w:rPr>
          <w:rFonts w:cs="Times New Roman"/>
          <w:szCs w:val="24"/>
        </w:rPr>
        <w:t xml:space="preserve"> IUCN Commission on Environmental, Economic and Social Policy (CEESP);</w:t>
      </w:r>
      <w:r w:rsidR="00D5585A">
        <w:rPr>
          <w:rFonts w:cs="Times New Roman"/>
          <w:szCs w:val="24"/>
        </w:rPr>
        <w:t xml:space="preserve"> </w:t>
      </w:r>
      <w:r w:rsidR="00232297">
        <w:rPr>
          <w:rFonts w:cs="Times New Roman"/>
          <w:szCs w:val="24"/>
        </w:rPr>
        <w:t>Civil Society</w:t>
      </w:r>
      <w:r w:rsidR="00D5585A">
        <w:rPr>
          <w:rFonts w:cs="Times New Roman"/>
          <w:szCs w:val="24"/>
        </w:rPr>
        <w:t xml:space="preserve"> Organisation:</w:t>
      </w:r>
      <w:r w:rsidR="00232297">
        <w:rPr>
          <w:rFonts w:cs="Times New Roman"/>
          <w:szCs w:val="24"/>
        </w:rPr>
        <w:t xml:space="preserve"> Forest Peoples Programme,</w:t>
      </w:r>
      <w:r w:rsidRPr="001F2249">
        <w:rPr>
          <w:rFonts w:cs="Times New Roman"/>
          <w:szCs w:val="24"/>
        </w:rPr>
        <w:t xml:space="preserve"> indigenous peoples’ organisations (IPOs).</w:t>
      </w:r>
    </w:p>
    <w:p w:rsidR="001F2249" w:rsidRPr="001F2249" w:rsidRDefault="001F2249" w:rsidP="001F2249">
      <w:pPr>
        <w:pStyle w:val="NoSpacing"/>
        <w:spacing w:after="24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Location:</w:t>
      </w:r>
      <w:r w:rsidRPr="001F2249">
        <w:rPr>
          <w:rFonts w:cs="Times New Roman"/>
          <w:szCs w:val="24"/>
        </w:rPr>
        <w:t xml:space="preserve"> Kenya, Thailand</w:t>
      </w:r>
      <w:r w:rsidR="00A13007">
        <w:rPr>
          <w:rFonts w:cs="Times New Roman"/>
          <w:szCs w:val="24"/>
        </w:rPr>
        <w:t>, Congo</w:t>
      </w:r>
      <w:r w:rsidRPr="001F2249">
        <w:rPr>
          <w:rFonts w:cs="Times New Roman"/>
          <w:szCs w:val="24"/>
        </w:rPr>
        <w:t xml:space="preserve"> (initial pilots)</w:t>
      </w:r>
    </w:p>
    <w:p w:rsidR="001F2249" w:rsidRPr="001F2249" w:rsidRDefault="001F2249" w:rsidP="001F2249">
      <w:pPr>
        <w:pStyle w:val="NoSpacing"/>
        <w:spacing w:after="24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Key Words</w:t>
      </w:r>
      <w:r>
        <w:rPr>
          <w:rFonts w:cs="Times New Roman"/>
          <w:szCs w:val="24"/>
        </w:rPr>
        <w:t>:  Human Rights-Based Assessments</w:t>
      </w:r>
      <w:r w:rsidR="00A130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</w:t>
      </w:r>
      <w:r w:rsidRPr="001F2249">
        <w:rPr>
          <w:rFonts w:cs="Times New Roman"/>
          <w:szCs w:val="24"/>
        </w:rPr>
        <w:t>ulnerable</w:t>
      </w:r>
      <w:r>
        <w:rPr>
          <w:rFonts w:cs="Times New Roman"/>
          <w:szCs w:val="24"/>
        </w:rPr>
        <w:t>; Indigenous</w:t>
      </w:r>
      <w:r w:rsidR="00A130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Conservation</w:t>
      </w:r>
      <w:r w:rsidR="00A130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232297">
        <w:rPr>
          <w:rFonts w:cs="Times New Roman"/>
          <w:szCs w:val="24"/>
        </w:rPr>
        <w:t xml:space="preserve">Environmental </w:t>
      </w:r>
      <w:r>
        <w:rPr>
          <w:rFonts w:cs="Times New Roman"/>
          <w:szCs w:val="24"/>
        </w:rPr>
        <w:t>Human Rights D</w:t>
      </w:r>
      <w:r w:rsidRPr="001F2249">
        <w:rPr>
          <w:rFonts w:cs="Times New Roman"/>
          <w:szCs w:val="24"/>
        </w:rPr>
        <w:t>efenders</w:t>
      </w:r>
      <w:r w:rsidR="00A130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Protected A</w:t>
      </w:r>
      <w:r w:rsidRPr="001F2249">
        <w:rPr>
          <w:rFonts w:cs="Times New Roman"/>
          <w:szCs w:val="24"/>
        </w:rPr>
        <w:t xml:space="preserve">reas </w:t>
      </w:r>
    </w:p>
    <w:p w:rsidR="00A903E1" w:rsidRDefault="001F2249" w:rsidP="00A903E1">
      <w:pPr>
        <w:pStyle w:val="NoSpacing"/>
        <w:spacing w:after="24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Description:</w:t>
      </w:r>
      <w:r w:rsidRPr="001F2249">
        <w:rPr>
          <w:rFonts w:eastAsia="Cambria" w:cs="Times New Roman"/>
          <w:b/>
          <w:bCs/>
          <w:smallCaps/>
          <w:szCs w:val="24"/>
          <w:lang w:val="en-US"/>
        </w:rPr>
        <w:t xml:space="preserve"> </w:t>
      </w:r>
      <w:proofErr w:type="spellStart"/>
      <w:r w:rsidR="00AB5DEE">
        <w:rPr>
          <w:rFonts w:eastAsia="Cambria" w:cs="Times New Roman"/>
          <w:bCs/>
          <w:szCs w:val="24"/>
          <w:lang w:val="en-US"/>
        </w:rPr>
        <w:t>Whakatane</w:t>
      </w:r>
      <w:proofErr w:type="spellEnd"/>
      <w:r w:rsidR="00AB5DEE">
        <w:rPr>
          <w:rFonts w:eastAsia="Cambria" w:cs="Times New Roman"/>
          <w:bCs/>
          <w:szCs w:val="24"/>
          <w:lang w:val="en-US"/>
        </w:rPr>
        <w:t xml:space="preserve"> Assessments are part of a larger </w:t>
      </w:r>
      <w:proofErr w:type="spellStart"/>
      <w:r w:rsidR="00AB5DEE">
        <w:rPr>
          <w:rFonts w:eastAsia="Cambria" w:cs="Times New Roman"/>
          <w:bCs/>
          <w:szCs w:val="24"/>
          <w:lang w:val="en-US"/>
        </w:rPr>
        <w:t>programme</w:t>
      </w:r>
      <w:proofErr w:type="spellEnd"/>
      <w:r w:rsidR="00276AA4">
        <w:rPr>
          <w:rFonts w:eastAsia="Cambria" w:cs="Times New Roman"/>
          <w:bCs/>
          <w:szCs w:val="24"/>
          <w:lang w:val="en-US"/>
        </w:rPr>
        <w:t xml:space="preserve"> called the </w:t>
      </w:r>
      <w:proofErr w:type="spellStart"/>
      <w:r w:rsidR="00276AA4">
        <w:rPr>
          <w:rFonts w:eastAsia="Cambria" w:cs="Times New Roman"/>
          <w:bCs/>
          <w:szCs w:val="24"/>
          <w:lang w:val="en-US"/>
        </w:rPr>
        <w:t>Whakatane</w:t>
      </w:r>
      <w:proofErr w:type="spellEnd"/>
      <w:r w:rsidR="00276AA4">
        <w:rPr>
          <w:rFonts w:eastAsia="Cambria" w:cs="Times New Roman"/>
          <w:bCs/>
          <w:szCs w:val="24"/>
          <w:lang w:val="en-US"/>
        </w:rPr>
        <w:t xml:space="preserve"> Mechanism</w:t>
      </w:r>
      <w:r w:rsidR="00F01C80">
        <w:rPr>
          <w:rFonts w:eastAsia="Cambria" w:cs="Times New Roman"/>
          <w:bCs/>
          <w:szCs w:val="24"/>
          <w:lang w:val="en-US"/>
        </w:rPr>
        <w:t>, which</w:t>
      </w:r>
      <w:r w:rsidR="00276AA4">
        <w:rPr>
          <w:rFonts w:eastAsia="Cambria" w:cs="Times New Roman"/>
          <w:bCs/>
          <w:szCs w:val="24"/>
          <w:lang w:val="en-US"/>
        </w:rPr>
        <w:t xml:space="preserve"> is</w:t>
      </w:r>
      <w:r w:rsidR="00AB5DEE">
        <w:rPr>
          <w:rFonts w:eastAsia="Cambria" w:cs="Times New Roman"/>
          <w:bCs/>
          <w:szCs w:val="24"/>
          <w:lang w:val="en-US"/>
        </w:rPr>
        <w:t xml:space="preserve"> </w:t>
      </w:r>
      <w:r w:rsidR="00276AA4">
        <w:rPr>
          <w:rFonts w:eastAsia="Cambria" w:cs="Times New Roman"/>
          <w:bCs/>
          <w:szCs w:val="24"/>
          <w:lang w:val="en-US"/>
        </w:rPr>
        <w:t xml:space="preserve">implemented by </w:t>
      </w:r>
      <w:r w:rsidR="00F01C80">
        <w:rPr>
          <w:rFonts w:eastAsia="Cambria" w:cs="Times New Roman"/>
          <w:bCs/>
          <w:szCs w:val="24"/>
          <w:lang w:val="en-US"/>
        </w:rPr>
        <w:t>the I</w:t>
      </w:r>
      <w:r w:rsidR="00F01C80" w:rsidRPr="001F2249">
        <w:rPr>
          <w:rFonts w:cs="Times New Roman"/>
          <w:szCs w:val="24"/>
        </w:rPr>
        <w:t>UCN Commission on Environmental, Economic and Social Policy (CEESP</w:t>
      </w:r>
      <w:r w:rsidR="00F01C80">
        <w:rPr>
          <w:rFonts w:cs="Times New Roman"/>
          <w:szCs w:val="24"/>
        </w:rPr>
        <w:t>), the Forest Peoples Programme, and other indigenous peoples’ organisations (IPOs)</w:t>
      </w:r>
      <w:r w:rsidR="00F01C80">
        <w:rPr>
          <w:rFonts w:eastAsia="Cambria" w:cs="Times New Roman"/>
          <w:bCs/>
          <w:szCs w:val="24"/>
          <w:lang w:val="en-US"/>
        </w:rPr>
        <w:t xml:space="preserve">. </w:t>
      </w:r>
      <w:r w:rsidR="00276AA4">
        <w:rPr>
          <w:rFonts w:cs="Times New Roman"/>
          <w:szCs w:val="24"/>
        </w:rPr>
        <w:t>According to IUCN, the</w:t>
      </w:r>
      <w:r w:rsidR="00276AA4" w:rsidRPr="00276AA4">
        <w:rPr>
          <w:rFonts w:cs="Times New Roman"/>
          <w:szCs w:val="24"/>
        </w:rPr>
        <w:t xml:space="preserve"> </w:t>
      </w:r>
      <w:proofErr w:type="spellStart"/>
      <w:r w:rsidR="00276AA4" w:rsidRPr="00276AA4">
        <w:rPr>
          <w:rFonts w:cs="Times New Roman"/>
          <w:szCs w:val="24"/>
        </w:rPr>
        <w:t>Whakatane</w:t>
      </w:r>
      <w:proofErr w:type="spellEnd"/>
      <w:r w:rsidR="00276AA4" w:rsidRPr="00276AA4">
        <w:rPr>
          <w:rFonts w:cs="Times New Roman"/>
          <w:szCs w:val="24"/>
        </w:rPr>
        <w:t xml:space="preserve"> Mechanism </w:t>
      </w:r>
      <w:r w:rsidR="00A903E1">
        <w:rPr>
          <w:rFonts w:cs="Times New Roman"/>
          <w:szCs w:val="24"/>
        </w:rPr>
        <w:t>“i</w:t>
      </w:r>
      <w:r w:rsidR="00276AA4" w:rsidRPr="00276AA4">
        <w:rPr>
          <w:rFonts w:cs="Times New Roman"/>
          <w:szCs w:val="24"/>
        </w:rPr>
        <w:t>s a process to assess, address and redress situations, primarily in protected areas, where indigenous peoples consider themselves to be negatively affected by a protected area designation or management practices.</w:t>
      </w:r>
      <w:r w:rsidR="00276AA4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</w:t>
      </w:r>
    </w:p>
    <w:p w:rsidR="001F2249" w:rsidRPr="00A13007" w:rsidRDefault="00276AA4" w:rsidP="00A13007">
      <w:pPr>
        <w:pStyle w:val="NoSpacing"/>
        <w:spacing w:after="240" w:line="276" w:lineRule="auto"/>
        <w:contextualSpacing w:val="0"/>
        <w:rPr>
          <w:szCs w:val="24"/>
          <w:lang w:val="en-ZA"/>
        </w:rPr>
      </w:pPr>
      <w:r>
        <w:rPr>
          <w:rFonts w:cs="Times New Roman"/>
          <w:szCs w:val="24"/>
        </w:rPr>
        <w:t>The main working method under the Mechanism is the use of “</w:t>
      </w:r>
      <w:proofErr w:type="spellStart"/>
      <w:r>
        <w:rPr>
          <w:rFonts w:cs="Times New Roman"/>
          <w:szCs w:val="24"/>
        </w:rPr>
        <w:t>Whakatane</w:t>
      </w:r>
      <w:proofErr w:type="spellEnd"/>
      <w:r>
        <w:rPr>
          <w:rFonts w:cs="Times New Roman"/>
          <w:szCs w:val="24"/>
        </w:rPr>
        <w:t xml:space="preserve"> Assessments</w:t>
      </w:r>
      <w:r w:rsidR="00F01C8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” which </w:t>
      </w:r>
      <w:r w:rsidR="00A903E1">
        <w:rPr>
          <w:rFonts w:cs="Times New Roman"/>
          <w:szCs w:val="24"/>
        </w:rPr>
        <w:t>have been</w:t>
      </w:r>
      <w:r>
        <w:rPr>
          <w:rFonts w:cs="Times New Roman"/>
          <w:szCs w:val="24"/>
        </w:rPr>
        <w:t xml:space="preserve"> piloted in Kenya</w:t>
      </w:r>
      <w:r w:rsidR="00A903E1">
        <w:rPr>
          <w:rFonts w:cs="Times New Roman"/>
          <w:szCs w:val="24"/>
        </w:rPr>
        <w:t>, Congo</w:t>
      </w:r>
      <w:r>
        <w:rPr>
          <w:rFonts w:cs="Times New Roman"/>
          <w:szCs w:val="24"/>
        </w:rPr>
        <w:t xml:space="preserve"> and Thailand.  </w:t>
      </w:r>
      <w:r w:rsidR="00A903E1">
        <w:rPr>
          <w:rFonts w:cs="Times New Roman"/>
          <w:szCs w:val="24"/>
        </w:rPr>
        <w:t xml:space="preserve">According to the </w:t>
      </w:r>
      <w:proofErr w:type="spellStart"/>
      <w:r w:rsidR="00A903E1">
        <w:rPr>
          <w:rFonts w:cs="Times New Roman"/>
          <w:szCs w:val="24"/>
        </w:rPr>
        <w:t>Whakatane</w:t>
      </w:r>
      <w:proofErr w:type="spellEnd"/>
      <w:r w:rsidR="00A903E1">
        <w:rPr>
          <w:rFonts w:cs="Times New Roman"/>
          <w:szCs w:val="24"/>
        </w:rPr>
        <w:t xml:space="preserve"> Mechanism website, the “</w:t>
      </w:r>
      <w:r w:rsidR="00A903E1" w:rsidRPr="00A903E1">
        <w:rPr>
          <w:rFonts w:cs="Times New Roman"/>
          <w:szCs w:val="24"/>
        </w:rPr>
        <w:t xml:space="preserve">structure of these pilot Assessments was similar: a first roundtable that brought together the different institutions involved in the protected area to explain the concept of the </w:t>
      </w:r>
      <w:proofErr w:type="spellStart"/>
      <w:r w:rsidR="00A903E1" w:rsidRPr="00A903E1">
        <w:rPr>
          <w:rFonts w:cs="Times New Roman"/>
          <w:szCs w:val="24"/>
        </w:rPr>
        <w:t>Whakatane</w:t>
      </w:r>
      <w:proofErr w:type="spellEnd"/>
      <w:r w:rsidR="00A903E1" w:rsidRPr="00A903E1">
        <w:rPr>
          <w:rFonts w:cs="Times New Roman"/>
          <w:szCs w:val="24"/>
        </w:rPr>
        <w:t xml:space="preserve"> Mechanism and plan ahead. This was followed by a scoping study of several days in the protected area to meet with communities and local officials. A second roundtable followed to present and agree on the findings and recommendations of the Assessment.</w:t>
      </w:r>
      <w:r w:rsidR="00A903E1">
        <w:rPr>
          <w:rFonts w:cs="Times New Roman"/>
          <w:szCs w:val="24"/>
        </w:rPr>
        <w:t>”  For example, the assessment in Kenya found that “</w:t>
      </w:r>
      <w:r w:rsidR="00A903E1" w:rsidRPr="00A903E1">
        <w:rPr>
          <w:szCs w:val="24"/>
          <w:lang w:val="en-ZA"/>
        </w:rPr>
        <w:t xml:space="preserve">the </w:t>
      </w:r>
      <w:proofErr w:type="spellStart"/>
      <w:r w:rsidR="00A903E1" w:rsidRPr="00A903E1">
        <w:rPr>
          <w:szCs w:val="24"/>
          <w:lang w:val="en-ZA"/>
        </w:rPr>
        <w:t>Ogiek</w:t>
      </w:r>
      <w:proofErr w:type="spellEnd"/>
      <w:r w:rsidR="00A903E1">
        <w:rPr>
          <w:szCs w:val="24"/>
          <w:lang w:val="en-ZA"/>
        </w:rPr>
        <w:t xml:space="preserve"> [community]</w:t>
      </w:r>
      <w:r w:rsidR="00A903E1" w:rsidRPr="00A903E1">
        <w:rPr>
          <w:szCs w:val="24"/>
          <w:lang w:val="en-ZA"/>
        </w:rPr>
        <w:t xml:space="preserve"> have a positive relationship with their natural environment and indicated that community structures, presence and livelihood practices contribute to protecting the forest, moorland and fauna.</w:t>
      </w:r>
      <w:r w:rsidR="00232297">
        <w:rPr>
          <w:szCs w:val="24"/>
          <w:lang w:val="en-ZA"/>
        </w:rPr>
        <w:t>” It concluded that “t</w:t>
      </w:r>
      <w:r w:rsidR="00A903E1" w:rsidRPr="00A903E1">
        <w:rPr>
          <w:szCs w:val="24"/>
          <w:lang w:val="en-ZA"/>
        </w:rPr>
        <w:t>here is therefore an</w:t>
      </w:r>
      <w:r w:rsidR="00A903E1">
        <w:rPr>
          <w:szCs w:val="24"/>
          <w:lang w:val="en-ZA"/>
        </w:rPr>
        <w:t xml:space="preserve"> </w:t>
      </w:r>
      <w:r w:rsidR="00A903E1" w:rsidRPr="00A903E1">
        <w:rPr>
          <w:szCs w:val="24"/>
          <w:lang w:val="en-ZA"/>
        </w:rPr>
        <w:t xml:space="preserve">opportunity for decision-makers of the County Council to reverse their earlier attempts to evict the </w:t>
      </w:r>
      <w:proofErr w:type="spellStart"/>
      <w:r w:rsidR="00A903E1" w:rsidRPr="00A903E1">
        <w:rPr>
          <w:szCs w:val="24"/>
          <w:lang w:val="en-ZA"/>
        </w:rPr>
        <w:t>Ogiek</w:t>
      </w:r>
      <w:proofErr w:type="spellEnd"/>
      <w:r w:rsidR="00A903E1" w:rsidRPr="00A903E1">
        <w:rPr>
          <w:szCs w:val="24"/>
          <w:lang w:val="en-ZA"/>
        </w:rPr>
        <w:t>, and to instead support their continued conservation of their lands.</w:t>
      </w:r>
      <w:r w:rsidR="00A13007">
        <w:rPr>
          <w:szCs w:val="24"/>
          <w:lang w:val="en-ZA"/>
        </w:rPr>
        <w:t>”</w:t>
      </w:r>
      <w:r w:rsidR="00A903E1">
        <w:rPr>
          <w:szCs w:val="24"/>
          <w:lang w:val="en-ZA"/>
        </w:rPr>
        <w:t xml:space="preserve"> In Kenya, the FPP and IUCN put </w:t>
      </w:r>
      <w:r w:rsidR="00A903E1" w:rsidRPr="00A903E1">
        <w:rPr>
          <w:szCs w:val="24"/>
        </w:rPr>
        <w:t>togeth</w:t>
      </w:r>
      <w:bookmarkStart w:id="0" w:name="_GoBack"/>
      <w:bookmarkEnd w:id="0"/>
      <w:r w:rsidR="00A903E1" w:rsidRPr="00A903E1">
        <w:rPr>
          <w:szCs w:val="24"/>
        </w:rPr>
        <w:t xml:space="preserve">er a programme of work – validated by all participants </w:t>
      </w:r>
      <w:r w:rsidR="00A903E1">
        <w:rPr>
          <w:szCs w:val="24"/>
        </w:rPr>
        <w:t>at the second roundtable</w:t>
      </w:r>
      <w:r w:rsidR="00A903E1" w:rsidRPr="00A903E1">
        <w:rPr>
          <w:szCs w:val="24"/>
        </w:rPr>
        <w:t xml:space="preserve"> - to work on establishing clear evidence based co-management structures that can ensure </w:t>
      </w:r>
      <w:r w:rsidR="00F01C80">
        <w:rPr>
          <w:szCs w:val="24"/>
        </w:rPr>
        <w:t xml:space="preserve">that </w:t>
      </w:r>
      <w:proofErr w:type="spellStart"/>
      <w:r w:rsidR="00A903E1" w:rsidRPr="00A903E1">
        <w:rPr>
          <w:szCs w:val="24"/>
        </w:rPr>
        <w:t>Ogiek</w:t>
      </w:r>
      <w:proofErr w:type="spellEnd"/>
      <w:r w:rsidR="00A903E1" w:rsidRPr="00A903E1">
        <w:rPr>
          <w:szCs w:val="24"/>
        </w:rPr>
        <w:t xml:space="preserve"> management of their land is respected</w:t>
      </w:r>
      <w:r w:rsidR="00A13007">
        <w:rPr>
          <w:szCs w:val="24"/>
        </w:rPr>
        <w:t>.</w:t>
      </w:r>
    </w:p>
    <w:p w:rsidR="006F2F14" w:rsidRPr="00F01C80" w:rsidRDefault="001F2249" w:rsidP="001F2249">
      <w:pPr>
        <w:rPr>
          <w:rFonts w:ascii="Times New Roman" w:hAnsi="Times New Roman"/>
          <w:sz w:val="24"/>
          <w:szCs w:val="24"/>
        </w:rPr>
      </w:pPr>
      <w:r w:rsidRPr="001F2249">
        <w:rPr>
          <w:rStyle w:val="Heading2Char"/>
          <w:rFonts w:ascii="Times New Roman" w:hAnsi="Times New Roman" w:cs="Times New Roman"/>
          <w:sz w:val="24"/>
          <w:szCs w:val="24"/>
        </w:rPr>
        <w:t>Further Information</w:t>
      </w:r>
      <w:r w:rsidRPr="001F2249">
        <w:rPr>
          <w:rFonts w:ascii="Times New Roman" w:hAnsi="Times New Roman"/>
          <w:sz w:val="24"/>
          <w:szCs w:val="24"/>
        </w:rPr>
        <w:t>:</w:t>
      </w:r>
      <w:r w:rsidR="00A13007">
        <w:rPr>
          <w:rFonts w:ascii="Times New Roman" w:hAnsi="Times New Roman"/>
          <w:sz w:val="24"/>
          <w:szCs w:val="24"/>
        </w:rPr>
        <w:t xml:space="preserve"> The main website for the Mechanism:</w:t>
      </w:r>
      <w:r w:rsidRPr="001F224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F2249">
          <w:rPr>
            <w:rStyle w:val="Hyperlink"/>
            <w:rFonts w:ascii="Times New Roman" w:hAnsi="Times New Roman"/>
            <w:sz w:val="24"/>
            <w:szCs w:val="24"/>
          </w:rPr>
          <w:t>http://whakatane-mechanism.org</w:t>
        </w:r>
      </w:hyperlink>
      <w:r w:rsidRPr="001F2249">
        <w:rPr>
          <w:rFonts w:ascii="Times New Roman" w:hAnsi="Times New Roman"/>
          <w:sz w:val="24"/>
          <w:szCs w:val="24"/>
        </w:rPr>
        <w:t xml:space="preserve">; </w:t>
      </w:r>
      <w:r w:rsidR="00A13007">
        <w:rPr>
          <w:rFonts w:ascii="Times New Roman" w:hAnsi="Times New Roman"/>
          <w:sz w:val="24"/>
          <w:szCs w:val="24"/>
        </w:rPr>
        <w:t xml:space="preserve">IUCN’s </w:t>
      </w:r>
      <w:r w:rsidR="00E56522">
        <w:rPr>
          <w:rFonts w:ascii="Times New Roman" w:hAnsi="Times New Roman"/>
          <w:sz w:val="24"/>
          <w:szCs w:val="24"/>
        </w:rPr>
        <w:t>progress report</w:t>
      </w:r>
      <w:r w:rsidR="00A13007">
        <w:rPr>
          <w:rFonts w:ascii="Times New Roman" w:hAnsi="Times New Roman"/>
          <w:sz w:val="24"/>
          <w:szCs w:val="24"/>
        </w:rPr>
        <w:t xml:space="preserve"> for the Mechanism: </w:t>
      </w:r>
      <w:hyperlink r:id="rId7" w:history="1">
        <w:r w:rsidRPr="001F2249">
          <w:rPr>
            <w:rStyle w:val="Hyperlink"/>
            <w:rFonts w:ascii="Times New Roman" w:hAnsi="Times New Roman"/>
            <w:sz w:val="24"/>
            <w:szCs w:val="24"/>
          </w:rPr>
          <w:t>http://www.iucn.org/about/union/commissions/ceesp/?9764/Progress-Report-of-the-Whakatane-Mechanism</w:t>
        </w:r>
      </w:hyperlink>
      <w:r w:rsidR="00F01C80">
        <w:rPr>
          <w:rStyle w:val="Hyperlink"/>
          <w:rFonts w:ascii="Times New Roman" w:hAnsi="Times New Roman"/>
          <w:sz w:val="24"/>
          <w:szCs w:val="24"/>
          <w:u w:val="none"/>
        </w:rPr>
        <w:t>.</w:t>
      </w:r>
    </w:p>
    <w:sectPr w:rsidR="006F2F14" w:rsidRPr="00F01C80" w:rsidSect="00043A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21"/>
    <w:multiLevelType w:val="multilevel"/>
    <w:tmpl w:val="75D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43AB2"/>
    <w:rsid w:val="000A1EB9"/>
    <w:rsid w:val="000C6CEB"/>
    <w:rsid w:val="000E0BF8"/>
    <w:rsid w:val="001A0AA6"/>
    <w:rsid w:val="001F2249"/>
    <w:rsid w:val="00232297"/>
    <w:rsid w:val="00276AA4"/>
    <w:rsid w:val="002C1F91"/>
    <w:rsid w:val="002D316B"/>
    <w:rsid w:val="00364513"/>
    <w:rsid w:val="0038640F"/>
    <w:rsid w:val="00484851"/>
    <w:rsid w:val="00505F46"/>
    <w:rsid w:val="00510783"/>
    <w:rsid w:val="00545DD6"/>
    <w:rsid w:val="00577FB2"/>
    <w:rsid w:val="006332F4"/>
    <w:rsid w:val="006D5BFB"/>
    <w:rsid w:val="006F2F14"/>
    <w:rsid w:val="007F6BCE"/>
    <w:rsid w:val="00814CE6"/>
    <w:rsid w:val="00833BDD"/>
    <w:rsid w:val="008825E0"/>
    <w:rsid w:val="008D3B55"/>
    <w:rsid w:val="00A13007"/>
    <w:rsid w:val="00A16ED4"/>
    <w:rsid w:val="00A777E1"/>
    <w:rsid w:val="00A903E1"/>
    <w:rsid w:val="00AB5DEE"/>
    <w:rsid w:val="00AD20E2"/>
    <w:rsid w:val="00B909E5"/>
    <w:rsid w:val="00BD29C4"/>
    <w:rsid w:val="00C5075A"/>
    <w:rsid w:val="00C5431B"/>
    <w:rsid w:val="00CA0EE7"/>
    <w:rsid w:val="00D5585A"/>
    <w:rsid w:val="00DF2BCE"/>
    <w:rsid w:val="00E56522"/>
    <w:rsid w:val="00F01C80"/>
    <w:rsid w:val="00F60B60"/>
    <w:rsid w:val="00FE3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2249"/>
    <w:pPr>
      <w:contextualSpacing/>
    </w:pPr>
    <w:rPr>
      <w:rFonts w:ascii="Times New Roman" w:eastAsiaTheme="minorHAnsi" w:hAnsi="Times New Roman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1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1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B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5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2249"/>
    <w:pPr>
      <w:contextualSpacing/>
    </w:pPr>
    <w:rPr>
      <w:rFonts w:ascii="Times New Roman" w:eastAsiaTheme="minorHAnsi" w:hAnsi="Times New Roman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1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1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B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ucn.org/about/union/commissions/ceesp/?9764/Progress-Report-of-the-Whakatane-Mechanis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akatane-mechanism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44AB0-894F-47C5-AD92-941E4FE314D8}"/>
</file>

<file path=customXml/itemProps2.xml><?xml version="1.0" encoding="utf-8"?>
<ds:datastoreItem xmlns:ds="http://schemas.openxmlformats.org/officeDocument/2006/customXml" ds:itemID="{4DD1FD98-BA6F-4A5B-AD5C-D62840B061F0}"/>
</file>

<file path=customXml/itemProps3.xml><?xml version="1.0" encoding="utf-8"?>
<ds:datastoreItem xmlns:ds="http://schemas.openxmlformats.org/officeDocument/2006/customXml" ds:itemID="{74CD2FAA-318F-4410-89C0-0D09E80FF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Knox, John H.</cp:lastModifiedBy>
  <cp:revision>3</cp:revision>
  <dcterms:created xsi:type="dcterms:W3CDTF">2014-11-28T15:19:00Z</dcterms:created>
  <dcterms:modified xsi:type="dcterms:W3CDTF">2014-11-28T15:23:00Z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