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541C86">
        <w:rPr>
          <w:rStyle w:val="Heading2Char"/>
          <w:rFonts w:ascii="Times New Roman" w:hAnsi="Times New Roman" w:cs="Times New Roman"/>
          <w:szCs w:val="24"/>
        </w:rPr>
        <w:t xml:space="preserve">Obligation to Provide Access to Legal Remedies </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A468FE">
        <w:rPr>
          <w:rStyle w:val="Heading2Char"/>
          <w:rFonts w:ascii="Times New Roman" w:hAnsi="Times New Roman" w:cs="Times New Roman"/>
          <w:szCs w:val="24"/>
        </w:rPr>
        <w:t>: Regional Tribunals</w:t>
      </w:r>
      <w:r w:rsidR="00D17F1C">
        <w:rPr>
          <w:rStyle w:val="Heading2Char"/>
          <w:rFonts w:ascii="Times New Roman" w:hAnsi="Times New Roman" w:cs="Times New Roman"/>
          <w:szCs w:val="24"/>
        </w:rPr>
        <w:t xml:space="preserve"> and Mechanisms</w:t>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6A70D3">
        <w:rPr>
          <w:rStyle w:val="Heading2Char"/>
          <w:rFonts w:ascii="Times New Roman" w:hAnsi="Times New Roman" w:cs="Times New Roman"/>
          <w:szCs w:val="24"/>
        </w:rPr>
        <w:t xml:space="preserve">Environmental Jurisprudence of the </w:t>
      </w:r>
      <w:r w:rsidR="006A70D3">
        <w:rPr>
          <w:rFonts w:ascii="Times New Roman" w:eastAsia="Times New Roman" w:hAnsi="Times New Roman"/>
          <w:b/>
          <w:bCs/>
          <w:smallCaps/>
          <w:color w:val="000000"/>
          <w:sz w:val="24"/>
          <w:szCs w:val="24"/>
          <w:lang w:val="en-US"/>
        </w:rPr>
        <w:t>European Court of Human Rights</w:t>
      </w:r>
    </w:p>
    <w:p w:rsidR="0040306A"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Key Words: </w:t>
      </w:r>
      <w:r w:rsidR="0050347C">
        <w:rPr>
          <w:rFonts w:ascii="Times New Roman" w:hAnsi="Times New Roman"/>
          <w:sz w:val="24"/>
          <w:szCs w:val="24"/>
        </w:rPr>
        <w:t xml:space="preserve">Access to Justice, Jurisprudence, </w:t>
      </w:r>
      <w:r w:rsidR="00E07D91">
        <w:rPr>
          <w:rFonts w:ascii="Times New Roman" w:hAnsi="Times New Roman"/>
          <w:sz w:val="24"/>
          <w:szCs w:val="24"/>
        </w:rPr>
        <w:t xml:space="preserve">Regional, </w:t>
      </w:r>
      <w:r w:rsidR="0016516D">
        <w:rPr>
          <w:rFonts w:ascii="Times New Roman" w:hAnsi="Times New Roman"/>
          <w:sz w:val="24"/>
          <w:szCs w:val="24"/>
        </w:rPr>
        <w:t>Tr</w:t>
      </w:r>
      <w:r w:rsidR="0050347C">
        <w:rPr>
          <w:rFonts w:ascii="Times New Roman" w:hAnsi="Times New Roman"/>
          <w:sz w:val="24"/>
          <w:szCs w:val="24"/>
        </w:rPr>
        <w:t>ibunal</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8C4C5A">
        <w:rPr>
          <w:rFonts w:ascii="Times New Roman" w:hAnsi="Times New Roman"/>
          <w:sz w:val="24"/>
          <w:szCs w:val="24"/>
        </w:rPr>
        <w:t>Court</w:t>
      </w:r>
      <w:r w:rsidR="00A468FE">
        <w:rPr>
          <w:rFonts w:ascii="Times New Roman" w:hAnsi="Times New Roman"/>
          <w:sz w:val="24"/>
          <w:szCs w:val="24"/>
        </w:rPr>
        <w:t xml:space="preserve">: </w:t>
      </w:r>
      <w:r w:rsidR="008C4C5A">
        <w:rPr>
          <w:rFonts w:ascii="Times New Roman" w:hAnsi="Times New Roman"/>
          <w:sz w:val="24"/>
          <w:szCs w:val="24"/>
        </w:rPr>
        <w:t>European Court of Human Rights</w:t>
      </w:r>
      <w:r w:rsidR="00782D30">
        <w:rPr>
          <w:rFonts w:ascii="Times New Roman" w:hAnsi="Times New Roman"/>
          <w:sz w:val="24"/>
          <w:szCs w:val="24"/>
        </w:rPr>
        <w:t xml:space="preserve"> </w:t>
      </w:r>
    </w:p>
    <w:p w:rsidR="00FF4ED4" w:rsidRPr="00B653C9" w:rsidRDefault="00FF4ED4"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Location: </w:t>
      </w:r>
      <w:r w:rsidR="008C4C5A">
        <w:rPr>
          <w:rFonts w:ascii="Times New Roman" w:hAnsi="Times New Roman"/>
          <w:sz w:val="24"/>
          <w:szCs w:val="24"/>
        </w:rPr>
        <w:t>Europe</w:t>
      </w:r>
    </w:p>
    <w:p w:rsidR="00E11D95" w:rsidRDefault="00FF4ED4" w:rsidP="00782D30">
      <w:pPr>
        <w:rPr>
          <w:rFonts w:ascii="Times New Roman" w:eastAsiaTheme="majorEastAsia" w:hAnsi="Times New Roman"/>
          <w:bCs/>
          <w:color w:val="000000" w:themeColor="text1"/>
          <w:sz w:val="24"/>
          <w:szCs w:val="24"/>
          <w:lang w:val="en-US"/>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782D30">
        <w:rPr>
          <w:rFonts w:ascii="Times New Roman" w:eastAsiaTheme="majorEastAsia" w:hAnsi="Times New Roman"/>
          <w:bCs/>
          <w:color w:val="000000" w:themeColor="text1"/>
          <w:sz w:val="24"/>
          <w:szCs w:val="24"/>
          <w:lang w:val="en-US"/>
        </w:rPr>
        <w:t>The E</w:t>
      </w:r>
      <w:r w:rsidR="0050347C">
        <w:rPr>
          <w:rFonts w:ascii="Times New Roman" w:eastAsiaTheme="majorEastAsia" w:hAnsi="Times New Roman"/>
          <w:bCs/>
          <w:color w:val="000000" w:themeColor="text1"/>
          <w:sz w:val="24"/>
          <w:szCs w:val="24"/>
          <w:lang w:val="en-US"/>
        </w:rPr>
        <w:t>uropean Court of Human Rights (E</w:t>
      </w:r>
      <w:r w:rsidR="00782D30">
        <w:rPr>
          <w:rFonts w:ascii="Times New Roman" w:eastAsiaTheme="majorEastAsia" w:hAnsi="Times New Roman"/>
          <w:bCs/>
          <w:color w:val="000000" w:themeColor="text1"/>
          <w:sz w:val="24"/>
          <w:szCs w:val="24"/>
          <w:lang w:val="en-US"/>
        </w:rPr>
        <w:t>C</w:t>
      </w:r>
      <w:r w:rsidR="00782D30" w:rsidRPr="00782D30">
        <w:rPr>
          <w:rFonts w:ascii="Times New Roman" w:eastAsiaTheme="majorEastAsia" w:hAnsi="Times New Roman"/>
          <w:bCs/>
          <w:color w:val="000000" w:themeColor="text1"/>
          <w:sz w:val="24"/>
          <w:szCs w:val="24"/>
          <w:lang w:val="en-US"/>
        </w:rPr>
        <w:t>HR</w:t>
      </w:r>
      <w:r w:rsidR="0050347C">
        <w:rPr>
          <w:rFonts w:ascii="Times New Roman" w:eastAsiaTheme="majorEastAsia" w:hAnsi="Times New Roman"/>
          <w:bCs/>
          <w:color w:val="000000" w:themeColor="text1"/>
          <w:sz w:val="24"/>
          <w:szCs w:val="24"/>
          <w:lang w:val="en-US"/>
        </w:rPr>
        <w:t>)</w:t>
      </w:r>
      <w:r w:rsidR="00782D30" w:rsidRPr="00782D30">
        <w:rPr>
          <w:rFonts w:ascii="Times New Roman" w:eastAsiaTheme="majorEastAsia" w:hAnsi="Times New Roman"/>
          <w:bCs/>
          <w:color w:val="000000" w:themeColor="text1"/>
          <w:sz w:val="24"/>
          <w:szCs w:val="24"/>
          <w:lang w:val="en-US"/>
        </w:rPr>
        <w:t xml:space="preserve">, based in Strasbourg, was established in 1959 with the mandate to </w:t>
      </w:r>
      <w:bookmarkStart w:id="0" w:name="_GoBack"/>
      <w:bookmarkEnd w:id="0"/>
      <w:r w:rsidR="0050347C">
        <w:rPr>
          <w:rFonts w:ascii="Times New Roman" w:eastAsiaTheme="majorEastAsia" w:hAnsi="Times New Roman"/>
          <w:bCs/>
          <w:color w:val="000000" w:themeColor="text1"/>
          <w:sz w:val="24"/>
          <w:szCs w:val="24"/>
          <w:lang w:val="en-US"/>
        </w:rPr>
        <w:t xml:space="preserve">review alleged </w:t>
      </w:r>
      <w:r w:rsidR="00782D30" w:rsidRPr="00782D30">
        <w:rPr>
          <w:rFonts w:ascii="Times New Roman" w:eastAsiaTheme="majorEastAsia" w:hAnsi="Times New Roman"/>
          <w:bCs/>
          <w:color w:val="000000" w:themeColor="text1"/>
          <w:sz w:val="24"/>
          <w:szCs w:val="24"/>
          <w:lang w:val="en-US"/>
        </w:rPr>
        <w:t xml:space="preserve">violations of the civil and political rights set out in the </w:t>
      </w:r>
      <w:r w:rsidR="0050347C">
        <w:rPr>
          <w:rFonts w:ascii="Times New Roman" w:eastAsiaTheme="majorEastAsia" w:hAnsi="Times New Roman"/>
          <w:bCs/>
          <w:color w:val="000000" w:themeColor="text1"/>
          <w:sz w:val="24"/>
          <w:szCs w:val="24"/>
          <w:lang w:val="en-US"/>
        </w:rPr>
        <w:t xml:space="preserve">European </w:t>
      </w:r>
      <w:r w:rsidR="00782D30" w:rsidRPr="00782D30">
        <w:rPr>
          <w:rFonts w:ascii="Times New Roman" w:eastAsiaTheme="majorEastAsia" w:hAnsi="Times New Roman"/>
          <w:bCs/>
          <w:color w:val="000000" w:themeColor="text1"/>
          <w:sz w:val="24"/>
          <w:szCs w:val="24"/>
          <w:lang w:val="en-US"/>
        </w:rPr>
        <w:t>C</w:t>
      </w:r>
      <w:r w:rsidR="006A70D3">
        <w:rPr>
          <w:rFonts w:ascii="Times New Roman" w:eastAsiaTheme="majorEastAsia" w:hAnsi="Times New Roman"/>
          <w:bCs/>
          <w:color w:val="000000" w:themeColor="text1"/>
          <w:sz w:val="24"/>
          <w:szCs w:val="24"/>
          <w:lang w:val="en-US"/>
        </w:rPr>
        <w:t>onvention for the P</w:t>
      </w:r>
      <w:r w:rsidR="00782D30" w:rsidRPr="00782D30">
        <w:rPr>
          <w:rFonts w:ascii="Times New Roman" w:eastAsiaTheme="majorEastAsia" w:hAnsi="Times New Roman"/>
          <w:bCs/>
          <w:color w:val="000000" w:themeColor="text1"/>
          <w:sz w:val="24"/>
          <w:szCs w:val="24"/>
          <w:lang w:val="en-US"/>
        </w:rPr>
        <w:t xml:space="preserve">rotection of Human Rights and </w:t>
      </w:r>
      <w:r w:rsidR="0050347C">
        <w:rPr>
          <w:rFonts w:ascii="Times New Roman" w:eastAsiaTheme="majorEastAsia" w:hAnsi="Times New Roman"/>
          <w:bCs/>
          <w:color w:val="000000" w:themeColor="text1"/>
          <w:sz w:val="24"/>
          <w:szCs w:val="24"/>
          <w:lang w:val="en-US"/>
        </w:rPr>
        <w:t>F</w:t>
      </w:r>
      <w:r w:rsidR="00782D30" w:rsidRPr="00782D30">
        <w:rPr>
          <w:rFonts w:ascii="Times New Roman" w:eastAsiaTheme="majorEastAsia" w:hAnsi="Times New Roman"/>
          <w:bCs/>
          <w:color w:val="000000" w:themeColor="text1"/>
          <w:sz w:val="24"/>
          <w:szCs w:val="24"/>
          <w:lang w:val="en-US"/>
        </w:rPr>
        <w:t>undamental Freedoms. Since 1998, individuals can apply to the Court directly. The Court and the Convention are an essential part of the European human rights system framed by the 47 Member States of the Council of Europe.</w:t>
      </w:r>
      <w:r w:rsidR="00E11D95">
        <w:rPr>
          <w:rFonts w:ascii="Times New Roman" w:eastAsiaTheme="majorEastAsia" w:hAnsi="Times New Roman"/>
          <w:bCs/>
          <w:color w:val="000000" w:themeColor="text1"/>
          <w:sz w:val="24"/>
          <w:szCs w:val="24"/>
          <w:lang w:val="en-US"/>
        </w:rPr>
        <w:t xml:space="preserve"> </w:t>
      </w:r>
    </w:p>
    <w:p w:rsidR="00086383" w:rsidRPr="00E906DF" w:rsidRDefault="00782D30" w:rsidP="00A468FE">
      <w:pPr>
        <w:rPr>
          <w:rFonts w:ascii="Times New Roman" w:eastAsiaTheme="majorEastAsia" w:hAnsi="Times New Roman"/>
          <w:bCs/>
          <w:iCs/>
          <w:color w:val="000000" w:themeColor="text1"/>
          <w:sz w:val="24"/>
          <w:szCs w:val="24"/>
          <w:lang w:val="en-US"/>
        </w:rPr>
      </w:pPr>
      <w:r>
        <w:rPr>
          <w:rFonts w:ascii="Times New Roman" w:eastAsiaTheme="majorEastAsia" w:hAnsi="Times New Roman"/>
          <w:bCs/>
          <w:color w:val="000000" w:themeColor="text1"/>
          <w:sz w:val="24"/>
          <w:szCs w:val="24"/>
          <w:lang w:val="en-US"/>
        </w:rPr>
        <w:t>Although there is no explicit right to a healthy environment in the European Convention, the Court has developed a strong jurisprudence on environment</w:t>
      </w:r>
      <w:r w:rsidR="00FE05A7">
        <w:rPr>
          <w:rFonts w:ascii="Times New Roman" w:eastAsiaTheme="majorEastAsia" w:hAnsi="Times New Roman"/>
          <w:bCs/>
          <w:color w:val="000000" w:themeColor="text1"/>
          <w:sz w:val="24"/>
          <w:szCs w:val="24"/>
          <w:lang w:val="en-US"/>
        </w:rPr>
        <w:t>al</w:t>
      </w:r>
      <w:r>
        <w:rPr>
          <w:rFonts w:ascii="Times New Roman" w:eastAsiaTheme="majorEastAsia" w:hAnsi="Times New Roman"/>
          <w:bCs/>
          <w:color w:val="000000" w:themeColor="text1"/>
          <w:sz w:val="24"/>
          <w:szCs w:val="24"/>
          <w:lang w:val="en-US"/>
        </w:rPr>
        <w:t xml:space="preserve"> issues through its interpretation of civil and pol</w:t>
      </w:r>
      <w:r w:rsidR="00F47E9A">
        <w:rPr>
          <w:rFonts w:ascii="Times New Roman" w:eastAsiaTheme="majorEastAsia" w:hAnsi="Times New Roman"/>
          <w:bCs/>
          <w:color w:val="000000" w:themeColor="text1"/>
          <w:sz w:val="24"/>
          <w:szCs w:val="24"/>
          <w:lang w:val="en-US"/>
        </w:rPr>
        <w:t xml:space="preserve">itical rights in the Convention.  </w:t>
      </w:r>
      <w:r w:rsidR="00F47E9A" w:rsidRPr="00F47E9A">
        <w:rPr>
          <w:rFonts w:ascii="Times New Roman" w:eastAsiaTheme="majorEastAsia" w:hAnsi="Times New Roman"/>
          <w:bCs/>
          <w:color w:val="000000" w:themeColor="text1"/>
          <w:sz w:val="24"/>
          <w:szCs w:val="24"/>
          <w:lang w:val="en-US"/>
        </w:rPr>
        <w:t xml:space="preserve">Specifically, </w:t>
      </w:r>
      <w:r w:rsidR="00F47E9A">
        <w:rPr>
          <w:rFonts w:ascii="Times New Roman" w:eastAsiaTheme="majorEastAsia" w:hAnsi="Times New Roman"/>
          <w:bCs/>
          <w:color w:val="000000" w:themeColor="text1"/>
          <w:sz w:val="24"/>
          <w:szCs w:val="24"/>
          <w:lang w:val="en-US"/>
        </w:rPr>
        <w:t>ECHR</w:t>
      </w:r>
      <w:r w:rsidR="00F47E9A" w:rsidRPr="00F47E9A">
        <w:rPr>
          <w:rFonts w:ascii="Times New Roman" w:eastAsiaTheme="majorEastAsia" w:hAnsi="Times New Roman"/>
          <w:bCs/>
          <w:color w:val="000000" w:themeColor="text1"/>
          <w:sz w:val="24"/>
          <w:szCs w:val="24"/>
          <w:lang w:val="en-US"/>
        </w:rPr>
        <w:t xml:space="preserve"> case law has addressed environmental issues as components of Articles 2 (“right to life”) and 8 (“right to respect of private and family life”) of the Convention, as well as Article 10</w:t>
      </w:r>
      <w:r w:rsidR="00E11D95">
        <w:rPr>
          <w:rFonts w:ascii="Times New Roman" w:eastAsiaTheme="majorEastAsia" w:hAnsi="Times New Roman"/>
          <w:bCs/>
          <w:color w:val="000000" w:themeColor="text1"/>
          <w:sz w:val="24"/>
          <w:szCs w:val="24"/>
          <w:lang w:val="en-US"/>
        </w:rPr>
        <w:t xml:space="preserve"> (“right to receive and impart information”)</w:t>
      </w:r>
      <w:r w:rsidR="00F47E9A" w:rsidRPr="00F47E9A">
        <w:rPr>
          <w:rFonts w:ascii="Times New Roman" w:eastAsiaTheme="majorEastAsia" w:hAnsi="Times New Roman"/>
          <w:bCs/>
          <w:color w:val="000000" w:themeColor="text1"/>
          <w:sz w:val="24"/>
          <w:szCs w:val="24"/>
          <w:lang w:val="en-US"/>
        </w:rPr>
        <w:t xml:space="preserve"> and Article 1 of Protocol no. 1 of the Convention and procedural rights </w:t>
      </w:r>
      <w:r w:rsidR="0050347C">
        <w:rPr>
          <w:rFonts w:ascii="Times New Roman" w:eastAsiaTheme="majorEastAsia" w:hAnsi="Times New Roman"/>
          <w:bCs/>
          <w:color w:val="000000" w:themeColor="text1"/>
          <w:sz w:val="24"/>
          <w:szCs w:val="24"/>
          <w:lang w:val="en-US"/>
        </w:rPr>
        <w:t>such as</w:t>
      </w:r>
      <w:r w:rsidR="00F47E9A" w:rsidRPr="00F47E9A">
        <w:rPr>
          <w:rFonts w:ascii="Times New Roman" w:eastAsiaTheme="majorEastAsia" w:hAnsi="Times New Roman"/>
          <w:bCs/>
          <w:color w:val="000000" w:themeColor="text1"/>
          <w:sz w:val="24"/>
          <w:szCs w:val="24"/>
          <w:lang w:val="en-US"/>
        </w:rPr>
        <w:t xml:space="preserve"> the right to an effective remedy (Articles 6.1 and 13).</w:t>
      </w:r>
      <w:r w:rsidR="00F47E9A">
        <w:rPr>
          <w:rFonts w:ascii="Times New Roman" w:eastAsiaTheme="majorEastAsia" w:hAnsi="Times New Roman"/>
          <w:bCs/>
          <w:color w:val="000000" w:themeColor="text1"/>
          <w:sz w:val="24"/>
          <w:szCs w:val="24"/>
          <w:lang w:val="en-US"/>
        </w:rPr>
        <w:t xml:space="preserve"> For example, i</w:t>
      </w:r>
      <w:r w:rsidR="00F47E9A" w:rsidRPr="00F47E9A">
        <w:rPr>
          <w:rFonts w:ascii="Times New Roman" w:eastAsiaTheme="majorEastAsia" w:hAnsi="Times New Roman"/>
          <w:bCs/>
          <w:iCs/>
          <w:color w:val="000000" w:themeColor="text1"/>
          <w:sz w:val="24"/>
          <w:szCs w:val="24"/>
          <w:lang w:val="en-US"/>
        </w:rPr>
        <w:t>n a series of cases construing the right to privacy,</w:t>
      </w:r>
      <w:r w:rsidR="00F47E9A">
        <w:rPr>
          <w:rFonts w:ascii="Times New Roman" w:eastAsiaTheme="majorEastAsia" w:hAnsi="Times New Roman"/>
          <w:bCs/>
          <w:iCs/>
          <w:color w:val="000000" w:themeColor="text1"/>
          <w:sz w:val="24"/>
          <w:szCs w:val="24"/>
          <w:lang w:val="en-US"/>
        </w:rPr>
        <w:t xml:space="preserve"> </w:t>
      </w:r>
      <w:r w:rsidR="0050347C">
        <w:rPr>
          <w:rFonts w:ascii="Times New Roman" w:eastAsiaTheme="majorEastAsia" w:hAnsi="Times New Roman"/>
          <w:bCs/>
          <w:iCs/>
          <w:color w:val="000000" w:themeColor="text1"/>
          <w:sz w:val="24"/>
          <w:szCs w:val="24"/>
          <w:lang w:val="en-US"/>
        </w:rPr>
        <w:t xml:space="preserve">including </w:t>
      </w:r>
      <w:r w:rsidR="004B4FCC">
        <w:rPr>
          <w:rFonts w:ascii="Times New Roman" w:eastAsiaTheme="majorEastAsia" w:hAnsi="Times New Roman"/>
          <w:bCs/>
          <w:i/>
          <w:iCs/>
          <w:color w:val="000000" w:themeColor="text1"/>
          <w:sz w:val="24"/>
          <w:szCs w:val="24"/>
          <w:lang w:val="en-US"/>
        </w:rPr>
        <w:t xml:space="preserve">Lopez </w:t>
      </w:r>
      <w:proofErr w:type="spellStart"/>
      <w:r w:rsidR="004B4FCC">
        <w:rPr>
          <w:rFonts w:ascii="Times New Roman" w:eastAsiaTheme="majorEastAsia" w:hAnsi="Times New Roman"/>
          <w:bCs/>
          <w:i/>
          <w:iCs/>
          <w:color w:val="000000" w:themeColor="text1"/>
          <w:sz w:val="24"/>
          <w:szCs w:val="24"/>
          <w:lang w:val="en-US"/>
        </w:rPr>
        <w:t>Ostra</w:t>
      </w:r>
      <w:proofErr w:type="spellEnd"/>
      <w:r w:rsidR="004B4FCC">
        <w:rPr>
          <w:rFonts w:ascii="Times New Roman" w:eastAsiaTheme="majorEastAsia" w:hAnsi="Times New Roman"/>
          <w:bCs/>
          <w:i/>
          <w:iCs/>
          <w:color w:val="000000" w:themeColor="text1"/>
          <w:sz w:val="24"/>
          <w:szCs w:val="24"/>
          <w:lang w:val="en-US"/>
        </w:rPr>
        <w:t xml:space="preserve"> v Spain </w:t>
      </w:r>
      <w:r w:rsidR="004B4FCC">
        <w:rPr>
          <w:rFonts w:ascii="Times New Roman" w:eastAsiaTheme="majorEastAsia" w:hAnsi="Times New Roman"/>
          <w:bCs/>
          <w:iCs/>
          <w:color w:val="000000" w:themeColor="text1"/>
          <w:sz w:val="24"/>
          <w:szCs w:val="24"/>
          <w:lang w:val="en-US"/>
        </w:rPr>
        <w:t xml:space="preserve">(1994) and </w:t>
      </w:r>
      <w:proofErr w:type="spellStart"/>
      <w:r w:rsidR="00F47E9A" w:rsidRPr="00F47E9A">
        <w:rPr>
          <w:rFonts w:ascii="Times New Roman" w:eastAsiaTheme="majorEastAsia" w:hAnsi="Times New Roman"/>
          <w:bCs/>
          <w:i/>
          <w:iCs/>
          <w:color w:val="000000" w:themeColor="text1"/>
          <w:sz w:val="24"/>
          <w:szCs w:val="24"/>
        </w:rPr>
        <w:t>Taşkin</w:t>
      </w:r>
      <w:proofErr w:type="spellEnd"/>
      <w:r w:rsidR="00F47E9A" w:rsidRPr="00F47E9A">
        <w:rPr>
          <w:rFonts w:ascii="Times New Roman" w:eastAsiaTheme="majorEastAsia" w:hAnsi="Times New Roman"/>
          <w:bCs/>
          <w:iCs/>
          <w:color w:val="000000" w:themeColor="text1"/>
          <w:sz w:val="24"/>
          <w:szCs w:val="24"/>
        </w:rPr>
        <w:t xml:space="preserve"> v. </w:t>
      </w:r>
      <w:r w:rsidR="00F47E9A" w:rsidRPr="00F47E9A">
        <w:rPr>
          <w:rFonts w:ascii="Times New Roman" w:eastAsiaTheme="majorEastAsia" w:hAnsi="Times New Roman"/>
          <w:bCs/>
          <w:i/>
          <w:iCs/>
          <w:color w:val="000000" w:themeColor="text1"/>
          <w:sz w:val="24"/>
          <w:szCs w:val="24"/>
        </w:rPr>
        <w:t>Turkey</w:t>
      </w:r>
      <w:r w:rsidR="004B4FCC">
        <w:rPr>
          <w:rFonts w:ascii="Times New Roman" w:eastAsiaTheme="majorEastAsia" w:hAnsi="Times New Roman"/>
          <w:bCs/>
          <w:i/>
          <w:iCs/>
          <w:color w:val="000000" w:themeColor="text1"/>
          <w:sz w:val="24"/>
          <w:szCs w:val="24"/>
        </w:rPr>
        <w:t xml:space="preserve"> </w:t>
      </w:r>
      <w:r w:rsidR="004B4FCC">
        <w:rPr>
          <w:rFonts w:ascii="Times New Roman" w:eastAsiaTheme="majorEastAsia" w:hAnsi="Times New Roman"/>
          <w:bCs/>
          <w:iCs/>
          <w:color w:val="000000" w:themeColor="text1"/>
          <w:sz w:val="24"/>
          <w:szCs w:val="24"/>
        </w:rPr>
        <w:t>(2004)</w:t>
      </w:r>
      <w:r w:rsidR="00F47E9A">
        <w:rPr>
          <w:rFonts w:ascii="Times New Roman" w:eastAsiaTheme="majorEastAsia" w:hAnsi="Times New Roman"/>
          <w:bCs/>
          <w:iCs/>
          <w:color w:val="000000" w:themeColor="text1"/>
          <w:sz w:val="24"/>
          <w:szCs w:val="24"/>
        </w:rPr>
        <w:t xml:space="preserve">, </w:t>
      </w:r>
      <w:r w:rsidR="00F47E9A" w:rsidRPr="00F47E9A">
        <w:rPr>
          <w:rFonts w:ascii="Times New Roman" w:eastAsiaTheme="majorEastAsia" w:hAnsi="Times New Roman"/>
          <w:bCs/>
          <w:iCs/>
          <w:color w:val="000000" w:themeColor="text1"/>
          <w:sz w:val="24"/>
          <w:szCs w:val="24"/>
          <w:lang w:val="en-US"/>
        </w:rPr>
        <w:t xml:space="preserve">the </w:t>
      </w:r>
      <w:r w:rsidR="00E11D95">
        <w:rPr>
          <w:rFonts w:ascii="Times New Roman" w:eastAsiaTheme="majorEastAsia" w:hAnsi="Times New Roman"/>
          <w:bCs/>
          <w:iCs/>
          <w:color w:val="000000" w:themeColor="text1"/>
          <w:sz w:val="24"/>
          <w:szCs w:val="24"/>
          <w:lang w:val="en-US"/>
        </w:rPr>
        <w:t>ECHR</w:t>
      </w:r>
      <w:r w:rsidR="00F47E9A" w:rsidRPr="00F47E9A">
        <w:rPr>
          <w:rFonts w:ascii="Times New Roman" w:eastAsiaTheme="majorEastAsia" w:hAnsi="Times New Roman"/>
          <w:bCs/>
          <w:iCs/>
          <w:color w:val="000000" w:themeColor="text1"/>
          <w:sz w:val="24"/>
          <w:szCs w:val="24"/>
          <w:lang w:val="en-US"/>
        </w:rPr>
        <w:t xml:space="preserve"> has held that States</w:t>
      </w:r>
      <w:r w:rsidR="00E11D95">
        <w:rPr>
          <w:rFonts w:ascii="Times New Roman" w:eastAsiaTheme="majorEastAsia" w:hAnsi="Times New Roman"/>
          <w:bCs/>
          <w:iCs/>
          <w:color w:val="000000" w:themeColor="text1"/>
          <w:sz w:val="24"/>
          <w:szCs w:val="24"/>
          <w:lang w:val="en-US"/>
        </w:rPr>
        <w:t xml:space="preserve"> have certain procedural obligations, including that they</w:t>
      </w:r>
      <w:r w:rsidR="00F47E9A" w:rsidRPr="00F47E9A">
        <w:rPr>
          <w:rFonts w:ascii="Times New Roman" w:eastAsiaTheme="majorEastAsia" w:hAnsi="Times New Roman"/>
          <w:bCs/>
          <w:iCs/>
          <w:color w:val="000000" w:themeColor="text1"/>
          <w:sz w:val="24"/>
          <w:szCs w:val="24"/>
          <w:lang w:val="en-US"/>
        </w:rPr>
        <w:t xml:space="preserve"> must follow a decision-making process that includes “appropriate investigations and studies”, gives the public access to information, and provides those concerned effective legal remedies.</w:t>
      </w:r>
      <w:r w:rsidR="00E11D95">
        <w:rPr>
          <w:rFonts w:ascii="Times New Roman" w:eastAsiaTheme="majorEastAsia" w:hAnsi="Times New Roman"/>
          <w:bCs/>
          <w:iCs/>
          <w:color w:val="000000" w:themeColor="text1"/>
          <w:sz w:val="24"/>
          <w:szCs w:val="24"/>
          <w:lang w:val="en-US"/>
        </w:rPr>
        <w:t xml:space="preserve"> The Court has also set out substantive obligations on States, such as in </w:t>
      </w:r>
      <w:proofErr w:type="spellStart"/>
      <w:r w:rsidR="00E11D95" w:rsidRPr="00E11D95">
        <w:rPr>
          <w:rFonts w:ascii="Times New Roman" w:eastAsiaTheme="majorEastAsia" w:hAnsi="Times New Roman"/>
          <w:bCs/>
          <w:i/>
          <w:iCs/>
          <w:color w:val="000000" w:themeColor="text1"/>
          <w:sz w:val="24"/>
          <w:szCs w:val="24"/>
        </w:rPr>
        <w:t>Öneryıldız</w:t>
      </w:r>
      <w:proofErr w:type="spellEnd"/>
      <w:r w:rsidR="00E11D95" w:rsidRPr="00E11D95">
        <w:rPr>
          <w:rFonts w:ascii="Times New Roman" w:eastAsiaTheme="majorEastAsia" w:hAnsi="Times New Roman"/>
          <w:bCs/>
          <w:i/>
          <w:iCs/>
          <w:color w:val="000000" w:themeColor="text1"/>
          <w:sz w:val="24"/>
          <w:szCs w:val="24"/>
        </w:rPr>
        <w:t xml:space="preserve"> v. Turkey</w:t>
      </w:r>
      <w:r w:rsidR="004B4FCC">
        <w:rPr>
          <w:rFonts w:ascii="Times New Roman" w:eastAsiaTheme="majorEastAsia" w:hAnsi="Times New Roman"/>
          <w:bCs/>
          <w:i/>
          <w:iCs/>
          <w:color w:val="000000" w:themeColor="text1"/>
          <w:sz w:val="24"/>
          <w:szCs w:val="24"/>
        </w:rPr>
        <w:t xml:space="preserve"> </w:t>
      </w:r>
      <w:r w:rsidR="004B4FCC">
        <w:rPr>
          <w:rFonts w:ascii="Times New Roman" w:eastAsiaTheme="majorEastAsia" w:hAnsi="Times New Roman"/>
          <w:bCs/>
          <w:iCs/>
          <w:color w:val="000000" w:themeColor="text1"/>
          <w:sz w:val="24"/>
          <w:szCs w:val="24"/>
        </w:rPr>
        <w:t>(2004)</w:t>
      </w:r>
      <w:r w:rsidR="00E11D95">
        <w:rPr>
          <w:rFonts w:ascii="Times New Roman" w:eastAsiaTheme="majorEastAsia" w:hAnsi="Times New Roman"/>
          <w:bCs/>
          <w:iCs/>
          <w:color w:val="000000" w:themeColor="text1"/>
          <w:sz w:val="24"/>
          <w:szCs w:val="24"/>
        </w:rPr>
        <w:t>,</w:t>
      </w:r>
      <w:r w:rsidR="00E11D95" w:rsidRPr="00E11D95">
        <w:rPr>
          <w:rFonts w:ascii="Times New Roman" w:eastAsiaTheme="majorEastAsia" w:hAnsi="Times New Roman"/>
          <w:bCs/>
          <w:iCs/>
          <w:color w:val="000000" w:themeColor="text1"/>
          <w:sz w:val="24"/>
          <w:szCs w:val="24"/>
          <w:lang w:val="en-US"/>
        </w:rPr>
        <w:t xml:space="preserve"> </w:t>
      </w:r>
      <w:r w:rsidR="00E11D95">
        <w:rPr>
          <w:rFonts w:ascii="Times New Roman" w:eastAsiaTheme="majorEastAsia" w:hAnsi="Times New Roman"/>
          <w:bCs/>
          <w:iCs/>
          <w:color w:val="000000" w:themeColor="text1"/>
          <w:sz w:val="24"/>
          <w:szCs w:val="24"/>
          <w:lang w:val="en-US"/>
        </w:rPr>
        <w:t xml:space="preserve">finding that </w:t>
      </w:r>
      <w:r w:rsidR="00145B92" w:rsidRPr="00145B92">
        <w:rPr>
          <w:rFonts w:ascii="Times New Roman" w:eastAsiaTheme="majorEastAsia" w:hAnsi="Times New Roman"/>
          <w:bCs/>
          <w:color w:val="000000" w:themeColor="text1"/>
          <w:sz w:val="24"/>
          <w:szCs w:val="24"/>
          <w:lang w:val="en-US"/>
        </w:rPr>
        <w:t>States have a primary duty to put in place a legislative and administrative framework that protects against and responds to infringements of the right to life as a result of natural disasters and of dangerous activities, including the operation of chemical factories and waste-collection sites.</w:t>
      </w:r>
      <w:r w:rsidR="00157557" w:rsidRPr="00157557">
        <w:rPr>
          <w:rFonts w:ascii="Times New Roman" w:eastAsia="Times New Roman" w:hAnsi="Times New Roman"/>
          <w:sz w:val="20"/>
          <w:szCs w:val="20"/>
          <w:lang w:val="en-US"/>
        </w:rPr>
        <w:t xml:space="preserve"> </w:t>
      </w:r>
      <w:r w:rsidR="004B4FCC">
        <w:rPr>
          <w:rFonts w:ascii="Times New Roman" w:eastAsiaTheme="majorEastAsia" w:hAnsi="Times New Roman"/>
          <w:bCs/>
          <w:color w:val="000000" w:themeColor="text1"/>
          <w:sz w:val="24"/>
          <w:szCs w:val="24"/>
          <w:lang w:val="en-US"/>
        </w:rPr>
        <w:t xml:space="preserve">In cases such as </w:t>
      </w:r>
      <w:r w:rsidR="004B4FCC">
        <w:rPr>
          <w:rFonts w:ascii="Times New Roman" w:eastAsiaTheme="majorEastAsia" w:hAnsi="Times New Roman"/>
          <w:bCs/>
          <w:i/>
          <w:color w:val="000000" w:themeColor="text1"/>
          <w:sz w:val="24"/>
          <w:szCs w:val="24"/>
          <w:lang w:val="en-US"/>
        </w:rPr>
        <w:t xml:space="preserve">Hatton v. United Kingdom </w:t>
      </w:r>
      <w:r w:rsidR="004B4FCC">
        <w:rPr>
          <w:rFonts w:ascii="Times New Roman" w:eastAsiaTheme="majorEastAsia" w:hAnsi="Times New Roman"/>
          <w:bCs/>
          <w:color w:val="000000" w:themeColor="text1"/>
          <w:sz w:val="24"/>
          <w:szCs w:val="24"/>
          <w:lang w:val="en-US"/>
        </w:rPr>
        <w:t>(2003), t</w:t>
      </w:r>
      <w:r w:rsidR="00157557" w:rsidRPr="00157557">
        <w:rPr>
          <w:rFonts w:ascii="Times New Roman" w:eastAsiaTheme="majorEastAsia" w:hAnsi="Times New Roman"/>
          <w:bCs/>
          <w:color w:val="000000" w:themeColor="text1"/>
          <w:sz w:val="24"/>
          <w:szCs w:val="24"/>
          <w:lang w:val="en-US"/>
        </w:rPr>
        <w:t>he European Court has held that States have discretion to strike a balance between environmental protection and other issues of societal importance, such as economic development and the rights of others</w:t>
      </w:r>
      <w:r w:rsidR="004B4FCC">
        <w:rPr>
          <w:rFonts w:ascii="Times New Roman" w:eastAsiaTheme="majorEastAsia" w:hAnsi="Times New Roman"/>
          <w:bCs/>
          <w:color w:val="000000" w:themeColor="text1"/>
          <w:sz w:val="24"/>
          <w:szCs w:val="24"/>
          <w:lang w:val="en-US"/>
        </w:rPr>
        <w:t xml:space="preserve">. </w:t>
      </w:r>
    </w:p>
    <w:p w:rsidR="0060791D"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Further Information</w:t>
      </w:r>
      <w:r w:rsidRPr="00B653C9">
        <w:rPr>
          <w:rFonts w:ascii="Times New Roman" w:hAnsi="Times New Roman"/>
          <w:sz w:val="24"/>
          <w:szCs w:val="24"/>
        </w:rPr>
        <w:t xml:space="preserve">: </w:t>
      </w:r>
      <w:r w:rsidR="00782D30" w:rsidRPr="00782D30">
        <w:rPr>
          <w:rFonts w:ascii="Times New Roman" w:hAnsi="Times New Roman"/>
          <w:sz w:val="24"/>
          <w:szCs w:val="24"/>
        </w:rPr>
        <w:t>See the ECHR</w:t>
      </w:r>
      <w:r w:rsidR="00E11D95">
        <w:rPr>
          <w:rFonts w:ascii="Times New Roman" w:hAnsi="Times New Roman"/>
          <w:sz w:val="24"/>
          <w:szCs w:val="24"/>
        </w:rPr>
        <w:t>’s</w:t>
      </w:r>
      <w:r w:rsidR="00782D30" w:rsidRPr="00782D30">
        <w:rPr>
          <w:rFonts w:ascii="Times New Roman" w:hAnsi="Times New Roman"/>
          <w:sz w:val="24"/>
          <w:szCs w:val="24"/>
        </w:rPr>
        <w:t xml:space="preserve"> web</w:t>
      </w:r>
      <w:r w:rsidR="00ED4E44">
        <w:rPr>
          <w:rFonts w:ascii="Times New Roman" w:hAnsi="Times New Roman"/>
          <w:sz w:val="24"/>
          <w:szCs w:val="24"/>
        </w:rPr>
        <w:t>site</w:t>
      </w:r>
      <w:r w:rsidR="00D643F1">
        <w:rPr>
          <w:rFonts w:ascii="Times New Roman" w:hAnsi="Times New Roman"/>
          <w:sz w:val="24"/>
          <w:szCs w:val="24"/>
        </w:rPr>
        <w:t xml:space="preserve">: </w:t>
      </w:r>
      <w:hyperlink r:id="rId9" w:history="1">
        <w:r w:rsidR="00D643F1" w:rsidRPr="00CE7B4F">
          <w:rPr>
            <w:rStyle w:val="Hyperlink"/>
            <w:rFonts w:ascii="Times New Roman" w:hAnsi="Times New Roman"/>
            <w:sz w:val="24"/>
            <w:szCs w:val="24"/>
          </w:rPr>
          <w:t>http://www.echr.coe.int/</w:t>
        </w:r>
      </w:hyperlink>
      <w:r w:rsidR="00D643F1">
        <w:rPr>
          <w:rFonts w:ascii="Times New Roman" w:hAnsi="Times New Roman"/>
          <w:sz w:val="24"/>
          <w:szCs w:val="24"/>
        </w:rPr>
        <w:t xml:space="preserve">; the Independent Expert’s </w:t>
      </w:r>
      <w:r w:rsidR="00D643F1" w:rsidRPr="00D643F1">
        <w:rPr>
          <w:rFonts w:ascii="Times New Roman" w:hAnsi="Times New Roman"/>
          <w:sz w:val="24"/>
          <w:szCs w:val="24"/>
        </w:rPr>
        <w:t>Individual Report on the European Convention on Human Rights and the European Union</w:t>
      </w:r>
      <w:r w:rsidR="00D643F1">
        <w:rPr>
          <w:rFonts w:ascii="Times New Roman" w:hAnsi="Times New Roman"/>
          <w:sz w:val="24"/>
          <w:szCs w:val="24"/>
        </w:rPr>
        <w:t xml:space="preserve">, </w:t>
      </w:r>
      <w:hyperlink r:id="rId10" w:history="1">
        <w:r w:rsidR="00D643F1" w:rsidRPr="00CE7B4F">
          <w:rPr>
            <w:rStyle w:val="Hyperlink"/>
            <w:rFonts w:ascii="Times New Roman" w:hAnsi="Times New Roman"/>
            <w:sz w:val="24"/>
            <w:szCs w:val="24"/>
          </w:rPr>
          <w:t>http://ieenvironment.org/mapping-report-2014-2/</w:t>
        </w:r>
      </w:hyperlink>
      <w:r w:rsidR="00D643F1">
        <w:rPr>
          <w:rFonts w:ascii="Times New Roman" w:hAnsi="Times New Roman"/>
          <w:sz w:val="24"/>
          <w:szCs w:val="24"/>
        </w:rPr>
        <w:t xml:space="preserve">; Council of Europe, Manual on Human Rights and the Environment: </w:t>
      </w:r>
      <w:hyperlink r:id="rId11" w:history="1">
        <w:r w:rsidR="00D643F1" w:rsidRPr="00CE7B4F">
          <w:rPr>
            <w:rStyle w:val="Hyperlink"/>
            <w:rFonts w:ascii="Times New Roman" w:hAnsi="Times New Roman"/>
            <w:sz w:val="24"/>
            <w:szCs w:val="24"/>
          </w:rPr>
          <w:t>http://www.coe.int/t/dghl/standardsetting/hrpolicy/Other_Committees/GT-DEV-ENV_docs/Manual_Env_2012_nocover_Eng.pdf</w:t>
        </w:r>
      </w:hyperlink>
      <w:r w:rsidR="00D643F1">
        <w:rPr>
          <w:rFonts w:ascii="Times New Roman" w:hAnsi="Times New Roman"/>
          <w:sz w:val="24"/>
          <w:szCs w:val="24"/>
        </w:rPr>
        <w:t xml:space="preserve">. </w:t>
      </w:r>
    </w:p>
    <w:sectPr w:rsidR="0060791D"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16" w:rsidRDefault="001E2916" w:rsidP="00752822">
      <w:pPr>
        <w:spacing w:after="0" w:line="240" w:lineRule="auto"/>
      </w:pPr>
      <w:r>
        <w:separator/>
      </w:r>
    </w:p>
  </w:endnote>
  <w:endnote w:type="continuationSeparator" w:id="0">
    <w:p w:rsidR="001E2916" w:rsidRDefault="001E2916"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16" w:rsidRDefault="001E2916" w:rsidP="00752822">
      <w:pPr>
        <w:spacing w:after="0" w:line="240" w:lineRule="auto"/>
      </w:pPr>
      <w:r>
        <w:separator/>
      </w:r>
    </w:p>
  </w:footnote>
  <w:footnote w:type="continuationSeparator" w:id="0">
    <w:p w:rsidR="001E2916" w:rsidRDefault="001E2916"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723F30CC"/>
    <w:multiLevelType w:val="hybridMultilevel"/>
    <w:tmpl w:val="FE800C92"/>
    <w:lvl w:ilvl="0" w:tplc="A5B0F018">
      <w:start w:val="1"/>
      <w:numFmt w:val="decimal"/>
      <w:lvlText w:val="%1."/>
      <w:lvlJc w:val="left"/>
      <w:pPr>
        <w:tabs>
          <w:tab w:val="num" w:pos="2988"/>
        </w:tabs>
        <w:ind w:left="2988" w:hanging="36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0"/>
  </w:num>
  <w:num w:numId="2">
    <w:abstractNumId w:val="1"/>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611E3"/>
    <w:rsid w:val="00086383"/>
    <w:rsid w:val="000A10F4"/>
    <w:rsid w:val="000A1C9F"/>
    <w:rsid w:val="000A2B55"/>
    <w:rsid w:val="000B0B31"/>
    <w:rsid w:val="000D04E3"/>
    <w:rsid w:val="000F3EAB"/>
    <w:rsid w:val="000F5038"/>
    <w:rsid w:val="00101A5F"/>
    <w:rsid w:val="001370DD"/>
    <w:rsid w:val="00145B92"/>
    <w:rsid w:val="00157557"/>
    <w:rsid w:val="0016516D"/>
    <w:rsid w:val="00176228"/>
    <w:rsid w:val="00183F01"/>
    <w:rsid w:val="00194BE9"/>
    <w:rsid w:val="001A2954"/>
    <w:rsid w:val="001E2916"/>
    <w:rsid w:val="001E7D41"/>
    <w:rsid w:val="002114D9"/>
    <w:rsid w:val="00215CE3"/>
    <w:rsid w:val="002213AA"/>
    <w:rsid w:val="00233770"/>
    <w:rsid w:val="002351C1"/>
    <w:rsid w:val="00263DBE"/>
    <w:rsid w:val="002958FB"/>
    <w:rsid w:val="002A1597"/>
    <w:rsid w:val="002A7CC4"/>
    <w:rsid w:val="002B38A0"/>
    <w:rsid w:val="002C376C"/>
    <w:rsid w:val="002D327A"/>
    <w:rsid w:val="002F4FDE"/>
    <w:rsid w:val="002F6330"/>
    <w:rsid w:val="003205D5"/>
    <w:rsid w:val="00327A05"/>
    <w:rsid w:val="003366D8"/>
    <w:rsid w:val="00372F6D"/>
    <w:rsid w:val="003B283B"/>
    <w:rsid w:val="003C554F"/>
    <w:rsid w:val="003D01AF"/>
    <w:rsid w:val="003D47D7"/>
    <w:rsid w:val="003F5950"/>
    <w:rsid w:val="0040306A"/>
    <w:rsid w:val="00473522"/>
    <w:rsid w:val="00481AF0"/>
    <w:rsid w:val="0048740F"/>
    <w:rsid w:val="004B124D"/>
    <w:rsid w:val="004B4FCC"/>
    <w:rsid w:val="004D048A"/>
    <w:rsid w:val="004E6BD9"/>
    <w:rsid w:val="004F7FD4"/>
    <w:rsid w:val="0050347C"/>
    <w:rsid w:val="00520241"/>
    <w:rsid w:val="00535A69"/>
    <w:rsid w:val="00541C86"/>
    <w:rsid w:val="00550B24"/>
    <w:rsid w:val="0055123C"/>
    <w:rsid w:val="005C03F5"/>
    <w:rsid w:val="005C108F"/>
    <w:rsid w:val="0060791D"/>
    <w:rsid w:val="006147F8"/>
    <w:rsid w:val="00630229"/>
    <w:rsid w:val="0066769C"/>
    <w:rsid w:val="00675951"/>
    <w:rsid w:val="00691B6C"/>
    <w:rsid w:val="006A4089"/>
    <w:rsid w:val="006A6812"/>
    <w:rsid w:val="006A70D3"/>
    <w:rsid w:val="006F33F4"/>
    <w:rsid w:val="006F52B8"/>
    <w:rsid w:val="00750D3C"/>
    <w:rsid w:val="00752822"/>
    <w:rsid w:val="0075335B"/>
    <w:rsid w:val="00754DE5"/>
    <w:rsid w:val="0076772B"/>
    <w:rsid w:val="00782D30"/>
    <w:rsid w:val="00787A83"/>
    <w:rsid w:val="00797BD0"/>
    <w:rsid w:val="007A2831"/>
    <w:rsid w:val="007E451E"/>
    <w:rsid w:val="008011A8"/>
    <w:rsid w:val="008B027D"/>
    <w:rsid w:val="008C4A2D"/>
    <w:rsid w:val="008C4C5A"/>
    <w:rsid w:val="0091567C"/>
    <w:rsid w:val="00917D69"/>
    <w:rsid w:val="00922794"/>
    <w:rsid w:val="00931262"/>
    <w:rsid w:val="0093723C"/>
    <w:rsid w:val="00947203"/>
    <w:rsid w:val="0095635E"/>
    <w:rsid w:val="00986738"/>
    <w:rsid w:val="00A25DC0"/>
    <w:rsid w:val="00A4684A"/>
    <w:rsid w:val="00A468FE"/>
    <w:rsid w:val="00A82B7F"/>
    <w:rsid w:val="00A86C2B"/>
    <w:rsid w:val="00AA76B2"/>
    <w:rsid w:val="00AD4CEE"/>
    <w:rsid w:val="00AF09F2"/>
    <w:rsid w:val="00B0394D"/>
    <w:rsid w:val="00B2173C"/>
    <w:rsid w:val="00B44F63"/>
    <w:rsid w:val="00B56C9C"/>
    <w:rsid w:val="00B61877"/>
    <w:rsid w:val="00B61B00"/>
    <w:rsid w:val="00B64247"/>
    <w:rsid w:val="00B653C9"/>
    <w:rsid w:val="00B65748"/>
    <w:rsid w:val="00B66BAE"/>
    <w:rsid w:val="00B70EE0"/>
    <w:rsid w:val="00B74AC4"/>
    <w:rsid w:val="00B96B59"/>
    <w:rsid w:val="00BC4C5E"/>
    <w:rsid w:val="00BE5A4A"/>
    <w:rsid w:val="00C33C55"/>
    <w:rsid w:val="00CB5B03"/>
    <w:rsid w:val="00D04745"/>
    <w:rsid w:val="00D16887"/>
    <w:rsid w:val="00D17F1C"/>
    <w:rsid w:val="00D33421"/>
    <w:rsid w:val="00D3351E"/>
    <w:rsid w:val="00D51E6B"/>
    <w:rsid w:val="00D52A9D"/>
    <w:rsid w:val="00D6225E"/>
    <w:rsid w:val="00D643F1"/>
    <w:rsid w:val="00D745C4"/>
    <w:rsid w:val="00D75122"/>
    <w:rsid w:val="00D81E69"/>
    <w:rsid w:val="00DA4A93"/>
    <w:rsid w:val="00DB4487"/>
    <w:rsid w:val="00DD2DCA"/>
    <w:rsid w:val="00DE02C6"/>
    <w:rsid w:val="00DE3A6E"/>
    <w:rsid w:val="00DF01B5"/>
    <w:rsid w:val="00DF2246"/>
    <w:rsid w:val="00DF411E"/>
    <w:rsid w:val="00E07D91"/>
    <w:rsid w:val="00E11D95"/>
    <w:rsid w:val="00E854EA"/>
    <w:rsid w:val="00E9047B"/>
    <w:rsid w:val="00E906DF"/>
    <w:rsid w:val="00E9721C"/>
    <w:rsid w:val="00EA1652"/>
    <w:rsid w:val="00EC007E"/>
    <w:rsid w:val="00EC2261"/>
    <w:rsid w:val="00ED4E44"/>
    <w:rsid w:val="00F0646D"/>
    <w:rsid w:val="00F064FF"/>
    <w:rsid w:val="00F47E9A"/>
    <w:rsid w:val="00F73028"/>
    <w:rsid w:val="00F805F0"/>
    <w:rsid w:val="00F81351"/>
    <w:rsid w:val="00F91DDF"/>
    <w:rsid w:val="00FA43A8"/>
    <w:rsid w:val="00FB1AAB"/>
    <w:rsid w:val="00FD1F0B"/>
    <w:rsid w:val="00FD3501"/>
    <w:rsid w:val="00FD5B0B"/>
    <w:rsid w:val="00FD795F"/>
    <w:rsid w:val="00FE05A7"/>
    <w:rsid w:val="00FF01C9"/>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ListParagraph">
    <w:name w:val="List Paragraph"/>
    <w:basedOn w:val="Normal"/>
    <w:uiPriority w:val="34"/>
    <w:qFormat/>
    <w:rsid w:val="00782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ListParagraph">
    <w:name w:val="List Paragraph"/>
    <w:basedOn w:val="Normal"/>
    <w:uiPriority w:val="34"/>
    <w:qFormat/>
    <w:rsid w:val="0078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t/dghl/standardsetting/hrpolicy/Other_Committees/GT-DEV-ENV_docs/Manual_Env_2012_nocover_Eng.pdf"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ieenvironment.org/mapping-report-2014-2/" TargetMode="External"/><Relationship Id="rId4" Type="http://schemas.microsoft.com/office/2007/relationships/stylesWithEffects" Target="stylesWithEffects.xml"/><Relationship Id="rId9" Type="http://schemas.openxmlformats.org/officeDocument/2006/relationships/hyperlink" Target="http://www.echr.coe.i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07249C-8BCE-446E-AD8E-14E5A2AA47F4}"/>
</file>

<file path=customXml/itemProps2.xml><?xml version="1.0" encoding="utf-8"?>
<ds:datastoreItem xmlns:ds="http://schemas.openxmlformats.org/officeDocument/2006/customXml" ds:itemID="{A74650DD-856D-4CE6-AC5D-A2F252287CE6}"/>
</file>

<file path=customXml/itemProps3.xml><?xml version="1.0" encoding="utf-8"?>
<ds:datastoreItem xmlns:ds="http://schemas.openxmlformats.org/officeDocument/2006/customXml" ds:itemID="{14E53A9F-9864-4AAA-8FCB-90E26711C92F}"/>
</file>

<file path=customXml/itemProps4.xml><?xml version="1.0" encoding="utf-8"?>
<ds:datastoreItem xmlns:ds="http://schemas.openxmlformats.org/officeDocument/2006/customXml" ds:itemID="{9DDF9C73-B3F7-4491-B445-D82EA9FF897B}"/>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6</cp:revision>
  <dcterms:created xsi:type="dcterms:W3CDTF">2014-12-20T16:41:00Z</dcterms:created>
  <dcterms:modified xsi:type="dcterms:W3CDTF">2015-01-07T19:07:00Z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