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CB" w:rsidRDefault="00E519CB" w:rsidP="002D3E2D">
      <w:pPr>
        <w:spacing w:before="120" w:after="115"/>
        <w:jc w:val="center"/>
        <w:rPr>
          <w:bCs/>
          <w:i/>
          <w:iCs/>
          <w:noProof/>
          <w:sz w:val="24"/>
          <w:szCs w:val="24"/>
        </w:rPr>
      </w:pPr>
      <w:r>
        <w:rPr>
          <w:bCs/>
          <w:i/>
          <w:iCs/>
          <w:noProof/>
          <w:sz w:val="24"/>
          <w:szCs w:val="24"/>
          <w:lang w:eastAsia="en-GB"/>
        </w:rPr>
        <w:drawing>
          <wp:inline distT="0" distB="0" distL="0" distR="0" wp14:anchorId="4441E9E4" wp14:editId="00AA432B">
            <wp:extent cx="5401096" cy="899435"/>
            <wp:effectExtent l="0" t="0" r="0" b="254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5429628" cy="904186"/>
                    </a:xfrm>
                    <a:prstGeom prst="rect">
                      <a:avLst/>
                    </a:prstGeom>
                  </pic:spPr>
                </pic:pic>
              </a:graphicData>
            </a:graphic>
          </wp:inline>
        </w:drawing>
      </w:r>
    </w:p>
    <w:p w:rsidR="00452902" w:rsidRDefault="00452902" w:rsidP="00C43DFB">
      <w:pPr>
        <w:spacing w:before="120" w:after="115"/>
        <w:jc w:val="both"/>
        <w:rPr>
          <w:bCs/>
          <w:noProof/>
          <w:sz w:val="24"/>
          <w:szCs w:val="24"/>
        </w:rPr>
      </w:pPr>
    </w:p>
    <w:p w:rsidR="00FA5ADF" w:rsidRPr="00FA5ADF" w:rsidRDefault="00452902" w:rsidP="00FA5ADF">
      <w:pPr>
        <w:spacing w:before="120" w:after="115"/>
        <w:jc w:val="both"/>
        <w:rPr>
          <w:bCs/>
          <w:noProof/>
          <w:sz w:val="24"/>
          <w:szCs w:val="24"/>
        </w:rPr>
      </w:pPr>
      <w:r w:rsidRPr="00452902">
        <w:rPr>
          <w:bCs/>
          <w:noProof/>
          <w:sz w:val="24"/>
          <w:szCs w:val="24"/>
        </w:rPr>
        <w:t xml:space="preserve">10 November 2020 </w:t>
      </w:r>
    </w:p>
    <w:p w:rsidR="00452902" w:rsidRPr="00452902" w:rsidRDefault="00452902" w:rsidP="00452902">
      <w:pPr>
        <w:spacing w:before="120" w:after="115"/>
        <w:jc w:val="center"/>
        <w:rPr>
          <w:b/>
          <w:noProof/>
          <w:sz w:val="32"/>
          <w:szCs w:val="32"/>
          <w:lang w:val="en-US"/>
        </w:rPr>
      </w:pPr>
      <w:r w:rsidRPr="00452902">
        <w:rPr>
          <w:b/>
          <w:noProof/>
          <w:sz w:val="32"/>
          <w:szCs w:val="32"/>
          <w:lang w:val="en-US"/>
        </w:rPr>
        <w:t>Input for water report</w:t>
      </w:r>
    </w:p>
    <w:p w:rsidR="00452902" w:rsidRDefault="00452902" w:rsidP="00C43DFB">
      <w:pPr>
        <w:spacing w:before="120" w:after="115"/>
        <w:jc w:val="both"/>
        <w:rPr>
          <w:bCs/>
          <w:i/>
          <w:iCs/>
          <w:noProof/>
          <w:sz w:val="24"/>
          <w:szCs w:val="24"/>
        </w:rPr>
      </w:pPr>
    </w:p>
    <w:p w:rsidR="00002D36" w:rsidRPr="00102F56" w:rsidRDefault="00012F97" w:rsidP="00C43DFB">
      <w:pPr>
        <w:spacing w:before="120" w:after="115"/>
        <w:jc w:val="both"/>
        <w:rPr>
          <w:bCs/>
          <w:i/>
          <w:iCs/>
          <w:strike/>
          <w:noProof/>
          <w:sz w:val="24"/>
          <w:szCs w:val="24"/>
        </w:rPr>
      </w:pPr>
      <w:r w:rsidRPr="00102F56">
        <w:rPr>
          <w:bCs/>
          <w:i/>
          <w:iCs/>
          <w:noProof/>
          <w:sz w:val="24"/>
          <w:szCs w:val="24"/>
        </w:rPr>
        <w:t>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w:t>
      </w:r>
      <w:r w:rsidRPr="00102F56">
        <w:rPr>
          <w:bCs/>
          <w:i/>
          <w:iCs/>
          <w:strike/>
          <w:noProof/>
          <w:sz w:val="24"/>
          <w:szCs w:val="24"/>
        </w:rPr>
        <w:t xml:space="preserve"> </w:t>
      </w:r>
    </w:p>
    <w:p w:rsidR="008570F2" w:rsidRPr="00831051" w:rsidRDefault="008570F2" w:rsidP="00C43DFB">
      <w:pPr>
        <w:spacing w:before="120" w:after="115"/>
        <w:jc w:val="both"/>
        <w:rPr>
          <w:bCs/>
          <w:i/>
          <w:iCs/>
          <w:strike/>
          <w:noProof/>
          <w:sz w:val="24"/>
          <w:szCs w:val="24"/>
        </w:rPr>
      </w:pPr>
    </w:p>
    <w:p w:rsidR="00002D36" w:rsidRPr="00D3446C" w:rsidRDefault="00002D36" w:rsidP="00C43DFB">
      <w:pPr>
        <w:spacing w:after="240"/>
        <w:jc w:val="both"/>
        <w:rPr>
          <w:bCs/>
          <w:noProof/>
          <w:sz w:val="24"/>
          <w:szCs w:val="24"/>
        </w:rPr>
      </w:pPr>
      <w:r w:rsidRPr="00D3446C">
        <w:rPr>
          <w:bCs/>
          <w:noProof/>
          <w:sz w:val="24"/>
          <w:szCs w:val="24"/>
        </w:rPr>
        <w:t xml:space="preserve">The scarce availability of water, </w:t>
      </w:r>
      <w:r w:rsidR="003D0788" w:rsidRPr="00D3446C">
        <w:rPr>
          <w:bCs/>
          <w:noProof/>
          <w:sz w:val="24"/>
          <w:szCs w:val="24"/>
        </w:rPr>
        <w:t xml:space="preserve">combined with its poor quality, </w:t>
      </w:r>
      <w:r w:rsidR="003E2B04" w:rsidRPr="00D3446C">
        <w:rPr>
          <w:bCs/>
          <w:noProof/>
          <w:sz w:val="24"/>
          <w:szCs w:val="24"/>
        </w:rPr>
        <w:t>severely</w:t>
      </w:r>
      <w:r w:rsidR="00673251" w:rsidRPr="00D3446C">
        <w:rPr>
          <w:bCs/>
          <w:noProof/>
          <w:sz w:val="24"/>
          <w:szCs w:val="24"/>
        </w:rPr>
        <w:t xml:space="preserve"> impacts the enjoyment of </w:t>
      </w:r>
      <w:r w:rsidR="00EC3B9B" w:rsidRPr="00D3446C">
        <w:rPr>
          <w:bCs/>
          <w:noProof/>
          <w:sz w:val="24"/>
          <w:szCs w:val="24"/>
        </w:rPr>
        <w:t xml:space="preserve">a wide range of </w:t>
      </w:r>
      <w:r w:rsidR="00673251" w:rsidRPr="00D3446C">
        <w:rPr>
          <w:bCs/>
          <w:noProof/>
          <w:sz w:val="24"/>
          <w:szCs w:val="24"/>
        </w:rPr>
        <w:t>human rights</w:t>
      </w:r>
      <w:r w:rsidR="008B0F25" w:rsidRPr="00D3446C">
        <w:rPr>
          <w:bCs/>
          <w:noProof/>
          <w:sz w:val="24"/>
          <w:szCs w:val="24"/>
        </w:rPr>
        <w:t>—including the right to water and sanitation, the right to food,</w:t>
      </w:r>
      <w:r w:rsidR="00EC5F3C">
        <w:rPr>
          <w:bCs/>
          <w:noProof/>
          <w:sz w:val="24"/>
          <w:szCs w:val="24"/>
        </w:rPr>
        <w:t xml:space="preserve"> the right to health,</w:t>
      </w:r>
      <w:r w:rsidR="008B0F25" w:rsidRPr="00D3446C">
        <w:rPr>
          <w:bCs/>
          <w:noProof/>
          <w:sz w:val="24"/>
          <w:szCs w:val="24"/>
        </w:rPr>
        <w:t xml:space="preserve"> </w:t>
      </w:r>
      <w:r w:rsidR="00FE6EA4" w:rsidRPr="00D3446C">
        <w:rPr>
          <w:bCs/>
          <w:noProof/>
          <w:sz w:val="24"/>
          <w:szCs w:val="24"/>
        </w:rPr>
        <w:t xml:space="preserve">the right to a healthy and sustainable </w:t>
      </w:r>
      <w:r w:rsidR="00102F56">
        <w:rPr>
          <w:bCs/>
          <w:noProof/>
          <w:sz w:val="24"/>
          <w:szCs w:val="24"/>
        </w:rPr>
        <w:t>environment</w:t>
      </w:r>
      <w:r w:rsidR="00FE6EA4" w:rsidRPr="00D3446C">
        <w:rPr>
          <w:bCs/>
          <w:noProof/>
          <w:sz w:val="24"/>
          <w:szCs w:val="24"/>
        </w:rPr>
        <w:t xml:space="preserve">, </w:t>
      </w:r>
      <w:r w:rsidR="008B0F25" w:rsidRPr="00D3446C">
        <w:rPr>
          <w:bCs/>
          <w:noProof/>
          <w:sz w:val="24"/>
          <w:szCs w:val="24"/>
        </w:rPr>
        <w:t>and the principle of non-discrimination—</w:t>
      </w:r>
      <w:r w:rsidR="00673251" w:rsidRPr="00D3446C">
        <w:rPr>
          <w:bCs/>
          <w:noProof/>
          <w:sz w:val="24"/>
          <w:szCs w:val="24"/>
        </w:rPr>
        <w:t xml:space="preserve">throughout the whole occupied Palestinian territory (oPt), which </w:t>
      </w:r>
      <w:r w:rsidR="003E2B04" w:rsidRPr="00D3446C">
        <w:rPr>
          <w:bCs/>
          <w:noProof/>
          <w:sz w:val="24"/>
          <w:szCs w:val="24"/>
        </w:rPr>
        <w:t>includes</w:t>
      </w:r>
      <w:r w:rsidR="00673251" w:rsidRPr="00D3446C">
        <w:rPr>
          <w:bCs/>
          <w:noProof/>
          <w:sz w:val="24"/>
          <w:szCs w:val="24"/>
        </w:rPr>
        <w:t xml:space="preserve"> the Gaza Strip. </w:t>
      </w:r>
    </w:p>
    <w:p w:rsidR="00630601" w:rsidRPr="00D3446C" w:rsidRDefault="00E25621" w:rsidP="00C43DFB">
      <w:pPr>
        <w:spacing w:before="120" w:after="240"/>
        <w:jc w:val="both"/>
        <w:rPr>
          <w:bCs/>
          <w:noProof/>
          <w:sz w:val="24"/>
          <w:szCs w:val="24"/>
        </w:rPr>
      </w:pPr>
      <w:r w:rsidRPr="00D3446C">
        <w:rPr>
          <w:sz w:val="24"/>
          <w:szCs w:val="24"/>
        </w:rPr>
        <w:t xml:space="preserve">Since 1948, </w:t>
      </w:r>
      <w:r w:rsidR="00513DED" w:rsidRPr="00D3446C">
        <w:rPr>
          <w:sz w:val="24"/>
          <w:szCs w:val="24"/>
        </w:rPr>
        <w:t xml:space="preserve">the State of </w:t>
      </w:r>
      <w:r w:rsidRPr="00D3446C">
        <w:rPr>
          <w:sz w:val="24"/>
          <w:szCs w:val="24"/>
        </w:rPr>
        <w:t xml:space="preserve">Israel has instituted a series of discriminatory laws, policies, and practices that form the foundation of its institutionalized system of racial domination and oppression (apartheid) </w:t>
      </w:r>
      <w:r w:rsidR="00630601" w:rsidRPr="00D3446C">
        <w:rPr>
          <w:sz w:val="24"/>
          <w:szCs w:val="24"/>
        </w:rPr>
        <w:t xml:space="preserve">in violation of </w:t>
      </w:r>
      <w:r w:rsidR="00EC5F3C">
        <w:rPr>
          <w:sz w:val="24"/>
          <w:szCs w:val="24"/>
        </w:rPr>
        <w:t xml:space="preserve">the </w:t>
      </w:r>
      <w:r w:rsidRPr="00D3446C">
        <w:rPr>
          <w:sz w:val="24"/>
          <w:szCs w:val="24"/>
        </w:rPr>
        <w:t xml:space="preserve">indigenous Palestinian </w:t>
      </w:r>
      <w:r w:rsidR="003E2B04" w:rsidRPr="00D3446C">
        <w:rPr>
          <w:sz w:val="24"/>
          <w:szCs w:val="24"/>
        </w:rPr>
        <w:t>people’s</w:t>
      </w:r>
      <w:r w:rsidR="00630601" w:rsidRPr="00D3446C">
        <w:rPr>
          <w:sz w:val="24"/>
          <w:szCs w:val="24"/>
        </w:rPr>
        <w:t xml:space="preserve"> rights</w:t>
      </w:r>
      <w:r w:rsidRPr="00D3446C">
        <w:rPr>
          <w:sz w:val="24"/>
          <w:szCs w:val="24"/>
        </w:rPr>
        <w:t>.</w:t>
      </w:r>
    </w:p>
    <w:p w:rsidR="00E25621" w:rsidRPr="00D3446C" w:rsidRDefault="00142D55" w:rsidP="00C43DFB">
      <w:pPr>
        <w:spacing w:before="120" w:after="240"/>
        <w:jc w:val="both"/>
        <w:rPr>
          <w:sz w:val="24"/>
          <w:szCs w:val="24"/>
        </w:rPr>
      </w:pPr>
      <w:r w:rsidRPr="00D3446C">
        <w:rPr>
          <w:sz w:val="24"/>
          <w:szCs w:val="24"/>
          <w:lang w:val="en-US"/>
        </w:rPr>
        <w:t xml:space="preserve">The Israeli system of racialized and institutionalized material discrimination in the water sector has operated </w:t>
      </w:r>
      <w:r w:rsidR="00BF1157" w:rsidRPr="00D3446C">
        <w:rPr>
          <w:sz w:val="24"/>
          <w:szCs w:val="24"/>
          <w:lang w:val="en-US"/>
        </w:rPr>
        <w:t xml:space="preserve">as early as 1937 </w:t>
      </w:r>
      <w:r w:rsidRPr="00D3446C">
        <w:rPr>
          <w:sz w:val="24"/>
          <w:szCs w:val="24"/>
          <w:lang w:val="en-US"/>
        </w:rPr>
        <w:t xml:space="preserve">through parastatal </w:t>
      </w:r>
      <w:r w:rsidR="00D50CB3" w:rsidRPr="00D3446C">
        <w:rPr>
          <w:sz w:val="24"/>
          <w:szCs w:val="24"/>
          <w:lang w:val="en-US"/>
        </w:rPr>
        <w:t>institutions</w:t>
      </w:r>
      <w:r w:rsidR="00EC5F3C">
        <w:rPr>
          <w:sz w:val="24"/>
          <w:szCs w:val="24"/>
          <w:lang w:val="en-US"/>
        </w:rPr>
        <w:t>,</w:t>
      </w:r>
      <w:r w:rsidR="00966C4E" w:rsidRPr="00D3446C">
        <w:rPr>
          <w:sz w:val="24"/>
          <w:szCs w:val="24"/>
          <w:lang w:val="en-US"/>
        </w:rPr>
        <w:t xml:space="preserve"> such a</w:t>
      </w:r>
      <w:r w:rsidR="003F36C6" w:rsidRPr="00D3446C">
        <w:rPr>
          <w:sz w:val="24"/>
          <w:szCs w:val="24"/>
          <w:lang w:val="en-US"/>
        </w:rPr>
        <w:t xml:space="preserve">s </w:t>
      </w:r>
      <w:proofErr w:type="spellStart"/>
      <w:r w:rsidR="007604C5" w:rsidRPr="00D3446C">
        <w:rPr>
          <w:sz w:val="24"/>
          <w:szCs w:val="24"/>
          <w:lang w:val="en-US"/>
        </w:rPr>
        <w:t>Mekerot</w:t>
      </w:r>
      <w:proofErr w:type="spellEnd"/>
      <w:r w:rsidR="007604C5" w:rsidRPr="00D3446C">
        <w:rPr>
          <w:sz w:val="24"/>
          <w:szCs w:val="24"/>
          <w:lang w:val="en-US"/>
        </w:rPr>
        <w:t xml:space="preserve"> (Israel National Water Co.)</w:t>
      </w:r>
      <w:r w:rsidR="007F5CEC" w:rsidRPr="00D3446C">
        <w:rPr>
          <w:sz w:val="24"/>
          <w:szCs w:val="24"/>
          <w:lang w:val="en-US"/>
        </w:rPr>
        <w:t xml:space="preserve">. </w:t>
      </w:r>
      <w:r w:rsidR="00630601" w:rsidRPr="00D3446C">
        <w:rPr>
          <w:bCs/>
          <w:noProof/>
          <w:sz w:val="24"/>
          <w:szCs w:val="24"/>
        </w:rPr>
        <w:t>S</w:t>
      </w:r>
      <w:r w:rsidR="009045BE" w:rsidRPr="00D3446C">
        <w:rPr>
          <w:bCs/>
          <w:noProof/>
          <w:sz w:val="24"/>
          <w:szCs w:val="24"/>
        </w:rPr>
        <w:t>ince 1967</w:t>
      </w:r>
      <w:r w:rsidR="001C4836" w:rsidRPr="00D3446C">
        <w:rPr>
          <w:bCs/>
          <w:noProof/>
          <w:sz w:val="24"/>
          <w:szCs w:val="24"/>
        </w:rPr>
        <w:t>,</w:t>
      </w:r>
      <w:r w:rsidR="00194443" w:rsidRPr="00D3446C">
        <w:rPr>
          <w:bCs/>
          <w:noProof/>
          <w:sz w:val="24"/>
          <w:szCs w:val="24"/>
        </w:rPr>
        <w:t xml:space="preserve"> Israel </w:t>
      </w:r>
      <w:r w:rsidR="009045BE" w:rsidRPr="00D3446C">
        <w:rPr>
          <w:bCs/>
          <w:noProof/>
          <w:sz w:val="24"/>
          <w:szCs w:val="24"/>
        </w:rPr>
        <w:t xml:space="preserve">has controlled all </w:t>
      </w:r>
      <w:r w:rsidR="00F45950" w:rsidRPr="00D3446C">
        <w:rPr>
          <w:bCs/>
          <w:noProof/>
          <w:sz w:val="24"/>
          <w:szCs w:val="24"/>
        </w:rPr>
        <w:t xml:space="preserve">water </w:t>
      </w:r>
      <w:r w:rsidR="009045BE" w:rsidRPr="00D3446C">
        <w:rPr>
          <w:bCs/>
          <w:noProof/>
          <w:sz w:val="24"/>
          <w:szCs w:val="24"/>
        </w:rPr>
        <w:t>re</w:t>
      </w:r>
      <w:r w:rsidR="00F45950" w:rsidRPr="00D3446C">
        <w:rPr>
          <w:bCs/>
          <w:noProof/>
          <w:sz w:val="24"/>
          <w:szCs w:val="24"/>
        </w:rPr>
        <w:t xml:space="preserve">sources in the oPt through the issuing of a series of Military </w:t>
      </w:r>
      <w:r w:rsidR="003E2B04" w:rsidRPr="00D3446C">
        <w:rPr>
          <w:bCs/>
          <w:noProof/>
          <w:sz w:val="24"/>
          <w:szCs w:val="24"/>
        </w:rPr>
        <w:t>Orders</w:t>
      </w:r>
      <w:r w:rsidR="00F45950" w:rsidRPr="00D3446C">
        <w:rPr>
          <w:bCs/>
          <w:noProof/>
          <w:sz w:val="24"/>
          <w:szCs w:val="24"/>
        </w:rPr>
        <w:t xml:space="preserve"> that have, </w:t>
      </w:r>
      <w:r w:rsidR="00F45950" w:rsidRPr="00D3446C">
        <w:rPr>
          <w:bCs/>
          <w:i/>
          <w:iCs/>
          <w:noProof/>
          <w:sz w:val="24"/>
          <w:szCs w:val="24"/>
        </w:rPr>
        <w:t>inter alia</w:t>
      </w:r>
      <w:r w:rsidR="00F45950" w:rsidRPr="00D3446C">
        <w:rPr>
          <w:bCs/>
          <w:noProof/>
          <w:sz w:val="24"/>
          <w:szCs w:val="24"/>
        </w:rPr>
        <w:t>, prohibited Palestinians from drawing its waters</w:t>
      </w:r>
      <w:r w:rsidR="009045BE" w:rsidRPr="00D3446C">
        <w:rPr>
          <w:bCs/>
          <w:noProof/>
          <w:sz w:val="24"/>
          <w:szCs w:val="24"/>
        </w:rPr>
        <w:t xml:space="preserve"> </w:t>
      </w:r>
      <w:r w:rsidR="00C52D5F" w:rsidRPr="00D3446C">
        <w:rPr>
          <w:bCs/>
          <w:noProof/>
          <w:sz w:val="24"/>
          <w:szCs w:val="24"/>
        </w:rPr>
        <w:t>and</w:t>
      </w:r>
      <w:r w:rsidR="009045BE" w:rsidRPr="00D3446C">
        <w:rPr>
          <w:bCs/>
          <w:noProof/>
          <w:sz w:val="24"/>
          <w:szCs w:val="24"/>
        </w:rPr>
        <w:t xml:space="preserve"> </w:t>
      </w:r>
      <w:r w:rsidR="006D0CE9" w:rsidRPr="00D3446C">
        <w:rPr>
          <w:bCs/>
          <w:noProof/>
          <w:sz w:val="24"/>
          <w:szCs w:val="24"/>
        </w:rPr>
        <w:t>building</w:t>
      </w:r>
      <w:r w:rsidR="004C2BFD" w:rsidRPr="00D3446C">
        <w:rPr>
          <w:bCs/>
          <w:noProof/>
          <w:sz w:val="24"/>
          <w:szCs w:val="24"/>
        </w:rPr>
        <w:t xml:space="preserve"> </w:t>
      </w:r>
      <w:r w:rsidR="001B35FD" w:rsidRPr="00D3446C">
        <w:rPr>
          <w:bCs/>
          <w:noProof/>
          <w:sz w:val="24"/>
          <w:szCs w:val="24"/>
        </w:rPr>
        <w:t>new water facilities without a permit granted by Israeli occupying authorities.</w:t>
      </w:r>
      <w:r w:rsidR="004C2BFD" w:rsidRPr="00D3446C">
        <w:rPr>
          <w:bCs/>
          <w:noProof/>
          <w:sz w:val="24"/>
          <w:szCs w:val="24"/>
        </w:rPr>
        <w:t xml:space="preserve"> As a result of these practices, currently</w:t>
      </w:r>
      <w:r w:rsidR="003E2B04" w:rsidRPr="00D3446C">
        <w:rPr>
          <w:bCs/>
          <w:noProof/>
          <w:sz w:val="24"/>
          <w:szCs w:val="24"/>
        </w:rPr>
        <w:t>,</w:t>
      </w:r>
      <w:r w:rsidR="00E95505" w:rsidRPr="00D3446C">
        <w:rPr>
          <w:bCs/>
          <w:noProof/>
          <w:sz w:val="24"/>
          <w:szCs w:val="24"/>
        </w:rPr>
        <w:t xml:space="preserve"> Israel controls </w:t>
      </w:r>
      <w:r w:rsidR="000D488D" w:rsidRPr="00D3446C">
        <w:rPr>
          <w:bCs/>
          <w:noProof/>
          <w:sz w:val="24"/>
          <w:szCs w:val="24"/>
        </w:rPr>
        <w:t xml:space="preserve">more than 85 </w:t>
      </w:r>
      <w:r w:rsidR="003E2B04" w:rsidRPr="00D3446C">
        <w:rPr>
          <w:bCs/>
          <w:noProof/>
          <w:sz w:val="24"/>
          <w:szCs w:val="24"/>
        </w:rPr>
        <w:t>percent</w:t>
      </w:r>
      <w:r w:rsidR="000D488D" w:rsidRPr="00D3446C">
        <w:rPr>
          <w:bCs/>
          <w:noProof/>
          <w:sz w:val="24"/>
          <w:szCs w:val="24"/>
        </w:rPr>
        <w:t xml:space="preserve"> of water sources in the oPt</w:t>
      </w:r>
      <w:r w:rsidR="00E95505" w:rsidRPr="00D3446C">
        <w:rPr>
          <w:bCs/>
          <w:noProof/>
          <w:sz w:val="24"/>
          <w:szCs w:val="24"/>
        </w:rPr>
        <w:t>.</w:t>
      </w:r>
    </w:p>
    <w:p w:rsidR="00FA1899" w:rsidRPr="00D3446C" w:rsidRDefault="002F554A" w:rsidP="00C43DFB">
      <w:pPr>
        <w:spacing w:before="120" w:after="240"/>
        <w:jc w:val="both"/>
        <w:rPr>
          <w:bCs/>
          <w:noProof/>
          <w:sz w:val="24"/>
          <w:szCs w:val="24"/>
        </w:rPr>
      </w:pPr>
      <w:r w:rsidRPr="00D3446C">
        <w:rPr>
          <w:bCs/>
          <w:noProof/>
          <w:sz w:val="24"/>
          <w:szCs w:val="24"/>
        </w:rPr>
        <w:t>Since its invasion and occupation</w:t>
      </w:r>
      <w:r w:rsidR="003E2B04" w:rsidRPr="00D3446C">
        <w:rPr>
          <w:bCs/>
          <w:noProof/>
          <w:sz w:val="24"/>
          <w:szCs w:val="24"/>
        </w:rPr>
        <w:t>,</w:t>
      </w:r>
      <w:r w:rsidRPr="00D3446C">
        <w:rPr>
          <w:bCs/>
          <w:noProof/>
          <w:sz w:val="24"/>
          <w:szCs w:val="24"/>
        </w:rPr>
        <w:t xml:space="preserve"> Israel </w:t>
      </w:r>
      <w:r w:rsidR="00344A12" w:rsidRPr="00D3446C">
        <w:rPr>
          <w:bCs/>
          <w:noProof/>
          <w:sz w:val="24"/>
          <w:szCs w:val="24"/>
        </w:rPr>
        <w:t xml:space="preserve">has also perpetrated its </w:t>
      </w:r>
      <w:r w:rsidR="00D340DE" w:rsidRPr="00D3446C">
        <w:rPr>
          <w:bCs/>
          <w:noProof/>
          <w:sz w:val="24"/>
          <w:szCs w:val="24"/>
        </w:rPr>
        <w:t xml:space="preserve">wartime </w:t>
      </w:r>
      <w:r w:rsidR="00344A12" w:rsidRPr="00D3446C">
        <w:rPr>
          <w:bCs/>
          <w:noProof/>
          <w:sz w:val="24"/>
          <w:szCs w:val="24"/>
        </w:rPr>
        <w:t>military practice of destroying Palestinian pumps and irrigation infrastructure</w:t>
      </w:r>
      <w:r w:rsidR="00BE534F" w:rsidRPr="00D3446C">
        <w:rPr>
          <w:bCs/>
          <w:noProof/>
          <w:sz w:val="24"/>
          <w:szCs w:val="24"/>
        </w:rPr>
        <w:t>s, sewage networks</w:t>
      </w:r>
      <w:r w:rsidR="003E2B04" w:rsidRPr="00D3446C">
        <w:rPr>
          <w:bCs/>
          <w:noProof/>
          <w:sz w:val="24"/>
          <w:szCs w:val="24"/>
        </w:rPr>
        <w:t>,</w:t>
      </w:r>
      <w:r w:rsidR="00BE534F" w:rsidRPr="00D3446C">
        <w:rPr>
          <w:bCs/>
          <w:noProof/>
          <w:sz w:val="24"/>
          <w:szCs w:val="24"/>
        </w:rPr>
        <w:t xml:space="preserve"> and sanitation systems.</w:t>
      </w:r>
      <w:r w:rsidR="006C360D" w:rsidRPr="00D3446C">
        <w:rPr>
          <w:bCs/>
          <w:noProof/>
          <w:sz w:val="24"/>
          <w:szCs w:val="24"/>
        </w:rPr>
        <w:t xml:space="preserve"> </w:t>
      </w:r>
      <w:r w:rsidR="009F4005" w:rsidRPr="00D3446C">
        <w:rPr>
          <w:bCs/>
          <w:noProof/>
          <w:sz w:val="24"/>
          <w:szCs w:val="24"/>
        </w:rPr>
        <w:t>This practice has had serious consequences</w:t>
      </w:r>
      <w:r w:rsidR="00EC5F3C">
        <w:rPr>
          <w:bCs/>
          <w:noProof/>
          <w:sz w:val="24"/>
          <w:szCs w:val="24"/>
        </w:rPr>
        <w:t>,</w:t>
      </w:r>
      <w:r w:rsidR="009F4005" w:rsidRPr="00D3446C">
        <w:rPr>
          <w:bCs/>
          <w:noProof/>
          <w:sz w:val="24"/>
          <w:szCs w:val="24"/>
        </w:rPr>
        <w:t xml:space="preserve"> especially in </w:t>
      </w:r>
      <w:r w:rsidR="003E2B04" w:rsidRPr="00D3446C">
        <w:rPr>
          <w:bCs/>
          <w:noProof/>
          <w:sz w:val="24"/>
          <w:szCs w:val="24"/>
        </w:rPr>
        <w:t xml:space="preserve">the </w:t>
      </w:r>
      <w:r w:rsidR="009F4005" w:rsidRPr="00D3446C">
        <w:rPr>
          <w:bCs/>
          <w:noProof/>
          <w:sz w:val="24"/>
          <w:szCs w:val="24"/>
        </w:rPr>
        <w:t xml:space="preserve">Gaza Strip, </w:t>
      </w:r>
      <w:r w:rsidR="009C385F" w:rsidRPr="00D3446C">
        <w:rPr>
          <w:bCs/>
          <w:noProof/>
          <w:sz w:val="24"/>
          <w:szCs w:val="24"/>
        </w:rPr>
        <w:t>where</w:t>
      </w:r>
      <w:r w:rsidR="002D63A3" w:rsidRPr="00D3446C">
        <w:rPr>
          <w:bCs/>
          <w:noProof/>
          <w:sz w:val="24"/>
          <w:szCs w:val="24"/>
        </w:rPr>
        <w:t xml:space="preserve"> frequent </w:t>
      </w:r>
      <w:r w:rsidR="00E02F57" w:rsidRPr="00D3446C">
        <w:rPr>
          <w:bCs/>
          <w:noProof/>
          <w:sz w:val="24"/>
          <w:szCs w:val="24"/>
        </w:rPr>
        <w:t xml:space="preserve">and indiscriminate </w:t>
      </w:r>
      <w:r w:rsidR="002D63A3" w:rsidRPr="00D3446C">
        <w:rPr>
          <w:bCs/>
          <w:noProof/>
          <w:sz w:val="24"/>
          <w:szCs w:val="24"/>
        </w:rPr>
        <w:t xml:space="preserve">attacks against civilian objects by the Israeli military have severely damaged or destroyed hundreds of water and sanitation facilities. </w:t>
      </w:r>
    </w:p>
    <w:p w:rsidR="00757898" w:rsidRPr="00D3446C" w:rsidRDefault="00FA1899" w:rsidP="00C43DFB">
      <w:pPr>
        <w:spacing w:before="120" w:after="240"/>
        <w:jc w:val="both"/>
        <w:rPr>
          <w:color w:val="000000"/>
          <w:sz w:val="24"/>
          <w:szCs w:val="24"/>
          <w:lang w:val="en-US"/>
        </w:rPr>
      </w:pPr>
      <w:r w:rsidRPr="00D3446C">
        <w:rPr>
          <w:sz w:val="24"/>
          <w:szCs w:val="24"/>
          <w:lang w:val="en-US"/>
        </w:rPr>
        <w:t xml:space="preserve">Another aspect that cannot be disregarded and is inextricably linked to </w:t>
      </w:r>
      <w:r w:rsidR="003E2B04" w:rsidRPr="00D3446C">
        <w:rPr>
          <w:sz w:val="24"/>
          <w:szCs w:val="24"/>
          <w:lang w:val="en-US"/>
        </w:rPr>
        <w:t>water issues</w:t>
      </w:r>
      <w:r w:rsidRPr="00D3446C">
        <w:rPr>
          <w:sz w:val="24"/>
          <w:szCs w:val="24"/>
          <w:lang w:val="en-US"/>
        </w:rPr>
        <w:t xml:space="preserve"> in </w:t>
      </w:r>
      <w:r w:rsidR="00EB69C3" w:rsidRPr="00D3446C">
        <w:rPr>
          <w:sz w:val="24"/>
          <w:szCs w:val="24"/>
          <w:lang w:val="en-US"/>
        </w:rPr>
        <w:t xml:space="preserve">the </w:t>
      </w:r>
      <w:r w:rsidRPr="00D3446C">
        <w:rPr>
          <w:sz w:val="24"/>
          <w:szCs w:val="24"/>
          <w:lang w:val="en-US"/>
        </w:rPr>
        <w:t xml:space="preserve">Gaza </w:t>
      </w:r>
      <w:r w:rsidR="00EB69C3" w:rsidRPr="00D3446C">
        <w:rPr>
          <w:sz w:val="24"/>
          <w:szCs w:val="24"/>
          <w:lang w:val="en-US"/>
        </w:rPr>
        <w:t>Strip i</w:t>
      </w:r>
      <w:r w:rsidRPr="00D3446C">
        <w:rPr>
          <w:sz w:val="24"/>
          <w:szCs w:val="24"/>
          <w:lang w:val="en-US"/>
        </w:rPr>
        <w:t xml:space="preserve">s the humanitarian catastrophe caused by Israel’s 13-year </w:t>
      </w:r>
      <w:r w:rsidRPr="00D3446C">
        <w:rPr>
          <w:color w:val="000000"/>
          <w:sz w:val="24"/>
          <w:szCs w:val="24"/>
          <w:lang w:val="en-US"/>
        </w:rPr>
        <w:t>land, air, and sea blockade and comprehensive closure.</w:t>
      </w:r>
      <w:r w:rsidR="002F53A0" w:rsidRPr="00D3446C">
        <w:rPr>
          <w:color w:val="000000"/>
          <w:sz w:val="24"/>
          <w:szCs w:val="24"/>
          <w:lang w:val="en-US"/>
        </w:rPr>
        <w:t xml:space="preserve"> The restrictions on the movement of goods and materials under the closure prevent access to the construction material needed to build and develop water and sanitation facilities and block access to the spare parts needed to operate and maintain the existing infrastructures</w:t>
      </w:r>
      <w:r w:rsidR="001C5942" w:rsidRPr="00D3446C">
        <w:rPr>
          <w:color w:val="000000"/>
          <w:sz w:val="24"/>
          <w:szCs w:val="24"/>
          <w:lang w:val="en-US"/>
        </w:rPr>
        <w:t>.</w:t>
      </w:r>
    </w:p>
    <w:p w:rsidR="002873C5" w:rsidRPr="00D3446C" w:rsidRDefault="00852DE3" w:rsidP="00C43DFB">
      <w:pPr>
        <w:spacing w:before="120" w:after="240"/>
        <w:jc w:val="both"/>
        <w:rPr>
          <w:sz w:val="24"/>
          <w:szCs w:val="24"/>
          <w:lang w:val="en-US"/>
        </w:rPr>
      </w:pPr>
      <w:r w:rsidRPr="00D3446C">
        <w:rPr>
          <w:color w:val="000000"/>
          <w:sz w:val="24"/>
          <w:szCs w:val="24"/>
          <w:lang w:val="en-US"/>
        </w:rPr>
        <w:t xml:space="preserve">As of today, 95 percent of Gaza’s two million residents do </w:t>
      </w:r>
      <w:r w:rsidRPr="00D3446C">
        <w:rPr>
          <w:sz w:val="24"/>
          <w:szCs w:val="24"/>
          <w:lang w:val="en-US"/>
        </w:rPr>
        <w:t>not have access to clean water</w:t>
      </w:r>
      <w:r w:rsidR="00214284" w:rsidRPr="00D3446C">
        <w:rPr>
          <w:sz w:val="24"/>
          <w:szCs w:val="24"/>
          <w:lang w:val="en-US"/>
        </w:rPr>
        <w:t>.</w:t>
      </w:r>
      <w:r w:rsidR="002873C5" w:rsidRPr="00D3446C">
        <w:rPr>
          <w:sz w:val="24"/>
          <w:szCs w:val="24"/>
          <w:lang w:val="en-US"/>
        </w:rPr>
        <w:t xml:space="preserve"> According to </w:t>
      </w:r>
      <w:r w:rsidR="002873C5" w:rsidRPr="00D3446C">
        <w:rPr>
          <w:color w:val="000000"/>
          <w:sz w:val="24"/>
          <w:szCs w:val="24"/>
          <w:lang w:val="en-US"/>
        </w:rPr>
        <w:t xml:space="preserve">UN OCHA, </w:t>
      </w:r>
      <w:r w:rsidR="002873C5" w:rsidRPr="00D3446C">
        <w:rPr>
          <w:color w:val="000000"/>
          <w:sz w:val="24"/>
          <w:szCs w:val="24"/>
          <w:shd w:val="clear" w:color="auto" w:fill="FFFFFF"/>
          <w:lang w:val="en-US"/>
        </w:rPr>
        <w:t xml:space="preserve">97 percent of water in Gaza is unfit for human consumption based on </w:t>
      </w:r>
      <w:r w:rsidR="002873C5" w:rsidRPr="00D3446C">
        <w:rPr>
          <w:sz w:val="24"/>
          <w:szCs w:val="24"/>
          <w:lang w:val="en-US"/>
        </w:rPr>
        <w:t>the standards of the World Health Organization (WHO)</w:t>
      </w:r>
      <w:r w:rsidR="002873C5" w:rsidRPr="00D3446C">
        <w:rPr>
          <w:color w:val="000000"/>
          <w:sz w:val="24"/>
          <w:szCs w:val="24"/>
          <w:lang w:val="en-US"/>
        </w:rPr>
        <w:t>.</w:t>
      </w:r>
      <w:r w:rsidR="002873C5" w:rsidRPr="00D3446C">
        <w:rPr>
          <w:rStyle w:val="FootnoteReference"/>
          <w:color w:val="000000"/>
          <w:sz w:val="24"/>
          <w:szCs w:val="24"/>
          <w:lang w:val="en-US"/>
        </w:rPr>
        <w:footnoteReference w:id="1"/>
      </w:r>
      <w:r w:rsidR="002873C5" w:rsidRPr="00D3446C">
        <w:rPr>
          <w:color w:val="000000"/>
          <w:sz w:val="24"/>
          <w:szCs w:val="24"/>
          <w:lang w:val="en-US"/>
        </w:rPr>
        <w:t xml:space="preserve"> The Palestinian Water Authority </w:t>
      </w:r>
      <w:r w:rsidR="002873C5" w:rsidRPr="00D3446C">
        <w:rPr>
          <w:sz w:val="24"/>
          <w:szCs w:val="24"/>
          <w:lang w:val="en-US"/>
        </w:rPr>
        <w:t>had warned that only 3.9 percent of Gaza’s wells (11 of 282 wells) met the WHO standards, while the others are qualified as polluted.</w:t>
      </w:r>
    </w:p>
    <w:p w:rsidR="002D3E2D" w:rsidRDefault="002D3E2D" w:rsidP="002D3E2D">
      <w:pPr>
        <w:spacing w:before="120" w:after="240"/>
        <w:jc w:val="both"/>
        <w:rPr>
          <w:sz w:val="24"/>
          <w:szCs w:val="24"/>
          <w:lang w:val="en-US"/>
        </w:rPr>
      </w:pPr>
      <w:r>
        <w:rPr>
          <w:sz w:val="24"/>
          <w:szCs w:val="24"/>
          <w:lang w:val="en-US"/>
        </w:rPr>
        <w:t>Without</w:t>
      </w:r>
      <w:r w:rsidRPr="00EC5F3C">
        <w:rPr>
          <w:sz w:val="24"/>
          <w:szCs w:val="24"/>
          <w:lang w:val="en-US"/>
        </w:rPr>
        <w:t xml:space="preserve"> access to safe </w:t>
      </w:r>
      <w:r>
        <w:rPr>
          <w:sz w:val="24"/>
          <w:szCs w:val="24"/>
          <w:lang w:val="en-US"/>
        </w:rPr>
        <w:t>and adequate</w:t>
      </w:r>
      <w:r w:rsidRPr="00EC5F3C">
        <w:rPr>
          <w:sz w:val="24"/>
          <w:szCs w:val="24"/>
          <w:lang w:val="en-US"/>
        </w:rPr>
        <w:t xml:space="preserve"> water and sanitation </w:t>
      </w:r>
      <w:r>
        <w:rPr>
          <w:sz w:val="24"/>
          <w:szCs w:val="24"/>
          <w:lang w:val="en-US"/>
        </w:rPr>
        <w:t xml:space="preserve">in the Gaza Strip, the ability of residents to live </w:t>
      </w:r>
      <w:r w:rsidRPr="00EC5F3C">
        <w:rPr>
          <w:sz w:val="24"/>
          <w:szCs w:val="24"/>
          <w:lang w:val="en-US"/>
        </w:rPr>
        <w:t xml:space="preserve">a life </w:t>
      </w:r>
      <w:r>
        <w:rPr>
          <w:sz w:val="24"/>
          <w:szCs w:val="24"/>
          <w:lang w:val="en-US"/>
        </w:rPr>
        <w:t>of</w:t>
      </w:r>
      <w:r w:rsidRPr="00EC5F3C">
        <w:rPr>
          <w:sz w:val="24"/>
          <w:szCs w:val="24"/>
          <w:lang w:val="en-US"/>
        </w:rPr>
        <w:t xml:space="preserve"> dignity</w:t>
      </w:r>
      <w:r>
        <w:rPr>
          <w:sz w:val="24"/>
          <w:szCs w:val="24"/>
          <w:lang w:val="en-US"/>
        </w:rPr>
        <w:t xml:space="preserve">, with access to their basic, fundamental and inalienable human rights, is greatly hampered. These conditions, ongoing for over 13 years in the Gaza Strip, may amount to cruel, inhuman and degrading treatment or punishment. </w:t>
      </w:r>
    </w:p>
    <w:p w:rsidR="00475CEA" w:rsidRPr="00D3446C" w:rsidRDefault="002D3E2D" w:rsidP="00C43DFB">
      <w:pPr>
        <w:spacing w:before="120" w:after="240"/>
        <w:jc w:val="both"/>
        <w:rPr>
          <w:sz w:val="24"/>
          <w:szCs w:val="24"/>
          <w:lang w:val="en-US"/>
        </w:rPr>
      </w:pPr>
      <w:r>
        <w:rPr>
          <w:sz w:val="24"/>
          <w:szCs w:val="24"/>
          <w:lang w:val="en-US"/>
        </w:rPr>
        <w:t>The situation in Gaza prevents</w:t>
      </w:r>
      <w:r w:rsidR="00475CEA" w:rsidRPr="00D3446C">
        <w:rPr>
          <w:sz w:val="24"/>
          <w:szCs w:val="24"/>
          <w:lang w:val="en-US"/>
        </w:rPr>
        <w:t xml:space="preserve"> the full enjoyment of </w:t>
      </w:r>
      <w:r>
        <w:rPr>
          <w:sz w:val="24"/>
          <w:szCs w:val="24"/>
          <w:lang w:val="en-US"/>
        </w:rPr>
        <w:t xml:space="preserve">the </w:t>
      </w:r>
      <w:r w:rsidR="00475CEA" w:rsidRPr="00D3446C">
        <w:rPr>
          <w:sz w:val="24"/>
          <w:szCs w:val="24"/>
          <w:lang w:val="en-US"/>
        </w:rPr>
        <w:t>human rights to water and sanitation,</w:t>
      </w:r>
      <w:r w:rsidR="009912BE">
        <w:rPr>
          <w:sz w:val="24"/>
          <w:szCs w:val="24"/>
          <w:lang w:val="en-US"/>
        </w:rPr>
        <w:t xml:space="preserve"> </w:t>
      </w:r>
      <w:r w:rsidR="00475CEA" w:rsidRPr="00D3446C">
        <w:rPr>
          <w:sz w:val="24"/>
          <w:szCs w:val="24"/>
          <w:lang w:val="en-US"/>
        </w:rPr>
        <w:t>the right to a safe, clean, healthy</w:t>
      </w:r>
      <w:r w:rsidR="00102F56">
        <w:rPr>
          <w:sz w:val="24"/>
          <w:szCs w:val="24"/>
          <w:lang w:val="en-US"/>
        </w:rPr>
        <w:t>,</w:t>
      </w:r>
      <w:r w:rsidR="00475CEA" w:rsidRPr="00D3446C">
        <w:rPr>
          <w:sz w:val="24"/>
          <w:szCs w:val="24"/>
          <w:lang w:val="en-US"/>
        </w:rPr>
        <w:t xml:space="preserve"> and sustainable environment</w:t>
      </w:r>
      <w:r w:rsidR="009912BE">
        <w:rPr>
          <w:sz w:val="24"/>
          <w:szCs w:val="24"/>
          <w:lang w:val="en-US"/>
        </w:rPr>
        <w:t>, and the right to health—</w:t>
      </w:r>
      <w:r w:rsidR="00475CEA" w:rsidRPr="00D3446C">
        <w:rPr>
          <w:sz w:val="24"/>
          <w:szCs w:val="24"/>
          <w:lang w:val="en-US"/>
        </w:rPr>
        <w:t>and ultimately place</w:t>
      </w:r>
      <w:r>
        <w:rPr>
          <w:sz w:val="24"/>
          <w:szCs w:val="24"/>
          <w:lang w:val="en-US"/>
        </w:rPr>
        <w:t>s</w:t>
      </w:r>
      <w:r w:rsidR="00475CEA" w:rsidRPr="00D3446C">
        <w:rPr>
          <w:sz w:val="24"/>
          <w:szCs w:val="24"/>
          <w:lang w:val="en-US"/>
        </w:rPr>
        <w:t xml:space="preserve"> an additional burden on the exercise of Palestinians' right to life</w:t>
      </w:r>
      <w:r w:rsidR="009912BE">
        <w:rPr>
          <w:sz w:val="24"/>
          <w:szCs w:val="24"/>
          <w:lang w:val="en-US"/>
        </w:rPr>
        <w:t>—</w:t>
      </w:r>
      <w:r w:rsidR="00475CEA" w:rsidRPr="00D3446C">
        <w:rPr>
          <w:sz w:val="24"/>
          <w:szCs w:val="24"/>
          <w:lang w:val="en-US"/>
        </w:rPr>
        <w:t>mainly due to the following factors:</w:t>
      </w:r>
      <w:r>
        <w:rPr>
          <w:sz w:val="24"/>
          <w:szCs w:val="24"/>
          <w:lang w:val="en-US"/>
        </w:rPr>
        <w:t xml:space="preserve"> </w:t>
      </w:r>
    </w:p>
    <w:p w:rsidR="00C43DFB" w:rsidRPr="00C43DFB" w:rsidRDefault="005040F8" w:rsidP="00C43DFB">
      <w:pPr>
        <w:pStyle w:val="ListParagraph"/>
        <w:numPr>
          <w:ilvl w:val="0"/>
          <w:numId w:val="4"/>
        </w:numPr>
        <w:spacing w:before="120" w:after="240"/>
        <w:jc w:val="both"/>
        <w:rPr>
          <w:sz w:val="24"/>
          <w:szCs w:val="24"/>
          <w:lang w:val="en-US"/>
        </w:rPr>
      </w:pPr>
      <w:r w:rsidRPr="00D3446C">
        <w:rPr>
          <w:bCs/>
          <w:noProof/>
          <w:sz w:val="24"/>
          <w:szCs w:val="24"/>
        </w:rPr>
        <w:t>In the Gaza Strip, 86 percent of all water is extracted from the coastal aquifer. However, as Israel and the Gaza water utility (the Coastal Municipalities Water Utility) do not have any coordination policy between them, both are extracting an excessively large amount of water from the coastal aquifer.</w:t>
      </w:r>
      <w:r w:rsidRPr="00D3446C">
        <w:rPr>
          <w:sz w:val="24"/>
          <w:szCs w:val="24"/>
          <w:lang w:val="en-US"/>
        </w:rPr>
        <w:t xml:space="preserve"> Already in 2012, a UN study warned that the aquifer could become unusable by 2017, with the damage irreversible by 2020.</w:t>
      </w:r>
      <w:r w:rsidRPr="00D3446C">
        <w:rPr>
          <w:sz w:val="24"/>
          <w:szCs w:val="24"/>
          <w:vertAlign w:val="superscript"/>
          <w:lang w:val="en-US"/>
        </w:rPr>
        <w:footnoteReference w:id="2"/>
      </w:r>
      <w:r w:rsidR="009F4FBE" w:rsidRPr="00D3446C">
        <w:rPr>
          <w:sz w:val="24"/>
          <w:szCs w:val="24"/>
          <w:lang w:val="en-US"/>
        </w:rPr>
        <w:t xml:space="preserve"> Over-extraction, along with sewage infiltration and groundwater deterioration, has consistently contributed to the continued deterioration of water quality and quantity in Gaza. </w:t>
      </w:r>
    </w:p>
    <w:p w:rsidR="00C43DFB" w:rsidRPr="00C43DFB" w:rsidRDefault="005040F8" w:rsidP="00C43DFB">
      <w:pPr>
        <w:pStyle w:val="ListParagraph"/>
        <w:numPr>
          <w:ilvl w:val="0"/>
          <w:numId w:val="4"/>
        </w:numPr>
        <w:spacing w:before="120" w:after="240"/>
        <w:jc w:val="both"/>
        <w:rPr>
          <w:sz w:val="24"/>
          <w:szCs w:val="24"/>
          <w:lang w:val="en-US"/>
        </w:rPr>
      </w:pPr>
      <w:r w:rsidRPr="00D3446C">
        <w:rPr>
          <w:color w:val="000000"/>
          <w:sz w:val="24"/>
          <w:szCs w:val="24"/>
          <w:lang w:val="en-US"/>
        </w:rPr>
        <w:t xml:space="preserve">Israel’s regular military bombardments and consequent destruction or damage of civilian infrastructures across the Gaza Strip—including Gaza’s only power plant—contribute to the failure of the sewerage networks and sanitation systems. </w:t>
      </w:r>
      <w:r w:rsidRPr="00D3446C">
        <w:rPr>
          <w:color w:val="000000" w:themeColor="text1"/>
          <w:sz w:val="24"/>
          <w:szCs w:val="24"/>
          <w:lang w:val="en-US"/>
        </w:rPr>
        <w:t>These attacks</w:t>
      </w:r>
      <w:r w:rsidR="00EC5F3C">
        <w:rPr>
          <w:color w:val="000000" w:themeColor="text1"/>
          <w:sz w:val="24"/>
          <w:szCs w:val="24"/>
          <w:lang w:val="en-US"/>
        </w:rPr>
        <w:t xml:space="preserve"> on water and sewage infrastructure</w:t>
      </w:r>
      <w:r w:rsidRPr="00D3446C">
        <w:rPr>
          <w:color w:val="000000" w:themeColor="text1"/>
          <w:sz w:val="24"/>
          <w:szCs w:val="24"/>
          <w:lang w:val="en-US"/>
        </w:rPr>
        <w:t xml:space="preserve">, conducted as recently as 2018, hamper the functioning of sewage pumps and sewage treatment systems, and water purification, </w:t>
      </w:r>
      <w:r w:rsidRPr="00D3446C">
        <w:rPr>
          <w:color w:val="000000" w:themeColor="text1"/>
          <w:sz w:val="24"/>
          <w:szCs w:val="24"/>
          <w:shd w:val="clear" w:color="auto" w:fill="FFFFFF"/>
          <w:lang w:val="en-US"/>
        </w:rPr>
        <w:t xml:space="preserve">and risk bringing the </w:t>
      </w:r>
      <w:r w:rsidRPr="00D3446C">
        <w:rPr>
          <w:color w:val="000000" w:themeColor="text1"/>
          <w:spacing w:val="3"/>
          <w:sz w:val="24"/>
          <w:szCs w:val="24"/>
          <w:shd w:val="clear" w:color="auto" w:fill="FFFFFF"/>
          <w:lang w:val="en-US"/>
        </w:rPr>
        <w:t xml:space="preserve">vital public health facilities to a total halt. </w:t>
      </w:r>
    </w:p>
    <w:p w:rsidR="00C43DFB" w:rsidRPr="00C43DFB" w:rsidRDefault="001806D3" w:rsidP="00C43DFB">
      <w:pPr>
        <w:pStyle w:val="ListParagraph"/>
        <w:numPr>
          <w:ilvl w:val="0"/>
          <w:numId w:val="4"/>
        </w:numPr>
        <w:spacing w:before="120" w:after="115"/>
        <w:jc w:val="both"/>
        <w:rPr>
          <w:sz w:val="24"/>
          <w:szCs w:val="24"/>
          <w:lang w:val="en-US"/>
        </w:rPr>
      </w:pPr>
      <w:r>
        <w:rPr>
          <w:sz w:val="24"/>
          <w:szCs w:val="24"/>
          <w:lang w:val="en-US"/>
        </w:rPr>
        <w:t>Within the context of occupation, t</w:t>
      </w:r>
      <w:r w:rsidR="009A7508" w:rsidRPr="00D3446C">
        <w:rPr>
          <w:sz w:val="24"/>
          <w:szCs w:val="24"/>
          <w:lang w:val="en-US"/>
        </w:rPr>
        <w:t xml:space="preserve">he </w:t>
      </w:r>
      <w:r w:rsidR="003366A0" w:rsidRPr="00D3446C">
        <w:rPr>
          <w:sz w:val="24"/>
          <w:szCs w:val="24"/>
          <w:lang w:val="en-US"/>
        </w:rPr>
        <w:t xml:space="preserve">Gaza </w:t>
      </w:r>
      <w:r w:rsidR="009A7508" w:rsidRPr="00D3446C">
        <w:rPr>
          <w:sz w:val="24"/>
          <w:szCs w:val="24"/>
          <w:lang w:val="en-US"/>
        </w:rPr>
        <w:t xml:space="preserve">Strip suffers from a chronic deficit in </w:t>
      </w:r>
      <w:r w:rsidR="003366A0" w:rsidRPr="00D3446C">
        <w:rPr>
          <w:sz w:val="24"/>
          <w:szCs w:val="24"/>
          <w:lang w:val="en-US"/>
        </w:rPr>
        <w:t>electricity supply</w:t>
      </w:r>
      <w:r>
        <w:rPr>
          <w:sz w:val="24"/>
          <w:szCs w:val="24"/>
          <w:lang w:val="en-US"/>
        </w:rPr>
        <w:t xml:space="preserve">, which </w:t>
      </w:r>
      <w:r w:rsidR="00A81933" w:rsidRPr="00D3446C">
        <w:rPr>
          <w:sz w:val="24"/>
          <w:szCs w:val="24"/>
          <w:lang w:val="en-US"/>
        </w:rPr>
        <w:t xml:space="preserve">has </w:t>
      </w:r>
      <w:r w:rsidR="00102F56">
        <w:rPr>
          <w:sz w:val="24"/>
          <w:szCs w:val="24"/>
          <w:lang w:val="en-US"/>
        </w:rPr>
        <w:t xml:space="preserve">a </w:t>
      </w:r>
      <w:r w:rsidR="00A81933" w:rsidRPr="00D3446C">
        <w:rPr>
          <w:sz w:val="24"/>
          <w:szCs w:val="24"/>
          <w:lang w:val="en-US"/>
        </w:rPr>
        <w:t xml:space="preserve">significant impact on the </w:t>
      </w:r>
      <w:r w:rsidR="00720F3F" w:rsidRPr="00D3446C">
        <w:rPr>
          <w:sz w:val="24"/>
          <w:szCs w:val="24"/>
          <w:lang w:val="en-US"/>
        </w:rPr>
        <w:t xml:space="preserve">capacity to run public services at the municipal level, in particular across crucial </w:t>
      </w:r>
      <w:r w:rsidR="004A511F" w:rsidRPr="00D3446C">
        <w:rPr>
          <w:sz w:val="24"/>
          <w:szCs w:val="24"/>
          <w:lang w:val="en-US"/>
        </w:rPr>
        <w:t>sectors</w:t>
      </w:r>
      <w:r w:rsidR="00EC5F3C">
        <w:rPr>
          <w:sz w:val="24"/>
          <w:szCs w:val="24"/>
          <w:lang w:val="en-US"/>
        </w:rPr>
        <w:t>,</w:t>
      </w:r>
      <w:r w:rsidR="00720F3F" w:rsidRPr="00D3446C">
        <w:rPr>
          <w:sz w:val="24"/>
          <w:szCs w:val="24"/>
          <w:lang w:val="en-US"/>
        </w:rPr>
        <w:t xml:space="preserve"> such as water and sanitation. </w:t>
      </w:r>
      <w:r w:rsidR="007D21CE" w:rsidRPr="00D3446C">
        <w:rPr>
          <w:sz w:val="24"/>
          <w:szCs w:val="24"/>
          <w:lang w:val="en-US"/>
        </w:rPr>
        <w:t xml:space="preserve">Normally, the availability of electricity in </w:t>
      </w:r>
      <w:r w:rsidR="008068F0" w:rsidRPr="00D3446C">
        <w:rPr>
          <w:sz w:val="24"/>
          <w:szCs w:val="24"/>
          <w:lang w:val="en-US"/>
        </w:rPr>
        <w:t>G</w:t>
      </w:r>
      <w:r w:rsidR="007D21CE" w:rsidRPr="00D3446C">
        <w:rPr>
          <w:sz w:val="24"/>
          <w:szCs w:val="24"/>
          <w:lang w:val="en-US"/>
        </w:rPr>
        <w:t>aza ranges between 10</w:t>
      </w:r>
      <w:r>
        <w:rPr>
          <w:sz w:val="24"/>
          <w:szCs w:val="24"/>
          <w:lang w:val="en-US"/>
        </w:rPr>
        <w:t>-</w:t>
      </w:r>
      <w:r w:rsidR="007D21CE" w:rsidRPr="00D3446C">
        <w:rPr>
          <w:sz w:val="24"/>
          <w:szCs w:val="24"/>
          <w:lang w:val="en-US"/>
        </w:rPr>
        <w:t>16 hours per day</w:t>
      </w:r>
      <w:r w:rsidR="00E25AE5" w:rsidRPr="00D3446C">
        <w:rPr>
          <w:sz w:val="24"/>
          <w:szCs w:val="24"/>
          <w:lang w:val="en-US"/>
        </w:rPr>
        <w:t xml:space="preserve">, while in times of crisis it </w:t>
      </w:r>
      <w:r w:rsidR="00C7602A" w:rsidRPr="00D3446C">
        <w:rPr>
          <w:sz w:val="24"/>
          <w:szCs w:val="24"/>
          <w:lang w:val="en-US"/>
        </w:rPr>
        <w:t xml:space="preserve">can be shortened </w:t>
      </w:r>
      <w:r w:rsidR="00EC5F3C">
        <w:rPr>
          <w:sz w:val="24"/>
          <w:szCs w:val="24"/>
          <w:lang w:val="en-US"/>
        </w:rPr>
        <w:t>to only</w:t>
      </w:r>
      <w:r w:rsidR="008E3766" w:rsidRPr="00D3446C">
        <w:rPr>
          <w:sz w:val="24"/>
          <w:szCs w:val="24"/>
          <w:lang w:val="en-US"/>
        </w:rPr>
        <w:t xml:space="preserve"> </w:t>
      </w:r>
      <w:r w:rsidR="00E21883">
        <w:rPr>
          <w:sz w:val="24"/>
          <w:szCs w:val="24"/>
          <w:lang w:val="en-US"/>
        </w:rPr>
        <w:t>5-</w:t>
      </w:r>
      <w:r>
        <w:rPr>
          <w:sz w:val="24"/>
          <w:szCs w:val="24"/>
          <w:lang w:val="en-US"/>
        </w:rPr>
        <w:t xml:space="preserve">6 </w:t>
      </w:r>
      <w:r w:rsidR="00E25AE5" w:rsidRPr="00D3446C">
        <w:rPr>
          <w:sz w:val="24"/>
          <w:szCs w:val="24"/>
          <w:lang w:val="en-US"/>
        </w:rPr>
        <w:t>hours</w:t>
      </w:r>
      <w:r w:rsidR="00E21883">
        <w:rPr>
          <w:sz w:val="24"/>
          <w:szCs w:val="24"/>
          <w:lang w:val="en-US"/>
        </w:rPr>
        <w:t xml:space="preserve"> per day</w:t>
      </w:r>
      <w:r w:rsidR="00E25AE5" w:rsidRPr="00D3446C">
        <w:rPr>
          <w:sz w:val="24"/>
          <w:szCs w:val="24"/>
          <w:lang w:val="en-US"/>
        </w:rPr>
        <w:t xml:space="preserve">. </w:t>
      </w:r>
    </w:p>
    <w:p w:rsidR="00A42209" w:rsidRPr="00C43DFB" w:rsidRDefault="005040F8" w:rsidP="00C43DFB">
      <w:pPr>
        <w:pStyle w:val="ListParagraph"/>
        <w:numPr>
          <w:ilvl w:val="0"/>
          <w:numId w:val="4"/>
        </w:numPr>
        <w:spacing w:before="120" w:after="115"/>
        <w:jc w:val="both"/>
        <w:rPr>
          <w:sz w:val="24"/>
          <w:szCs w:val="24"/>
          <w:lang w:val="en-US"/>
        </w:rPr>
      </w:pPr>
      <w:r w:rsidRPr="00D3446C">
        <w:rPr>
          <w:sz w:val="24"/>
          <w:szCs w:val="24"/>
          <w:lang w:val="en-US"/>
        </w:rPr>
        <w:t>Electricity shortage inevitably leads to shortage</w:t>
      </w:r>
      <w:r w:rsidR="008F2A9C">
        <w:rPr>
          <w:sz w:val="24"/>
          <w:szCs w:val="24"/>
          <w:lang w:val="en-US"/>
        </w:rPr>
        <w:t xml:space="preserve">s </w:t>
      </w:r>
      <w:r w:rsidR="00E21883">
        <w:rPr>
          <w:sz w:val="24"/>
          <w:szCs w:val="24"/>
          <w:lang w:val="en-US"/>
        </w:rPr>
        <w:t>in</w:t>
      </w:r>
      <w:r w:rsidRPr="00D3446C">
        <w:rPr>
          <w:sz w:val="24"/>
          <w:szCs w:val="24"/>
          <w:lang w:val="en-US"/>
        </w:rPr>
        <w:t xml:space="preserve"> water supply</w:t>
      </w:r>
      <w:r w:rsidR="008A1FE4" w:rsidRPr="00D3446C">
        <w:rPr>
          <w:sz w:val="24"/>
          <w:szCs w:val="24"/>
          <w:lang w:val="en-US"/>
        </w:rPr>
        <w:t xml:space="preserve">. Gaza’s residents, accustomed to this issue, </w:t>
      </w:r>
      <w:r w:rsidR="00C400FB" w:rsidRPr="00D3446C">
        <w:rPr>
          <w:sz w:val="24"/>
          <w:szCs w:val="24"/>
          <w:lang w:val="en-US"/>
        </w:rPr>
        <w:t>typically store</w:t>
      </w:r>
      <w:r w:rsidR="00EC5F3C">
        <w:rPr>
          <w:sz w:val="24"/>
          <w:szCs w:val="24"/>
          <w:lang w:val="en-US"/>
        </w:rPr>
        <w:t xml:space="preserve"> water</w:t>
      </w:r>
      <w:r w:rsidR="00E21883">
        <w:rPr>
          <w:sz w:val="24"/>
          <w:szCs w:val="24"/>
          <w:lang w:val="en-US"/>
        </w:rPr>
        <w:t xml:space="preserve"> (</w:t>
      </w:r>
      <w:r w:rsidR="00EC5F3C">
        <w:rPr>
          <w:sz w:val="24"/>
          <w:szCs w:val="24"/>
          <w:lang w:val="en-US"/>
        </w:rPr>
        <w:t>when it is available</w:t>
      </w:r>
      <w:r w:rsidR="00E21883">
        <w:rPr>
          <w:sz w:val="24"/>
          <w:szCs w:val="24"/>
          <w:lang w:val="en-US"/>
        </w:rPr>
        <w:t>)</w:t>
      </w:r>
      <w:r w:rsidR="00C400FB" w:rsidRPr="00D3446C">
        <w:rPr>
          <w:sz w:val="24"/>
          <w:szCs w:val="24"/>
          <w:lang w:val="en-US"/>
        </w:rPr>
        <w:t xml:space="preserve"> in roof-top tanks. </w:t>
      </w:r>
      <w:r w:rsidR="005C7FA5" w:rsidRPr="00D3446C">
        <w:rPr>
          <w:sz w:val="24"/>
          <w:szCs w:val="24"/>
          <w:lang w:val="en-US"/>
        </w:rPr>
        <w:t xml:space="preserve">However, </w:t>
      </w:r>
      <w:r w:rsidR="000A0B45" w:rsidRPr="00D3446C">
        <w:rPr>
          <w:sz w:val="24"/>
          <w:szCs w:val="24"/>
          <w:lang w:val="en-US"/>
        </w:rPr>
        <w:t>during emergenc</w:t>
      </w:r>
      <w:r w:rsidR="00E21883">
        <w:rPr>
          <w:sz w:val="24"/>
          <w:szCs w:val="24"/>
          <w:lang w:val="en-US"/>
        </w:rPr>
        <w:t>ies</w:t>
      </w:r>
      <w:r w:rsidR="000A0B45" w:rsidRPr="00D3446C">
        <w:rPr>
          <w:sz w:val="24"/>
          <w:szCs w:val="24"/>
          <w:lang w:val="en-US"/>
        </w:rPr>
        <w:t>,</w:t>
      </w:r>
      <w:r w:rsidR="00324510" w:rsidRPr="00D3446C">
        <w:rPr>
          <w:sz w:val="24"/>
          <w:szCs w:val="24"/>
          <w:lang w:val="en-US"/>
        </w:rPr>
        <w:t xml:space="preserve"> </w:t>
      </w:r>
      <w:r w:rsidR="000A0B45" w:rsidRPr="00D3446C">
        <w:rPr>
          <w:sz w:val="24"/>
          <w:szCs w:val="24"/>
          <w:lang w:val="en-US"/>
        </w:rPr>
        <w:t xml:space="preserve">the power supply is redirected </w:t>
      </w:r>
      <w:r w:rsidR="00E21883">
        <w:rPr>
          <w:sz w:val="24"/>
          <w:szCs w:val="24"/>
          <w:lang w:val="en-US"/>
        </w:rPr>
        <w:t xml:space="preserve">to essential services. This means that water is supplied during power cuts, when water pumps cannot function. This means that residents cannot store water. </w:t>
      </w:r>
      <w:r w:rsidR="00423C38" w:rsidRPr="00D3446C">
        <w:rPr>
          <w:sz w:val="24"/>
          <w:szCs w:val="24"/>
          <w:lang w:val="en-US"/>
        </w:rPr>
        <w:t xml:space="preserve"> </w:t>
      </w:r>
      <w:r w:rsidR="00BB6EBA" w:rsidRPr="00D3446C">
        <w:rPr>
          <w:color w:val="000000"/>
          <w:sz w:val="24"/>
          <w:szCs w:val="24"/>
          <w:lang w:val="en-US"/>
        </w:rPr>
        <w:t xml:space="preserve">As a consequence, </w:t>
      </w:r>
      <w:r w:rsidR="00BB6EBA" w:rsidRPr="00D3446C">
        <w:rPr>
          <w:sz w:val="24"/>
          <w:szCs w:val="24"/>
          <w:lang w:val="en-US"/>
        </w:rPr>
        <w:t>most of Gaza’s residents rely on low- and medium-quality trucked water that is 10</w:t>
      </w:r>
      <w:r w:rsidR="00EC5F3C">
        <w:rPr>
          <w:sz w:val="24"/>
          <w:szCs w:val="24"/>
          <w:lang w:val="en-US"/>
        </w:rPr>
        <w:t>–</w:t>
      </w:r>
      <w:r w:rsidR="00BB6EBA" w:rsidRPr="00D3446C">
        <w:rPr>
          <w:sz w:val="24"/>
          <w:szCs w:val="24"/>
          <w:lang w:val="en-US"/>
        </w:rPr>
        <w:t>30 times more expensive than municipal water.</w:t>
      </w:r>
      <w:r w:rsidR="00BB6EBA" w:rsidRPr="00D3446C">
        <w:rPr>
          <w:rStyle w:val="FootnoteReference"/>
          <w:sz w:val="24"/>
          <w:szCs w:val="24"/>
          <w:lang w:val="en-US"/>
        </w:rPr>
        <w:footnoteReference w:id="3"/>
      </w:r>
      <w:r w:rsidR="00BB6EBA" w:rsidRPr="00D3446C">
        <w:rPr>
          <w:sz w:val="24"/>
          <w:szCs w:val="24"/>
          <w:lang w:val="en-US"/>
        </w:rPr>
        <w:t xml:space="preserve"> Still, many others, due to the poor financial situation and high levels of poverty in Gaza, cannot afford to buy filtered water as an alternative to tainted water from public taps. </w:t>
      </w:r>
      <w:r w:rsidR="00C17DD0" w:rsidRPr="00D3446C">
        <w:rPr>
          <w:sz w:val="24"/>
          <w:szCs w:val="24"/>
          <w:lang w:val="en-US"/>
        </w:rPr>
        <w:t xml:space="preserve">The fact that water pumps do not work at full capacity also </w:t>
      </w:r>
      <w:r w:rsidR="00E21883" w:rsidRPr="00D3446C">
        <w:rPr>
          <w:sz w:val="24"/>
          <w:szCs w:val="24"/>
          <w:lang w:val="en-US"/>
        </w:rPr>
        <w:t xml:space="preserve">has </w:t>
      </w:r>
      <w:r w:rsidR="00C17DD0" w:rsidRPr="00D3446C">
        <w:rPr>
          <w:sz w:val="24"/>
          <w:szCs w:val="24"/>
          <w:lang w:val="en-US"/>
        </w:rPr>
        <w:t xml:space="preserve">serious implications on sanitation levels as </w:t>
      </w:r>
      <w:r w:rsidR="00A42209" w:rsidRPr="00D3446C">
        <w:rPr>
          <w:color w:val="000000"/>
          <w:sz w:val="24"/>
          <w:szCs w:val="24"/>
          <w:lang w:val="en-US"/>
        </w:rPr>
        <w:t>toilets cannot be flushed, clothes cannot be washed, homes cannot be cleaned, hands cannot be washed, and food cannot be cleaned</w:t>
      </w:r>
      <w:r w:rsidR="008F2A9C">
        <w:rPr>
          <w:color w:val="000000"/>
          <w:sz w:val="24"/>
          <w:szCs w:val="24"/>
          <w:lang w:val="en-US"/>
        </w:rPr>
        <w:t xml:space="preserve"> </w:t>
      </w:r>
      <w:r w:rsidR="008F2A9C" w:rsidRPr="00D3446C">
        <w:rPr>
          <w:sz w:val="24"/>
          <w:szCs w:val="24"/>
          <w:lang w:val="en-US"/>
        </w:rPr>
        <w:t xml:space="preserve">for long </w:t>
      </w:r>
      <w:r w:rsidR="008F2A9C">
        <w:rPr>
          <w:sz w:val="24"/>
          <w:szCs w:val="24"/>
          <w:lang w:val="en-US"/>
        </w:rPr>
        <w:t>periods.</w:t>
      </w:r>
      <w:r w:rsidR="00E21883">
        <w:rPr>
          <w:sz w:val="24"/>
          <w:szCs w:val="24"/>
          <w:lang w:val="en-US"/>
        </w:rPr>
        <w:t xml:space="preserve"> These conditions drastically undermine the population’s ability to prevent the spread of infectious disease, such as COVID-19, as even basic hygiene measures – such as hand washing – become difficult to implement without water.  </w:t>
      </w:r>
    </w:p>
    <w:p w:rsidR="00FA695C" w:rsidRPr="00C43DFB" w:rsidRDefault="008F2A9C" w:rsidP="00C43DFB">
      <w:pPr>
        <w:pStyle w:val="ListParagraph"/>
        <w:numPr>
          <w:ilvl w:val="0"/>
          <w:numId w:val="4"/>
        </w:numPr>
        <w:spacing w:before="120" w:after="115"/>
        <w:jc w:val="both"/>
        <w:rPr>
          <w:sz w:val="24"/>
          <w:szCs w:val="24"/>
          <w:lang w:val="en-US"/>
        </w:rPr>
      </w:pPr>
      <w:r>
        <w:rPr>
          <w:sz w:val="24"/>
          <w:szCs w:val="24"/>
          <w:lang w:val="en-US"/>
        </w:rPr>
        <w:t>The shortage</w:t>
      </w:r>
      <w:r w:rsidR="00567989" w:rsidRPr="00D3446C">
        <w:rPr>
          <w:sz w:val="24"/>
          <w:szCs w:val="24"/>
          <w:lang w:val="en-US"/>
        </w:rPr>
        <w:t xml:space="preserve"> in power supply also hinders the </w:t>
      </w:r>
      <w:r w:rsidR="00B9193A" w:rsidRPr="00D3446C">
        <w:rPr>
          <w:sz w:val="24"/>
          <w:szCs w:val="24"/>
          <w:lang w:val="en-US"/>
        </w:rPr>
        <w:t xml:space="preserve">functioning of Gaza’s </w:t>
      </w:r>
      <w:r w:rsidR="00567989" w:rsidRPr="00D3446C">
        <w:rPr>
          <w:sz w:val="24"/>
          <w:szCs w:val="24"/>
          <w:lang w:val="en-US"/>
        </w:rPr>
        <w:t>desalination plants</w:t>
      </w:r>
      <w:r w:rsidR="006A7B52" w:rsidRPr="00D3446C">
        <w:rPr>
          <w:sz w:val="24"/>
          <w:szCs w:val="24"/>
          <w:lang w:val="en-US"/>
        </w:rPr>
        <w:t xml:space="preserve">. </w:t>
      </w:r>
      <w:r w:rsidR="00567989" w:rsidRPr="00D3446C">
        <w:rPr>
          <w:sz w:val="24"/>
          <w:szCs w:val="24"/>
          <w:lang w:val="en-US"/>
        </w:rPr>
        <w:t>These conditions expose the population to water-borne illnesses</w:t>
      </w:r>
      <w:r w:rsidR="00E21883">
        <w:rPr>
          <w:sz w:val="24"/>
          <w:szCs w:val="24"/>
          <w:lang w:val="en-US"/>
        </w:rPr>
        <w:t>,</w:t>
      </w:r>
      <w:r w:rsidR="00567989" w:rsidRPr="00D3446C">
        <w:rPr>
          <w:sz w:val="24"/>
          <w:szCs w:val="24"/>
          <w:lang w:val="en-US"/>
        </w:rPr>
        <w:t xml:space="preserve"> as well as </w:t>
      </w:r>
      <w:r w:rsidR="00567989" w:rsidRPr="00D3446C">
        <w:rPr>
          <w:color w:val="000000"/>
          <w:sz w:val="24"/>
          <w:szCs w:val="24"/>
          <w:lang w:val="en-US"/>
        </w:rPr>
        <w:t xml:space="preserve">other diseases </w:t>
      </w:r>
      <w:r w:rsidR="00E21883">
        <w:rPr>
          <w:color w:val="000000"/>
          <w:sz w:val="24"/>
          <w:szCs w:val="24"/>
          <w:lang w:val="en-US"/>
        </w:rPr>
        <w:t xml:space="preserve">that are </w:t>
      </w:r>
      <w:r w:rsidR="00567989" w:rsidRPr="00D3446C">
        <w:rPr>
          <w:color w:val="000000"/>
          <w:sz w:val="24"/>
          <w:szCs w:val="24"/>
          <w:lang w:val="en-US"/>
        </w:rPr>
        <w:t>transmitted by contaminated water, with potentially devastating effects.</w:t>
      </w:r>
      <w:r w:rsidR="00567989" w:rsidRPr="00D3446C">
        <w:rPr>
          <w:rStyle w:val="FootnoteReference"/>
          <w:color w:val="000000"/>
          <w:sz w:val="24"/>
          <w:szCs w:val="24"/>
          <w:lang w:val="en-US"/>
        </w:rPr>
        <w:footnoteReference w:id="4"/>
      </w:r>
      <w:r w:rsidR="00567989" w:rsidRPr="00D3446C">
        <w:rPr>
          <w:color w:val="000000"/>
          <w:sz w:val="24"/>
          <w:szCs w:val="24"/>
          <w:lang w:val="en-US"/>
        </w:rPr>
        <w:t xml:space="preserve"> </w:t>
      </w:r>
      <w:r w:rsidR="006A7B52" w:rsidRPr="00D3446C">
        <w:rPr>
          <w:color w:val="000000"/>
          <w:sz w:val="24"/>
          <w:szCs w:val="24"/>
          <w:lang w:val="en-US"/>
        </w:rPr>
        <w:t xml:space="preserve">As a consequence, Gaza’s residents </w:t>
      </w:r>
      <w:r w:rsidR="005A74DD" w:rsidRPr="00D3446C">
        <w:rPr>
          <w:color w:val="000000"/>
          <w:sz w:val="24"/>
          <w:szCs w:val="24"/>
          <w:lang w:val="en-US"/>
        </w:rPr>
        <w:t xml:space="preserve">who </w:t>
      </w:r>
      <w:r w:rsidR="005A74DD" w:rsidRPr="00D3446C">
        <w:rPr>
          <w:sz w:val="24"/>
          <w:szCs w:val="24"/>
          <w:lang w:val="en-US"/>
        </w:rPr>
        <w:t xml:space="preserve">cannot afford to purchase desalinated water from private vendors </w:t>
      </w:r>
      <w:r w:rsidR="00567989" w:rsidRPr="00D3446C">
        <w:rPr>
          <w:sz w:val="24"/>
          <w:szCs w:val="24"/>
          <w:lang w:val="en-US"/>
        </w:rPr>
        <w:t xml:space="preserve">have resorted to various ingenious filters, boilers, </w:t>
      </w:r>
      <w:r w:rsidR="00C8636F">
        <w:rPr>
          <w:sz w:val="24"/>
          <w:szCs w:val="24"/>
          <w:lang w:val="en-US"/>
        </w:rPr>
        <w:t>and</w:t>
      </w:r>
      <w:r w:rsidR="00567989" w:rsidRPr="00D3446C">
        <w:rPr>
          <w:sz w:val="24"/>
          <w:szCs w:val="24"/>
          <w:lang w:val="en-US"/>
        </w:rPr>
        <w:t xml:space="preserve"> under-the-sink or neighborhood-level desalination units to treat </w:t>
      </w:r>
      <w:r w:rsidR="005E15D8" w:rsidRPr="00D3446C">
        <w:rPr>
          <w:sz w:val="24"/>
          <w:szCs w:val="24"/>
          <w:lang w:val="en-US"/>
        </w:rPr>
        <w:t>tap</w:t>
      </w:r>
      <w:r w:rsidR="00567989" w:rsidRPr="00D3446C">
        <w:rPr>
          <w:sz w:val="24"/>
          <w:szCs w:val="24"/>
          <w:lang w:val="en-US"/>
        </w:rPr>
        <w:t xml:space="preserve"> water</w:t>
      </w:r>
      <w:r w:rsidR="006A7B52" w:rsidRPr="00D3446C">
        <w:rPr>
          <w:sz w:val="24"/>
          <w:szCs w:val="24"/>
          <w:lang w:val="en-US"/>
        </w:rPr>
        <w:t>.</w:t>
      </w:r>
    </w:p>
    <w:p w:rsidR="008F2A4C" w:rsidRDefault="00FA695C" w:rsidP="00C43DFB">
      <w:pPr>
        <w:pStyle w:val="ListParagraph"/>
        <w:numPr>
          <w:ilvl w:val="0"/>
          <w:numId w:val="4"/>
        </w:numPr>
        <w:spacing w:before="120" w:after="115"/>
        <w:jc w:val="both"/>
        <w:rPr>
          <w:sz w:val="24"/>
          <w:szCs w:val="24"/>
          <w:lang w:val="en-US"/>
        </w:rPr>
      </w:pPr>
      <w:r w:rsidRPr="00D3446C">
        <w:rPr>
          <w:sz w:val="24"/>
          <w:szCs w:val="24"/>
          <w:lang w:val="en-US"/>
        </w:rPr>
        <w:t>With the municipal water supply system working beyond capacity</w:t>
      </w:r>
      <w:r w:rsidR="00EC5F3C">
        <w:rPr>
          <w:sz w:val="24"/>
          <w:szCs w:val="24"/>
          <w:lang w:val="en-US"/>
        </w:rPr>
        <w:t>,</w:t>
      </w:r>
      <w:r w:rsidRPr="00D3446C">
        <w:rPr>
          <w:sz w:val="24"/>
          <w:szCs w:val="24"/>
          <w:lang w:val="en-US"/>
        </w:rPr>
        <w:t xml:space="preserve"> poorly treated wastewater and sewage </w:t>
      </w:r>
      <w:r w:rsidR="008F2A9C">
        <w:rPr>
          <w:sz w:val="24"/>
          <w:szCs w:val="24"/>
          <w:lang w:val="en-US"/>
        </w:rPr>
        <w:t>are</w:t>
      </w:r>
      <w:r w:rsidRPr="00D3446C">
        <w:rPr>
          <w:sz w:val="24"/>
          <w:szCs w:val="24"/>
          <w:lang w:val="en-US"/>
        </w:rPr>
        <w:t xml:space="preserve"> discharged into the Mediterranean Sea every day</w:t>
      </w:r>
      <w:r w:rsidR="00A42B91" w:rsidRPr="00D3446C">
        <w:rPr>
          <w:sz w:val="24"/>
          <w:szCs w:val="24"/>
          <w:lang w:val="en-US"/>
        </w:rPr>
        <w:t xml:space="preserve">. This has serious consequences from </w:t>
      </w:r>
      <w:r w:rsidR="00C8636F">
        <w:rPr>
          <w:sz w:val="24"/>
          <w:szCs w:val="24"/>
          <w:lang w:val="en-US"/>
        </w:rPr>
        <w:t>a right to food, health</w:t>
      </w:r>
      <w:r w:rsidR="00A42B91" w:rsidRPr="00D3446C">
        <w:rPr>
          <w:sz w:val="24"/>
          <w:szCs w:val="24"/>
          <w:lang w:val="en-US"/>
        </w:rPr>
        <w:t xml:space="preserve"> and environmental point of view</w:t>
      </w:r>
      <w:r w:rsidR="00D3446C" w:rsidRPr="00D3446C">
        <w:rPr>
          <w:sz w:val="24"/>
          <w:szCs w:val="24"/>
          <w:lang w:val="en-US"/>
        </w:rPr>
        <w:t>. A</w:t>
      </w:r>
      <w:r w:rsidRPr="00D3446C">
        <w:rPr>
          <w:sz w:val="24"/>
          <w:szCs w:val="24"/>
          <w:lang w:val="en-US"/>
        </w:rPr>
        <w:t>s of 2019, 44.5 percent of seawater in the Gaza Strip is contaminated.</w:t>
      </w:r>
      <w:r w:rsidRPr="00D3446C">
        <w:rPr>
          <w:rStyle w:val="FootnoteReference"/>
          <w:sz w:val="24"/>
          <w:szCs w:val="24"/>
          <w:lang w:val="en-US"/>
        </w:rPr>
        <w:footnoteReference w:id="5"/>
      </w:r>
      <w:r w:rsidRPr="00D3446C">
        <w:rPr>
          <w:sz w:val="24"/>
          <w:szCs w:val="24"/>
          <w:lang w:val="en-US"/>
        </w:rPr>
        <w:t xml:space="preserve"> Following an analysis carried out by the Palestinian Health Ministry between 9-11 August 2020, the Environmental Quality Authority announced that along the coast of the Gaza Strip (length: 40 km), the seawater pollution rate is 63 percent.</w:t>
      </w:r>
      <w:r w:rsidRPr="00D3446C">
        <w:rPr>
          <w:rStyle w:val="FootnoteReference"/>
          <w:sz w:val="24"/>
          <w:szCs w:val="24"/>
          <w:lang w:val="en-US"/>
        </w:rPr>
        <w:footnoteReference w:id="6"/>
      </w:r>
      <w:r w:rsidRPr="00D3446C">
        <w:rPr>
          <w:sz w:val="24"/>
          <w:szCs w:val="24"/>
          <w:lang w:val="en-US"/>
        </w:rPr>
        <w:t xml:space="preserve"> </w:t>
      </w:r>
    </w:p>
    <w:p w:rsidR="003350E2" w:rsidRPr="003350E2" w:rsidRDefault="003350E2" w:rsidP="003350E2">
      <w:pPr>
        <w:spacing w:before="120" w:after="115"/>
        <w:jc w:val="both"/>
        <w:rPr>
          <w:sz w:val="24"/>
          <w:szCs w:val="24"/>
          <w:lang w:val="en-US"/>
        </w:rPr>
      </w:pPr>
      <w:r>
        <w:rPr>
          <w:sz w:val="24"/>
          <w:szCs w:val="24"/>
          <w:lang w:val="en-US"/>
        </w:rPr>
        <w:t>For more on th</w:t>
      </w:r>
      <w:r w:rsidR="00E519CB">
        <w:rPr>
          <w:sz w:val="24"/>
          <w:szCs w:val="24"/>
          <w:lang w:val="en-US"/>
        </w:rPr>
        <w:t>e</w:t>
      </w:r>
      <w:r w:rsidR="002D3E2D">
        <w:rPr>
          <w:sz w:val="24"/>
          <w:szCs w:val="24"/>
          <w:lang w:val="en-US"/>
        </w:rPr>
        <w:t>se</w:t>
      </w:r>
      <w:r w:rsidR="00E519CB">
        <w:rPr>
          <w:sz w:val="24"/>
          <w:szCs w:val="24"/>
          <w:lang w:val="en-US"/>
        </w:rPr>
        <w:t xml:space="preserve"> conditions </w:t>
      </w:r>
      <w:r w:rsidR="002D3E2D">
        <w:rPr>
          <w:sz w:val="24"/>
          <w:szCs w:val="24"/>
          <w:lang w:val="en-US"/>
        </w:rPr>
        <w:t>and the corresponding legal framework</w:t>
      </w:r>
      <w:r>
        <w:rPr>
          <w:sz w:val="24"/>
          <w:szCs w:val="24"/>
          <w:lang w:val="en-US"/>
        </w:rPr>
        <w:t xml:space="preserve">, please see Al Mezan and partner’s 9 November 2020 urgent appeal to UN Special Procedures concerning the escalating water and sanitation crisis in the Gaza Strip. Link: </w:t>
      </w:r>
      <w:hyperlink r:id="rId9" w:history="1">
        <w:r w:rsidRPr="00D521F7">
          <w:rPr>
            <w:rStyle w:val="Hyperlink"/>
            <w:sz w:val="24"/>
            <w:szCs w:val="24"/>
            <w:lang w:val="en-US"/>
          </w:rPr>
          <w:t>http://mezan.org/en/uploads/files/1605008575924.pdf</w:t>
        </w:r>
      </w:hyperlink>
      <w:r>
        <w:rPr>
          <w:sz w:val="24"/>
          <w:szCs w:val="24"/>
          <w:lang w:val="en-US"/>
        </w:rPr>
        <w:t xml:space="preserve"> </w:t>
      </w:r>
      <w:r w:rsidR="00E519CB">
        <w:rPr>
          <w:sz w:val="24"/>
          <w:szCs w:val="24"/>
          <w:lang w:val="en-US"/>
        </w:rPr>
        <w:t xml:space="preserve"> </w:t>
      </w:r>
    </w:p>
    <w:p w:rsidR="00C43DFB" w:rsidRPr="00102F56" w:rsidRDefault="00C43DFB" w:rsidP="00C43DFB">
      <w:pPr>
        <w:pStyle w:val="ListParagraph"/>
        <w:spacing w:before="120" w:after="115"/>
        <w:rPr>
          <w:sz w:val="24"/>
          <w:szCs w:val="24"/>
          <w:lang w:val="en-US"/>
        </w:rPr>
      </w:pPr>
    </w:p>
    <w:p w:rsidR="00102F56" w:rsidRPr="00AA7FCB" w:rsidRDefault="00102F56" w:rsidP="00C43DFB">
      <w:pPr>
        <w:spacing w:before="120" w:after="240"/>
        <w:jc w:val="both"/>
        <w:rPr>
          <w:bCs/>
          <w:i/>
          <w:iCs/>
          <w:noProof/>
          <w:sz w:val="24"/>
          <w:szCs w:val="24"/>
        </w:rPr>
      </w:pPr>
      <w:r w:rsidRPr="00102F56">
        <w:rPr>
          <w:bCs/>
          <w:i/>
          <w:iCs/>
          <w:noProof/>
          <w:sz w:val="24"/>
          <w:szCs w:val="24"/>
        </w:rPr>
        <w:t>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rsidR="00C43DFB" w:rsidRDefault="006D166F" w:rsidP="00C43DFB">
      <w:pPr>
        <w:spacing w:before="120" w:after="240"/>
        <w:jc w:val="both"/>
        <w:rPr>
          <w:sz w:val="24"/>
          <w:szCs w:val="24"/>
          <w:lang w:val="en-US"/>
        </w:rPr>
      </w:pPr>
      <w:r>
        <w:rPr>
          <w:sz w:val="24"/>
          <w:szCs w:val="24"/>
          <w:lang w:val="en-US"/>
        </w:rPr>
        <w:t>During emergencies, such as times of full-scale military hostilities or pandemic</w:t>
      </w:r>
      <w:r w:rsidR="009B7FFD">
        <w:rPr>
          <w:sz w:val="24"/>
          <w:szCs w:val="24"/>
          <w:lang w:val="en-US"/>
        </w:rPr>
        <w:t xml:space="preserve">, </w:t>
      </w:r>
      <w:r w:rsidR="000603B2">
        <w:rPr>
          <w:sz w:val="24"/>
          <w:szCs w:val="24"/>
          <w:lang w:val="en-US"/>
        </w:rPr>
        <w:t xml:space="preserve">ensuring access to safe </w:t>
      </w:r>
      <w:r w:rsidR="009B7FFD">
        <w:rPr>
          <w:sz w:val="24"/>
          <w:szCs w:val="24"/>
          <w:lang w:val="en-US"/>
        </w:rPr>
        <w:t>water and sanitation</w:t>
      </w:r>
      <w:r w:rsidR="000603B2">
        <w:rPr>
          <w:sz w:val="24"/>
          <w:szCs w:val="24"/>
          <w:lang w:val="en-US"/>
        </w:rPr>
        <w:t xml:space="preserve"> </w:t>
      </w:r>
      <w:r w:rsidR="00C43DFB">
        <w:rPr>
          <w:sz w:val="24"/>
          <w:szCs w:val="24"/>
          <w:lang w:val="en-US"/>
        </w:rPr>
        <w:t>must be</w:t>
      </w:r>
      <w:r w:rsidR="000603B2">
        <w:rPr>
          <w:sz w:val="24"/>
          <w:szCs w:val="24"/>
          <w:lang w:val="en-US"/>
        </w:rPr>
        <w:t>—</w:t>
      </w:r>
      <w:r w:rsidR="009B7FFD">
        <w:rPr>
          <w:sz w:val="24"/>
          <w:szCs w:val="24"/>
          <w:lang w:val="en-US"/>
        </w:rPr>
        <w:t>along with food and shelter</w:t>
      </w:r>
      <w:r w:rsidR="000603B2">
        <w:rPr>
          <w:sz w:val="24"/>
          <w:szCs w:val="24"/>
          <w:lang w:val="en-US"/>
        </w:rPr>
        <w:t>—a</w:t>
      </w:r>
      <w:r w:rsidR="004A3BD8" w:rsidRPr="004A3BD8">
        <w:rPr>
          <w:sz w:val="24"/>
          <w:szCs w:val="24"/>
          <w:lang w:val="en-US"/>
        </w:rPr>
        <w:t xml:space="preserve"> top priorit</w:t>
      </w:r>
      <w:r w:rsidR="00C43DFB">
        <w:rPr>
          <w:sz w:val="24"/>
          <w:szCs w:val="24"/>
          <w:lang w:val="en-US"/>
        </w:rPr>
        <w:t>y</w:t>
      </w:r>
      <w:r w:rsidR="00FD175C">
        <w:rPr>
          <w:sz w:val="24"/>
          <w:szCs w:val="24"/>
          <w:lang w:val="en-US"/>
        </w:rPr>
        <w:t xml:space="preserve"> </w:t>
      </w:r>
      <w:r w:rsidR="00E519CB">
        <w:rPr>
          <w:sz w:val="24"/>
          <w:szCs w:val="24"/>
          <w:lang w:val="en-US"/>
        </w:rPr>
        <w:t>for</w:t>
      </w:r>
      <w:r w:rsidR="00FD175C">
        <w:rPr>
          <w:sz w:val="24"/>
          <w:szCs w:val="24"/>
          <w:lang w:val="en-US"/>
        </w:rPr>
        <w:t xml:space="preserve"> </w:t>
      </w:r>
      <w:r w:rsidR="002D3E2D">
        <w:rPr>
          <w:sz w:val="24"/>
          <w:szCs w:val="24"/>
          <w:lang w:val="en-US"/>
        </w:rPr>
        <w:t xml:space="preserve">actors working on </w:t>
      </w:r>
      <w:r w:rsidR="00FD175C">
        <w:rPr>
          <w:sz w:val="24"/>
          <w:szCs w:val="24"/>
          <w:lang w:val="en-US"/>
        </w:rPr>
        <w:t xml:space="preserve">humanitarian </w:t>
      </w:r>
      <w:r w:rsidR="008552A5">
        <w:rPr>
          <w:sz w:val="24"/>
          <w:szCs w:val="24"/>
          <w:lang w:val="en-US"/>
        </w:rPr>
        <w:t xml:space="preserve">assistance </w:t>
      </w:r>
      <w:r w:rsidR="00FD175C">
        <w:rPr>
          <w:sz w:val="24"/>
          <w:szCs w:val="24"/>
          <w:lang w:val="en-US"/>
        </w:rPr>
        <w:t>and development.</w:t>
      </w:r>
      <w:r w:rsidR="00C43DFB">
        <w:rPr>
          <w:sz w:val="24"/>
          <w:szCs w:val="24"/>
          <w:lang w:val="en-US"/>
        </w:rPr>
        <w:t xml:space="preserve"> </w:t>
      </w:r>
    </w:p>
    <w:p w:rsidR="00C43DFB" w:rsidRDefault="006030B6" w:rsidP="00C43DFB">
      <w:pPr>
        <w:spacing w:before="120" w:after="240"/>
        <w:jc w:val="both"/>
        <w:rPr>
          <w:sz w:val="24"/>
          <w:szCs w:val="24"/>
          <w:lang w:val="en-US"/>
        </w:rPr>
      </w:pPr>
      <w:r w:rsidRPr="006030B6">
        <w:rPr>
          <w:sz w:val="24"/>
          <w:szCs w:val="24"/>
          <w:lang w:val="en-US"/>
        </w:rPr>
        <w:t>I</w:t>
      </w:r>
      <w:r w:rsidR="008F2A9C" w:rsidRPr="006030B6">
        <w:rPr>
          <w:sz w:val="24"/>
          <w:szCs w:val="24"/>
          <w:lang w:val="en-US"/>
        </w:rPr>
        <w:t xml:space="preserve">ndividual, collective, domestic and extraterritorial human rights obligations of States and international organizations require </w:t>
      </w:r>
      <w:r w:rsidR="00E519CB">
        <w:rPr>
          <w:sz w:val="24"/>
          <w:szCs w:val="24"/>
          <w:lang w:val="en-US"/>
        </w:rPr>
        <w:t xml:space="preserve">that </w:t>
      </w:r>
      <w:r w:rsidR="008F2A9C" w:rsidRPr="006030B6">
        <w:rPr>
          <w:sz w:val="24"/>
          <w:szCs w:val="24"/>
          <w:lang w:val="en-US"/>
        </w:rPr>
        <w:t xml:space="preserve">stakeholders operating in the humanitarian and development fields align </w:t>
      </w:r>
      <w:r w:rsidR="00E519CB">
        <w:rPr>
          <w:sz w:val="24"/>
          <w:szCs w:val="24"/>
          <w:lang w:val="en-US"/>
        </w:rPr>
        <w:t xml:space="preserve">their </w:t>
      </w:r>
      <w:r w:rsidR="008F2A9C" w:rsidRPr="006030B6">
        <w:rPr>
          <w:sz w:val="24"/>
          <w:szCs w:val="24"/>
          <w:lang w:val="en-US"/>
        </w:rPr>
        <w:t>short-term, emergency</w:t>
      </w:r>
      <w:r w:rsidR="002D3E2D">
        <w:rPr>
          <w:sz w:val="24"/>
          <w:szCs w:val="24"/>
          <w:lang w:val="en-US"/>
        </w:rPr>
        <w:t xml:space="preserve"> </w:t>
      </w:r>
      <w:r w:rsidR="008F2A9C" w:rsidRPr="006030B6">
        <w:rPr>
          <w:sz w:val="24"/>
          <w:szCs w:val="24"/>
          <w:lang w:val="en-US"/>
        </w:rPr>
        <w:t xml:space="preserve">humanitarian </w:t>
      </w:r>
      <w:r w:rsidR="004A565A">
        <w:rPr>
          <w:sz w:val="24"/>
          <w:szCs w:val="24"/>
          <w:lang w:val="en-US"/>
        </w:rPr>
        <w:t>response</w:t>
      </w:r>
      <w:r w:rsidR="008F2A9C" w:rsidRPr="006030B6">
        <w:rPr>
          <w:sz w:val="24"/>
          <w:szCs w:val="24"/>
          <w:lang w:val="en-US"/>
        </w:rPr>
        <w:t xml:space="preserve"> with longer-term and institution-building development approaches </w:t>
      </w:r>
      <w:r>
        <w:rPr>
          <w:sz w:val="24"/>
          <w:szCs w:val="24"/>
          <w:lang w:val="en-US"/>
        </w:rPr>
        <w:t>and policies</w:t>
      </w:r>
      <w:r w:rsidR="00E519CB">
        <w:rPr>
          <w:sz w:val="24"/>
          <w:szCs w:val="24"/>
          <w:lang w:val="en-US"/>
        </w:rPr>
        <w:t>,</w:t>
      </w:r>
      <w:r>
        <w:rPr>
          <w:sz w:val="24"/>
          <w:szCs w:val="24"/>
          <w:lang w:val="en-US"/>
        </w:rPr>
        <w:t xml:space="preserve"> </w:t>
      </w:r>
      <w:r w:rsidR="008F2A9C" w:rsidRPr="006030B6">
        <w:rPr>
          <w:sz w:val="24"/>
          <w:szCs w:val="24"/>
          <w:lang w:val="en-US"/>
        </w:rPr>
        <w:t xml:space="preserve">within the over-arching framework of human rights and </w:t>
      </w:r>
      <w:r w:rsidR="00C8636F">
        <w:rPr>
          <w:sz w:val="24"/>
          <w:szCs w:val="24"/>
          <w:lang w:val="en-US"/>
        </w:rPr>
        <w:t xml:space="preserve">the </w:t>
      </w:r>
      <w:r w:rsidR="008F2A9C" w:rsidRPr="006030B6">
        <w:rPr>
          <w:sz w:val="24"/>
          <w:szCs w:val="24"/>
          <w:lang w:val="en-US"/>
        </w:rPr>
        <w:t xml:space="preserve">corresponding </w:t>
      </w:r>
      <w:r w:rsidR="00C8636F">
        <w:rPr>
          <w:sz w:val="24"/>
          <w:szCs w:val="24"/>
          <w:lang w:val="en-US"/>
        </w:rPr>
        <w:t>obligations</w:t>
      </w:r>
      <w:r w:rsidR="008F2A9C" w:rsidRPr="006030B6">
        <w:rPr>
          <w:sz w:val="24"/>
          <w:szCs w:val="24"/>
          <w:lang w:val="en-US"/>
        </w:rPr>
        <w:t>.</w:t>
      </w:r>
      <w:r w:rsidR="008F2A9C" w:rsidRPr="006030B6">
        <w:rPr>
          <w:sz w:val="24"/>
          <w:szCs w:val="24"/>
          <w:vertAlign w:val="superscript"/>
          <w:lang w:val="en-US"/>
        </w:rPr>
        <w:footnoteReference w:id="7"/>
      </w:r>
      <w:r w:rsidR="00C43DFB">
        <w:rPr>
          <w:sz w:val="24"/>
          <w:szCs w:val="24"/>
          <w:lang w:val="en-US"/>
        </w:rPr>
        <w:t xml:space="preserve"> </w:t>
      </w:r>
    </w:p>
    <w:p w:rsidR="00F52C15" w:rsidRDefault="00F52C15" w:rsidP="00C43DFB">
      <w:pPr>
        <w:spacing w:before="120" w:after="115"/>
        <w:jc w:val="both"/>
        <w:rPr>
          <w:sz w:val="24"/>
          <w:szCs w:val="24"/>
          <w:lang w:val="en-US"/>
        </w:rPr>
      </w:pPr>
      <w:r>
        <w:rPr>
          <w:sz w:val="24"/>
          <w:szCs w:val="24"/>
          <w:lang w:val="en-US"/>
        </w:rPr>
        <w:t xml:space="preserve">Applying a rights-based approach to humanitarian work </w:t>
      </w:r>
      <w:r w:rsidR="00114DE7">
        <w:rPr>
          <w:sz w:val="24"/>
          <w:szCs w:val="24"/>
          <w:lang w:val="en-US"/>
        </w:rPr>
        <w:t xml:space="preserve">would transform </w:t>
      </w:r>
      <w:r w:rsidR="00BE6494">
        <w:rPr>
          <w:sz w:val="24"/>
          <w:szCs w:val="24"/>
          <w:lang w:val="en-US"/>
        </w:rPr>
        <w:t xml:space="preserve">short-term basic needs into </w:t>
      </w:r>
      <w:r w:rsidR="00806B47">
        <w:rPr>
          <w:sz w:val="24"/>
          <w:szCs w:val="24"/>
          <w:lang w:val="en-US"/>
        </w:rPr>
        <w:t xml:space="preserve">long-term </w:t>
      </w:r>
      <w:r w:rsidR="00E30D2D">
        <w:rPr>
          <w:sz w:val="24"/>
          <w:szCs w:val="24"/>
          <w:lang w:val="en-US"/>
        </w:rPr>
        <w:t>rights</w:t>
      </w:r>
      <w:r w:rsidR="00C73721">
        <w:rPr>
          <w:sz w:val="24"/>
          <w:szCs w:val="24"/>
          <w:lang w:val="en-US"/>
        </w:rPr>
        <w:t xml:space="preserve">, thus </w:t>
      </w:r>
      <w:r w:rsidR="005D1F94" w:rsidRPr="005D1F94">
        <w:rPr>
          <w:sz w:val="24"/>
          <w:szCs w:val="24"/>
          <w:lang w:val="en-US"/>
        </w:rPr>
        <w:t xml:space="preserve">paving the way for the transition </w:t>
      </w:r>
      <w:r w:rsidR="002D3E2D">
        <w:rPr>
          <w:sz w:val="24"/>
          <w:szCs w:val="24"/>
          <w:lang w:val="en-US"/>
        </w:rPr>
        <w:t>between</w:t>
      </w:r>
      <w:r w:rsidR="005D1F94" w:rsidRPr="005D1F94">
        <w:rPr>
          <w:sz w:val="24"/>
          <w:szCs w:val="24"/>
          <w:lang w:val="en-US"/>
        </w:rPr>
        <w:t xml:space="preserve"> a purely need</w:t>
      </w:r>
      <w:r w:rsidR="00B470D4">
        <w:rPr>
          <w:sz w:val="24"/>
          <w:szCs w:val="24"/>
          <w:lang w:val="en-US"/>
        </w:rPr>
        <w:t>s</w:t>
      </w:r>
      <w:r w:rsidR="005D1F94" w:rsidRPr="005D1F94">
        <w:rPr>
          <w:sz w:val="24"/>
          <w:szCs w:val="24"/>
          <w:lang w:val="en-US"/>
        </w:rPr>
        <w:t xml:space="preserve">-based emergency response to </w:t>
      </w:r>
      <w:r w:rsidR="002D3E2D">
        <w:rPr>
          <w:sz w:val="24"/>
          <w:szCs w:val="24"/>
          <w:lang w:val="en-US"/>
        </w:rPr>
        <w:t xml:space="preserve">a </w:t>
      </w:r>
      <w:r w:rsidR="005D1F94" w:rsidRPr="005D1F94">
        <w:rPr>
          <w:sz w:val="24"/>
          <w:szCs w:val="24"/>
          <w:lang w:val="en-US"/>
        </w:rPr>
        <w:t>development</w:t>
      </w:r>
      <w:r w:rsidR="00E519CB">
        <w:rPr>
          <w:sz w:val="24"/>
          <w:szCs w:val="24"/>
          <w:lang w:val="en-US"/>
        </w:rPr>
        <w:t xml:space="preserve"> and</w:t>
      </w:r>
      <w:r w:rsidR="005D1F94" w:rsidRPr="005D1F94">
        <w:rPr>
          <w:sz w:val="24"/>
          <w:szCs w:val="24"/>
          <w:lang w:val="en-US"/>
        </w:rPr>
        <w:t xml:space="preserve"> capacity</w:t>
      </w:r>
      <w:r w:rsidR="00021D33">
        <w:rPr>
          <w:sz w:val="24"/>
          <w:szCs w:val="24"/>
          <w:lang w:val="en-US"/>
        </w:rPr>
        <w:t xml:space="preserve"> </w:t>
      </w:r>
      <w:r w:rsidR="005D1F94" w:rsidRPr="005D1F94">
        <w:rPr>
          <w:sz w:val="24"/>
          <w:szCs w:val="24"/>
          <w:lang w:val="en-US"/>
        </w:rPr>
        <w:t>building</w:t>
      </w:r>
      <w:r w:rsidR="00E519CB">
        <w:rPr>
          <w:sz w:val="24"/>
          <w:szCs w:val="24"/>
          <w:lang w:val="en-US"/>
        </w:rPr>
        <w:t xml:space="preserve"> initiative</w:t>
      </w:r>
      <w:r w:rsidR="00E30D2D">
        <w:rPr>
          <w:sz w:val="24"/>
          <w:szCs w:val="24"/>
          <w:lang w:val="en-US"/>
        </w:rPr>
        <w:t>.</w:t>
      </w:r>
    </w:p>
    <w:p w:rsidR="006D166F" w:rsidRPr="008F2A9C" w:rsidRDefault="006D166F" w:rsidP="00C43DFB">
      <w:pPr>
        <w:spacing w:before="120" w:after="115"/>
        <w:jc w:val="both"/>
        <w:rPr>
          <w:sz w:val="24"/>
          <w:szCs w:val="24"/>
          <w:lang w:val="en-US"/>
        </w:rPr>
      </w:pPr>
    </w:p>
    <w:sectPr w:rsidR="006D166F" w:rsidRPr="008F2A9C" w:rsidSect="00FA5ADF">
      <w:pgSz w:w="11900" w:h="16840"/>
      <w:pgMar w:top="9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468" w:rsidRDefault="00496468" w:rsidP="00F45950">
      <w:r>
        <w:separator/>
      </w:r>
    </w:p>
  </w:endnote>
  <w:endnote w:type="continuationSeparator" w:id="0">
    <w:p w:rsidR="00496468" w:rsidRDefault="00496468" w:rsidP="00F4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468" w:rsidRDefault="00496468" w:rsidP="00F45950">
      <w:r>
        <w:separator/>
      </w:r>
    </w:p>
  </w:footnote>
  <w:footnote w:type="continuationSeparator" w:id="0">
    <w:p w:rsidR="00496468" w:rsidRDefault="00496468" w:rsidP="00F45950">
      <w:r>
        <w:continuationSeparator/>
      </w:r>
    </w:p>
  </w:footnote>
  <w:footnote w:id="1">
    <w:p w:rsidR="002873C5" w:rsidRPr="005F43F0" w:rsidRDefault="002873C5" w:rsidP="002873C5">
      <w:pPr>
        <w:pStyle w:val="NoSpacing"/>
        <w:tabs>
          <w:tab w:val="left" w:pos="4111"/>
        </w:tabs>
        <w:rPr>
          <w:color w:val="296AB3"/>
          <w:sz w:val="18"/>
          <w:szCs w:val="18"/>
          <w:lang w:val="en-US"/>
        </w:rPr>
      </w:pPr>
      <w:r w:rsidRPr="005F43F0">
        <w:rPr>
          <w:rStyle w:val="FootnoteReference"/>
          <w:sz w:val="18"/>
          <w:szCs w:val="18"/>
          <w:lang w:val="en-US"/>
        </w:rPr>
        <w:footnoteRef/>
      </w:r>
      <w:r w:rsidRPr="005F43F0">
        <w:rPr>
          <w:sz w:val="18"/>
          <w:szCs w:val="18"/>
          <w:lang w:val="en-US"/>
        </w:rPr>
        <w:t xml:space="preserve"> </w:t>
      </w:r>
      <w:r w:rsidRPr="005F43F0">
        <w:rPr>
          <w:color w:val="000000" w:themeColor="text1"/>
          <w:sz w:val="18"/>
          <w:szCs w:val="18"/>
          <w:lang w:val="en-US"/>
        </w:rPr>
        <w:t>UN OCHA, “</w:t>
      </w:r>
      <w:r w:rsidRPr="005F43F0">
        <w:rPr>
          <w:sz w:val="18"/>
          <w:szCs w:val="18"/>
          <w:lang w:val="en-US"/>
        </w:rPr>
        <w:t>Study warns water sanitation crisis in Gaza may cause disease outbreak and possible epidemic</w:t>
      </w:r>
      <w:r w:rsidRPr="005F43F0">
        <w:rPr>
          <w:color w:val="000000" w:themeColor="text1"/>
          <w:sz w:val="18"/>
          <w:szCs w:val="18"/>
          <w:lang w:val="en-US"/>
        </w:rPr>
        <w:t xml:space="preserve">,” </w:t>
      </w:r>
      <w:r w:rsidRPr="005F43F0">
        <w:rPr>
          <w:color w:val="000000" w:themeColor="text1"/>
          <w:sz w:val="18"/>
          <w:szCs w:val="18"/>
          <w:shd w:val="clear" w:color="auto" w:fill="FFFFFF"/>
          <w:lang w:val="en-US"/>
        </w:rPr>
        <w:t xml:space="preserve">16 November 2018, at: </w:t>
      </w:r>
      <w:hyperlink r:id="rId1" w:history="1">
        <w:r w:rsidRPr="005F43F0">
          <w:rPr>
            <w:rStyle w:val="Hyperlink"/>
            <w:sz w:val="18"/>
            <w:szCs w:val="18"/>
            <w:lang w:val="en-US"/>
          </w:rPr>
          <w:t>https://www.ochaopt.org/content/study-warns-water-sanitation-crisis-gaza-may-cause-disease-outbreak-and-possible-epidemic</w:t>
        </w:r>
      </w:hyperlink>
      <w:r w:rsidRPr="005F43F0">
        <w:rPr>
          <w:rStyle w:val="Hyperlink"/>
          <w:sz w:val="18"/>
          <w:szCs w:val="18"/>
          <w:lang w:val="en-US"/>
        </w:rPr>
        <w:t>.</w:t>
      </w:r>
      <w:r w:rsidRPr="005F43F0">
        <w:rPr>
          <w:sz w:val="18"/>
          <w:szCs w:val="18"/>
          <w:lang w:val="en-US"/>
        </w:rPr>
        <w:t xml:space="preserve"> </w:t>
      </w:r>
    </w:p>
  </w:footnote>
  <w:footnote w:id="2">
    <w:p w:rsidR="005040F8" w:rsidRPr="005F43F0" w:rsidRDefault="005040F8" w:rsidP="005040F8">
      <w:pPr>
        <w:pStyle w:val="NoSpacing"/>
        <w:tabs>
          <w:tab w:val="left" w:pos="4111"/>
        </w:tabs>
        <w:rPr>
          <w:sz w:val="18"/>
          <w:szCs w:val="18"/>
          <w:lang w:val="en-US"/>
        </w:rPr>
      </w:pPr>
      <w:r w:rsidRPr="005F43F0">
        <w:rPr>
          <w:rStyle w:val="FootnoteReference"/>
          <w:sz w:val="18"/>
          <w:szCs w:val="18"/>
          <w:lang w:val="en-US"/>
        </w:rPr>
        <w:footnoteRef/>
      </w:r>
      <w:r w:rsidRPr="005F43F0">
        <w:rPr>
          <w:sz w:val="18"/>
          <w:szCs w:val="18"/>
          <w:lang w:val="en-US"/>
        </w:rPr>
        <w:t xml:space="preserve"> UNICEF, “UNICEF seawater desalination plant helps head off Gaza water crisis,” 6 April 2017, at: </w:t>
      </w:r>
      <w:hyperlink r:id="rId2" w:history="1">
        <w:r w:rsidRPr="005F43F0">
          <w:rPr>
            <w:rStyle w:val="Hyperlink"/>
            <w:sz w:val="18"/>
            <w:szCs w:val="18"/>
            <w:lang w:val="en-US"/>
          </w:rPr>
          <w:t>https://www.unicef.org/stories/unicef-seawater-desalination-plant-helps-head-gaza-water-crisis</w:t>
        </w:r>
      </w:hyperlink>
      <w:r w:rsidRPr="005F43F0">
        <w:rPr>
          <w:sz w:val="18"/>
          <w:szCs w:val="18"/>
          <w:lang w:val="en-US"/>
        </w:rPr>
        <w:t xml:space="preserve"> </w:t>
      </w:r>
    </w:p>
  </w:footnote>
  <w:footnote w:id="3">
    <w:p w:rsidR="00BB6EBA" w:rsidRPr="002C7B43" w:rsidRDefault="00BB6EBA" w:rsidP="00BB6EBA">
      <w:pPr>
        <w:pStyle w:val="FootnoteText"/>
        <w:tabs>
          <w:tab w:val="left" w:pos="4111"/>
        </w:tabs>
        <w:rPr>
          <w:sz w:val="18"/>
          <w:szCs w:val="18"/>
          <w:lang w:val="en-US"/>
        </w:rPr>
      </w:pPr>
      <w:r w:rsidRPr="002C7B43">
        <w:rPr>
          <w:rStyle w:val="FootnoteReference"/>
          <w:lang w:val="en-US"/>
        </w:rPr>
        <w:footnoteRef/>
      </w:r>
      <w:r w:rsidRPr="002C7B43">
        <w:rPr>
          <w:sz w:val="18"/>
          <w:szCs w:val="18"/>
          <w:lang w:val="en-US"/>
        </w:rPr>
        <w:t xml:space="preserve"> Report of the Special Rapporteur on the situation of human rights in the Palestinian territories occupied since 1967*, A/HRC/40/73,15 March 2019, para. 53.</w:t>
      </w:r>
    </w:p>
  </w:footnote>
  <w:footnote w:id="4">
    <w:p w:rsidR="00567989" w:rsidRPr="002C7B43" w:rsidRDefault="00567989" w:rsidP="00567989">
      <w:pPr>
        <w:pStyle w:val="FootnoteText"/>
        <w:rPr>
          <w:sz w:val="18"/>
          <w:szCs w:val="18"/>
          <w:lang w:val="en-US"/>
        </w:rPr>
      </w:pPr>
      <w:r w:rsidRPr="002C7B43">
        <w:rPr>
          <w:rStyle w:val="FootnoteReference"/>
          <w:lang w:val="en-US"/>
        </w:rPr>
        <w:footnoteRef/>
      </w:r>
      <w:r w:rsidRPr="002C7B43">
        <w:rPr>
          <w:sz w:val="18"/>
          <w:szCs w:val="18"/>
          <w:lang w:val="en-US"/>
        </w:rPr>
        <w:t xml:space="preserve"> According to the WHO, microorganisms in contaminated water cause diseases such as: diarrhoea, Arsenicosis or Fluorosis, Schistosomiasis, Soil-transmitted helminthiasis, Malaria, Dengue fever</w:t>
      </w:r>
      <w:r w:rsidRPr="002C7B43">
        <w:rPr>
          <w:color w:val="202122"/>
          <w:sz w:val="18"/>
          <w:szCs w:val="18"/>
          <w:shd w:val="clear" w:color="auto" w:fill="FFFFFF"/>
          <w:lang w:val="en-US"/>
        </w:rPr>
        <w:t xml:space="preserve"> and </w:t>
      </w:r>
      <w:r w:rsidRPr="002C7B43">
        <w:rPr>
          <w:sz w:val="18"/>
          <w:szCs w:val="18"/>
          <w:lang w:val="en-US"/>
        </w:rPr>
        <w:t xml:space="preserve">legionellosis, at: </w:t>
      </w:r>
      <w:hyperlink r:id="rId3" w:history="1">
        <w:r w:rsidRPr="002C7B43">
          <w:rPr>
            <w:rStyle w:val="Hyperlink"/>
            <w:sz w:val="18"/>
            <w:szCs w:val="18"/>
            <w:lang w:val="en-US"/>
          </w:rPr>
          <w:t>https://www.who.int/water_sanitation_health/diseases-risks/diseases/en/</w:t>
        </w:r>
      </w:hyperlink>
      <w:r w:rsidRPr="002C7B43">
        <w:rPr>
          <w:sz w:val="18"/>
          <w:szCs w:val="18"/>
          <w:lang w:val="en-US"/>
        </w:rPr>
        <w:t>.</w:t>
      </w:r>
    </w:p>
  </w:footnote>
  <w:footnote w:id="5">
    <w:p w:rsidR="00FA695C" w:rsidRPr="002C7B43" w:rsidRDefault="00FA695C" w:rsidP="00FA695C">
      <w:pPr>
        <w:pStyle w:val="FootnoteText"/>
        <w:rPr>
          <w:sz w:val="18"/>
          <w:szCs w:val="18"/>
          <w:lang w:val="en-US"/>
        </w:rPr>
      </w:pPr>
      <w:r w:rsidRPr="002C7B43">
        <w:rPr>
          <w:rStyle w:val="FootnoteReference"/>
          <w:lang w:val="en-US"/>
        </w:rPr>
        <w:footnoteRef/>
      </w:r>
      <w:r w:rsidRPr="002C7B43">
        <w:rPr>
          <w:sz w:val="18"/>
          <w:szCs w:val="18"/>
          <w:lang w:val="en-US"/>
        </w:rPr>
        <w:t xml:space="preserve"> Al Mezan, 23 September 2020, “Annual Report on the Situation of Economic, Social, and Cultural Rights in 2019,” at: </w:t>
      </w:r>
      <w:hyperlink r:id="rId4" w:history="1">
        <w:r w:rsidRPr="002C7B43">
          <w:rPr>
            <w:rStyle w:val="Hyperlink"/>
            <w:sz w:val="18"/>
            <w:szCs w:val="18"/>
            <w:lang w:val="en-US"/>
          </w:rPr>
          <w:t>http://mezan.org/en/post/23812</w:t>
        </w:r>
      </w:hyperlink>
      <w:r w:rsidRPr="002C7B43">
        <w:rPr>
          <w:sz w:val="18"/>
          <w:szCs w:val="18"/>
          <w:lang w:val="en-US"/>
        </w:rPr>
        <w:t xml:space="preserve">. </w:t>
      </w:r>
    </w:p>
  </w:footnote>
  <w:footnote w:id="6">
    <w:p w:rsidR="00FA695C" w:rsidRPr="002C7B43" w:rsidRDefault="00FA695C" w:rsidP="00FA695C">
      <w:pPr>
        <w:pStyle w:val="FootnoteText"/>
        <w:rPr>
          <w:sz w:val="18"/>
          <w:szCs w:val="18"/>
          <w:lang w:val="en-US"/>
        </w:rPr>
      </w:pPr>
      <w:r w:rsidRPr="002C7B43">
        <w:rPr>
          <w:rStyle w:val="FootnoteReference"/>
          <w:lang w:val="en-US"/>
        </w:rPr>
        <w:footnoteRef/>
      </w:r>
      <w:r w:rsidRPr="002C7B43">
        <w:rPr>
          <w:sz w:val="18"/>
          <w:szCs w:val="18"/>
          <w:lang w:val="en-US"/>
        </w:rPr>
        <w:t xml:space="preserve"> The Environmental Quality Authority posted on Facebook on 19 August 2020 (available only in Arabic): </w:t>
      </w:r>
      <w:hyperlink r:id="rId5" w:history="1">
        <w:r w:rsidRPr="002C7B43">
          <w:rPr>
            <w:rStyle w:val="Hyperlink"/>
            <w:sz w:val="18"/>
            <w:szCs w:val="18"/>
            <w:lang w:val="en-US"/>
          </w:rPr>
          <w:t>https://www.facebook.com/environmentquality</w:t>
        </w:r>
        <w:r w:rsidRPr="002C7B43">
          <w:rPr>
            <w:rStyle w:val="Hyperlink"/>
            <w:sz w:val="18"/>
            <w:szCs w:val="18"/>
            <w:rtl/>
            <w:lang w:val="en-US"/>
          </w:rPr>
          <w:t>/</w:t>
        </w:r>
      </w:hyperlink>
      <w:r w:rsidRPr="002C7B43">
        <w:rPr>
          <w:rStyle w:val="Hyperlink"/>
          <w:sz w:val="18"/>
          <w:szCs w:val="18"/>
          <w:lang w:val="en-US"/>
        </w:rPr>
        <w:t xml:space="preserve">. </w:t>
      </w:r>
    </w:p>
  </w:footnote>
  <w:footnote w:id="7">
    <w:p w:rsidR="008F2A9C" w:rsidRPr="002C7B43" w:rsidRDefault="008F2A9C" w:rsidP="008F2A9C">
      <w:pPr>
        <w:pStyle w:val="FootnoteText"/>
        <w:rPr>
          <w:sz w:val="18"/>
          <w:szCs w:val="18"/>
          <w:lang w:val="en-US"/>
        </w:rPr>
      </w:pPr>
      <w:r w:rsidRPr="002C7B43">
        <w:rPr>
          <w:sz w:val="18"/>
          <w:szCs w:val="18"/>
        </w:rPr>
        <w:footnoteRef/>
      </w:r>
      <w:r w:rsidRPr="002C7B43">
        <w:rPr>
          <w:sz w:val="18"/>
          <w:szCs w:val="18"/>
          <w:lang w:val="en-US"/>
        </w:rPr>
        <w:t xml:space="preserve"> See Maastricht Principles on Extraterritorial Obligations of States in the Area of Economic, Social and Cultural Rights, 2011, </w:t>
      </w:r>
      <w:hyperlink r:id="rId6" w:anchor=":~:text=The%20Maastricht%20Principles%20were%20issued,the%20United%20Nations%20Human%20Rights" w:history="1">
        <w:r w:rsidRPr="002C7B43">
          <w:rPr>
            <w:rStyle w:val="Hyperlink"/>
            <w:sz w:val="18"/>
            <w:szCs w:val="18"/>
            <w:lang w:val="en-US"/>
          </w:rPr>
          <w:t>https://www.etoconsortium.org/nc/en/main-navigation/library/maastricht-principles/?tx_drblob_pi1%5BdownloadUid%5D=23#:~:text=The%20Maastricht%20Principles%20were%20issued,the%20United%20Nations%20Human%20Rights</w:t>
        </w:r>
      </w:hyperlink>
      <w:r w:rsidRPr="002C7B43">
        <w:rPr>
          <w:sz w:val="18"/>
          <w:szCs w:val="18"/>
          <w:lang w:val="en-US"/>
        </w:rPr>
        <w:t xml:space="preserve">;  International Law Commission, Draft articles on the responsibility of international organizations, with commentaries, A/66/10, Sixty-third session (26 April–3 June and 4 July–12 August 2011), at: https://undocs.org/A/66/10; General Assembly, Transforming our world: the 2030 Agenda for Sustainable Development, A/RES/70/1, 21 October 2015, paras. 3, 7–8, 10, 19, 29, 35, 74(e) and Goal 6: Ensure availability and sustainable management of water and sanitation for all, at: </w:t>
      </w:r>
      <w:hyperlink r:id="rId7" w:history="1">
        <w:r w:rsidRPr="002C7B43">
          <w:rPr>
            <w:rStyle w:val="Hyperlink"/>
            <w:sz w:val="18"/>
            <w:szCs w:val="18"/>
            <w:lang w:val="en-US"/>
          </w:rPr>
          <w:t>https://undocs.org/A/RES/70/1</w:t>
        </w:r>
      </w:hyperlink>
      <w:r w:rsidRPr="002C7B43">
        <w:rPr>
          <w:sz w:val="18"/>
          <w:szCs w:val="18"/>
          <w:lang w:val="en-US"/>
        </w:rPr>
        <w:t xml:space="preserve">; and Committee on World Food Security, Framewwork for Action for Food Security and Nutrition in Protracted Crises, CFS/2015/42/4, paras. 15–16 and, with regard to water and sanitation, Principles 1.x and 2.ii, at: </w:t>
      </w:r>
      <w:hyperlink r:id="rId8" w:history="1">
        <w:r w:rsidRPr="002C7B43">
          <w:rPr>
            <w:rStyle w:val="Hyperlink"/>
            <w:sz w:val="18"/>
            <w:szCs w:val="18"/>
            <w:lang w:val="en-US"/>
          </w:rPr>
          <w:t>http://www.fao.org/3/a-bc852e.pdf</w:t>
        </w:r>
      </w:hyperlink>
      <w:r w:rsidRPr="002C7B43">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001D"/>
    <w:multiLevelType w:val="hybridMultilevel"/>
    <w:tmpl w:val="10CCCEA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4976FB"/>
    <w:multiLevelType w:val="hybridMultilevel"/>
    <w:tmpl w:val="74AC6EAA"/>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8D82978"/>
    <w:multiLevelType w:val="hybridMultilevel"/>
    <w:tmpl w:val="60806C6C"/>
    <w:lvl w:ilvl="0" w:tplc="EDCC2C4A">
      <w:start w:val="1"/>
      <w:numFmt w:val="decimal"/>
      <w:lvlText w:val="%1."/>
      <w:lvlJc w:val="left"/>
      <w:pPr>
        <w:ind w:left="720" w:hanging="360"/>
      </w:pPr>
      <w:rPr>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6E1DE5"/>
    <w:multiLevelType w:val="hybridMultilevel"/>
    <w:tmpl w:val="B88ECE0E"/>
    <w:lvl w:ilvl="0" w:tplc="E30CFF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97"/>
    <w:rsid w:val="00002D36"/>
    <w:rsid w:val="0001230D"/>
    <w:rsid w:val="00012F97"/>
    <w:rsid w:val="000150DC"/>
    <w:rsid w:val="00021D33"/>
    <w:rsid w:val="000603B2"/>
    <w:rsid w:val="000707BA"/>
    <w:rsid w:val="000A0B45"/>
    <w:rsid w:val="000A2F60"/>
    <w:rsid w:val="000B2ABC"/>
    <w:rsid w:val="000B7E86"/>
    <w:rsid w:val="000D488D"/>
    <w:rsid w:val="00102F56"/>
    <w:rsid w:val="0010449B"/>
    <w:rsid w:val="0011067B"/>
    <w:rsid w:val="00114DE7"/>
    <w:rsid w:val="00142D55"/>
    <w:rsid w:val="001806D3"/>
    <w:rsid w:val="00194443"/>
    <w:rsid w:val="0019752A"/>
    <w:rsid w:val="001A27EC"/>
    <w:rsid w:val="001B35FD"/>
    <w:rsid w:val="001B5D63"/>
    <w:rsid w:val="001C4836"/>
    <w:rsid w:val="001C5942"/>
    <w:rsid w:val="001D6A46"/>
    <w:rsid w:val="001E29F0"/>
    <w:rsid w:val="001F750C"/>
    <w:rsid w:val="00214284"/>
    <w:rsid w:val="002873C5"/>
    <w:rsid w:val="00292BC6"/>
    <w:rsid w:val="002A0A11"/>
    <w:rsid w:val="002D3E2D"/>
    <w:rsid w:val="002D63A3"/>
    <w:rsid w:val="002F53A0"/>
    <w:rsid w:val="002F554A"/>
    <w:rsid w:val="00305E4E"/>
    <w:rsid w:val="00324510"/>
    <w:rsid w:val="003315CB"/>
    <w:rsid w:val="00333082"/>
    <w:rsid w:val="003350E2"/>
    <w:rsid w:val="003366A0"/>
    <w:rsid w:val="00341A76"/>
    <w:rsid w:val="00344A12"/>
    <w:rsid w:val="00393BFF"/>
    <w:rsid w:val="003B2BEF"/>
    <w:rsid w:val="003D0788"/>
    <w:rsid w:val="003D705C"/>
    <w:rsid w:val="003E08B2"/>
    <w:rsid w:val="003E2B04"/>
    <w:rsid w:val="003F36C6"/>
    <w:rsid w:val="00407725"/>
    <w:rsid w:val="00423C38"/>
    <w:rsid w:val="00433B40"/>
    <w:rsid w:val="00452902"/>
    <w:rsid w:val="00475CEA"/>
    <w:rsid w:val="00496468"/>
    <w:rsid w:val="004A3BD8"/>
    <w:rsid w:val="004A511F"/>
    <w:rsid w:val="004A565A"/>
    <w:rsid w:val="004C2BFD"/>
    <w:rsid w:val="004E285F"/>
    <w:rsid w:val="005040F8"/>
    <w:rsid w:val="00513DED"/>
    <w:rsid w:val="005507E4"/>
    <w:rsid w:val="00551144"/>
    <w:rsid w:val="00557FF8"/>
    <w:rsid w:val="00567989"/>
    <w:rsid w:val="00567C7A"/>
    <w:rsid w:val="00590CE0"/>
    <w:rsid w:val="00593B6F"/>
    <w:rsid w:val="00594ED6"/>
    <w:rsid w:val="005A74DD"/>
    <w:rsid w:val="005C7FA5"/>
    <w:rsid w:val="005D1F94"/>
    <w:rsid w:val="005E15D8"/>
    <w:rsid w:val="005F43F0"/>
    <w:rsid w:val="006030B6"/>
    <w:rsid w:val="00607AE6"/>
    <w:rsid w:val="00630601"/>
    <w:rsid w:val="00660965"/>
    <w:rsid w:val="00673251"/>
    <w:rsid w:val="006A7B52"/>
    <w:rsid w:val="006C360D"/>
    <w:rsid w:val="006C3ECF"/>
    <w:rsid w:val="006D0CE9"/>
    <w:rsid w:val="006D166F"/>
    <w:rsid w:val="006D5EDF"/>
    <w:rsid w:val="007155E8"/>
    <w:rsid w:val="00720F3F"/>
    <w:rsid w:val="00724B4C"/>
    <w:rsid w:val="00757898"/>
    <w:rsid w:val="007604C5"/>
    <w:rsid w:val="007B7CF7"/>
    <w:rsid w:val="007D21CE"/>
    <w:rsid w:val="007F5CEC"/>
    <w:rsid w:val="007F6E91"/>
    <w:rsid w:val="0080512A"/>
    <w:rsid w:val="008068F0"/>
    <w:rsid w:val="00806B47"/>
    <w:rsid w:val="00807A98"/>
    <w:rsid w:val="0082774C"/>
    <w:rsid w:val="00831051"/>
    <w:rsid w:val="008421F8"/>
    <w:rsid w:val="00852DE3"/>
    <w:rsid w:val="008552A5"/>
    <w:rsid w:val="008570F2"/>
    <w:rsid w:val="008573B9"/>
    <w:rsid w:val="00886A04"/>
    <w:rsid w:val="0089151E"/>
    <w:rsid w:val="008932FE"/>
    <w:rsid w:val="008A1FE4"/>
    <w:rsid w:val="008B0F25"/>
    <w:rsid w:val="008C3555"/>
    <w:rsid w:val="008E3766"/>
    <w:rsid w:val="008F166B"/>
    <w:rsid w:val="008F2A4C"/>
    <w:rsid w:val="008F2A9C"/>
    <w:rsid w:val="009045BE"/>
    <w:rsid w:val="009200B3"/>
    <w:rsid w:val="00945A3B"/>
    <w:rsid w:val="0096451B"/>
    <w:rsid w:val="00966C4E"/>
    <w:rsid w:val="009912BE"/>
    <w:rsid w:val="009A7508"/>
    <w:rsid w:val="009B7FFD"/>
    <w:rsid w:val="009C385F"/>
    <w:rsid w:val="009F4005"/>
    <w:rsid w:val="009F4FBE"/>
    <w:rsid w:val="00A42209"/>
    <w:rsid w:val="00A42B91"/>
    <w:rsid w:val="00A5038F"/>
    <w:rsid w:val="00A62C60"/>
    <w:rsid w:val="00A8050F"/>
    <w:rsid w:val="00A81933"/>
    <w:rsid w:val="00AA7FCB"/>
    <w:rsid w:val="00AE216D"/>
    <w:rsid w:val="00B44F39"/>
    <w:rsid w:val="00B470D4"/>
    <w:rsid w:val="00B54E80"/>
    <w:rsid w:val="00B9193A"/>
    <w:rsid w:val="00B93458"/>
    <w:rsid w:val="00BB6EBA"/>
    <w:rsid w:val="00BD4E70"/>
    <w:rsid w:val="00BE534F"/>
    <w:rsid w:val="00BE6494"/>
    <w:rsid w:val="00BF1157"/>
    <w:rsid w:val="00C13F1C"/>
    <w:rsid w:val="00C17DD0"/>
    <w:rsid w:val="00C32BDA"/>
    <w:rsid w:val="00C400FB"/>
    <w:rsid w:val="00C43DFB"/>
    <w:rsid w:val="00C50122"/>
    <w:rsid w:val="00C52D5F"/>
    <w:rsid w:val="00C53808"/>
    <w:rsid w:val="00C73721"/>
    <w:rsid w:val="00C7602A"/>
    <w:rsid w:val="00C81ADC"/>
    <w:rsid w:val="00C8636F"/>
    <w:rsid w:val="00C97321"/>
    <w:rsid w:val="00CF3DDA"/>
    <w:rsid w:val="00CF47F9"/>
    <w:rsid w:val="00D00732"/>
    <w:rsid w:val="00D15182"/>
    <w:rsid w:val="00D266F3"/>
    <w:rsid w:val="00D32023"/>
    <w:rsid w:val="00D340DE"/>
    <w:rsid w:val="00D3446C"/>
    <w:rsid w:val="00D50CB3"/>
    <w:rsid w:val="00D52785"/>
    <w:rsid w:val="00DC5CE2"/>
    <w:rsid w:val="00DE31AB"/>
    <w:rsid w:val="00DF048D"/>
    <w:rsid w:val="00E02F57"/>
    <w:rsid w:val="00E106B6"/>
    <w:rsid w:val="00E1255B"/>
    <w:rsid w:val="00E21883"/>
    <w:rsid w:val="00E25621"/>
    <w:rsid w:val="00E25AE5"/>
    <w:rsid w:val="00E30D2D"/>
    <w:rsid w:val="00E34254"/>
    <w:rsid w:val="00E519CB"/>
    <w:rsid w:val="00E57DF4"/>
    <w:rsid w:val="00E95505"/>
    <w:rsid w:val="00EB69C3"/>
    <w:rsid w:val="00EC0489"/>
    <w:rsid w:val="00EC3B9B"/>
    <w:rsid w:val="00EC5F3C"/>
    <w:rsid w:val="00ED380E"/>
    <w:rsid w:val="00EE3704"/>
    <w:rsid w:val="00F138C1"/>
    <w:rsid w:val="00F2280C"/>
    <w:rsid w:val="00F45950"/>
    <w:rsid w:val="00F52C15"/>
    <w:rsid w:val="00FA1899"/>
    <w:rsid w:val="00FA25E9"/>
    <w:rsid w:val="00FA5ADF"/>
    <w:rsid w:val="00FA695C"/>
    <w:rsid w:val="00FB6EE0"/>
    <w:rsid w:val="00FD175C"/>
    <w:rsid w:val="00FE6EA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33EE"/>
  <w14:defaultImageDpi w14:val="32767"/>
  <w15:chartTrackingRefBased/>
  <w15:docId w15:val="{B1D0D41A-8C72-DB48-B317-C58FC136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97"/>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FF"/>
    <w:pPr>
      <w:ind w:left="720"/>
      <w:contextualSpacing/>
    </w:pPr>
  </w:style>
  <w:style w:type="paragraph" w:styleId="BalloonText">
    <w:name w:val="Balloon Text"/>
    <w:basedOn w:val="Normal"/>
    <w:link w:val="BalloonTextChar"/>
    <w:uiPriority w:val="99"/>
    <w:semiHidden/>
    <w:unhideWhenUsed/>
    <w:rsid w:val="00002D36"/>
    <w:rPr>
      <w:sz w:val="18"/>
      <w:szCs w:val="18"/>
    </w:rPr>
  </w:style>
  <w:style w:type="character" w:customStyle="1" w:styleId="BalloonTextChar">
    <w:name w:val="Balloon Text Char"/>
    <w:basedOn w:val="DefaultParagraphFont"/>
    <w:link w:val="BalloonText"/>
    <w:uiPriority w:val="99"/>
    <w:semiHidden/>
    <w:rsid w:val="00002D36"/>
    <w:rPr>
      <w:rFonts w:ascii="Times New Roman" w:eastAsia="Times New Roman" w:hAnsi="Times New Roman" w:cs="Times New Roman"/>
      <w:sz w:val="18"/>
      <w:szCs w:val="18"/>
      <w:lang w:val="en-GB"/>
    </w:rPr>
  </w:style>
  <w:style w:type="character" w:styleId="Hyperlink">
    <w:name w:val="Hyperlink"/>
    <w:basedOn w:val="DefaultParagraphFont"/>
    <w:uiPriority w:val="99"/>
    <w:rsid w:val="00F45950"/>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Ref,R"/>
    <w:link w:val="CharChar1CharCharCharChar1CharCharCharCharCharCharCharCharCharCharCharCharCharCharCharChar"/>
    <w:uiPriority w:val="99"/>
    <w:qFormat/>
    <w:rsid w:val="00F45950"/>
    <w:rPr>
      <w:vertAlign w:val="superscript"/>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Ca"/>
    <w:basedOn w:val="Normal"/>
    <w:link w:val="FootnoteTextChar"/>
    <w:unhideWhenUsed/>
    <w:qFormat/>
    <w:rsid w:val="00F45950"/>
    <w:rPr>
      <w:lang w:val="it-IT" w:eastAsia="it-IT"/>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rsid w:val="00F45950"/>
    <w:rPr>
      <w:rFonts w:ascii="Times New Roman" w:eastAsia="Times New Roman" w:hAnsi="Times New Roman" w:cs="Times New Roman"/>
      <w:sz w:val="20"/>
      <w:szCs w:val="20"/>
      <w:lang w:eastAsia="it-I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F45950"/>
    <w:pPr>
      <w:spacing w:after="160" w:line="240" w:lineRule="exact"/>
    </w:pPr>
    <w:rPr>
      <w:rFonts w:asciiTheme="minorHAnsi" w:eastAsiaTheme="minorHAnsi" w:hAnsiTheme="minorHAnsi" w:cstheme="minorBidi"/>
      <w:sz w:val="24"/>
      <w:szCs w:val="24"/>
      <w:vertAlign w:val="superscript"/>
      <w:lang w:val="it-IT"/>
    </w:rPr>
  </w:style>
  <w:style w:type="paragraph" w:styleId="NoSpacing">
    <w:name w:val="No Spacing"/>
    <w:uiPriority w:val="1"/>
    <w:qFormat/>
    <w:rsid w:val="00567C7A"/>
    <w:rPr>
      <w:rFonts w:ascii="Times New Roman" w:eastAsia="Times New Roman" w:hAnsi="Times New Roman" w:cs="Times New Roman"/>
      <w:lang w:eastAsia="it-IT"/>
    </w:rPr>
  </w:style>
  <w:style w:type="paragraph" w:styleId="NormalWeb">
    <w:name w:val="Normal (Web)"/>
    <w:basedOn w:val="Normal"/>
    <w:uiPriority w:val="99"/>
    <w:unhideWhenUsed/>
    <w:rsid w:val="005507E4"/>
    <w:pPr>
      <w:spacing w:before="100" w:beforeAutospacing="1" w:after="100" w:afterAutospacing="1"/>
    </w:pPr>
    <w:rPr>
      <w:sz w:val="24"/>
      <w:szCs w:val="24"/>
      <w:lang w:val="it-IT" w:eastAsia="it-IT"/>
    </w:rPr>
  </w:style>
  <w:style w:type="character" w:styleId="FollowedHyperlink">
    <w:name w:val="FollowedHyperlink"/>
    <w:basedOn w:val="DefaultParagraphFont"/>
    <w:uiPriority w:val="99"/>
    <w:semiHidden/>
    <w:unhideWhenUsed/>
    <w:rsid w:val="005F43F0"/>
    <w:rPr>
      <w:color w:val="954F72" w:themeColor="followedHyperlink"/>
      <w:u w:val="single"/>
    </w:rPr>
  </w:style>
  <w:style w:type="character" w:customStyle="1" w:styleId="UnresolvedMention">
    <w:name w:val="Unresolved Mention"/>
    <w:basedOn w:val="DefaultParagraphFont"/>
    <w:uiPriority w:val="99"/>
    <w:rsid w:val="003350E2"/>
    <w:rPr>
      <w:color w:val="605E5C"/>
      <w:shd w:val="clear" w:color="auto" w:fill="E1DFDD"/>
    </w:rPr>
  </w:style>
  <w:style w:type="character" w:styleId="CommentReference">
    <w:name w:val="annotation reference"/>
    <w:basedOn w:val="DefaultParagraphFont"/>
    <w:uiPriority w:val="99"/>
    <w:semiHidden/>
    <w:unhideWhenUsed/>
    <w:rsid w:val="0089151E"/>
    <w:rPr>
      <w:sz w:val="16"/>
      <w:szCs w:val="16"/>
    </w:rPr>
  </w:style>
  <w:style w:type="paragraph" w:styleId="CommentText">
    <w:name w:val="annotation text"/>
    <w:basedOn w:val="Normal"/>
    <w:link w:val="CommentTextChar"/>
    <w:uiPriority w:val="99"/>
    <w:semiHidden/>
    <w:unhideWhenUsed/>
    <w:rsid w:val="0089151E"/>
  </w:style>
  <w:style w:type="character" w:customStyle="1" w:styleId="CommentTextChar">
    <w:name w:val="Comment Text Char"/>
    <w:basedOn w:val="DefaultParagraphFont"/>
    <w:link w:val="CommentText"/>
    <w:uiPriority w:val="99"/>
    <w:semiHidden/>
    <w:rsid w:val="0089151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9151E"/>
    <w:rPr>
      <w:b/>
      <w:bCs/>
    </w:rPr>
  </w:style>
  <w:style w:type="character" w:customStyle="1" w:styleId="CommentSubjectChar">
    <w:name w:val="Comment Subject Char"/>
    <w:basedOn w:val="CommentTextChar"/>
    <w:link w:val="CommentSubject"/>
    <w:uiPriority w:val="99"/>
    <w:semiHidden/>
    <w:rsid w:val="0089151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190">
      <w:bodyDiv w:val="1"/>
      <w:marLeft w:val="0"/>
      <w:marRight w:val="0"/>
      <w:marTop w:val="0"/>
      <w:marBottom w:val="0"/>
      <w:divBdr>
        <w:top w:val="none" w:sz="0" w:space="0" w:color="auto"/>
        <w:left w:val="none" w:sz="0" w:space="0" w:color="auto"/>
        <w:bottom w:val="none" w:sz="0" w:space="0" w:color="auto"/>
        <w:right w:val="none" w:sz="0" w:space="0" w:color="auto"/>
      </w:divBdr>
    </w:div>
    <w:div w:id="285815397">
      <w:bodyDiv w:val="1"/>
      <w:marLeft w:val="0"/>
      <w:marRight w:val="0"/>
      <w:marTop w:val="0"/>
      <w:marBottom w:val="0"/>
      <w:divBdr>
        <w:top w:val="none" w:sz="0" w:space="0" w:color="auto"/>
        <w:left w:val="none" w:sz="0" w:space="0" w:color="auto"/>
        <w:bottom w:val="none" w:sz="0" w:space="0" w:color="auto"/>
        <w:right w:val="none" w:sz="0" w:space="0" w:color="auto"/>
      </w:divBdr>
    </w:div>
    <w:div w:id="435295037">
      <w:bodyDiv w:val="1"/>
      <w:marLeft w:val="0"/>
      <w:marRight w:val="0"/>
      <w:marTop w:val="0"/>
      <w:marBottom w:val="0"/>
      <w:divBdr>
        <w:top w:val="none" w:sz="0" w:space="0" w:color="auto"/>
        <w:left w:val="none" w:sz="0" w:space="0" w:color="auto"/>
        <w:bottom w:val="none" w:sz="0" w:space="0" w:color="auto"/>
        <w:right w:val="none" w:sz="0" w:space="0" w:color="auto"/>
      </w:divBdr>
    </w:div>
    <w:div w:id="777338702">
      <w:bodyDiv w:val="1"/>
      <w:marLeft w:val="0"/>
      <w:marRight w:val="0"/>
      <w:marTop w:val="0"/>
      <w:marBottom w:val="0"/>
      <w:divBdr>
        <w:top w:val="none" w:sz="0" w:space="0" w:color="auto"/>
        <w:left w:val="none" w:sz="0" w:space="0" w:color="auto"/>
        <w:bottom w:val="none" w:sz="0" w:space="0" w:color="auto"/>
        <w:right w:val="none" w:sz="0" w:space="0" w:color="auto"/>
      </w:divBdr>
    </w:div>
    <w:div w:id="820267141">
      <w:bodyDiv w:val="1"/>
      <w:marLeft w:val="0"/>
      <w:marRight w:val="0"/>
      <w:marTop w:val="0"/>
      <w:marBottom w:val="0"/>
      <w:divBdr>
        <w:top w:val="none" w:sz="0" w:space="0" w:color="auto"/>
        <w:left w:val="none" w:sz="0" w:space="0" w:color="auto"/>
        <w:bottom w:val="none" w:sz="0" w:space="0" w:color="auto"/>
        <w:right w:val="none" w:sz="0" w:space="0" w:color="auto"/>
      </w:divBdr>
    </w:div>
    <w:div w:id="835606986">
      <w:bodyDiv w:val="1"/>
      <w:marLeft w:val="0"/>
      <w:marRight w:val="0"/>
      <w:marTop w:val="0"/>
      <w:marBottom w:val="0"/>
      <w:divBdr>
        <w:top w:val="none" w:sz="0" w:space="0" w:color="auto"/>
        <w:left w:val="none" w:sz="0" w:space="0" w:color="auto"/>
        <w:bottom w:val="none" w:sz="0" w:space="0" w:color="auto"/>
        <w:right w:val="none" w:sz="0" w:space="0" w:color="auto"/>
      </w:divBdr>
    </w:div>
    <w:div w:id="1822232257">
      <w:bodyDiv w:val="1"/>
      <w:marLeft w:val="0"/>
      <w:marRight w:val="0"/>
      <w:marTop w:val="0"/>
      <w:marBottom w:val="0"/>
      <w:divBdr>
        <w:top w:val="none" w:sz="0" w:space="0" w:color="auto"/>
        <w:left w:val="none" w:sz="0" w:space="0" w:color="auto"/>
        <w:bottom w:val="none" w:sz="0" w:space="0" w:color="auto"/>
        <w:right w:val="none" w:sz="0" w:space="0" w:color="auto"/>
      </w:divBdr>
    </w:div>
    <w:div w:id="18613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zan.org/en/uploads/files/1605008575924.pdf"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bc852e.pdf" TargetMode="External"/><Relationship Id="rId3" Type="http://schemas.openxmlformats.org/officeDocument/2006/relationships/hyperlink" Target="https://www.who.int/water_sanitation_health/diseases-risks/diseases/en/" TargetMode="External"/><Relationship Id="rId7" Type="http://schemas.openxmlformats.org/officeDocument/2006/relationships/hyperlink" Target="https://undocs.org/A/RES/70/1" TargetMode="External"/><Relationship Id="rId2" Type="http://schemas.openxmlformats.org/officeDocument/2006/relationships/hyperlink" Target="https://www.unicef.org/stories/unicef-seawater-desalination-plant-helps-head-gaza-water-crisis" TargetMode="External"/><Relationship Id="rId1" Type="http://schemas.openxmlformats.org/officeDocument/2006/relationships/hyperlink" Target="https://www.ochaopt.org/content/study-warns-water-sanitation-crisis-gaza-may-cause-disease-outbreak-and-possible-epidemic" TargetMode="External"/><Relationship Id="rId6" Type="http://schemas.openxmlformats.org/officeDocument/2006/relationships/hyperlink" Target="https://www.etoconsortium.org/nc/en/main-navigation/library/maastricht-principles/?tx_drblob_pi1%5BdownloadUid%5D=23" TargetMode="External"/><Relationship Id="rId5" Type="http://schemas.openxmlformats.org/officeDocument/2006/relationships/hyperlink" Target="https://www.facebook.com/environmentquality/" TargetMode="External"/><Relationship Id="rId4" Type="http://schemas.openxmlformats.org/officeDocument/2006/relationships/hyperlink" Target="http://mezan.org/en/post/238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5D930D-95AE-8043-A093-DCE528C2DB1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2CEFE7-99D3-4F51-8BFD-70F7B5BC8259}">
  <ds:schemaRefs>
    <ds:schemaRef ds:uri="http://schemas.openxmlformats.org/officeDocument/2006/bibliography"/>
  </ds:schemaRefs>
</ds:datastoreItem>
</file>

<file path=customXml/itemProps2.xml><?xml version="1.0" encoding="utf-8"?>
<ds:datastoreItem xmlns:ds="http://schemas.openxmlformats.org/officeDocument/2006/customXml" ds:itemID="{2128E3B1-8D0D-4141-963E-7B688E141CD4}"/>
</file>

<file path=customXml/itemProps3.xml><?xml version="1.0" encoding="utf-8"?>
<ds:datastoreItem xmlns:ds="http://schemas.openxmlformats.org/officeDocument/2006/customXml" ds:itemID="{0A76DF17-CA91-433B-BE11-17B726B574C0}"/>
</file>

<file path=customXml/itemProps4.xml><?xml version="1.0" encoding="utf-8"?>
<ds:datastoreItem xmlns:ds="http://schemas.openxmlformats.org/officeDocument/2006/customXml" ds:itemID="{50B5F010-2EE9-429D-8C16-103B97767D57}"/>
</file>

<file path=docProps/app.xml><?xml version="1.0" encoding="utf-8"?>
<Properties xmlns="http://schemas.openxmlformats.org/officeDocument/2006/extended-properties" xmlns:vt="http://schemas.openxmlformats.org/officeDocument/2006/docPropsVTypes">
  <Template>Normal.dotm</Template>
  <TotalTime>0</TotalTime>
  <Pages>1</Pages>
  <Words>1393</Words>
  <Characters>7942</Characters>
  <Application>Microsoft Office Word</Application>
  <DocSecurity>0</DocSecurity>
  <Lines>66</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Marini</dc:creator>
  <cp:keywords/>
  <dc:description/>
  <cp:lastModifiedBy>ABERG Viktoria</cp:lastModifiedBy>
  <cp:revision>1</cp:revision>
  <dcterms:created xsi:type="dcterms:W3CDTF">2020-11-20T12:21:00Z</dcterms:created>
  <dcterms:modified xsi:type="dcterms:W3CDTF">2020-11-20T12:21:00Z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documentId_1017</vt:lpwstr>
  </property>
  <property fmtid="{D5CDD505-2E9C-101B-9397-08002B2CF9AE}" pid="3" name="grammarly_documentContext">
    <vt:lpwstr>{"goals":[],"domain":"general","emotions":[],"dialect":"american"}</vt:lpwstr>
  </property>
  <property fmtid="{D5CDD505-2E9C-101B-9397-08002B2CF9AE}" pid="4" name="ContentTypeId">
    <vt:lpwstr>0x0101008822B9E06671B54FA89F14538B9B0FEA</vt:lpwstr>
  </property>
</Properties>
</file>