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28" w:rsidRDefault="0022420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Malaysian Stakeholder Response to Call for Inputs from the UN Special Rapporteur on the Issue of H</w:t>
      </w:r>
      <w:r>
        <w:rPr>
          <w:rFonts w:ascii="Times New Roman" w:hAnsi="Times New Roman"/>
          <w:b/>
          <w:bCs/>
          <w:sz w:val="24"/>
          <w:szCs w:val="24"/>
        </w:rPr>
        <w:t xml:space="preserve">uman </w:t>
      </w:r>
      <w:r>
        <w:rPr>
          <w:rFonts w:ascii="Times New Roman" w:hAnsi="Times New Roman"/>
          <w:b/>
          <w:bCs/>
          <w:sz w:val="24"/>
          <w:szCs w:val="24"/>
        </w:rPr>
        <w:t>Rights O</w:t>
      </w:r>
      <w:r>
        <w:rPr>
          <w:rFonts w:ascii="Times New Roman" w:hAnsi="Times New Roman"/>
          <w:b/>
          <w:bCs/>
          <w:sz w:val="24"/>
          <w:szCs w:val="24"/>
          <w:lang w:val="fr-FR"/>
        </w:rPr>
        <w:t xml:space="preserve">bligations </w:t>
      </w:r>
      <w:r>
        <w:rPr>
          <w:rFonts w:ascii="Times New Roman" w:hAnsi="Times New Roman"/>
          <w:b/>
          <w:bCs/>
          <w:sz w:val="24"/>
          <w:szCs w:val="24"/>
        </w:rPr>
        <w:t>Relating to the Enjoyment of a Safe, Clean, Healthy and S</w:t>
      </w:r>
      <w:r>
        <w:rPr>
          <w:rFonts w:ascii="Times New Roman" w:hAnsi="Times New Roman"/>
          <w:b/>
          <w:bCs/>
          <w:sz w:val="24"/>
          <w:szCs w:val="24"/>
        </w:rPr>
        <w:t xml:space="preserve">ustainable </w:t>
      </w:r>
      <w:r>
        <w:rPr>
          <w:rFonts w:ascii="Times New Roman" w:hAnsi="Times New Roman"/>
          <w:b/>
          <w:bCs/>
          <w:sz w:val="24"/>
          <w:szCs w:val="24"/>
        </w:rPr>
        <w:t>Environment</w:t>
      </w:r>
    </w:p>
    <w:p w:rsidR="00D82F28" w:rsidRDefault="00D82F28">
      <w:pPr>
        <w:pStyle w:val="Body"/>
        <w:jc w:val="both"/>
        <w:rPr>
          <w:rFonts w:ascii="Times New Roman" w:eastAsia="Times New Roman" w:hAnsi="Times New Roman" w:cs="Times New Roman"/>
          <w:b/>
          <w:bCs/>
          <w:sz w:val="24"/>
          <w:szCs w:val="24"/>
        </w:rPr>
      </w:pPr>
    </w:p>
    <w:p w:rsidR="00D82F28" w:rsidRDefault="00D82F28">
      <w:pPr>
        <w:pStyle w:val="Body"/>
        <w:jc w:val="both"/>
        <w:rPr>
          <w:rFonts w:ascii="Times New Roman" w:eastAsia="Times New Roman" w:hAnsi="Times New Roman" w:cs="Times New Roman"/>
          <w:b/>
          <w:bCs/>
          <w:sz w:val="24"/>
          <w:szCs w:val="24"/>
        </w:rPr>
      </w:pPr>
    </w:p>
    <w:p w:rsidR="00D82F28" w:rsidRDefault="0022420A">
      <w:pPr>
        <w:pStyle w:val="Body"/>
        <w:jc w:val="both"/>
        <w:rPr>
          <w:rFonts w:ascii="Times New Roman" w:eastAsia="Times New Roman" w:hAnsi="Times New Roman" w:cs="Times New Roman"/>
          <w:i/>
          <w:iCs/>
          <w:sz w:val="24"/>
          <w:szCs w:val="24"/>
        </w:rPr>
      </w:pPr>
      <w:r>
        <w:rPr>
          <w:rFonts w:ascii="Times New Roman" w:hAnsi="Times New Roman"/>
          <w:i/>
          <w:iCs/>
          <w:sz w:val="24"/>
          <w:szCs w:val="24"/>
        </w:rPr>
        <w:t>Responses to selected questions</w:t>
      </w:r>
      <w:r>
        <w:rPr>
          <w:rFonts w:ascii="Times New Roman" w:hAnsi="Times New Roman"/>
          <w:sz w:val="24"/>
          <w:szCs w:val="24"/>
        </w:rPr>
        <w:t>:</w:t>
      </w:r>
    </w:p>
    <w:p w:rsidR="00D82F28" w:rsidRDefault="00D82F28">
      <w:pPr>
        <w:pStyle w:val="Body"/>
        <w:jc w:val="both"/>
        <w:rPr>
          <w:rFonts w:ascii="Times New Roman" w:eastAsia="Times New Roman" w:hAnsi="Times New Roman" w:cs="Times New Roman"/>
          <w:b/>
          <w:bCs/>
          <w:sz w:val="24"/>
          <w:szCs w:val="24"/>
        </w:rPr>
      </w:pPr>
    </w:p>
    <w:p w:rsidR="00D82F28" w:rsidRDefault="0022420A">
      <w:pPr>
        <w:pStyle w:val="Body"/>
        <w:jc w:val="both"/>
        <w:rPr>
          <w:rFonts w:ascii="Times New Roman" w:eastAsia="Times New Roman" w:hAnsi="Times New Roman" w:cs="Times New Roman"/>
          <w:b/>
          <w:bCs/>
          <w:sz w:val="24"/>
          <w:szCs w:val="24"/>
        </w:rPr>
      </w:pPr>
      <w:r>
        <w:rPr>
          <w:rFonts w:ascii="Times New Roman" w:hAnsi="Times New Roman"/>
          <w:b/>
          <w:bCs/>
          <w:sz w:val="24"/>
          <w:szCs w:val="24"/>
        </w:rPr>
        <w:t>Question 1</w:t>
      </w:r>
    </w:p>
    <w:p w:rsidR="00D82F28" w:rsidRDefault="00D82F28">
      <w:pPr>
        <w:pStyle w:val="Body"/>
        <w:jc w:val="both"/>
        <w:rPr>
          <w:rFonts w:ascii="Times New Roman" w:eastAsia="Times New Roman" w:hAnsi="Times New Roman" w:cs="Times New Roman"/>
          <w:b/>
          <w:bCs/>
          <w:sz w:val="24"/>
          <w:szCs w:val="24"/>
        </w:rPr>
      </w:pPr>
    </w:p>
    <w:p w:rsidR="00D82F28" w:rsidRDefault="0022420A">
      <w:pPr>
        <w:pStyle w:val="Body"/>
        <w:jc w:val="both"/>
        <w:rPr>
          <w:rFonts w:ascii="Times New Roman" w:eastAsia="Times New Roman" w:hAnsi="Times New Roman" w:cs="Times New Roman"/>
          <w:b/>
          <w:bCs/>
          <w:sz w:val="24"/>
          <w:szCs w:val="24"/>
        </w:rPr>
      </w:pPr>
      <w:r>
        <w:rPr>
          <w:rFonts w:ascii="Times New Roman" w:hAnsi="Times New Roman"/>
          <w:b/>
          <w:bCs/>
          <w:sz w:val="24"/>
          <w:szCs w:val="24"/>
        </w:rPr>
        <w:t>Please provide examples of ways in which water pollution, water scarcity and floods are having adverse impacts on human rights. Adversely affected rights could include, among others, the rights to life, health, water and sanitation, food, culture, liveliho</w:t>
      </w:r>
      <w:r>
        <w:rPr>
          <w:rFonts w:ascii="Times New Roman" w:hAnsi="Times New Roman"/>
          <w:b/>
          <w:bCs/>
          <w:sz w:val="24"/>
          <w:szCs w:val="24"/>
        </w:rPr>
        <w:t>ods, non-discrimination, a safe, clean, healthy and sustainable environment, and indigenous peoples</w:t>
      </w:r>
      <w:r>
        <w:rPr>
          <w:rFonts w:ascii="Times New Roman" w:hAnsi="Times New Roman"/>
          <w:b/>
          <w:bCs/>
          <w:sz w:val="24"/>
          <w:szCs w:val="24"/>
        </w:rPr>
        <w:t xml:space="preserve">’ </w:t>
      </w:r>
      <w:r>
        <w:rPr>
          <w:rFonts w:ascii="Times New Roman" w:hAnsi="Times New Roman"/>
          <w:b/>
          <w:bCs/>
          <w:sz w:val="24"/>
          <w:szCs w:val="24"/>
        </w:rPr>
        <w:t xml:space="preserve">rights. </w:t>
      </w:r>
    </w:p>
    <w:p w:rsidR="00D82F28" w:rsidRDefault="00D82F28">
      <w:pPr>
        <w:pStyle w:val="Body"/>
        <w:jc w:val="both"/>
        <w:rPr>
          <w:rFonts w:ascii="Times New Roman" w:eastAsia="Times New Roman" w:hAnsi="Times New Roman" w:cs="Times New Roman"/>
          <w:b/>
          <w:bCs/>
          <w:sz w:val="24"/>
          <w:szCs w:val="24"/>
        </w:rPr>
      </w:pPr>
    </w:p>
    <w:p w:rsidR="00D82F28" w:rsidRDefault="0022420A">
      <w:pPr>
        <w:pStyle w:val="Body"/>
        <w:jc w:val="both"/>
        <w:rPr>
          <w:rFonts w:ascii="Times New Roman" w:eastAsia="Times New Roman" w:hAnsi="Times New Roman" w:cs="Times New Roman"/>
          <w:sz w:val="24"/>
          <w:szCs w:val="24"/>
        </w:rPr>
      </w:pPr>
      <w:r>
        <w:rPr>
          <w:rFonts w:ascii="Times New Roman" w:hAnsi="Times New Roman"/>
          <w:sz w:val="24"/>
          <w:szCs w:val="24"/>
        </w:rPr>
        <w:t>Water pollution in Malaysia has had a significant impact on human rights in recent years.</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The most recently available estimates from Malaysia</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 xml:space="preserve">Environment Ministry from 2018 classified 8% of surveyed rivers as </w:t>
      </w:r>
      <w:r>
        <w:rPr>
          <w:rFonts w:ascii="Times New Roman" w:hAnsi="Times New Roman"/>
          <w:sz w:val="24"/>
          <w:szCs w:val="24"/>
        </w:rPr>
        <w:t>‘</w:t>
      </w:r>
      <w:r>
        <w:rPr>
          <w:rFonts w:ascii="Times New Roman" w:hAnsi="Times New Roman"/>
          <w:sz w:val="24"/>
          <w:szCs w:val="24"/>
        </w:rPr>
        <w:t>polluted</w:t>
      </w:r>
      <w:r>
        <w:rPr>
          <w:rFonts w:ascii="Times New Roman" w:hAnsi="Times New Roman"/>
          <w:sz w:val="24"/>
          <w:szCs w:val="24"/>
        </w:rPr>
        <w:t>’</w:t>
      </w:r>
      <w:r>
        <w:rPr>
          <w:rFonts w:ascii="Times New Roman" w:hAnsi="Times New Roman"/>
          <w:sz w:val="24"/>
          <w:szCs w:val="24"/>
        </w:rPr>
        <w:t xml:space="preserve">, and 36% as </w:t>
      </w:r>
      <w:r>
        <w:rPr>
          <w:rFonts w:ascii="Times New Roman" w:hAnsi="Times New Roman"/>
          <w:sz w:val="24"/>
          <w:szCs w:val="24"/>
        </w:rPr>
        <w:t>‘</w:t>
      </w:r>
      <w:r>
        <w:rPr>
          <w:rFonts w:ascii="Times New Roman" w:hAnsi="Times New Roman"/>
          <w:sz w:val="24"/>
          <w:szCs w:val="24"/>
        </w:rPr>
        <w:t>slightly polluted</w:t>
      </w:r>
      <w:r>
        <w:rPr>
          <w:rFonts w:ascii="Times New Roman" w:hAnsi="Times New Roman"/>
          <w:sz w:val="24"/>
          <w:szCs w:val="24"/>
        </w:rPr>
        <w:t>’</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The Environment Ministry</w:t>
      </w:r>
      <w:r>
        <w:rPr>
          <w:rFonts w:ascii="Times New Roman" w:hAnsi="Times New Roman"/>
          <w:sz w:val="24"/>
          <w:szCs w:val="24"/>
        </w:rPr>
        <w:t>’</w:t>
      </w:r>
      <w:r>
        <w:rPr>
          <w:rFonts w:ascii="Times New Roman" w:hAnsi="Times New Roman"/>
          <w:sz w:val="24"/>
          <w:szCs w:val="24"/>
        </w:rPr>
        <w:t xml:space="preserve">s analysis suggested that chief contributors to river pollution may be inadequately treated sewage, and runoff from </w:t>
      </w:r>
      <w:r>
        <w:rPr>
          <w:rFonts w:ascii="Times New Roman" w:hAnsi="Times New Roman"/>
          <w:sz w:val="24"/>
          <w:szCs w:val="24"/>
        </w:rPr>
        <w:t>land clearing activities, as well as agricultural and industrial waste.</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Since 2018, several major river pollution incidents have been documented, implicating human rights such as those to life, health, water, and a healthy environment. For example:</w:t>
      </w:r>
    </w:p>
    <w:p w:rsidR="00D82F28" w:rsidRDefault="00D82F28">
      <w:pPr>
        <w:pStyle w:val="Body"/>
        <w:jc w:val="both"/>
        <w:rPr>
          <w:rFonts w:ascii="Times New Roman" w:eastAsia="Times New Roman" w:hAnsi="Times New Roman" w:cs="Times New Roman"/>
          <w:sz w:val="24"/>
          <w:szCs w:val="24"/>
        </w:rPr>
      </w:pPr>
    </w:p>
    <w:p w:rsidR="00D82F28" w:rsidRDefault="0022420A">
      <w:pPr>
        <w:pStyle w:val="Body"/>
        <w:numPr>
          <w:ilvl w:val="0"/>
          <w:numId w:val="2"/>
        </w:numPr>
        <w:jc w:val="both"/>
        <w:rPr>
          <w:rFonts w:ascii="Times New Roman" w:hAnsi="Times New Roman"/>
          <w:sz w:val="24"/>
          <w:szCs w:val="24"/>
        </w:rPr>
      </w:pPr>
      <w:r>
        <w:rPr>
          <w:rFonts w:ascii="Times New Roman" w:hAnsi="Times New Roman"/>
          <w:sz w:val="24"/>
          <w:szCs w:val="24"/>
        </w:rPr>
        <w:t>Chemi</w:t>
      </w:r>
      <w:r>
        <w:rPr>
          <w:rFonts w:ascii="Times New Roman" w:hAnsi="Times New Roman"/>
          <w:sz w:val="24"/>
          <w:szCs w:val="24"/>
        </w:rPr>
        <w:t xml:space="preserve">cal dumping on 7 March 2019 into the Kim Kim River resulted in harmful fumes which led to </w:t>
      </w:r>
      <w:r>
        <w:rPr>
          <w:rFonts w:ascii="Times New Roman" w:hAnsi="Times New Roman"/>
          <w:sz w:val="24"/>
          <w:szCs w:val="24"/>
        </w:rPr>
        <w:t>5,848</w:t>
      </w:r>
      <w:r>
        <w:rPr>
          <w:rFonts w:ascii="Times New Roman" w:hAnsi="Times New Roman"/>
          <w:sz w:val="24"/>
          <w:szCs w:val="24"/>
        </w:rPr>
        <w:t xml:space="preserve"> individuals seeking medical treatment, and the closure of 111 schools for two weeks in the southern state of Johor;</w:t>
      </w:r>
      <w:r>
        <w:rPr>
          <w:rFonts w:ascii="Times New Roman" w:eastAsia="Times New Roman" w:hAnsi="Times New Roman" w:cs="Times New Roman"/>
          <w:sz w:val="24"/>
          <w:szCs w:val="24"/>
          <w:vertAlign w:val="superscript"/>
        </w:rPr>
        <w:footnoteReference w:id="5"/>
      </w:r>
    </w:p>
    <w:p w:rsidR="00D82F28" w:rsidRDefault="00D82F28">
      <w:pPr>
        <w:pStyle w:val="Body"/>
        <w:jc w:val="both"/>
        <w:rPr>
          <w:rFonts w:ascii="Times New Roman" w:eastAsia="Times New Roman" w:hAnsi="Times New Roman" w:cs="Times New Roman"/>
          <w:sz w:val="24"/>
          <w:szCs w:val="24"/>
        </w:rPr>
      </w:pPr>
    </w:p>
    <w:p w:rsidR="00D82F28" w:rsidRDefault="0022420A">
      <w:pPr>
        <w:pStyle w:val="Body"/>
        <w:numPr>
          <w:ilvl w:val="0"/>
          <w:numId w:val="2"/>
        </w:numPr>
        <w:jc w:val="both"/>
        <w:rPr>
          <w:rFonts w:ascii="Times New Roman" w:hAnsi="Times New Roman"/>
          <w:sz w:val="24"/>
          <w:szCs w:val="24"/>
        </w:rPr>
      </w:pPr>
      <w:r>
        <w:rPr>
          <w:rFonts w:ascii="Times New Roman" w:hAnsi="Times New Roman"/>
          <w:sz w:val="24"/>
          <w:szCs w:val="24"/>
        </w:rPr>
        <w:t>Between 19-24 July 2019, pollution dischar</w:t>
      </w:r>
      <w:r>
        <w:rPr>
          <w:rFonts w:ascii="Times New Roman" w:hAnsi="Times New Roman"/>
          <w:sz w:val="24"/>
          <w:szCs w:val="24"/>
        </w:rPr>
        <w:t>ged into the Liam and Selangor Rivers forced authorities to interrupt running water supply to almost five million users in Kuala Lumpur and the neighbouring state of Selangor;</w:t>
      </w:r>
      <w:r>
        <w:rPr>
          <w:rFonts w:ascii="Times New Roman" w:eastAsia="Times New Roman" w:hAnsi="Times New Roman" w:cs="Times New Roman"/>
          <w:sz w:val="24"/>
          <w:szCs w:val="24"/>
          <w:vertAlign w:val="superscript"/>
        </w:rPr>
        <w:footnoteReference w:id="6"/>
      </w:r>
    </w:p>
    <w:p w:rsidR="00D82F28" w:rsidRDefault="00D82F28">
      <w:pPr>
        <w:pStyle w:val="Body"/>
        <w:jc w:val="both"/>
        <w:rPr>
          <w:rFonts w:ascii="Times New Roman" w:eastAsia="Times New Roman" w:hAnsi="Times New Roman" w:cs="Times New Roman"/>
          <w:sz w:val="24"/>
          <w:szCs w:val="24"/>
        </w:rPr>
      </w:pPr>
    </w:p>
    <w:p w:rsidR="00D82F28" w:rsidRDefault="0022420A">
      <w:pPr>
        <w:pStyle w:val="Body"/>
        <w:numPr>
          <w:ilvl w:val="0"/>
          <w:numId w:val="2"/>
        </w:numPr>
        <w:jc w:val="both"/>
        <w:rPr>
          <w:rFonts w:ascii="Times New Roman" w:hAnsi="Times New Roman"/>
          <w:sz w:val="24"/>
          <w:szCs w:val="24"/>
        </w:rPr>
      </w:pPr>
      <w:r>
        <w:rPr>
          <w:rFonts w:ascii="Times New Roman" w:hAnsi="Times New Roman"/>
          <w:sz w:val="24"/>
          <w:szCs w:val="24"/>
        </w:rPr>
        <w:t>Between 19-23 October 2020, solvent pollution discharged into the Selangor Riv</w:t>
      </w:r>
      <w:r>
        <w:rPr>
          <w:rFonts w:ascii="Times New Roman" w:hAnsi="Times New Roman"/>
          <w:sz w:val="24"/>
          <w:szCs w:val="24"/>
        </w:rPr>
        <w:t xml:space="preserve">er forced an interruption of water supply to </w:t>
      </w:r>
      <w:r>
        <w:rPr>
          <w:rFonts w:ascii="Times New Roman" w:hAnsi="Times New Roman"/>
          <w:sz w:val="24"/>
          <w:szCs w:val="24"/>
        </w:rPr>
        <w:t>1,196,457</w:t>
      </w:r>
      <w:r>
        <w:rPr>
          <w:rFonts w:ascii="Times New Roman" w:hAnsi="Times New Roman"/>
          <w:sz w:val="24"/>
          <w:szCs w:val="24"/>
        </w:rPr>
        <w:t> </w:t>
      </w:r>
      <w:r>
        <w:rPr>
          <w:rFonts w:ascii="Times New Roman" w:hAnsi="Times New Roman"/>
          <w:sz w:val="24"/>
          <w:szCs w:val="24"/>
        </w:rPr>
        <w:t>premises in and around Kuala Lumpur;</w:t>
      </w:r>
      <w:r>
        <w:rPr>
          <w:rFonts w:ascii="Times New Roman" w:eastAsia="Times New Roman" w:hAnsi="Times New Roman" w:cs="Times New Roman"/>
          <w:sz w:val="24"/>
          <w:szCs w:val="24"/>
          <w:vertAlign w:val="superscript"/>
        </w:rPr>
        <w:footnoteReference w:id="7"/>
      </w:r>
    </w:p>
    <w:p w:rsidR="00D82F28" w:rsidRDefault="00D82F28">
      <w:pPr>
        <w:pStyle w:val="Body"/>
        <w:jc w:val="both"/>
        <w:rPr>
          <w:rFonts w:ascii="Times New Roman" w:eastAsia="Times New Roman" w:hAnsi="Times New Roman" w:cs="Times New Roman"/>
          <w:sz w:val="24"/>
          <w:szCs w:val="24"/>
        </w:rPr>
      </w:pPr>
    </w:p>
    <w:p w:rsidR="00D82F28" w:rsidRDefault="0022420A">
      <w:pPr>
        <w:pStyle w:val="Body"/>
        <w:jc w:val="both"/>
        <w:rPr>
          <w:rFonts w:ascii="Times New Roman" w:eastAsia="Times New Roman" w:hAnsi="Times New Roman" w:cs="Times New Roman"/>
          <w:sz w:val="24"/>
          <w:szCs w:val="24"/>
        </w:rPr>
      </w:pPr>
      <w:r>
        <w:rPr>
          <w:rFonts w:ascii="Times New Roman" w:hAnsi="Times New Roman"/>
          <w:sz w:val="24"/>
          <w:szCs w:val="24"/>
        </w:rPr>
        <w:t>Additionally, the Human Rights Commission of Malaysia has called attention to the issue of indigenous peoples</w:t>
      </w:r>
      <w:r>
        <w:rPr>
          <w:rFonts w:ascii="Times New Roman" w:hAnsi="Times New Roman"/>
          <w:sz w:val="24"/>
          <w:szCs w:val="24"/>
        </w:rPr>
        <w:t xml:space="preserve">’ </w:t>
      </w:r>
      <w:r>
        <w:rPr>
          <w:rFonts w:ascii="Times New Roman" w:hAnsi="Times New Roman"/>
          <w:sz w:val="24"/>
          <w:szCs w:val="24"/>
        </w:rPr>
        <w:t>rights to water resources. Indigenous communities h</w:t>
      </w:r>
      <w:r>
        <w:rPr>
          <w:rFonts w:ascii="Times New Roman" w:hAnsi="Times New Roman"/>
          <w:sz w:val="24"/>
          <w:szCs w:val="24"/>
        </w:rPr>
        <w:t>ave faced difficulties accessing water following resettlement in response to infrastructure projects,</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xml:space="preserve"> and have reported the pollution of water sources and the destruction of catchment areas by private businesses.</w:t>
      </w:r>
      <w:r>
        <w:rPr>
          <w:rFonts w:ascii="Times New Roman" w:eastAsia="Times New Roman" w:hAnsi="Times New Roman" w:cs="Times New Roman"/>
          <w:sz w:val="24"/>
          <w:szCs w:val="24"/>
          <w:vertAlign w:val="superscript"/>
        </w:rPr>
        <w:footnoteReference w:id="9"/>
      </w:r>
    </w:p>
    <w:p w:rsidR="00D82F28" w:rsidRDefault="00D82F28">
      <w:pPr>
        <w:pStyle w:val="Body"/>
        <w:jc w:val="both"/>
        <w:rPr>
          <w:rFonts w:ascii="Times New Roman" w:eastAsia="Times New Roman" w:hAnsi="Times New Roman" w:cs="Times New Roman"/>
          <w:b/>
          <w:bCs/>
          <w:sz w:val="24"/>
          <w:szCs w:val="24"/>
        </w:rPr>
      </w:pPr>
    </w:p>
    <w:p w:rsidR="00D82F28" w:rsidRDefault="0022420A">
      <w:pPr>
        <w:pStyle w:val="Body"/>
        <w:jc w:val="both"/>
        <w:rPr>
          <w:rFonts w:ascii="Times New Roman" w:eastAsia="Times New Roman" w:hAnsi="Times New Roman" w:cs="Times New Roman"/>
          <w:b/>
          <w:bCs/>
          <w:sz w:val="24"/>
          <w:szCs w:val="24"/>
        </w:rPr>
      </w:pPr>
      <w:r>
        <w:rPr>
          <w:rFonts w:ascii="Times New Roman" w:hAnsi="Times New Roman"/>
          <w:b/>
          <w:bCs/>
          <w:sz w:val="24"/>
          <w:szCs w:val="24"/>
        </w:rPr>
        <w:t>Question 2</w:t>
      </w:r>
    </w:p>
    <w:p w:rsidR="00D82F28" w:rsidRDefault="00D82F28">
      <w:pPr>
        <w:pStyle w:val="Body"/>
        <w:jc w:val="both"/>
        <w:rPr>
          <w:rFonts w:ascii="Times New Roman" w:eastAsia="Times New Roman" w:hAnsi="Times New Roman" w:cs="Times New Roman"/>
          <w:b/>
          <w:bCs/>
          <w:sz w:val="24"/>
          <w:szCs w:val="24"/>
        </w:rPr>
      </w:pPr>
    </w:p>
    <w:p w:rsidR="00D82F28" w:rsidRDefault="0022420A">
      <w:pPr>
        <w:pStyle w:val="Body"/>
        <w:jc w:val="both"/>
        <w:rPr>
          <w:rFonts w:ascii="Times New Roman" w:eastAsia="Times New Roman" w:hAnsi="Times New Roman" w:cs="Times New Roman"/>
          <w:b/>
          <w:bCs/>
          <w:sz w:val="24"/>
          <w:szCs w:val="24"/>
        </w:rPr>
      </w:pPr>
      <w:r>
        <w:rPr>
          <w:rFonts w:ascii="Times New Roman" w:hAnsi="Times New Roman"/>
          <w:b/>
          <w:bCs/>
          <w:sz w:val="24"/>
          <w:szCs w:val="24"/>
        </w:rPr>
        <w:t>How has climate change exace</w:t>
      </w:r>
      <w:r>
        <w:rPr>
          <w:rFonts w:ascii="Times New Roman" w:hAnsi="Times New Roman"/>
          <w:b/>
          <w:bCs/>
          <w:sz w:val="24"/>
          <w:szCs w:val="24"/>
        </w:rPr>
        <w:t>rbated water-related problems?</w:t>
      </w:r>
    </w:p>
    <w:p w:rsidR="00D82F28" w:rsidRDefault="00D82F28">
      <w:pPr>
        <w:pStyle w:val="Body"/>
        <w:jc w:val="both"/>
        <w:rPr>
          <w:rFonts w:ascii="Times New Roman" w:eastAsia="Times New Roman" w:hAnsi="Times New Roman" w:cs="Times New Roman"/>
          <w:b/>
          <w:bCs/>
          <w:sz w:val="24"/>
          <w:szCs w:val="24"/>
        </w:rPr>
      </w:pPr>
    </w:p>
    <w:p w:rsidR="00D82F28" w:rsidRDefault="0022420A">
      <w:pPr>
        <w:pStyle w:val="Body"/>
        <w:jc w:val="both"/>
        <w:rPr>
          <w:rFonts w:ascii="Times New Roman" w:eastAsia="Times New Roman" w:hAnsi="Times New Roman" w:cs="Times New Roman"/>
          <w:sz w:val="24"/>
          <w:szCs w:val="24"/>
        </w:rPr>
      </w:pPr>
      <w:r>
        <w:rPr>
          <w:rFonts w:ascii="Times New Roman" w:hAnsi="Times New Roman"/>
          <w:sz w:val="24"/>
          <w:szCs w:val="24"/>
        </w:rPr>
        <w:t>Malaysia</w:t>
      </w:r>
      <w:r>
        <w:rPr>
          <w:rFonts w:ascii="Times New Roman" w:hAnsi="Times New Roman"/>
          <w:sz w:val="24"/>
          <w:szCs w:val="24"/>
        </w:rPr>
        <w:t>’</w:t>
      </w:r>
      <w:r>
        <w:rPr>
          <w:rFonts w:ascii="Times New Roman" w:hAnsi="Times New Roman"/>
          <w:sz w:val="24"/>
          <w:szCs w:val="24"/>
        </w:rPr>
        <w:t>s latest UN Framework Convention on Climate Change National Communication projects that by 2030, the country</w:t>
      </w:r>
      <w:r>
        <w:rPr>
          <w:rFonts w:ascii="Times New Roman" w:hAnsi="Times New Roman"/>
          <w:sz w:val="24"/>
          <w:szCs w:val="24"/>
        </w:rPr>
        <w:t>’</w:t>
      </w:r>
      <w:r>
        <w:rPr>
          <w:rFonts w:ascii="Times New Roman" w:hAnsi="Times New Roman"/>
          <w:sz w:val="24"/>
          <w:szCs w:val="24"/>
        </w:rPr>
        <w:t>s flood prone basins will expand in area by nearly 54%.</w:t>
      </w:r>
      <w:r>
        <w:rPr>
          <w:rFonts w:ascii="Times New Roman" w:eastAsia="Times New Roman" w:hAnsi="Times New Roman" w:cs="Times New Roman"/>
          <w:sz w:val="24"/>
          <w:szCs w:val="24"/>
          <w:vertAlign w:val="superscript"/>
        </w:rPr>
        <w:footnoteReference w:id="10"/>
      </w:r>
      <w:r>
        <w:rPr>
          <w:rFonts w:ascii="Times New Roman" w:hAnsi="Times New Roman"/>
          <w:sz w:val="24"/>
          <w:szCs w:val="24"/>
        </w:rPr>
        <w:t xml:space="preserve"> The National Communication also projects an incre</w:t>
      </w:r>
      <w:r>
        <w:rPr>
          <w:rFonts w:ascii="Times New Roman" w:hAnsi="Times New Roman"/>
          <w:sz w:val="24"/>
          <w:szCs w:val="24"/>
        </w:rPr>
        <w:t>asing frequency of dry spells, potential seawater contamination of groundwater resources, and new challenges to dam management.</w:t>
      </w:r>
      <w:r>
        <w:rPr>
          <w:rFonts w:ascii="Times New Roman" w:eastAsia="Times New Roman" w:hAnsi="Times New Roman" w:cs="Times New Roman"/>
          <w:sz w:val="24"/>
          <w:szCs w:val="24"/>
          <w:vertAlign w:val="superscript"/>
        </w:rPr>
        <w:footnoteReference w:id="11"/>
      </w:r>
    </w:p>
    <w:p w:rsidR="00D82F28" w:rsidRDefault="00D82F28">
      <w:pPr>
        <w:pStyle w:val="Body"/>
        <w:jc w:val="both"/>
        <w:rPr>
          <w:rFonts w:ascii="Times New Roman" w:eastAsia="Times New Roman" w:hAnsi="Times New Roman" w:cs="Times New Roman"/>
          <w:b/>
          <w:bCs/>
          <w:sz w:val="24"/>
          <w:szCs w:val="24"/>
        </w:rPr>
      </w:pPr>
    </w:p>
    <w:p w:rsidR="00D82F28" w:rsidRDefault="0022420A">
      <w:pPr>
        <w:pStyle w:val="Body"/>
        <w:jc w:val="both"/>
        <w:rPr>
          <w:rFonts w:ascii="Times New Roman" w:eastAsia="Times New Roman" w:hAnsi="Times New Roman" w:cs="Times New Roman"/>
          <w:b/>
          <w:bCs/>
          <w:sz w:val="24"/>
          <w:szCs w:val="24"/>
        </w:rPr>
      </w:pPr>
      <w:r>
        <w:rPr>
          <w:rFonts w:ascii="Times New Roman" w:hAnsi="Times New Roman"/>
          <w:b/>
          <w:bCs/>
          <w:sz w:val="24"/>
          <w:szCs w:val="24"/>
        </w:rPr>
        <w:t>Question 3</w:t>
      </w:r>
    </w:p>
    <w:p w:rsidR="00D82F28" w:rsidRDefault="00D82F28">
      <w:pPr>
        <w:pStyle w:val="Body"/>
        <w:jc w:val="both"/>
        <w:rPr>
          <w:rFonts w:ascii="Times New Roman" w:eastAsia="Times New Roman" w:hAnsi="Times New Roman" w:cs="Times New Roman"/>
          <w:b/>
          <w:bCs/>
          <w:sz w:val="24"/>
          <w:szCs w:val="24"/>
        </w:rPr>
      </w:pPr>
    </w:p>
    <w:p w:rsidR="00D82F28" w:rsidRDefault="0022420A">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To protect a wide range of human rights, what are the specific obligations of States and responsibilities of </w:t>
      </w:r>
      <w:r>
        <w:rPr>
          <w:rFonts w:ascii="Times New Roman" w:hAnsi="Times New Roman"/>
          <w:b/>
          <w:bCs/>
          <w:sz w:val="24"/>
          <w:szCs w:val="24"/>
        </w:rPr>
        <w:t>businesses in terms of addressing water pollution, water scarcity and floods? Please provide specific examples of constitutional provisions, legislation, institutions, regulations, standards, policies and programmes that apply a rights-based approach to pr</w:t>
      </w:r>
      <w:r>
        <w:rPr>
          <w:rFonts w:ascii="Times New Roman" w:hAnsi="Times New Roman"/>
          <w:b/>
          <w:bCs/>
          <w:sz w:val="24"/>
          <w:szCs w:val="24"/>
        </w:rPr>
        <w:t>eventing, reducing, or eliminating water pollution, water scarcity and floods. Please include, inter alia, any instruments that refer directly to the right to a healthy environment and/or the rights to clean water and adequate sanitation.</w:t>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As noted in the </w:t>
      </w:r>
      <w:r>
        <w:rPr>
          <w:rFonts w:ascii="Times New Roman" w:hAnsi="Times New Roman"/>
          <w:sz w:val="24"/>
          <w:szCs w:val="24"/>
          <w:u w:color="000000"/>
        </w:rPr>
        <w:t>Special Rapporteur</w:t>
      </w:r>
      <w:r>
        <w:rPr>
          <w:rFonts w:ascii="Times New Roman" w:hAnsi="Times New Roman"/>
          <w:sz w:val="24"/>
          <w:szCs w:val="24"/>
          <w:u w:color="000000"/>
        </w:rPr>
        <w:t>’</w:t>
      </w:r>
      <w:r>
        <w:rPr>
          <w:rFonts w:ascii="Times New Roman" w:hAnsi="Times New Roman"/>
          <w:sz w:val="24"/>
          <w:szCs w:val="24"/>
          <w:u w:color="000000"/>
        </w:rPr>
        <w:t>s 2020 good practices report, the right to life and personal liberty under Article 5(1) of Malaysia</w:t>
      </w:r>
      <w:r>
        <w:rPr>
          <w:rFonts w:ascii="Times New Roman" w:hAnsi="Times New Roman"/>
          <w:sz w:val="24"/>
          <w:szCs w:val="24"/>
          <w:u w:color="000000"/>
        </w:rPr>
        <w:t>’</w:t>
      </w:r>
      <w:r>
        <w:rPr>
          <w:rFonts w:ascii="Times New Roman" w:hAnsi="Times New Roman"/>
          <w:sz w:val="24"/>
          <w:szCs w:val="24"/>
          <w:u w:color="000000"/>
        </w:rPr>
        <w:t>s Federal Constitution implicitly encompasses the right to a healthy environment.</w:t>
      </w:r>
      <w:r>
        <w:rPr>
          <w:rFonts w:ascii="Times New Roman" w:eastAsia="Times New Roman" w:hAnsi="Times New Roman" w:cs="Times New Roman"/>
          <w:sz w:val="24"/>
          <w:szCs w:val="24"/>
          <w:u w:color="000000"/>
          <w:vertAlign w:val="superscript"/>
        </w:rPr>
        <w:footnoteReference w:id="12"/>
      </w:r>
      <w:r>
        <w:rPr>
          <w:rFonts w:ascii="Times New Roman" w:hAnsi="Times New Roman"/>
          <w:sz w:val="24"/>
          <w:szCs w:val="24"/>
          <w:u w:color="000000"/>
        </w:rPr>
        <w:t xml:space="preserve"> The leading authority for this proposition remains Gop</w:t>
      </w:r>
      <w:r>
        <w:rPr>
          <w:rFonts w:ascii="Times New Roman" w:hAnsi="Times New Roman"/>
          <w:sz w:val="24"/>
          <w:szCs w:val="24"/>
          <w:u w:color="000000"/>
        </w:rPr>
        <w:t>al Sri Ram JCA</w:t>
      </w:r>
      <w:r>
        <w:rPr>
          <w:rFonts w:ascii="Times New Roman" w:hAnsi="Times New Roman"/>
          <w:sz w:val="24"/>
          <w:szCs w:val="24"/>
          <w:u w:color="000000"/>
        </w:rPr>
        <w:t>’</w:t>
      </w:r>
      <w:r>
        <w:rPr>
          <w:rFonts w:ascii="Times New Roman" w:hAnsi="Times New Roman"/>
          <w:sz w:val="24"/>
          <w:szCs w:val="24"/>
          <w:u w:color="000000"/>
        </w:rPr>
        <w:t xml:space="preserve">s comments in the </w:t>
      </w:r>
      <w:r>
        <w:rPr>
          <w:rFonts w:ascii="Times New Roman" w:hAnsi="Times New Roman"/>
          <w:i/>
          <w:iCs/>
          <w:sz w:val="24"/>
          <w:szCs w:val="24"/>
          <w:u w:color="000000"/>
        </w:rPr>
        <w:t>Tan Tek Seng</w:t>
      </w:r>
      <w:r>
        <w:rPr>
          <w:rFonts w:ascii="Times New Roman" w:hAnsi="Times New Roman"/>
          <w:sz w:val="24"/>
          <w:szCs w:val="24"/>
          <w:u w:color="000000"/>
        </w:rPr>
        <w:t xml:space="preserve"> case. Article 5(1) was said to incorporate </w:t>
      </w:r>
      <w:r>
        <w:rPr>
          <w:rFonts w:ascii="Times New Roman" w:hAnsi="Times New Roman"/>
          <w:sz w:val="24"/>
          <w:szCs w:val="24"/>
          <w:u w:color="000000"/>
        </w:rPr>
        <w:t>‘</w:t>
      </w:r>
      <w:r>
        <w:rPr>
          <w:rFonts w:ascii="Times New Roman" w:hAnsi="Times New Roman"/>
          <w:sz w:val="24"/>
          <w:szCs w:val="24"/>
          <w:u w:color="000000"/>
        </w:rPr>
        <w:t>all those facets that are an integral part of life itself and those matters which go to form the quality of life</w:t>
      </w:r>
      <w:r>
        <w:rPr>
          <w:rFonts w:ascii="Times New Roman" w:hAnsi="Times New Roman"/>
          <w:sz w:val="24"/>
          <w:szCs w:val="24"/>
          <w:u w:color="000000"/>
        </w:rPr>
        <w:t xml:space="preserve">… </w:t>
      </w:r>
      <w:r>
        <w:rPr>
          <w:rFonts w:ascii="Times New Roman" w:hAnsi="Times New Roman"/>
          <w:sz w:val="24"/>
          <w:szCs w:val="24"/>
          <w:u w:color="000000"/>
        </w:rPr>
        <w:t>[including] the right to live in a reasonably health</w:t>
      </w:r>
      <w:r>
        <w:rPr>
          <w:rFonts w:ascii="Times New Roman" w:hAnsi="Times New Roman"/>
          <w:sz w:val="24"/>
          <w:szCs w:val="24"/>
          <w:u w:color="000000"/>
        </w:rPr>
        <w:t>y and pollution free environment</w:t>
      </w:r>
      <w:r>
        <w:rPr>
          <w:rFonts w:ascii="Times New Roman" w:hAnsi="Times New Roman"/>
          <w:sz w:val="24"/>
          <w:szCs w:val="24"/>
          <w:u w:color="000000"/>
        </w:rPr>
        <w:t>’</w:t>
      </w:r>
      <w:r>
        <w:rPr>
          <w:rFonts w:ascii="Times New Roman" w:hAnsi="Times New Roman"/>
          <w:sz w:val="24"/>
          <w:szCs w:val="24"/>
          <w:u w:color="000000"/>
        </w:rPr>
        <w:t>.</w:t>
      </w:r>
      <w:r>
        <w:rPr>
          <w:rFonts w:ascii="Times New Roman" w:eastAsia="Times New Roman" w:hAnsi="Times New Roman" w:cs="Times New Roman"/>
          <w:sz w:val="24"/>
          <w:szCs w:val="24"/>
          <w:u w:color="000000"/>
          <w:vertAlign w:val="superscript"/>
        </w:rPr>
        <w:footnoteReference w:id="13"/>
      </w:r>
      <w:r>
        <w:rPr>
          <w:rFonts w:ascii="Times New Roman" w:hAnsi="Times New Roman"/>
          <w:sz w:val="24"/>
          <w:szCs w:val="24"/>
          <w:u w:color="000000"/>
        </w:rPr>
        <w:t xml:space="preserve"> </w:t>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While these comments were </w:t>
      </w:r>
      <w:r>
        <w:rPr>
          <w:rFonts w:ascii="Times New Roman" w:hAnsi="Times New Roman"/>
          <w:i/>
          <w:iCs/>
          <w:sz w:val="24"/>
          <w:szCs w:val="24"/>
          <w:u w:color="000000"/>
        </w:rPr>
        <w:t>obiter</w:t>
      </w:r>
      <w:r>
        <w:rPr>
          <w:rFonts w:ascii="Times New Roman" w:hAnsi="Times New Roman"/>
          <w:sz w:val="24"/>
          <w:szCs w:val="24"/>
          <w:u w:color="000000"/>
        </w:rPr>
        <w:t xml:space="preserve"> and thus not technically binding on future courts, they have been more recently cited with approval at the apex Federal Court level.</w:t>
      </w:r>
      <w:r>
        <w:rPr>
          <w:rFonts w:ascii="Times New Roman" w:eastAsia="Times New Roman" w:hAnsi="Times New Roman" w:cs="Times New Roman"/>
          <w:sz w:val="24"/>
          <w:szCs w:val="24"/>
          <w:u w:color="000000"/>
          <w:vertAlign w:val="superscript"/>
        </w:rPr>
        <w:footnoteReference w:id="14"/>
      </w:r>
      <w:r>
        <w:rPr>
          <w:rFonts w:ascii="Times New Roman" w:hAnsi="Times New Roman"/>
          <w:sz w:val="24"/>
          <w:szCs w:val="24"/>
          <w:u w:color="000000"/>
        </w:rPr>
        <w:t xml:space="preserve"> That Article 5(1) includes a right to a healthy env</w:t>
      </w:r>
      <w:r>
        <w:rPr>
          <w:rFonts w:ascii="Times New Roman" w:hAnsi="Times New Roman"/>
          <w:sz w:val="24"/>
          <w:szCs w:val="24"/>
          <w:u w:color="000000"/>
        </w:rPr>
        <w:t xml:space="preserve">ironment is further supported by the position taken by the Federal Court in the </w:t>
      </w:r>
      <w:r>
        <w:rPr>
          <w:rFonts w:ascii="Times New Roman" w:hAnsi="Times New Roman"/>
          <w:i/>
          <w:iCs/>
          <w:sz w:val="24"/>
          <w:szCs w:val="24"/>
          <w:u w:color="000000"/>
        </w:rPr>
        <w:t>Semenyih Jaya</w:t>
      </w:r>
      <w:r>
        <w:rPr>
          <w:rFonts w:ascii="Times New Roman" w:hAnsi="Times New Roman"/>
          <w:sz w:val="24"/>
          <w:szCs w:val="24"/>
          <w:u w:color="000000"/>
        </w:rPr>
        <w:t xml:space="preserve"> case. There, a unanimous Federal Court was prepared to state that </w:t>
      </w:r>
      <w:r>
        <w:rPr>
          <w:rFonts w:ascii="Times New Roman" w:hAnsi="Times New Roman"/>
          <w:sz w:val="24"/>
          <w:szCs w:val="24"/>
          <w:u w:color="000000"/>
        </w:rPr>
        <w:t>‘</w:t>
      </w:r>
      <w:r>
        <w:rPr>
          <w:rFonts w:ascii="Times New Roman" w:hAnsi="Times New Roman"/>
          <w:sz w:val="24"/>
          <w:szCs w:val="24"/>
          <w:u w:color="000000"/>
        </w:rPr>
        <w:t>there is a general acceptance that the Federal Constitution has to be interpreted organically a</w:t>
      </w:r>
      <w:r>
        <w:rPr>
          <w:rFonts w:ascii="Times New Roman" w:hAnsi="Times New Roman"/>
          <w:sz w:val="24"/>
          <w:szCs w:val="24"/>
          <w:u w:color="000000"/>
        </w:rPr>
        <w:t>nd with less rigidity</w:t>
      </w:r>
      <w:r>
        <w:rPr>
          <w:rFonts w:ascii="Times New Roman" w:hAnsi="Times New Roman"/>
          <w:sz w:val="24"/>
          <w:szCs w:val="24"/>
          <w:u w:color="000000"/>
        </w:rPr>
        <w:t>’</w:t>
      </w:r>
      <w:r>
        <w:rPr>
          <w:rFonts w:ascii="Times New Roman" w:hAnsi="Times New Roman"/>
          <w:sz w:val="24"/>
          <w:szCs w:val="24"/>
          <w:u w:color="000000"/>
        </w:rPr>
        <w:t>,</w:t>
      </w:r>
      <w:r>
        <w:rPr>
          <w:rFonts w:ascii="Times New Roman" w:eastAsia="Times New Roman" w:hAnsi="Times New Roman" w:cs="Times New Roman"/>
          <w:sz w:val="24"/>
          <w:szCs w:val="24"/>
          <w:u w:color="000000"/>
          <w:vertAlign w:val="superscript"/>
        </w:rPr>
        <w:footnoteReference w:id="15"/>
      </w:r>
      <w:r>
        <w:rPr>
          <w:rFonts w:ascii="Times New Roman" w:hAnsi="Times New Roman"/>
          <w:sz w:val="24"/>
          <w:szCs w:val="24"/>
          <w:u w:color="000000"/>
        </w:rPr>
        <w:t xml:space="preserve"> militating against a narrow interpretation of Article 5(1).</w:t>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22420A">
      <w:pPr>
        <w:pStyle w:val="Body"/>
        <w:spacing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Question 4</w:t>
      </w:r>
    </w:p>
    <w:p w:rsidR="00D82F28" w:rsidRDefault="00D82F28">
      <w:pPr>
        <w:pStyle w:val="Body"/>
        <w:spacing w:after="120"/>
        <w:jc w:val="both"/>
        <w:rPr>
          <w:rFonts w:ascii="Times New Roman" w:eastAsia="Times New Roman" w:hAnsi="Times New Roman" w:cs="Times New Roman"/>
          <w:b/>
          <w:bCs/>
          <w:sz w:val="24"/>
          <w:szCs w:val="24"/>
          <w:u w:color="000000"/>
        </w:rPr>
      </w:pPr>
    </w:p>
    <w:p w:rsidR="00D82F28" w:rsidRDefault="0022420A">
      <w:pPr>
        <w:pStyle w:val="Body"/>
        <w:spacing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If your State is one of the 156 UN Member States that recognizes the right to a safe, clean, healthy and sustainable environment, has this right contributed to preventing, reducing, or eliminating water pollution, water scarcity and floods? If so, how? If </w:t>
      </w:r>
      <w:r>
        <w:rPr>
          <w:rFonts w:ascii="Times New Roman" w:hAnsi="Times New Roman"/>
          <w:b/>
          <w:bCs/>
          <w:sz w:val="24"/>
          <w:szCs w:val="24"/>
          <w:u w:color="000000"/>
        </w:rPr>
        <w:t xml:space="preserve">not, why not? </w:t>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The implicit constitutional recognition of the right to a healthy environment does not appear to have materially contributed to preventing or reducing water pollution, water scarcity or floods in Malaysia. The lack of direct judicial pronou</w:t>
      </w:r>
      <w:r>
        <w:rPr>
          <w:rFonts w:ascii="Times New Roman" w:hAnsi="Times New Roman"/>
          <w:sz w:val="24"/>
          <w:szCs w:val="24"/>
          <w:u w:color="000000"/>
        </w:rPr>
        <w:t xml:space="preserve">ncements since </w:t>
      </w:r>
      <w:r>
        <w:rPr>
          <w:rFonts w:ascii="Times New Roman" w:hAnsi="Times New Roman"/>
          <w:i/>
          <w:iCs/>
          <w:sz w:val="24"/>
          <w:szCs w:val="24"/>
          <w:u w:color="000000"/>
        </w:rPr>
        <w:t>Tan Tek Seng</w:t>
      </w:r>
      <w:r>
        <w:rPr>
          <w:rFonts w:ascii="Times New Roman" w:hAnsi="Times New Roman"/>
          <w:sz w:val="24"/>
          <w:szCs w:val="24"/>
          <w:u w:color="000000"/>
        </w:rPr>
        <w:t xml:space="preserve"> on the right to a healthy environment under Article 5(1) of Malaysia</w:t>
      </w:r>
      <w:r>
        <w:rPr>
          <w:rFonts w:ascii="Times New Roman" w:hAnsi="Times New Roman"/>
          <w:sz w:val="24"/>
          <w:szCs w:val="24"/>
          <w:u w:color="000000"/>
        </w:rPr>
        <w:t>’</w:t>
      </w:r>
      <w:r>
        <w:rPr>
          <w:rFonts w:ascii="Times New Roman" w:hAnsi="Times New Roman"/>
          <w:sz w:val="24"/>
          <w:szCs w:val="24"/>
          <w:u w:color="000000"/>
        </w:rPr>
        <w:t>s Federal Constitution has meant that the precise scope of the right remains unclear. For instance, it cannot be said with certainty that a Malaysian court wou</w:t>
      </w:r>
      <w:r>
        <w:rPr>
          <w:rFonts w:ascii="Times New Roman" w:hAnsi="Times New Roman"/>
          <w:sz w:val="24"/>
          <w:szCs w:val="24"/>
          <w:u w:color="000000"/>
        </w:rPr>
        <w:t>ld hold that the Article 5(1) right requires public authorities to take proactive steps to prevent pollution by private actors. It is similarly uncertain what legal relevance the right may have to compelling public authorities to anticipate and mitigate wa</w:t>
      </w:r>
      <w:r>
        <w:rPr>
          <w:rFonts w:ascii="Times New Roman" w:hAnsi="Times New Roman"/>
          <w:sz w:val="24"/>
          <w:szCs w:val="24"/>
          <w:u w:color="000000"/>
        </w:rPr>
        <w:t>ter scarcity or floods.</w:t>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Moreover, vindicating the Article 5(1) right to a healthy environment through judicial review in the public interest would require an applicant to satisfy a court of their </w:t>
      </w:r>
      <w:r>
        <w:rPr>
          <w:rFonts w:ascii="Times New Roman" w:hAnsi="Times New Roman"/>
          <w:i/>
          <w:iCs/>
          <w:sz w:val="24"/>
          <w:szCs w:val="24"/>
          <w:u w:color="000000"/>
        </w:rPr>
        <w:t>locus standi</w:t>
      </w:r>
      <w:r>
        <w:rPr>
          <w:rFonts w:ascii="Times New Roman" w:hAnsi="Times New Roman"/>
          <w:sz w:val="24"/>
          <w:szCs w:val="24"/>
          <w:u w:color="000000"/>
        </w:rPr>
        <w:t xml:space="preserve"> or standing to sue. Malaysian law took a restr</w:t>
      </w:r>
      <w:r>
        <w:rPr>
          <w:rFonts w:ascii="Times New Roman" w:hAnsi="Times New Roman"/>
          <w:sz w:val="24"/>
          <w:szCs w:val="24"/>
          <w:u w:color="000000"/>
        </w:rPr>
        <w:t xml:space="preserve">ictive view of </w:t>
      </w:r>
      <w:r>
        <w:rPr>
          <w:rFonts w:ascii="Times New Roman" w:hAnsi="Times New Roman"/>
          <w:i/>
          <w:iCs/>
          <w:sz w:val="24"/>
          <w:szCs w:val="24"/>
          <w:u w:color="000000"/>
        </w:rPr>
        <w:t>locus standi</w:t>
      </w:r>
      <w:r>
        <w:rPr>
          <w:rFonts w:ascii="Times New Roman" w:hAnsi="Times New Roman"/>
          <w:sz w:val="24"/>
          <w:szCs w:val="24"/>
          <w:u w:color="000000"/>
        </w:rPr>
        <w:t xml:space="preserve"> at the time when the right to a healthy environment was recognised in </w:t>
      </w:r>
      <w:r>
        <w:rPr>
          <w:rFonts w:ascii="Times New Roman" w:hAnsi="Times New Roman"/>
          <w:i/>
          <w:iCs/>
          <w:sz w:val="24"/>
          <w:szCs w:val="24"/>
          <w:u w:color="000000"/>
        </w:rPr>
        <w:t>Tan Tek Seng</w:t>
      </w:r>
      <w:r>
        <w:rPr>
          <w:rFonts w:ascii="Times New Roman" w:hAnsi="Times New Roman"/>
          <w:sz w:val="24"/>
          <w:szCs w:val="24"/>
          <w:u w:color="000000"/>
        </w:rPr>
        <w:t>, dulling its enforceability.</w:t>
      </w:r>
      <w:r>
        <w:rPr>
          <w:rFonts w:ascii="Times New Roman" w:eastAsia="Times New Roman" w:hAnsi="Times New Roman" w:cs="Times New Roman"/>
          <w:sz w:val="24"/>
          <w:szCs w:val="24"/>
          <w:u w:color="000000"/>
          <w:vertAlign w:val="superscript"/>
        </w:rPr>
        <w:footnoteReference w:id="16"/>
      </w:r>
      <w:r>
        <w:rPr>
          <w:rFonts w:ascii="Times New Roman" w:hAnsi="Times New Roman"/>
          <w:sz w:val="24"/>
          <w:szCs w:val="24"/>
          <w:u w:color="000000"/>
        </w:rPr>
        <w:t xml:space="preserve"> The legal position on </w:t>
      </w:r>
      <w:r>
        <w:rPr>
          <w:rFonts w:ascii="Times New Roman" w:hAnsi="Times New Roman"/>
          <w:i/>
          <w:iCs/>
          <w:sz w:val="24"/>
          <w:szCs w:val="24"/>
          <w:u w:color="000000"/>
        </w:rPr>
        <w:t>locus standi</w:t>
      </w:r>
      <w:r>
        <w:rPr>
          <w:rFonts w:ascii="Times New Roman" w:hAnsi="Times New Roman"/>
          <w:sz w:val="24"/>
          <w:szCs w:val="24"/>
          <w:u w:color="000000"/>
        </w:rPr>
        <w:t xml:space="preserve"> has since liberalised,</w:t>
      </w:r>
      <w:r>
        <w:rPr>
          <w:rFonts w:ascii="Times New Roman" w:eastAsia="Times New Roman" w:hAnsi="Times New Roman" w:cs="Times New Roman"/>
          <w:sz w:val="24"/>
          <w:szCs w:val="24"/>
          <w:u w:color="000000"/>
          <w:vertAlign w:val="superscript"/>
        </w:rPr>
        <w:footnoteReference w:id="17"/>
      </w:r>
      <w:r>
        <w:rPr>
          <w:rFonts w:ascii="Times New Roman" w:hAnsi="Times New Roman"/>
          <w:sz w:val="24"/>
          <w:szCs w:val="24"/>
          <w:u w:color="000000"/>
        </w:rPr>
        <w:t xml:space="preserve"> but a test case would need to be brought to establish so</w:t>
      </w:r>
      <w:r>
        <w:rPr>
          <w:rFonts w:ascii="Times New Roman" w:hAnsi="Times New Roman"/>
          <w:sz w:val="24"/>
          <w:szCs w:val="24"/>
          <w:u w:color="000000"/>
        </w:rPr>
        <w:t>lid precedent for public interest litigation based on the Article 5(1) right.</w:t>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D82F28">
      <w:pPr>
        <w:pStyle w:val="Body"/>
        <w:spacing w:after="120"/>
        <w:jc w:val="both"/>
        <w:rPr>
          <w:rFonts w:ascii="Times New Roman" w:eastAsia="Times New Roman" w:hAnsi="Times New Roman" w:cs="Times New Roman"/>
          <w:b/>
          <w:bCs/>
          <w:sz w:val="24"/>
          <w:szCs w:val="24"/>
          <w:u w:color="000000"/>
        </w:rPr>
      </w:pPr>
    </w:p>
    <w:p w:rsidR="00D82F28" w:rsidRDefault="00D82F28">
      <w:pPr>
        <w:pStyle w:val="Body"/>
        <w:spacing w:after="120"/>
        <w:jc w:val="both"/>
        <w:rPr>
          <w:rFonts w:ascii="Times New Roman" w:eastAsia="Times New Roman" w:hAnsi="Times New Roman" w:cs="Times New Roman"/>
          <w:b/>
          <w:bCs/>
          <w:sz w:val="24"/>
          <w:szCs w:val="24"/>
          <w:u w:color="000000"/>
        </w:rPr>
      </w:pPr>
    </w:p>
    <w:p w:rsidR="00D82F28" w:rsidRDefault="0022420A">
      <w:pPr>
        <w:pStyle w:val="Body"/>
        <w:spacing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Question 6</w:t>
      </w:r>
    </w:p>
    <w:p w:rsidR="00D82F28" w:rsidRDefault="00D82F28">
      <w:pPr>
        <w:pStyle w:val="Body"/>
        <w:spacing w:after="120"/>
        <w:jc w:val="both"/>
        <w:rPr>
          <w:rFonts w:ascii="Times New Roman" w:eastAsia="Times New Roman" w:hAnsi="Times New Roman" w:cs="Times New Roman"/>
          <w:b/>
          <w:bCs/>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Please identify specific challenges that your government, business, or organization has faced in attempting to employ a rights-based approach to address water poll</w:t>
      </w:r>
      <w:r>
        <w:rPr>
          <w:rFonts w:ascii="Times New Roman" w:hAnsi="Times New Roman"/>
          <w:b/>
          <w:bCs/>
          <w:sz w:val="24"/>
          <w:szCs w:val="24"/>
          <w:u w:color="000000"/>
        </w:rPr>
        <w:t>ution, water scarcity and floods and the impacts of these problems on human rights.</w:t>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A specific challenge facing efforts to employ a rights-based approach to address water pollution, water scarcity and floods is Malaysia</w:t>
      </w:r>
      <w:r>
        <w:rPr>
          <w:rFonts w:ascii="Times New Roman" w:hAnsi="Times New Roman"/>
          <w:sz w:val="24"/>
          <w:szCs w:val="24"/>
          <w:u w:color="000000"/>
        </w:rPr>
        <w:t>’</w:t>
      </w:r>
      <w:r>
        <w:rPr>
          <w:rFonts w:ascii="Times New Roman" w:hAnsi="Times New Roman"/>
          <w:sz w:val="24"/>
          <w:szCs w:val="24"/>
          <w:u w:color="000000"/>
        </w:rPr>
        <w:t>s status as a non-State party to bo</w:t>
      </w:r>
      <w:r>
        <w:rPr>
          <w:rFonts w:ascii="Times New Roman" w:hAnsi="Times New Roman"/>
          <w:sz w:val="24"/>
          <w:szCs w:val="24"/>
          <w:u w:color="000000"/>
        </w:rPr>
        <w:t>th the International Covenant on Economic, Social and Cultural Rights (ICESCR) and the International Covenant on Civil and Political Rights (ICCPR).</w:t>
      </w:r>
      <w:r>
        <w:rPr>
          <w:rFonts w:ascii="Times New Roman" w:eastAsia="Times New Roman" w:hAnsi="Times New Roman" w:cs="Times New Roman"/>
          <w:sz w:val="24"/>
          <w:szCs w:val="24"/>
          <w:u w:color="000000"/>
          <w:vertAlign w:val="superscript"/>
        </w:rPr>
        <w:footnoteReference w:id="18"/>
      </w:r>
      <w:r>
        <w:rPr>
          <w:rFonts w:ascii="Times New Roman" w:hAnsi="Times New Roman"/>
          <w:sz w:val="24"/>
          <w:szCs w:val="24"/>
          <w:u w:color="000000"/>
        </w:rPr>
        <w:t xml:space="preserve"> The ICESCR and ICCPR are touchstone sources of international human rights law relating to water issues. Malaysian ratification nevertheless remains unlikely. Attempts by Malaysia</w:t>
      </w:r>
      <w:r>
        <w:rPr>
          <w:rFonts w:ascii="Times New Roman" w:hAnsi="Times New Roman"/>
          <w:sz w:val="24"/>
          <w:szCs w:val="24"/>
          <w:u w:color="000000"/>
        </w:rPr>
        <w:t>’</w:t>
      </w:r>
      <w:r>
        <w:rPr>
          <w:rFonts w:ascii="Times New Roman" w:hAnsi="Times New Roman"/>
          <w:sz w:val="24"/>
          <w:szCs w:val="24"/>
          <w:u w:color="000000"/>
        </w:rPr>
        <w:t xml:space="preserve">s previous ruling coalition to effect related treaty ratifications were the </w:t>
      </w:r>
      <w:r>
        <w:rPr>
          <w:rFonts w:ascii="Times New Roman" w:hAnsi="Times New Roman"/>
          <w:sz w:val="24"/>
          <w:szCs w:val="24"/>
          <w:u w:color="000000"/>
        </w:rPr>
        <w:t>subject of considerable domestic contestation, and were eventually shelved.</w:t>
      </w:r>
      <w:r>
        <w:rPr>
          <w:rFonts w:ascii="Times New Roman" w:eastAsia="Times New Roman" w:hAnsi="Times New Roman" w:cs="Times New Roman"/>
          <w:sz w:val="24"/>
          <w:szCs w:val="24"/>
          <w:u w:color="000000"/>
          <w:vertAlign w:val="superscript"/>
        </w:rPr>
        <w:footnoteReference w:id="19"/>
      </w:r>
    </w:p>
    <w:p w:rsidR="00D82F28" w:rsidRDefault="00D82F28">
      <w:pPr>
        <w:pStyle w:val="Body"/>
        <w:spacing w:after="120"/>
        <w:jc w:val="both"/>
        <w:rPr>
          <w:rFonts w:ascii="Times New Roman" w:eastAsia="Times New Roman" w:hAnsi="Times New Roman" w:cs="Times New Roman"/>
          <w:b/>
          <w:bCs/>
          <w:sz w:val="24"/>
          <w:szCs w:val="24"/>
          <w:u w:color="000000"/>
        </w:rPr>
      </w:pPr>
    </w:p>
    <w:p w:rsidR="00D82F28" w:rsidRDefault="0022420A">
      <w:pPr>
        <w:pStyle w:val="Body"/>
        <w:spacing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Question 7</w:t>
      </w:r>
    </w:p>
    <w:p w:rsidR="00D82F28" w:rsidRDefault="00D82F28">
      <w:pPr>
        <w:pStyle w:val="Body"/>
        <w:spacing w:after="120"/>
        <w:jc w:val="both"/>
        <w:rPr>
          <w:rFonts w:ascii="Times New Roman" w:eastAsia="Times New Roman" w:hAnsi="Times New Roman" w:cs="Times New Roman"/>
          <w:b/>
          <w:bCs/>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Please specify ways in which additional protection is provided (or should be provided) for populations who may be particularly vulnerable to water pollution, water sc</w:t>
      </w:r>
      <w:r>
        <w:rPr>
          <w:rFonts w:ascii="Times New Roman" w:hAnsi="Times New Roman"/>
          <w:b/>
          <w:bCs/>
          <w:sz w:val="24"/>
          <w:szCs w:val="24"/>
          <w:u w:color="000000"/>
        </w:rPr>
        <w:t>arcity and floods (e.g. women, children, persons living in poverty, members of Indigenous peoples and traditional communities, older persons, persons with disabilities, ethnic, racial or other minorities and displaced persons). How can these populations be</w:t>
      </w:r>
      <w:r>
        <w:rPr>
          <w:rFonts w:ascii="Times New Roman" w:hAnsi="Times New Roman"/>
          <w:b/>
          <w:bCs/>
          <w:sz w:val="24"/>
          <w:szCs w:val="24"/>
          <w:u w:color="000000"/>
        </w:rPr>
        <w:t xml:space="preserve"> empowered to protect and improve water quality and availability?</w:t>
      </w:r>
      <w:r>
        <w:rPr>
          <w:rFonts w:ascii="Times New Roman" w:hAnsi="Times New Roman"/>
          <w:sz w:val="24"/>
          <w:szCs w:val="24"/>
          <w:u w:color="000000"/>
        </w:rPr>
        <w:t xml:space="preserve"> </w:t>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The obligation to fulfil the right to water under Article 11(1) of the ICESCR requires States parties to take positive steps to promote the enjoyment of the right, especially for the benef</w:t>
      </w:r>
      <w:r>
        <w:rPr>
          <w:rFonts w:ascii="Times New Roman" w:hAnsi="Times New Roman"/>
          <w:sz w:val="24"/>
          <w:szCs w:val="24"/>
          <w:u w:color="000000"/>
        </w:rPr>
        <w:t>it of vulnerable or disadvantaged societal populations.</w:t>
      </w:r>
      <w:r>
        <w:rPr>
          <w:rFonts w:ascii="Times New Roman" w:eastAsia="Times New Roman" w:hAnsi="Times New Roman" w:cs="Times New Roman"/>
          <w:sz w:val="24"/>
          <w:szCs w:val="24"/>
          <w:u w:color="000000"/>
          <w:vertAlign w:val="superscript"/>
        </w:rPr>
        <w:footnoteReference w:id="20"/>
      </w:r>
      <w:r>
        <w:rPr>
          <w:rFonts w:ascii="Times New Roman" w:hAnsi="Times New Roman"/>
          <w:sz w:val="24"/>
          <w:szCs w:val="24"/>
          <w:u w:color="000000"/>
        </w:rPr>
        <w:t xml:space="preserve"> With respect to non-ICESCR States parties like Malaysia, there is a need to stress that they may be bound by similar obligations aimed at safeguarding particular populations under other human rights </w:t>
      </w:r>
      <w:r>
        <w:rPr>
          <w:rFonts w:ascii="Times New Roman" w:hAnsi="Times New Roman"/>
          <w:sz w:val="24"/>
          <w:szCs w:val="24"/>
          <w:u w:color="000000"/>
        </w:rPr>
        <w:t>treaties. In the case of Malaysia, reference may be made to Articles 3 and 14(2)(h) of the Convention on the Elimination of All Forms of Discrimination Against Women,</w:t>
      </w:r>
      <w:r>
        <w:rPr>
          <w:rFonts w:ascii="Times New Roman" w:eastAsia="Times New Roman" w:hAnsi="Times New Roman" w:cs="Times New Roman"/>
          <w:sz w:val="24"/>
          <w:szCs w:val="24"/>
          <w:u w:color="000000"/>
          <w:vertAlign w:val="superscript"/>
        </w:rPr>
        <w:footnoteReference w:id="21"/>
      </w:r>
      <w:r>
        <w:rPr>
          <w:rFonts w:ascii="Times New Roman" w:hAnsi="Times New Roman"/>
          <w:sz w:val="24"/>
          <w:szCs w:val="24"/>
          <w:u w:color="000000"/>
        </w:rPr>
        <w:t xml:space="preserve"> and Article 24(c) of the </w:t>
      </w:r>
      <w:r>
        <w:rPr>
          <w:rFonts w:ascii="Times New Roman" w:hAnsi="Times New Roman"/>
          <w:sz w:val="24"/>
          <w:szCs w:val="24"/>
          <w:u w:color="000000"/>
          <w:lang w:val="fr-FR"/>
        </w:rPr>
        <w:t>Convention</w:t>
      </w:r>
      <w:r>
        <w:rPr>
          <w:rFonts w:ascii="Times New Roman" w:hAnsi="Times New Roman"/>
          <w:sz w:val="24"/>
          <w:szCs w:val="24"/>
          <w:u w:color="000000"/>
        </w:rPr>
        <w:t> </w:t>
      </w:r>
      <w:r>
        <w:rPr>
          <w:rFonts w:ascii="Times New Roman" w:hAnsi="Times New Roman"/>
          <w:sz w:val="24"/>
          <w:szCs w:val="24"/>
          <w:u w:color="000000"/>
        </w:rPr>
        <w:t>on the</w:t>
      </w:r>
      <w:r>
        <w:rPr>
          <w:rFonts w:ascii="Times New Roman" w:hAnsi="Times New Roman"/>
          <w:sz w:val="24"/>
          <w:szCs w:val="24"/>
          <w:u w:color="000000"/>
        </w:rPr>
        <w:t> </w:t>
      </w:r>
      <w:r>
        <w:rPr>
          <w:rFonts w:ascii="Times New Roman" w:hAnsi="Times New Roman"/>
          <w:sz w:val="24"/>
          <w:szCs w:val="24"/>
          <w:u w:color="000000"/>
        </w:rPr>
        <w:t>Rights</w:t>
      </w:r>
      <w:r>
        <w:rPr>
          <w:rFonts w:ascii="Times New Roman" w:hAnsi="Times New Roman"/>
          <w:sz w:val="24"/>
          <w:szCs w:val="24"/>
          <w:u w:color="000000"/>
        </w:rPr>
        <w:t> </w:t>
      </w:r>
      <w:r>
        <w:rPr>
          <w:rFonts w:ascii="Times New Roman" w:hAnsi="Times New Roman"/>
          <w:sz w:val="24"/>
          <w:szCs w:val="24"/>
          <w:u w:color="000000"/>
        </w:rPr>
        <w:t>of the</w:t>
      </w:r>
      <w:r>
        <w:rPr>
          <w:rFonts w:ascii="Times New Roman" w:hAnsi="Times New Roman"/>
          <w:sz w:val="24"/>
          <w:szCs w:val="24"/>
          <w:u w:color="000000"/>
        </w:rPr>
        <w:t> </w:t>
      </w:r>
      <w:r>
        <w:rPr>
          <w:rFonts w:ascii="Times New Roman" w:hAnsi="Times New Roman"/>
          <w:sz w:val="24"/>
          <w:szCs w:val="24"/>
          <w:u w:color="000000"/>
        </w:rPr>
        <w:t>Child.</w:t>
      </w:r>
      <w:r>
        <w:rPr>
          <w:rFonts w:ascii="Times New Roman" w:eastAsia="Times New Roman" w:hAnsi="Times New Roman" w:cs="Times New Roman"/>
          <w:sz w:val="24"/>
          <w:szCs w:val="24"/>
          <w:u w:color="000000"/>
          <w:vertAlign w:val="superscript"/>
        </w:rPr>
        <w:footnoteReference w:id="22"/>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D82F28">
      <w:pPr>
        <w:pStyle w:val="Body"/>
        <w:spacing w:after="120"/>
        <w:jc w:val="both"/>
        <w:rPr>
          <w:rFonts w:ascii="Times New Roman" w:eastAsia="Times New Roman" w:hAnsi="Times New Roman" w:cs="Times New Roman"/>
          <w:b/>
          <w:bCs/>
          <w:sz w:val="24"/>
          <w:szCs w:val="24"/>
          <w:u w:color="000000"/>
        </w:rPr>
      </w:pPr>
    </w:p>
    <w:p w:rsidR="00D82F28" w:rsidRDefault="0022420A">
      <w:pPr>
        <w:pStyle w:val="Body"/>
        <w:spacing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Question 9</w:t>
      </w:r>
    </w:p>
    <w:p w:rsidR="00D82F28" w:rsidRDefault="00D82F28">
      <w:pPr>
        <w:pStyle w:val="Body"/>
        <w:spacing w:after="120"/>
        <w:jc w:val="both"/>
        <w:rPr>
          <w:rFonts w:ascii="Times New Roman" w:eastAsia="Times New Roman" w:hAnsi="Times New Roman" w:cs="Times New Roman"/>
          <w:b/>
          <w:bCs/>
          <w:sz w:val="24"/>
          <w:szCs w:val="24"/>
          <w:u w:color="000000"/>
        </w:rPr>
      </w:pPr>
    </w:p>
    <w:p w:rsidR="00D82F28" w:rsidRDefault="0022420A">
      <w:pPr>
        <w:pStyle w:val="Body"/>
        <w:spacing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There is </w:t>
      </w:r>
      <w:r>
        <w:rPr>
          <w:rFonts w:ascii="Times New Roman" w:hAnsi="Times New Roman"/>
          <w:b/>
          <w:bCs/>
          <w:sz w:val="24"/>
          <w:szCs w:val="24"/>
          <w:u w:color="000000"/>
        </w:rPr>
        <w:t>substantial evidence that the actions of high-income States (from high levels of material consumption to high levels of greenhouse gas emissions) are linked to adverse effects on water availability and water quality in low and middle-income States. What ar</w:t>
      </w:r>
      <w:r>
        <w:rPr>
          <w:rFonts w:ascii="Times New Roman" w:hAnsi="Times New Roman"/>
          <w:b/>
          <w:bCs/>
          <w:sz w:val="24"/>
          <w:szCs w:val="24"/>
          <w:u w:color="000000"/>
        </w:rPr>
        <w:t>e ways in which high-income States should assist low-income States in responding to and preventing water pollution, water scarcity and floods?</w:t>
      </w:r>
    </w:p>
    <w:p w:rsidR="00D82F28" w:rsidRDefault="00D82F28">
      <w:pPr>
        <w:pStyle w:val="Body"/>
        <w:spacing w:after="120"/>
        <w:jc w:val="both"/>
        <w:rPr>
          <w:rFonts w:ascii="Times New Roman" w:eastAsia="Times New Roman" w:hAnsi="Times New Roman" w:cs="Times New Roman"/>
          <w:b/>
          <w:bCs/>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High-income States should consider the enactment of legislation requiring parent companies headquartered within </w:t>
      </w:r>
      <w:r>
        <w:rPr>
          <w:rFonts w:ascii="Times New Roman" w:hAnsi="Times New Roman"/>
          <w:sz w:val="24"/>
          <w:szCs w:val="24"/>
          <w:u w:color="000000"/>
        </w:rPr>
        <w:t>their jurisdiction to conduct human rights due diligence covering the conduct of overseas subsidiaries and other entities within supply chains. Parent companies in high-income States could thereby be required to implement group wide policies and precaution</w:t>
      </w:r>
      <w:r>
        <w:rPr>
          <w:rFonts w:ascii="Times New Roman" w:hAnsi="Times New Roman"/>
          <w:sz w:val="24"/>
          <w:szCs w:val="24"/>
          <w:u w:color="000000"/>
        </w:rPr>
        <w:t xml:space="preserve">s to prevent overseas subsidiaries in low-income States polluting water sources. </w:t>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22420A">
      <w:pPr>
        <w:pStyle w:val="Body"/>
        <w:spacing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High-income States should also redouble their efforts in providing climate change adaptation assistance to low-income States, and in this connection give the growing body of</w:t>
      </w:r>
      <w:r>
        <w:rPr>
          <w:rFonts w:ascii="Times New Roman" w:hAnsi="Times New Roman"/>
          <w:sz w:val="24"/>
          <w:szCs w:val="24"/>
          <w:u w:color="000000"/>
        </w:rPr>
        <w:t xml:space="preserve"> literature on extraterritorial obligations under international human rights law their renewed consideration.</w:t>
      </w:r>
      <w:r>
        <w:rPr>
          <w:rFonts w:ascii="Times New Roman" w:eastAsia="Times New Roman" w:hAnsi="Times New Roman" w:cs="Times New Roman"/>
          <w:sz w:val="24"/>
          <w:szCs w:val="24"/>
          <w:u w:color="000000"/>
          <w:vertAlign w:val="superscript"/>
        </w:rPr>
        <w:footnoteReference w:id="23"/>
      </w:r>
    </w:p>
    <w:p w:rsidR="00D82F28" w:rsidRDefault="00D82F28">
      <w:pPr>
        <w:pStyle w:val="Body"/>
        <w:spacing w:after="120"/>
        <w:jc w:val="both"/>
        <w:rPr>
          <w:rFonts w:ascii="Times New Roman" w:eastAsia="Times New Roman" w:hAnsi="Times New Roman" w:cs="Times New Roman"/>
          <w:sz w:val="24"/>
          <w:szCs w:val="24"/>
          <w:u w:color="000000"/>
        </w:rPr>
      </w:pPr>
    </w:p>
    <w:p w:rsidR="00D82F28" w:rsidRDefault="0022420A">
      <w:pPr>
        <w:pStyle w:val="Body"/>
        <w:ind w:left="360"/>
        <w:jc w:val="right"/>
        <w:rPr>
          <w:rFonts w:ascii="Times New Roman" w:eastAsia="Times New Roman" w:hAnsi="Times New Roman" w:cs="Times New Roman"/>
          <w:b/>
          <w:bCs/>
          <w:sz w:val="24"/>
          <w:szCs w:val="24"/>
          <w:u w:color="000000"/>
        </w:rPr>
      </w:pPr>
      <w:r>
        <w:rPr>
          <w:rFonts w:ascii="Times New Roman" w:hAnsi="Times New Roman"/>
          <w:b/>
          <w:bCs/>
          <w:sz w:val="24"/>
          <w:szCs w:val="24"/>
          <w:u w:color="000000"/>
        </w:rPr>
        <w:t>Mr Jefferi Hamzah Sendut, LLM (LSE) (Cand.), BA (Law) (Cantab)</w:t>
      </w:r>
    </w:p>
    <w:p w:rsidR="00D82F28" w:rsidRDefault="0022420A">
      <w:pPr>
        <w:pStyle w:val="Body"/>
        <w:ind w:left="360"/>
        <w:jc w:val="right"/>
        <w:rPr>
          <w:rFonts w:ascii="Times New Roman" w:eastAsia="Times New Roman" w:hAnsi="Times New Roman" w:cs="Times New Roman"/>
          <w:sz w:val="24"/>
          <w:szCs w:val="24"/>
          <w:u w:color="000000"/>
        </w:rPr>
      </w:pPr>
      <w:r>
        <w:rPr>
          <w:rFonts w:ascii="Times New Roman" w:hAnsi="Times New Roman"/>
          <w:sz w:val="24"/>
          <w:szCs w:val="24"/>
          <w:u w:color="000000"/>
        </w:rPr>
        <w:t>Malaysian Citizen, Independent Researcher on Public International Law</w:t>
      </w:r>
    </w:p>
    <w:p w:rsidR="00D82F28" w:rsidRDefault="00D82F28">
      <w:pPr>
        <w:pStyle w:val="Body"/>
        <w:ind w:left="360"/>
        <w:jc w:val="right"/>
        <w:rPr>
          <w:rFonts w:ascii="Times New Roman" w:eastAsia="Times New Roman" w:hAnsi="Times New Roman" w:cs="Times New Roman"/>
          <w:sz w:val="24"/>
          <w:szCs w:val="24"/>
          <w:u w:color="000000"/>
        </w:rPr>
      </w:pPr>
    </w:p>
    <w:p w:rsidR="00D82F28" w:rsidRDefault="0022420A">
      <w:pPr>
        <w:pStyle w:val="Body"/>
        <w:ind w:left="360"/>
        <w:jc w:val="right"/>
      </w:pPr>
      <w:r>
        <w:rPr>
          <w:rFonts w:ascii="Times New Roman" w:hAnsi="Times New Roman"/>
          <w:sz w:val="24"/>
          <w:szCs w:val="24"/>
          <w:u w:color="000000"/>
        </w:rPr>
        <w:t>10 Novembe</w:t>
      </w:r>
      <w:r>
        <w:rPr>
          <w:rFonts w:ascii="Times New Roman" w:hAnsi="Times New Roman"/>
          <w:sz w:val="24"/>
          <w:szCs w:val="24"/>
          <w:u w:color="000000"/>
        </w:rPr>
        <w:t>r 2020</w:t>
      </w:r>
    </w:p>
    <w:sectPr w:rsidR="00D82F2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0A" w:rsidRDefault="0022420A">
      <w:r>
        <w:separator/>
      </w:r>
    </w:p>
  </w:endnote>
  <w:endnote w:type="continuationSeparator" w:id="0">
    <w:p w:rsidR="0022420A" w:rsidRDefault="0022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28" w:rsidRDefault="00D82F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0A" w:rsidRDefault="0022420A">
      <w:r>
        <w:separator/>
      </w:r>
    </w:p>
  </w:footnote>
  <w:footnote w:type="continuationSeparator" w:id="0">
    <w:p w:rsidR="0022420A" w:rsidRDefault="0022420A">
      <w:r>
        <w:continuationSeparator/>
      </w:r>
    </w:p>
  </w:footnote>
  <w:footnote w:type="continuationNotice" w:id="1">
    <w:p w:rsidR="0022420A" w:rsidRDefault="0022420A"/>
  </w:footnote>
  <w:footnote w:id="2">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lang w:val="en-US"/>
        </w:rPr>
        <w:t xml:space="preserve">  Floods and water scarcity are also serious issues affecting Malaysia. See UNHRC, </w:t>
      </w:r>
      <w:r>
        <w:rPr>
          <w:rFonts w:ascii="Times New Roman" w:hAnsi="Times New Roman"/>
          <w:lang w:val="en-US"/>
        </w:rPr>
        <w:t>‘</w:t>
      </w:r>
      <w:r>
        <w:rPr>
          <w:rFonts w:ascii="Times New Roman" w:hAnsi="Times New Roman"/>
          <w:lang w:val="en-US"/>
        </w:rPr>
        <w:t>Report of the Special Rapporteur on the human rights to</w:t>
      </w:r>
      <w:r>
        <w:rPr>
          <w:rFonts w:ascii="Times New Roman" w:hAnsi="Times New Roman"/>
          <w:lang w:val="en-US"/>
        </w:rPr>
        <w:t xml:space="preserve"> safe drinking water and sanitation</w:t>
      </w:r>
      <w:r>
        <w:rPr>
          <w:rFonts w:ascii="Times New Roman" w:hAnsi="Times New Roman"/>
          <w:lang w:val="en-US"/>
        </w:rPr>
        <w:t xml:space="preserve">’ </w:t>
      </w:r>
      <w:r>
        <w:rPr>
          <w:rFonts w:ascii="Times New Roman" w:hAnsi="Times New Roman"/>
          <w:lang w:val="en-US"/>
        </w:rPr>
        <w:t xml:space="preserve">(2019) UN Doc A/HRC/42/47/Add.2, 8; </w:t>
      </w:r>
      <w:r>
        <w:rPr>
          <w:rFonts w:ascii="Times New Roman" w:hAnsi="Times New Roman"/>
          <w:lang w:val="pt-PT"/>
        </w:rPr>
        <w:t>Prime Minister</w:t>
      </w:r>
      <w:r>
        <w:rPr>
          <w:rFonts w:ascii="Times New Roman" w:hAnsi="Times New Roman"/>
        </w:rPr>
        <w:t>’</w:t>
      </w:r>
      <w:r>
        <w:rPr>
          <w:rFonts w:ascii="Times New Roman" w:hAnsi="Times New Roman"/>
          <w:lang w:val="en-US"/>
        </w:rPr>
        <w:t xml:space="preserve">s Department, </w:t>
      </w:r>
      <w:r>
        <w:rPr>
          <w:rFonts w:ascii="Times New Roman" w:hAnsi="Times New Roman"/>
        </w:rPr>
        <w:t>‘</w:t>
      </w:r>
      <w:r>
        <w:rPr>
          <w:rFonts w:ascii="Times New Roman" w:hAnsi="Times New Roman"/>
          <w:lang w:val="nl-NL"/>
        </w:rPr>
        <w:t>Eleventh Malaysia Plan</w:t>
      </w:r>
      <w:r>
        <w:rPr>
          <w:rFonts w:ascii="Times New Roman" w:hAnsi="Times New Roman"/>
        </w:rPr>
        <w:t xml:space="preserve">’ </w:t>
      </w:r>
      <w:r>
        <w:rPr>
          <w:rFonts w:ascii="Times New Roman" w:hAnsi="Times New Roman"/>
          <w:lang w:val="it-IT"/>
        </w:rPr>
        <w:t>(2015) &lt;https://www.pmo.gov.my/dokumenattached/RMK/RMKe-11Book.pdf&gt; 6.2, 6.7, 6.8.</w:t>
      </w:r>
    </w:p>
  </w:footnote>
  <w:footnote w:id="3">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lang w:val="en-US"/>
        </w:rPr>
        <w:t xml:space="preserve"> Ministry of Energy, Science, Technology, Env</w:t>
      </w:r>
      <w:r>
        <w:rPr>
          <w:rFonts w:ascii="Times New Roman" w:hAnsi="Times New Roman"/>
          <w:lang w:val="en-US"/>
        </w:rPr>
        <w:t xml:space="preserve">ironment and Climate Change, </w:t>
      </w:r>
      <w:r>
        <w:rPr>
          <w:rFonts w:ascii="Times New Roman" w:hAnsi="Times New Roman"/>
          <w:lang w:val="en-US"/>
        </w:rPr>
        <w:t>‘</w:t>
      </w:r>
      <w:r>
        <w:rPr>
          <w:rFonts w:ascii="Times New Roman" w:hAnsi="Times New Roman"/>
          <w:lang w:val="en-US"/>
        </w:rPr>
        <w:t>Environmental Quality Report 2018</w:t>
      </w:r>
      <w:r>
        <w:rPr>
          <w:rFonts w:ascii="Times New Roman" w:hAnsi="Times New Roman"/>
          <w:lang w:val="en-US"/>
        </w:rPr>
        <w:t xml:space="preserve">’ </w:t>
      </w:r>
      <w:r>
        <w:rPr>
          <w:rFonts w:ascii="Times New Roman" w:hAnsi="Times New Roman"/>
          <w:lang w:val="en-US"/>
        </w:rPr>
        <w:t>(2019) &lt;</w:t>
      </w:r>
      <w:r>
        <w:rPr>
          <w:rFonts w:ascii="Times New Roman" w:hAnsi="Times New Roman"/>
        </w:rPr>
        <w:t>https://enviro2.doe.gov.my/ekmc/wp-content/uploads/2019/09/FULL-FINAL-EQR-30092019.pdf</w:t>
      </w:r>
      <w:r>
        <w:rPr>
          <w:rFonts w:ascii="Times New Roman" w:hAnsi="Times New Roman"/>
          <w:lang w:val="en-US"/>
        </w:rPr>
        <w:t>&gt; 38 (sample of 638 rivers).</w:t>
      </w:r>
    </w:p>
  </w:footnote>
  <w:footnote w:id="4">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ibid.</w:t>
      </w:r>
    </w:p>
  </w:footnote>
  <w:footnote w:id="5">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w:t>
      </w:r>
      <w:r>
        <w:rPr>
          <w:rFonts w:ascii="Times New Roman" w:hAnsi="Times New Roman"/>
          <w:lang w:val="en-US"/>
        </w:rPr>
        <w:t>Pasir Gudang pollution caused by leftover toxic waste fro</w:t>
      </w:r>
      <w:r>
        <w:rPr>
          <w:rFonts w:ascii="Times New Roman" w:hAnsi="Times New Roman"/>
          <w:lang w:val="en-US"/>
        </w:rPr>
        <w:t>m Sungai Kim Kim, minister says</w:t>
      </w:r>
      <w:r>
        <w:rPr>
          <w:rFonts w:ascii="Times New Roman" w:hAnsi="Times New Roman"/>
          <w:lang w:val="en-US"/>
        </w:rPr>
        <w:t xml:space="preserve">’ </w:t>
      </w:r>
      <w:r>
        <w:rPr>
          <w:rFonts w:ascii="Times New Roman" w:hAnsi="Times New Roman"/>
          <w:lang w:val="en-US"/>
        </w:rPr>
        <w:t>(</w:t>
      </w:r>
      <w:r>
        <w:rPr>
          <w:rFonts w:ascii="Times New Roman" w:hAnsi="Times New Roman"/>
          <w:i/>
          <w:iCs/>
          <w:lang w:val="en-US"/>
        </w:rPr>
        <w:t>Straits Times</w:t>
      </w:r>
      <w:r>
        <w:rPr>
          <w:rFonts w:ascii="Times New Roman" w:hAnsi="Times New Roman"/>
          <w:lang w:val="en-US"/>
        </w:rPr>
        <w:t>, 24 June 2019) &lt;https://www.straitstimes.com/asia/se-asia/pasir-gudang-pollution-caused-by-leftover-toxic-waste-from-sungai-kim-kim-minister-says&gt; accessed 9 November 2020.</w:t>
      </w:r>
    </w:p>
  </w:footnote>
  <w:footnote w:id="6">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w:t>
      </w:r>
      <w:r>
        <w:rPr>
          <w:rFonts w:ascii="Times New Roman" w:hAnsi="Times New Roman"/>
          <w:lang w:val="en-US"/>
        </w:rPr>
        <w:t>Four water treatment plants in S</w:t>
      </w:r>
      <w:r>
        <w:rPr>
          <w:rFonts w:ascii="Times New Roman" w:hAnsi="Times New Roman"/>
          <w:lang w:val="en-US"/>
        </w:rPr>
        <w:t>elangor shut down after diesel pollution detected</w:t>
      </w:r>
      <w:r>
        <w:rPr>
          <w:rFonts w:ascii="Times New Roman" w:hAnsi="Times New Roman"/>
          <w:lang w:val="en-US"/>
        </w:rPr>
        <w:t xml:space="preserve">’ </w:t>
      </w:r>
      <w:r>
        <w:rPr>
          <w:rFonts w:ascii="Times New Roman" w:hAnsi="Times New Roman"/>
          <w:lang w:val="en-US"/>
        </w:rPr>
        <w:t>(</w:t>
      </w:r>
      <w:r>
        <w:rPr>
          <w:rFonts w:ascii="Times New Roman" w:hAnsi="Times New Roman"/>
          <w:i/>
          <w:iCs/>
          <w:lang w:val="en-US"/>
        </w:rPr>
        <w:t>Malay Mail</w:t>
      </w:r>
      <w:r>
        <w:rPr>
          <w:rFonts w:ascii="Times New Roman" w:hAnsi="Times New Roman"/>
          <w:lang w:val="en-US"/>
        </w:rPr>
        <w:t xml:space="preserve">, 22 July 2019) &lt;https://www.malaymail.com/news/malaysia/2019/07/22/four-water-treatment-plants-in-selangor-shuts-down-after-diesel-pollution-d/1773574&gt; accessed 9 November 2020; </w:t>
      </w:r>
      <w:r>
        <w:rPr>
          <w:rFonts w:ascii="Times New Roman" w:hAnsi="Times New Roman"/>
          <w:lang w:val="en-US"/>
        </w:rPr>
        <w:t>‘</w:t>
      </w:r>
      <w:r>
        <w:rPr>
          <w:rFonts w:ascii="Times New Roman" w:hAnsi="Times New Roman"/>
          <w:lang w:val="en-US"/>
        </w:rPr>
        <w:t>SPAN will prob</w:t>
      </w:r>
      <w:r>
        <w:rPr>
          <w:rFonts w:ascii="Times New Roman" w:hAnsi="Times New Roman"/>
          <w:lang w:val="en-US"/>
        </w:rPr>
        <w:t>e and take action against culprits over odour pollution, says Xavier</w:t>
      </w:r>
      <w:r>
        <w:rPr>
          <w:rFonts w:ascii="Times New Roman" w:hAnsi="Times New Roman"/>
          <w:lang w:val="en-US"/>
        </w:rPr>
        <w:t xml:space="preserve">’ </w:t>
      </w:r>
      <w:r>
        <w:rPr>
          <w:rFonts w:ascii="Times New Roman" w:hAnsi="Times New Roman"/>
          <w:lang w:val="en-US"/>
        </w:rPr>
        <w:t>(</w:t>
      </w:r>
      <w:r>
        <w:rPr>
          <w:rFonts w:ascii="Times New Roman" w:hAnsi="Times New Roman"/>
          <w:i/>
          <w:iCs/>
          <w:lang w:val="en-US"/>
        </w:rPr>
        <w:t>The Star</w:t>
      </w:r>
      <w:r>
        <w:rPr>
          <w:rFonts w:ascii="Times New Roman" w:hAnsi="Times New Roman"/>
          <w:lang w:val="en-US"/>
        </w:rPr>
        <w:t>, 21 July 2019) &lt;https://www.thestar.com.my/news/nation/2019/07/21/water-pollution-span-will-probe-and-take-action-says-xavier/&gt; accessed 9 November 2020.</w:t>
      </w:r>
    </w:p>
  </w:footnote>
  <w:footnote w:id="7">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lang w:val="en-US"/>
        </w:rPr>
        <w:t xml:space="preserve"> ‘</w:t>
      </w:r>
      <w:r>
        <w:rPr>
          <w:rFonts w:ascii="Times New Roman" w:hAnsi="Times New Roman"/>
          <w:lang w:val="en-US"/>
        </w:rPr>
        <w:t>Eight arrested over</w:t>
      </w:r>
      <w:r>
        <w:rPr>
          <w:rFonts w:ascii="Times New Roman" w:hAnsi="Times New Roman"/>
          <w:lang w:val="en-US"/>
        </w:rPr>
        <w:t xml:space="preserve"> Monday</w:t>
      </w:r>
      <w:r>
        <w:rPr>
          <w:rFonts w:ascii="Times New Roman" w:hAnsi="Times New Roman"/>
          <w:lang w:val="en-US"/>
        </w:rPr>
        <w:t>’</w:t>
      </w:r>
      <w:r>
        <w:rPr>
          <w:rFonts w:ascii="Times New Roman" w:hAnsi="Times New Roman"/>
          <w:lang w:val="en-US"/>
        </w:rPr>
        <w:t>s Sungai Selangor odour pollution, says Selangor CID chief</w:t>
      </w:r>
      <w:r>
        <w:rPr>
          <w:rFonts w:ascii="Times New Roman" w:hAnsi="Times New Roman"/>
          <w:lang w:val="en-US"/>
        </w:rPr>
        <w:t xml:space="preserve">’ </w:t>
      </w:r>
      <w:r>
        <w:rPr>
          <w:rFonts w:ascii="Times New Roman" w:hAnsi="Times New Roman"/>
          <w:lang w:val="en-US"/>
        </w:rPr>
        <w:t>(</w:t>
      </w:r>
      <w:r>
        <w:rPr>
          <w:rFonts w:ascii="Times New Roman" w:hAnsi="Times New Roman"/>
          <w:i/>
          <w:iCs/>
          <w:lang w:val="en-US"/>
        </w:rPr>
        <w:t>Malay Mail</w:t>
      </w:r>
      <w:r>
        <w:rPr>
          <w:rFonts w:ascii="Times New Roman" w:hAnsi="Times New Roman"/>
          <w:lang w:val="en-US"/>
        </w:rPr>
        <w:t>, 21 October 2020) &lt;https://www.malaymail.com/news/malaysia/2020/10/21/eight-arrested-over-mondays-sungai-selangor-odour-pollution-says-selangor-c/1914908&gt; accessed 9 November 2</w:t>
      </w:r>
      <w:r>
        <w:rPr>
          <w:rFonts w:ascii="Times New Roman" w:hAnsi="Times New Roman"/>
          <w:lang w:val="en-US"/>
        </w:rPr>
        <w:t>020.</w:t>
      </w:r>
    </w:p>
  </w:footnote>
  <w:footnote w:id="8">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lang w:val="en-US"/>
        </w:rPr>
        <w:t xml:space="preserve"> Human Rights Commission of Malaysia, </w:t>
      </w:r>
      <w:r>
        <w:rPr>
          <w:rFonts w:ascii="Times New Roman" w:hAnsi="Times New Roman"/>
        </w:rPr>
        <w:t>‘</w:t>
      </w:r>
      <w:r>
        <w:rPr>
          <w:rFonts w:ascii="Times New Roman" w:hAnsi="Times New Roman"/>
          <w:lang w:val="en-US"/>
        </w:rPr>
        <w:t>Annual Report 2018</w:t>
      </w:r>
      <w:r>
        <w:rPr>
          <w:rFonts w:ascii="Times New Roman" w:hAnsi="Times New Roman"/>
        </w:rPr>
        <w:t xml:space="preserve">’ </w:t>
      </w:r>
      <w:r>
        <w:rPr>
          <w:rFonts w:ascii="Times New Roman" w:hAnsi="Times New Roman"/>
          <w:lang w:val="en-US"/>
        </w:rPr>
        <w:t xml:space="preserve">(2018) &lt;https://drive.google.com/file/d/1fvvmlSqXJ2ysTdhRrYnSws6Bwz6FQiaG/view&gt; </w:t>
      </w:r>
      <w:r>
        <w:rPr>
          <w:rFonts w:ascii="Times New Roman" w:hAnsi="Times New Roman"/>
        </w:rPr>
        <w:t>96.</w:t>
      </w:r>
      <w:r>
        <w:rPr>
          <w:rFonts w:ascii="Times New Roman" w:hAnsi="Times New Roman"/>
          <w:lang w:val="en-US"/>
        </w:rPr>
        <w:t xml:space="preserve"> See also UNHRC (n 1) 7-8.</w:t>
      </w:r>
    </w:p>
  </w:footnote>
  <w:footnote w:id="9">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ibid, 89, 95.</w:t>
      </w:r>
    </w:p>
  </w:footnote>
  <w:footnote w:id="10">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 xml:space="preserve">Ministry of Energy, Science, Technology, Environment and </w:t>
      </w:r>
      <w:r>
        <w:rPr>
          <w:rFonts w:ascii="Times New Roman" w:hAnsi="Times New Roman"/>
          <w:lang w:val="en-US"/>
        </w:rPr>
        <w:t xml:space="preserve">Climate Change, </w:t>
      </w:r>
      <w:r>
        <w:rPr>
          <w:rFonts w:ascii="Times New Roman" w:hAnsi="Times New Roman"/>
          <w:lang w:val="en-US"/>
        </w:rPr>
        <w:t>‘</w:t>
      </w:r>
      <w:r>
        <w:rPr>
          <w:rFonts w:ascii="Times New Roman" w:hAnsi="Times New Roman"/>
          <w:lang w:val="en-US"/>
        </w:rPr>
        <w:t>Malaysia</w:t>
      </w:r>
      <w:r>
        <w:rPr>
          <w:rFonts w:ascii="Times New Roman" w:hAnsi="Times New Roman"/>
          <w:lang w:val="en-US"/>
        </w:rPr>
        <w:t>’</w:t>
      </w:r>
      <w:r>
        <w:rPr>
          <w:rFonts w:ascii="Times New Roman" w:hAnsi="Times New Roman"/>
          <w:lang w:val="en-US"/>
        </w:rPr>
        <w:t>s Third National Communication and Second Biennial Update Report submitted to the United Nations Framework Convention on Climate Change</w:t>
      </w:r>
      <w:r>
        <w:rPr>
          <w:rFonts w:ascii="Times New Roman" w:hAnsi="Times New Roman"/>
          <w:lang w:val="en-US"/>
        </w:rPr>
        <w:t xml:space="preserve">’ </w:t>
      </w:r>
      <w:r>
        <w:rPr>
          <w:rFonts w:ascii="Times New Roman" w:hAnsi="Times New Roman"/>
          <w:lang w:val="en-US"/>
        </w:rPr>
        <w:t>(2018) &lt;https://www.mestecc.gov.my/web/wp-content/uploads/2019/04/10.Malaysia-3rd-National-Co</w:t>
      </w:r>
      <w:r>
        <w:rPr>
          <w:rFonts w:ascii="Times New Roman" w:hAnsi="Times New Roman"/>
          <w:lang w:val="en-US"/>
        </w:rPr>
        <w:t>mmunication-and-2nd-Biennial-Update-Report-to-UNFCCC-NC-3-BUR-21.pdf&gt; 91.</w:t>
      </w:r>
    </w:p>
  </w:footnote>
  <w:footnote w:id="11">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ibid, 91, 94, 96, 98.</w:t>
      </w:r>
    </w:p>
  </w:footnote>
  <w:footnote w:id="12">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 xml:space="preserve">UNHRC, </w:t>
      </w:r>
      <w:r>
        <w:rPr>
          <w:rFonts w:ascii="Times New Roman" w:hAnsi="Times New Roman"/>
          <w:lang w:val="en-US"/>
        </w:rPr>
        <w:t>‘</w:t>
      </w:r>
      <w:r>
        <w:rPr>
          <w:rFonts w:ascii="Times New Roman" w:hAnsi="Times New Roman"/>
          <w:lang w:val="en-US"/>
        </w:rPr>
        <w:t>Report of the Special Rapporteur on the issue of human rights obligations relating to the enjoyment of a safe, clean, healthy and sustainable enviro</w:t>
      </w:r>
      <w:r>
        <w:rPr>
          <w:rFonts w:ascii="Times New Roman" w:hAnsi="Times New Roman"/>
          <w:lang w:val="en-US"/>
        </w:rPr>
        <w:t>nment</w:t>
      </w:r>
      <w:r>
        <w:rPr>
          <w:rFonts w:ascii="Times New Roman" w:hAnsi="Times New Roman"/>
          <w:lang w:val="en-US"/>
        </w:rPr>
        <w:t xml:space="preserve">’ </w:t>
      </w:r>
      <w:r>
        <w:rPr>
          <w:rFonts w:ascii="Times New Roman" w:hAnsi="Times New Roman"/>
          <w:lang w:val="en-US"/>
        </w:rPr>
        <w:t xml:space="preserve">(2020) UN Doc </w:t>
      </w:r>
      <w:r>
        <w:rPr>
          <w:rFonts w:ascii="Times New Roman" w:hAnsi="Times New Roman"/>
        </w:rPr>
        <w:t>A/HRC/43/53</w:t>
      </w:r>
      <w:r>
        <w:rPr>
          <w:rFonts w:ascii="Times New Roman" w:hAnsi="Times New Roman"/>
          <w:lang w:val="en-US"/>
        </w:rPr>
        <w:t>, 25.</w:t>
      </w:r>
    </w:p>
  </w:footnote>
  <w:footnote w:id="13">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lang w:val="en-US"/>
        </w:rPr>
        <w:t xml:space="preserve">Tan Tek Seng v </w:t>
      </w:r>
      <w:r>
        <w:rPr>
          <w:rFonts w:ascii="Times New Roman" w:hAnsi="Times New Roman"/>
          <w:i/>
          <w:iCs/>
        </w:rPr>
        <w:t>Suruhanjaya Perkhidmatan Pendidikan</w:t>
      </w:r>
      <w:r>
        <w:rPr>
          <w:rFonts w:ascii="Times New Roman" w:hAnsi="Times New Roman"/>
          <w:lang w:val="en-US"/>
        </w:rPr>
        <w:t xml:space="preserve"> [1996] 1 MLJ 261, 288.</w:t>
      </w:r>
    </w:p>
  </w:footnote>
  <w:footnote w:id="14">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lang w:val="en-US"/>
        </w:rPr>
        <w:t>Bato Bagi &amp; 6 Lain v Kerajaan Negeri Sarawak</w:t>
      </w:r>
      <w:r>
        <w:rPr>
          <w:rFonts w:ascii="Times New Roman" w:hAnsi="Times New Roman"/>
          <w:lang w:val="en-US"/>
        </w:rPr>
        <w:t xml:space="preserve"> [2011] MLJU 699, para 75 (Richard Malanjum CJSS).</w:t>
      </w:r>
    </w:p>
  </w:footnote>
  <w:footnote w:id="15">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Semenyih Jaya Sdn Bhd v Pentadbir Tanah Dae</w:t>
      </w:r>
      <w:r>
        <w:rPr>
          <w:rFonts w:ascii="Times New Roman" w:hAnsi="Times New Roman"/>
          <w:i/>
          <w:iCs/>
        </w:rPr>
        <w:t>rah Hulu</w:t>
      </w:r>
      <w:r>
        <w:rPr>
          <w:rFonts w:ascii="Times New Roman" w:hAnsi="Times New Roman"/>
          <w:i/>
          <w:iCs/>
          <w:lang w:val="en-US"/>
        </w:rPr>
        <w:t xml:space="preserve"> Langat and another</w:t>
      </w:r>
      <w:r>
        <w:rPr>
          <w:rFonts w:ascii="Times New Roman" w:hAnsi="Times New Roman"/>
          <w:lang w:val="en-US"/>
        </w:rPr>
        <w:t xml:space="preserve"> [2017] 3 MLJ 561, para 69.</w:t>
      </w:r>
    </w:p>
  </w:footnote>
  <w:footnote w:id="16">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lang w:val="en-US"/>
        </w:rPr>
        <w:t xml:space="preserve"> See </w:t>
      </w:r>
      <w:r>
        <w:rPr>
          <w:rFonts w:ascii="Times New Roman" w:hAnsi="Times New Roman"/>
          <w:i/>
          <w:iCs/>
          <w:lang w:val="en-US"/>
        </w:rPr>
        <w:t>Government of Malaysia v Lim Kit Siang</w:t>
      </w:r>
      <w:r>
        <w:rPr>
          <w:rFonts w:ascii="Times New Roman" w:hAnsi="Times New Roman"/>
        </w:rPr>
        <w:t> </w:t>
      </w:r>
      <w:r>
        <w:rPr>
          <w:rFonts w:ascii="Times New Roman" w:hAnsi="Times New Roman"/>
          <w:lang w:val="en-US"/>
        </w:rPr>
        <w:t>[1988] 2 MLJ 12.</w:t>
      </w:r>
    </w:p>
  </w:footnote>
  <w:footnote w:id="17">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M</w:t>
      </w:r>
      <w:r>
        <w:rPr>
          <w:rFonts w:ascii="Times New Roman" w:hAnsi="Times New Roman"/>
          <w:i/>
          <w:iCs/>
          <w:lang w:val="en-US"/>
        </w:rPr>
        <w:t xml:space="preserve">alaysian </w:t>
      </w:r>
      <w:r>
        <w:rPr>
          <w:rFonts w:ascii="Times New Roman" w:hAnsi="Times New Roman"/>
          <w:i/>
          <w:iCs/>
        </w:rPr>
        <w:t>T</w:t>
      </w:r>
      <w:r>
        <w:rPr>
          <w:rFonts w:ascii="Times New Roman" w:hAnsi="Times New Roman"/>
          <w:i/>
          <w:iCs/>
          <w:lang w:val="en-US"/>
        </w:rPr>
        <w:t xml:space="preserve">rade </w:t>
      </w:r>
      <w:r>
        <w:rPr>
          <w:rFonts w:ascii="Times New Roman" w:hAnsi="Times New Roman"/>
          <w:i/>
          <w:iCs/>
        </w:rPr>
        <w:t>U</w:t>
      </w:r>
      <w:r>
        <w:rPr>
          <w:rFonts w:ascii="Times New Roman" w:hAnsi="Times New Roman"/>
          <w:i/>
          <w:iCs/>
          <w:lang w:val="en-US"/>
        </w:rPr>
        <w:t xml:space="preserve">nion </w:t>
      </w:r>
      <w:r>
        <w:rPr>
          <w:rFonts w:ascii="Times New Roman" w:hAnsi="Times New Roman"/>
          <w:i/>
          <w:iCs/>
        </w:rPr>
        <w:t>C</w:t>
      </w:r>
      <w:r>
        <w:rPr>
          <w:rFonts w:ascii="Times New Roman" w:hAnsi="Times New Roman"/>
          <w:i/>
          <w:iCs/>
          <w:lang w:val="en-US"/>
        </w:rPr>
        <w:t>ongress</w:t>
      </w:r>
      <w:r>
        <w:rPr>
          <w:rFonts w:ascii="Times New Roman" w:hAnsi="Times New Roman"/>
          <w:i/>
          <w:iCs/>
        </w:rPr>
        <w:t xml:space="preserve"> v Menteri Tenaga, Air dan Komunikasi</w:t>
      </w:r>
      <w:r>
        <w:rPr>
          <w:rFonts w:ascii="Times New Roman" w:hAnsi="Times New Roman"/>
          <w:i/>
          <w:iCs/>
          <w:lang w:val="en-US"/>
        </w:rPr>
        <w:t xml:space="preserve"> </w:t>
      </w:r>
      <w:r>
        <w:rPr>
          <w:rFonts w:ascii="Times New Roman" w:hAnsi="Times New Roman"/>
        </w:rPr>
        <w:t>[2014]</w:t>
      </w:r>
      <w:r>
        <w:rPr>
          <w:rFonts w:ascii="Times New Roman" w:hAnsi="Times New Roman"/>
        </w:rPr>
        <w:t> </w:t>
      </w:r>
      <w:r>
        <w:rPr>
          <w:rFonts w:ascii="Times New Roman" w:hAnsi="Times New Roman"/>
          <w:lang w:val="en-US"/>
        </w:rPr>
        <w:t>2 CLJ</w:t>
      </w:r>
      <w:r>
        <w:rPr>
          <w:rFonts w:ascii="Times New Roman" w:hAnsi="Times New Roman"/>
        </w:rPr>
        <w:t> </w:t>
      </w:r>
      <w:r>
        <w:rPr>
          <w:rFonts w:ascii="Times New Roman" w:hAnsi="Times New Roman"/>
        </w:rPr>
        <w:t>525</w:t>
      </w:r>
      <w:r>
        <w:rPr>
          <w:rFonts w:ascii="Times New Roman" w:hAnsi="Times New Roman"/>
          <w:lang w:val="en-US"/>
        </w:rPr>
        <w:t xml:space="preserve">, para 57-58; </w:t>
      </w:r>
      <w:r>
        <w:rPr>
          <w:rFonts w:ascii="Times New Roman" w:hAnsi="Times New Roman"/>
          <w:i/>
          <w:iCs/>
          <w:lang w:val="en-US"/>
        </w:rPr>
        <w:t>Anwar Ibrahim v Government of Malaysia</w:t>
      </w:r>
      <w:r>
        <w:rPr>
          <w:rFonts w:ascii="Times New Roman" w:hAnsi="Times New Roman"/>
          <w:lang w:val="pt-PT"/>
        </w:rPr>
        <w:t xml:space="preserve"> [2020]</w:t>
      </w:r>
      <w:r>
        <w:rPr>
          <w:rFonts w:ascii="Times New Roman" w:hAnsi="Times New Roman"/>
        </w:rPr>
        <w:t> </w:t>
      </w:r>
      <w:r>
        <w:rPr>
          <w:rFonts w:ascii="Times New Roman" w:hAnsi="Times New Roman"/>
          <w:lang w:val="en-US"/>
        </w:rPr>
        <w:t>3 CLJ</w:t>
      </w:r>
      <w:r>
        <w:rPr>
          <w:rFonts w:ascii="Times New Roman" w:hAnsi="Times New Roman"/>
        </w:rPr>
        <w:t> </w:t>
      </w:r>
      <w:r>
        <w:rPr>
          <w:rFonts w:ascii="Times New Roman" w:hAnsi="Times New Roman"/>
        </w:rPr>
        <w:t>593</w:t>
      </w:r>
      <w:r>
        <w:rPr>
          <w:rFonts w:ascii="Times New Roman" w:hAnsi="Times New Roman"/>
          <w:lang w:val="en-US"/>
        </w:rPr>
        <w:t>, para 100-101.</w:t>
      </w:r>
    </w:p>
  </w:footnote>
  <w:footnote w:id="18">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See UNHRC (n 1) 3.</w:t>
      </w:r>
    </w:p>
  </w:footnote>
  <w:footnote w:id="19">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w:t>
      </w:r>
      <w:r>
        <w:rPr>
          <w:rFonts w:ascii="Times New Roman" w:hAnsi="Times New Roman"/>
          <w:lang w:val="en-US"/>
        </w:rPr>
        <w:t>Malaysia: Little Progress on Rights Reforms</w:t>
      </w:r>
      <w:r>
        <w:rPr>
          <w:rFonts w:ascii="Times New Roman" w:hAnsi="Times New Roman"/>
          <w:lang w:val="en-US"/>
        </w:rPr>
        <w:t xml:space="preserve">’ </w:t>
      </w:r>
      <w:r>
        <w:rPr>
          <w:rFonts w:ascii="Times New Roman" w:hAnsi="Times New Roman"/>
          <w:lang w:val="en-US"/>
        </w:rPr>
        <w:t>(</w:t>
      </w:r>
      <w:r>
        <w:rPr>
          <w:rFonts w:ascii="Times New Roman" w:hAnsi="Times New Roman"/>
          <w:i/>
          <w:iCs/>
          <w:lang w:val="en-US"/>
        </w:rPr>
        <w:t>Human Rights Watch</w:t>
      </w:r>
      <w:r>
        <w:rPr>
          <w:rFonts w:ascii="Times New Roman" w:hAnsi="Times New Roman"/>
          <w:lang w:val="en-US"/>
        </w:rPr>
        <w:t>, 7 May 2019) &lt;https://www.hrw.org/news/2019/05/07/malaysia-little-progress-rights-reforms&gt; accessed 9 November 2020.</w:t>
      </w:r>
    </w:p>
  </w:footnote>
  <w:footnote w:id="20">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 xml:space="preserve">CESCR </w:t>
      </w:r>
      <w:r>
        <w:rPr>
          <w:rFonts w:ascii="Times New Roman" w:hAnsi="Times New Roman"/>
          <w:lang w:val="en-US"/>
        </w:rPr>
        <w:t>‘</w:t>
      </w:r>
      <w:r>
        <w:rPr>
          <w:rFonts w:ascii="Times New Roman" w:hAnsi="Times New Roman"/>
          <w:lang w:val="en-US"/>
        </w:rPr>
        <w:t xml:space="preserve">General </w:t>
      </w:r>
      <w:r>
        <w:rPr>
          <w:rFonts w:ascii="Times New Roman" w:hAnsi="Times New Roman"/>
          <w:lang w:val="en-US"/>
        </w:rPr>
        <w:t>Comment 15</w:t>
      </w:r>
      <w:r>
        <w:rPr>
          <w:rFonts w:ascii="Times New Roman" w:hAnsi="Times New Roman"/>
          <w:lang w:val="en-US"/>
        </w:rPr>
        <w:t xml:space="preserve">’ </w:t>
      </w:r>
      <w:r>
        <w:rPr>
          <w:rFonts w:ascii="Times New Roman" w:hAnsi="Times New Roman"/>
          <w:lang w:val="en-US"/>
        </w:rPr>
        <w:t xml:space="preserve">(20 January 2003) </w:t>
      </w:r>
      <w:r>
        <w:rPr>
          <w:rFonts w:ascii="Times New Roman" w:hAnsi="Times New Roman"/>
        </w:rPr>
        <w:t>E/C.12/2002/11</w:t>
      </w:r>
      <w:r>
        <w:rPr>
          <w:rFonts w:ascii="Times New Roman" w:hAnsi="Times New Roman"/>
          <w:lang w:val="en-US"/>
        </w:rPr>
        <w:t>, 10-11.</w:t>
      </w:r>
    </w:p>
  </w:footnote>
  <w:footnote w:id="21">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 xml:space="preserve">See Anne </w:t>
      </w:r>
      <w:r>
        <w:rPr>
          <w:rFonts w:ascii="Times New Roman" w:hAnsi="Times New Roman"/>
        </w:rPr>
        <w:t xml:space="preserve">Hellum, </w:t>
      </w:r>
      <w:r>
        <w:rPr>
          <w:rFonts w:ascii="Times New Roman" w:hAnsi="Times New Roman"/>
          <w:lang w:val="en-US"/>
        </w:rPr>
        <w:t>‘</w:t>
      </w:r>
      <w:r>
        <w:rPr>
          <w:rFonts w:ascii="Times New Roman" w:hAnsi="Times New Roman"/>
          <w:lang w:val="en-US"/>
        </w:rPr>
        <w:t>Engendering the Right to Water and Sanitation: Integrating the Experiences of Women and Girls</w:t>
      </w:r>
      <w:r>
        <w:rPr>
          <w:rFonts w:ascii="Times New Roman" w:hAnsi="Times New Roman"/>
          <w:lang w:val="en-US"/>
        </w:rPr>
        <w:t>’</w:t>
      </w:r>
      <w:r>
        <w:rPr>
          <w:rFonts w:ascii="Times New Roman" w:hAnsi="Times New Roman"/>
          <w:lang w:val="en-US"/>
        </w:rPr>
        <w:t xml:space="preserve"> in Malcolm Langford and Anna FS Russell (eds),</w:t>
      </w:r>
      <w:r>
        <w:rPr>
          <w:rFonts w:ascii="Times New Roman" w:hAnsi="Times New Roman"/>
        </w:rPr>
        <w:t> </w:t>
      </w:r>
      <w:r>
        <w:rPr>
          <w:rFonts w:ascii="Times New Roman" w:hAnsi="Times New Roman"/>
          <w:i/>
          <w:iCs/>
          <w:lang w:val="en-US"/>
        </w:rPr>
        <w:t>The Human Right to Water: Theory, Practic</w:t>
      </w:r>
      <w:r>
        <w:rPr>
          <w:rFonts w:ascii="Times New Roman" w:hAnsi="Times New Roman"/>
          <w:i/>
          <w:iCs/>
          <w:lang w:val="en-US"/>
        </w:rPr>
        <w:t>e and Prospects</w:t>
      </w:r>
      <w:r>
        <w:rPr>
          <w:rFonts w:ascii="Times New Roman" w:hAnsi="Times New Roman"/>
        </w:rPr>
        <w:t> </w:t>
      </w:r>
      <w:r>
        <w:rPr>
          <w:rFonts w:ascii="Times New Roman" w:hAnsi="Times New Roman"/>
        </w:rPr>
        <w:t>(C</w:t>
      </w:r>
      <w:r>
        <w:rPr>
          <w:rFonts w:ascii="Times New Roman" w:hAnsi="Times New Roman"/>
          <w:lang w:val="en-US"/>
        </w:rPr>
        <w:t>UP</w:t>
      </w:r>
      <w:r>
        <w:rPr>
          <w:rFonts w:ascii="Times New Roman" w:hAnsi="Times New Roman"/>
        </w:rPr>
        <w:t xml:space="preserve"> 2017)</w:t>
      </w:r>
      <w:r>
        <w:rPr>
          <w:rFonts w:ascii="Times New Roman" w:hAnsi="Times New Roman"/>
          <w:lang w:val="en-US"/>
        </w:rPr>
        <w:t xml:space="preserve"> 310-311.</w:t>
      </w:r>
    </w:p>
  </w:footnote>
  <w:footnote w:id="22">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 xml:space="preserve">See John Tobin, </w:t>
      </w:r>
      <w:r>
        <w:rPr>
          <w:rFonts w:ascii="Times New Roman" w:hAnsi="Times New Roman"/>
          <w:lang w:val="en-US"/>
        </w:rPr>
        <w:t>‘</w:t>
      </w:r>
      <w:r>
        <w:rPr>
          <w:rFonts w:ascii="Times New Roman" w:hAnsi="Times New Roman"/>
        </w:rPr>
        <w:t>Art.</w:t>
      </w:r>
      <w:r>
        <w:rPr>
          <w:rFonts w:ascii="Times New Roman" w:hAnsi="Times New Roman"/>
          <w:lang w:val="en-US"/>
        </w:rPr>
        <w:t xml:space="preserve"> </w:t>
      </w:r>
      <w:r>
        <w:rPr>
          <w:rFonts w:ascii="Times New Roman" w:hAnsi="Times New Roman"/>
        </w:rPr>
        <w:t>24</w:t>
      </w:r>
      <w:r>
        <w:rPr>
          <w:rFonts w:ascii="Times New Roman" w:hAnsi="Times New Roman"/>
          <w:lang w:val="en-US"/>
        </w:rPr>
        <w:t>: The Right to Health</w:t>
      </w:r>
      <w:r>
        <w:rPr>
          <w:rFonts w:ascii="Times New Roman" w:hAnsi="Times New Roman"/>
          <w:lang w:val="en-US"/>
        </w:rPr>
        <w:t xml:space="preserve">’ </w:t>
      </w:r>
      <w:r>
        <w:rPr>
          <w:rFonts w:ascii="Times New Roman" w:hAnsi="Times New Roman"/>
          <w:lang w:val="en-US"/>
        </w:rPr>
        <w:t xml:space="preserve">in John Tobin (eds) </w:t>
      </w:r>
      <w:r>
        <w:rPr>
          <w:rFonts w:ascii="Times New Roman" w:hAnsi="Times New Roman"/>
          <w:i/>
          <w:iCs/>
          <w:lang w:val="en-US"/>
        </w:rPr>
        <w:t>The UN Convention on the Rights of the Child: A Commentary</w:t>
      </w:r>
      <w:r>
        <w:rPr>
          <w:rFonts w:ascii="Times New Roman" w:hAnsi="Times New Roman"/>
          <w:lang w:val="en-US"/>
        </w:rPr>
        <w:t xml:space="preserve"> (OUP 2019) 946-948.</w:t>
      </w:r>
    </w:p>
  </w:footnote>
  <w:footnote w:id="23">
    <w:p w:rsidR="00D82F28" w:rsidRDefault="0022420A">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 xml:space="preserve">See eg Olivier De Schutter and others, </w:t>
      </w:r>
      <w:r>
        <w:rPr>
          <w:rFonts w:ascii="Times New Roman" w:hAnsi="Times New Roman"/>
          <w:lang w:val="en-US"/>
        </w:rPr>
        <w:t>‘</w:t>
      </w:r>
      <w:r>
        <w:rPr>
          <w:rFonts w:ascii="Times New Roman" w:hAnsi="Times New Roman"/>
          <w:lang w:val="en-US"/>
        </w:rPr>
        <w:t>Commentary to the Maastricht P</w:t>
      </w:r>
      <w:r>
        <w:rPr>
          <w:rFonts w:ascii="Times New Roman" w:hAnsi="Times New Roman"/>
          <w:lang w:val="en-US"/>
        </w:rPr>
        <w:t>rinciples on Extraterritorial Obligations of States in the Area of Economic, Social and Cultural Rights</w:t>
      </w:r>
      <w:r>
        <w:rPr>
          <w:rFonts w:ascii="Times New Roman" w:hAnsi="Times New Roman"/>
          <w:lang w:val="en-US"/>
        </w:rPr>
        <w:t xml:space="preserve">’ </w:t>
      </w:r>
      <w:r>
        <w:rPr>
          <w:rFonts w:ascii="Times New Roman" w:hAnsi="Times New Roman"/>
          <w:lang w:val="en-US"/>
        </w:rPr>
        <w:t>(2012) 34 HRQ 1084.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28" w:rsidRDefault="0022420A">
    <w:pPr>
      <w:pStyle w:val="HeaderFooter"/>
      <w:tabs>
        <w:tab w:val="clear" w:pos="9020"/>
        <w:tab w:val="center" w:pos="4819"/>
        <w:tab w:val="right" w:pos="9638"/>
      </w:tabs>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lang w:val="en-US"/>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sidR="00442097">
      <w:rPr>
        <w:rFonts w:ascii="Times New Roman" w:eastAsia="Times New Roman" w:hAnsi="Times New Roman" w:cs="Times New Roman"/>
        <w:sz w:val="20"/>
        <w:szCs w:val="20"/>
      </w:rPr>
      <w:fldChar w:fldCharType="separate"/>
    </w:r>
    <w:r w:rsidR="00442097">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hAnsi="Times New Roman"/>
        <w:sz w:val="20"/>
        <w:szCs w:val="20"/>
        <w:lang w:val="en-US"/>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sidR="00442097">
      <w:rPr>
        <w:rFonts w:ascii="Times New Roman" w:eastAsia="Times New Roman" w:hAnsi="Times New Roman" w:cs="Times New Roman"/>
        <w:sz w:val="20"/>
        <w:szCs w:val="20"/>
      </w:rPr>
      <w:fldChar w:fldCharType="separate"/>
    </w:r>
    <w:r w:rsidR="00442097">
      <w:rPr>
        <w:rFonts w:ascii="Times New Roman" w:eastAsia="Times New Roman" w:hAnsi="Times New Roman" w:cs="Times New Roman"/>
        <w:noProof/>
        <w:sz w:val="20"/>
        <w:szCs w:val="20"/>
      </w:rPr>
      <w:t>5</w:t>
    </w:r>
    <w:r>
      <w:rPr>
        <w:rFonts w:ascii="Times New Roman" w:eastAsia="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5CB"/>
    <w:multiLevelType w:val="hybridMultilevel"/>
    <w:tmpl w:val="A64EAB26"/>
    <w:styleLink w:val="Bullet"/>
    <w:lvl w:ilvl="0" w:tplc="4016EE6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AFAE197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E0E1E9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62A8F1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A16005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F84AA7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D043D1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4C96804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854518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9A64B32"/>
    <w:multiLevelType w:val="hybridMultilevel"/>
    <w:tmpl w:val="A64EAB26"/>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28"/>
    <w:rsid w:val="0022420A"/>
    <w:rsid w:val="00442097"/>
    <w:rsid w:val="00D8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237B0DB-83A7-4921-A209-BF141354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89A096-E9C4-4D60-9465-329C2B517477}"/>
</file>

<file path=customXml/itemProps2.xml><?xml version="1.0" encoding="utf-8"?>
<ds:datastoreItem xmlns:ds="http://schemas.openxmlformats.org/officeDocument/2006/customXml" ds:itemID="{22851C4C-1030-48DF-9A5F-D4114B2B256C}"/>
</file>

<file path=customXml/itemProps3.xml><?xml version="1.0" encoding="utf-8"?>
<ds:datastoreItem xmlns:ds="http://schemas.openxmlformats.org/officeDocument/2006/customXml" ds:itemID="{64F6E28F-A473-4164-A47B-AEDACA6F806A}"/>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 Viktoria</dc:creator>
  <cp:lastModifiedBy>ABERG Viktoria</cp:lastModifiedBy>
  <cp:revision>1</cp:revision>
  <dcterms:created xsi:type="dcterms:W3CDTF">2020-11-20T12:42:00Z</dcterms:created>
  <dcterms:modified xsi:type="dcterms:W3CDTF">2020-11-20T12:42:00Z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