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9B0BD" w14:textId="2DF79331" w:rsidR="002A7F6C" w:rsidRPr="00CC530B" w:rsidRDefault="002A7F6C" w:rsidP="00F25D10">
      <w:pPr>
        <w:spacing w:line="276" w:lineRule="auto"/>
        <w:rPr>
          <w:sz w:val="22"/>
          <w:szCs w:val="20"/>
        </w:rPr>
      </w:pPr>
      <w:bookmarkStart w:id="0" w:name="_GoBack"/>
      <w:bookmarkEnd w:id="0"/>
      <w:r w:rsidRPr="00CC530B">
        <w:rPr>
          <w:sz w:val="22"/>
          <w:szCs w:val="20"/>
        </w:rPr>
        <w:t xml:space="preserve">Office of the </w:t>
      </w:r>
      <w:r w:rsidR="00551130">
        <w:rPr>
          <w:sz w:val="22"/>
          <w:szCs w:val="20"/>
        </w:rPr>
        <w:t xml:space="preserve">UN High Commissioner </w:t>
      </w:r>
      <w:r w:rsidRPr="00CC530B">
        <w:rPr>
          <w:sz w:val="22"/>
          <w:szCs w:val="20"/>
        </w:rPr>
        <w:t>for Human Rights</w:t>
      </w:r>
    </w:p>
    <w:p w14:paraId="717E26FD" w14:textId="77777777" w:rsidR="002A7F6C" w:rsidRPr="00CC530B" w:rsidRDefault="002A7F6C" w:rsidP="00F25D10">
      <w:pPr>
        <w:spacing w:line="276" w:lineRule="auto"/>
        <w:rPr>
          <w:sz w:val="22"/>
          <w:szCs w:val="20"/>
        </w:rPr>
      </w:pPr>
      <w:r w:rsidRPr="00CC530B">
        <w:rPr>
          <w:sz w:val="22"/>
          <w:szCs w:val="20"/>
        </w:rPr>
        <w:t>United Nations Office at Geneva</w:t>
      </w:r>
    </w:p>
    <w:p w14:paraId="0FAA9A12" w14:textId="7439D103" w:rsidR="002A7F6C" w:rsidRPr="00CC530B" w:rsidRDefault="00551130" w:rsidP="00F25D10">
      <w:pPr>
        <w:spacing w:line="276" w:lineRule="auto"/>
        <w:rPr>
          <w:sz w:val="22"/>
          <w:szCs w:val="20"/>
        </w:rPr>
      </w:pPr>
      <w:r>
        <w:rPr>
          <w:sz w:val="22"/>
          <w:szCs w:val="20"/>
        </w:rPr>
        <w:t xml:space="preserve">CH </w:t>
      </w:r>
      <w:r w:rsidR="002A7F6C" w:rsidRPr="00CC530B">
        <w:rPr>
          <w:sz w:val="22"/>
          <w:szCs w:val="20"/>
        </w:rPr>
        <w:t>-</w:t>
      </w:r>
      <w:r>
        <w:rPr>
          <w:sz w:val="22"/>
          <w:szCs w:val="20"/>
        </w:rPr>
        <w:t xml:space="preserve"> </w:t>
      </w:r>
      <w:r w:rsidR="002A7F6C" w:rsidRPr="00CC530B">
        <w:rPr>
          <w:sz w:val="22"/>
          <w:szCs w:val="20"/>
        </w:rPr>
        <w:t>1211 – Geneva 10</w:t>
      </w:r>
    </w:p>
    <w:p w14:paraId="1EE55638" w14:textId="77777777" w:rsidR="00A946C3" w:rsidRPr="00CC530B" w:rsidRDefault="002A7F6C" w:rsidP="00F25D10">
      <w:pPr>
        <w:spacing w:line="276" w:lineRule="auto"/>
        <w:rPr>
          <w:sz w:val="22"/>
          <w:szCs w:val="20"/>
        </w:rPr>
      </w:pPr>
      <w:r w:rsidRPr="00CC530B">
        <w:rPr>
          <w:sz w:val="22"/>
          <w:szCs w:val="20"/>
        </w:rPr>
        <w:t>Switzerland</w:t>
      </w:r>
    </w:p>
    <w:p w14:paraId="5F29663A" w14:textId="52827E10" w:rsidR="00A946C3" w:rsidRPr="00CC530B" w:rsidRDefault="00456D8A" w:rsidP="00F25D10">
      <w:pPr>
        <w:spacing w:line="276" w:lineRule="auto"/>
        <w:ind w:left="4820"/>
        <w:jc w:val="right"/>
        <w:rPr>
          <w:sz w:val="22"/>
          <w:szCs w:val="20"/>
          <w:lang w:val="en-IE"/>
        </w:rPr>
      </w:pPr>
      <w:r w:rsidRPr="00CC530B">
        <w:rPr>
          <w:sz w:val="22"/>
          <w:szCs w:val="20"/>
          <w:lang w:val="en-IE"/>
        </w:rPr>
        <w:t>Vienna,</w:t>
      </w:r>
      <w:r w:rsidR="00551130">
        <w:rPr>
          <w:sz w:val="22"/>
          <w:szCs w:val="20"/>
          <w:lang w:val="en-IE"/>
        </w:rPr>
        <w:t xml:space="preserve"> </w:t>
      </w:r>
      <w:r w:rsidR="00BF03CA">
        <w:rPr>
          <w:sz w:val="22"/>
          <w:szCs w:val="20"/>
          <w:lang w:val="en-IE"/>
        </w:rPr>
        <w:t xml:space="preserve">12 May </w:t>
      </w:r>
      <w:r w:rsidR="00551130">
        <w:rPr>
          <w:sz w:val="22"/>
          <w:szCs w:val="20"/>
          <w:lang w:val="en-IE"/>
        </w:rPr>
        <w:t>2017</w:t>
      </w:r>
    </w:p>
    <w:p w14:paraId="5243AEA3" w14:textId="15E8F131" w:rsidR="00A946C3" w:rsidRPr="00CC530B" w:rsidRDefault="00A946C3" w:rsidP="00F25D10">
      <w:pPr>
        <w:spacing w:line="276" w:lineRule="auto"/>
        <w:ind w:left="4820"/>
        <w:jc w:val="right"/>
        <w:rPr>
          <w:sz w:val="22"/>
          <w:szCs w:val="20"/>
          <w:lang w:val="en-IE"/>
        </w:rPr>
      </w:pPr>
      <w:r w:rsidRPr="00CC530B">
        <w:rPr>
          <w:sz w:val="22"/>
          <w:szCs w:val="20"/>
          <w:lang w:val="en-IE"/>
        </w:rPr>
        <w:t xml:space="preserve">Ref: </w:t>
      </w:r>
      <w:r w:rsidR="008B103B" w:rsidRPr="008B103B">
        <w:rPr>
          <w:sz w:val="22"/>
          <w:szCs w:val="20"/>
        </w:rPr>
        <w:t>2017-outgoing-000640</w:t>
      </w:r>
    </w:p>
    <w:p w14:paraId="098F8ED1" w14:textId="77777777" w:rsidR="00A946C3" w:rsidRPr="00CC530B" w:rsidRDefault="00A946C3" w:rsidP="00F25D10">
      <w:pPr>
        <w:spacing w:line="276" w:lineRule="auto"/>
        <w:ind w:left="4820"/>
        <w:rPr>
          <w:sz w:val="22"/>
          <w:szCs w:val="20"/>
          <w:lang w:val="en-IE"/>
        </w:rPr>
      </w:pPr>
    </w:p>
    <w:p w14:paraId="6366951B" w14:textId="77777777" w:rsidR="00A946C3" w:rsidRPr="00CC530B" w:rsidRDefault="00A946C3" w:rsidP="00F25D10">
      <w:pPr>
        <w:spacing w:line="276" w:lineRule="auto"/>
        <w:ind w:left="4820"/>
        <w:rPr>
          <w:sz w:val="22"/>
          <w:szCs w:val="20"/>
          <w:lang w:val="en-IE"/>
        </w:rPr>
      </w:pPr>
    </w:p>
    <w:p w14:paraId="67DDDCED" w14:textId="1A4977AB" w:rsidR="00A946C3" w:rsidRPr="00CC530B" w:rsidRDefault="00A946C3" w:rsidP="00F25D10">
      <w:pPr>
        <w:spacing w:line="276" w:lineRule="auto"/>
        <w:rPr>
          <w:b/>
          <w:sz w:val="22"/>
          <w:szCs w:val="20"/>
        </w:rPr>
      </w:pPr>
      <w:r w:rsidRPr="00CC530B">
        <w:rPr>
          <w:b/>
          <w:sz w:val="22"/>
          <w:szCs w:val="20"/>
          <w:lang w:val="en-IE"/>
        </w:rPr>
        <w:t xml:space="preserve">Subject: </w:t>
      </w:r>
      <w:r w:rsidR="00551130">
        <w:rPr>
          <w:b/>
          <w:sz w:val="22"/>
          <w:szCs w:val="20"/>
          <w:lang w:val="en-IE"/>
        </w:rPr>
        <w:t>Human Rights Council resolution 31/6</w:t>
      </w:r>
      <w:r w:rsidR="00EB7291" w:rsidRPr="00CC530B">
        <w:rPr>
          <w:b/>
          <w:sz w:val="22"/>
          <w:szCs w:val="20"/>
        </w:rPr>
        <w:t xml:space="preserve"> </w:t>
      </w:r>
    </w:p>
    <w:p w14:paraId="45716BA8" w14:textId="77777777" w:rsidR="00A946C3" w:rsidRPr="00551130" w:rsidRDefault="00A946C3" w:rsidP="00F25D10">
      <w:pPr>
        <w:spacing w:line="276" w:lineRule="auto"/>
        <w:rPr>
          <w:sz w:val="22"/>
          <w:lang w:val="en-IE"/>
        </w:rPr>
      </w:pPr>
    </w:p>
    <w:p w14:paraId="63EBCC9C" w14:textId="5DB7027D" w:rsidR="00551130" w:rsidRPr="00551130" w:rsidRDefault="00737AE7" w:rsidP="00551130">
      <w:pPr>
        <w:spacing w:line="276" w:lineRule="auto"/>
        <w:rPr>
          <w:sz w:val="22"/>
        </w:rPr>
      </w:pPr>
      <w:r w:rsidRPr="00551130">
        <w:rPr>
          <w:sz w:val="22"/>
        </w:rPr>
        <w:t xml:space="preserve">Dear </w:t>
      </w:r>
      <w:r w:rsidR="007616E4">
        <w:rPr>
          <w:sz w:val="22"/>
        </w:rPr>
        <w:t>Mr Ayush</w:t>
      </w:r>
      <w:r w:rsidR="00551130">
        <w:rPr>
          <w:sz w:val="22"/>
        </w:rPr>
        <w:t>,</w:t>
      </w:r>
    </w:p>
    <w:p w14:paraId="681562DF" w14:textId="1E9B3FB8" w:rsidR="00551130" w:rsidRPr="00551130" w:rsidRDefault="00551130" w:rsidP="006B7215">
      <w:pPr>
        <w:spacing w:before="240"/>
        <w:rPr>
          <w:sz w:val="22"/>
        </w:rPr>
      </w:pPr>
      <w:r w:rsidRPr="00551130">
        <w:rPr>
          <w:sz w:val="22"/>
        </w:rPr>
        <w:t>The European Union Agency for Fundamental Rights (FRA) very much welcomes the opportunity to contribute to the pre</w:t>
      </w:r>
      <w:r>
        <w:rPr>
          <w:sz w:val="22"/>
        </w:rPr>
        <w:t>paration of a study on Article 13</w:t>
      </w:r>
      <w:r w:rsidRPr="00551130">
        <w:rPr>
          <w:sz w:val="22"/>
        </w:rPr>
        <w:t xml:space="preserve"> of the Convention on the Rights of Persons with Disabilities (CRPD) by providing evidence from its research on the rights of persons with disabilities in the EU. All the publications mentioned in this submission can be </w:t>
      </w:r>
      <w:hyperlink r:id="rId12" w:history="1">
        <w:r w:rsidRPr="00551130">
          <w:rPr>
            <w:rStyle w:val="Hyperlink"/>
            <w:sz w:val="22"/>
          </w:rPr>
          <w:t>downloaded from the FRA website</w:t>
        </w:r>
      </w:hyperlink>
      <w:r w:rsidRPr="00551130">
        <w:rPr>
          <w:sz w:val="22"/>
        </w:rPr>
        <w:t>.</w:t>
      </w:r>
    </w:p>
    <w:p w14:paraId="5AD92433" w14:textId="77777777" w:rsidR="00691250" w:rsidRPr="00CC530B" w:rsidRDefault="00691250" w:rsidP="00F25D10">
      <w:pPr>
        <w:spacing w:line="276" w:lineRule="auto"/>
        <w:rPr>
          <w:sz w:val="22"/>
          <w:szCs w:val="20"/>
        </w:rPr>
      </w:pPr>
    </w:p>
    <w:p w14:paraId="29C4DAA7" w14:textId="0F68B80A" w:rsidR="00D407A3" w:rsidRPr="00551130" w:rsidRDefault="00551130" w:rsidP="00551130">
      <w:pPr>
        <w:spacing w:line="276" w:lineRule="auto"/>
        <w:rPr>
          <w:b/>
          <w:bCs/>
          <w:sz w:val="22"/>
          <w:szCs w:val="20"/>
        </w:rPr>
      </w:pPr>
      <w:r>
        <w:rPr>
          <w:b/>
          <w:sz w:val="22"/>
          <w:szCs w:val="20"/>
        </w:rPr>
        <w:t xml:space="preserve">Question 1: </w:t>
      </w:r>
      <w:r w:rsidR="00F91255" w:rsidRPr="00551130">
        <w:rPr>
          <w:b/>
          <w:bCs/>
          <w:sz w:val="22"/>
          <w:szCs w:val="20"/>
        </w:rPr>
        <w:t>Do countries in your region have laws, policies or guidelines on access to justice, at any level of government, which ensure persons with disabilities, particularly women and children with disabilities:</w:t>
      </w:r>
    </w:p>
    <w:p w14:paraId="0004F60A" w14:textId="77777777" w:rsidR="00551130" w:rsidRPr="00551130" w:rsidRDefault="00551130" w:rsidP="00551130">
      <w:pPr>
        <w:spacing w:line="276" w:lineRule="auto"/>
        <w:rPr>
          <w:b/>
          <w:bCs/>
          <w:sz w:val="22"/>
          <w:szCs w:val="20"/>
        </w:rPr>
      </w:pPr>
    </w:p>
    <w:p w14:paraId="595F880A" w14:textId="77777777" w:rsidR="00551130" w:rsidRDefault="00551130" w:rsidP="00551130">
      <w:pPr>
        <w:numPr>
          <w:ilvl w:val="0"/>
          <w:numId w:val="24"/>
        </w:numPr>
        <w:spacing w:line="276" w:lineRule="auto"/>
        <w:rPr>
          <w:b/>
          <w:bCs/>
          <w:sz w:val="22"/>
          <w:szCs w:val="20"/>
        </w:rPr>
      </w:pPr>
      <w:r w:rsidRPr="00551130">
        <w:rPr>
          <w:b/>
          <w:bCs/>
          <w:sz w:val="22"/>
          <w:szCs w:val="20"/>
        </w:rPr>
        <w:t>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0EAFAEF2" w14:textId="77777777" w:rsidR="00551130" w:rsidRPr="00551130" w:rsidRDefault="00551130" w:rsidP="00551130">
      <w:pPr>
        <w:spacing w:line="276" w:lineRule="auto"/>
        <w:ind w:left="720"/>
        <w:rPr>
          <w:b/>
          <w:bCs/>
          <w:sz w:val="22"/>
          <w:szCs w:val="20"/>
        </w:rPr>
      </w:pPr>
    </w:p>
    <w:p w14:paraId="3F6BA61A" w14:textId="5418F074" w:rsidR="002B6F7E" w:rsidRDefault="0041713E" w:rsidP="0041713E">
      <w:pPr>
        <w:rPr>
          <w:rFonts w:cs="DaxlinePro-Regular"/>
          <w:color w:val="000000"/>
          <w:sz w:val="22"/>
        </w:rPr>
      </w:pPr>
      <w:r w:rsidRPr="00266E9B">
        <w:rPr>
          <w:sz w:val="22"/>
          <w:szCs w:val="20"/>
        </w:rPr>
        <w:t>FRA</w:t>
      </w:r>
      <w:r w:rsidR="00102FD9">
        <w:rPr>
          <w:sz w:val="22"/>
          <w:szCs w:val="20"/>
        </w:rPr>
        <w:t>’</w:t>
      </w:r>
      <w:r w:rsidRPr="00266E9B">
        <w:rPr>
          <w:sz w:val="22"/>
          <w:szCs w:val="20"/>
        </w:rPr>
        <w:t xml:space="preserve">s </w:t>
      </w:r>
      <w:hyperlink r:id="rId13" w:history="1">
        <w:r w:rsidRPr="00266E9B">
          <w:rPr>
            <w:rStyle w:val="Hyperlink"/>
            <w:sz w:val="22"/>
            <w:szCs w:val="20"/>
          </w:rPr>
          <w:t>handbook on access to justice</w:t>
        </w:r>
      </w:hyperlink>
      <w:r w:rsidRPr="00266E9B">
        <w:t xml:space="preserve"> </w:t>
      </w:r>
      <w:r w:rsidR="003D5B27">
        <w:rPr>
          <w:sz w:val="22"/>
        </w:rPr>
        <w:t xml:space="preserve">from 2016 </w:t>
      </w:r>
      <w:r w:rsidR="004F1457" w:rsidRPr="00266E9B">
        <w:rPr>
          <w:sz w:val="22"/>
        </w:rPr>
        <w:t xml:space="preserve">gives an overview </w:t>
      </w:r>
      <w:r w:rsidR="00102FD9" w:rsidRPr="00266E9B">
        <w:rPr>
          <w:sz w:val="22"/>
        </w:rPr>
        <w:t>o</w:t>
      </w:r>
      <w:r w:rsidR="00102FD9">
        <w:rPr>
          <w:sz w:val="22"/>
        </w:rPr>
        <w:t>f</w:t>
      </w:r>
      <w:r w:rsidR="00102FD9" w:rsidRPr="00266E9B">
        <w:rPr>
          <w:sz w:val="22"/>
        </w:rPr>
        <w:t xml:space="preserve"> </w:t>
      </w:r>
      <w:r w:rsidR="004F1457" w:rsidRPr="00266E9B">
        <w:rPr>
          <w:sz w:val="22"/>
        </w:rPr>
        <w:t>European regulations on access to justice, including acce</w:t>
      </w:r>
      <w:r w:rsidR="00266E9B">
        <w:rPr>
          <w:sz w:val="22"/>
        </w:rPr>
        <w:t>s</w:t>
      </w:r>
      <w:r w:rsidR="004F1457" w:rsidRPr="00266E9B">
        <w:rPr>
          <w:sz w:val="22"/>
        </w:rPr>
        <w:t xml:space="preserve">s to justice of </w:t>
      </w:r>
      <w:r w:rsidR="002B6F7E" w:rsidRPr="00266E9B">
        <w:rPr>
          <w:sz w:val="22"/>
        </w:rPr>
        <w:t xml:space="preserve">persons with </w:t>
      </w:r>
      <w:r w:rsidR="002B6F7E" w:rsidRPr="00266E9B">
        <w:rPr>
          <w:rFonts w:cs="DaxlinePro-Regular"/>
          <w:color w:val="000000"/>
          <w:sz w:val="22"/>
        </w:rPr>
        <w:t>disabilities</w:t>
      </w:r>
      <w:r w:rsidR="003D5B27">
        <w:rPr>
          <w:rFonts w:cs="DaxlinePro-Regular"/>
          <w:color w:val="000000"/>
          <w:sz w:val="22"/>
        </w:rPr>
        <w:t xml:space="preserve"> (p. 151-157)</w:t>
      </w:r>
      <w:r w:rsidR="00102FD9">
        <w:rPr>
          <w:rFonts w:cs="DaxlinePro-Regular"/>
          <w:color w:val="000000"/>
          <w:sz w:val="22"/>
        </w:rPr>
        <w:t xml:space="preserve">. </w:t>
      </w:r>
      <w:r w:rsidR="002B6F7E" w:rsidRPr="00266E9B">
        <w:rPr>
          <w:rFonts w:cs="DaxlinePro-Regular"/>
          <w:color w:val="000000"/>
          <w:sz w:val="22"/>
        </w:rPr>
        <w:t xml:space="preserve">Under </w:t>
      </w:r>
      <w:r w:rsidR="00102FD9">
        <w:rPr>
          <w:rFonts w:cs="DaxlinePro-Regular"/>
          <w:color w:val="000000"/>
          <w:sz w:val="22"/>
        </w:rPr>
        <w:t>Council of Europe</w:t>
      </w:r>
      <w:r w:rsidR="00102FD9" w:rsidRPr="00266E9B">
        <w:rPr>
          <w:rFonts w:cs="DaxlinePro-Regular"/>
          <w:color w:val="000000"/>
          <w:sz w:val="22"/>
        </w:rPr>
        <w:t xml:space="preserve"> </w:t>
      </w:r>
      <w:r w:rsidR="002B6F7E" w:rsidRPr="00266E9B">
        <w:rPr>
          <w:rFonts w:cs="DaxlinePro-Regular"/>
          <w:color w:val="000000"/>
          <w:sz w:val="22"/>
        </w:rPr>
        <w:t xml:space="preserve">law, persons with disabilities have the right to access justice under Article 6 of </w:t>
      </w:r>
      <w:r w:rsidR="002B6F7E" w:rsidRPr="00266E9B">
        <w:rPr>
          <w:sz w:val="22"/>
        </w:rPr>
        <w:t xml:space="preserve">the </w:t>
      </w:r>
      <w:hyperlink r:id="rId14" w:history="1">
        <w:r w:rsidR="006E22EC">
          <w:rPr>
            <w:rStyle w:val="Hyperlink"/>
            <w:sz w:val="22"/>
          </w:rPr>
          <w:t>European Convention on Human Rights (ECHR)</w:t>
        </w:r>
      </w:hyperlink>
      <w:r w:rsidR="002B6F7E" w:rsidRPr="00266E9B">
        <w:rPr>
          <w:rFonts w:cs="DaxlinePro-Regular"/>
          <w:color w:val="000000"/>
          <w:sz w:val="22"/>
        </w:rPr>
        <w:t xml:space="preserve">. </w:t>
      </w:r>
      <w:r w:rsidR="002B6F7E" w:rsidRPr="00A646C5">
        <w:rPr>
          <w:rFonts w:cs="DaxlinePro-Regular"/>
          <w:color w:val="000000"/>
          <w:sz w:val="22"/>
        </w:rPr>
        <w:t>Art</w:t>
      </w:r>
      <w:r w:rsidR="00266E9B" w:rsidRPr="00A646C5">
        <w:rPr>
          <w:rFonts w:cs="DaxlinePro-Regular"/>
          <w:color w:val="000000"/>
          <w:sz w:val="22"/>
        </w:rPr>
        <w:t xml:space="preserve">icle 14 with its references to “other” </w:t>
      </w:r>
      <w:r w:rsidR="002B6F7E" w:rsidRPr="00A646C5">
        <w:rPr>
          <w:rFonts w:cs="DaxlinePro-Regular"/>
          <w:color w:val="000000"/>
          <w:sz w:val="22"/>
        </w:rPr>
        <w:t>grounds also pro</w:t>
      </w:r>
      <w:r w:rsidR="002B6F7E" w:rsidRPr="00A646C5">
        <w:rPr>
          <w:rFonts w:cs="DaxlinePro-Regular"/>
          <w:color w:val="000000"/>
          <w:sz w:val="22"/>
        </w:rPr>
        <w:softHyphen/>
        <w:t>tects them against any discrimination in the exercise of their rights.</w:t>
      </w:r>
      <w:r w:rsidR="002B6F7E" w:rsidRPr="00A646C5">
        <w:rPr>
          <w:rStyle w:val="FootnoteReference"/>
          <w:rFonts w:cs="DaxlinePro-Regular"/>
          <w:color w:val="000000"/>
        </w:rPr>
        <w:footnoteReference w:id="2"/>
      </w:r>
      <w:r w:rsidR="002B6F7E" w:rsidRPr="00A646C5">
        <w:rPr>
          <w:rStyle w:val="A13"/>
          <w:rFonts w:ascii="Verdana" w:hAnsi="Verdana"/>
          <w:sz w:val="22"/>
          <w:szCs w:val="22"/>
        </w:rPr>
        <w:t xml:space="preserve"> </w:t>
      </w:r>
      <w:r w:rsidR="002B6F7E" w:rsidRPr="00A646C5">
        <w:rPr>
          <w:rFonts w:cs="DaxlinePro-Regular"/>
          <w:color w:val="000000"/>
          <w:sz w:val="22"/>
        </w:rPr>
        <w:t>Howev</w:t>
      </w:r>
      <w:r w:rsidR="002B6F7E" w:rsidRPr="00A646C5">
        <w:rPr>
          <w:rFonts w:cs="DaxlinePro-Regular"/>
          <w:color w:val="000000"/>
          <w:sz w:val="22"/>
        </w:rPr>
        <w:softHyphen/>
        <w:t xml:space="preserve">er, Article 14 is not a self-standing right: it prohibits discrimination on disability grounds only in relation to ECHR substantive rights. </w:t>
      </w:r>
    </w:p>
    <w:p w14:paraId="4A19BC03" w14:textId="129FEE76" w:rsidR="000436FB" w:rsidRPr="004A50BD" w:rsidRDefault="000436FB" w:rsidP="00EC47D0">
      <w:pPr>
        <w:spacing w:before="240" w:after="240"/>
        <w:rPr>
          <w:sz w:val="22"/>
        </w:rPr>
      </w:pPr>
      <w:r w:rsidRPr="000436FB">
        <w:rPr>
          <w:rFonts w:cs="DaxlinePro-Regular"/>
          <w:color w:val="000000"/>
          <w:sz w:val="22"/>
        </w:rPr>
        <w:lastRenderedPageBreak/>
        <w:t>Under EU law, Article 47 of the</w:t>
      </w:r>
      <w:r>
        <w:rPr>
          <w:rFonts w:cs="DaxlinePro-Regular"/>
          <w:color w:val="000000"/>
          <w:sz w:val="22"/>
        </w:rPr>
        <w:t xml:space="preserve"> EU </w:t>
      </w:r>
      <w:hyperlink r:id="rId15" w:history="1">
        <w:r>
          <w:rPr>
            <w:rStyle w:val="Hyperlink"/>
            <w:sz w:val="22"/>
          </w:rPr>
          <w:t>Charter of Fundamental Rights</w:t>
        </w:r>
      </w:hyperlink>
      <w:r w:rsidRPr="000436FB">
        <w:rPr>
          <w:rFonts w:cs="DaxlinePro-Regular"/>
          <w:color w:val="000000"/>
          <w:sz w:val="22"/>
        </w:rPr>
        <w:t xml:space="preserve"> sets out the general right of access to justice. Persons with disabilities are also </w:t>
      </w:r>
      <w:r w:rsidRPr="000436FB">
        <w:rPr>
          <w:sz w:val="22"/>
        </w:rPr>
        <w:t>protect</w:t>
      </w:r>
      <w:r w:rsidRPr="000436FB">
        <w:rPr>
          <w:sz w:val="22"/>
        </w:rPr>
        <w:softHyphen/>
        <w:t>ed against discrimination by Article 20 of the Charter, which confirms that everyone</w:t>
      </w:r>
      <w:r w:rsidRPr="000436FB">
        <w:rPr>
          <w:rStyle w:val="A7"/>
          <w:sz w:val="22"/>
          <w:szCs w:val="22"/>
        </w:rPr>
        <w:t xml:space="preserve"> </w:t>
      </w:r>
      <w:r w:rsidRPr="000436FB">
        <w:rPr>
          <w:sz w:val="22"/>
        </w:rPr>
        <w:t xml:space="preserve">is </w:t>
      </w:r>
      <w:r w:rsidRPr="004A50BD">
        <w:rPr>
          <w:sz w:val="22"/>
        </w:rPr>
        <w:t>equal before the law, and by Article 21, which prohibits discrimina</w:t>
      </w:r>
      <w:r w:rsidRPr="004A50BD">
        <w:rPr>
          <w:sz w:val="22"/>
        </w:rPr>
        <w:softHyphen/>
        <w:t>tion on the ground of disability.</w:t>
      </w:r>
    </w:p>
    <w:p w14:paraId="655C080D" w14:textId="58A0761B" w:rsidR="000436FB" w:rsidRPr="004A50BD" w:rsidRDefault="000436FB" w:rsidP="0041713E">
      <w:pPr>
        <w:rPr>
          <w:sz w:val="22"/>
        </w:rPr>
      </w:pPr>
      <w:r w:rsidRPr="004A50BD">
        <w:rPr>
          <w:rFonts w:eastAsia="Cambria" w:cs="DaxlinePro-Regular"/>
          <w:color w:val="000000"/>
          <w:sz w:val="22"/>
          <w:lang w:val="en-IE" w:eastAsia="de-DE"/>
        </w:rPr>
        <w:t>Additionally, secondary EU law provides specific rights for per</w:t>
      </w:r>
      <w:r w:rsidRPr="004A50BD">
        <w:rPr>
          <w:rFonts w:eastAsia="Cambria" w:cs="DaxlinePro-Regular"/>
          <w:color w:val="000000"/>
          <w:sz w:val="22"/>
          <w:lang w:val="en-IE" w:eastAsia="de-DE"/>
        </w:rPr>
        <w:softHyphen/>
        <w:t xml:space="preserve">sons with disabilities. </w:t>
      </w:r>
      <w:hyperlink r:id="rId16" w:history="1">
        <w:r w:rsidRPr="004A50BD">
          <w:rPr>
            <w:rStyle w:val="Hyperlink"/>
            <w:sz w:val="22"/>
          </w:rPr>
          <w:t>Victims’ Rights Directive (2012/29/EU)</w:t>
        </w:r>
      </w:hyperlink>
      <w:r w:rsidRPr="004A50BD">
        <w:rPr>
          <w:rFonts w:eastAsia="Cambria" w:cs="DaxlinePro-Regular"/>
          <w:color w:val="000000"/>
          <w:sz w:val="22"/>
          <w:lang w:val="en-IE" w:eastAsia="de-DE"/>
        </w:rPr>
        <w:t xml:space="preserve"> stipulates that victims with disabilities should be able to access the full rights in the di</w:t>
      </w:r>
      <w:r w:rsidRPr="004A50BD">
        <w:rPr>
          <w:rFonts w:eastAsia="Cambria" w:cs="DaxlinePro-Regular"/>
          <w:color w:val="000000"/>
          <w:sz w:val="22"/>
          <w:lang w:val="en-IE" w:eastAsia="de-DE"/>
        </w:rPr>
        <w:softHyphen/>
        <w:t>rective. The EU has also legislated specific protections for persons with dis</w:t>
      </w:r>
      <w:r w:rsidRPr="004A50BD">
        <w:rPr>
          <w:rFonts w:eastAsia="Cambria" w:cs="DaxlinePro-Regular"/>
          <w:color w:val="000000"/>
          <w:sz w:val="22"/>
          <w:lang w:val="en-IE" w:eastAsia="de-DE"/>
        </w:rPr>
        <w:softHyphen/>
        <w:t xml:space="preserve">abilities in criminal proceedings. For example, the </w:t>
      </w:r>
      <w:hyperlink r:id="rId17" w:history="1">
        <w:r w:rsidRPr="004A50BD">
          <w:rPr>
            <w:rStyle w:val="Hyperlink"/>
            <w:sz w:val="22"/>
          </w:rPr>
          <w:t>Directive on right to information in criminal proceedings (2012/13/EU)</w:t>
        </w:r>
      </w:hyperlink>
      <w:r w:rsidRPr="004A50BD">
        <w:rPr>
          <w:rFonts w:eastAsia="Cambria" w:cs="DaxlinePro-Regular"/>
          <w:color w:val="000000"/>
          <w:sz w:val="22"/>
          <w:lang w:val="en-IE" w:eastAsia="de-DE"/>
        </w:rPr>
        <w:t xml:space="preserve"> obliges Member States to ensure that the information is provided in simple and accessible language, taking into account the particular needs of vulnerable suspects or vulnerable accused persons. The </w:t>
      </w:r>
      <w:hyperlink r:id="rId18" w:history="1">
        <w:r w:rsidRPr="004A50BD">
          <w:rPr>
            <w:rStyle w:val="Hyperlink"/>
            <w:sz w:val="22"/>
          </w:rPr>
          <w:t>Directive on interpretation and translation in criminal proceedings (2010/64/EU)</w:t>
        </w:r>
      </w:hyperlink>
      <w:r w:rsidRPr="004A50BD">
        <w:rPr>
          <w:rFonts w:eastAsia="Cambria" w:cs="DaxlinePro-Regular"/>
          <w:color w:val="000000"/>
          <w:sz w:val="22"/>
          <w:lang w:val="en-IE" w:eastAsia="de-DE"/>
        </w:rPr>
        <w:t xml:space="preserve"> requires giving appropriate assistance to persons with hearing or speech impediments. </w:t>
      </w:r>
      <w:r w:rsidR="004A50BD">
        <w:rPr>
          <w:rFonts w:eastAsia="Cambria" w:cs="DaxlinePro-Regular"/>
          <w:color w:val="000000"/>
          <w:sz w:val="22"/>
          <w:lang w:val="en-IE" w:eastAsia="de-DE"/>
        </w:rPr>
        <w:t>Th</w:t>
      </w:r>
      <w:r w:rsidRPr="004A50BD">
        <w:rPr>
          <w:rFonts w:eastAsia="Cambria" w:cs="DaxlinePro-Regular"/>
          <w:color w:val="000000"/>
          <w:sz w:val="22"/>
          <w:lang w:val="en-IE" w:eastAsia="de-DE"/>
        </w:rPr>
        <w:t xml:space="preserve">e </w:t>
      </w:r>
      <w:hyperlink r:id="rId19" w:history="1">
        <w:r w:rsidR="00E74936" w:rsidRPr="004A50BD">
          <w:rPr>
            <w:rStyle w:val="Hyperlink"/>
            <w:sz w:val="22"/>
          </w:rPr>
          <w:t>Directive on access to a lawyer (2013/48/EU)</w:t>
        </w:r>
      </w:hyperlink>
      <w:r w:rsidR="00E74936" w:rsidRPr="004A50BD">
        <w:rPr>
          <w:sz w:val="22"/>
        </w:rPr>
        <w:t xml:space="preserve"> </w:t>
      </w:r>
      <w:r w:rsidRPr="004A50BD">
        <w:rPr>
          <w:rFonts w:eastAsia="Cambria" w:cs="DaxlinePro-Regular"/>
          <w:color w:val="000000"/>
          <w:sz w:val="22"/>
          <w:lang w:val="en-IE" w:eastAsia="de-DE"/>
        </w:rPr>
        <w:t>requires Member States to ensure that the particular needs of vulnerable sus</w:t>
      </w:r>
      <w:r w:rsidRPr="004A50BD">
        <w:rPr>
          <w:rFonts w:eastAsia="Cambria" w:cs="DaxlinePro-Regular"/>
          <w:color w:val="000000"/>
          <w:sz w:val="22"/>
          <w:lang w:val="en-IE" w:eastAsia="de-DE"/>
        </w:rPr>
        <w:softHyphen/>
        <w:t>pects and vulnerable accused persons are taken into account in its applica</w:t>
      </w:r>
      <w:r w:rsidRPr="004A50BD">
        <w:rPr>
          <w:rFonts w:eastAsia="Cambria" w:cs="DaxlinePro-Regular"/>
          <w:color w:val="000000"/>
          <w:sz w:val="22"/>
          <w:lang w:val="en-IE" w:eastAsia="de-DE"/>
        </w:rPr>
        <w:softHyphen/>
        <w:t>tion.</w:t>
      </w:r>
      <w:r w:rsidR="00E74936" w:rsidRPr="004A50BD">
        <w:rPr>
          <w:rFonts w:eastAsia="Cambria" w:cs="DaxlinePro-Regular"/>
          <w:color w:val="000000"/>
          <w:sz w:val="22"/>
          <w:lang w:val="en-IE" w:eastAsia="de-DE"/>
        </w:rPr>
        <w:t xml:space="preserve"> </w:t>
      </w:r>
      <w:r w:rsidRPr="004A50BD">
        <w:rPr>
          <w:rFonts w:eastAsia="Cambria" w:cs="DaxlinePro-Regular"/>
          <w:color w:val="000000"/>
          <w:sz w:val="22"/>
          <w:lang w:val="en-IE" w:eastAsia="de-DE"/>
        </w:rPr>
        <w:t xml:space="preserve">Finally, the Commission adopted a </w:t>
      </w:r>
      <w:hyperlink r:id="rId20" w:history="1">
        <w:r w:rsidR="00E74936" w:rsidRPr="004A50BD">
          <w:rPr>
            <w:rStyle w:val="Hyperlink"/>
            <w:rFonts w:eastAsia="Cambria" w:cs="DaxlinePro-Regular"/>
            <w:sz w:val="22"/>
            <w:lang w:val="en-IE" w:eastAsia="de-DE"/>
          </w:rPr>
          <w:t>Recommendation</w:t>
        </w:r>
      </w:hyperlink>
      <w:r w:rsidR="00E74936" w:rsidRPr="004A50BD">
        <w:rPr>
          <w:rFonts w:eastAsia="Cambria" w:cs="DaxlinePro-Regular"/>
          <w:color w:val="000000"/>
          <w:sz w:val="22"/>
          <w:lang w:val="en-IE" w:eastAsia="de-DE"/>
        </w:rPr>
        <w:t xml:space="preserve"> </w:t>
      </w:r>
      <w:r w:rsidRPr="004A50BD">
        <w:rPr>
          <w:rFonts w:eastAsia="Cambria" w:cs="DaxlinePro-Regular"/>
          <w:color w:val="000000"/>
          <w:sz w:val="22"/>
          <w:lang w:val="en-IE" w:eastAsia="de-DE"/>
        </w:rPr>
        <w:t>in which it recom</w:t>
      </w:r>
      <w:r w:rsidRPr="004A50BD">
        <w:rPr>
          <w:rFonts w:eastAsia="Cambria" w:cs="DaxlinePro-Regular"/>
          <w:color w:val="000000"/>
          <w:sz w:val="22"/>
          <w:lang w:val="en-IE" w:eastAsia="de-DE"/>
        </w:rPr>
        <w:softHyphen/>
        <w:t>mends procedural safeguards for vulnerable persons suspected or accused in criminal proceedings.</w:t>
      </w:r>
    </w:p>
    <w:p w14:paraId="16B8F6B2" w14:textId="77777777" w:rsidR="0041713E" w:rsidRDefault="0041713E" w:rsidP="00551130">
      <w:pPr>
        <w:spacing w:line="276" w:lineRule="auto"/>
        <w:rPr>
          <w:sz w:val="22"/>
          <w:szCs w:val="20"/>
        </w:rPr>
      </w:pPr>
    </w:p>
    <w:p w14:paraId="31B13500" w14:textId="71B7593C" w:rsidR="0041713E" w:rsidRPr="00A646C5" w:rsidRDefault="00180FF5" w:rsidP="00551130">
      <w:pPr>
        <w:spacing w:line="276" w:lineRule="auto"/>
        <w:rPr>
          <w:rFonts w:eastAsia="Cambria" w:cs="DaxlinePro-Regular"/>
          <w:color w:val="000000"/>
          <w:sz w:val="22"/>
          <w:lang w:val="en-IE" w:eastAsia="de-DE"/>
        </w:rPr>
      </w:pPr>
      <w:r>
        <w:rPr>
          <w:sz w:val="22"/>
          <w:szCs w:val="20"/>
        </w:rPr>
        <w:t xml:space="preserve">As for </w:t>
      </w:r>
      <w:r w:rsidR="00F91FB3">
        <w:rPr>
          <w:sz w:val="22"/>
          <w:szCs w:val="20"/>
        </w:rPr>
        <w:t>age-appropriate accommodation</w:t>
      </w:r>
      <w:r w:rsidR="003D5B27">
        <w:rPr>
          <w:sz w:val="22"/>
          <w:szCs w:val="20"/>
        </w:rPr>
        <w:t>s</w:t>
      </w:r>
      <w:r w:rsidR="00F91FB3">
        <w:rPr>
          <w:sz w:val="22"/>
          <w:szCs w:val="20"/>
        </w:rPr>
        <w:t>,</w:t>
      </w:r>
      <w:r w:rsidR="00651FF1">
        <w:rPr>
          <w:sz w:val="22"/>
          <w:szCs w:val="20"/>
        </w:rPr>
        <w:t xml:space="preserve"> </w:t>
      </w:r>
      <w:r w:rsidR="00A646C5">
        <w:rPr>
          <w:rFonts w:eastAsia="Cambria" w:cs="DaxlinePro-Regular"/>
          <w:color w:val="000000"/>
          <w:sz w:val="22"/>
          <w:lang w:val="en-IE" w:eastAsia="de-DE"/>
        </w:rPr>
        <w:t>t</w:t>
      </w:r>
      <w:r w:rsidR="00651FF1" w:rsidRPr="00651FF1">
        <w:rPr>
          <w:rFonts w:eastAsia="Cambria" w:cs="DaxlinePro-Regular"/>
          <w:color w:val="000000"/>
          <w:sz w:val="22"/>
          <w:lang w:val="en-IE" w:eastAsia="de-DE"/>
        </w:rPr>
        <w:t>he European Commission prioritise</w:t>
      </w:r>
      <w:r w:rsidR="00651FF1">
        <w:rPr>
          <w:rFonts w:eastAsia="Cambria" w:cs="DaxlinePro-Regular"/>
          <w:color w:val="000000"/>
          <w:sz w:val="22"/>
          <w:lang w:val="en-IE" w:eastAsia="de-DE"/>
        </w:rPr>
        <w:t xml:space="preserve">d child-friendly justice in its </w:t>
      </w:r>
      <w:hyperlink r:id="rId21" w:history="1">
        <w:r w:rsidR="00651FF1" w:rsidRPr="00651FF1">
          <w:rPr>
            <w:rStyle w:val="Hyperlink"/>
            <w:rFonts w:eastAsia="Cambria" w:cs="DaxlinePro-Regular"/>
            <w:sz w:val="22"/>
            <w:lang w:val="en-IE" w:eastAsia="de-DE"/>
          </w:rPr>
          <w:t>EU Agenda for the Rights of the Child</w:t>
        </w:r>
      </w:hyperlink>
      <w:r w:rsidR="00651FF1" w:rsidRPr="00651FF1">
        <w:rPr>
          <w:rFonts w:eastAsia="Cambria" w:cs="DaxlinePro-Regular"/>
          <w:color w:val="000000"/>
          <w:sz w:val="22"/>
          <w:lang w:val="en-IE" w:eastAsia="de-DE"/>
        </w:rPr>
        <w:t>. Among other efforts, it committed itself to promoting the</w:t>
      </w:r>
      <w:r w:rsidR="00651FF1">
        <w:rPr>
          <w:rFonts w:eastAsia="Cambria" w:cs="DaxlinePro-Regular"/>
          <w:color w:val="000000"/>
          <w:sz w:val="22"/>
          <w:lang w:val="en-IE" w:eastAsia="de-DE"/>
        </w:rPr>
        <w:t xml:space="preserve"> </w:t>
      </w:r>
      <w:hyperlink r:id="rId22" w:history="1">
        <w:r w:rsidR="00651FF1">
          <w:rPr>
            <w:rStyle w:val="Hyperlink"/>
            <w:rFonts w:eastAsia="Cambria" w:cs="DaxlinePro-Regular"/>
            <w:sz w:val="22"/>
            <w:lang w:val="en-IE" w:eastAsia="de-DE"/>
          </w:rPr>
          <w:t>Council of Europe’s Guidelines on child-friendly justice</w:t>
        </w:r>
      </w:hyperlink>
      <w:r w:rsidR="00651FF1" w:rsidRPr="00651FF1">
        <w:rPr>
          <w:rFonts w:eastAsia="Cambria" w:cs="DaxlinePro-Regular"/>
          <w:color w:val="000000"/>
          <w:sz w:val="22"/>
          <w:lang w:val="en-IE" w:eastAsia="de-DE"/>
        </w:rPr>
        <w:t>, which focus on children’s rights to be heard, to be informed, to be protected and safe.</w:t>
      </w:r>
    </w:p>
    <w:p w14:paraId="6B18C4AE" w14:textId="77777777" w:rsidR="00551130" w:rsidRPr="00551130" w:rsidRDefault="00551130" w:rsidP="00551130">
      <w:pPr>
        <w:spacing w:line="276" w:lineRule="auto"/>
        <w:rPr>
          <w:b/>
          <w:bCs/>
          <w:sz w:val="22"/>
          <w:szCs w:val="20"/>
        </w:rPr>
      </w:pPr>
    </w:p>
    <w:p w14:paraId="514DC076" w14:textId="4E7E7551" w:rsidR="00551130" w:rsidRDefault="00551130" w:rsidP="005400EB">
      <w:pPr>
        <w:numPr>
          <w:ilvl w:val="0"/>
          <w:numId w:val="24"/>
        </w:numPr>
        <w:spacing w:line="276" w:lineRule="auto"/>
        <w:rPr>
          <w:b/>
          <w:bCs/>
          <w:sz w:val="22"/>
          <w:szCs w:val="20"/>
        </w:rPr>
      </w:pPr>
      <w:r w:rsidRPr="00551130">
        <w:rPr>
          <w:b/>
          <w:bCs/>
          <w:sz w:val="22"/>
          <w:szCs w:val="20"/>
        </w:rPr>
        <w:t>to have individual legal standing in all administrative and judicial procedures, including the right to be heard as part of their right to fair trial;</w:t>
      </w:r>
    </w:p>
    <w:p w14:paraId="65DB2A80" w14:textId="77777777" w:rsidR="00A646C5" w:rsidRDefault="00A646C5" w:rsidP="00F102A8">
      <w:pPr>
        <w:spacing w:line="276" w:lineRule="auto"/>
        <w:ind w:left="720"/>
        <w:rPr>
          <w:b/>
          <w:bCs/>
          <w:sz w:val="22"/>
          <w:szCs w:val="20"/>
        </w:rPr>
      </w:pPr>
    </w:p>
    <w:p w14:paraId="0E121672" w14:textId="3F206754" w:rsidR="00551130" w:rsidRPr="00551130" w:rsidRDefault="00A646C5" w:rsidP="00551130">
      <w:pPr>
        <w:spacing w:line="276" w:lineRule="auto"/>
        <w:rPr>
          <w:b/>
          <w:bCs/>
          <w:sz w:val="22"/>
          <w:szCs w:val="20"/>
        </w:rPr>
      </w:pPr>
      <w:r w:rsidRPr="00F102A8">
        <w:rPr>
          <w:rFonts w:cs="DaxlinePro-Regular"/>
          <w:color w:val="000000"/>
          <w:sz w:val="22"/>
        </w:rPr>
        <w:t xml:space="preserve">FRA's report on </w:t>
      </w:r>
      <w:hyperlink r:id="rId23" w:history="1">
        <w:r w:rsidRPr="00F70188">
          <w:rPr>
            <w:rStyle w:val="Hyperlink"/>
            <w:rFonts w:cs="DaxlinePro-Regular"/>
            <w:sz w:val="22"/>
          </w:rPr>
          <w:t>Access to justice in Europe: an overview of challenges and opportunities</w:t>
        </w:r>
      </w:hyperlink>
      <w:r w:rsidRPr="00F102A8">
        <w:rPr>
          <w:rFonts w:cs="DaxlinePro-Regular"/>
          <w:color w:val="000000"/>
          <w:sz w:val="22"/>
        </w:rPr>
        <w:t xml:space="preserve"> identifies the limits </w:t>
      </w:r>
      <w:r w:rsidR="00C02ADA">
        <w:rPr>
          <w:rFonts w:cs="DaxlinePro-Regular"/>
          <w:color w:val="000000"/>
          <w:sz w:val="22"/>
        </w:rPr>
        <w:t>to access justice</w:t>
      </w:r>
      <w:r w:rsidRPr="00F102A8">
        <w:rPr>
          <w:rFonts w:cs="DaxlinePro-Regular"/>
          <w:color w:val="000000"/>
          <w:sz w:val="22"/>
        </w:rPr>
        <w:t xml:space="preserve"> on a national level (pp. 37-46)</w:t>
      </w:r>
      <w:r w:rsidR="00C02ADA">
        <w:rPr>
          <w:rFonts w:cs="DaxlinePro-Regular"/>
          <w:color w:val="000000"/>
          <w:sz w:val="22"/>
        </w:rPr>
        <w:t>. It highlights that</w:t>
      </w:r>
      <w:r w:rsidRPr="00F102A8">
        <w:rPr>
          <w:rFonts w:cs="DaxlinePro-Regular"/>
          <w:color w:val="000000"/>
          <w:sz w:val="22"/>
        </w:rPr>
        <w:t xml:space="preserve"> </w:t>
      </w:r>
      <w:r w:rsidR="00C02ADA" w:rsidRPr="009B40D5">
        <w:rPr>
          <w:rFonts w:cs="DaxlinePro-Regular"/>
          <w:color w:val="000000"/>
          <w:sz w:val="22"/>
        </w:rPr>
        <w:t xml:space="preserve">in ten EU Member States </w:t>
      </w:r>
      <w:r>
        <w:rPr>
          <w:rFonts w:cs="DaxlinePro-Regular"/>
          <w:color w:val="000000"/>
          <w:sz w:val="22"/>
        </w:rPr>
        <w:t>l</w:t>
      </w:r>
      <w:r w:rsidRPr="00F102A8">
        <w:rPr>
          <w:rFonts w:cs="DaxlinePro-Regular"/>
          <w:color w:val="000000"/>
          <w:sz w:val="22"/>
        </w:rPr>
        <w:t xml:space="preserve">egislation on legal standing, which can be </w:t>
      </w:r>
      <w:r w:rsidR="00C02ADA">
        <w:rPr>
          <w:rFonts w:cs="DaxlinePro-Regular"/>
          <w:color w:val="000000"/>
          <w:sz w:val="22"/>
        </w:rPr>
        <w:t>a</w:t>
      </w:r>
      <w:r w:rsidRPr="00F102A8">
        <w:rPr>
          <w:rFonts w:cs="DaxlinePro-Regular"/>
          <w:color w:val="000000"/>
          <w:sz w:val="22"/>
        </w:rPr>
        <w:t xml:space="preserve"> major</w:t>
      </w:r>
      <w:r w:rsidR="00C02ADA">
        <w:rPr>
          <w:rFonts w:cs="DaxlinePro-Regular"/>
          <w:color w:val="000000"/>
          <w:sz w:val="22"/>
        </w:rPr>
        <w:t xml:space="preserve"> barrier to</w:t>
      </w:r>
      <w:r w:rsidRPr="00F102A8">
        <w:rPr>
          <w:rFonts w:cs="DaxlinePro-Regular"/>
          <w:color w:val="000000"/>
          <w:sz w:val="22"/>
        </w:rPr>
        <w:t xml:space="preserve"> access</w:t>
      </w:r>
      <w:r w:rsidR="00C02ADA">
        <w:rPr>
          <w:rFonts w:cs="DaxlinePro-Regular"/>
          <w:color w:val="000000"/>
          <w:sz w:val="22"/>
        </w:rPr>
        <w:t>ing</w:t>
      </w:r>
      <w:r w:rsidRPr="00F102A8">
        <w:rPr>
          <w:rFonts w:cs="DaxlinePro-Regular"/>
          <w:color w:val="000000"/>
          <w:sz w:val="22"/>
        </w:rPr>
        <w:t xml:space="preserve"> justice, does not enable individuals to bring a claim to a court unless they have full legal capacity (p. 40).</w:t>
      </w:r>
    </w:p>
    <w:p w14:paraId="66F3B9DA" w14:textId="77777777" w:rsidR="00551130" w:rsidRPr="00C62127" w:rsidRDefault="00551130" w:rsidP="00F102A8">
      <w:pPr>
        <w:numPr>
          <w:ilvl w:val="0"/>
          <w:numId w:val="24"/>
        </w:numPr>
        <w:spacing w:before="240" w:line="276" w:lineRule="auto"/>
        <w:rPr>
          <w:b/>
          <w:bCs/>
          <w:sz w:val="22"/>
          <w:szCs w:val="20"/>
        </w:rPr>
      </w:pPr>
      <w:r w:rsidRPr="00C62127">
        <w:rPr>
          <w:b/>
          <w:bCs/>
          <w:sz w:val="22"/>
          <w:szCs w:val="20"/>
        </w:rPr>
        <w:t>to have access to effective remedies that  are appropriately proportional to the right(s) infringed and which are tailored to their specific situation; and</w:t>
      </w:r>
    </w:p>
    <w:p w14:paraId="5D665A38" w14:textId="77777777" w:rsidR="004816C9" w:rsidRDefault="004816C9" w:rsidP="00551130">
      <w:pPr>
        <w:spacing w:line="276" w:lineRule="auto"/>
        <w:rPr>
          <w:rFonts w:cs="DaxlinePro-Regular"/>
          <w:color w:val="000000"/>
          <w:sz w:val="22"/>
        </w:rPr>
      </w:pPr>
    </w:p>
    <w:p w14:paraId="626B124E" w14:textId="67E5A071" w:rsidR="00EC47D0" w:rsidRDefault="00EC47D0" w:rsidP="00F102A8">
      <w:pPr>
        <w:spacing w:after="240"/>
        <w:rPr>
          <w:sz w:val="22"/>
          <w:lang w:val="en-IE"/>
        </w:rPr>
      </w:pPr>
      <w:r w:rsidRPr="0041713E">
        <w:rPr>
          <w:sz w:val="22"/>
          <w:lang w:val="en-IE"/>
        </w:rPr>
        <w:lastRenderedPageBreak/>
        <w:t xml:space="preserve">FRA’s report on </w:t>
      </w:r>
      <w:hyperlink r:id="rId24" w:history="1">
        <w:r w:rsidRPr="0041713E">
          <w:rPr>
            <w:rStyle w:val="Hyperlink"/>
            <w:sz w:val="22"/>
            <w:lang w:val="en-IE"/>
          </w:rPr>
          <w:t>Access to justice in cases of discrimination in the EU</w:t>
        </w:r>
      </w:hyperlink>
      <w:r w:rsidRPr="0041713E">
        <w:rPr>
          <w:sz w:val="22"/>
          <w:lang w:val="en-IE"/>
        </w:rPr>
        <w:t xml:space="preserve"> </w:t>
      </w:r>
      <w:r>
        <w:rPr>
          <w:sz w:val="22"/>
          <w:lang w:val="en-IE"/>
        </w:rPr>
        <w:t xml:space="preserve">from 2012 </w:t>
      </w:r>
      <w:r w:rsidR="00A646C5">
        <w:rPr>
          <w:sz w:val="22"/>
          <w:lang w:val="en-IE"/>
        </w:rPr>
        <w:t>identified factors obstructing</w:t>
      </w:r>
      <w:r w:rsidRPr="0041713E">
        <w:rPr>
          <w:sz w:val="22"/>
          <w:lang w:val="en-IE"/>
        </w:rPr>
        <w:t xml:space="preserve"> effective remedies, including the complexity of the complaints system and a lack of tailored legal advice.</w:t>
      </w:r>
      <w:r>
        <w:rPr>
          <w:sz w:val="22"/>
          <w:lang w:val="en-IE"/>
        </w:rPr>
        <w:t xml:space="preserve"> It gives an overview of equality bodies at national level, by mandate and “predominant type”</w:t>
      </w:r>
      <w:r w:rsidR="00C02ADA">
        <w:rPr>
          <w:sz w:val="22"/>
          <w:lang w:val="en-IE"/>
        </w:rPr>
        <w:t xml:space="preserve"> i.e. quasi-judicial or promotion</w:t>
      </w:r>
      <w:r>
        <w:rPr>
          <w:sz w:val="22"/>
          <w:lang w:val="en-IE"/>
        </w:rPr>
        <w:t xml:space="preserve"> (pp. 64-67).</w:t>
      </w:r>
    </w:p>
    <w:p w14:paraId="37B9A46C" w14:textId="11C38B17" w:rsidR="00C02ADA" w:rsidRDefault="00C02ADA" w:rsidP="00F102A8">
      <w:pPr>
        <w:spacing w:line="276" w:lineRule="auto"/>
        <w:rPr>
          <w:sz w:val="22"/>
          <w:lang w:val="en-IE"/>
        </w:rPr>
      </w:pPr>
      <w:r>
        <w:rPr>
          <w:rFonts w:cs="DaxlinePro-Regular"/>
          <w:color w:val="000000"/>
          <w:sz w:val="22"/>
        </w:rPr>
        <w:t xml:space="preserve">FRA’s </w:t>
      </w:r>
      <w:hyperlink r:id="rId25" w:history="1">
        <w:r>
          <w:rPr>
            <w:rStyle w:val="Hyperlink"/>
            <w:sz w:val="22"/>
            <w:szCs w:val="20"/>
          </w:rPr>
          <w:t>handbook on access to justice</w:t>
        </w:r>
      </w:hyperlink>
      <w:r w:rsidRPr="003D0AF4">
        <w:rPr>
          <w:rFonts w:cs="DaxlinePro-Regular"/>
          <w:color w:val="000000"/>
        </w:rPr>
        <w:t xml:space="preserve"> </w:t>
      </w:r>
      <w:r w:rsidRPr="003D0AF4">
        <w:rPr>
          <w:rFonts w:cs="DaxlinePro-Regular"/>
          <w:color w:val="000000"/>
          <w:sz w:val="22"/>
        </w:rPr>
        <w:t>includes a chapter on non-judicial bodies established by some EU Member States pursuant to specific EU legislative requiremen</w:t>
      </w:r>
      <w:r>
        <w:rPr>
          <w:rFonts w:cs="DaxlinePro-Regular"/>
          <w:color w:val="000000"/>
          <w:sz w:val="22"/>
        </w:rPr>
        <w:t xml:space="preserve">ts </w:t>
      </w:r>
      <w:r w:rsidRPr="003D0AF4">
        <w:rPr>
          <w:rFonts w:cs="DaxlinePro-Regular"/>
          <w:color w:val="000000"/>
          <w:sz w:val="22"/>
        </w:rPr>
        <w:t>(pp. 48-50). Administrative, non-judicial bodies may also advance access to justice by al</w:t>
      </w:r>
      <w:r w:rsidRPr="003D0AF4">
        <w:rPr>
          <w:rFonts w:cs="DaxlinePro-Regular"/>
          <w:color w:val="000000"/>
          <w:sz w:val="22"/>
        </w:rPr>
        <w:softHyphen/>
        <w:t>lowing collective redress or complaints. This permits complainants to join forc</w:t>
      </w:r>
      <w:r w:rsidRPr="003D0AF4">
        <w:rPr>
          <w:rFonts w:cs="DaxlinePro-Regular"/>
          <w:color w:val="000000"/>
          <w:sz w:val="22"/>
        </w:rPr>
        <w:softHyphen/>
        <w:t>es so that many individual claims relating to the same case can be comb</w:t>
      </w:r>
      <w:r>
        <w:rPr>
          <w:rFonts w:cs="DaxlinePro-Regular"/>
          <w:color w:val="000000"/>
          <w:sz w:val="22"/>
        </w:rPr>
        <w:t xml:space="preserve">ined into a single court action and </w:t>
      </w:r>
      <w:r w:rsidRPr="003D0AF4">
        <w:rPr>
          <w:rFonts w:cs="DaxlinePro-Regular"/>
          <w:color w:val="000000"/>
          <w:sz w:val="22"/>
        </w:rPr>
        <w:t>may allow organisations of persons with disabilities, such as NGOs, to file complaints on behalf of individuals.</w:t>
      </w:r>
    </w:p>
    <w:p w14:paraId="0E745BF9" w14:textId="77777777" w:rsidR="00EC47D0" w:rsidRPr="005F0E25" w:rsidRDefault="00EC47D0" w:rsidP="00EC47D0">
      <w:pPr>
        <w:rPr>
          <w:rFonts w:cs="DaxlinePro-Regular"/>
          <w:color w:val="000000"/>
          <w:sz w:val="18"/>
          <w:szCs w:val="18"/>
        </w:rPr>
      </w:pPr>
    </w:p>
    <w:p w14:paraId="1ED823E1" w14:textId="3BA623E4" w:rsidR="003D0AF4" w:rsidRDefault="004816C9" w:rsidP="00551130">
      <w:pPr>
        <w:spacing w:line="276" w:lineRule="auto"/>
        <w:rPr>
          <w:rFonts w:cs="DaxlinePro-Regular"/>
          <w:color w:val="000000"/>
          <w:sz w:val="22"/>
        </w:rPr>
      </w:pPr>
      <w:r>
        <w:rPr>
          <w:rFonts w:cs="DaxlinePro-Regular"/>
          <w:color w:val="000000"/>
          <w:sz w:val="22"/>
        </w:rPr>
        <w:t xml:space="preserve">FRA’s report on </w:t>
      </w:r>
      <w:hyperlink r:id="rId26" w:history="1">
        <w:r>
          <w:rPr>
            <w:rStyle w:val="Hyperlink"/>
            <w:rFonts w:cs="DaxlinePro-Regular"/>
            <w:sz w:val="22"/>
          </w:rPr>
          <w:t>Inequalities and multiple discrimination in access to and quality of healthcare</w:t>
        </w:r>
      </w:hyperlink>
      <w:r>
        <w:rPr>
          <w:rFonts w:cs="DaxlinePro-Regular"/>
          <w:color w:val="000000"/>
          <w:sz w:val="22"/>
        </w:rPr>
        <w:t xml:space="preserve"> </w:t>
      </w:r>
      <w:r w:rsidR="005355D9">
        <w:rPr>
          <w:rFonts w:cs="DaxlinePro-Regular"/>
          <w:color w:val="000000"/>
          <w:sz w:val="22"/>
        </w:rPr>
        <w:t xml:space="preserve">from 2013 </w:t>
      </w:r>
      <w:r w:rsidR="0070330D">
        <w:rPr>
          <w:rFonts w:cs="DaxlinePro-Regular"/>
          <w:color w:val="000000"/>
          <w:sz w:val="22"/>
        </w:rPr>
        <w:t xml:space="preserve">dedicated one chapter to </w:t>
      </w:r>
      <w:r w:rsidR="0070330D" w:rsidRPr="0070330D">
        <w:rPr>
          <w:rFonts w:cs="DaxlinePro-Regular"/>
          <w:color w:val="000000"/>
          <w:sz w:val="22"/>
        </w:rPr>
        <w:t>a detailed review of hurdles to legal remedies and some of the views and practices of healthcare users, staff of relevant support bodies and lawyers in private practice</w:t>
      </w:r>
      <w:r w:rsidR="007D63AF">
        <w:rPr>
          <w:rFonts w:cs="DaxlinePro-Regular"/>
          <w:color w:val="000000"/>
          <w:sz w:val="18"/>
          <w:szCs w:val="18"/>
        </w:rPr>
        <w:t xml:space="preserve"> </w:t>
      </w:r>
      <w:r w:rsidR="007D63AF">
        <w:rPr>
          <w:rFonts w:cs="DaxlinePro-Regular"/>
          <w:color w:val="000000"/>
          <w:sz w:val="22"/>
        </w:rPr>
        <w:t>(chapter 5, pp. 79-95)</w:t>
      </w:r>
      <w:r w:rsidR="008866F2">
        <w:rPr>
          <w:rFonts w:cs="DaxlinePro-Regular"/>
          <w:color w:val="000000"/>
          <w:sz w:val="22"/>
        </w:rPr>
        <w:t>.</w:t>
      </w:r>
    </w:p>
    <w:p w14:paraId="615D1916" w14:textId="5C29CEF3" w:rsidR="00625692" w:rsidRDefault="00625692" w:rsidP="00551130">
      <w:pPr>
        <w:spacing w:line="276" w:lineRule="auto"/>
        <w:rPr>
          <w:rFonts w:cs="DaxlinePro-Regular"/>
          <w:color w:val="000000"/>
          <w:sz w:val="22"/>
        </w:rPr>
      </w:pPr>
    </w:p>
    <w:p w14:paraId="2C5FBAC6" w14:textId="77777777" w:rsidR="00551130" w:rsidRDefault="00551130" w:rsidP="00551130">
      <w:pPr>
        <w:numPr>
          <w:ilvl w:val="0"/>
          <w:numId w:val="24"/>
        </w:numPr>
        <w:spacing w:line="276" w:lineRule="auto"/>
        <w:rPr>
          <w:b/>
          <w:bCs/>
          <w:sz w:val="22"/>
          <w:szCs w:val="20"/>
        </w:rPr>
      </w:pPr>
      <w:r w:rsidRPr="00551130">
        <w:rPr>
          <w:b/>
          <w:bCs/>
          <w:sz w:val="22"/>
          <w:szCs w:val="20"/>
        </w:rPr>
        <w:t>to have effective access to justice in the context of disasters, migration and asylum-seeking, conflict and post-conflict situations and transitional justice, and formal or informal systems of customary, indigenous and community justice, among others.</w:t>
      </w:r>
    </w:p>
    <w:p w14:paraId="7A189AF9" w14:textId="77777777" w:rsidR="00551130" w:rsidRPr="00551130" w:rsidRDefault="00551130" w:rsidP="00551130">
      <w:pPr>
        <w:spacing w:line="276" w:lineRule="auto"/>
        <w:rPr>
          <w:b/>
          <w:bCs/>
          <w:sz w:val="22"/>
          <w:szCs w:val="20"/>
        </w:rPr>
      </w:pPr>
    </w:p>
    <w:p w14:paraId="4F722DD8" w14:textId="2AE9C850" w:rsidR="003E27E5" w:rsidRDefault="00B3068E" w:rsidP="00551130">
      <w:pPr>
        <w:spacing w:line="276" w:lineRule="auto"/>
        <w:rPr>
          <w:sz w:val="22"/>
        </w:rPr>
      </w:pPr>
      <w:r w:rsidRPr="00D54E9F">
        <w:rPr>
          <w:sz w:val="22"/>
        </w:rPr>
        <w:t>FRA</w:t>
      </w:r>
      <w:r w:rsidR="008866F2">
        <w:rPr>
          <w:sz w:val="22"/>
        </w:rPr>
        <w:t>’</w:t>
      </w:r>
      <w:r w:rsidRPr="00D54E9F">
        <w:rPr>
          <w:sz w:val="22"/>
        </w:rPr>
        <w:t xml:space="preserve">s </w:t>
      </w:r>
      <w:hyperlink r:id="rId27" w:history="1">
        <w:r w:rsidR="001A5B96">
          <w:rPr>
            <w:rStyle w:val="Hyperlink"/>
            <w:sz w:val="22"/>
          </w:rPr>
          <w:t>Handbook on European law relating to asylum, borders and immigration</w:t>
        </w:r>
      </w:hyperlink>
      <w:r w:rsidR="001A5B96">
        <w:rPr>
          <w:sz w:val="22"/>
        </w:rPr>
        <w:t xml:space="preserve"> from </w:t>
      </w:r>
      <w:r w:rsidRPr="00D54E9F">
        <w:rPr>
          <w:sz w:val="22"/>
        </w:rPr>
        <w:t>2014</w:t>
      </w:r>
      <w:r w:rsidR="00364754">
        <w:rPr>
          <w:sz w:val="22"/>
        </w:rPr>
        <w:t xml:space="preserve"> dedicated</w:t>
      </w:r>
      <w:r w:rsidR="006E22EC" w:rsidRPr="00D54E9F">
        <w:rPr>
          <w:sz w:val="22"/>
        </w:rPr>
        <w:t xml:space="preserve"> a section to the specific position of persons with disabilities in the context of asylum and immigration. </w:t>
      </w:r>
      <w:r w:rsidRPr="00D54E9F">
        <w:rPr>
          <w:sz w:val="22"/>
        </w:rPr>
        <w:t xml:space="preserve">Under the </w:t>
      </w:r>
      <w:hyperlink r:id="rId28" w:history="1">
        <w:r w:rsidR="006E22EC" w:rsidRPr="00D54E9F">
          <w:rPr>
            <w:rStyle w:val="Hyperlink"/>
            <w:sz w:val="22"/>
          </w:rPr>
          <w:t>ECHR</w:t>
        </w:r>
      </w:hyperlink>
      <w:r w:rsidRPr="00D54E9F">
        <w:rPr>
          <w:sz w:val="22"/>
        </w:rPr>
        <w:t>, there is no definition of disability, but the ECtHR has held that Article 14 protects against discrimination based on disability</w:t>
      </w:r>
      <w:r w:rsidR="00F70188">
        <w:rPr>
          <w:sz w:val="22"/>
        </w:rPr>
        <w:t>.</w:t>
      </w:r>
      <w:r w:rsidR="006E22EC" w:rsidRPr="00D54E9F">
        <w:rPr>
          <w:rStyle w:val="FootnoteReference"/>
          <w:sz w:val="22"/>
        </w:rPr>
        <w:footnoteReference w:id="3"/>
      </w:r>
      <w:r w:rsidR="00102FD9">
        <w:rPr>
          <w:sz w:val="22"/>
        </w:rPr>
        <w:t xml:space="preserve"> </w:t>
      </w:r>
    </w:p>
    <w:p w14:paraId="0B4386EC" w14:textId="77777777" w:rsidR="003E27E5" w:rsidRDefault="003E27E5" w:rsidP="00551130">
      <w:pPr>
        <w:spacing w:line="276" w:lineRule="auto"/>
        <w:rPr>
          <w:sz w:val="22"/>
        </w:rPr>
      </w:pPr>
    </w:p>
    <w:p w14:paraId="05709024" w14:textId="52CFB580" w:rsidR="00740227" w:rsidRPr="00E10933" w:rsidRDefault="00740227" w:rsidP="00551130">
      <w:pPr>
        <w:spacing w:line="276" w:lineRule="auto"/>
        <w:rPr>
          <w:sz w:val="22"/>
        </w:rPr>
      </w:pPr>
      <w:r>
        <w:rPr>
          <w:sz w:val="22"/>
        </w:rPr>
        <w:t xml:space="preserve">Art 27 of the </w:t>
      </w:r>
      <w:r w:rsidRPr="00740227">
        <w:rPr>
          <w:sz w:val="22"/>
        </w:rPr>
        <w:t xml:space="preserve">Regulation (EU) No 604/2013 </w:t>
      </w:r>
      <w:r w:rsidR="00113760">
        <w:rPr>
          <w:sz w:val="22"/>
        </w:rPr>
        <w:t>(</w:t>
      </w:r>
      <w:hyperlink r:id="rId29" w:history="1">
        <w:r>
          <w:rPr>
            <w:rStyle w:val="Hyperlink"/>
            <w:sz w:val="22"/>
          </w:rPr>
          <w:t>Dublin III regulation</w:t>
        </w:r>
      </w:hyperlink>
      <w:r w:rsidR="00113760">
        <w:rPr>
          <w:rStyle w:val="Hyperlink"/>
          <w:sz w:val="22"/>
        </w:rPr>
        <w:t>)</w:t>
      </w:r>
      <w:r w:rsidR="00490369">
        <w:rPr>
          <w:sz w:val="22"/>
        </w:rPr>
        <w:t xml:space="preserve"> </w:t>
      </w:r>
      <w:r>
        <w:rPr>
          <w:sz w:val="22"/>
        </w:rPr>
        <w:t>states that “t</w:t>
      </w:r>
      <w:r w:rsidRPr="00740227">
        <w:rPr>
          <w:sz w:val="22"/>
        </w:rPr>
        <w:t xml:space="preserve">he exchange of an applicant’s personal data, including sensitive data on his or her health, prior to a transfer, will ensure that the competent asylum authorities are in a position to provide applicants with adequate assistance and to ensure continuity in the protection and </w:t>
      </w:r>
      <w:r w:rsidRPr="00E10933">
        <w:rPr>
          <w:sz w:val="22"/>
        </w:rPr>
        <w:t>rights afforded to them</w:t>
      </w:r>
      <w:r w:rsidR="00113760" w:rsidRPr="00E10933">
        <w:rPr>
          <w:sz w:val="22"/>
        </w:rPr>
        <w:t>”.</w:t>
      </w:r>
    </w:p>
    <w:p w14:paraId="27E55E76" w14:textId="77777777" w:rsidR="00D2711F" w:rsidRPr="00E10933" w:rsidRDefault="00D2711F" w:rsidP="00551130">
      <w:pPr>
        <w:spacing w:line="276" w:lineRule="auto"/>
        <w:rPr>
          <w:sz w:val="22"/>
        </w:rPr>
      </w:pPr>
    </w:p>
    <w:p w14:paraId="4037F9AC" w14:textId="508B2A52" w:rsidR="00D2711F" w:rsidRPr="00E10933" w:rsidRDefault="00D2711F" w:rsidP="00551130">
      <w:pPr>
        <w:spacing w:line="276" w:lineRule="auto"/>
        <w:rPr>
          <w:sz w:val="22"/>
        </w:rPr>
      </w:pPr>
      <w:r w:rsidRPr="00E10933">
        <w:rPr>
          <w:sz w:val="22"/>
        </w:rPr>
        <w:t xml:space="preserve">Article 29 of the </w:t>
      </w:r>
      <w:hyperlink r:id="rId30" w:history="1">
        <w:r w:rsidRPr="00E10933">
          <w:rPr>
            <w:rStyle w:val="Hyperlink"/>
            <w:color w:val="auto"/>
            <w:sz w:val="22"/>
          </w:rPr>
          <w:t>Asylum Procedure Directive</w:t>
        </w:r>
      </w:hyperlink>
      <w:r w:rsidRPr="00E10933">
        <w:rPr>
          <w:rStyle w:val="Hyperlink"/>
          <w:color w:val="auto"/>
          <w:sz w:val="22"/>
        </w:rPr>
        <w:t xml:space="preserve"> (2008/115/EC)</w:t>
      </w:r>
      <w:r w:rsidRPr="00E10933">
        <w:t xml:space="preserve"> </w:t>
      </w:r>
      <w:r w:rsidRPr="00E10933">
        <w:rPr>
          <w:sz w:val="22"/>
        </w:rPr>
        <w:t xml:space="preserve">considers the fact that </w:t>
      </w:r>
      <w:r w:rsidRPr="00F70188">
        <w:rPr>
          <w:sz w:val="22"/>
        </w:rPr>
        <w:t>“</w:t>
      </w:r>
      <w:r w:rsidRPr="00F102A8">
        <w:rPr>
          <w:sz w:val="22"/>
        </w:rPr>
        <w:t xml:space="preserve">certain applicants may be in need of special procedural guarantees due, </w:t>
      </w:r>
      <w:r w:rsidRPr="00F102A8">
        <w:rPr>
          <w:sz w:val="22"/>
        </w:rPr>
        <w:lastRenderedPageBreak/>
        <w:t xml:space="preserve">inter alia, to their </w:t>
      </w:r>
      <w:r w:rsidR="00F70188">
        <w:rPr>
          <w:sz w:val="22"/>
        </w:rPr>
        <w:t>[</w:t>
      </w:r>
      <w:r w:rsidR="00F70188" w:rsidRPr="00F102A8">
        <w:rPr>
          <w:sz w:val="22"/>
        </w:rPr>
        <w:t>…</w:t>
      </w:r>
      <w:r w:rsidR="00F70188">
        <w:rPr>
          <w:sz w:val="22"/>
        </w:rPr>
        <w:t>]</w:t>
      </w:r>
      <w:r w:rsidR="00F70188" w:rsidRPr="00F102A8">
        <w:rPr>
          <w:sz w:val="22"/>
        </w:rPr>
        <w:t xml:space="preserve"> </w:t>
      </w:r>
      <w:r w:rsidRPr="00F102A8">
        <w:rPr>
          <w:sz w:val="22"/>
        </w:rPr>
        <w:t xml:space="preserve">disability, </w:t>
      </w:r>
      <w:r w:rsidR="00F70188">
        <w:rPr>
          <w:sz w:val="22"/>
        </w:rPr>
        <w:t>[</w:t>
      </w:r>
      <w:r w:rsidR="00F70188" w:rsidRPr="00F102A8">
        <w:rPr>
          <w:sz w:val="22"/>
        </w:rPr>
        <w:t>…</w:t>
      </w:r>
      <w:r w:rsidR="00F70188">
        <w:rPr>
          <w:sz w:val="22"/>
        </w:rPr>
        <w:t>]</w:t>
      </w:r>
      <w:r w:rsidR="00F70188" w:rsidRPr="00F102A8">
        <w:rPr>
          <w:sz w:val="22"/>
        </w:rPr>
        <w:t xml:space="preserve"> </w:t>
      </w:r>
      <w:r w:rsidRPr="00F102A8">
        <w:rPr>
          <w:sz w:val="22"/>
        </w:rPr>
        <w:t>or mental disorders” and obliges the Member States to provide these applicants with “adequate support</w:t>
      </w:r>
      <w:r w:rsidR="00EC0F19" w:rsidRPr="00F102A8">
        <w:rPr>
          <w:sz w:val="22"/>
        </w:rPr>
        <w:t xml:space="preserve"> </w:t>
      </w:r>
      <w:r w:rsidR="00F70188">
        <w:rPr>
          <w:sz w:val="22"/>
        </w:rPr>
        <w:t>[</w:t>
      </w:r>
      <w:r w:rsidR="00F70188" w:rsidRPr="00F102A8">
        <w:rPr>
          <w:sz w:val="22"/>
        </w:rPr>
        <w:t>…</w:t>
      </w:r>
      <w:r w:rsidR="00F70188">
        <w:rPr>
          <w:sz w:val="22"/>
        </w:rPr>
        <w:t>]</w:t>
      </w:r>
      <w:r w:rsidR="00F70188" w:rsidRPr="00F102A8">
        <w:rPr>
          <w:sz w:val="22"/>
        </w:rPr>
        <w:t xml:space="preserve"> </w:t>
      </w:r>
      <w:r w:rsidR="00EC0F19" w:rsidRPr="00F102A8">
        <w:rPr>
          <w:sz w:val="22"/>
        </w:rPr>
        <w:t>in order to access to procedures and for presenting the elements needed to substantiate their application for international protection.”</w:t>
      </w:r>
    </w:p>
    <w:p w14:paraId="17AE82AD" w14:textId="77777777" w:rsidR="00446705" w:rsidRPr="00E10933" w:rsidRDefault="00446705" w:rsidP="00551130">
      <w:pPr>
        <w:spacing w:line="276" w:lineRule="auto"/>
        <w:rPr>
          <w:sz w:val="22"/>
        </w:rPr>
      </w:pPr>
    </w:p>
    <w:p w14:paraId="0F73C298" w14:textId="14285257" w:rsidR="00740227" w:rsidRPr="00C62127" w:rsidRDefault="00446705" w:rsidP="00446705">
      <w:pPr>
        <w:spacing w:line="276" w:lineRule="auto"/>
        <w:rPr>
          <w:color w:val="FFFF00"/>
          <w:sz w:val="22"/>
        </w:rPr>
      </w:pPr>
      <w:r w:rsidRPr="00F102A8">
        <w:rPr>
          <w:sz w:val="22"/>
        </w:rPr>
        <w:t xml:space="preserve">The </w:t>
      </w:r>
      <w:hyperlink r:id="rId31" w:history="1">
        <w:r w:rsidRPr="00F102A8">
          <w:rPr>
            <w:rStyle w:val="Hyperlink"/>
            <w:color w:val="auto"/>
            <w:sz w:val="22"/>
          </w:rPr>
          <w:t>Return Directive (2008/115/EC)</w:t>
        </w:r>
      </w:hyperlink>
      <w:r w:rsidR="00C62127" w:rsidRPr="00F102A8">
        <w:t xml:space="preserve"> </w:t>
      </w:r>
      <w:r w:rsidRPr="00F102A8">
        <w:rPr>
          <w:sz w:val="22"/>
        </w:rPr>
        <w:t>includes persons with disabilities when defining vulnerable persons. Its Article 13 on Remedies mentions the right to linguistic assistance.</w:t>
      </w:r>
    </w:p>
    <w:p w14:paraId="1CFE4D4D" w14:textId="77777777" w:rsidR="00551130" w:rsidRDefault="00551130" w:rsidP="00551130">
      <w:pPr>
        <w:spacing w:line="276" w:lineRule="auto"/>
        <w:rPr>
          <w:b/>
          <w:bCs/>
          <w:sz w:val="22"/>
          <w:szCs w:val="20"/>
        </w:rPr>
      </w:pPr>
    </w:p>
    <w:p w14:paraId="279419A3" w14:textId="62E84CC6" w:rsidR="00551130" w:rsidRPr="00551130" w:rsidRDefault="00551130" w:rsidP="00551130">
      <w:pPr>
        <w:spacing w:line="276" w:lineRule="auto"/>
        <w:rPr>
          <w:b/>
          <w:bCs/>
          <w:sz w:val="22"/>
          <w:szCs w:val="20"/>
        </w:rPr>
      </w:pPr>
      <w:r>
        <w:rPr>
          <w:b/>
          <w:bCs/>
          <w:sz w:val="22"/>
          <w:szCs w:val="20"/>
        </w:rPr>
        <w:t xml:space="preserve">Question 2: </w:t>
      </w:r>
      <w:r w:rsidRPr="00551130">
        <w:rPr>
          <w:b/>
          <w:bCs/>
          <w:sz w:val="22"/>
          <w:szCs w:val="20"/>
        </w:rPr>
        <w:t>Do you have examples from countries in your region on:</w:t>
      </w:r>
    </w:p>
    <w:p w14:paraId="77A8517C" w14:textId="77777777" w:rsidR="00551130" w:rsidRPr="00551130" w:rsidRDefault="00551130" w:rsidP="00551130">
      <w:pPr>
        <w:spacing w:line="276" w:lineRule="auto"/>
        <w:rPr>
          <w:b/>
          <w:bCs/>
          <w:sz w:val="22"/>
          <w:szCs w:val="20"/>
        </w:rPr>
      </w:pPr>
    </w:p>
    <w:p w14:paraId="0F4B08FF" w14:textId="77777777" w:rsidR="00551130" w:rsidRDefault="00551130" w:rsidP="00551130">
      <w:pPr>
        <w:numPr>
          <w:ilvl w:val="0"/>
          <w:numId w:val="25"/>
        </w:numPr>
        <w:spacing w:line="276" w:lineRule="auto"/>
        <w:rPr>
          <w:b/>
          <w:bCs/>
          <w:sz w:val="22"/>
          <w:szCs w:val="20"/>
        </w:rPr>
      </w:pPr>
      <w:r w:rsidRPr="00551130">
        <w:rPr>
          <w:b/>
          <w:bCs/>
          <w:sz w:val="22"/>
          <w:szCs w:val="20"/>
        </w:rPr>
        <w:t>how procedural and age-appropriate accommodations are provided and applied, including protocols or other guidelines;</w:t>
      </w:r>
    </w:p>
    <w:p w14:paraId="04D644EA" w14:textId="77777777" w:rsidR="00551130" w:rsidRPr="00551130" w:rsidRDefault="00551130" w:rsidP="00551130">
      <w:pPr>
        <w:spacing w:line="276" w:lineRule="auto"/>
        <w:rPr>
          <w:bCs/>
          <w:sz w:val="22"/>
          <w:szCs w:val="20"/>
        </w:rPr>
      </w:pPr>
    </w:p>
    <w:p w14:paraId="52324BCA" w14:textId="55252377" w:rsidR="00B86F7C" w:rsidRDefault="00F70188" w:rsidP="00B86F7C">
      <w:pPr>
        <w:rPr>
          <w:rFonts w:eastAsia="Cambria" w:cs="DaxlinePro-Regular"/>
          <w:color w:val="000000"/>
          <w:sz w:val="22"/>
          <w:lang w:val="en-IE" w:eastAsia="de-DE"/>
        </w:rPr>
      </w:pPr>
      <w:r>
        <w:rPr>
          <w:rFonts w:eastAsia="Cambria" w:cs="DaxlinePro-Regular"/>
          <w:color w:val="000000"/>
          <w:sz w:val="22"/>
          <w:lang w:val="en-IE" w:eastAsia="de-DE"/>
        </w:rPr>
        <w:t xml:space="preserve">FRA’s report </w:t>
      </w:r>
      <w:hyperlink r:id="rId32" w:history="1">
        <w:r w:rsidRPr="00F70188">
          <w:rPr>
            <w:rStyle w:val="Hyperlink"/>
            <w:rFonts w:eastAsia="Cambria" w:cs="DaxlinePro-Regular"/>
            <w:sz w:val="22"/>
            <w:lang w:val="en-IE" w:eastAsia="de-DE"/>
          </w:rPr>
          <w:t>Choice and control: the right to independent living</w:t>
        </w:r>
      </w:hyperlink>
      <w:r>
        <w:rPr>
          <w:rFonts w:eastAsia="Cambria" w:cs="DaxlinePro-Regular"/>
          <w:color w:val="000000"/>
          <w:sz w:val="22"/>
          <w:lang w:val="en-IE" w:eastAsia="de-DE"/>
        </w:rPr>
        <w:t>, published in 2012,</w:t>
      </w:r>
      <w:r w:rsidR="00B86F7C">
        <w:rPr>
          <w:rFonts w:eastAsia="Cambria" w:cs="DaxlinePro-Regular"/>
          <w:color w:val="000000"/>
          <w:sz w:val="22"/>
          <w:lang w:val="en-IE" w:eastAsia="de-DE"/>
        </w:rPr>
        <w:t xml:space="preserve"> </w:t>
      </w:r>
      <w:r w:rsidR="00B86F7C" w:rsidRPr="005400EB">
        <w:rPr>
          <w:rFonts w:eastAsia="Cambria" w:cs="DaxlinePro-Regular"/>
          <w:color w:val="000000"/>
          <w:sz w:val="22"/>
          <w:lang w:val="en-IE" w:eastAsia="de-DE"/>
        </w:rPr>
        <w:t>indicate</w:t>
      </w:r>
      <w:r>
        <w:rPr>
          <w:rFonts w:eastAsia="Cambria" w:cs="DaxlinePro-Regular"/>
          <w:color w:val="000000"/>
          <w:sz w:val="22"/>
          <w:lang w:val="en-IE" w:eastAsia="de-DE"/>
        </w:rPr>
        <w:t>s</w:t>
      </w:r>
      <w:r w:rsidR="00B86F7C" w:rsidRPr="005400EB">
        <w:rPr>
          <w:rFonts w:eastAsia="Cambria" w:cs="DaxlinePro-Regular"/>
          <w:color w:val="000000"/>
          <w:sz w:val="22"/>
          <w:lang w:val="en-IE" w:eastAsia="de-DE"/>
        </w:rPr>
        <w:t xml:space="preserve"> a number of barriers to accessing justice</w:t>
      </w:r>
      <w:r>
        <w:rPr>
          <w:rFonts w:eastAsia="Cambria" w:cs="DaxlinePro-Regular"/>
          <w:color w:val="000000"/>
          <w:sz w:val="22"/>
          <w:lang w:val="en-IE" w:eastAsia="de-DE"/>
        </w:rPr>
        <w:t xml:space="preserve"> for persons with intellectual disabilities and persons with mental health problems</w:t>
      </w:r>
      <w:r w:rsidR="00B86F7C" w:rsidRPr="005400EB">
        <w:rPr>
          <w:rFonts w:eastAsia="Cambria" w:cs="DaxlinePro-Regular"/>
          <w:color w:val="000000"/>
          <w:sz w:val="22"/>
          <w:lang w:val="en-IE" w:eastAsia="de-DE"/>
        </w:rPr>
        <w:t>. Many respondents said that they refrained from complaining for fear of retribution or that they would not be taken seriously. Others reported negative experiences when trying to secure help from law enforcement officials and the justice system. An important obstacle to obtaining redress was lack of awareness about complaints procedures combined with a lack of formal support, particularly in institutional settings. Where interviewees had accessed justice, they highlighted self-advocacy groups as a crucial support during the process. Based on these findings, FRA identified measures to raise awareness about complaints mechanisms and to support people with disabilities to access justice and participate in judicial procedures as key to securing independent living.</w:t>
      </w:r>
    </w:p>
    <w:p w14:paraId="49F8681A" w14:textId="77777777" w:rsidR="009673FD" w:rsidRDefault="009673FD" w:rsidP="00B86F7C">
      <w:pPr>
        <w:rPr>
          <w:rFonts w:eastAsia="Cambria" w:cs="DaxlinePro-Regular"/>
          <w:color w:val="000000"/>
          <w:sz w:val="22"/>
          <w:lang w:val="en-IE" w:eastAsia="de-DE"/>
        </w:rPr>
      </w:pPr>
    </w:p>
    <w:p w14:paraId="72972EEC" w14:textId="0344B8E2" w:rsidR="009673FD" w:rsidRDefault="009673FD" w:rsidP="00B86F7C">
      <w:pPr>
        <w:rPr>
          <w:sz w:val="22"/>
          <w:szCs w:val="20"/>
        </w:rPr>
      </w:pPr>
      <w:r>
        <w:rPr>
          <w:rFonts w:eastAsia="Cambria" w:cs="DaxlinePro-Regular"/>
          <w:color w:val="000000"/>
          <w:sz w:val="22"/>
          <w:lang w:val="en-IE" w:eastAsia="de-DE"/>
        </w:rPr>
        <w:t xml:space="preserve">As for age-appropriate </w:t>
      </w:r>
      <w:r w:rsidR="008866F2">
        <w:rPr>
          <w:rFonts w:eastAsia="Cambria" w:cs="DaxlinePro-Regular"/>
          <w:color w:val="000000"/>
          <w:sz w:val="22"/>
          <w:lang w:val="en-IE" w:eastAsia="de-DE"/>
        </w:rPr>
        <w:t>accommodations</w:t>
      </w:r>
      <w:r>
        <w:rPr>
          <w:rFonts w:eastAsia="Cambria" w:cs="DaxlinePro-Regular"/>
          <w:color w:val="000000"/>
          <w:sz w:val="22"/>
          <w:lang w:val="en-IE" w:eastAsia="de-DE"/>
        </w:rPr>
        <w:t xml:space="preserve">, </w:t>
      </w:r>
      <w:r>
        <w:rPr>
          <w:sz w:val="22"/>
          <w:szCs w:val="20"/>
        </w:rPr>
        <w:t xml:space="preserve">FRA published </w:t>
      </w:r>
      <w:r w:rsidR="005138F5">
        <w:rPr>
          <w:sz w:val="22"/>
          <w:szCs w:val="20"/>
        </w:rPr>
        <w:t xml:space="preserve">two </w:t>
      </w:r>
      <w:r>
        <w:rPr>
          <w:sz w:val="22"/>
          <w:szCs w:val="20"/>
        </w:rPr>
        <w:t>report</w:t>
      </w:r>
      <w:r w:rsidR="005138F5">
        <w:rPr>
          <w:sz w:val="22"/>
          <w:szCs w:val="20"/>
        </w:rPr>
        <w:t>s</w:t>
      </w:r>
      <w:r>
        <w:rPr>
          <w:sz w:val="22"/>
          <w:szCs w:val="20"/>
        </w:rPr>
        <w:t xml:space="preserve"> on</w:t>
      </w:r>
      <w:r w:rsidR="00120F87">
        <w:rPr>
          <w:sz w:val="22"/>
          <w:szCs w:val="20"/>
        </w:rPr>
        <w:t xml:space="preserve"> child-friendly justice</w:t>
      </w:r>
      <w:r w:rsidR="00D47FE0">
        <w:rPr>
          <w:sz w:val="22"/>
          <w:szCs w:val="20"/>
        </w:rPr>
        <w:t xml:space="preserve"> which drew on</w:t>
      </w:r>
      <w:r w:rsidRPr="00F91FB3">
        <w:rPr>
          <w:sz w:val="22"/>
          <w:szCs w:val="20"/>
        </w:rPr>
        <w:t xml:space="preserve"> interviews with</w:t>
      </w:r>
      <w:r w:rsidR="009417D2">
        <w:rPr>
          <w:sz w:val="22"/>
          <w:szCs w:val="20"/>
        </w:rPr>
        <w:t xml:space="preserve"> </w:t>
      </w:r>
      <w:hyperlink r:id="rId33" w:history="1">
        <w:r w:rsidR="009417D2">
          <w:rPr>
            <w:rStyle w:val="Hyperlink"/>
            <w:sz w:val="22"/>
            <w:szCs w:val="20"/>
          </w:rPr>
          <w:t>professionals</w:t>
        </w:r>
      </w:hyperlink>
      <w:r w:rsidR="009417D2">
        <w:rPr>
          <w:sz w:val="22"/>
          <w:szCs w:val="20"/>
        </w:rPr>
        <w:t xml:space="preserve"> </w:t>
      </w:r>
      <w:r w:rsidRPr="00F91FB3">
        <w:rPr>
          <w:sz w:val="22"/>
          <w:szCs w:val="20"/>
        </w:rPr>
        <w:t xml:space="preserve">and </w:t>
      </w:r>
      <w:hyperlink r:id="rId34" w:history="1">
        <w:r w:rsidR="001F0D94">
          <w:rPr>
            <w:rStyle w:val="Hyperlink"/>
            <w:sz w:val="22"/>
            <w:szCs w:val="20"/>
          </w:rPr>
          <w:t>children</w:t>
        </w:r>
      </w:hyperlink>
      <w:r w:rsidR="001F0D94">
        <w:rPr>
          <w:sz w:val="22"/>
          <w:szCs w:val="20"/>
        </w:rPr>
        <w:t xml:space="preserve"> </w:t>
      </w:r>
      <w:r w:rsidRPr="00F91FB3">
        <w:rPr>
          <w:sz w:val="22"/>
          <w:szCs w:val="20"/>
        </w:rPr>
        <w:t>who have been involved in judicial proceedings</w:t>
      </w:r>
      <w:r w:rsidR="00120F87">
        <w:rPr>
          <w:sz w:val="22"/>
          <w:szCs w:val="20"/>
        </w:rPr>
        <w:t>.</w:t>
      </w:r>
      <w:r w:rsidR="000D35DA">
        <w:rPr>
          <w:sz w:val="22"/>
          <w:szCs w:val="20"/>
        </w:rPr>
        <w:t xml:space="preserve"> Both reports highlight the specific situation of children with disabilities throughout.</w:t>
      </w:r>
    </w:p>
    <w:p w14:paraId="105A262B" w14:textId="60609948" w:rsidR="00BF6AA2" w:rsidRDefault="00BF6AA2" w:rsidP="00B86F7C">
      <w:pPr>
        <w:rPr>
          <w:rFonts w:eastAsia="Cambria" w:cs="DaxlinePro-Regular"/>
          <w:color w:val="000000"/>
          <w:sz w:val="22"/>
          <w:lang w:val="en-IE" w:eastAsia="de-DE"/>
        </w:rPr>
      </w:pPr>
    </w:p>
    <w:p w14:paraId="60560DE9" w14:textId="160D4A18" w:rsidR="00BF6AA2" w:rsidRDefault="00BF6AA2" w:rsidP="00B86F7C">
      <w:pPr>
        <w:rPr>
          <w:rFonts w:eastAsia="Cambria" w:cs="DaxlinePro-Regular"/>
          <w:color w:val="000000"/>
          <w:sz w:val="22"/>
          <w:lang w:val="en-IE" w:eastAsia="de-DE"/>
        </w:rPr>
      </w:pPr>
      <w:r>
        <w:rPr>
          <w:rFonts w:eastAsia="Cambria" w:cs="DaxlinePro-Regular"/>
          <w:color w:val="000000"/>
          <w:sz w:val="22"/>
          <w:lang w:val="en-IE" w:eastAsia="de-DE"/>
        </w:rPr>
        <w:t xml:space="preserve">FRA’s </w:t>
      </w:r>
      <w:hyperlink r:id="rId35" w:history="1">
        <w:r>
          <w:rPr>
            <w:rStyle w:val="Hyperlink"/>
            <w:rFonts w:eastAsia="Cambria" w:cs="DaxlinePro-Regular"/>
            <w:sz w:val="22"/>
            <w:lang w:val="en-IE" w:eastAsia="de-DE"/>
          </w:rPr>
          <w:t>report on violence against children with disabilities</w:t>
        </w:r>
      </w:hyperlink>
      <w:r>
        <w:rPr>
          <w:rFonts w:eastAsia="Cambria" w:cs="DaxlinePro-Regular"/>
          <w:color w:val="000000"/>
          <w:sz w:val="22"/>
          <w:lang w:val="en-IE" w:eastAsia="de-DE"/>
        </w:rPr>
        <w:t xml:space="preserve"> from </w:t>
      </w:r>
      <w:r w:rsidR="00064DA8">
        <w:rPr>
          <w:rFonts w:eastAsia="Cambria" w:cs="DaxlinePro-Regular"/>
          <w:color w:val="000000"/>
          <w:sz w:val="22"/>
          <w:lang w:val="en-IE" w:eastAsia="de-DE"/>
        </w:rPr>
        <w:t>2015 dedicates a section to m</w:t>
      </w:r>
      <w:r w:rsidR="00064DA8" w:rsidRPr="00F368DB">
        <w:rPr>
          <w:rFonts w:eastAsia="Cambria" w:cs="DaxlinePro-Regular"/>
          <w:color w:val="000000"/>
          <w:sz w:val="22"/>
          <w:lang w:val="en-IE" w:eastAsia="de-DE"/>
        </w:rPr>
        <w:t>easures and initiatives for preventing violence against children with disabilities targeting professionals and institutions</w:t>
      </w:r>
      <w:r w:rsidR="00064DA8">
        <w:rPr>
          <w:rFonts w:eastAsia="Cambria" w:cs="DaxlinePro-Regular"/>
          <w:color w:val="000000"/>
          <w:sz w:val="22"/>
          <w:lang w:val="en-IE" w:eastAsia="de-DE"/>
        </w:rPr>
        <w:t xml:space="preserve"> (pp. 93-98)</w:t>
      </w:r>
      <w:r w:rsidR="006351EC">
        <w:rPr>
          <w:rFonts w:eastAsia="Cambria" w:cs="DaxlinePro-Regular"/>
          <w:color w:val="000000"/>
          <w:sz w:val="22"/>
          <w:lang w:val="en-IE" w:eastAsia="de-DE"/>
        </w:rPr>
        <w:t>.</w:t>
      </w:r>
    </w:p>
    <w:p w14:paraId="6AE6AB27" w14:textId="77777777" w:rsidR="00551130" w:rsidRPr="00551130" w:rsidRDefault="00551130" w:rsidP="00551130">
      <w:pPr>
        <w:spacing w:line="276" w:lineRule="auto"/>
        <w:rPr>
          <w:b/>
          <w:bCs/>
          <w:sz w:val="22"/>
          <w:szCs w:val="20"/>
        </w:rPr>
      </w:pPr>
    </w:p>
    <w:p w14:paraId="2E0AEB71" w14:textId="270C0B46" w:rsidR="00CC659A" w:rsidRDefault="00551130" w:rsidP="00CC659A">
      <w:pPr>
        <w:numPr>
          <w:ilvl w:val="0"/>
          <w:numId w:val="25"/>
        </w:numPr>
        <w:spacing w:line="276" w:lineRule="auto"/>
        <w:rPr>
          <w:b/>
          <w:bCs/>
          <w:sz w:val="22"/>
          <w:szCs w:val="20"/>
        </w:rPr>
      </w:pPr>
      <w:r w:rsidRPr="00551130">
        <w:rPr>
          <w:b/>
          <w:bCs/>
          <w:sz w:val="22"/>
          <w:szCs w:val="20"/>
        </w:rPr>
        <w:t xml:space="preserve">training programmes on the right of access to justice for persons with disabilities for judges, lawyers, prosecutors, police, social workers, language and sign language interpreters, legal aid </w:t>
      </w:r>
      <w:r w:rsidRPr="00551130">
        <w:rPr>
          <w:b/>
          <w:bCs/>
          <w:sz w:val="22"/>
          <w:szCs w:val="20"/>
        </w:rPr>
        <w:lastRenderedPageBreak/>
        <w:t>centres, other judicial and administrative bodies intervening in judicial or quasi-judicial instances;</w:t>
      </w:r>
    </w:p>
    <w:p w14:paraId="6732E870" w14:textId="77777777" w:rsidR="00CC659A" w:rsidRPr="00CC659A" w:rsidRDefault="00CC659A" w:rsidP="00CC659A">
      <w:pPr>
        <w:spacing w:line="276" w:lineRule="auto"/>
        <w:rPr>
          <w:b/>
          <w:bCs/>
          <w:sz w:val="22"/>
          <w:szCs w:val="20"/>
        </w:rPr>
      </w:pPr>
    </w:p>
    <w:p w14:paraId="3C763690" w14:textId="14E634E4" w:rsidR="00CC659A" w:rsidRDefault="00CC659A" w:rsidP="00662ECA">
      <w:pPr>
        <w:rPr>
          <w:rFonts w:eastAsia="Cambria" w:cs="DaxlinePro-Regular"/>
          <w:color w:val="000000"/>
          <w:sz w:val="22"/>
          <w:lang w:val="en-IE" w:eastAsia="de-DE"/>
        </w:rPr>
      </w:pPr>
      <w:r>
        <w:rPr>
          <w:rFonts w:eastAsia="Cambria" w:cs="DaxlinePro-Regular"/>
          <w:color w:val="000000"/>
          <w:sz w:val="22"/>
          <w:lang w:val="en-IE" w:eastAsia="de-DE"/>
        </w:rPr>
        <w:t>FRA’s handbooks</w:t>
      </w:r>
      <w:r w:rsidR="00D47FE0">
        <w:rPr>
          <w:rFonts w:eastAsia="Cambria" w:cs="DaxlinePro-Regular"/>
          <w:color w:val="000000"/>
          <w:sz w:val="22"/>
          <w:lang w:val="en-IE" w:eastAsia="de-DE"/>
        </w:rPr>
        <w:t xml:space="preserve"> on jurisprudence from the European Court of Human Rights and the Court of Justice of the European Union, including</w:t>
      </w:r>
      <w:r>
        <w:rPr>
          <w:rFonts w:eastAsia="Cambria" w:cs="DaxlinePro-Regular"/>
          <w:color w:val="000000"/>
          <w:sz w:val="22"/>
          <w:lang w:val="en-IE" w:eastAsia="de-DE"/>
        </w:rPr>
        <w:t xml:space="preserve"> on </w:t>
      </w:r>
      <w:hyperlink r:id="rId36" w:history="1">
        <w:r>
          <w:rPr>
            <w:rStyle w:val="Hyperlink"/>
            <w:sz w:val="22"/>
            <w:szCs w:val="20"/>
          </w:rPr>
          <w:t>access to justice</w:t>
        </w:r>
      </w:hyperlink>
      <w:r>
        <w:rPr>
          <w:rFonts w:eastAsia="Cambria" w:cs="DaxlinePro-Regular"/>
          <w:color w:val="000000"/>
          <w:sz w:val="22"/>
          <w:lang w:val="en-IE" w:eastAsia="de-DE"/>
        </w:rPr>
        <w:t xml:space="preserve"> and on </w:t>
      </w:r>
      <w:hyperlink r:id="rId37" w:history="1">
        <w:r>
          <w:rPr>
            <w:rStyle w:val="Hyperlink"/>
            <w:rFonts w:eastAsia="Cambria" w:cs="DaxlinePro-Regular"/>
            <w:sz w:val="22"/>
            <w:lang w:val="en-IE" w:eastAsia="de-DE"/>
          </w:rPr>
          <w:t>European non-discrimination law</w:t>
        </w:r>
      </w:hyperlink>
      <w:r w:rsidR="00D47FE0">
        <w:rPr>
          <w:rStyle w:val="Hyperlink"/>
          <w:rFonts w:eastAsia="Cambria" w:cs="DaxlinePro-Regular"/>
          <w:sz w:val="22"/>
          <w:lang w:val="en-IE" w:eastAsia="de-DE"/>
        </w:rPr>
        <w:t>,</w:t>
      </w:r>
      <w:r w:rsidR="000A18BE">
        <w:rPr>
          <w:rFonts w:eastAsia="Cambria" w:cs="DaxlinePro-Regular"/>
          <w:color w:val="000000"/>
          <w:sz w:val="22"/>
          <w:lang w:val="en-IE" w:eastAsia="de-DE"/>
        </w:rPr>
        <w:t xml:space="preserve"> are</w:t>
      </w:r>
      <w:r w:rsidR="00FF05FE">
        <w:rPr>
          <w:rFonts w:eastAsia="Cambria" w:cs="DaxlinePro-Regular"/>
          <w:color w:val="000000"/>
          <w:sz w:val="22"/>
          <w:lang w:val="en-IE" w:eastAsia="de-DE"/>
        </w:rPr>
        <w:t xml:space="preserve"> intended for use </w:t>
      </w:r>
      <w:r w:rsidR="000A18BE">
        <w:rPr>
          <w:rFonts w:eastAsia="Cambria" w:cs="DaxlinePro-Regular"/>
          <w:color w:val="000000"/>
          <w:sz w:val="22"/>
          <w:lang w:val="en-IE" w:eastAsia="de-DE"/>
        </w:rPr>
        <w:t>in training programmes.</w:t>
      </w:r>
    </w:p>
    <w:p w14:paraId="5E07471F" w14:textId="2B80BE34" w:rsidR="00F368DB" w:rsidRDefault="00F368DB" w:rsidP="00662ECA">
      <w:pPr>
        <w:rPr>
          <w:rFonts w:eastAsia="Cambria" w:cs="DaxlinePro-Regular"/>
          <w:color w:val="000000"/>
          <w:sz w:val="22"/>
          <w:lang w:val="en-IE" w:eastAsia="de-DE"/>
        </w:rPr>
      </w:pPr>
    </w:p>
    <w:p w14:paraId="090F501A" w14:textId="4DB66847" w:rsidR="00F368DB" w:rsidRDefault="00A76327" w:rsidP="00662ECA">
      <w:pPr>
        <w:rPr>
          <w:rFonts w:eastAsia="Cambria" w:cs="DaxlinePro-Regular"/>
          <w:color w:val="000000"/>
          <w:sz w:val="22"/>
          <w:lang w:val="en-IE" w:eastAsia="de-DE"/>
        </w:rPr>
      </w:pPr>
      <w:hyperlink r:id="rId38" w:history="1">
        <w:r w:rsidR="00F368DB">
          <w:rPr>
            <w:rStyle w:val="Hyperlink"/>
            <w:rFonts w:eastAsia="Cambria" w:cs="DaxlinePro-Regular"/>
            <w:sz w:val="22"/>
            <w:lang w:val="en-IE" w:eastAsia="de-DE"/>
          </w:rPr>
          <w:t>FRA's report on violence against children with disabilities</w:t>
        </w:r>
      </w:hyperlink>
      <w:r w:rsidR="00F368DB">
        <w:rPr>
          <w:rFonts w:eastAsia="Cambria" w:cs="DaxlinePro-Regular"/>
          <w:color w:val="000000"/>
          <w:sz w:val="22"/>
          <w:lang w:val="en-IE" w:eastAsia="de-DE"/>
        </w:rPr>
        <w:t xml:space="preserve"> dedicates a section to </w:t>
      </w:r>
      <w:r w:rsidR="000A1117">
        <w:rPr>
          <w:rFonts w:eastAsia="Cambria" w:cs="DaxlinePro-Regular"/>
          <w:color w:val="000000"/>
          <w:sz w:val="22"/>
          <w:lang w:val="en-IE" w:eastAsia="de-DE"/>
        </w:rPr>
        <w:t>m</w:t>
      </w:r>
      <w:r w:rsidR="00F368DB" w:rsidRPr="00F368DB">
        <w:rPr>
          <w:rFonts w:eastAsia="Cambria" w:cs="DaxlinePro-Regular"/>
          <w:color w:val="000000"/>
          <w:sz w:val="22"/>
          <w:lang w:val="en-IE" w:eastAsia="de-DE"/>
        </w:rPr>
        <w:t>easures and initiatives for preventing violence against children with disabilities targeting professionals and institutions</w:t>
      </w:r>
      <w:r w:rsidR="00F368DB">
        <w:rPr>
          <w:rFonts w:eastAsia="Cambria" w:cs="DaxlinePro-Regular"/>
          <w:color w:val="000000"/>
          <w:sz w:val="22"/>
          <w:lang w:val="en-IE" w:eastAsia="de-DE"/>
        </w:rPr>
        <w:t xml:space="preserve"> (pp. 93-98).</w:t>
      </w:r>
      <w:r w:rsidR="00F368DB" w:rsidRPr="00F368DB">
        <w:rPr>
          <w:rFonts w:eastAsia="Cambria" w:cs="DaxlinePro-Regular"/>
          <w:color w:val="000000"/>
          <w:sz w:val="22"/>
          <w:lang w:val="en-IE" w:eastAsia="de-DE"/>
        </w:rPr>
        <w:t xml:space="preserve"> </w:t>
      </w:r>
      <w:r w:rsidR="00D47FE0">
        <w:rPr>
          <w:rFonts w:eastAsia="Cambria" w:cs="DaxlinePro-Regular"/>
          <w:color w:val="000000"/>
          <w:sz w:val="22"/>
          <w:lang w:val="en-IE" w:eastAsia="de-DE"/>
        </w:rPr>
        <w:t>It highlights a number of</w:t>
      </w:r>
      <w:r w:rsidR="00370BBF">
        <w:rPr>
          <w:rFonts w:eastAsia="Cambria" w:cs="DaxlinePro-Regular"/>
          <w:color w:val="000000"/>
          <w:sz w:val="22"/>
          <w:lang w:val="en-IE" w:eastAsia="de-DE"/>
        </w:rPr>
        <w:t xml:space="preserve"> </w:t>
      </w:r>
      <w:r w:rsidR="00370BBF" w:rsidRPr="00370BBF">
        <w:rPr>
          <w:rFonts w:eastAsia="Cambria" w:cs="DaxlinePro-Regular"/>
          <w:color w:val="000000"/>
          <w:sz w:val="22"/>
          <w:lang w:val="en-IE" w:eastAsia="de-DE"/>
        </w:rPr>
        <w:t>guidelines, training and educational programmes</w:t>
      </w:r>
      <w:r w:rsidR="00D47FE0">
        <w:rPr>
          <w:rFonts w:eastAsia="Cambria" w:cs="DaxlinePro-Regular"/>
          <w:color w:val="000000"/>
          <w:sz w:val="22"/>
          <w:lang w:val="en-IE" w:eastAsia="de-DE"/>
        </w:rPr>
        <w:t xml:space="preserve"> in place in the EU Member States</w:t>
      </w:r>
      <w:r w:rsidR="007C332F">
        <w:rPr>
          <w:rFonts w:eastAsia="Cambria" w:cs="DaxlinePro-Regular"/>
          <w:color w:val="000000"/>
          <w:sz w:val="22"/>
          <w:lang w:val="en-IE" w:eastAsia="de-DE"/>
        </w:rPr>
        <w:t>.</w:t>
      </w:r>
    </w:p>
    <w:p w14:paraId="1CF134B7" w14:textId="77777777" w:rsidR="00CC659A" w:rsidRPr="00662ECA" w:rsidRDefault="00CC659A" w:rsidP="00662ECA">
      <w:pPr>
        <w:rPr>
          <w:rFonts w:eastAsia="Cambria" w:cs="DaxlinePro-Regular"/>
          <w:color w:val="000000"/>
          <w:sz w:val="22"/>
          <w:lang w:val="en-IE" w:eastAsia="de-DE"/>
        </w:rPr>
      </w:pPr>
    </w:p>
    <w:p w14:paraId="0A50EC70" w14:textId="202783C0" w:rsidR="00551130" w:rsidRPr="00CE06A0" w:rsidRDefault="00662ECA" w:rsidP="00CE06A0">
      <w:pPr>
        <w:rPr>
          <w:rFonts w:eastAsia="Cambria" w:cs="DaxlinePro-Regular"/>
          <w:color w:val="000000"/>
          <w:sz w:val="22"/>
          <w:lang w:val="en-IE" w:eastAsia="de-DE"/>
        </w:rPr>
      </w:pPr>
      <w:r w:rsidRPr="00662ECA">
        <w:rPr>
          <w:rFonts w:eastAsia="Cambria" w:cs="DaxlinePro-Regular"/>
          <w:color w:val="000000"/>
          <w:sz w:val="22"/>
          <w:lang w:val="en-IE" w:eastAsia="de-DE"/>
        </w:rPr>
        <w:t xml:space="preserve">The </w:t>
      </w:r>
      <w:hyperlink r:id="rId39" w:history="1">
        <w:r w:rsidR="004E40A7">
          <w:rPr>
            <w:rStyle w:val="Hyperlink"/>
            <w:rFonts w:eastAsia="Cambria" w:cs="DaxlinePro-Regular"/>
            <w:sz w:val="22"/>
            <w:lang w:val="en-IE" w:eastAsia="de-DE"/>
          </w:rPr>
          <w:t>Academy of European Law (ERA)</w:t>
        </w:r>
      </w:hyperlink>
      <w:r w:rsidRPr="00662ECA">
        <w:rPr>
          <w:rFonts w:eastAsia="Cambria" w:cs="DaxlinePro-Regular"/>
          <w:color w:val="000000"/>
          <w:sz w:val="22"/>
          <w:lang w:val="en-IE" w:eastAsia="de-DE"/>
        </w:rPr>
        <w:t xml:space="preserve"> offers regular training</w:t>
      </w:r>
      <w:r w:rsidR="00FF05FE">
        <w:rPr>
          <w:rFonts w:eastAsia="Cambria" w:cs="DaxlinePro-Regular"/>
          <w:color w:val="000000"/>
          <w:sz w:val="22"/>
          <w:lang w:val="en-IE" w:eastAsia="de-DE"/>
        </w:rPr>
        <w:t>s</w:t>
      </w:r>
      <w:r w:rsidRPr="00662ECA">
        <w:rPr>
          <w:rFonts w:eastAsia="Cambria" w:cs="DaxlinePro-Regular"/>
          <w:color w:val="000000"/>
          <w:sz w:val="22"/>
          <w:lang w:val="en-IE" w:eastAsia="de-DE"/>
        </w:rPr>
        <w:t xml:space="preserve"> for stakeholders such as legal practitioners, Member State officials, NGO representatives, equality bodies and national human rights institutions a</w:t>
      </w:r>
      <w:r>
        <w:rPr>
          <w:rFonts w:eastAsia="Cambria" w:cs="DaxlinePro-Regular"/>
          <w:color w:val="000000"/>
          <w:sz w:val="22"/>
          <w:lang w:val="en-IE" w:eastAsia="de-DE"/>
        </w:rPr>
        <w:t>nd disability rights advocates. S</w:t>
      </w:r>
      <w:r w:rsidRPr="00662ECA">
        <w:rPr>
          <w:rFonts w:eastAsia="Cambria" w:cs="DaxlinePro-Regular"/>
          <w:color w:val="000000"/>
          <w:sz w:val="22"/>
          <w:lang w:val="en-IE" w:eastAsia="de-DE"/>
        </w:rPr>
        <w:t>ee for example this</w:t>
      </w:r>
      <w:r>
        <w:rPr>
          <w:rFonts w:eastAsia="Cambria" w:cs="DaxlinePro-Regular"/>
          <w:color w:val="000000"/>
          <w:sz w:val="22"/>
          <w:lang w:val="en-IE" w:eastAsia="de-DE"/>
        </w:rPr>
        <w:t xml:space="preserve"> </w:t>
      </w:r>
      <w:hyperlink r:id="rId40" w:history="1">
        <w:r>
          <w:rPr>
            <w:rStyle w:val="Hyperlink"/>
            <w:rFonts w:eastAsia="Cambria" w:cs="DaxlinePro-Regular"/>
            <w:sz w:val="22"/>
            <w:lang w:val="en-IE" w:eastAsia="de-DE"/>
          </w:rPr>
          <w:t>seminar from March 2017 on EU Disability Law and the UN Convention on Rights of Persons with Disabilities</w:t>
        </w:r>
      </w:hyperlink>
      <w:r w:rsidR="00CE06A0">
        <w:rPr>
          <w:rFonts w:eastAsia="Cambria" w:cs="DaxlinePro-Regular"/>
          <w:color w:val="000000"/>
          <w:sz w:val="22"/>
          <w:lang w:val="en-IE" w:eastAsia="de-DE"/>
        </w:rPr>
        <w:t>.</w:t>
      </w:r>
    </w:p>
    <w:p w14:paraId="5D8B4713" w14:textId="77777777" w:rsidR="00551130" w:rsidRPr="00551130" w:rsidRDefault="00551130" w:rsidP="00551130">
      <w:pPr>
        <w:spacing w:line="276" w:lineRule="auto"/>
        <w:rPr>
          <w:b/>
          <w:bCs/>
          <w:sz w:val="22"/>
          <w:szCs w:val="20"/>
        </w:rPr>
      </w:pPr>
    </w:p>
    <w:p w14:paraId="33DD796C" w14:textId="77777777" w:rsidR="00551130" w:rsidRPr="00EC0525" w:rsidRDefault="00551130" w:rsidP="00551130">
      <w:pPr>
        <w:numPr>
          <w:ilvl w:val="0"/>
          <w:numId w:val="25"/>
        </w:numPr>
        <w:spacing w:line="276" w:lineRule="auto"/>
        <w:rPr>
          <w:b/>
          <w:bCs/>
          <w:sz w:val="22"/>
          <w:szCs w:val="20"/>
        </w:rPr>
      </w:pPr>
      <w:r w:rsidRPr="00EC0525">
        <w:rPr>
          <w:b/>
          <w:bCs/>
          <w:sz w:val="22"/>
          <w:szCs w:val="20"/>
        </w:rPr>
        <w:t>legal aid programmes, public and/or private, which include the right of access to justice for persons with disabilities in their practices, including  the availability of  support and liaison services for courts or other judicial or quasi-judicial instances.</w:t>
      </w:r>
    </w:p>
    <w:p w14:paraId="54EBBB8B" w14:textId="77777777" w:rsidR="00551130" w:rsidRPr="00551130" w:rsidRDefault="00551130" w:rsidP="00551130">
      <w:pPr>
        <w:spacing w:line="276" w:lineRule="auto"/>
        <w:rPr>
          <w:b/>
          <w:bCs/>
          <w:sz w:val="22"/>
          <w:szCs w:val="20"/>
        </w:rPr>
      </w:pPr>
    </w:p>
    <w:p w14:paraId="61239204" w14:textId="2955EF33" w:rsidR="003D0AF4" w:rsidRDefault="00E10933" w:rsidP="00551130">
      <w:pPr>
        <w:spacing w:line="276" w:lineRule="auto"/>
        <w:rPr>
          <w:rFonts w:eastAsia="Cambria" w:cs="DaxlinePro-Regular"/>
          <w:color w:val="000000"/>
          <w:sz w:val="22"/>
          <w:lang w:val="en-IE" w:eastAsia="de-DE"/>
        </w:rPr>
      </w:pPr>
      <w:r>
        <w:rPr>
          <w:sz w:val="22"/>
          <w:szCs w:val="20"/>
        </w:rPr>
        <w:t xml:space="preserve">FRA’s </w:t>
      </w:r>
      <w:hyperlink r:id="rId41" w:history="1">
        <w:r>
          <w:rPr>
            <w:rStyle w:val="Hyperlink"/>
            <w:sz w:val="22"/>
            <w:szCs w:val="20"/>
          </w:rPr>
          <w:t>handbook on access to justice</w:t>
        </w:r>
      </w:hyperlink>
      <w:r w:rsidRPr="00E10933">
        <w:rPr>
          <w:rFonts w:cs="DaxlinePro-Regular"/>
          <w:color w:val="000000"/>
        </w:rPr>
        <w:t xml:space="preserve"> </w:t>
      </w:r>
      <w:r w:rsidRPr="00E10933">
        <w:rPr>
          <w:rFonts w:eastAsia="Cambria" w:cs="DaxlinePro-Regular"/>
          <w:color w:val="000000"/>
          <w:sz w:val="22"/>
          <w:lang w:val="en-IE" w:eastAsia="de-DE"/>
        </w:rPr>
        <w:t>points</w:t>
      </w:r>
      <w:r w:rsidRPr="003D0AF4">
        <w:rPr>
          <w:rFonts w:eastAsia="Cambria" w:cs="DaxlinePro-Regular"/>
          <w:color w:val="000000"/>
          <w:sz w:val="22"/>
          <w:lang w:val="en-IE" w:eastAsia="de-DE"/>
        </w:rPr>
        <w:t xml:space="preserve"> out that </w:t>
      </w:r>
      <w:r w:rsidR="00D47FE0">
        <w:rPr>
          <w:rFonts w:eastAsia="Cambria" w:cs="DaxlinePro-Regular"/>
          <w:color w:val="000000"/>
          <w:sz w:val="22"/>
          <w:lang w:val="en-IE" w:eastAsia="de-DE"/>
        </w:rPr>
        <w:t>u</w:t>
      </w:r>
      <w:r w:rsidR="00D47FE0" w:rsidRPr="003D0AF4">
        <w:rPr>
          <w:rFonts w:eastAsia="Cambria" w:cs="DaxlinePro-Regular"/>
          <w:color w:val="000000"/>
          <w:sz w:val="22"/>
          <w:lang w:val="en-IE" w:eastAsia="de-DE"/>
        </w:rPr>
        <w:t xml:space="preserve">nder </w:t>
      </w:r>
      <w:r w:rsidR="003D0AF4" w:rsidRPr="003D0AF4">
        <w:rPr>
          <w:rFonts w:eastAsia="Cambria" w:cs="DaxlinePro-Regular"/>
          <w:color w:val="000000"/>
          <w:sz w:val="22"/>
          <w:lang w:val="en-IE" w:eastAsia="de-DE"/>
        </w:rPr>
        <w:t>the ECHR, rights must be “practical and effective” rather than “theoreti</w:t>
      </w:r>
      <w:r w:rsidR="003D0AF4" w:rsidRPr="003D0AF4">
        <w:rPr>
          <w:rFonts w:eastAsia="Cambria" w:cs="DaxlinePro-Regular"/>
          <w:color w:val="000000"/>
          <w:sz w:val="22"/>
          <w:lang w:val="en-IE" w:eastAsia="de-DE"/>
        </w:rPr>
        <w:softHyphen/>
        <w:t>cal and illusory”.</w:t>
      </w:r>
      <w:r w:rsidR="003D0AF4">
        <w:rPr>
          <w:rStyle w:val="FootnoteReference"/>
          <w:rFonts w:eastAsia="Cambria" w:cs="DaxlinePro-Regular"/>
          <w:color w:val="000000"/>
          <w:lang w:eastAsia="de-DE"/>
        </w:rPr>
        <w:footnoteReference w:id="4"/>
      </w:r>
      <w:r w:rsidR="003D0AF4" w:rsidRPr="003D0AF4">
        <w:rPr>
          <w:rFonts w:eastAsia="Cambria" w:cs="DaxlinePro-Regular"/>
          <w:color w:val="000000"/>
          <w:sz w:val="22"/>
          <w:lang w:val="en-IE" w:eastAsia="de-DE"/>
        </w:rPr>
        <w:t xml:space="preserve"> For the right of access to a court to be effective, states may have to provide legal aid, translation or other practical support to enable indi</w:t>
      </w:r>
      <w:r w:rsidR="003D0AF4" w:rsidRPr="003D0AF4">
        <w:rPr>
          <w:rFonts w:eastAsia="Cambria" w:cs="DaxlinePro-Regular"/>
          <w:color w:val="000000"/>
          <w:sz w:val="22"/>
          <w:lang w:val="en-IE" w:eastAsia="de-DE"/>
        </w:rPr>
        <w:softHyphen/>
        <w:t>viduals to access court proceedings</w:t>
      </w:r>
      <w:r w:rsidR="003D0AF4">
        <w:rPr>
          <w:rFonts w:eastAsia="Cambria" w:cs="DaxlinePro-Regular"/>
          <w:color w:val="000000"/>
          <w:sz w:val="22"/>
          <w:lang w:val="en-IE" w:eastAsia="de-DE"/>
        </w:rPr>
        <w:t xml:space="preserve">. </w:t>
      </w:r>
      <w:r w:rsidR="003D0AF4" w:rsidRPr="003D0AF4">
        <w:rPr>
          <w:rFonts w:eastAsia="Cambria" w:cs="DaxlinePro-Regular"/>
          <w:color w:val="000000"/>
          <w:sz w:val="22"/>
          <w:lang w:val="en-IE" w:eastAsia="de-DE"/>
        </w:rPr>
        <w:t>Article 47 of the EU Charter of Fundamental Rights embodies the EU legal prin</w:t>
      </w:r>
      <w:r w:rsidR="003D0AF4" w:rsidRPr="003D0AF4">
        <w:rPr>
          <w:rFonts w:eastAsia="Cambria" w:cs="DaxlinePro-Regular"/>
          <w:color w:val="000000"/>
          <w:sz w:val="22"/>
          <w:lang w:val="en-IE" w:eastAsia="de-DE"/>
        </w:rPr>
        <w:softHyphen/>
        <w:t>ciple that Member States must ensure effective judicial protection of an in</w:t>
      </w:r>
      <w:r w:rsidR="003D0AF4" w:rsidRPr="003D0AF4">
        <w:rPr>
          <w:rFonts w:eastAsia="Cambria" w:cs="DaxlinePro-Regular"/>
          <w:color w:val="000000"/>
          <w:sz w:val="22"/>
          <w:lang w:val="en-IE" w:eastAsia="de-DE"/>
        </w:rPr>
        <w:softHyphen/>
        <w:t>dividual’s rights arising from Union law (including Charter rights).</w:t>
      </w:r>
      <w:r w:rsidR="009B485E">
        <w:rPr>
          <w:rFonts w:eastAsia="Cambria" w:cs="DaxlinePro-Regular"/>
          <w:color w:val="000000"/>
          <w:sz w:val="22"/>
          <w:lang w:val="en-IE" w:eastAsia="de-DE"/>
        </w:rPr>
        <w:t xml:space="preserve"> </w:t>
      </w:r>
    </w:p>
    <w:p w14:paraId="34AAD884" w14:textId="77777777" w:rsidR="009B485E" w:rsidRDefault="009B485E" w:rsidP="00551130">
      <w:pPr>
        <w:spacing w:line="276" w:lineRule="auto"/>
        <w:rPr>
          <w:rFonts w:eastAsia="Cambria" w:cs="DaxlinePro-Regular"/>
          <w:color w:val="000000"/>
          <w:sz w:val="22"/>
          <w:lang w:val="en-IE" w:eastAsia="de-DE"/>
        </w:rPr>
      </w:pPr>
    </w:p>
    <w:p w14:paraId="42737B62" w14:textId="329C9B4A" w:rsidR="00551130" w:rsidRDefault="009B485E" w:rsidP="00551130">
      <w:pPr>
        <w:spacing w:line="276" w:lineRule="auto"/>
        <w:rPr>
          <w:rFonts w:cs="DaxlinePro-Regular"/>
          <w:color w:val="000000"/>
          <w:sz w:val="22"/>
        </w:rPr>
      </w:pPr>
      <w:r>
        <w:rPr>
          <w:rFonts w:eastAsia="Cambria" w:cs="DaxlinePro-Regular"/>
          <w:color w:val="000000"/>
          <w:sz w:val="22"/>
          <w:lang w:val="en-IE" w:eastAsia="de-DE"/>
        </w:rPr>
        <w:t xml:space="preserve">FRA’s </w:t>
      </w:r>
      <w:r>
        <w:rPr>
          <w:rFonts w:cs="DaxlinePro-Regular"/>
          <w:color w:val="000000"/>
          <w:sz w:val="22"/>
        </w:rPr>
        <w:t xml:space="preserve">report on </w:t>
      </w:r>
      <w:hyperlink r:id="rId42" w:history="1">
        <w:r>
          <w:rPr>
            <w:rStyle w:val="Hyperlink"/>
            <w:rFonts w:cs="DaxlinePro-Regular"/>
            <w:sz w:val="22"/>
          </w:rPr>
          <w:t>Access to justice in Europe: an overview of challenges and opportunities</w:t>
        </w:r>
      </w:hyperlink>
      <w:r>
        <w:rPr>
          <w:rFonts w:cs="DaxlinePro-Regular"/>
          <w:color w:val="000000"/>
          <w:sz w:val="22"/>
        </w:rPr>
        <w:t xml:space="preserve"> includes a chapter on </w:t>
      </w:r>
      <w:r w:rsidR="00D47FE0">
        <w:rPr>
          <w:rFonts w:cs="DaxlinePro-Regular"/>
          <w:color w:val="000000"/>
          <w:sz w:val="22"/>
        </w:rPr>
        <w:t xml:space="preserve">legal </w:t>
      </w:r>
      <w:r>
        <w:rPr>
          <w:rFonts w:cs="DaxlinePro-Regular"/>
          <w:color w:val="000000"/>
          <w:sz w:val="22"/>
        </w:rPr>
        <w:t>aid at national level</w:t>
      </w:r>
      <w:r w:rsidR="00EC0525">
        <w:rPr>
          <w:rFonts w:cs="DaxlinePro-Regular"/>
          <w:color w:val="000000"/>
          <w:sz w:val="22"/>
        </w:rPr>
        <w:t xml:space="preserve"> (pp. 47-54), including information on a case where an applicant for legal aid experienced mental health problems and the </w:t>
      </w:r>
      <w:r w:rsidR="00D47FE0">
        <w:rPr>
          <w:rFonts w:eastAsia="Cambria" w:cs="DaxlinePro-Regular"/>
          <w:color w:val="000000"/>
          <w:sz w:val="22"/>
          <w:lang w:val="en-IE" w:eastAsia="de-DE"/>
        </w:rPr>
        <w:t xml:space="preserve">European Court of Human Rights </w:t>
      </w:r>
      <w:r w:rsidR="00EC0525">
        <w:rPr>
          <w:rFonts w:cs="DaxlinePro-Regular"/>
          <w:color w:val="000000"/>
          <w:sz w:val="22"/>
        </w:rPr>
        <w:t xml:space="preserve"> identified their mental health problems as one of the factors leading to the requirement of legal aid.</w:t>
      </w:r>
      <w:r w:rsidR="00EC0525">
        <w:rPr>
          <w:rStyle w:val="FootnoteReference"/>
          <w:rFonts w:cs="DaxlinePro-Regular"/>
          <w:color w:val="000000"/>
        </w:rPr>
        <w:footnoteReference w:id="5"/>
      </w:r>
    </w:p>
    <w:p w14:paraId="602D0C1C" w14:textId="77777777" w:rsidR="00EC0525" w:rsidRPr="00551130" w:rsidRDefault="00EC0525" w:rsidP="00551130">
      <w:pPr>
        <w:spacing w:line="276" w:lineRule="auto"/>
        <w:rPr>
          <w:b/>
          <w:bCs/>
          <w:sz w:val="22"/>
          <w:szCs w:val="20"/>
        </w:rPr>
      </w:pPr>
    </w:p>
    <w:p w14:paraId="34A47781" w14:textId="24896D00" w:rsidR="00551130" w:rsidRDefault="00551130" w:rsidP="00551130">
      <w:pPr>
        <w:spacing w:line="276" w:lineRule="auto"/>
        <w:rPr>
          <w:b/>
          <w:bCs/>
          <w:sz w:val="22"/>
          <w:szCs w:val="20"/>
        </w:rPr>
      </w:pPr>
      <w:r>
        <w:rPr>
          <w:b/>
          <w:bCs/>
          <w:sz w:val="22"/>
          <w:szCs w:val="20"/>
        </w:rPr>
        <w:t xml:space="preserve">Question 3: </w:t>
      </w:r>
      <w:r w:rsidRPr="00551130">
        <w:rPr>
          <w:b/>
          <w:bCs/>
          <w:sz w:val="22"/>
          <w:szCs w:val="20"/>
        </w:rPr>
        <w:t>Do countries in your region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47276A5F" w14:textId="77777777" w:rsidR="00551130" w:rsidRPr="00551130" w:rsidRDefault="00551130" w:rsidP="00551130">
      <w:pPr>
        <w:spacing w:line="276" w:lineRule="auto"/>
        <w:rPr>
          <w:bCs/>
          <w:sz w:val="22"/>
          <w:szCs w:val="20"/>
        </w:rPr>
      </w:pPr>
    </w:p>
    <w:p w14:paraId="17CFBF3A" w14:textId="55217741" w:rsidR="00F208A1" w:rsidRDefault="00F208A1" w:rsidP="00F208A1">
      <w:pPr>
        <w:spacing w:line="276" w:lineRule="auto"/>
        <w:rPr>
          <w:rFonts w:cs="DaxlinePro-Regular"/>
          <w:color w:val="000000"/>
          <w:sz w:val="22"/>
        </w:rPr>
      </w:pPr>
      <w:r w:rsidRPr="00364754">
        <w:rPr>
          <w:rFonts w:cs="DaxlinePro-Regular"/>
          <w:color w:val="000000"/>
          <w:sz w:val="22"/>
        </w:rPr>
        <w:t xml:space="preserve">The EU directives on equal treatment </w:t>
      </w:r>
      <w:r w:rsidR="00472212">
        <w:rPr>
          <w:rFonts w:cs="DaxlinePro-Regular"/>
          <w:color w:val="000000"/>
          <w:sz w:val="22"/>
        </w:rPr>
        <w:t xml:space="preserve">and non-discrimination </w:t>
      </w:r>
      <w:r w:rsidRPr="00364754">
        <w:rPr>
          <w:rFonts w:cs="DaxlinePro-Regular"/>
          <w:color w:val="000000"/>
          <w:sz w:val="22"/>
        </w:rPr>
        <w:t>require EU Member States to ensure the availability of judicial and/or administrative</w:t>
      </w:r>
      <w:r w:rsidRPr="0021494A">
        <w:rPr>
          <w:rFonts w:cs="DaxlinePro-Regular"/>
          <w:color w:val="000000"/>
          <w:sz w:val="22"/>
        </w:rPr>
        <w:t xml:space="preserve"> proce</w:t>
      </w:r>
      <w:r w:rsidRPr="0021494A">
        <w:rPr>
          <w:rFonts w:cs="DaxlinePro-Regular"/>
          <w:color w:val="000000"/>
          <w:sz w:val="22"/>
        </w:rPr>
        <w:softHyphen/>
        <w:t>dures to people who consider themselves victims of discrimination under the scope of the directives</w:t>
      </w:r>
      <w:r>
        <w:rPr>
          <w:rFonts w:cs="DaxlinePro-Regular"/>
          <w:color w:val="000000"/>
          <w:sz w:val="22"/>
        </w:rPr>
        <w:t xml:space="preserve">. FRA’s report on </w:t>
      </w:r>
      <w:hyperlink r:id="rId43" w:history="1">
        <w:r>
          <w:rPr>
            <w:rStyle w:val="Hyperlink"/>
            <w:rFonts w:cs="DaxlinePro-Regular"/>
            <w:sz w:val="22"/>
          </w:rPr>
          <w:t>Access to justice in cases of discrimination in the EU</w:t>
        </w:r>
      </w:hyperlink>
      <w:r>
        <w:rPr>
          <w:rFonts w:cs="DaxlinePro-Regular"/>
          <w:color w:val="000000"/>
          <w:sz w:val="22"/>
        </w:rPr>
        <w:t xml:space="preserve"> from 2012 compared justice systems and paths to access justice in eight selected EU Member States (pp. 21-35).</w:t>
      </w:r>
    </w:p>
    <w:p w14:paraId="43AA2EB8" w14:textId="77777777" w:rsidR="00F208A1" w:rsidRPr="00E14261" w:rsidRDefault="00F208A1" w:rsidP="00F208A1">
      <w:pPr>
        <w:spacing w:line="276" w:lineRule="auto"/>
        <w:rPr>
          <w:sz w:val="22"/>
        </w:rPr>
      </w:pPr>
      <w:r w:rsidRPr="00551130">
        <w:rPr>
          <w:sz w:val="22"/>
          <w:szCs w:val="20"/>
        </w:rPr>
        <w:t xml:space="preserve"> </w:t>
      </w:r>
    </w:p>
    <w:p w14:paraId="2DD5E766" w14:textId="77777777" w:rsidR="00D47FE0" w:rsidRDefault="00E14261" w:rsidP="00220B54">
      <w:pPr>
        <w:spacing w:line="276" w:lineRule="auto"/>
        <w:rPr>
          <w:sz w:val="22"/>
        </w:rPr>
      </w:pPr>
      <w:r w:rsidRPr="00E14261">
        <w:rPr>
          <w:sz w:val="22"/>
        </w:rPr>
        <w:t xml:space="preserve">FRA’s report on the </w:t>
      </w:r>
      <w:hyperlink r:id="rId44" w:history="1">
        <w:r w:rsidRPr="00E14261">
          <w:rPr>
            <w:rStyle w:val="Hyperlink"/>
            <w:sz w:val="22"/>
          </w:rPr>
          <w:t>Rights of suspected and accused persons across the EU: translation, interpretation and information</w:t>
        </w:r>
      </w:hyperlink>
      <w:r w:rsidRPr="00E14261">
        <w:rPr>
          <w:sz w:val="22"/>
        </w:rPr>
        <w:t xml:space="preserve"> from November 2016 outlines EU Member States’ legal frameworks and policies regarding the right to interpretation and translation (see </w:t>
      </w:r>
      <w:hyperlink r:id="rId45" w:history="1">
        <w:r w:rsidRPr="00E14261">
          <w:rPr>
            <w:rStyle w:val="Hyperlink"/>
            <w:sz w:val="22"/>
          </w:rPr>
          <w:t>Directive on interpretation and translation in criminal proceedings (2010/64/EU)</w:t>
        </w:r>
      </w:hyperlink>
      <w:r w:rsidRPr="00E14261">
        <w:rPr>
          <w:sz w:val="22"/>
        </w:rPr>
        <w:t xml:space="preserve"> and the right to information (see </w:t>
      </w:r>
      <w:hyperlink r:id="rId46" w:history="1">
        <w:r w:rsidRPr="00E14261">
          <w:rPr>
            <w:rStyle w:val="Hyperlink"/>
            <w:sz w:val="22"/>
          </w:rPr>
          <w:t>Directive on right to information in criminal proceedings (2012/13/EU)</w:t>
        </w:r>
      </w:hyperlink>
      <w:r w:rsidRPr="00E14261">
        <w:rPr>
          <w:sz w:val="22"/>
        </w:rPr>
        <w:t xml:space="preserve">). The final chapter </w:t>
      </w:r>
      <w:r w:rsidR="00B55288">
        <w:rPr>
          <w:sz w:val="22"/>
        </w:rPr>
        <w:t>includes information with respect to</w:t>
      </w:r>
      <w:r>
        <w:rPr>
          <w:sz w:val="22"/>
        </w:rPr>
        <w:t xml:space="preserve"> persons with physical disabilities (pp. 92-95), persons with intellectual disabilities (pp. 95-97) and children (pp. 97-100). </w:t>
      </w:r>
    </w:p>
    <w:p w14:paraId="432BD92F" w14:textId="77777777" w:rsidR="00D47FE0" w:rsidRDefault="00D47FE0" w:rsidP="00220B54">
      <w:pPr>
        <w:spacing w:line="276" w:lineRule="auto"/>
        <w:rPr>
          <w:sz w:val="22"/>
        </w:rPr>
      </w:pPr>
    </w:p>
    <w:p w14:paraId="77D5CF95" w14:textId="021B0B5A" w:rsidR="00E14261" w:rsidRPr="00E14261" w:rsidRDefault="00E14261" w:rsidP="00220B54">
      <w:pPr>
        <w:spacing w:line="276" w:lineRule="auto"/>
        <w:rPr>
          <w:sz w:val="22"/>
        </w:rPr>
      </w:pPr>
      <w:r w:rsidRPr="00E14261">
        <w:rPr>
          <w:sz w:val="22"/>
        </w:rPr>
        <w:t xml:space="preserve">FRA’s findings show that most Member States’ laws contain general references to the needs of persons with disabilities and children. However, national legislators rarely introduce more detailed rules, and other policy documents provide little guidance on how to accommodate these needs. Examples of promising practices </w:t>
      </w:r>
      <w:r w:rsidR="00B55288">
        <w:rPr>
          <w:sz w:val="22"/>
        </w:rPr>
        <w:t>highlighted in the report</w:t>
      </w:r>
      <w:r w:rsidRPr="00E14261">
        <w:rPr>
          <w:sz w:val="22"/>
        </w:rPr>
        <w:t xml:space="preserve"> include: transcribing written materials into braille for individuals with visual impairments; providing pre-prepared audio-files containing the text of the Letter of Rights; offering easy</w:t>
      </w:r>
      <w:r w:rsidR="00B76910">
        <w:rPr>
          <w:sz w:val="22"/>
        </w:rPr>
        <w:t>-</w:t>
      </w:r>
      <w:r w:rsidRPr="00E14261">
        <w:rPr>
          <w:sz w:val="22"/>
        </w:rPr>
        <w:t>to-read versions of such letters and of other written information about rights; and using letters of rights that are specifically adapted for children</w:t>
      </w:r>
      <w:r>
        <w:t>.</w:t>
      </w:r>
    </w:p>
    <w:p w14:paraId="17B0A917" w14:textId="39E1B64B" w:rsidR="00970B75" w:rsidRPr="00551130" w:rsidRDefault="00970B75" w:rsidP="00551130">
      <w:pPr>
        <w:spacing w:line="276" w:lineRule="auto"/>
        <w:rPr>
          <w:b/>
          <w:bCs/>
          <w:sz w:val="22"/>
          <w:szCs w:val="20"/>
        </w:rPr>
      </w:pPr>
    </w:p>
    <w:p w14:paraId="1DBB4C6B" w14:textId="72628579" w:rsidR="00551130" w:rsidRPr="00551130" w:rsidRDefault="00FE6793" w:rsidP="00FE6793">
      <w:pPr>
        <w:spacing w:line="276" w:lineRule="auto"/>
        <w:rPr>
          <w:b/>
          <w:bCs/>
          <w:sz w:val="22"/>
          <w:szCs w:val="20"/>
        </w:rPr>
      </w:pPr>
      <w:r>
        <w:rPr>
          <w:b/>
          <w:bCs/>
          <w:sz w:val="22"/>
          <w:szCs w:val="20"/>
        </w:rPr>
        <w:t xml:space="preserve">Question 4: </w:t>
      </w:r>
      <w:r w:rsidR="00551130" w:rsidRPr="00551130">
        <w:rPr>
          <w:b/>
          <w:bCs/>
          <w:sz w:val="22"/>
          <w:szCs w:val="20"/>
        </w:rPr>
        <w:t>Do countries in your region monitor and collect disaggregated data with respect to access to judicial or quasi-judicial procedures concerning:</w:t>
      </w:r>
    </w:p>
    <w:p w14:paraId="356F774B" w14:textId="77777777" w:rsidR="00551130" w:rsidRPr="00551130" w:rsidRDefault="00551130" w:rsidP="00551130">
      <w:pPr>
        <w:spacing w:line="276" w:lineRule="auto"/>
        <w:rPr>
          <w:b/>
          <w:bCs/>
          <w:sz w:val="22"/>
          <w:szCs w:val="20"/>
        </w:rPr>
      </w:pPr>
    </w:p>
    <w:p w14:paraId="10404A98" w14:textId="77777777" w:rsidR="00551130" w:rsidRDefault="00551130" w:rsidP="00551130">
      <w:pPr>
        <w:numPr>
          <w:ilvl w:val="0"/>
          <w:numId w:val="26"/>
        </w:numPr>
        <w:spacing w:line="276" w:lineRule="auto"/>
        <w:rPr>
          <w:b/>
          <w:bCs/>
          <w:sz w:val="22"/>
          <w:szCs w:val="20"/>
        </w:rPr>
      </w:pPr>
      <w:r w:rsidRPr="00551130">
        <w:rPr>
          <w:b/>
          <w:bCs/>
          <w:sz w:val="22"/>
          <w:szCs w:val="20"/>
        </w:rPr>
        <w:t>the participation of persons with disabilities in judicial or quasi-judicial procedures, including the number of complaints submitted, nature of complaints and outcomes;</w:t>
      </w:r>
    </w:p>
    <w:p w14:paraId="0CCA0BC3" w14:textId="7C5B9A91" w:rsidR="00551130" w:rsidRDefault="00826253" w:rsidP="008E1C38">
      <w:pPr>
        <w:spacing w:before="240" w:after="240" w:line="276" w:lineRule="auto"/>
        <w:rPr>
          <w:rFonts w:cs="DaxlinePro-Regular"/>
          <w:sz w:val="22"/>
        </w:rPr>
      </w:pPr>
      <w:r w:rsidRPr="008E1C38">
        <w:rPr>
          <w:rFonts w:cs="DaxlinePro-Regular"/>
          <w:sz w:val="22"/>
        </w:rPr>
        <w:lastRenderedPageBreak/>
        <w:t xml:space="preserve">FRA’s </w:t>
      </w:r>
      <w:hyperlink r:id="rId47" w:history="1">
        <w:r w:rsidRPr="008E1C38">
          <w:rPr>
            <w:rStyle w:val="Hyperlink"/>
            <w:sz w:val="22"/>
            <w:lang w:val="en-IE"/>
          </w:rPr>
          <w:t>report on the right to political participation of persons with disabilities</w:t>
        </w:r>
      </w:hyperlink>
      <w:r w:rsidRPr="008E1C38">
        <w:rPr>
          <w:rStyle w:val="Hyperlink"/>
          <w:sz w:val="22"/>
          <w:lang w:val="en-IE"/>
        </w:rPr>
        <w:t xml:space="preserve"> of persons with disabilities</w:t>
      </w:r>
      <w:r w:rsidRPr="008E1C38">
        <w:rPr>
          <w:rFonts w:cs="DaxlinePro-Regular"/>
          <w:sz w:val="22"/>
        </w:rPr>
        <w:t xml:space="preserve"> </w:t>
      </w:r>
      <w:r w:rsidRPr="00826253">
        <w:rPr>
          <w:rFonts w:cs="DaxlinePro-Regular"/>
          <w:sz w:val="22"/>
        </w:rPr>
        <w:t xml:space="preserve">gives an overview of cases </w:t>
      </w:r>
      <w:r w:rsidR="009C7FD9">
        <w:rPr>
          <w:rFonts w:cs="DaxlinePro-Regular"/>
          <w:sz w:val="22"/>
        </w:rPr>
        <w:t xml:space="preserve">related </w:t>
      </w:r>
      <w:r w:rsidRPr="00826253">
        <w:rPr>
          <w:rFonts w:cs="DaxlinePro-Regular"/>
          <w:sz w:val="22"/>
        </w:rPr>
        <w:t>to the right to political participation of perso</w:t>
      </w:r>
      <w:r>
        <w:rPr>
          <w:rFonts w:cs="DaxlinePro-Regular"/>
          <w:sz w:val="22"/>
        </w:rPr>
        <w:t xml:space="preserve">ns with disabilities considered </w:t>
      </w:r>
      <w:r w:rsidRPr="00826253">
        <w:rPr>
          <w:rFonts w:cs="DaxlinePro-Regular"/>
          <w:sz w:val="22"/>
        </w:rPr>
        <w:t>by national judicial complaints mechanisms (2000–2013),</w:t>
      </w:r>
      <w:r>
        <w:rPr>
          <w:rFonts w:cs="DaxlinePro-Regular"/>
          <w:sz w:val="22"/>
        </w:rPr>
        <w:t xml:space="preserve"> </w:t>
      </w:r>
      <w:r w:rsidRPr="00826253">
        <w:rPr>
          <w:rFonts w:cs="DaxlinePro-Regular"/>
          <w:sz w:val="22"/>
        </w:rPr>
        <w:t>by EU Member State</w:t>
      </w:r>
      <w:r>
        <w:rPr>
          <w:rFonts w:cs="DaxlinePro-Regular"/>
          <w:sz w:val="22"/>
        </w:rPr>
        <w:t xml:space="preserve"> </w:t>
      </w:r>
      <w:r w:rsidRPr="00826253">
        <w:rPr>
          <w:rFonts w:cs="DaxlinePro-Regular"/>
          <w:sz w:val="22"/>
        </w:rPr>
        <w:t>(Table A3, p. 101-103)</w:t>
      </w:r>
      <w:r w:rsidR="009C7FD9">
        <w:rPr>
          <w:rFonts w:cs="DaxlinePro-Regular"/>
          <w:sz w:val="22"/>
        </w:rPr>
        <w:t xml:space="preserve"> as well as of c</w:t>
      </w:r>
      <w:r w:rsidR="009C7FD9" w:rsidRPr="009C7FD9">
        <w:rPr>
          <w:rFonts w:cs="DaxlinePro-Regular"/>
          <w:sz w:val="22"/>
        </w:rPr>
        <w:t>ases related to the right to political participation of persons with disabilities considered</w:t>
      </w:r>
      <w:r w:rsidR="009C7FD9">
        <w:rPr>
          <w:rFonts w:cs="DaxlinePro-Regular"/>
          <w:sz w:val="22"/>
        </w:rPr>
        <w:t xml:space="preserve"> </w:t>
      </w:r>
      <w:r w:rsidR="009C7FD9" w:rsidRPr="009C7FD9">
        <w:rPr>
          <w:rFonts w:cs="DaxlinePro-Regular"/>
          <w:sz w:val="22"/>
        </w:rPr>
        <w:t>by national non-judicial complaints mechanisms (2000–2013),</w:t>
      </w:r>
      <w:r w:rsidR="009C7FD9">
        <w:rPr>
          <w:rFonts w:cs="DaxlinePro-Regular"/>
          <w:sz w:val="22"/>
        </w:rPr>
        <w:t xml:space="preserve"> also</w:t>
      </w:r>
      <w:r w:rsidR="009C7FD9" w:rsidRPr="009C7FD9">
        <w:rPr>
          <w:rFonts w:cs="DaxlinePro-Regular"/>
          <w:sz w:val="22"/>
        </w:rPr>
        <w:t xml:space="preserve"> by EU Member State</w:t>
      </w:r>
      <w:r w:rsidR="009C7FD9">
        <w:rPr>
          <w:rFonts w:cs="DaxlinePro-Regular"/>
          <w:sz w:val="22"/>
        </w:rPr>
        <w:t xml:space="preserve"> (Table A4, p. 104).</w:t>
      </w:r>
    </w:p>
    <w:p w14:paraId="3E31F8BA" w14:textId="77777777" w:rsidR="00551130" w:rsidRDefault="00551130" w:rsidP="00551130">
      <w:pPr>
        <w:numPr>
          <w:ilvl w:val="0"/>
          <w:numId w:val="26"/>
        </w:numPr>
        <w:spacing w:line="276" w:lineRule="auto"/>
        <w:rPr>
          <w:b/>
          <w:bCs/>
          <w:sz w:val="22"/>
          <w:szCs w:val="20"/>
        </w:rPr>
      </w:pPr>
      <w:r w:rsidRPr="00551130">
        <w:rPr>
          <w:b/>
          <w:bCs/>
          <w:sz w:val="22"/>
          <w:szCs w:val="20"/>
        </w:rPr>
        <w:t>persons with disabilities obtaining remedies and the nature of those remedies, whether they are adequate, effective, prompt and appropriate, responding to their specific situation;</w:t>
      </w:r>
    </w:p>
    <w:p w14:paraId="3EDE77C2" w14:textId="6C58A229" w:rsidR="009C712A" w:rsidRPr="009C712A" w:rsidRDefault="009C712A" w:rsidP="009C712A">
      <w:pPr>
        <w:spacing w:before="240" w:after="240" w:line="276" w:lineRule="auto"/>
        <w:rPr>
          <w:rFonts w:cs="DaxlinePro-Regular"/>
          <w:sz w:val="22"/>
        </w:rPr>
      </w:pPr>
      <w:r w:rsidRPr="009C712A">
        <w:rPr>
          <w:sz w:val="22"/>
          <w:lang w:val="en-IE"/>
        </w:rPr>
        <w:t xml:space="preserve">FRA’s </w:t>
      </w:r>
      <w:hyperlink r:id="rId48" w:history="1">
        <w:r w:rsidRPr="009C712A">
          <w:rPr>
            <w:rStyle w:val="Hyperlink"/>
            <w:sz w:val="22"/>
            <w:lang w:val="en-IE"/>
          </w:rPr>
          <w:t>human rights indicators on the right to political participation</w:t>
        </w:r>
      </w:hyperlink>
      <w:r w:rsidRPr="009C712A">
        <w:rPr>
          <w:rStyle w:val="Hyperlink"/>
          <w:sz w:val="22"/>
          <w:lang w:val="en-IE"/>
        </w:rPr>
        <w:t xml:space="preserve"> of persons with disabilities</w:t>
      </w:r>
      <w:r w:rsidR="006351EC">
        <w:rPr>
          <w:rFonts w:cs="DaxlinePro-Regular"/>
          <w:color w:val="000000"/>
          <w:sz w:val="22"/>
        </w:rPr>
        <w:t xml:space="preserve"> </w:t>
      </w:r>
      <w:r w:rsidRPr="009C712A">
        <w:rPr>
          <w:rFonts w:cs="DaxlinePro-Regular"/>
          <w:color w:val="000000"/>
          <w:sz w:val="22"/>
        </w:rPr>
        <w:t>cover complaint mechanisms concerning the right to political participation of persons with disabilities (</w:t>
      </w:r>
      <w:r w:rsidRPr="009C712A">
        <w:rPr>
          <w:rFonts w:cs="DaxlinePro-Regular"/>
          <w:sz w:val="22"/>
        </w:rPr>
        <w:t>p. 57). FRA findings show that in nearly half of EU Member States information on how to complain is not accessible to persons with disabilities.</w:t>
      </w:r>
    </w:p>
    <w:p w14:paraId="4C144B01" w14:textId="77777777" w:rsidR="009C712A" w:rsidRDefault="009C712A" w:rsidP="009C712A">
      <w:pPr>
        <w:spacing w:before="240" w:after="240" w:line="276" w:lineRule="auto"/>
        <w:rPr>
          <w:rFonts w:cs="DaxlinePro-Regular"/>
          <w:sz w:val="22"/>
        </w:rPr>
      </w:pPr>
      <w:r w:rsidRPr="009C712A">
        <w:rPr>
          <w:rFonts w:cs="DaxlinePro-Regular"/>
          <w:sz w:val="22"/>
        </w:rPr>
        <w:t xml:space="preserve">Additionally, the </w:t>
      </w:r>
      <w:hyperlink r:id="rId49" w:history="1">
        <w:r w:rsidRPr="009C712A">
          <w:rPr>
            <w:rStyle w:val="Hyperlink"/>
            <w:rFonts w:cs="DaxlinePro-Regular"/>
            <w:sz w:val="22"/>
          </w:rPr>
          <w:t>Choice and control report</w:t>
        </w:r>
      </w:hyperlink>
      <w:r w:rsidRPr="009C712A">
        <w:rPr>
          <w:rFonts w:cs="DaxlinePro-Regular"/>
          <w:color w:val="000000"/>
          <w:sz w:val="22"/>
        </w:rPr>
        <w:t xml:space="preserve"> indicates that many persons with disabilities refrain from lodging complaints due to fear of retribution and that the complaint would not be taken seriously </w:t>
      </w:r>
      <w:r w:rsidRPr="009C712A">
        <w:rPr>
          <w:sz w:val="22"/>
          <w:lang w:val="en-IE"/>
        </w:rPr>
        <w:t>(p. 40 and p. 63).</w:t>
      </w:r>
    </w:p>
    <w:p w14:paraId="66AD9D1E" w14:textId="77777777" w:rsidR="009C712A" w:rsidRDefault="009C712A" w:rsidP="009C712A">
      <w:pPr>
        <w:spacing w:before="240" w:after="240" w:line="276" w:lineRule="auto"/>
        <w:rPr>
          <w:rFonts w:cs="DaxlinePro-Regular"/>
          <w:sz w:val="22"/>
        </w:rPr>
      </w:pPr>
      <w:r w:rsidRPr="009C712A">
        <w:rPr>
          <w:sz w:val="22"/>
          <w:lang w:val="en-IE"/>
        </w:rPr>
        <w:t xml:space="preserve">FRA’s ongoing </w:t>
      </w:r>
      <w:hyperlink r:id="rId50" w:history="1">
        <w:r w:rsidRPr="009C712A">
          <w:rPr>
            <w:rStyle w:val="Hyperlink"/>
            <w:sz w:val="22"/>
            <w:lang w:val="en-IE"/>
          </w:rPr>
          <w:t>project on the implementation of Article 19 in the EU</w:t>
        </w:r>
      </w:hyperlink>
      <w:r w:rsidRPr="009C712A">
        <w:rPr>
          <w:sz w:val="22"/>
          <w:lang w:val="en-IE"/>
        </w:rPr>
        <w:t xml:space="preserve"> will include applying human rights indicators on mechanisms and remedies that persons with disabilities can use to challenge barriers to exercising the right to live independently.</w:t>
      </w:r>
    </w:p>
    <w:p w14:paraId="660E8095" w14:textId="5AE917B0" w:rsidR="00D54E9F" w:rsidRPr="009C712A" w:rsidRDefault="009C712A" w:rsidP="009C712A">
      <w:pPr>
        <w:spacing w:before="240" w:after="240" w:line="276" w:lineRule="auto"/>
        <w:rPr>
          <w:rFonts w:cs="DaxlinePro-Regular"/>
          <w:sz w:val="22"/>
        </w:rPr>
      </w:pPr>
      <w:r w:rsidRPr="009C712A">
        <w:rPr>
          <w:sz w:val="22"/>
          <w:lang w:val="en-IE"/>
        </w:rPr>
        <w:t xml:space="preserve">For further investigation, the possibility to search for </w:t>
      </w:r>
      <w:hyperlink r:id="rId51" w:history="1">
        <w:r w:rsidRPr="009C712A">
          <w:rPr>
            <w:rStyle w:val="Hyperlink"/>
            <w:sz w:val="22"/>
            <w:szCs w:val="20"/>
          </w:rPr>
          <w:t>cases of the Court of Justice of the European Union (CJEU)</w:t>
        </w:r>
      </w:hyperlink>
      <w:r w:rsidRPr="009C712A">
        <w:rPr>
          <w:sz w:val="22"/>
          <w:szCs w:val="20"/>
        </w:rPr>
        <w:t xml:space="preserve"> or </w:t>
      </w:r>
      <w:hyperlink r:id="rId52" w:history="1">
        <w:r w:rsidRPr="009C712A">
          <w:rPr>
            <w:rStyle w:val="Hyperlink"/>
            <w:sz w:val="22"/>
            <w:szCs w:val="20"/>
          </w:rPr>
          <w:t>documents of the Committee of Petitions (PETI) of the European Parliament</w:t>
        </w:r>
      </w:hyperlink>
      <w:r w:rsidRPr="009C712A">
        <w:rPr>
          <w:sz w:val="22"/>
          <w:szCs w:val="20"/>
        </w:rPr>
        <w:t xml:space="preserve"> concerning </w:t>
      </w:r>
      <w:r w:rsidR="00FF47EA">
        <w:rPr>
          <w:sz w:val="22"/>
          <w:szCs w:val="20"/>
        </w:rPr>
        <w:t>persons with disabilities</w:t>
      </w:r>
      <w:r w:rsidRPr="009C712A">
        <w:rPr>
          <w:sz w:val="22"/>
          <w:szCs w:val="20"/>
        </w:rPr>
        <w:t xml:space="preserve"> might be considered.</w:t>
      </w:r>
    </w:p>
    <w:p w14:paraId="1ED3A461" w14:textId="77777777" w:rsidR="00AC3E0B" w:rsidRPr="00AC3E0B" w:rsidRDefault="00AC3E0B" w:rsidP="00AC3E0B">
      <w:pPr>
        <w:spacing w:line="276" w:lineRule="auto"/>
        <w:rPr>
          <w:color w:val="000000"/>
          <w:sz w:val="22"/>
          <w:szCs w:val="20"/>
          <w:lang w:val="en-IE"/>
        </w:rPr>
      </w:pPr>
      <w:r w:rsidRPr="00AC3E0B">
        <w:rPr>
          <w:color w:val="000000"/>
          <w:sz w:val="22"/>
          <w:szCs w:val="20"/>
          <w:lang w:val="en-IE"/>
        </w:rPr>
        <w:t xml:space="preserve">I enclose a list of FRA publications on the rights of persons with disabilities for your information. Should you need any further information, please consult the </w:t>
      </w:r>
      <w:hyperlink r:id="rId53" w:history="1">
        <w:r w:rsidRPr="00AC3E0B">
          <w:rPr>
            <w:rStyle w:val="Hyperlink"/>
            <w:sz w:val="22"/>
            <w:szCs w:val="20"/>
            <w:lang w:val="en-IE"/>
          </w:rPr>
          <w:t>thematic page on our website</w:t>
        </w:r>
      </w:hyperlink>
      <w:r w:rsidRPr="00AC3E0B">
        <w:rPr>
          <w:color w:val="000000"/>
          <w:sz w:val="22"/>
          <w:szCs w:val="20"/>
          <w:lang w:val="en-IE"/>
        </w:rPr>
        <w:t xml:space="preserve"> and do not hesitate to contact me.</w:t>
      </w:r>
    </w:p>
    <w:p w14:paraId="4208A0A1" w14:textId="77777777" w:rsidR="00EB0B1A" w:rsidRPr="00CC530B" w:rsidRDefault="00EB0B1A" w:rsidP="00F25D10">
      <w:pPr>
        <w:spacing w:line="276" w:lineRule="auto"/>
        <w:rPr>
          <w:color w:val="000000"/>
          <w:sz w:val="22"/>
          <w:szCs w:val="20"/>
          <w:lang w:val="en-IE"/>
        </w:rPr>
      </w:pPr>
    </w:p>
    <w:p w14:paraId="600713F5"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Yours sincerely,</w:t>
      </w:r>
    </w:p>
    <w:p w14:paraId="0A95852F" w14:textId="77777777" w:rsidR="00EB0B1A" w:rsidRDefault="00EB0B1A" w:rsidP="00F25D10">
      <w:pPr>
        <w:spacing w:line="276" w:lineRule="auto"/>
        <w:rPr>
          <w:color w:val="000000"/>
          <w:sz w:val="22"/>
          <w:szCs w:val="20"/>
          <w:lang w:val="en-IE"/>
        </w:rPr>
      </w:pPr>
    </w:p>
    <w:p w14:paraId="2970794A" w14:textId="37B52B39" w:rsidR="00651FF1" w:rsidRPr="00CC530B" w:rsidRDefault="00651FF1" w:rsidP="00F25D10">
      <w:pPr>
        <w:spacing w:line="276" w:lineRule="auto"/>
        <w:rPr>
          <w:color w:val="000000"/>
          <w:sz w:val="22"/>
          <w:szCs w:val="20"/>
          <w:lang w:val="en-IE"/>
        </w:rPr>
      </w:pPr>
      <w:r>
        <w:rPr>
          <w:color w:val="000000"/>
          <w:sz w:val="22"/>
          <w:szCs w:val="20"/>
          <w:lang w:val="en-IE"/>
        </w:rPr>
        <w:t>Martha Stickings</w:t>
      </w:r>
    </w:p>
    <w:p w14:paraId="4DC7BE01"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Equality &amp; Citizens’ Rights Department</w:t>
      </w:r>
    </w:p>
    <w:p w14:paraId="02D116EA"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European Union Agency for Fundamental Rights (FRA)</w:t>
      </w:r>
    </w:p>
    <w:p w14:paraId="2A68CDB9" w14:textId="77777777" w:rsidR="00737AE7" w:rsidRPr="00CC530B" w:rsidRDefault="00737AE7" w:rsidP="00F25D10">
      <w:pPr>
        <w:autoSpaceDE/>
        <w:autoSpaceDN/>
        <w:adjustRightInd/>
        <w:spacing w:line="276" w:lineRule="auto"/>
        <w:jc w:val="left"/>
        <w:rPr>
          <w:rFonts w:cs="DaxlinePro-Regular"/>
          <w:color w:val="000000"/>
          <w:sz w:val="22"/>
          <w:szCs w:val="20"/>
          <w:lang w:val="en-IE"/>
        </w:rPr>
      </w:pPr>
    </w:p>
    <w:p w14:paraId="69C49925" w14:textId="77777777" w:rsidR="00C079AE" w:rsidRDefault="00737AE7" w:rsidP="001625F5">
      <w:pPr>
        <w:autoSpaceDE/>
        <w:autoSpaceDN/>
        <w:adjustRightInd/>
        <w:spacing w:line="276" w:lineRule="auto"/>
        <w:jc w:val="left"/>
        <w:rPr>
          <w:rFonts w:cs="DaxlinePro-Regular"/>
          <w:color w:val="000000"/>
          <w:sz w:val="22"/>
          <w:szCs w:val="20"/>
        </w:rPr>
      </w:pPr>
      <w:r w:rsidRPr="00CC530B">
        <w:rPr>
          <w:rFonts w:cs="DaxlinePro-Regular"/>
          <w:color w:val="000000"/>
          <w:sz w:val="22"/>
          <w:szCs w:val="20"/>
        </w:rPr>
        <w:lastRenderedPageBreak/>
        <w:t>cc:</w:t>
      </w:r>
      <w:r w:rsidR="00672514" w:rsidRPr="00CC530B">
        <w:rPr>
          <w:rFonts w:cs="DaxlinePro-Regular"/>
          <w:color w:val="000000"/>
          <w:sz w:val="22"/>
          <w:szCs w:val="20"/>
        </w:rPr>
        <w:t xml:space="preserve"> </w:t>
      </w:r>
      <w:r w:rsidR="00C079AE">
        <w:rPr>
          <w:rFonts w:cs="DaxlinePro-Regular"/>
          <w:color w:val="000000"/>
          <w:sz w:val="22"/>
          <w:szCs w:val="20"/>
        </w:rPr>
        <w:t>Paul d’Auchamp, Acting Regional Representative for Europe, Office of the United Nations High Commissioner for Human Rights</w:t>
      </w:r>
    </w:p>
    <w:p w14:paraId="0817CC2C" w14:textId="363417BA" w:rsidR="001625F5" w:rsidRDefault="001625F5" w:rsidP="001625F5">
      <w:pPr>
        <w:autoSpaceDE/>
        <w:autoSpaceDN/>
        <w:adjustRightInd/>
        <w:spacing w:line="276" w:lineRule="auto"/>
        <w:jc w:val="left"/>
        <w:rPr>
          <w:rFonts w:cs="DaxlinePro-Regular"/>
          <w:color w:val="000000"/>
          <w:sz w:val="22"/>
          <w:szCs w:val="20"/>
        </w:rPr>
      </w:pPr>
      <w:r w:rsidRPr="00CC530B">
        <w:rPr>
          <w:rFonts w:cs="DaxlinePro-Regular"/>
          <w:color w:val="000000"/>
          <w:sz w:val="22"/>
          <w:szCs w:val="20"/>
        </w:rPr>
        <w:t>Facundo Chávez Penillas, Human Rights &amp; Disability Advisor, Office of the United Nations High Commissioner for Human Rights</w:t>
      </w:r>
    </w:p>
    <w:p w14:paraId="0C2E50CC" w14:textId="6D34D125" w:rsidR="001625F5" w:rsidRPr="00CC530B" w:rsidRDefault="001625F5" w:rsidP="001625F5">
      <w:pPr>
        <w:autoSpaceDE/>
        <w:autoSpaceDN/>
        <w:adjustRightInd/>
        <w:spacing w:line="276" w:lineRule="auto"/>
        <w:jc w:val="left"/>
        <w:rPr>
          <w:rFonts w:cs="DaxlinePro-Regular"/>
          <w:color w:val="000000"/>
          <w:sz w:val="22"/>
          <w:szCs w:val="20"/>
        </w:rPr>
      </w:pPr>
      <w:r>
        <w:rPr>
          <w:rFonts w:cs="DaxlinePro-Regular"/>
          <w:color w:val="000000"/>
          <w:sz w:val="22"/>
          <w:szCs w:val="20"/>
        </w:rPr>
        <w:t xml:space="preserve">Victoria Lee, </w:t>
      </w:r>
      <w:r w:rsidRPr="001625F5">
        <w:rPr>
          <w:rFonts w:cs="DaxlinePro-Regular"/>
          <w:color w:val="000000"/>
          <w:sz w:val="22"/>
          <w:szCs w:val="20"/>
        </w:rPr>
        <w:t>Human Rights and Disability Team, Office of the</w:t>
      </w:r>
      <w:r w:rsidR="008B103B">
        <w:rPr>
          <w:rFonts w:cs="DaxlinePro-Regular"/>
          <w:color w:val="000000"/>
          <w:sz w:val="22"/>
          <w:szCs w:val="20"/>
        </w:rPr>
        <w:t xml:space="preserve"> United Nations</w:t>
      </w:r>
      <w:r w:rsidRPr="001625F5">
        <w:rPr>
          <w:rFonts w:cs="DaxlinePro-Regular"/>
          <w:color w:val="000000"/>
          <w:sz w:val="22"/>
          <w:szCs w:val="20"/>
        </w:rPr>
        <w:t xml:space="preserve"> High Commissioner for Human Rights</w:t>
      </w:r>
    </w:p>
    <w:p w14:paraId="1D70EED7" w14:textId="241A8D2C" w:rsidR="00E140C4" w:rsidRPr="00CC530B" w:rsidRDefault="00E140C4" w:rsidP="00447D29">
      <w:pPr>
        <w:autoSpaceDE/>
        <w:autoSpaceDN/>
        <w:adjustRightInd/>
        <w:spacing w:line="276" w:lineRule="auto"/>
        <w:jc w:val="left"/>
        <w:rPr>
          <w:rFonts w:cs="DaxlinePro-Regular"/>
          <w:color w:val="000000"/>
          <w:sz w:val="22"/>
          <w:szCs w:val="20"/>
          <w:lang w:val="en-IE"/>
        </w:rPr>
      </w:pPr>
      <w:r w:rsidRPr="00CC530B">
        <w:rPr>
          <w:rFonts w:cs="DaxlinePro-Regular"/>
          <w:color w:val="000000"/>
          <w:sz w:val="22"/>
          <w:szCs w:val="20"/>
          <w:lang w:val="en-IE"/>
        </w:rPr>
        <w:br w:type="page"/>
      </w:r>
    </w:p>
    <w:p w14:paraId="10875EBD" w14:textId="77777777" w:rsidR="00E140C4" w:rsidRPr="00036B09" w:rsidRDefault="00E140C4" w:rsidP="00E140C4">
      <w:pPr>
        <w:rPr>
          <w:b/>
          <w:sz w:val="24"/>
        </w:rPr>
      </w:pPr>
      <w:r w:rsidRPr="00036B09">
        <w:rPr>
          <w:b/>
          <w:sz w:val="24"/>
        </w:rPr>
        <w:lastRenderedPageBreak/>
        <w:t xml:space="preserve">Annex of FRA publications on the rights of persons with disabilities </w:t>
      </w:r>
    </w:p>
    <w:p w14:paraId="344A27B7" w14:textId="77777777" w:rsidR="00E140C4" w:rsidRDefault="00E140C4" w:rsidP="00E140C4">
      <w:pPr>
        <w:rPr>
          <w:sz w:val="24"/>
          <w:szCs w:val="20"/>
          <w:lang w:val="en-IE"/>
        </w:rPr>
      </w:pPr>
    </w:p>
    <w:tbl>
      <w:tblPr>
        <w:tblW w:w="5000" w:type="pct"/>
        <w:tblLayout w:type="fixed"/>
        <w:tblLook w:val="00A0" w:firstRow="1" w:lastRow="0" w:firstColumn="1" w:lastColumn="0" w:noHBand="0" w:noVBand="0"/>
      </w:tblPr>
      <w:tblGrid>
        <w:gridCol w:w="1700"/>
        <w:gridCol w:w="2149"/>
        <w:gridCol w:w="3950"/>
        <w:gridCol w:w="1481"/>
      </w:tblGrid>
      <w:tr w:rsidR="00CC530B" w:rsidRPr="00EC68B0" w14:paraId="15700856" w14:textId="77777777" w:rsidTr="00D407A3">
        <w:trPr>
          <w:trHeight w:hRule="exact" w:val="809"/>
          <w:tblHeader/>
        </w:trPr>
        <w:tc>
          <w:tcPr>
            <w:tcW w:w="2074" w:type="pct"/>
            <w:gridSpan w:val="2"/>
            <w:shd w:val="clear" w:color="auto" w:fill="003399"/>
            <w:vAlign w:val="center"/>
          </w:tcPr>
          <w:p w14:paraId="4963F1C5" w14:textId="77777777" w:rsidR="00CC530B" w:rsidRPr="00EC68B0" w:rsidRDefault="00CC530B" w:rsidP="00D407A3">
            <w:pPr>
              <w:spacing w:before="60" w:after="60" w:line="240" w:lineRule="auto"/>
              <w:jc w:val="center"/>
              <w:rPr>
                <w:rFonts w:cs="Calibri"/>
                <w:b/>
                <w:bCs/>
                <w:color w:val="F9DD16"/>
                <w:kern w:val="36"/>
                <w:lang w:eastAsia="en-IE"/>
              </w:rPr>
            </w:pPr>
            <w:r w:rsidRPr="00EC68B0">
              <w:rPr>
                <w:rFonts w:cs="Calibri"/>
                <w:b/>
                <w:bCs/>
                <w:color w:val="F9DD16"/>
                <w:kern w:val="36"/>
                <w:lang w:eastAsia="en-IE"/>
              </w:rPr>
              <w:t>FRA product</w:t>
            </w:r>
          </w:p>
        </w:tc>
        <w:tc>
          <w:tcPr>
            <w:tcW w:w="2128" w:type="pct"/>
            <w:shd w:val="clear" w:color="auto" w:fill="003399"/>
            <w:vAlign w:val="center"/>
          </w:tcPr>
          <w:p w14:paraId="1A3EE165" w14:textId="77777777" w:rsidR="00CC530B" w:rsidRPr="00EC68B0" w:rsidRDefault="00CC530B" w:rsidP="00D407A3">
            <w:pPr>
              <w:spacing w:before="60" w:after="60" w:line="240" w:lineRule="auto"/>
              <w:jc w:val="center"/>
              <w:rPr>
                <w:rFonts w:cs="Calibri"/>
                <w:b/>
                <w:color w:val="F9DD16"/>
                <w:lang w:eastAsia="en-IE"/>
              </w:rPr>
            </w:pPr>
            <w:r w:rsidRPr="00EC68B0">
              <w:rPr>
                <w:rFonts w:cs="Calibri"/>
                <w:b/>
                <w:color w:val="F9DD16"/>
                <w:lang w:eastAsia="en-IE"/>
              </w:rPr>
              <w:t>Short description</w:t>
            </w:r>
          </w:p>
        </w:tc>
        <w:tc>
          <w:tcPr>
            <w:tcW w:w="798" w:type="pct"/>
            <w:shd w:val="clear" w:color="auto" w:fill="003399"/>
            <w:vAlign w:val="center"/>
          </w:tcPr>
          <w:p w14:paraId="7959AD77" w14:textId="77777777" w:rsidR="00CC530B" w:rsidRDefault="00CC530B" w:rsidP="00D407A3">
            <w:pPr>
              <w:spacing w:before="40" w:after="40" w:line="240" w:lineRule="auto"/>
              <w:jc w:val="center"/>
              <w:rPr>
                <w:rFonts w:cs="Calibri"/>
                <w:b/>
                <w:color w:val="F9DD16"/>
                <w:sz w:val="16"/>
                <w:szCs w:val="16"/>
              </w:rPr>
            </w:pPr>
            <w:r>
              <w:rPr>
                <w:rFonts w:cs="Calibri"/>
                <w:b/>
                <w:color w:val="F9DD16"/>
                <w:sz w:val="16"/>
                <w:szCs w:val="16"/>
              </w:rPr>
              <w:t>Languages</w:t>
            </w:r>
          </w:p>
          <w:p w14:paraId="00609CE7" w14:textId="77777777" w:rsidR="00CC530B" w:rsidRPr="00EC68B0" w:rsidRDefault="00CC530B" w:rsidP="00D407A3">
            <w:pPr>
              <w:spacing w:before="40" w:after="40" w:line="240" w:lineRule="auto"/>
              <w:jc w:val="center"/>
              <w:rPr>
                <w:rFonts w:cs="Calibri"/>
                <w:b/>
                <w:color w:val="F9DD16"/>
              </w:rPr>
            </w:pPr>
            <w:r>
              <w:rPr>
                <w:rFonts w:cs="Calibri"/>
                <w:b/>
                <w:color w:val="F9DD16"/>
                <w:sz w:val="16"/>
                <w:szCs w:val="16"/>
              </w:rPr>
              <w:t>(in 2016)</w:t>
            </w:r>
          </w:p>
        </w:tc>
      </w:tr>
      <w:tr w:rsidR="00CC530B" w:rsidRPr="00EC68B0" w14:paraId="752E71E6"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05FC8A7D" w14:textId="77777777" w:rsidR="00CC530B" w:rsidRPr="001B4198" w:rsidRDefault="00CC530B" w:rsidP="00D407A3">
            <w:pPr>
              <w:spacing w:line="360" w:lineRule="atLeast"/>
              <w:jc w:val="center"/>
              <w:rPr>
                <w:rFonts w:ascii="Times New Roman" w:hAnsi="Times New Roman"/>
                <w:noProof/>
                <w:color w:val="003399"/>
                <w:sz w:val="19"/>
                <w:szCs w:val="19"/>
              </w:rPr>
            </w:pPr>
            <w:r>
              <w:rPr>
                <w:noProof/>
              </w:rPr>
              <w:drawing>
                <wp:anchor distT="0" distB="0" distL="114300" distR="114300" simplePos="0" relativeHeight="251658240" behindDoc="0" locked="0" layoutInCell="1" allowOverlap="1" wp14:anchorId="2EF75A26" wp14:editId="624A3759">
                  <wp:simplePos x="0" y="0"/>
                  <wp:positionH relativeFrom="column">
                    <wp:posOffset>-31750</wp:posOffset>
                  </wp:positionH>
                  <wp:positionV relativeFrom="paragraph">
                    <wp:posOffset>15875</wp:posOffset>
                  </wp:positionV>
                  <wp:extent cx="1130935" cy="15621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859" t="9915" r="30973" b="7932"/>
                          <a:stretch/>
                        </pic:blipFill>
                        <pic:spPr bwMode="auto">
                          <a:xfrm>
                            <a:off x="0" y="0"/>
                            <a:ext cx="1130935" cy="1562100"/>
                          </a:xfrm>
                          <a:prstGeom prst="rect">
                            <a:avLst/>
                          </a:prstGeom>
                          <a:ln>
                            <a:noFill/>
                          </a:ln>
                          <a:extLst>
                            <a:ext uri="{53640926-AAD7-44D8-BBD7-CCE9431645EC}">
                              <a14:shadowObscured xmlns:a14="http://schemas.microsoft.com/office/drawing/2010/main"/>
                            </a:ext>
                          </a:extLst>
                        </pic:spPr>
                      </pic:pic>
                    </a:graphicData>
                  </a:graphic>
                </wp:anchor>
              </w:drawing>
            </w:r>
          </w:p>
        </w:tc>
        <w:tc>
          <w:tcPr>
            <w:tcW w:w="1158" w:type="pct"/>
            <w:tcBorders>
              <w:top w:val="single" w:sz="4" w:space="0" w:color="auto"/>
              <w:bottom w:val="single" w:sz="4" w:space="0" w:color="auto"/>
            </w:tcBorders>
          </w:tcPr>
          <w:p w14:paraId="44598494" w14:textId="77777777" w:rsidR="00CC530B" w:rsidRPr="003C0123" w:rsidRDefault="00CC530B" w:rsidP="00D407A3">
            <w:pPr>
              <w:spacing w:before="60" w:after="60" w:line="240" w:lineRule="auto"/>
              <w:rPr>
                <w:rStyle w:val="Hyperlink"/>
                <w:rFonts w:cs="Calibri"/>
                <w:b/>
                <w:sz w:val="19"/>
                <w:szCs w:val="19"/>
                <w:lang w:val="en-US"/>
              </w:rPr>
            </w:pPr>
            <w:r w:rsidRPr="003C0123">
              <w:rPr>
                <w:rStyle w:val="Hyperlink"/>
                <w:rFonts w:cs="Calibri"/>
                <w:sz w:val="19"/>
                <w:szCs w:val="19"/>
                <w:lang w:val="en-US"/>
              </w:rPr>
              <w:t xml:space="preserve">Monthly data collection on the current migration situation in the EU </w:t>
            </w:r>
          </w:p>
          <w:p w14:paraId="39400361" w14:textId="77777777" w:rsidR="00CC530B" w:rsidRPr="003C0123" w:rsidRDefault="00CC530B" w:rsidP="00D407A3">
            <w:pPr>
              <w:spacing w:before="60" w:after="60" w:line="240" w:lineRule="auto"/>
              <w:rPr>
                <w:rStyle w:val="Hyperlink"/>
                <w:rFonts w:cs="Calibri"/>
                <w:b/>
                <w:sz w:val="19"/>
                <w:szCs w:val="19"/>
                <w:lang w:val="en-US"/>
              </w:rPr>
            </w:pPr>
            <w:r w:rsidRPr="003C0123">
              <w:rPr>
                <w:rStyle w:val="Hyperlink"/>
                <w:rFonts w:cs="Calibri"/>
                <w:sz w:val="19"/>
                <w:szCs w:val="19"/>
                <w:lang w:val="en-US"/>
              </w:rPr>
              <w:t>Thematic focus: Disability</w:t>
            </w:r>
          </w:p>
          <w:p w14:paraId="67CE7594" w14:textId="77777777" w:rsidR="00CC530B" w:rsidRPr="003C0123" w:rsidRDefault="00CC530B" w:rsidP="00D407A3">
            <w:pPr>
              <w:spacing w:before="60" w:after="60" w:line="240" w:lineRule="auto"/>
              <w:rPr>
                <w:rStyle w:val="Hyperlink"/>
                <w:rFonts w:cs="Calibri"/>
                <w:sz w:val="19"/>
                <w:szCs w:val="19"/>
                <w:lang w:val="en-US"/>
              </w:rPr>
            </w:pPr>
            <w:r w:rsidRPr="003C0123">
              <w:rPr>
                <w:rStyle w:val="Hyperlink"/>
                <w:rFonts w:cs="Calibri"/>
                <w:sz w:val="19"/>
                <w:szCs w:val="19"/>
                <w:lang w:val="en-US"/>
              </w:rPr>
              <w:t>August 2016</w:t>
            </w:r>
          </w:p>
        </w:tc>
        <w:tc>
          <w:tcPr>
            <w:tcW w:w="2128" w:type="pct"/>
            <w:tcBorders>
              <w:top w:val="single" w:sz="4" w:space="0" w:color="auto"/>
              <w:bottom w:val="single" w:sz="4" w:space="0" w:color="auto"/>
            </w:tcBorders>
          </w:tcPr>
          <w:p w14:paraId="7681AAB2" w14:textId="77777777" w:rsidR="00CC530B" w:rsidRPr="003C0123" w:rsidRDefault="00CC530B" w:rsidP="00D407A3">
            <w:pPr>
              <w:pStyle w:val="NormalWeb"/>
              <w:spacing w:before="60" w:after="60"/>
              <w:jc w:val="both"/>
              <w:rPr>
                <w:rFonts w:ascii="Verdana" w:hAnsi="Verdana" w:cstheme="minorHAnsi"/>
                <w:sz w:val="19"/>
                <w:szCs w:val="19"/>
                <w:lang w:val="en"/>
              </w:rPr>
            </w:pPr>
            <w:r w:rsidRPr="003C0123">
              <w:rPr>
                <w:rFonts w:ascii="Verdana" w:hAnsi="Verdana" w:cstheme="minorHAnsi"/>
                <w:sz w:val="19"/>
                <w:szCs w:val="19"/>
                <w:lang w:val="en"/>
              </w:rPr>
              <w:t>Persons with disabilities make up around 15% of the global population, and comprise a significant minority of refugees and migrants. In addition to pre-existing physical, sensory, intellectual or psychosocial impairments, people may acquire or develop impairments during the migration process. When identified, these impairments place an obligation on Member States to provide specific support throughout the arrival, registration and asylum process.</w:t>
            </w:r>
            <w:r>
              <w:rPr>
                <w:rFonts w:ascii="Verdana" w:hAnsi="Verdana" w:cstheme="minorHAnsi"/>
                <w:sz w:val="19"/>
                <w:szCs w:val="19"/>
                <w:lang w:val="en"/>
              </w:rPr>
              <w:t xml:space="preserve"> </w:t>
            </w:r>
            <w:r w:rsidRPr="003C0123">
              <w:rPr>
                <w:rFonts w:ascii="Verdana" w:hAnsi="Verdana" w:cstheme="minorHAnsi"/>
                <w:sz w:val="19"/>
                <w:szCs w:val="19"/>
                <w:lang w:val="en"/>
              </w:rPr>
              <w:t>This thematic focus explores practices in four areas crucial to persons with disabilities and victims of torture in the current migrant situation</w:t>
            </w:r>
          </w:p>
        </w:tc>
        <w:tc>
          <w:tcPr>
            <w:tcW w:w="798" w:type="pct"/>
            <w:tcBorders>
              <w:top w:val="single" w:sz="4" w:space="0" w:color="auto"/>
              <w:bottom w:val="single" w:sz="4" w:space="0" w:color="auto"/>
            </w:tcBorders>
            <w:vAlign w:val="center"/>
          </w:tcPr>
          <w:p w14:paraId="677E5923" w14:textId="77777777" w:rsidR="00CC530B" w:rsidRDefault="00CC530B" w:rsidP="00D407A3">
            <w:pPr>
              <w:spacing w:before="60" w:after="60" w:line="240" w:lineRule="auto"/>
              <w:jc w:val="center"/>
              <w:rPr>
                <w:rFonts w:cs="Calibri"/>
                <w:sz w:val="19"/>
                <w:szCs w:val="19"/>
                <w:lang w:val="fr-FR"/>
              </w:rPr>
            </w:pPr>
            <w:r>
              <w:rPr>
                <w:rFonts w:cs="Calibri"/>
                <w:sz w:val="19"/>
                <w:szCs w:val="19"/>
                <w:lang w:val="en"/>
              </w:rPr>
              <w:t>en</w:t>
            </w:r>
          </w:p>
        </w:tc>
      </w:tr>
      <w:tr w:rsidR="00CC530B" w:rsidRPr="00EC68B0" w14:paraId="45683F47"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11D46AC3" w14:textId="77777777" w:rsidR="00CC530B" w:rsidRPr="001B4198" w:rsidRDefault="00CC530B" w:rsidP="00D407A3">
            <w:pPr>
              <w:spacing w:line="360" w:lineRule="atLeast"/>
              <w:rPr>
                <w:rFonts w:ascii="Times New Roman" w:hAnsi="Times New Roman"/>
                <w:color w:val="333333"/>
                <w:sz w:val="19"/>
                <w:szCs w:val="19"/>
                <w:lang w:val="en"/>
              </w:rPr>
            </w:pPr>
            <w:r w:rsidRPr="001B4198">
              <w:rPr>
                <w:rFonts w:ascii="Times New Roman" w:hAnsi="Times New Roman"/>
                <w:noProof/>
                <w:color w:val="003399"/>
                <w:sz w:val="19"/>
                <w:szCs w:val="19"/>
              </w:rPr>
              <w:drawing>
                <wp:inline distT="0" distB="0" distL="0" distR="0" wp14:anchorId="543A3F7A" wp14:editId="59A2059C">
                  <wp:extent cx="1075765" cy="1524000"/>
                  <wp:effectExtent l="0" t="0" r="0" b="0"/>
                  <wp:docPr id="12" name="Picture 12" descr="http://fra.europa.eu/sites/default/files/styles/fra_medium/public/fra_images/cover-image-frr-2016_en.jpg?itok=uIgeLHx6">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europa.eu/sites/default/files/styles/fra_medium/public/fra_images/cover-image-frr-2016_en.jpg?itok=uIgeLHx6">
                            <a:hlinkClick r:id="rId55"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9559" cy="1529375"/>
                          </a:xfrm>
                          <a:prstGeom prst="rect">
                            <a:avLst/>
                          </a:prstGeom>
                          <a:noFill/>
                          <a:ln>
                            <a:noFill/>
                          </a:ln>
                        </pic:spPr>
                      </pic:pic>
                    </a:graphicData>
                  </a:graphic>
                </wp:inline>
              </w:drawing>
            </w:r>
          </w:p>
          <w:p w14:paraId="1D106507" w14:textId="77777777" w:rsidR="00CC530B" w:rsidRPr="00AF7E56" w:rsidRDefault="00CC530B" w:rsidP="00D407A3">
            <w:pPr>
              <w:spacing w:line="360" w:lineRule="atLeast"/>
              <w:ind w:firstLine="34"/>
              <w:rPr>
                <w:rFonts w:ascii="Times New Roman" w:hAnsi="Times New Roman"/>
                <w:noProof/>
                <w:color w:val="003399"/>
                <w:sz w:val="19"/>
                <w:szCs w:val="19"/>
              </w:rPr>
            </w:pPr>
          </w:p>
        </w:tc>
        <w:tc>
          <w:tcPr>
            <w:tcW w:w="1158" w:type="pct"/>
            <w:tcBorders>
              <w:top w:val="single" w:sz="4" w:space="0" w:color="auto"/>
              <w:bottom w:val="single" w:sz="4" w:space="0" w:color="auto"/>
            </w:tcBorders>
          </w:tcPr>
          <w:p w14:paraId="19007B23" w14:textId="77777777" w:rsidR="00CC530B" w:rsidRDefault="00CC530B" w:rsidP="00D407A3">
            <w:pPr>
              <w:spacing w:before="60" w:after="60" w:line="240" w:lineRule="auto"/>
              <w:rPr>
                <w:rStyle w:val="Hyperlink"/>
                <w:rFonts w:cs="Calibri"/>
                <w:b/>
                <w:sz w:val="19"/>
                <w:szCs w:val="19"/>
                <w:lang w:val="en-US"/>
              </w:rPr>
            </w:pPr>
            <w:r>
              <w:rPr>
                <w:rStyle w:val="Hyperlink"/>
                <w:rFonts w:cs="Calibri"/>
                <w:sz w:val="19"/>
                <w:szCs w:val="19"/>
                <w:lang w:val="en-US"/>
              </w:rPr>
              <w:t>Fundamental Rights Report 2016</w:t>
            </w:r>
          </w:p>
          <w:p w14:paraId="4280AD08" w14:textId="77777777" w:rsidR="00CC530B" w:rsidRDefault="00CC530B" w:rsidP="00D407A3">
            <w:pPr>
              <w:spacing w:before="60" w:after="60" w:line="240" w:lineRule="auto"/>
              <w:rPr>
                <w:rStyle w:val="Hyperlink"/>
                <w:rFonts w:cs="Calibri"/>
                <w:b/>
                <w:sz w:val="19"/>
                <w:szCs w:val="19"/>
                <w:lang w:val="en-US"/>
              </w:rPr>
            </w:pPr>
            <w:r>
              <w:rPr>
                <w:rStyle w:val="Hyperlink"/>
                <w:rFonts w:cs="Calibri"/>
                <w:sz w:val="19"/>
                <w:szCs w:val="19"/>
                <w:lang w:val="en-US"/>
              </w:rPr>
              <w:t xml:space="preserve">Chapter 8: developments in the implementation of the Convention on the Rights of Persons with Disabilities </w:t>
            </w:r>
          </w:p>
          <w:p w14:paraId="5D7AD20A" w14:textId="77777777" w:rsidR="00CC530B" w:rsidRPr="001B4198" w:rsidRDefault="00CC530B" w:rsidP="00D407A3">
            <w:pPr>
              <w:spacing w:before="60" w:after="60" w:line="240" w:lineRule="auto"/>
              <w:rPr>
                <w:rStyle w:val="Hyperlink"/>
                <w:rFonts w:cs="Calibri"/>
                <w:sz w:val="19"/>
                <w:szCs w:val="19"/>
                <w:lang w:val="en-US"/>
              </w:rPr>
            </w:pPr>
            <w:r>
              <w:rPr>
                <w:rStyle w:val="Hyperlink"/>
                <w:rFonts w:cs="Calibri"/>
                <w:sz w:val="19"/>
                <w:szCs w:val="19"/>
                <w:lang w:val="en-US"/>
              </w:rPr>
              <w:t>May 2016</w:t>
            </w:r>
          </w:p>
        </w:tc>
        <w:tc>
          <w:tcPr>
            <w:tcW w:w="2128" w:type="pct"/>
            <w:tcBorders>
              <w:top w:val="single" w:sz="4" w:space="0" w:color="auto"/>
              <w:bottom w:val="single" w:sz="4" w:space="0" w:color="auto"/>
            </w:tcBorders>
          </w:tcPr>
          <w:p w14:paraId="4BD8A412" w14:textId="77777777" w:rsidR="00CC530B" w:rsidRPr="00AF7E56" w:rsidRDefault="00CC530B" w:rsidP="00D407A3">
            <w:pPr>
              <w:pStyle w:val="NormalWeb"/>
              <w:spacing w:before="60" w:beforeAutospacing="0" w:after="60" w:afterAutospacing="0"/>
              <w:jc w:val="both"/>
              <w:rPr>
                <w:rFonts w:ascii="Verdana" w:hAnsi="Verdana" w:cstheme="minorHAnsi"/>
                <w:sz w:val="19"/>
                <w:szCs w:val="19"/>
              </w:rPr>
            </w:pPr>
            <w:r w:rsidRPr="001B4198">
              <w:rPr>
                <w:rFonts w:ascii="Verdana" w:hAnsi="Verdana" w:cstheme="minorHAnsi"/>
                <w:sz w:val="19"/>
                <w:szCs w:val="19"/>
              </w:rPr>
              <w:t xml:space="preserve">Five years on from the EU’s accession to the Convention on the Rights of Persons with Disabilities (CRPD), for the first time in 2015 a United Nations (UN) treaty body, the Committee on the Rights of Persons with Disabilities (CRPD Committee), reviewed the EU’s fulfilment of its human rights obligations. In its concluding observations, the CRPD Committee created a blueprint for the additional steps required for the EU to meet its obligations under the convention. At national level, the CRPD is driving wide-ranging change processes as Member States seek to harmonise their legal frameworks with the convention’s standards. </w:t>
            </w:r>
          </w:p>
        </w:tc>
        <w:tc>
          <w:tcPr>
            <w:tcW w:w="798" w:type="pct"/>
            <w:tcBorders>
              <w:top w:val="single" w:sz="4" w:space="0" w:color="auto"/>
              <w:bottom w:val="single" w:sz="4" w:space="0" w:color="auto"/>
            </w:tcBorders>
            <w:vAlign w:val="center"/>
          </w:tcPr>
          <w:p w14:paraId="511B2998" w14:textId="77777777" w:rsidR="00CC530B" w:rsidRDefault="00CC530B" w:rsidP="00D407A3">
            <w:pPr>
              <w:spacing w:before="60" w:after="60" w:line="240" w:lineRule="auto"/>
              <w:jc w:val="center"/>
              <w:rPr>
                <w:rFonts w:cs="Calibri"/>
                <w:sz w:val="19"/>
                <w:szCs w:val="19"/>
                <w:lang w:val="fr-FR"/>
              </w:rPr>
            </w:pPr>
            <w:r>
              <w:rPr>
                <w:rFonts w:cs="Calibri"/>
                <w:sz w:val="19"/>
                <w:szCs w:val="19"/>
                <w:lang w:val="fr-FR"/>
              </w:rPr>
              <w:t>en</w:t>
            </w:r>
          </w:p>
          <w:p w14:paraId="1A178B01" w14:textId="77777777" w:rsidR="00CC530B" w:rsidRDefault="00CC530B" w:rsidP="00D407A3">
            <w:pPr>
              <w:spacing w:before="60" w:after="60" w:line="240" w:lineRule="auto"/>
              <w:jc w:val="center"/>
              <w:rPr>
                <w:rFonts w:cs="Calibri"/>
                <w:sz w:val="19"/>
                <w:szCs w:val="19"/>
                <w:lang w:val="fr-FR"/>
              </w:rPr>
            </w:pPr>
          </w:p>
          <w:p w14:paraId="143C7697" w14:textId="77777777" w:rsidR="00CC530B" w:rsidRDefault="00CC530B" w:rsidP="00D407A3">
            <w:pPr>
              <w:spacing w:before="60" w:after="60" w:line="240" w:lineRule="auto"/>
              <w:jc w:val="center"/>
              <w:rPr>
                <w:rFonts w:cs="Calibri"/>
                <w:sz w:val="19"/>
                <w:szCs w:val="19"/>
                <w:lang w:val="fr-FR"/>
              </w:rPr>
            </w:pPr>
            <w:r>
              <w:rPr>
                <w:rFonts w:cs="Calibri"/>
                <w:sz w:val="19"/>
                <w:szCs w:val="19"/>
                <w:lang w:val="fr-FR"/>
              </w:rPr>
              <w:t>(summary en – fr)</w:t>
            </w:r>
          </w:p>
          <w:p w14:paraId="6E9E2E6F" w14:textId="77777777" w:rsidR="00CC530B" w:rsidRDefault="00CC530B" w:rsidP="00D407A3">
            <w:pPr>
              <w:spacing w:before="60" w:after="60" w:line="240" w:lineRule="auto"/>
              <w:jc w:val="center"/>
              <w:rPr>
                <w:rFonts w:cs="Calibri"/>
                <w:sz w:val="19"/>
                <w:szCs w:val="19"/>
                <w:lang w:val="fr-FR"/>
              </w:rPr>
            </w:pPr>
          </w:p>
        </w:tc>
      </w:tr>
      <w:tr w:rsidR="00CC530B" w:rsidRPr="00EC68B0" w14:paraId="47D7F6DA"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4B505072" w14:textId="77777777" w:rsidR="00CC530B" w:rsidRPr="00AF7E56" w:rsidRDefault="00CC530B" w:rsidP="00D407A3">
            <w:pPr>
              <w:spacing w:line="360" w:lineRule="atLeast"/>
              <w:ind w:firstLine="34"/>
              <w:rPr>
                <w:rFonts w:ascii="Times New Roman" w:hAnsi="Times New Roman"/>
                <w:color w:val="333333"/>
                <w:sz w:val="19"/>
                <w:szCs w:val="19"/>
                <w:lang w:val="en"/>
              </w:rPr>
            </w:pPr>
            <w:r w:rsidRPr="00AF7E56">
              <w:rPr>
                <w:rFonts w:ascii="Times New Roman" w:hAnsi="Times New Roman"/>
                <w:noProof/>
                <w:color w:val="003399"/>
                <w:sz w:val="19"/>
                <w:szCs w:val="19"/>
              </w:rPr>
              <w:drawing>
                <wp:inline distT="0" distB="0" distL="0" distR="0" wp14:anchorId="37BE06CB" wp14:editId="10175A6A">
                  <wp:extent cx="1020409" cy="1440612"/>
                  <wp:effectExtent l="0" t="0" r="8890" b="7620"/>
                  <wp:docPr id="8" name="Picture 8" descr="http://fra.europa.eu/sites/default/files/styles/fra_medium/public/fra_images/cover_violence_against_children_with_disabilities_report.jpg?itok=nTb1vk_v">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a.europa.eu/sites/default/files/styles/fra_medium/public/fra_images/cover_violence_against_children_with_disabilities_report.jpg?itok=nTb1vk_v">
                            <a:hlinkClick r:id="rId57" tooltip="&quot;&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9911" cy="1454026"/>
                          </a:xfrm>
                          <a:prstGeom prst="rect">
                            <a:avLst/>
                          </a:prstGeom>
                          <a:noFill/>
                          <a:ln>
                            <a:noFill/>
                          </a:ln>
                        </pic:spPr>
                      </pic:pic>
                    </a:graphicData>
                  </a:graphic>
                </wp:inline>
              </w:drawing>
            </w:r>
          </w:p>
          <w:p w14:paraId="632B1475" w14:textId="77777777" w:rsidR="00CC530B" w:rsidRPr="00EC68B0" w:rsidRDefault="00CC530B" w:rsidP="00D407A3">
            <w:pPr>
              <w:spacing w:before="60" w:after="60" w:line="240" w:lineRule="auto"/>
              <w:jc w:val="center"/>
              <w:rPr>
                <w:noProof/>
                <w:sz w:val="19"/>
                <w:szCs w:val="19"/>
                <w:lang w:eastAsia="en-IE"/>
              </w:rPr>
            </w:pPr>
          </w:p>
        </w:tc>
        <w:tc>
          <w:tcPr>
            <w:tcW w:w="1158" w:type="pct"/>
            <w:tcBorders>
              <w:top w:val="single" w:sz="4" w:space="0" w:color="auto"/>
              <w:bottom w:val="single" w:sz="4" w:space="0" w:color="auto"/>
            </w:tcBorders>
          </w:tcPr>
          <w:p w14:paraId="06BCADB1" w14:textId="77777777" w:rsidR="00CC530B" w:rsidRDefault="00CC530B" w:rsidP="00D407A3">
            <w:pPr>
              <w:spacing w:before="60" w:after="60" w:line="240" w:lineRule="auto"/>
              <w:rPr>
                <w:rStyle w:val="Hyperlink"/>
                <w:rFonts w:cs="Calibri"/>
                <w:b/>
                <w:sz w:val="19"/>
                <w:szCs w:val="19"/>
                <w:lang w:val="en-US"/>
              </w:rPr>
            </w:pPr>
            <w:r w:rsidRPr="00AF7E56">
              <w:rPr>
                <w:rStyle w:val="Hyperlink"/>
                <w:rFonts w:cs="Calibri"/>
                <w:sz w:val="19"/>
                <w:szCs w:val="19"/>
                <w:lang w:val="en-US"/>
              </w:rPr>
              <w:t>Violence against children with disabilities: legislation, policies and programmes in the EU</w:t>
            </w:r>
          </w:p>
          <w:p w14:paraId="0F6002F8" w14:textId="77777777" w:rsidR="00CC530B" w:rsidRPr="00AF7E56" w:rsidRDefault="00CC530B" w:rsidP="00D407A3">
            <w:pPr>
              <w:spacing w:before="60" w:after="60" w:line="240" w:lineRule="auto"/>
              <w:rPr>
                <w:rStyle w:val="Hyperlink"/>
                <w:rFonts w:cs="Calibri"/>
                <w:b/>
                <w:sz w:val="19"/>
                <w:szCs w:val="19"/>
                <w:lang w:val="en-US"/>
              </w:rPr>
            </w:pPr>
            <w:r>
              <w:rPr>
                <w:rStyle w:val="Hyperlink"/>
                <w:rFonts w:cs="Calibri"/>
                <w:sz w:val="19"/>
                <w:szCs w:val="19"/>
                <w:lang w:val="en-US"/>
              </w:rPr>
              <w:t>December 2015</w:t>
            </w:r>
          </w:p>
        </w:tc>
        <w:tc>
          <w:tcPr>
            <w:tcW w:w="2128" w:type="pct"/>
            <w:tcBorders>
              <w:top w:val="single" w:sz="4" w:space="0" w:color="auto"/>
              <w:bottom w:val="single" w:sz="4" w:space="0" w:color="auto"/>
            </w:tcBorders>
          </w:tcPr>
          <w:p w14:paraId="715EA940"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AF7E56">
              <w:rPr>
                <w:rFonts w:ascii="Verdana" w:hAnsi="Verdana" w:cstheme="minorHAnsi"/>
                <w:sz w:val="19"/>
                <w:szCs w:val="19"/>
              </w:rPr>
              <w:t>The report outlines relevant international and European standards and reviews national legislation and policies addressing violence against children with disabilities. The report also explores the extent and different causes, settings and forms of such violence, and presents measures and initiatives to prevent it.</w:t>
            </w:r>
          </w:p>
        </w:tc>
        <w:tc>
          <w:tcPr>
            <w:tcW w:w="798" w:type="pct"/>
            <w:tcBorders>
              <w:top w:val="single" w:sz="4" w:space="0" w:color="auto"/>
              <w:bottom w:val="single" w:sz="4" w:space="0" w:color="auto"/>
            </w:tcBorders>
            <w:vAlign w:val="center"/>
          </w:tcPr>
          <w:p w14:paraId="578FEF30" w14:textId="77777777" w:rsidR="00CC530B" w:rsidRPr="00EC68B0" w:rsidRDefault="00CC530B" w:rsidP="00D407A3">
            <w:pPr>
              <w:spacing w:before="60" w:after="60" w:line="240" w:lineRule="auto"/>
              <w:jc w:val="center"/>
              <w:rPr>
                <w:rFonts w:cs="Calibri"/>
                <w:sz w:val="19"/>
                <w:szCs w:val="19"/>
                <w:lang w:val="fr-FR"/>
              </w:rPr>
            </w:pPr>
            <w:r>
              <w:rPr>
                <w:rFonts w:cs="Calibri"/>
                <w:sz w:val="19"/>
                <w:szCs w:val="19"/>
                <w:lang w:val="fr-FR"/>
              </w:rPr>
              <w:t>en</w:t>
            </w:r>
          </w:p>
        </w:tc>
      </w:tr>
      <w:tr w:rsidR="00CC530B" w:rsidRPr="00C079AE" w14:paraId="311CE4F9"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4325F10C" w14:textId="77777777" w:rsidR="00CC530B" w:rsidRPr="00AF7E56" w:rsidRDefault="00CC530B" w:rsidP="00D407A3">
            <w:pPr>
              <w:spacing w:line="360" w:lineRule="atLeast"/>
              <w:ind w:firstLine="34"/>
              <w:rPr>
                <w:rFonts w:ascii="Times New Roman" w:hAnsi="Times New Roman"/>
                <w:color w:val="333333"/>
                <w:sz w:val="19"/>
                <w:szCs w:val="19"/>
                <w:lang w:val="en"/>
              </w:rPr>
            </w:pPr>
            <w:r w:rsidRPr="00AF7E56">
              <w:rPr>
                <w:rFonts w:ascii="Times New Roman" w:hAnsi="Times New Roman"/>
                <w:noProof/>
                <w:color w:val="003399"/>
                <w:sz w:val="19"/>
                <w:szCs w:val="19"/>
              </w:rPr>
              <w:lastRenderedPageBreak/>
              <w:drawing>
                <wp:inline distT="0" distB="0" distL="0" distR="0" wp14:anchorId="6AF43E9D" wp14:editId="37131063">
                  <wp:extent cx="1031240" cy="1455903"/>
                  <wp:effectExtent l="0" t="0" r="0" b="0"/>
                  <wp:docPr id="7" name="Picture 7" descr="http://fra.europa.eu/sites/default/files/styles/fra_medium/public/fra_images/cover_violence-against-children-disabilities_summary.jpg?itok=EiGltJpy">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medium/public/fra_images/cover_violence-against-children-disabilities_summary.jpg?itok=EiGltJpy">
                            <a:hlinkClick r:id="rId59" tooltip="&quo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9653" cy="1467780"/>
                          </a:xfrm>
                          <a:prstGeom prst="rect">
                            <a:avLst/>
                          </a:prstGeom>
                          <a:noFill/>
                          <a:ln>
                            <a:noFill/>
                          </a:ln>
                        </pic:spPr>
                      </pic:pic>
                    </a:graphicData>
                  </a:graphic>
                </wp:inline>
              </w:drawing>
            </w:r>
          </w:p>
          <w:p w14:paraId="219D29C2" w14:textId="77777777" w:rsidR="00CC530B" w:rsidRDefault="00CC530B" w:rsidP="00D407A3">
            <w:pPr>
              <w:spacing w:before="60" w:after="60" w:line="240" w:lineRule="auto"/>
              <w:jc w:val="center"/>
              <w:rPr>
                <w:noProof/>
                <w:color w:val="003399"/>
                <w:sz w:val="19"/>
                <w:szCs w:val="19"/>
              </w:rPr>
            </w:pPr>
          </w:p>
        </w:tc>
        <w:tc>
          <w:tcPr>
            <w:tcW w:w="1158" w:type="pct"/>
            <w:tcBorders>
              <w:top w:val="single" w:sz="4" w:space="0" w:color="auto"/>
              <w:bottom w:val="single" w:sz="4" w:space="0" w:color="auto"/>
            </w:tcBorders>
          </w:tcPr>
          <w:p w14:paraId="2557CD7F" w14:textId="77777777" w:rsidR="00CC530B" w:rsidRDefault="00CC530B" w:rsidP="00D407A3">
            <w:pPr>
              <w:spacing w:before="60" w:after="60" w:line="240" w:lineRule="auto"/>
              <w:rPr>
                <w:rStyle w:val="Hyperlink"/>
                <w:rFonts w:cs="Calibri"/>
                <w:b/>
                <w:sz w:val="19"/>
                <w:szCs w:val="19"/>
                <w:lang w:val="en-US"/>
              </w:rPr>
            </w:pPr>
            <w:r>
              <w:rPr>
                <w:rStyle w:val="Hyperlink"/>
                <w:rFonts w:cs="Calibri"/>
                <w:sz w:val="19"/>
                <w:szCs w:val="19"/>
                <w:lang w:val="en-US"/>
              </w:rPr>
              <w:t xml:space="preserve">Summary report: </w:t>
            </w:r>
          </w:p>
          <w:p w14:paraId="347348B2" w14:textId="77777777" w:rsidR="00CC530B" w:rsidRDefault="00CC530B" w:rsidP="00D407A3">
            <w:pPr>
              <w:spacing w:before="60" w:after="60" w:line="240" w:lineRule="auto"/>
              <w:rPr>
                <w:rStyle w:val="Hyperlink"/>
                <w:rFonts w:cs="Calibri"/>
                <w:b/>
                <w:sz w:val="19"/>
                <w:szCs w:val="19"/>
                <w:lang w:val="en-US"/>
              </w:rPr>
            </w:pPr>
            <w:r w:rsidRPr="00AF7E56">
              <w:rPr>
                <w:rStyle w:val="Hyperlink"/>
                <w:rFonts w:cs="Calibri"/>
                <w:sz w:val="19"/>
                <w:szCs w:val="19"/>
                <w:lang w:val="en-US"/>
              </w:rPr>
              <w:t>Violence against children with disabilities: legislation, policies and programmes in the EU</w:t>
            </w:r>
          </w:p>
          <w:p w14:paraId="45B89A0C" w14:textId="77777777" w:rsidR="00CC530B" w:rsidRPr="00693B7A" w:rsidRDefault="00CC530B" w:rsidP="00D407A3">
            <w:pPr>
              <w:spacing w:before="60" w:after="60" w:line="240" w:lineRule="auto"/>
              <w:rPr>
                <w:rStyle w:val="Hyperlink"/>
                <w:rFonts w:cs="Calibri"/>
                <w:b/>
                <w:sz w:val="19"/>
                <w:szCs w:val="19"/>
                <w:lang w:val="en-US"/>
              </w:rPr>
            </w:pPr>
            <w:r>
              <w:rPr>
                <w:rStyle w:val="Hyperlink"/>
                <w:rFonts w:cs="Calibri"/>
                <w:sz w:val="19"/>
                <w:szCs w:val="19"/>
                <w:lang w:val="en-US"/>
              </w:rPr>
              <w:t>December 2015</w:t>
            </w:r>
          </w:p>
        </w:tc>
        <w:tc>
          <w:tcPr>
            <w:tcW w:w="2128" w:type="pct"/>
            <w:tcBorders>
              <w:top w:val="single" w:sz="4" w:space="0" w:color="auto"/>
              <w:bottom w:val="single" w:sz="4" w:space="0" w:color="auto"/>
            </w:tcBorders>
          </w:tcPr>
          <w:p w14:paraId="55FA9FD7" w14:textId="77777777" w:rsidR="00CC530B" w:rsidRDefault="00CC530B" w:rsidP="00D407A3">
            <w:pPr>
              <w:pStyle w:val="NormalWeb"/>
              <w:spacing w:before="60" w:beforeAutospacing="0" w:after="60" w:afterAutospacing="0"/>
              <w:jc w:val="both"/>
              <w:rPr>
                <w:rFonts w:ascii="Verdana" w:hAnsi="Verdana" w:cstheme="minorHAnsi"/>
                <w:sz w:val="19"/>
                <w:szCs w:val="19"/>
              </w:rPr>
            </w:pPr>
            <w:r w:rsidRPr="005A70FC">
              <w:rPr>
                <w:rFonts w:ascii="Verdana" w:hAnsi="Verdana" w:cstheme="minorHAnsi"/>
                <w:sz w:val="19"/>
                <w:szCs w:val="19"/>
              </w:rPr>
              <w:t xml:space="preserve">This summary report presents the </w:t>
            </w:r>
            <w:r>
              <w:rPr>
                <w:rFonts w:ascii="Verdana" w:hAnsi="Verdana" w:cstheme="minorHAnsi"/>
                <w:sz w:val="19"/>
                <w:szCs w:val="19"/>
              </w:rPr>
              <w:t>main research</w:t>
            </w:r>
            <w:r w:rsidRPr="005A70FC">
              <w:rPr>
                <w:rFonts w:ascii="Verdana" w:hAnsi="Verdana" w:cstheme="minorHAnsi"/>
                <w:sz w:val="19"/>
                <w:szCs w:val="19"/>
              </w:rPr>
              <w:t xml:space="preserve"> findings identified in the FRA report on </w:t>
            </w:r>
            <w:r w:rsidRPr="005A70FC">
              <w:rPr>
                <w:rFonts w:ascii="Verdana" w:hAnsi="Verdana" w:cstheme="minorHAnsi"/>
                <w:i/>
                <w:sz w:val="19"/>
                <w:szCs w:val="19"/>
              </w:rPr>
              <w:t>Violence against children with disabilities: legislation, policies and programmes in the EU</w:t>
            </w:r>
            <w:r w:rsidRPr="005A70FC">
              <w:rPr>
                <w:rFonts w:ascii="Verdana" w:hAnsi="Verdana" w:cstheme="minorHAnsi"/>
                <w:sz w:val="19"/>
                <w:szCs w:val="19"/>
              </w:rPr>
              <w:t xml:space="preserve">. </w:t>
            </w:r>
            <w:r>
              <w:rPr>
                <w:rFonts w:ascii="Verdana" w:hAnsi="Verdana" w:cstheme="minorHAnsi"/>
                <w:sz w:val="19"/>
                <w:szCs w:val="19"/>
              </w:rPr>
              <w:t xml:space="preserve">The report gives a short summary of the key findings and outlines 10 key areas where </w:t>
            </w:r>
            <w:r w:rsidRPr="005A70FC">
              <w:rPr>
                <w:rFonts w:ascii="Verdana" w:hAnsi="Verdana" w:cstheme="minorHAnsi"/>
                <w:sz w:val="19"/>
                <w:szCs w:val="19"/>
              </w:rPr>
              <w:t>policymak</w:t>
            </w:r>
            <w:r w:rsidRPr="005A70FC">
              <w:rPr>
                <w:rFonts w:ascii="Verdana" w:hAnsi="Verdana" w:cstheme="minorHAnsi"/>
                <w:sz w:val="19"/>
                <w:szCs w:val="19"/>
              </w:rPr>
              <w:softHyphen/>
              <w:t>ers and relevant stakeholders should concentrate their efforts to fight violence against children with disabilities, and to effectively protect them from abu</w:t>
            </w:r>
            <w:r>
              <w:rPr>
                <w:rFonts w:ascii="Verdana" w:hAnsi="Verdana" w:cstheme="minorHAnsi"/>
                <w:sz w:val="19"/>
                <w:szCs w:val="19"/>
              </w:rPr>
              <w:t>se and exclusion across the EU.</w:t>
            </w:r>
          </w:p>
        </w:tc>
        <w:tc>
          <w:tcPr>
            <w:tcW w:w="798" w:type="pct"/>
            <w:tcBorders>
              <w:top w:val="single" w:sz="4" w:space="0" w:color="auto"/>
              <w:bottom w:val="single" w:sz="4" w:space="0" w:color="auto"/>
            </w:tcBorders>
            <w:vAlign w:val="center"/>
          </w:tcPr>
          <w:p w14:paraId="0AD2E103" w14:textId="77777777" w:rsidR="00CC530B" w:rsidRDefault="00CC530B" w:rsidP="00D407A3">
            <w:pPr>
              <w:spacing w:before="60" w:after="60" w:line="240" w:lineRule="auto"/>
              <w:jc w:val="center"/>
              <w:rPr>
                <w:rFonts w:cs="Calibri"/>
                <w:sz w:val="19"/>
                <w:szCs w:val="19"/>
                <w:lang w:val="fr-FR"/>
              </w:rPr>
            </w:pPr>
            <w:r w:rsidRPr="003A1A2C">
              <w:rPr>
                <w:rFonts w:cs="Calibri"/>
                <w:sz w:val="19"/>
                <w:szCs w:val="19"/>
                <w:lang w:val="fr-FR"/>
              </w:rPr>
              <w:t>bg - cs - da - de - e</w:t>
            </w:r>
            <w:r>
              <w:rPr>
                <w:rFonts w:cs="Calibri"/>
                <w:sz w:val="19"/>
                <w:szCs w:val="19"/>
                <w:lang w:val="fr-FR"/>
              </w:rPr>
              <w:t>n</w:t>
            </w:r>
            <w:r w:rsidRPr="003A1A2C">
              <w:rPr>
                <w:rFonts w:cs="Calibri"/>
                <w:sz w:val="19"/>
                <w:szCs w:val="19"/>
                <w:lang w:val="fr-FR"/>
              </w:rPr>
              <w:t xml:space="preserve"> </w:t>
            </w:r>
            <w:r>
              <w:rPr>
                <w:rFonts w:cs="Calibri"/>
                <w:sz w:val="19"/>
                <w:szCs w:val="19"/>
                <w:lang w:val="fr-FR"/>
              </w:rPr>
              <w:t>-</w:t>
            </w:r>
            <w:r w:rsidRPr="003A1A2C">
              <w:rPr>
                <w:rFonts w:cs="Calibri"/>
                <w:sz w:val="19"/>
                <w:szCs w:val="19"/>
                <w:lang w:val="fr-FR"/>
              </w:rPr>
              <w:t xml:space="preserve"> </w:t>
            </w:r>
            <w:r>
              <w:rPr>
                <w:rFonts w:cs="Calibri"/>
                <w:sz w:val="19"/>
                <w:szCs w:val="19"/>
                <w:lang w:val="fr-FR"/>
              </w:rPr>
              <w:t xml:space="preserve">fr - </w:t>
            </w:r>
            <w:r w:rsidRPr="003A1A2C">
              <w:rPr>
                <w:rFonts w:cs="Calibri"/>
                <w:sz w:val="19"/>
                <w:szCs w:val="19"/>
                <w:lang w:val="fr-FR"/>
              </w:rPr>
              <w:t>hr</w:t>
            </w:r>
            <w:r>
              <w:rPr>
                <w:rFonts w:cs="Calibri"/>
                <w:sz w:val="19"/>
                <w:szCs w:val="19"/>
                <w:lang w:val="fr-FR"/>
              </w:rPr>
              <w:t xml:space="preserve"> </w:t>
            </w:r>
            <w:r w:rsidRPr="003A1A2C">
              <w:rPr>
                <w:rFonts w:cs="Calibri"/>
                <w:sz w:val="19"/>
                <w:szCs w:val="19"/>
                <w:lang w:val="fr-FR"/>
              </w:rPr>
              <w:t xml:space="preserve">- it - lt - nl - pl - pt </w:t>
            </w:r>
            <w:r>
              <w:rPr>
                <w:rFonts w:cs="Calibri"/>
                <w:sz w:val="19"/>
                <w:szCs w:val="19"/>
                <w:lang w:val="fr-FR"/>
              </w:rPr>
              <w:t xml:space="preserve">- </w:t>
            </w:r>
            <w:r w:rsidRPr="003A1A2C">
              <w:rPr>
                <w:rFonts w:cs="Calibri"/>
                <w:sz w:val="19"/>
                <w:szCs w:val="19"/>
                <w:lang w:val="fr-FR"/>
              </w:rPr>
              <w:t>sl - sv</w:t>
            </w:r>
          </w:p>
          <w:p w14:paraId="570EE4C3" w14:textId="77777777" w:rsidR="00CC530B" w:rsidRDefault="00CC530B" w:rsidP="00D407A3">
            <w:pPr>
              <w:spacing w:before="60" w:after="60" w:line="240" w:lineRule="auto"/>
              <w:jc w:val="center"/>
              <w:rPr>
                <w:rFonts w:cs="Calibri"/>
                <w:sz w:val="19"/>
                <w:szCs w:val="19"/>
                <w:lang w:val="fr-FR"/>
              </w:rPr>
            </w:pPr>
          </w:p>
          <w:p w14:paraId="716B0147" w14:textId="77777777" w:rsidR="00CC530B" w:rsidRDefault="00CC530B" w:rsidP="00D407A3">
            <w:pPr>
              <w:spacing w:before="60" w:after="60" w:line="240" w:lineRule="auto"/>
              <w:jc w:val="center"/>
              <w:rPr>
                <w:rFonts w:cs="Calibri"/>
                <w:sz w:val="19"/>
                <w:szCs w:val="19"/>
                <w:lang w:val="fr-FR"/>
              </w:rPr>
            </w:pPr>
            <w:r>
              <w:rPr>
                <w:rFonts w:cs="Calibri"/>
                <w:sz w:val="19"/>
                <w:szCs w:val="19"/>
                <w:lang w:val="fr-FR"/>
              </w:rPr>
              <w:t>(</w:t>
            </w:r>
            <w:r w:rsidRPr="003A1A2C">
              <w:rPr>
                <w:rFonts w:cs="Calibri"/>
                <w:sz w:val="19"/>
                <w:szCs w:val="19"/>
                <w:lang w:val="fr-FR"/>
              </w:rPr>
              <w:t xml:space="preserve">et - el - es - lv </w:t>
            </w:r>
            <w:r>
              <w:rPr>
                <w:rFonts w:cs="Calibri"/>
                <w:sz w:val="19"/>
                <w:szCs w:val="19"/>
                <w:lang w:val="fr-FR"/>
              </w:rPr>
              <w:t xml:space="preserve">- </w:t>
            </w:r>
            <w:r w:rsidRPr="003A1A2C">
              <w:rPr>
                <w:rFonts w:cs="Calibri"/>
                <w:sz w:val="19"/>
                <w:szCs w:val="19"/>
                <w:lang w:val="fr-FR"/>
              </w:rPr>
              <w:t xml:space="preserve">hu - ro - sk - </w:t>
            </w:r>
            <w:r>
              <w:rPr>
                <w:rFonts w:cs="Calibri"/>
                <w:sz w:val="19"/>
                <w:szCs w:val="19"/>
                <w:lang w:val="fr-FR"/>
              </w:rPr>
              <w:t>fi)</w:t>
            </w:r>
          </w:p>
        </w:tc>
      </w:tr>
      <w:tr w:rsidR="00CC530B" w:rsidRPr="00EC68B0" w14:paraId="274E442E"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3C88F8C0" w14:textId="77777777" w:rsidR="00CC530B" w:rsidRDefault="00CC530B" w:rsidP="00D407A3">
            <w:pPr>
              <w:spacing w:before="60" w:after="60" w:line="240" w:lineRule="auto"/>
              <w:jc w:val="center"/>
              <w:rPr>
                <w:noProof/>
                <w:color w:val="003399"/>
                <w:sz w:val="19"/>
                <w:szCs w:val="19"/>
              </w:rPr>
            </w:pPr>
            <w:r>
              <w:rPr>
                <w:noProof/>
                <w:color w:val="003399"/>
                <w:sz w:val="19"/>
                <w:szCs w:val="19"/>
              </w:rPr>
              <w:drawing>
                <wp:inline distT="0" distB="0" distL="0" distR="0" wp14:anchorId="71686979" wp14:editId="4DA33A0C">
                  <wp:extent cx="1031491" cy="1449389"/>
                  <wp:effectExtent l="0" t="0" r="0" b="0"/>
                  <wp:docPr id="9" name="Picture 9" descr="http://fra.europa.eu/sites/default/files/styles/fra_small/public/fra_images/fra-2015-crpd-04-focus-cover.jpg?itok=KiaQRK0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small/public/fra_images/fra-2015-crpd-04-focus-cover.jpg?itok=KiaQRK0R">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3499" cy="145221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6DBBC4D9" w14:textId="77777777" w:rsidR="00CC530B" w:rsidRDefault="00CC530B" w:rsidP="00D407A3">
            <w:pPr>
              <w:spacing w:before="60" w:after="60" w:line="240" w:lineRule="auto"/>
              <w:rPr>
                <w:rStyle w:val="Hyperlink"/>
                <w:rFonts w:cs="Calibri"/>
                <w:b/>
                <w:sz w:val="19"/>
                <w:szCs w:val="19"/>
                <w:lang w:val="en-US"/>
              </w:rPr>
            </w:pPr>
            <w:r w:rsidRPr="00693B7A">
              <w:rPr>
                <w:rStyle w:val="Hyperlink"/>
                <w:rFonts w:cs="Calibri"/>
                <w:sz w:val="19"/>
                <w:szCs w:val="19"/>
                <w:lang w:val="en-US"/>
              </w:rPr>
              <w:t>Implementing the UN CRPD: An overview of legal reforms in EU Member States</w:t>
            </w:r>
          </w:p>
          <w:p w14:paraId="577BB6A3" w14:textId="77777777" w:rsidR="00CC530B" w:rsidRPr="00693B7A" w:rsidRDefault="00CC530B" w:rsidP="00D407A3">
            <w:pPr>
              <w:spacing w:before="60" w:after="60" w:line="240" w:lineRule="auto"/>
              <w:rPr>
                <w:rStyle w:val="Hyperlink"/>
                <w:rFonts w:cs="Calibri"/>
                <w:b/>
                <w:sz w:val="19"/>
                <w:szCs w:val="19"/>
                <w:lang w:val="en-US"/>
              </w:rPr>
            </w:pPr>
            <w:r w:rsidRPr="00693B7A">
              <w:rPr>
                <w:rStyle w:val="Hyperlink"/>
                <w:rFonts w:cs="Calibri"/>
                <w:sz w:val="19"/>
                <w:szCs w:val="19"/>
                <w:lang w:val="en-US"/>
              </w:rPr>
              <w:t>May 2015</w:t>
            </w:r>
          </w:p>
        </w:tc>
        <w:tc>
          <w:tcPr>
            <w:tcW w:w="2128" w:type="pct"/>
            <w:tcBorders>
              <w:top w:val="single" w:sz="4" w:space="0" w:color="auto"/>
              <w:bottom w:val="single" w:sz="4" w:space="0" w:color="auto"/>
            </w:tcBorders>
          </w:tcPr>
          <w:p w14:paraId="401A6428" w14:textId="77777777" w:rsidR="00CC530B" w:rsidRDefault="00CC530B" w:rsidP="00D407A3">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The</w:t>
            </w:r>
            <w:r w:rsidRPr="00693B7A">
              <w:rPr>
                <w:rFonts w:ascii="Verdana" w:hAnsi="Verdana" w:cstheme="minorHAnsi"/>
                <w:sz w:val="19"/>
                <w:szCs w:val="19"/>
              </w:rPr>
              <w:t xml:space="preserve"> Focus paper outlines how Member States across the EU have reformed their laws and policies to meet their obligations under the CRPD. By bringing together examples of such reforms, it also highlights how the adoption of international commitments can drive wide-ranging processes of change at the national level.</w:t>
            </w:r>
          </w:p>
        </w:tc>
        <w:tc>
          <w:tcPr>
            <w:tcW w:w="798" w:type="pct"/>
            <w:tcBorders>
              <w:top w:val="single" w:sz="4" w:space="0" w:color="auto"/>
              <w:bottom w:val="single" w:sz="4" w:space="0" w:color="auto"/>
            </w:tcBorders>
            <w:vAlign w:val="center"/>
          </w:tcPr>
          <w:p w14:paraId="4F811D4F" w14:textId="77777777" w:rsidR="00CC530B" w:rsidRDefault="00CC530B" w:rsidP="00D407A3">
            <w:pPr>
              <w:spacing w:before="60" w:after="60" w:line="240" w:lineRule="auto"/>
              <w:jc w:val="center"/>
              <w:rPr>
                <w:rFonts w:cs="Calibri"/>
                <w:sz w:val="19"/>
                <w:szCs w:val="19"/>
                <w:lang w:val="fr-FR"/>
              </w:rPr>
            </w:pPr>
            <w:r>
              <w:rPr>
                <w:rFonts w:cs="Calibri"/>
                <w:sz w:val="19"/>
                <w:szCs w:val="19"/>
                <w:lang w:val="fr-FR"/>
              </w:rPr>
              <w:t>en</w:t>
            </w:r>
          </w:p>
        </w:tc>
      </w:tr>
      <w:tr w:rsidR="00CC530B" w:rsidRPr="00EC68B0" w14:paraId="1B8665AC"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009A6272" w14:textId="77777777" w:rsidR="00CC530B" w:rsidRDefault="00CC530B" w:rsidP="00D407A3">
            <w:pPr>
              <w:spacing w:before="60" w:after="60" w:line="240" w:lineRule="auto"/>
              <w:jc w:val="center"/>
              <w:rPr>
                <w:noProof/>
                <w:sz w:val="19"/>
                <w:szCs w:val="19"/>
                <w:lang w:eastAsia="en-IE"/>
              </w:rPr>
            </w:pPr>
            <w:r>
              <w:rPr>
                <w:noProof/>
                <w:color w:val="003399"/>
                <w:sz w:val="19"/>
                <w:szCs w:val="19"/>
              </w:rPr>
              <w:drawing>
                <wp:inline distT="0" distB="0" distL="0" distR="0" wp14:anchorId="09F6B834" wp14:editId="59054E33">
                  <wp:extent cx="1031491" cy="1449389"/>
                  <wp:effectExtent l="0" t="0" r="0" b="0"/>
                  <wp:docPr id="4" name="Picture 4" descr="http://fra.europa.eu/sites/default/files/styles/fra_small/public/fra_images/fra-2015-focus-03-hate-crime-disability_en_cover.jpg?itok=eQaS507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a.europa.eu/sites/default/files/styles/fra_small/public/fra_images/fra-2015-focus-03-hate-crime-disability_en_cover.jpg?itok=eQaS507A">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3306" cy="146599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DBF58B3" w14:textId="77777777" w:rsidR="00CC530B" w:rsidRDefault="00CC530B" w:rsidP="00D407A3">
            <w:pPr>
              <w:spacing w:before="60" w:after="60" w:line="240" w:lineRule="auto"/>
              <w:rPr>
                <w:rStyle w:val="Hyperlink"/>
                <w:rFonts w:cs="Calibri"/>
                <w:b/>
                <w:sz w:val="19"/>
                <w:szCs w:val="19"/>
                <w:lang w:val="en-US"/>
              </w:rPr>
            </w:pPr>
            <w:r w:rsidRPr="00693B7A">
              <w:rPr>
                <w:rStyle w:val="Hyperlink"/>
                <w:rFonts w:cs="Calibri"/>
                <w:sz w:val="19"/>
                <w:szCs w:val="19"/>
                <w:lang w:val="en-US"/>
              </w:rPr>
              <w:t>Equal protection for all victims of hate crime - The case of people with disabilities</w:t>
            </w:r>
          </w:p>
          <w:p w14:paraId="70BAA816" w14:textId="77777777" w:rsidR="00CC530B" w:rsidRPr="00693B7A" w:rsidRDefault="00CC530B" w:rsidP="00D407A3">
            <w:pPr>
              <w:spacing w:before="60" w:after="60" w:line="240" w:lineRule="auto"/>
              <w:rPr>
                <w:rStyle w:val="Hyperlink"/>
                <w:rFonts w:cs="Calibri"/>
                <w:sz w:val="19"/>
                <w:szCs w:val="19"/>
                <w:lang w:val="en-US"/>
              </w:rPr>
            </w:pPr>
            <w:r w:rsidRPr="00693B7A">
              <w:rPr>
                <w:rStyle w:val="Hyperlink"/>
                <w:rFonts w:cs="Calibri"/>
                <w:sz w:val="19"/>
                <w:szCs w:val="19"/>
                <w:lang w:val="en-US"/>
              </w:rPr>
              <w:t>March 2015</w:t>
            </w:r>
          </w:p>
        </w:tc>
        <w:tc>
          <w:tcPr>
            <w:tcW w:w="2128" w:type="pct"/>
            <w:tcBorders>
              <w:top w:val="single" w:sz="4" w:space="0" w:color="auto"/>
              <w:bottom w:val="single" w:sz="4" w:space="0" w:color="auto"/>
            </w:tcBorders>
          </w:tcPr>
          <w:p w14:paraId="43CF5039" w14:textId="77777777" w:rsidR="00CC530B" w:rsidRDefault="00CC530B" w:rsidP="00D407A3">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The</w:t>
            </w:r>
            <w:r w:rsidRPr="00693B7A">
              <w:rPr>
                <w:rFonts w:ascii="Verdana" w:hAnsi="Verdana" w:cstheme="minorHAnsi"/>
                <w:sz w:val="19"/>
                <w:szCs w:val="19"/>
              </w:rPr>
              <w:t xml:space="preserve"> paper discusses the difficulties faced by people with disabilities who become victims of hate crime, and the different legal frameworks in place to protect such victims in the EU’s Member States. It ends by listing a number of suggestions for improving the situation at both the legislative and policy levels.</w:t>
            </w:r>
          </w:p>
        </w:tc>
        <w:tc>
          <w:tcPr>
            <w:tcW w:w="798" w:type="pct"/>
            <w:tcBorders>
              <w:top w:val="single" w:sz="4" w:space="0" w:color="auto"/>
              <w:bottom w:val="single" w:sz="4" w:space="0" w:color="auto"/>
            </w:tcBorders>
            <w:vAlign w:val="center"/>
          </w:tcPr>
          <w:p w14:paraId="03457AD8" w14:textId="77777777" w:rsidR="00CC530B" w:rsidRDefault="00CC530B" w:rsidP="00D407A3">
            <w:pPr>
              <w:spacing w:before="60" w:after="60" w:line="240" w:lineRule="auto"/>
              <w:jc w:val="center"/>
              <w:rPr>
                <w:rFonts w:cs="Calibri"/>
                <w:sz w:val="19"/>
                <w:szCs w:val="19"/>
                <w:lang w:val="fr-FR"/>
              </w:rPr>
            </w:pPr>
            <w:r>
              <w:rPr>
                <w:rFonts w:cs="Calibri"/>
                <w:sz w:val="19"/>
                <w:szCs w:val="19"/>
                <w:lang w:val="fr-FR"/>
              </w:rPr>
              <w:t>en</w:t>
            </w:r>
          </w:p>
        </w:tc>
      </w:tr>
      <w:tr w:rsidR="00CC530B" w:rsidRPr="00EC68B0" w14:paraId="7940E463"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0DF7299E" w14:textId="77777777" w:rsidR="00CC530B" w:rsidRPr="00EC68B0" w:rsidRDefault="00CC530B" w:rsidP="00D407A3">
            <w:pPr>
              <w:spacing w:before="60" w:after="60" w:line="240" w:lineRule="auto"/>
              <w:jc w:val="center"/>
              <w:rPr>
                <w:noProof/>
                <w:color w:val="003399"/>
                <w:sz w:val="19"/>
                <w:szCs w:val="19"/>
              </w:rPr>
            </w:pPr>
            <w:r w:rsidRPr="00EC68B0">
              <w:rPr>
                <w:noProof/>
                <w:color w:val="003399"/>
                <w:sz w:val="19"/>
                <w:szCs w:val="19"/>
              </w:rPr>
              <w:drawing>
                <wp:inline distT="0" distB="0" distL="0" distR="0" wp14:anchorId="3B95D3EB" wp14:editId="7DEFAC98">
                  <wp:extent cx="1037458" cy="1466850"/>
                  <wp:effectExtent l="0" t="0" r="0" b="0"/>
                  <wp:docPr id="3" name="Picture 3" descr="http://fra.europa.eu/sites/default/files/styles/fra_medium/public/fra_images/fra-2014-right-political-participation-persons-disabilities-cover.jpg">
                    <a:hlinkClick xmlns:a="http://schemas.openxmlformats.org/drawingml/2006/main" r:id="rId65"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65" tooltip="&quot;&lt;br&gt;FRA 2014&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1066026" cy="150724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E044A5E"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sz w:val="19"/>
                <w:szCs w:val="19"/>
                <w:lang w:val="en-US"/>
              </w:rPr>
              <w:t xml:space="preserve">The right to political participation for persons with disabilities: human rights indicators </w:t>
            </w:r>
          </w:p>
          <w:p w14:paraId="65A5EC49" w14:textId="77777777" w:rsidR="00CC530B" w:rsidRPr="00EC68B0" w:rsidRDefault="00CC530B" w:rsidP="00D407A3">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May 2014</w:t>
            </w:r>
          </w:p>
          <w:p w14:paraId="29669B31" w14:textId="77777777" w:rsidR="00CC530B" w:rsidRPr="00EC68B0" w:rsidRDefault="00CC530B" w:rsidP="00D407A3">
            <w:pPr>
              <w:spacing w:before="60" w:after="60" w:line="240" w:lineRule="auto"/>
              <w:rPr>
                <w:rStyle w:val="Hyperlink"/>
                <w:rFonts w:cs="Calibri"/>
                <w:b/>
                <w:sz w:val="19"/>
                <w:szCs w:val="19"/>
                <w:lang w:val="en-US"/>
              </w:rPr>
            </w:pPr>
          </w:p>
        </w:tc>
        <w:tc>
          <w:tcPr>
            <w:tcW w:w="2128" w:type="pct"/>
            <w:tcBorders>
              <w:top w:val="single" w:sz="4" w:space="0" w:color="auto"/>
              <w:bottom w:val="single" w:sz="4" w:space="0" w:color="auto"/>
            </w:tcBorders>
          </w:tcPr>
          <w:p w14:paraId="605C6524" w14:textId="77777777" w:rsidR="00CC530B" w:rsidRPr="00D72935"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The opportunity to be involved in political life, whether by standing for elected office, joining a political party, or following political news stories in the media, is at the heart of what it means to live in a democratic society. The report analyses data on the situation of political participation of persons with disabilities collected from across the 28 EU Member States by the FRA and the European Commission-funded Academic Network of </w:t>
            </w:r>
            <w:r w:rsidRPr="00D72935">
              <w:rPr>
                <w:rFonts w:ascii="Verdana" w:hAnsi="Verdana" w:cstheme="minorHAnsi"/>
                <w:sz w:val="19"/>
                <w:szCs w:val="19"/>
              </w:rPr>
              <w:t>European Disability Experts (ANED).</w:t>
            </w:r>
          </w:p>
          <w:p w14:paraId="53A0F4B6"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 xml:space="preserve">Data visualisation of the 28 human rights indicators is also available </w:t>
            </w:r>
            <w:r>
              <w:rPr>
                <w:rFonts w:ascii="Verdana" w:hAnsi="Verdana" w:cstheme="minorHAnsi"/>
                <w:sz w:val="19"/>
                <w:szCs w:val="19"/>
              </w:rPr>
              <w:lastRenderedPageBreak/>
              <w:t>online</w:t>
            </w:r>
            <w:r w:rsidRPr="00D72935">
              <w:rPr>
                <w:rFonts w:ascii="Verdana" w:hAnsi="Verdana" w:cstheme="minorHAnsi"/>
                <w:sz w:val="19"/>
                <w:szCs w:val="19"/>
              </w:rPr>
              <w:t>.</w:t>
            </w:r>
          </w:p>
        </w:tc>
        <w:tc>
          <w:tcPr>
            <w:tcW w:w="798" w:type="pct"/>
            <w:tcBorders>
              <w:top w:val="single" w:sz="4" w:space="0" w:color="auto"/>
              <w:bottom w:val="single" w:sz="4" w:space="0" w:color="auto"/>
            </w:tcBorders>
            <w:vAlign w:val="center"/>
          </w:tcPr>
          <w:p w14:paraId="60D8D3C4" w14:textId="77777777" w:rsidR="00CC530B" w:rsidRPr="00EC68B0" w:rsidRDefault="00CC530B" w:rsidP="00D407A3">
            <w:pPr>
              <w:spacing w:before="60" w:after="60" w:line="240" w:lineRule="auto"/>
              <w:jc w:val="center"/>
              <w:rPr>
                <w:rFonts w:cs="Calibri"/>
                <w:sz w:val="19"/>
                <w:szCs w:val="19"/>
                <w:lang w:val="fr-FR"/>
              </w:rPr>
            </w:pPr>
            <w:r w:rsidRPr="00EC68B0">
              <w:rPr>
                <w:rFonts w:cs="Calibri"/>
                <w:sz w:val="19"/>
                <w:szCs w:val="19"/>
                <w:lang w:val="fr-FR"/>
              </w:rPr>
              <w:lastRenderedPageBreak/>
              <w:t>en</w:t>
            </w:r>
          </w:p>
        </w:tc>
      </w:tr>
      <w:tr w:rsidR="00CC530B" w:rsidRPr="00C079AE" w14:paraId="2AC0039E" w14:textId="77777777" w:rsidTr="00D407A3">
        <w:trPr>
          <w:trHeight w:val="2475"/>
        </w:trPr>
        <w:tc>
          <w:tcPr>
            <w:tcW w:w="916" w:type="pct"/>
            <w:tcBorders>
              <w:top w:val="single" w:sz="4" w:space="0" w:color="auto"/>
              <w:bottom w:val="single" w:sz="4" w:space="0" w:color="auto"/>
            </w:tcBorders>
            <w:shd w:val="clear" w:color="auto" w:fill="D9D9D9" w:themeFill="background1" w:themeFillShade="D9"/>
          </w:tcPr>
          <w:p w14:paraId="4986902B" w14:textId="77777777" w:rsidR="00CC530B" w:rsidRPr="00EC68B0" w:rsidRDefault="00CC530B" w:rsidP="00D407A3">
            <w:pPr>
              <w:spacing w:line="360" w:lineRule="atLeast"/>
              <w:rPr>
                <w:color w:val="333333"/>
                <w:sz w:val="19"/>
                <w:szCs w:val="19"/>
                <w:lang w:val="en"/>
              </w:rPr>
            </w:pPr>
            <w:r w:rsidRPr="00EC68B0">
              <w:rPr>
                <w:noProof/>
                <w:color w:val="003399"/>
                <w:sz w:val="19"/>
                <w:szCs w:val="19"/>
              </w:rPr>
              <w:lastRenderedPageBreak/>
              <w:drawing>
                <wp:inline distT="0" distB="0" distL="0" distR="0" wp14:anchorId="6EBD3555" wp14:editId="6BB3F04B">
                  <wp:extent cx="1080000" cy="1479600"/>
                  <wp:effectExtent l="0" t="0" r="6350" b="6350"/>
                  <wp:docPr id="6" name="Picture 6" descr="http://fra.europa.eu/sites/default/files/styles/fra_medium/public/fra_images/fra-2014-political-participation-persons-disabilities-summary-cover_en.jpg">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4-political-participation-persons-disabilities-summary-cover_en.jpg">
                            <a:hlinkClick r:id="rId67"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0000" cy="1479600"/>
                          </a:xfrm>
                          <a:prstGeom prst="rect">
                            <a:avLst/>
                          </a:prstGeom>
                          <a:noFill/>
                          <a:ln>
                            <a:noFill/>
                          </a:ln>
                        </pic:spPr>
                      </pic:pic>
                    </a:graphicData>
                  </a:graphic>
                </wp:inline>
              </w:drawing>
            </w:r>
          </w:p>
          <w:p w14:paraId="4A55922B" w14:textId="77777777" w:rsidR="00CC530B" w:rsidRPr="00EC68B0" w:rsidRDefault="00CC530B" w:rsidP="00D407A3">
            <w:pPr>
              <w:spacing w:before="60" w:after="60" w:line="240" w:lineRule="auto"/>
              <w:jc w:val="center"/>
              <w:rPr>
                <w:noProof/>
                <w:color w:val="003399"/>
                <w:sz w:val="19"/>
                <w:szCs w:val="19"/>
              </w:rPr>
            </w:pPr>
          </w:p>
        </w:tc>
        <w:tc>
          <w:tcPr>
            <w:tcW w:w="1158" w:type="pct"/>
            <w:tcBorders>
              <w:top w:val="single" w:sz="4" w:space="0" w:color="auto"/>
              <w:bottom w:val="single" w:sz="4" w:space="0" w:color="auto"/>
            </w:tcBorders>
          </w:tcPr>
          <w:p w14:paraId="4FD55F93"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sz w:val="19"/>
                <w:szCs w:val="19"/>
                <w:lang w:val="en-US"/>
              </w:rPr>
              <w:t xml:space="preserve">Summary report: </w:t>
            </w:r>
          </w:p>
          <w:p w14:paraId="47C07014"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sz w:val="19"/>
                <w:szCs w:val="19"/>
                <w:lang w:val="en-US"/>
              </w:rPr>
              <w:t>The right to political participation of persons with disabilities</w:t>
            </w:r>
          </w:p>
          <w:p w14:paraId="3C989BC3" w14:textId="77777777" w:rsidR="00CC530B" w:rsidRPr="00EC68B0" w:rsidRDefault="00CC530B" w:rsidP="00D407A3">
            <w:pPr>
              <w:spacing w:before="60" w:after="60" w:line="240" w:lineRule="auto"/>
              <w:rPr>
                <w:rStyle w:val="Hyperlink"/>
                <w:rFonts w:cs="Calibri"/>
                <w:sz w:val="19"/>
                <w:szCs w:val="19"/>
                <w:lang w:val="en-US"/>
              </w:rPr>
            </w:pPr>
            <w:r w:rsidRPr="00EC68B0">
              <w:rPr>
                <w:rStyle w:val="Hyperlink"/>
                <w:rFonts w:cs="Calibri"/>
                <w:kern w:val="36"/>
                <w:sz w:val="19"/>
                <w:szCs w:val="19"/>
                <w:lang w:eastAsia="en-IE"/>
              </w:rPr>
              <w:t>May 2014</w:t>
            </w:r>
          </w:p>
        </w:tc>
        <w:tc>
          <w:tcPr>
            <w:tcW w:w="2128" w:type="pct"/>
            <w:tcBorders>
              <w:top w:val="single" w:sz="4" w:space="0" w:color="auto"/>
              <w:bottom w:val="single" w:sz="4" w:space="0" w:color="auto"/>
            </w:tcBorders>
          </w:tcPr>
          <w:p w14:paraId="459C6247"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The human rights indicators presented in the report show that legal and administrative barriers, inaccessible processes and information, and a lack of awareness about political rights can deny persons with disabilities the opportunity to participate in the political lives of their communities. </w:t>
            </w:r>
          </w:p>
        </w:tc>
        <w:tc>
          <w:tcPr>
            <w:tcW w:w="798" w:type="pct"/>
            <w:tcBorders>
              <w:top w:val="single" w:sz="4" w:space="0" w:color="auto"/>
              <w:bottom w:val="single" w:sz="4" w:space="0" w:color="auto"/>
            </w:tcBorders>
            <w:vAlign w:val="center"/>
          </w:tcPr>
          <w:p w14:paraId="1B7320DA" w14:textId="77777777" w:rsidR="00CC530B" w:rsidRPr="00EC68B0" w:rsidRDefault="00CC530B" w:rsidP="00D407A3">
            <w:pPr>
              <w:spacing w:before="60" w:after="60" w:line="240" w:lineRule="auto"/>
              <w:jc w:val="center"/>
              <w:rPr>
                <w:rFonts w:cs="Calibri"/>
                <w:sz w:val="19"/>
                <w:szCs w:val="19"/>
                <w:lang w:val="fr-FR"/>
              </w:rPr>
            </w:pPr>
            <w:r w:rsidRPr="00EC68B0">
              <w:rPr>
                <w:rFonts w:cs="Calibri"/>
                <w:sz w:val="19"/>
                <w:szCs w:val="19"/>
                <w:lang w:val="fr-FR"/>
              </w:rPr>
              <w:t xml:space="preserve">bg - cs - da - de </w:t>
            </w:r>
            <w:r>
              <w:rPr>
                <w:rFonts w:cs="Calibri"/>
                <w:sz w:val="19"/>
                <w:szCs w:val="19"/>
                <w:lang w:val="fr-FR"/>
              </w:rPr>
              <w:t>-</w:t>
            </w:r>
            <w:r w:rsidRPr="00EC68B0">
              <w:rPr>
                <w:rFonts w:cs="Calibri"/>
                <w:sz w:val="19"/>
                <w:szCs w:val="19"/>
                <w:lang w:val="fr-FR"/>
              </w:rPr>
              <w:t xml:space="preserve"> </w:t>
            </w:r>
            <w:r>
              <w:rPr>
                <w:rFonts w:cs="Calibri"/>
                <w:sz w:val="19"/>
                <w:szCs w:val="19"/>
                <w:lang w:val="fr-FR"/>
              </w:rPr>
              <w:t xml:space="preserve">en - </w:t>
            </w:r>
            <w:r w:rsidRPr="00EC68B0">
              <w:rPr>
                <w:rFonts w:cs="Calibri"/>
                <w:sz w:val="19"/>
                <w:szCs w:val="19"/>
                <w:lang w:val="fr-FR"/>
              </w:rPr>
              <w:t>et - el - es - fr - hr- it - lv - lt - hu - nl - pl - pt - ro - sk - sl - fi - sv</w:t>
            </w:r>
          </w:p>
        </w:tc>
      </w:tr>
      <w:tr w:rsidR="00CC530B" w:rsidRPr="00C079AE" w14:paraId="4EC3E4E3"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2357959F" w14:textId="77777777" w:rsidR="00CC530B" w:rsidRPr="00EC68B0" w:rsidRDefault="00CC530B" w:rsidP="00D407A3">
            <w:pPr>
              <w:spacing w:before="60" w:after="60" w:line="240" w:lineRule="auto"/>
              <w:jc w:val="center"/>
              <w:rPr>
                <w:noProof/>
                <w:sz w:val="19"/>
                <w:szCs w:val="19"/>
                <w:lang w:eastAsia="en-IE"/>
              </w:rPr>
            </w:pPr>
            <w:r w:rsidRPr="00EC68B0">
              <w:rPr>
                <w:noProof/>
                <w:color w:val="003399"/>
                <w:sz w:val="19"/>
                <w:szCs w:val="19"/>
              </w:rPr>
              <w:drawing>
                <wp:inline distT="0" distB="0" distL="0" distR="0" wp14:anchorId="7116552B" wp14:editId="00CE506E">
                  <wp:extent cx="1123220" cy="802300"/>
                  <wp:effectExtent l="0" t="0" r="1270" b="0"/>
                  <wp:docPr id="14" name="Picture 14" descr="FRA's range of right to vote infographics for people with disabilities">
                    <a:hlinkClick xmlns:a="http://schemas.openxmlformats.org/drawingml/2006/main" r:id="rId69"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69" tooltip="&quot;FRA's range of right to vote infographics for people with disabilities&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9796" cy="828425"/>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7213CAB4"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sz w:val="19"/>
                <w:szCs w:val="19"/>
                <w:lang w:val="en-US"/>
              </w:rPr>
              <w:t>Infographics on voting rights of people with disabilities</w:t>
            </w:r>
          </w:p>
          <w:p w14:paraId="7C544257"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kern w:val="36"/>
                <w:sz w:val="19"/>
                <w:szCs w:val="19"/>
                <w:lang w:eastAsia="en-IE"/>
              </w:rPr>
              <w:t>September 2014</w:t>
            </w:r>
          </w:p>
        </w:tc>
        <w:tc>
          <w:tcPr>
            <w:tcW w:w="2128" w:type="pct"/>
            <w:tcBorders>
              <w:top w:val="single" w:sz="4" w:space="0" w:color="auto"/>
              <w:bottom w:val="single" w:sz="4" w:space="0" w:color="auto"/>
            </w:tcBorders>
          </w:tcPr>
          <w:p w14:paraId="4781F3A0"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Style w:val="Hyperlink"/>
                <w:rFonts w:cs="Calibri"/>
                <w:sz w:val="19"/>
                <w:szCs w:val="19"/>
                <w:lang w:val="en-US"/>
              </w:rPr>
              <w:t>FRA has developed a family of five infographics to help raise awareness of the voting rights of people with disabilities. Each infographic targets a different audience and draws on FRA research into the right to political participation of people with disabilities.</w:t>
            </w:r>
          </w:p>
        </w:tc>
        <w:tc>
          <w:tcPr>
            <w:tcW w:w="798" w:type="pct"/>
            <w:tcBorders>
              <w:top w:val="single" w:sz="4" w:space="0" w:color="auto"/>
              <w:bottom w:val="single" w:sz="4" w:space="0" w:color="auto"/>
            </w:tcBorders>
            <w:vAlign w:val="center"/>
          </w:tcPr>
          <w:p w14:paraId="5F6C09E1" w14:textId="77777777" w:rsidR="00CC530B" w:rsidRPr="00EC68B0" w:rsidRDefault="00CC530B" w:rsidP="00D407A3">
            <w:pPr>
              <w:spacing w:before="60" w:after="60" w:line="240" w:lineRule="auto"/>
              <w:jc w:val="center"/>
              <w:rPr>
                <w:rFonts w:cs="Calibri"/>
                <w:sz w:val="19"/>
                <w:szCs w:val="19"/>
                <w:lang w:val="fr-FR"/>
              </w:rPr>
            </w:pPr>
            <w:r w:rsidRPr="00EC68B0">
              <w:rPr>
                <w:rFonts w:cs="Calibri"/>
                <w:sz w:val="19"/>
                <w:szCs w:val="19"/>
                <w:lang w:val="fr-FR"/>
              </w:rPr>
              <w:t xml:space="preserve">bg - cs - da - de </w:t>
            </w:r>
            <w:r>
              <w:rPr>
                <w:rFonts w:cs="Calibri"/>
                <w:sz w:val="19"/>
                <w:szCs w:val="19"/>
                <w:lang w:val="fr-FR"/>
              </w:rPr>
              <w:t>–</w:t>
            </w:r>
            <w:r w:rsidRPr="00EC68B0">
              <w:rPr>
                <w:rFonts w:cs="Calibri"/>
                <w:sz w:val="19"/>
                <w:szCs w:val="19"/>
                <w:lang w:val="fr-FR"/>
              </w:rPr>
              <w:t xml:space="preserve"> </w:t>
            </w:r>
            <w:r>
              <w:rPr>
                <w:rFonts w:cs="Calibri"/>
                <w:sz w:val="19"/>
                <w:szCs w:val="19"/>
                <w:lang w:val="fr-FR"/>
              </w:rPr>
              <w:t xml:space="preserve">en - </w:t>
            </w:r>
            <w:r w:rsidRPr="00EC68B0">
              <w:rPr>
                <w:rFonts w:cs="Calibri"/>
                <w:sz w:val="19"/>
                <w:szCs w:val="19"/>
                <w:lang w:val="fr-FR"/>
              </w:rPr>
              <w:t>et - el - es - fr - hr- it - lv - lt - hu - nl - pl - pt - ro - sk - sl - fi - sv</w:t>
            </w:r>
          </w:p>
        </w:tc>
      </w:tr>
      <w:tr w:rsidR="00CC530B" w:rsidRPr="00EC68B0" w14:paraId="3DEA77DC" w14:textId="77777777" w:rsidTr="00D407A3">
        <w:trPr>
          <w:trHeight w:val="595"/>
        </w:trPr>
        <w:tc>
          <w:tcPr>
            <w:tcW w:w="916" w:type="pct"/>
            <w:tcBorders>
              <w:top w:val="single" w:sz="4" w:space="0" w:color="auto"/>
              <w:bottom w:val="single" w:sz="4" w:space="0" w:color="auto"/>
            </w:tcBorders>
            <w:shd w:val="clear" w:color="auto" w:fill="D9D9D9" w:themeFill="background1" w:themeFillShade="D9"/>
          </w:tcPr>
          <w:p w14:paraId="4C30C4BC" w14:textId="77777777" w:rsidR="00CC530B" w:rsidRPr="00EC68B0" w:rsidRDefault="00CC530B" w:rsidP="00D407A3">
            <w:pPr>
              <w:spacing w:before="60" w:after="60" w:line="240" w:lineRule="auto"/>
              <w:jc w:val="center"/>
            </w:pPr>
            <w:r w:rsidRPr="00EC68B0">
              <w:object w:dxaOrig="9345" w:dyaOrig="13215" w14:anchorId="26F4D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114.7pt" o:ole="">
                  <v:imagedata r:id="rId71" o:title=""/>
                </v:shape>
                <o:OLEObject Type="Embed" ProgID="PBrush" ShapeID="_x0000_i1025" DrawAspect="Content" ObjectID="_1556115915" r:id="rId72"/>
              </w:object>
            </w:r>
          </w:p>
        </w:tc>
        <w:tc>
          <w:tcPr>
            <w:tcW w:w="1158" w:type="pct"/>
            <w:tcBorders>
              <w:top w:val="single" w:sz="4" w:space="0" w:color="auto"/>
              <w:bottom w:val="single" w:sz="4" w:space="0" w:color="auto"/>
            </w:tcBorders>
          </w:tcPr>
          <w:p w14:paraId="05F84C33" w14:textId="77777777" w:rsidR="00CC530B" w:rsidRPr="00EC68B0" w:rsidRDefault="00CC530B" w:rsidP="00D407A3">
            <w:pPr>
              <w:spacing w:before="60" w:after="60" w:line="240" w:lineRule="auto"/>
              <w:rPr>
                <w:rFonts w:cs="Calibri"/>
                <w:b/>
                <w:sz w:val="19"/>
                <w:szCs w:val="19"/>
              </w:rPr>
            </w:pPr>
            <w:r w:rsidRPr="00EC68B0">
              <w:rPr>
                <w:rFonts w:cs="Calibri"/>
                <w:b/>
                <w:sz w:val="19"/>
                <w:szCs w:val="19"/>
              </w:rPr>
              <w:t>Legal capacity of persons with intellectual disabilities and persons with mental health problems</w:t>
            </w:r>
          </w:p>
          <w:p w14:paraId="218FE339" w14:textId="77777777" w:rsidR="00CC530B" w:rsidRPr="00EC68B0" w:rsidRDefault="00CC530B" w:rsidP="00D407A3">
            <w:pPr>
              <w:spacing w:before="60" w:after="60" w:line="240" w:lineRule="auto"/>
              <w:rPr>
                <w:rStyle w:val="Hyperlink"/>
                <w:rFonts w:cs="Calibri"/>
                <w:b/>
                <w:sz w:val="19"/>
                <w:szCs w:val="19"/>
                <w:lang w:val="en-US"/>
              </w:rPr>
            </w:pPr>
            <w:r w:rsidRPr="00EC68B0">
              <w:rPr>
                <w:rStyle w:val="Hyperlink"/>
                <w:rFonts w:cs="Calibri"/>
                <w:kern w:val="36"/>
                <w:sz w:val="19"/>
                <w:szCs w:val="19"/>
                <w:lang w:eastAsia="en-IE"/>
              </w:rPr>
              <w:t>July 2013</w:t>
            </w:r>
          </w:p>
        </w:tc>
        <w:tc>
          <w:tcPr>
            <w:tcW w:w="2128" w:type="pct"/>
            <w:tcBorders>
              <w:top w:val="single" w:sz="4" w:space="0" w:color="auto"/>
              <w:bottom w:val="single" w:sz="4" w:space="0" w:color="auto"/>
            </w:tcBorders>
          </w:tcPr>
          <w:p w14:paraId="280CB902"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conditions. </w:t>
            </w:r>
          </w:p>
          <w:p w14:paraId="0B223727"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This report analyses the current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98" w:type="pct"/>
            <w:tcBorders>
              <w:top w:val="single" w:sz="4" w:space="0" w:color="auto"/>
              <w:bottom w:val="single" w:sz="4" w:space="0" w:color="auto"/>
            </w:tcBorders>
            <w:vAlign w:val="center"/>
          </w:tcPr>
          <w:p w14:paraId="3AAA9A33" w14:textId="77777777" w:rsidR="00CC530B" w:rsidRPr="00EC68B0" w:rsidRDefault="00CC530B" w:rsidP="00D407A3">
            <w:pPr>
              <w:spacing w:before="60" w:after="60" w:line="240" w:lineRule="auto"/>
              <w:jc w:val="center"/>
              <w:rPr>
                <w:rFonts w:cs="Calibri"/>
                <w:sz w:val="19"/>
                <w:szCs w:val="19"/>
                <w:lang w:val="fr-FR"/>
              </w:rPr>
            </w:pPr>
            <w:r>
              <w:rPr>
                <w:rFonts w:cs="Calibri"/>
                <w:sz w:val="19"/>
                <w:szCs w:val="19"/>
                <w:lang w:val="fr-FR"/>
              </w:rPr>
              <w:t xml:space="preserve">en </w:t>
            </w:r>
            <w:r>
              <w:rPr>
                <w:rFonts w:cs="Calibri"/>
                <w:sz w:val="19"/>
                <w:szCs w:val="19"/>
                <w:lang w:val="fr-FR"/>
              </w:rPr>
              <w:softHyphen/>
              <w:t>-</w:t>
            </w:r>
            <w:r w:rsidRPr="00EC68B0">
              <w:rPr>
                <w:rFonts w:cs="Calibri"/>
                <w:sz w:val="19"/>
                <w:szCs w:val="19"/>
                <w:lang w:val="fr-FR"/>
              </w:rPr>
              <w:t xml:space="preserve"> de </w:t>
            </w:r>
            <w:r>
              <w:rPr>
                <w:rFonts w:cs="Calibri"/>
                <w:sz w:val="19"/>
                <w:szCs w:val="19"/>
                <w:lang w:val="fr-FR"/>
              </w:rPr>
              <w:t>-</w:t>
            </w:r>
            <w:r w:rsidRPr="00EC68B0">
              <w:rPr>
                <w:rFonts w:cs="Calibri"/>
                <w:sz w:val="19"/>
                <w:szCs w:val="19"/>
                <w:lang w:val="fr-FR"/>
              </w:rPr>
              <w:t xml:space="preserve"> fr</w:t>
            </w:r>
          </w:p>
        </w:tc>
      </w:tr>
      <w:tr w:rsidR="00CC530B" w:rsidRPr="00C079AE" w14:paraId="596A6BB9" w14:textId="77777777" w:rsidTr="00D407A3">
        <w:trPr>
          <w:trHeight w:val="2752"/>
        </w:trPr>
        <w:tc>
          <w:tcPr>
            <w:tcW w:w="916" w:type="pct"/>
            <w:tcBorders>
              <w:top w:val="single" w:sz="4" w:space="0" w:color="auto"/>
              <w:bottom w:val="single" w:sz="4" w:space="0" w:color="auto"/>
            </w:tcBorders>
            <w:shd w:val="clear" w:color="auto" w:fill="D9D9D9" w:themeFill="background1" w:themeFillShade="D9"/>
          </w:tcPr>
          <w:p w14:paraId="67050AE3" w14:textId="77777777" w:rsidR="00CC530B" w:rsidRPr="00EC68B0" w:rsidRDefault="00CC530B" w:rsidP="00D407A3">
            <w:pPr>
              <w:spacing w:before="60" w:after="60" w:line="240" w:lineRule="auto"/>
              <w:jc w:val="center"/>
            </w:pPr>
            <w:r w:rsidRPr="00EC68B0">
              <w:object w:dxaOrig="9645" w:dyaOrig="14055" w14:anchorId="1B19C1A8">
                <v:shape id="_x0000_i1026" type="#_x0000_t75" style="width:86.25pt;height:122.25pt" o:ole="">
                  <v:imagedata r:id="rId73" o:title=""/>
                </v:shape>
                <o:OLEObject Type="Embed" ProgID="PBrush" ShapeID="_x0000_i1026" DrawAspect="Content" ObjectID="_1556115916" r:id="rId74"/>
              </w:object>
            </w:r>
          </w:p>
        </w:tc>
        <w:tc>
          <w:tcPr>
            <w:tcW w:w="1158" w:type="pct"/>
            <w:tcBorders>
              <w:top w:val="single" w:sz="4" w:space="0" w:color="auto"/>
              <w:bottom w:val="single" w:sz="4" w:space="0" w:color="auto"/>
            </w:tcBorders>
          </w:tcPr>
          <w:p w14:paraId="477F89BF" w14:textId="77777777" w:rsidR="00CC530B" w:rsidRPr="00EC68B0" w:rsidRDefault="00CC530B" w:rsidP="00D407A3">
            <w:pPr>
              <w:spacing w:before="60" w:after="60" w:line="240" w:lineRule="auto"/>
              <w:rPr>
                <w:rFonts w:cs="Calibri"/>
                <w:b/>
                <w:sz w:val="19"/>
                <w:szCs w:val="19"/>
              </w:rPr>
            </w:pPr>
            <w:r w:rsidRPr="00EC68B0">
              <w:rPr>
                <w:rFonts w:cs="Calibri"/>
                <w:b/>
                <w:sz w:val="19"/>
                <w:szCs w:val="19"/>
              </w:rPr>
              <w:t xml:space="preserve">Factsheet: </w:t>
            </w:r>
          </w:p>
          <w:p w14:paraId="02D431B7" w14:textId="77777777" w:rsidR="00CC530B" w:rsidRPr="00EC68B0" w:rsidRDefault="00CC530B" w:rsidP="00D407A3">
            <w:pPr>
              <w:spacing w:before="60" w:after="60" w:line="240" w:lineRule="auto"/>
              <w:rPr>
                <w:rFonts w:cs="Calibri"/>
                <w:b/>
                <w:sz w:val="19"/>
                <w:szCs w:val="19"/>
              </w:rPr>
            </w:pPr>
            <w:r w:rsidRPr="00EC68B0">
              <w:rPr>
                <w:rFonts w:cs="Calibri"/>
                <w:b/>
                <w:sz w:val="19"/>
                <w:szCs w:val="19"/>
              </w:rPr>
              <w:t>Legal capacity of persons with intellectual disabilities and persons with mental health problems</w:t>
            </w:r>
          </w:p>
          <w:p w14:paraId="2183FE57" w14:textId="77777777" w:rsidR="00CC530B" w:rsidRPr="00EC68B0" w:rsidRDefault="00CC530B" w:rsidP="00D407A3">
            <w:pPr>
              <w:spacing w:before="60" w:after="60" w:line="240" w:lineRule="auto"/>
              <w:rPr>
                <w:rFonts w:cs="Calibri"/>
                <w:b/>
                <w:sz w:val="19"/>
                <w:szCs w:val="19"/>
              </w:rPr>
            </w:pPr>
            <w:r w:rsidRPr="00EC68B0">
              <w:rPr>
                <w:rStyle w:val="Hyperlink"/>
                <w:rFonts w:cs="Calibri"/>
                <w:kern w:val="36"/>
                <w:sz w:val="19"/>
                <w:szCs w:val="19"/>
                <w:lang w:eastAsia="en-IE"/>
              </w:rPr>
              <w:t>October 2013</w:t>
            </w:r>
          </w:p>
        </w:tc>
        <w:tc>
          <w:tcPr>
            <w:tcW w:w="2128" w:type="pct"/>
            <w:tcBorders>
              <w:top w:val="single" w:sz="4" w:space="0" w:color="auto"/>
              <w:bottom w:val="single" w:sz="4" w:space="0" w:color="auto"/>
            </w:tcBorders>
          </w:tcPr>
          <w:p w14:paraId="5FC126AC" w14:textId="77777777" w:rsidR="00CC530B" w:rsidRPr="00EC68B0" w:rsidRDefault="00CC530B" w:rsidP="00D407A3">
            <w:pPr>
              <w:pStyle w:val="NormalWeb"/>
              <w:spacing w:before="60" w:after="60"/>
              <w:jc w:val="both"/>
              <w:rPr>
                <w:rFonts w:ascii="Verdana" w:hAnsi="Verdana" w:cstheme="minorHAnsi"/>
                <w:sz w:val="19"/>
                <w:szCs w:val="19"/>
              </w:rPr>
            </w:pPr>
            <w:r w:rsidRPr="00EC68B0">
              <w:rPr>
                <w:rFonts w:ascii="Verdana" w:hAnsi="Verdana" w:cstheme="minorHAnsi"/>
                <w:sz w:val="19"/>
                <w:szCs w:val="19"/>
              </w:rPr>
              <w:t xml:space="preserve">This factsheet presents the key challenges identified by the FRA report on </w:t>
            </w:r>
            <w:r w:rsidRPr="00EC68B0">
              <w:rPr>
                <w:rFonts w:ascii="Verdana" w:hAnsi="Verdana" w:cstheme="minorHAnsi"/>
                <w:i/>
                <w:sz w:val="19"/>
                <w:szCs w:val="19"/>
              </w:rPr>
              <w:t>Legal capacity of persons with intellectual disabilities and persons with mental health problems</w:t>
            </w:r>
            <w:r w:rsidRPr="00EC68B0">
              <w:rPr>
                <w:rFonts w:ascii="Verdana" w:hAnsi="Verdana" w:cstheme="minorHAnsi"/>
                <w:sz w:val="19"/>
                <w:szCs w:val="19"/>
              </w:rPr>
              <w:t xml:space="preserve">. </w:t>
            </w:r>
            <w:r>
              <w:rPr>
                <w:rFonts w:ascii="Verdana" w:hAnsi="Verdana" w:cstheme="minorHAnsi"/>
                <w:sz w:val="19"/>
                <w:szCs w:val="19"/>
              </w:rPr>
              <w:br/>
            </w:r>
            <w:r w:rsidRPr="00EC68B0">
              <w:rPr>
                <w:rFonts w:ascii="Verdana" w:hAnsi="Verdana" w:cstheme="minorHAnsi"/>
                <w:sz w:val="19"/>
                <w:szCs w:val="19"/>
                <w:lang w:val="en"/>
              </w:rPr>
              <w:t>The entry into force of the CRPD has prompted discussions about the current legal frameworks governing legal capacity in the EU Member States, aiming at developing models based on supported decision making which promote the independence and autonomy of persons with disabilities.</w:t>
            </w:r>
          </w:p>
        </w:tc>
        <w:tc>
          <w:tcPr>
            <w:tcW w:w="798" w:type="pct"/>
            <w:tcBorders>
              <w:top w:val="single" w:sz="4" w:space="0" w:color="auto"/>
              <w:bottom w:val="single" w:sz="4" w:space="0" w:color="auto"/>
            </w:tcBorders>
            <w:vAlign w:val="center"/>
          </w:tcPr>
          <w:p w14:paraId="0FF587E1" w14:textId="77777777" w:rsidR="00CC530B" w:rsidRPr="00EC68B0" w:rsidRDefault="00CC530B" w:rsidP="00D407A3">
            <w:pPr>
              <w:spacing w:before="60" w:after="60" w:line="240" w:lineRule="auto"/>
              <w:jc w:val="center"/>
              <w:rPr>
                <w:rFonts w:cs="Calibri"/>
                <w:sz w:val="19"/>
                <w:szCs w:val="19"/>
                <w:lang w:val="fr-FR"/>
              </w:rPr>
            </w:pPr>
            <w:r w:rsidRPr="00EC68B0">
              <w:rPr>
                <w:rFonts w:cs="Calibri"/>
                <w:sz w:val="19"/>
                <w:szCs w:val="19"/>
                <w:lang w:val="fr-FR"/>
              </w:rPr>
              <w:t>bg - cs - da - de - en - et - el - es - fr - hr- it - lv - lt - hu - nl - pl - pt - ro - sk - sl - fi - sv</w:t>
            </w:r>
          </w:p>
        </w:tc>
      </w:tr>
      <w:tr w:rsidR="00CC530B" w:rsidRPr="00EC68B0" w14:paraId="565AB193"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62B37FC2" w14:textId="77777777" w:rsidR="00CC530B" w:rsidRPr="00EC68B0" w:rsidRDefault="00CC530B" w:rsidP="00D407A3">
            <w:pPr>
              <w:spacing w:before="60" w:after="60" w:line="240" w:lineRule="auto"/>
              <w:jc w:val="center"/>
              <w:rPr>
                <w:noProof/>
                <w:sz w:val="19"/>
                <w:szCs w:val="19"/>
                <w:lang w:val="en-US"/>
              </w:rPr>
            </w:pPr>
            <w:r w:rsidRPr="00EC68B0">
              <w:rPr>
                <w:noProof/>
                <w:sz w:val="19"/>
                <w:szCs w:val="19"/>
              </w:rPr>
              <w:drawing>
                <wp:inline distT="0" distB="0" distL="0" distR="0" wp14:anchorId="05F03E8B" wp14:editId="6C9BFEE9">
                  <wp:extent cx="1045854" cy="149605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1046446" cy="1496903"/>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1B39105E"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Involuntary placement and involuntary treatment of persons with mental health problems</w:t>
            </w:r>
          </w:p>
          <w:p w14:paraId="7735A649" w14:textId="77777777" w:rsidR="00CC530B" w:rsidRPr="00EC68B0" w:rsidRDefault="00CC530B" w:rsidP="00D407A3">
            <w:pPr>
              <w:spacing w:before="60" w:after="60" w:line="240" w:lineRule="auto"/>
              <w:rPr>
                <w:rStyle w:val="Hyperlink"/>
                <w:rFonts w:cs="Calibri"/>
                <w:sz w:val="19"/>
                <w:szCs w:val="19"/>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60392AF0"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Involuntary placement and involuntary treatment of persons with mental health problems affects the most fundamental of rights, including the right to liberty and the right to freedom from torture. Strict safeguards at United Nations and European level attempt to limit undue interference with such rights. </w:t>
            </w:r>
          </w:p>
          <w:p w14:paraId="0C313319"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This report analyses the shifting legal panorama and, informed by fieldwork in nine EU Member States on the actual experiences of those involuntarily placed and treated and other stakeholders, points to the need for a renewed discussion of compulsory placement and treatment in the EU.</w:t>
            </w:r>
          </w:p>
        </w:tc>
        <w:tc>
          <w:tcPr>
            <w:tcW w:w="798" w:type="pct"/>
            <w:tcBorders>
              <w:top w:val="single" w:sz="4" w:space="0" w:color="auto"/>
              <w:bottom w:val="single" w:sz="4" w:space="0" w:color="auto"/>
            </w:tcBorders>
            <w:vAlign w:val="center"/>
          </w:tcPr>
          <w:p w14:paraId="56820DDD" w14:textId="77777777" w:rsidR="00CC530B" w:rsidRPr="00EC68B0" w:rsidRDefault="00CC530B" w:rsidP="00D407A3">
            <w:pPr>
              <w:spacing w:before="60" w:after="60" w:line="240" w:lineRule="auto"/>
              <w:jc w:val="center"/>
              <w:rPr>
                <w:rFonts w:cs="Calibri"/>
                <w:sz w:val="19"/>
                <w:szCs w:val="19"/>
                <w:lang w:val="fr-FR"/>
              </w:rPr>
            </w:pPr>
            <w:r w:rsidRPr="00EC68B0">
              <w:rPr>
                <w:rFonts w:cs="Calibri"/>
                <w:sz w:val="19"/>
                <w:szCs w:val="19"/>
                <w:lang w:val="fr-FR"/>
              </w:rPr>
              <w:t xml:space="preserve">en </w:t>
            </w:r>
            <w:r>
              <w:rPr>
                <w:rFonts w:cs="Calibri"/>
                <w:sz w:val="19"/>
                <w:szCs w:val="19"/>
                <w:lang w:val="fr-FR"/>
              </w:rPr>
              <w:t>-</w:t>
            </w:r>
            <w:r w:rsidRPr="00EC68B0">
              <w:rPr>
                <w:rFonts w:cs="Calibri"/>
                <w:sz w:val="19"/>
                <w:szCs w:val="19"/>
                <w:lang w:val="fr-FR"/>
              </w:rPr>
              <w:t xml:space="preserve"> </w:t>
            </w:r>
            <w:r>
              <w:rPr>
                <w:rFonts w:cs="Calibri"/>
                <w:sz w:val="19"/>
                <w:szCs w:val="19"/>
                <w:lang w:val="fr-FR"/>
              </w:rPr>
              <w:t>de - fr</w:t>
            </w:r>
          </w:p>
        </w:tc>
      </w:tr>
      <w:tr w:rsidR="00CC530B" w:rsidRPr="00C079AE" w14:paraId="569E13E7" w14:textId="77777777" w:rsidTr="00D407A3">
        <w:trPr>
          <w:trHeight w:val="1713"/>
        </w:trPr>
        <w:tc>
          <w:tcPr>
            <w:tcW w:w="916" w:type="pct"/>
            <w:tcBorders>
              <w:top w:val="single" w:sz="4" w:space="0" w:color="auto"/>
              <w:bottom w:val="single" w:sz="4" w:space="0" w:color="auto"/>
            </w:tcBorders>
            <w:shd w:val="clear" w:color="auto" w:fill="D9D9D9" w:themeFill="background1" w:themeFillShade="D9"/>
          </w:tcPr>
          <w:p w14:paraId="705B2985" w14:textId="77777777" w:rsidR="00CC530B" w:rsidRPr="00EC68B0" w:rsidRDefault="00CC530B" w:rsidP="00D407A3">
            <w:pPr>
              <w:spacing w:before="60" w:after="60" w:line="240" w:lineRule="auto"/>
              <w:jc w:val="center"/>
              <w:rPr>
                <w:noProof/>
                <w:sz w:val="19"/>
                <w:szCs w:val="19"/>
                <w:lang w:eastAsia="en-IE"/>
              </w:rPr>
            </w:pPr>
            <w:r w:rsidRPr="00EC68B0">
              <w:rPr>
                <w:sz w:val="19"/>
                <w:szCs w:val="19"/>
              </w:rPr>
              <w:object w:dxaOrig="9585" w:dyaOrig="13605" w14:anchorId="46271868">
                <v:shape id="_x0000_i1027" type="#_x0000_t75" style="width:86.25pt;height:114.7pt" o:ole="">
                  <v:imagedata r:id="rId76" o:title=""/>
                </v:shape>
                <o:OLEObject Type="Embed" ProgID="PBrush" ShapeID="_x0000_i1027" DrawAspect="Content" ObjectID="_1556115917" r:id="rId77"/>
              </w:object>
            </w:r>
          </w:p>
        </w:tc>
        <w:tc>
          <w:tcPr>
            <w:tcW w:w="1158" w:type="pct"/>
            <w:tcBorders>
              <w:top w:val="single" w:sz="4" w:space="0" w:color="auto"/>
              <w:bottom w:val="single" w:sz="4" w:space="0" w:color="auto"/>
            </w:tcBorders>
          </w:tcPr>
          <w:p w14:paraId="7454BA57"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Factsheet:</w:t>
            </w:r>
          </w:p>
          <w:p w14:paraId="717D9284"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Involuntary placement and involuntary treatment of persons with mental health problems</w:t>
            </w:r>
          </w:p>
          <w:p w14:paraId="796AB5FB" w14:textId="77777777" w:rsidR="00CC530B" w:rsidRPr="00EC68B0" w:rsidRDefault="00CC530B" w:rsidP="00D407A3">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0DD44AE8"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This factsheet presents the key challenges identified by the FRA report on </w:t>
            </w:r>
            <w:r w:rsidRPr="00EC68B0">
              <w:rPr>
                <w:rFonts w:ascii="Verdana" w:hAnsi="Verdana" w:cstheme="minorHAnsi"/>
                <w:i/>
                <w:sz w:val="19"/>
                <w:szCs w:val="19"/>
              </w:rPr>
              <w:t>Involuntary placement and involuntary treatment of persons with mental health problems</w:t>
            </w:r>
            <w:r w:rsidRPr="00EC68B0">
              <w:rPr>
                <w:rFonts w:ascii="Verdana" w:hAnsi="Verdana" w:cstheme="minorHAnsi"/>
                <w:sz w:val="19"/>
                <w:szCs w:val="19"/>
              </w:rPr>
              <w:t xml:space="preserve">. </w:t>
            </w:r>
            <w:r w:rsidRPr="00EC68B0">
              <w:rPr>
                <w:rFonts w:ascii="Verdana" w:hAnsi="Verdana" w:cstheme="minorHAnsi"/>
                <w:sz w:val="19"/>
                <w:szCs w:val="19"/>
                <w:lang w:val="en"/>
              </w:rPr>
              <w:t>Mental health problems are experienced by about one in 10 European Union (EU) citizens. Many seek help voluntarily, but some may be placed in institutions or treated without their consent. This might affect their fundamental rights.</w:t>
            </w:r>
          </w:p>
        </w:tc>
        <w:tc>
          <w:tcPr>
            <w:tcW w:w="798" w:type="pct"/>
            <w:tcBorders>
              <w:top w:val="single" w:sz="4" w:space="0" w:color="auto"/>
              <w:bottom w:val="single" w:sz="4" w:space="0" w:color="auto"/>
            </w:tcBorders>
            <w:vAlign w:val="center"/>
          </w:tcPr>
          <w:p w14:paraId="244A6F57" w14:textId="77777777" w:rsidR="00CC530B" w:rsidRPr="00EC68B0" w:rsidRDefault="00A76327" w:rsidP="00D407A3">
            <w:pPr>
              <w:spacing w:before="60" w:after="60" w:line="240" w:lineRule="auto"/>
              <w:jc w:val="center"/>
              <w:rPr>
                <w:rFonts w:cs="Calibri"/>
                <w:sz w:val="19"/>
                <w:szCs w:val="19"/>
                <w:lang w:val="de-DE"/>
              </w:rPr>
            </w:pPr>
            <w:hyperlink r:id="rId78" w:tooltip="Key rights of persons with disabilities: an introduction" w:history="1">
              <w:r w:rsidR="00CC530B" w:rsidRPr="00EC68B0">
                <w:rPr>
                  <w:rFonts w:cs="Calibri"/>
                  <w:sz w:val="19"/>
                  <w:szCs w:val="19"/>
                  <w:lang w:val="de-DE"/>
                </w:rPr>
                <w:t>en</w:t>
              </w:r>
            </w:hyperlink>
            <w:r w:rsidR="00CC530B" w:rsidRPr="00EC68B0">
              <w:rPr>
                <w:rFonts w:cs="Calibri"/>
                <w:sz w:val="19"/>
                <w:szCs w:val="19"/>
                <w:lang w:val="de-DE"/>
              </w:rPr>
              <w:t xml:space="preserve"> - </w:t>
            </w:r>
            <w:hyperlink r:id="rId79" w:tooltip="Key rights of persons with disabilities: an introduction" w:history="1">
              <w:r w:rsidR="00CC530B" w:rsidRPr="00EC68B0">
                <w:rPr>
                  <w:rFonts w:cs="Calibri"/>
                  <w:sz w:val="19"/>
                  <w:szCs w:val="19"/>
                  <w:lang w:val="de-DE"/>
                </w:rPr>
                <w:t>bg</w:t>
              </w:r>
            </w:hyperlink>
            <w:r w:rsidR="00CC530B" w:rsidRPr="00EC68B0">
              <w:rPr>
                <w:rFonts w:cs="Calibri"/>
                <w:sz w:val="19"/>
                <w:szCs w:val="19"/>
                <w:lang w:val="de-DE"/>
              </w:rPr>
              <w:t xml:space="preserve"> - da - </w:t>
            </w:r>
            <w:hyperlink r:id="rId80" w:tooltip="Key rights of persons with disabilities: an introduction" w:history="1">
              <w:r w:rsidR="00CC530B" w:rsidRPr="00EC68B0">
                <w:rPr>
                  <w:rFonts w:cs="Calibri"/>
                  <w:sz w:val="19"/>
                  <w:szCs w:val="19"/>
                  <w:lang w:val="de-DE"/>
                </w:rPr>
                <w:t>de</w:t>
              </w:r>
            </w:hyperlink>
            <w:r w:rsidR="00CC530B" w:rsidRPr="00EC68B0">
              <w:rPr>
                <w:rFonts w:cs="Calibri"/>
                <w:sz w:val="19"/>
                <w:szCs w:val="19"/>
                <w:lang w:val="de-DE"/>
              </w:rPr>
              <w:t xml:space="preserve"> - </w:t>
            </w:r>
            <w:hyperlink r:id="rId81" w:tooltip="Key rights of persons with disabilities: an introduction" w:history="1">
              <w:r w:rsidR="00CC530B" w:rsidRPr="00EC68B0">
                <w:rPr>
                  <w:rFonts w:cs="Calibri"/>
                  <w:sz w:val="19"/>
                  <w:szCs w:val="19"/>
                  <w:lang w:val="de-DE"/>
                </w:rPr>
                <w:t>el</w:t>
              </w:r>
            </w:hyperlink>
            <w:r w:rsidR="00CC530B" w:rsidRPr="00EC68B0">
              <w:rPr>
                <w:rFonts w:cs="Calibri"/>
                <w:sz w:val="19"/>
                <w:szCs w:val="19"/>
                <w:lang w:val="de-DE"/>
              </w:rPr>
              <w:t xml:space="preserve"> - </w:t>
            </w:r>
            <w:hyperlink r:id="rId82" w:tooltip="Key rights of persons with disabilities: an introduction" w:history="1">
              <w:r w:rsidR="00CC530B" w:rsidRPr="00EC68B0">
                <w:rPr>
                  <w:rFonts w:cs="Calibri"/>
                  <w:sz w:val="19"/>
                  <w:szCs w:val="19"/>
                  <w:lang w:val="de-DE"/>
                </w:rPr>
                <w:t>fr</w:t>
              </w:r>
            </w:hyperlink>
            <w:r w:rsidR="00CC530B" w:rsidRPr="00EC68B0">
              <w:rPr>
                <w:rFonts w:cs="Calibri"/>
                <w:sz w:val="19"/>
                <w:szCs w:val="19"/>
                <w:lang w:val="de-DE"/>
              </w:rPr>
              <w:t xml:space="preserve"> - </w:t>
            </w:r>
            <w:hyperlink r:id="rId83" w:tooltip="Key rights of persons with disabilities: an introduction" w:history="1">
              <w:r w:rsidR="00CC530B" w:rsidRPr="00EC68B0">
                <w:rPr>
                  <w:rFonts w:cs="Calibri"/>
                  <w:sz w:val="19"/>
                  <w:szCs w:val="19"/>
                  <w:lang w:val="de-DE"/>
                </w:rPr>
                <w:t>hu</w:t>
              </w:r>
            </w:hyperlink>
            <w:r w:rsidR="00CC530B" w:rsidRPr="00EC68B0">
              <w:rPr>
                <w:rFonts w:cs="Calibri"/>
                <w:sz w:val="19"/>
                <w:szCs w:val="19"/>
                <w:lang w:val="de-DE"/>
              </w:rPr>
              <w:t xml:space="preserve"> - </w:t>
            </w:r>
            <w:hyperlink r:id="rId84" w:tooltip="Key rights of persons with disabilities: an introduction" w:history="1">
              <w:r w:rsidR="00CC530B" w:rsidRPr="00EC68B0">
                <w:rPr>
                  <w:rFonts w:cs="Calibri"/>
                  <w:sz w:val="19"/>
                  <w:szCs w:val="19"/>
                  <w:lang w:val="de-DE"/>
                </w:rPr>
                <w:t>lv</w:t>
              </w:r>
            </w:hyperlink>
            <w:r w:rsidR="00CC530B" w:rsidRPr="00EC68B0">
              <w:rPr>
                <w:rFonts w:cs="Calibri"/>
                <w:sz w:val="19"/>
                <w:szCs w:val="19"/>
                <w:lang w:val="de-DE"/>
              </w:rPr>
              <w:t xml:space="preserve"> - </w:t>
            </w:r>
            <w:hyperlink r:id="rId85" w:tooltip="Key rights of persons with disabilities: an introduction" w:history="1">
              <w:r w:rsidR="00CC530B" w:rsidRPr="00EC68B0">
                <w:rPr>
                  <w:rFonts w:cs="Calibri"/>
                  <w:sz w:val="19"/>
                  <w:szCs w:val="19"/>
                  <w:lang w:val="de-DE"/>
                </w:rPr>
                <w:t>ro</w:t>
              </w:r>
            </w:hyperlink>
            <w:r w:rsidR="00CC530B" w:rsidRPr="00EC68B0">
              <w:rPr>
                <w:rFonts w:cs="Calibri"/>
                <w:sz w:val="19"/>
                <w:szCs w:val="19"/>
                <w:lang w:val="de-DE"/>
              </w:rPr>
              <w:t xml:space="preserve"> - </w:t>
            </w:r>
            <w:hyperlink r:id="rId86" w:tooltip="Key rights of persons with disabilities: an introduction" w:history="1">
              <w:r w:rsidR="00CC530B" w:rsidRPr="00EC68B0">
                <w:rPr>
                  <w:rFonts w:cs="Calibri"/>
                  <w:sz w:val="19"/>
                  <w:szCs w:val="19"/>
                  <w:lang w:val="de-DE"/>
                </w:rPr>
                <w:t>sv</w:t>
              </w:r>
            </w:hyperlink>
          </w:p>
        </w:tc>
      </w:tr>
      <w:tr w:rsidR="00CC530B" w:rsidRPr="00EC68B0" w14:paraId="2A5EF22D" w14:textId="77777777" w:rsidTr="00D407A3">
        <w:trPr>
          <w:trHeight w:val="2500"/>
        </w:trPr>
        <w:tc>
          <w:tcPr>
            <w:tcW w:w="916" w:type="pct"/>
            <w:tcBorders>
              <w:top w:val="single" w:sz="4" w:space="0" w:color="auto"/>
              <w:bottom w:val="single" w:sz="4" w:space="0" w:color="auto"/>
            </w:tcBorders>
            <w:shd w:val="clear" w:color="auto" w:fill="D9D9D9" w:themeFill="background1" w:themeFillShade="D9"/>
          </w:tcPr>
          <w:p w14:paraId="096E60B5" w14:textId="77777777" w:rsidR="00CC530B" w:rsidRPr="00EC68B0" w:rsidRDefault="00CC530B" w:rsidP="00D407A3">
            <w:pPr>
              <w:spacing w:before="60" w:after="60" w:line="240" w:lineRule="auto"/>
              <w:jc w:val="center"/>
              <w:rPr>
                <w:sz w:val="19"/>
                <w:szCs w:val="19"/>
                <w:lang w:val="de-AT"/>
              </w:rPr>
            </w:pPr>
            <w:r w:rsidRPr="00EC68B0">
              <w:rPr>
                <w:noProof/>
                <w:sz w:val="19"/>
                <w:szCs w:val="19"/>
              </w:rPr>
              <w:lastRenderedPageBreak/>
              <w:drawing>
                <wp:inline distT="0" distB="0" distL="0" distR="0" wp14:anchorId="378F209F" wp14:editId="08E3449D">
                  <wp:extent cx="1014467"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101446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6A80C6C9"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Choice and control: the right to independent living</w:t>
            </w:r>
          </w:p>
          <w:p w14:paraId="6956EE59"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4702CAA9" w14:textId="77777777" w:rsidR="00CC530B" w:rsidRPr="00EC68B0" w:rsidRDefault="00CC530B" w:rsidP="00D407A3">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98" w:type="pct"/>
            <w:tcBorders>
              <w:top w:val="single" w:sz="4" w:space="0" w:color="auto"/>
              <w:bottom w:val="single" w:sz="4" w:space="0" w:color="auto"/>
            </w:tcBorders>
            <w:vAlign w:val="center"/>
          </w:tcPr>
          <w:p w14:paraId="512598AC" w14:textId="77777777" w:rsidR="00CC530B" w:rsidRPr="00EC68B0" w:rsidRDefault="00CC530B" w:rsidP="00D407A3">
            <w:pPr>
              <w:spacing w:before="60" w:after="60" w:line="240" w:lineRule="auto"/>
              <w:jc w:val="center"/>
              <w:rPr>
                <w:sz w:val="19"/>
                <w:szCs w:val="19"/>
              </w:rPr>
            </w:pPr>
            <w:r>
              <w:rPr>
                <w:sz w:val="19"/>
                <w:szCs w:val="19"/>
              </w:rPr>
              <w:t>e</w:t>
            </w:r>
            <w:r w:rsidRPr="00EC68B0">
              <w:rPr>
                <w:sz w:val="19"/>
                <w:szCs w:val="19"/>
              </w:rPr>
              <w:t>n</w:t>
            </w:r>
            <w:r>
              <w:rPr>
                <w:sz w:val="19"/>
                <w:szCs w:val="19"/>
              </w:rPr>
              <w:t xml:space="preserve"> - fr - de</w:t>
            </w:r>
          </w:p>
        </w:tc>
      </w:tr>
      <w:tr w:rsidR="00CC530B" w:rsidRPr="00EC68B0" w14:paraId="44EF8DA4" w14:textId="77777777" w:rsidTr="00D407A3">
        <w:trPr>
          <w:trHeight w:val="2500"/>
        </w:trPr>
        <w:tc>
          <w:tcPr>
            <w:tcW w:w="916" w:type="pct"/>
            <w:tcBorders>
              <w:top w:val="single" w:sz="4" w:space="0" w:color="auto"/>
              <w:bottom w:val="single" w:sz="4" w:space="0" w:color="auto"/>
            </w:tcBorders>
            <w:shd w:val="clear" w:color="auto" w:fill="D9D9D9" w:themeFill="background1" w:themeFillShade="D9"/>
          </w:tcPr>
          <w:p w14:paraId="177D6D36" w14:textId="77777777" w:rsidR="00CC530B" w:rsidRPr="00EC68B0" w:rsidRDefault="00CC530B" w:rsidP="00D407A3">
            <w:pPr>
              <w:spacing w:before="60" w:after="60" w:line="240" w:lineRule="auto"/>
              <w:jc w:val="center"/>
              <w:rPr>
                <w:noProof/>
                <w:sz w:val="19"/>
                <w:szCs w:val="19"/>
                <w:lang w:eastAsia="en-IE"/>
              </w:rPr>
            </w:pPr>
            <w:r w:rsidRPr="00EC68B0">
              <w:object w:dxaOrig="6675" w:dyaOrig="9555" w14:anchorId="64E02778">
                <v:shape id="_x0000_i1028" type="#_x0000_t75" style="width:78.7pt;height:115.55pt" o:ole="">
                  <v:imagedata r:id="rId88" o:title=""/>
                </v:shape>
                <o:OLEObject Type="Embed" ProgID="PBrush" ShapeID="_x0000_i1028" DrawAspect="Content" ObjectID="_1556115918" r:id="rId89"/>
              </w:object>
            </w:r>
          </w:p>
        </w:tc>
        <w:tc>
          <w:tcPr>
            <w:tcW w:w="1158" w:type="pct"/>
            <w:tcBorders>
              <w:top w:val="single" w:sz="4" w:space="0" w:color="auto"/>
              <w:bottom w:val="single" w:sz="4" w:space="0" w:color="auto"/>
            </w:tcBorders>
          </w:tcPr>
          <w:p w14:paraId="41D36152" w14:textId="77777777" w:rsidR="00CC530B" w:rsidRPr="00EC68B0" w:rsidRDefault="00CC530B" w:rsidP="00D407A3">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Summary report: Choice and control: the right to independent living</w:t>
            </w:r>
          </w:p>
          <w:p w14:paraId="6549632C" w14:textId="77777777" w:rsidR="00CC530B" w:rsidRPr="00EC68B0" w:rsidRDefault="00CC530B" w:rsidP="00D407A3">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4B6E8DC3" w14:textId="77777777" w:rsidR="00CC530B" w:rsidRPr="00EC68B0" w:rsidRDefault="00CC530B" w:rsidP="00D407A3">
            <w:pPr>
              <w:pStyle w:val="NormalWeb"/>
              <w:spacing w:before="60" w:beforeAutospacing="0" w:after="60" w:afterAutospacing="0"/>
              <w:jc w:val="both"/>
              <w:rPr>
                <w:rFonts w:ascii="Verdana" w:hAnsi="Verdana"/>
                <w:sz w:val="19"/>
                <w:szCs w:val="19"/>
              </w:rPr>
            </w:pPr>
            <w:r w:rsidRPr="00EC68B0">
              <w:rPr>
                <w:rFonts w:ascii="Verdana" w:hAnsi="Verdana" w:cstheme="minorHAnsi"/>
                <w:sz w:val="19"/>
                <w:szCs w:val="19"/>
              </w:rPr>
              <w:t xml:space="preserve">This summary report presents the key findings identified in the FRA report on </w:t>
            </w:r>
            <w:r w:rsidRPr="00EC68B0">
              <w:rPr>
                <w:rFonts w:ascii="Verdana" w:hAnsi="Verdana" w:cstheme="minorHAnsi"/>
                <w:i/>
                <w:sz w:val="19"/>
                <w:szCs w:val="19"/>
              </w:rPr>
              <w:t>Choice and control: the right to independent living.</w:t>
            </w:r>
            <w:r w:rsidRPr="00EC68B0">
              <w:rPr>
                <w:rFonts w:ascii="Verdana" w:hAnsi="Verdana"/>
                <w:sz w:val="19"/>
                <w:szCs w:val="19"/>
              </w:rPr>
              <w:t xml:space="preserve"> </w:t>
            </w:r>
            <w:r w:rsidRPr="00EC68B0">
              <w:rPr>
                <w:rFonts w:ascii="Verdana" w:hAnsi="Verdana" w:cstheme="minorHAnsi"/>
                <w:sz w:val="19"/>
                <w:szCs w:val="19"/>
              </w:rPr>
              <w:t>The results show that although much has been done, more efforts are needed to ensure that persons with mental health problems and persons with intellectual disabilities have more choice and control over their lives and are included in the community on an equal basis with others.</w:t>
            </w:r>
          </w:p>
        </w:tc>
        <w:tc>
          <w:tcPr>
            <w:tcW w:w="798" w:type="pct"/>
            <w:tcBorders>
              <w:top w:val="single" w:sz="4" w:space="0" w:color="auto"/>
              <w:bottom w:val="single" w:sz="4" w:space="0" w:color="auto"/>
            </w:tcBorders>
            <w:vAlign w:val="center"/>
          </w:tcPr>
          <w:p w14:paraId="6B415890" w14:textId="77777777" w:rsidR="00CC530B" w:rsidRPr="00EC68B0" w:rsidRDefault="00CC530B" w:rsidP="00D407A3">
            <w:pPr>
              <w:spacing w:before="60" w:after="60" w:line="240" w:lineRule="auto"/>
              <w:jc w:val="center"/>
              <w:rPr>
                <w:sz w:val="19"/>
                <w:szCs w:val="19"/>
              </w:rPr>
            </w:pPr>
            <w:r w:rsidRPr="00EC68B0">
              <w:rPr>
                <w:sz w:val="19"/>
                <w:szCs w:val="19"/>
              </w:rPr>
              <w:t xml:space="preserve">en </w:t>
            </w:r>
            <w:r>
              <w:rPr>
                <w:sz w:val="19"/>
                <w:szCs w:val="19"/>
              </w:rPr>
              <w:t>-</w:t>
            </w:r>
            <w:r w:rsidRPr="00EC68B0">
              <w:rPr>
                <w:sz w:val="19"/>
                <w:szCs w:val="19"/>
              </w:rPr>
              <w:t xml:space="preserve"> da </w:t>
            </w:r>
            <w:r>
              <w:rPr>
                <w:sz w:val="19"/>
                <w:szCs w:val="19"/>
              </w:rPr>
              <w:t>-</w:t>
            </w:r>
            <w:r w:rsidRPr="00EC68B0">
              <w:rPr>
                <w:sz w:val="19"/>
                <w:szCs w:val="19"/>
              </w:rPr>
              <w:t xml:space="preserve"> el</w:t>
            </w:r>
          </w:p>
        </w:tc>
      </w:tr>
      <w:tr w:rsidR="00CC530B" w:rsidRPr="00EC68B0" w14:paraId="3008128A" w14:textId="77777777" w:rsidTr="00D407A3">
        <w:trPr>
          <w:trHeight w:val="2500"/>
        </w:trPr>
        <w:tc>
          <w:tcPr>
            <w:tcW w:w="916" w:type="pct"/>
            <w:tcBorders>
              <w:top w:val="single" w:sz="4" w:space="0" w:color="auto"/>
              <w:bottom w:val="single" w:sz="4" w:space="0" w:color="auto"/>
            </w:tcBorders>
            <w:shd w:val="clear" w:color="auto" w:fill="D9D9D9" w:themeFill="background1" w:themeFillShade="D9"/>
          </w:tcPr>
          <w:p w14:paraId="351993D6" w14:textId="77777777" w:rsidR="00CC530B" w:rsidRPr="00EC68B0" w:rsidRDefault="00CC530B" w:rsidP="00D407A3">
            <w:pPr>
              <w:spacing w:before="60" w:after="60" w:line="240" w:lineRule="auto"/>
              <w:jc w:val="center"/>
            </w:pPr>
            <w:r w:rsidRPr="00EC68B0">
              <w:rPr>
                <w:noProof/>
              </w:rPr>
              <w:drawing>
                <wp:inline distT="0" distB="0" distL="0" distR="0" wp14:anchorId="11CBEE24" wp14:editId="577B89E8">
                  <wp:extent cx="1062092" cy="1518699"/>
                  <wp:effectExtent l="0" t="0" r="5080" b="5715"/>
                  <wp:docPr id="16" name="Picture 16"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0961" cy="151708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149489E" w14:textId="77777777" w:rsidR="00CC530B" w:rsidRPr="00EC68B0" w:rsidRDefault="00A76327" w:rsidP="00D407A3">
            <w:pPr>
              <w:pStyle w:val="Heading1"/>
              <w:spacing w:before="60" w:after="60"/>
              <w:rPr>
                <w:rFonts w:cs="Calibri"/>
                <w:sz w:val="19"/>
                <w:szCs w:val="19"/>
              </w:rPr>
            </w:pPr>
            <w:hyperlink r:id="rId91" w:tooltip="Read more" w:history="1">
              <w:r w:rsidR="00CC530B" w:rsidRPr="00EC68B0">
                <w:rPr>
                  <w:rFonts w:cs="Calibri"/>
                  <w:sz w:val="19"/>
                  <w:szCs w:val="19"/>
                </w:rPr>
                <w:t>The legal protection of persons with mental health problems under non-discrimination law</w:t>
              </w:r>
            </w:hyperlink>
          </w:p>
          <w:p w14:paraId="6373A100" w14:textId="77777777" w:rsidR="00CC530B" w:rsidRPr="00EC68B0" w:rsidRDefault="00CC530B" w:rsidP="00D407A3">
            <w:pPr>
              <w:pStyle w:val="Heading1"/>
              <w:spacing w:before="60" w:after="60"/>
              <w:rPr>
                <w:rFonts w:cs="Calibri"/>
                <w:b w:val="0"/>
                <w:sz w:val="19"/>
                <w:szCs w:val="19"/>
              </w:rPr>
            </w:pPr>
            <w:r w:rsidRPr="00EC68B0">
              <w:rPr>
                <w:rFonts w:cs="Calibri"/>
                <w:b w:val="0"/>
                <w:sz w:val="19"/>
                <w:szCs w:val="19"/>
              </w:rPr>
              <w:t>October 2011</w:t>
            </w:r>
          </w:p>
          <w:p w14:paraId="65F46167" w14:textId="77777777" w:rsidR="00CC530B" w:rsidRPr="00EC68B0" w:rsidRDefault="00CC530B" w:rsidP="00D407A3">
            <w:pPr>
              <w:spacing w:before="60" w:after="60" w:line="240" w:lineRule="auto"/>
              <w:rPr>
                <w:rFonts w:cs="Calibri"/>
                <w:b/>
                <w:bCs/>
                <w:kern w:val="36"/>
                <w:sz w:val="19"/>
                <w:szCs w:val="19"/>
                <w:lang w:eastAsia="en-IE"/>
              </w:rPr>
            </w:pPr>
          </w:p>
        </w:tc>
        <w:tc>
          <w:tcPr>
            <w:tcW w:w="2128" w:type="pct"/>
            <w:tcBorders>
              <w:top w:val="single" w:sz="4" w:space="0" w:color="auto"/>
              <w:bottom w:val="single" w:sz="4" w:space="0" w:color="auto"/>
            </w:tcBorders>
          </w:tcPr>
          <w:p w14:paraId="6B49958A" w14:textId="77777777" w:rsidR="00CC530B" w:rsidRPr="00EC68B0" w:rsidRDefault="00CC530B" w:rsidP="00D407A3">
            <w:pPr>
              <w:pStyle w:val="NormalWeb"/>
              <w:spacing w:before="60" w:beforeAutospacing="0" w:after="60" w:afterAutospacing="0"/>
              <w:rPr>
                <w:rFonts w:ascii="Verdana" w:hAnsi="Verdana" w:cs="Calibri"/>
                <w:sz w:val="19"/>
                <w:szCs w:val="19"/>
              </w:rPr>
            </w:pPr>
            <w:r w:rsidRPr="00EC68B0">
              <w:rPr>
                <w:rFonts w:ascii="Verdana" w:hAnsi="Verdana" w:cs="Calibri"/>
                <w:sz w:val="19"/>
                <w:szCs w:val="19"/>
              </w:rPr>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mental health problems. In most cases persons with mental health problems also benefit from reasonable accommodation measures, or other protection measures, in the employment context. </w:t>
            </w:r>
          </w:p>
        </w:tc>
        <w:tc>
          <w:tcPr>
            <w:tcW w:w="798" w:type="pct"/>
            <w:tcBorders>
              <w:top w:val="single" w:sz="4" w:space="0" w:color="auto"/>
              <w:bottom w:val="single" w:sz="4" w:space="0" w:color="auto"/>
            </w:tcBorders>
            <w:vAlign w:val="center"/>
          </w:tcPr>
          <w:p w14:paraId="00FAC945" w14:textId="77777777" w:rsidR="00CC530B" w:rsidRPr="00EC68B0" w:rsidRDefault="00CC530B" w:rsidP="00D407A3">
            <w:pPr>
              <w:spacing w:before="60" w:after="60" w:line="240" w:lineRule="auto"/>
              <w:jc w:val="center"/>
              <w:rPr>
                <w:rFonts w:cs="Calibri"/>
                <w:sz w:val="19"/>
                <w:szCs w:val="19"/>
                <w:lang w:val="de-AT"/>
              </w:rPr>
            </w:pPr>
            <w:r w:rsidRPr="00EC68B0">
              <w:rPr>
                <w:rFonts w:cs="Calibri"/>
                <w:sz w:val="19"/>
                <w:szCs w:val="19"/>
                <w:lang w:val="de-AT"/>
              </w:rPr>
              <w:t>en - de - fr - da</w:t>
            </w:r>
          </w:p>
        </w:tc>
      </w:tr>
      <w:tr w:rsidR="00CC530B" w:rsidRPr="00C079AE" w14:paraId="36CCAE30" w14:textId="77777777" w:rsidTr="00D407A3">
        <w:trPr>
          <w:trHeight w:val="2500"/>
        </w:trPr>
        <w:tc>
          <w:tcPr>
            <w:tcW w:w="916" w:type="pct"/>
            <w:tcBorders>
              <w:top w:val="single" w:sz="4" w:space="0" w:color="auto"/>
              <w:bottom w:val="single" w:sz="4" w:space="0" w:color="auto"/>
            </w:tcBorders>
            <w:shd w:val="clear" w:color="auto" w:fill="D9D9D9" w:themeFill="background1" w:themeFillShade="D9"/>
          </w:tcPr>
          <w:p w14:paraId="40BC13FF" w14:textId="77777777" w:rsidR="00CC530B" w:rsidRPr="00EC68B0" w:rsidRDefault="00CC530B" w:rsidP="00D407A3">
            <w:pPr>
              <w:spacing w:before="60" w:after="60" w:line="240" w:lineRule="auto"/>
              <w:jc w:val="center"/>
              <w:rPr>
                <w:noProof/>
                <w:lang w:eastAsia="en-IE"/>
              </w:rPr>
            </w:pPr>
            <w:r w:rsidRPr="00EC68B0">
              <w:rPr>
                <w:noProof/>
              </w:rPr>
              <w:drawing>
                <wp:inline distT="0" distB="0" distL="0" distR="0" wp14:anchorId="39667747" wp14:editId="2AFAAB26">
                  <wp:extent cx="1019991" cy="1444140"/>
                  <wp:effectExtent l="0" t="0" r="8890" b="3810"/>
                  <wp:docPr id="18" name="Picture 18" descr="http://fra.europa.eu/sites/default/files/styles/fra_large/public/fra_images/key_rights_p_w_disabilities_fact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a.europa.eu/sites/default/files/styles/fra_large/public/fra_images/key_rights_p_w_disabilities_factsheet_cover.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1385" cy="1446114"/>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A57F724" w14:textId="77777777" w:rsidR="00CC530B" w:rsidRPr="00EC68B0" w:rsidRDefault="00CC530B" w:rsidP="00D407A3">
            <w:pPr>
              <w:spacing w:before="60" w:after="60" w:line="240" w:lineRule="auto"/>
              <w:rPr>
                <w:rFonts w:cs="Calibri"/>
                <w:b/>
                <w:bCs/>
                <w:kern w:val="36"/>
                <w:sz w:val="19"/>
                <w:szCs w:val="19"/>
                <w:lang w:eastAsia="en-IE"/>
              </w:rPr>
            </w:pPr>
            <w:r w:rsidRPr="00EC68B0">
              <w:rPr>
                <w:rFonts w:cs="Calibri"/>
                <w:b/>
                <w:bCs/>
                <w:kern w:val="36"/>
                <w:sz w:val="19"/>
                <w:szCs w:val="19"/>
                <w:lang w:eastAsia="en-IE"/>
              </w:rPr>
              <w:t>Factsheet:</w:t>
            </w:r>
            <w:r w:rsidRPr="00EC68B0">
              <w:rPr>
                <w:rFonts w:cs="Calibri"/>
                <w:b/>
                <w:bCs/>
                <w:kern w:val="36"/>
                <w:sz w:val="19"/>
                <w:szCs w:val="19"/>
                <w:lang w:eastAsia="en-IE"/>
              </w:rPr>
              <w:br/>
              <w:t>Key rights of persons with disabilities: an introduction</w:t>
            </w:r>
          </w:p>
          <w:p w14:paraId="6BB0E59C" w14:textId="77777777" w:rsidR="00CC530B" w:rsidRPr="00EC68B0" w:rsidRDefault="00CC530B" w:rsidP="00D407A3">
            <w:pPr>
              <w:spacing w:before="60" w:after="60" w:line="240" w:lineRule="auto"/>
              <w:rPr>
                <w:rFonts w:cs="Calibri"/>
                <w:sz w:val="19"/>
                <w:szCs w:val="19"/>
              </w:rPr>
            </w:pPr>
            <w:r w:rsidRPr="00EC68B0">
              <w:rPr>
                <w:rFonts w:cs="Calibri"/>
                <w:sz w:val="19"/>
                <w:szCs w:val="19"/>
                <w:lang w:eastAsia="en-IE"/>
              </w:rPr>
              <w:t>August 2011</w:t>
            </w:r>
          </w:p>
        </w:tc>
        <w:tc>
          <w:tcPr>
            <w:tcW w:w="2128" w:type="pct"/>
            <w:tcBorders>
              <w:top w:val="single" w:sz="4" w:space="0" w:color="auto"/>
              <w:bottom w:val="single" w:sz="4" w:space="0" w:color="auto"/>
            </w:tcBorders>
          </w:tcPr>
          <w:p w14:paraId="7C658116" w14:textId="77777777" w:rsidR="00CC530B" w:rsidRPr="00EC68B0" w:rsidRDefault="00CC530B" w:rsidP="00D407A3">
            <w:pPr>
              <w:spacing w:before="60" w:after="60" w:line="240" w:lineRule="auto"/>
              <w:rPr>
                <w:rFonts w:cs="Calibri"/>
                <w:sz w:val="19"/>
                <w:szCs w:val="19"/>
              </w:rPr>
            </w:pPr>
            <w:r w:rsidRPr="00EC68B0">
              <w:rPr>
                <w:rFonts w:cs="Calibri"/>
                <w:sz w:val="19"/>
                <w:szCs w:val="19"/>
                <w:lang w:eastAsia="en-IE"/>
              </w:rPr>
              <w:t>This factsheet describes some of the existing rights of people with disabilities, as set out under the UN Convention on the Rights of Persons with Disabilities (CRPD). The factsheet focuses in particular on ending discrimination, equal recognition by law, access to justice, the prevention of inhumane treatment, independent living and the right to political participation.</w:t>
            </w:r>
          </w:p>
        </w:tc>
        <w:tc>
          <w:tcPr>
            <w:tcW w:w="798" w:type="pct"/>
            <w:tcBorders>
              <w:top w:val="single" w:sz="4" w:space="0" w:color="auto"/>
              <w:bottom w:val="single" w:sz="4" w:space="0" w:color="auto"/>
            </w:tcBorders>
            <w:vAlign w:val="center"/>
          </w:tcPr>
          <w:p w14:paraId="5D162D17" w14:textId="77777777" w:rsidR="00CC530B" w:rsidRPr="00EC68B0" w:rsidRDefault="00A76327" w:rsidP="00D407A3">
            <w:pPr>
              <w:spacing w:before="60" w:after="60" w:line="240" w:lineRule="auto"/>
              <w:jc w:val="center"/>
              <w:rPr>
                <w:rFonts w:cs="Calibri"/>
                <w:sz w:val="19"/>
                <w:szCs w:val="19"/>
                <w:lang w:val="fr-FR"/>
              </w:rPr>
            </w:pPr>
            <w:hyperlink r:id="rId93" w:tooltip="Key rights of persons with disabilities: an introduction" w:history="1">
              <w:r w:rsidR="00CC530B" w:rsidRPr="00EC68B0">
                <w:rPr>
                  <w:rFonts w:cs="Calibri"/>
                  <w:sz w:val="19"/>
                  <w:szCs w:val="19"/>
                  <w:lang w:val="fr-FR"/>
                </w:rPr>
                <w:t>en</w:t>
              </w:r>
            </w:hyperlink>
            <w:r w:rsidR="00CC530B" w:rsidRPr="00EC68B0">
              <w:rPr>
                <w:rFonts w:cs="Calibri"/>
                <w:sz w:val="19"/>
                <w:szCs w:val="19"/>
                <w:lang w:val="fr-FR"/>
              </w:rPr>
              <w:t xml:space="preserve"> - </w:t>
            </w:r>
            <w:hyperlink r:id="rId94" w:tooltip="Key rights of persons with disabilities: an introduction" w:history="1">
              <w:r w:rsidR="00CC530B" w:rsidRPr="00EC68B0">
                <w:rPr>
                  <w:rFonts w:cs="Calibri"/>
                  <w:sz w:val="19"/>
                  <w:szCs w:val="19"/>
                  <w:lang w:val="fr-FR"/>
                </w:rPr>
                <w:t>bg</w:t>
              </w:r>
            </w:hyperlink>
            <w:r w:rsidR="00CC530B" w:rsidRPr="00EC68B0">
              <w:rPr>
                <w:rFonts w:cs="Calibri"/>
                <w:sz w:val="19"/>
                <w:szCs w:val="19"/>
                <w:lang w:val="fr-FR"/>
              </w:rPr>
              <w:t xml:space="preserve"> - </w:t>
            </w:r>
            <w:hyperlink r:id="rId95" w:tooltip="Key rights of persons with disabilities: an introduction" w:history="1">
              <w:r w:rsidR="00CC530B" w:rsidRPr="00EC68B0">
                <w:rPr>
                  <w:rFonts w:cs="Calibri"/>
                  <w:sz w:val="19"/>
                  <w:szCs w:val="19"/>
                  <w:lang w:val="fr-FR"/>
                </w:rPr>
                <w:t>de</w:t>
              </w:r>
            </w:hyperlink>
            <w:r w:rsidR="00CC530B" w:rsidRPr="00EC68B0">
              <w:rPr>
                <w:rFonts w:cs="Calibri"/>
                <w:sz w:val="19"/>
                <w:szCs w:val="19"/>
                <w:lang w:val="fr-FR"/>
              </w:rPr>
              <w:t xml:space="preserve"> - </w:t>
            </w:r>
            <w:hyperlink r:id="rId96" w:tooltip="Key rights of persons with disabilities: an introduction" w:history="1">
              <w:r w:rsidR="00CC530B" w:rsidRPr="00EC68B0">
                <w:rPr>
                  <w:rFonts w:cs="Calibri"/>
                  <w:sz w:val="19"/>
                  <w:szCs w:val="19"/>
                  <w:lang w:val="fr-FR"/>
                </w:rPr>
                <w:t>el</w:t>
              </w:r>
            </w:hyperlink>
            <w:r w:rsidR="00CC530B" w:rsidRPr="00EC68B0">
              <w:rPr>
                <w:rFonts w:cs="Calibri"/>
                <w:sz w:val="19"/>
                <w:szCs w:val="19"/>
                <w:lang w:val="fr-FR"/>
              </w:rPr>
              <w:t xml:space="preserve"> - </w:t>
            </w:r>
            <w:hyperlink r:id="rId97" w:tooltip="Key rights of persons with disabilities: an introduction" w:history="1">
              <w:r w:rsidR="00CC530B" w:rsidRPr="00EC68B0">
                <w:rPr>
                  <w:rFonts w:cs="Calibri"/>
                  <w:sz w:val="19"/>
                  <w:szCs w:val="19"/>
                  <w:lang w:val="fr-FR"/>
                </w:rPr>
                <w:t>fr</w:t>
              </w:r>
            </w:hyperlink>
            <w:r w:rsidR="00CC530B" w:rsidRPr="00EC68B0">
              <w:rPr>
                <w:rFonts w:cs="Calibri"/>
                <w:sz w:val="19"/>
                <w:szCs w:val="19"/>
                <w:lang w:val="fr-FR"/>
              </w:rPr>
              <w:t xml:space="preserve"> - </w:t>
            </w:r>
            <w:hyperlink r:id="rId98" w:tooltip="Key rights of persons with disabilities: an introduction" w:history="1">
              <w:r w:rsidR="00CC530B" w:rsidRPr="00EC68B0">
                <w:rPr>
                  <w:rFonts w:cs="Calibri"/>
                  <w:sz w:val="19"/>
                  <w:szCs w:val="19"/>
                  <w:lang w:val="fr-FR"/>
                </w:rPr>
                <w:t>hu</w:t>
              </w:r>
            </w:hyperlink>
            <w:r w:rsidR="00CC530B" w:rsidRPr="00EC68B0">
              <w:rPr>
                <w:rFonts w:cs="Calibri"/>
                <w:sz w:val="19"/>
                <w:szCs w:val="19"/>
                <w:lang w:val="fr-FR"/>
              </w:rPr>
              <w:t xml:space="preserve"> - </w:t>
            </w:r>
            <w:hyperlink r:id="rId99" w:tooltip="Key rights of persons with disabilities: an introduction" w:history="1">
              <w:r w:rsidR="00CC530B" w:rsidRPr="00EC68B0">
                <w:rPr>
                  <w:rFonts w:cs="Calibri"/>
                  <w:sz w:val="19"/>
                  <w:szCs w:val="19"/>
                  <w:lang w:val="fr-FR"/>
                </w:rPr>
                <w:t>lv</w:t>
              </w:r>
            </w:hyperlink>
            <w:r w:rsidR="00CC530B" w:rsidRPr="00EC68B0">
              <w:rPr>
                <w:rFonts w:cs="Calibri"/>
                <w:sz w:val="19"/>
                <w:szCs w:val="19"/>
                <w:lang w:val="fr-FR"/>
              </w:rPr>
              <w:t xml:space="preserve"> - </w:t>
            </w:r>
            <w:hyperlink r:id="rId100" w:tooltip="Key rights of persons with disabilities: an introduction" w:history="1">
              <w:r w:rsidR="00CC530B" w:rsidRPr="00EC68B0">
                <w:rPr>
                  <w:rFonts w:cs="Calibri"/>
                  <w:sz w:val="19"/>
                  <w:szCs w:val="19"/>
                  <w:lang w:val="fr-FR"/>
                </w:rPr>
                <w:t>ro</w:t>
              </w:r>
            </w:hyperlink>
            <w:r w:rsidR="00CC530B" w:rsidRPr="00EC68B0">
              <w:rPr>
                <w:rFonts w:cs="Calibri"/>
                <w:sz w:val="19"/>
                <w:szCs w:val="19"/>
                <w:lang w:val="fr-FR"/>
              </w:rPr>
              <w:t xml:space="preserve"> - </w:t>
            </w:r>
            <w:hyperlink r:id="rId101" w:tooltip="Key rights of persons with disabilities: an introduction" w:history="1">
              <w:r w:rsidR="00CC530B" w:rsidRPr="00EC68B0">
                <w:rPr>
                  <w:rFonts w:cs="Calibri"/>
                  <w:sz w:val="19"/>
                  <w:szCs w:val="19"/>
                  <w:lang w:val="fr-FR"/>
                </w:rPr>
                <w:t>sv</w:t>
              </w:r>
            </w:hyperlink>
          </w:p>
        </w:tc>
      </w:tr>
      <w:tr w:rsidR="00CC530B" w:rsidRPr="00223BAC" w14:paraId="21A42765" w14:textId="77777777" w:rsidTr="00D407A3">
        <w:trPr>
          <w:trHeight w:val="304"/>
        </w:trPr>
        <w:tc>
          <w:tcPr>
            <w:tcW w:w="916" w:type="pct"/>
            <w:tcBorders>
              <w:top w:val="single" w:sz="4" w:space="0" w:color="auto"/>
              <w:bottom w:val="single" w:sz="4" w:space="0" w:color="auto"/>
            </w:tcBorders>
            <w:shd w:val="clear" w:color="auto" w:fill="D9D9D9" w:themeFill="background1" w:themeFillShade="D9"/>
          </w:tcPr>
          <w:p w14:paraId="65433151" w14:textId="77777777" w:rsidR="00CC530B" w:rsidRPr="00EC68B0" w:rsidRDefault="00CC530B" w:rsidP="00D407A3">
            <w:pPr>
              <w:spacing w:before="60" w:after="60" w:line="240" w:lineRule="auto"/>
              <w:jc w:val="center"/>
              <w:rPr>
                <w:noProof/>
                <w:lang w:eastAsia="en-IE"/>
              </w:rPr>
            </w:pPr>
            <w:r w:rsidRPr="00EC68B0">
              <w:object w:dxaOrig="9225" w:dyaOrig="12975" w14:anchorId="065710B2">
                <v:shape id="_x0000_i1029" type="#_x0000_t75" style="width:79.55pt;height:115.55pt" o:ole="">
                  <v:imagedata r:id="rId102" o:title=""/>
                </v:shape>
                <o:OLEObject Type="Embed" ProgID="PBrush" ShapeID="_x0000_i1029" DrawAspect="Content" ObjectID="_1556115919" r:id="rId103"/>
              </w:object>
            </w:r>
          </w:p>
        </w:tc>
        <w:tc>
          <w:tcPr>
            <w:tcW w:w="1158" w:type="pct"/>
            <w:tcBorders>
              <w:top w:val="single" w:sz="4" w:space="0" w:color="auto"/>
              <w:bottom w:val="single" w:sz="4" w:space="0" w:color="auto"/>
            </w:tcBorders>
          </w:tcPr>
          <w:p w14:paraId="5DC7CE02" w14:textId="77777777" w:rsidR="00CC530B" w:rsidRPr="00EC68B0" w:rsidRDefault="00CC530B" w:rsidP="00D407A3">
            <w:pPr>
              <w:pStyle w:val="Heading1"/>
              <w:spacing w:before="60" w:after="60"/>
              <w:rPr>
                <w:rFonts w:cs="Calibri"/>
                <w:sz w:val="19"/>
                <w:szCs w:val="19"/>
              </w:rPr>
            </w:pPr>
            <w:r w:rsidRPr="00EC68B0">
              <w:rPr>
                <w:rFonts w:cs="Calibri"/>
                <w:sz w:val="19"/>
                <w:szCs w:val="19"/>
              </w:rPr>
              <w:t>The right to political participation of persons with mental health problems and persons with intellectual disabilities</w:t>
            </w:r>
          </w:p>
          <w:p w14:paraId="55371DE8" w14:textId="77777777" w:rsidR="00CC530B" w:rsidRPr="00EC68B0" w:rsidRDefault="00CC530B" w:rsidP="00D407A3">
            <w:pPr>
              <w:spacing w:before="60" w:after="60" w:line="240" w:lineRule="auto"/>
              <w:rPr>
                <w:rFonts w:cs="Calibri"/>
                <w:bCs/>
                <w:kern w:val="36"/>
                <w:sz w:val="19"/>
                <w:szCs w:val="19"/>
                <w:lang w:eastAsia="en-IE"/>
              </w:rPr>
            </w:pPr>
            <w:r w:rsidRPr="00EC68B0">
              <w:rPr>
                <w:rFonts w:cs="Calibri"/>
                <w:bCs/>
                <w:kern w:val="36"/>
                <w:sz w:val="19"/>
                <w:szCs w:val="19"/>
                <w:lang w:eastAsia="en-IE"/>
              </w:rPr>
              <w:t>November 2010</w:t>
            </w:r>
          </w:p>
          <w:p w14:paraId="3E833ECC" w14:textId="77777777" w:rsidR="00CC530B" w:rsidRPr="00EC68B0" w:rsidRDefault="00CC530B" w:rsidP="00D407A3">
            <w:pPr>
              <w:spacing w:before="60" w:after="60" w:line="240" w:lineRule="auto"/>
              <w:rPr>
                <w:rFonts w:cs="Calibri"/>
                <w:bCs/>
                <w:kern w:val="36"/>
                <w:sz w:val="19"/>
                <w:szCs w:val="19"/>
                <w:lang w:eastAsia="en-IE"/>
              </w:rPr>
            </w:pPr>
          </w:p>
        </w:tc>
        <w:tc>
          <w:tcPr>
            <w:tcW w:w="2128" w:type="pct"/>
            <w:tcBorders>
              <w:top w:val="single" w:sz="4" w:space="0" w:color="auto"/>
              <w:bottom w:val="single" w:sz="4" w:space="0" w:color="auto"/>
            </w:tcBorders>
          </w:tcPr>
          <w:p w14:paraId="4C0CF911" w14:textId="77777777" w:rsidR="00CC530B" w:rsidRPr="00EC68B0" w:rsidRDefault="00CC530B" w:rsidP="00D407A3">
            <w:pPr>
              <w:spacing w:before="60" w:after="60" w:line="240" w:lineRule="auto"/>
              <w:rPr>
                <w:rFonts w:cs="Calibri"/>
                <w:sz w:val="19"/>
                <w:szCs w:val="19"/>
                <w:lang w:eastAsia="en-IE"/>
              </w:rPr>
            </w:pPr>
            <w:r w:rsidRPr="00EC68B0">
              <w:rPr>
                <w:rFonts w:cs="Calibri"/>
                <w:sz w:val="19"/>
                <w:szCs w:val="19"/>
                <w:lang w:eastAsia="en-IE"/>
              </w:rPr>
              <w:t xml:space="preserve">This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 </w:t>
            </w:r>
          </w:p>
        </w:tc>
        <w:tc>
          <w:tcPr>
            <w:tcW w:w="798" w:type="pct"/>
            <w:tcBorders>
              <w:top w:val="single" w:sz="4" w:space="0" w:color="auto"/>
              <w:bottom w:val="single" w:sz="4" w:space="0" w:color="auto"/>
            </w:tcBorders>
            <w:vAlign w:val="center"/>
          </w:tcPr>
          <w:p w14:paraId="28BBDCAA" w14:textId="77777777" w:rsidR="00CC530B" w:rsidRPr="00EC68B0" w:rsidRDefault="00CC530B" w:rsidP="00D407A3">
            <w:pPr>
              <w:spacing w:before="60" w:after="60" w:line="240" w:lineRule="auto"/>
              <w:jc w:val="center"/>
              <w:rPr>
                <w:rFonts w:cs="Calibri"/>
                <w:sz w:val="19"/>
                <w:szCs w:val="19"/>
                <w:lang w:val="fr-BE"/>
              </w:rPr>
            </w:pPr>
            <w:r w:rsidRPr="00EC68B0">
              <w:rPr>
                <w:rFonts w:cs="Calibri"/>
                <w:sz w:val="19"/>
                <w:szCs w:val="19"/>
                <w:lang w:val="fr-BE"/>
              </w:rPr>
              <w:t xml:space="preserve">en </w:t>
            </w:r>
          </w:p>
          <w:p w14:paraId="4A0D3748" w14:textId="77777777" w:rsidR="00CC530B" w:rsidRPr="00EC68B0" w:rsidRDefault="00CC530B" w:rsidP="00D407A3">
            <w:pPr>
              <w:spacing w:before="60" w:after="60" w:line="240" w:lineRule="auto"/>
              <w:jc w:val="center"/>
              <w:rPr>
                <w:rFonts w:cs="Calibri"/>
                <w:sz w:val="19"/>
                <w:szCs w:val="19"/>
                <w:lang w:val="fr-BE"/>
              </w:rPr>
            </w:pPr>
            <w:r w:rsidRPr="00EC68B0">
              <w:rPr>
                <w:rFonts w:cs="Calibri"/>
                <w:sz w:val="19"/>
                <w:szCs w:val="19"/>
                <w:lang w:val="fr-BE"/>
              </w:rPr>
              <w:t xml:space="preserve">de - fr </w:t>
            </w:r>
          </w:p>
          <w:p w14:paraId="780E909B" w14:textId="77777777" w:rsidR="00CC530B" w:rsidRPr="00EC68B0" w:rsidRDefault="00CC530B" w:rsidP="00D407A3">
            <w:pPr>
              <w:spacing w:before="60" w:after="60" w:line="240" w:lineRule="auto"/>
              <w:jc w:val="center"/>
              <w:rPr>
                <w:rFonts w:cs="Calibri"/>
                <w:sz w:val="19"/>
                <w:szCs w:val="19"/>
                <w:lang w:val="fr-BE"/>
              </w:rPr>
            </w:pPr>
          </w:p>
          <w:p w14:paraId="61CE8723" w14:textId="77777777" w:rsidR="00CC530B" w:rsidRPr="00EC68B0" w:rsidRDefault="00CC530B" w:rsidP="00D407A3">
            <w:pPr>
              <w:spacing w:before="60" w:after="60" w:line="240" w:lineRule="auto"/>
              <w:jc w:val="center"/>
              <w:rPr>
                <w:rFonts w:cs="Calibri"/>
                <w:sz w:val="19"/>
                <w:szCs w:val="19"/>
                <w:lang w:val="fr-BE"/>
              </w:rPr>
            </w:pPr>
            <w:r w:rsidRPr="00EC68B0">
              <w:rPr>
                <w:rFonts w:cs="Calibri"/>
                <w:sz w:val="19"/>
                <w:szCs w:val="19"/>
                <w:lang w:val="fr-BE"/>
              </w:rPr>
              <w:t>non-verified language versions:</w:t>
            </w:r>
          </w:p>
          <w:p w14:paraId="4B233B3B" w14:textId="77777777" w:rsidR="00CC530B" w:rsidRPr="00EC68B0" w:rsidRDefault="00A76327" w:rsidP="00D407A3">
            <w:pPr>
              <w:spacing w:before="60" w:after="60" w:line="240" w:lineRule="auto"/>
              <w:jc w:val="center"/>
              <w:rPr>
                <w:rFonts w:cs="Calibri"/>
                <w:sz w:val="19"/>
                <w:szCs w:val="19"/>
                <w:lang w:val="fr-BE"/>
              </w:rPr>
            </w:pPr>
            <w:hyperlink r:id="rId104" w:tooltip="The FRA disability project postcard" w:history="1">
              <w:r w:rsidR="00CC530B" w:rsidRPr="00EC68B0">
                <w:rPr>
                  <w:rFonts w:cs="Calibri"/>
                  <w:sz w:val="19"/>
                  <w:szCs w:val="19"/>
                  <w:lang w:val="fr-BE"/>
                </w:rPr>
                <w:t>bg</w:t>
              </w:r>
            </w:hyperlink>
            <w:r w:rsidR="00CC530B" w:rsidRPr="00EC68B0">
              <w:rPr>
                <w:rFonts w:cs="Calibri"/>
                <w:sz w:val="19"/>
                <w:szCs w:val="19"/>
                <w:lang w:val="fr-BE"/>
              </w:rPr>
              <w:t xml:space="preserve"> - </w:t>
            </w:r>
            <w:hyperlink r:id="rId105" w:tooltip="The FRA disability project postcard" w:history="1">
              <w:r w:rsidR="00CC530B" w:rsidRPr="00EC68B0">
                <w:rPr>
                  <w:rFonts w:cs="Calibri"/>
                  <w:sz w:val="19"/>
                  <w:szCs w:val="19"/>
                  <w:lang w:val="fr-BE"/>
                </w:rPr>
                <w:t>cs</w:t>
              </w:r>
            </w:hyperlink>
            <w:r w:rsidR="00CC530B" w:rsidRPr="00EC68B0">
              <w:rPr>
                <w:rFonts w:cs="Calibri"/>
                <w:sz w:val="19"/>
                <w:szCs w:val="19"/>
                <w:lang w:val="fr-BE"/>
              </w:rPr>
              <w:t xml:space="preserve"> - </w:t>
            </w:r>
            <w:hyperlink r:id="rId106" w:tooltip="The FRA disability project postcard" w:history="1">
              <w:r w:rsidR="00CC530B" w:rsidRPr="00EC68B0">
                <w:rPr>
                  <w:rFonts w:cs="Calibri"/>
                  <w:sz w:val="19"/>
                  <w:szCs w:val="19"/>
                  <w:lang w:val="fr-BE"/>
                </w:rPr>
                <w:t>da</w:t>
              </w:r>
            </w:hyperlink>
            <w:r w:rsidR="00CC530B" w:rsidRPr="00EC68B0">
              <w:rPr>
                <w:rFonts w:cs="Calibri"/>
                <w:sz w:val="19"/>
                <w:szCs w:val="19"/>
                <w:lang w:val="fr-BE"/>
              </w:rPr>
              <w:t xml:space="preserve"> - </w:t>
            </w:r>
            <w:hyperlink r:id="rId107" w:tooltip="The FRA disability project postcard" w:history="1">
              <w:r w:rsidR="00CC530B" w:rsidRPr="00EC68B0">
                <w:rPr>
                  <w:rFonts w:cs="Calibri"/>
                  <w:sz w:val="19"/>
                  <w:szCs w:val="19"/>
                  <w:lang w:val="fr-BE"/>
                </w:rPr>
                <w:t>et</w:t>
              </w:r>
            </w:hyperlink>
            <w:r w:rsidR="00CC530B" w:rsidRPr="00EC68B0">
              <w:rPr>
                <w:rFonts w:cs="Calibri"/>
                <w:sz w:val="19"/>
                <w:szCs w:val="19"/>
                <w:lang w:val="fr-BE"/>
              </w:rPr>
              <w:t xml:space="preserve"> - </w:t>
            </w:r>
            <w:hyperlink r:id="rId108" w:tooltip="The FRA disability project postcard" w:history="1">
              <w:r w:rsidR="00CC530B" w:rsidRPr="00EC68B0">
                <w:rPr>
                  <w:rFonts w:cs="Calibri"/>
                  <w:sz w:val="19"/>
                  <w:szCs w:val="19"/>
                  <w:lang w:val="fr-BE"/>
                </w:rPr>
                <w:t>el</w:t>
              </w:r>
            </w:hyperlink>
            <w:r w:rsidR="00CC530B" w:rsidRPr="00EC68B0">
              <w:rPr>
                <w:rFonts w:cs="Calibri"/>
                <w:sz w:val="19"/>
                <w:szCs w:val="19"/>
                <w:lang w:val="fr-BE"/>
              </w:rPr>
              <w:t xml:space="preserve"> - </w:t>
            </w:r>
            <w:hyperlink r:id="rId109" w:tooltip="The FRA disability project postcard" w:history="1">
              <w:r w:rsidR="00CC530B" w:rsidRPr="00EC68B0">
                <w:rPr>
                  <w:rFonts w:cs="Calibri"/>
                  <w:sz w:val="19"/>
                  <w:szCs w:val="19"/>
                  <w:lang w:val="fr-BE"/>
                </w:rPr>
                <w:t>es</w:t>
              </w:r>
            </w:hyperlink>
            <w:r w:rsidR="00CC530B" w:rsidRPr="00EC68B0">
              <w:rPr>
                <w:rFonts w:cs="Calibri"/>
                <w:sz w:val="19"/>
                <w:szCs w:val="19"/>
                <w:lang w:val="fr-BE"/>
              </w:rPr>
              <w:t xml:space="preserve"> - ga - hr- </w:t>
            </w:r>
            <w:hyperlink r:id="rId110" w:tooltip="The FRA disability project postcard" w:history="1">
              <w:r w:rsidR="00CC530B" w:rsidRPr="00EC68B0">
                <w:rPr>
                  <w:rFonts w:cs="Calibri"/>
                  <w:sz w:val="19"/>
                  <w:szCs w:val="19"/>
                  <w:lang w:val="fr-BE"/>
                </w:rPr>
                <w:t>it</w:t>
              </w:r>
            </w:hyperlink>
            <w:r w:rsidR="00CC530B" w:rsidRPr="00EC68B0">
              <w:rPr>
                <w:rFonts w:cs="Calibri"/>
                <w:sz w:val="19"/>
                <w:szCs w:val="19"/>
                <w:lang w:val="fr-BE"/>
              </w:rPr>
              <w:t xml:space="preserve"> - </w:t>
            </w:r>
            <w:hyperlink r:id="rId111" w:tooltip="The FRA disability project postcard" w:history="1">
              <w:r w:rsidR="00CC530B" w:rsidRPr="00EC68B0">
                <w:rPr>
                  <w:rFonts w:cs="Calibri"/>
                  <w:sz w:val="19"/>
                  <w:szCs w:val="19"/>
                  <w:lang w:val="fr-BE"/>
                </w:rPr>
                <w:t>lv</w:t>
              </w:r>
            </w:hyperlink>
            <w:r w:rsidR="00CC530B" w:rsidRPr="00EC68B0">
              <w:rPr>
                <w:rFonts w:cs="Calibri"/>
                <w:sz w:val="19"/>
                <w:szCs w:val="19"/>
                <w:lang w:val="fr-BE"/>
              </w:rPr>
              <w:t xml:space="preserve"> - </w:t>
            </w:r>
            <w:hyperlink r:id="rId112" w:tooltip="The FRA disability project postcard" w:history="1">
              <w:r w:rsidR="00CC530B" w:rsidRPr="00EC68B0">
                <w:rPr>
                  <w:rFonts w:cs="Calibri"/>
                  <w:sz w:val="19"/>
                  <w:szCs w:val="19"/>
                  <w:lang w:val="fr-BE"/>
                </w:rPr>
                <w:t>lt</w:t>
              </w:r>
            </w:hyperlink>
            <w:r w:rsidR="00CC530B" w:rsidRPr="00EC68B0">
              <w:rPr>
                <w:rFonts w:cs="Calibri"/>
                <w:sz w:val="19"/>
                <w:szCs w:val="19"/>
                <w:lang w:val="fr-BE"/>
              </w:rPr>
              <w:t xml:space="preserve"> - </w:t>
            </w:r>
            <w:hyperlink r:id="rId113" w:tooltip="The FRA disability project postcard" w:history="1">
              <w:r w:rsidR="00CC530B" w:rsidRPr="00EC68B0">
                <w:rPr>
                  <w:rFonts w:cs="Calibri"/>
                  <w:sz w:val="19"/>
                  <w:szCs w:val="19"/>
                  <w:lang w:val="fr-BE"/>
                </w:rPr>
                <w:t>hu</w:t>
              </w:r>
            </w:hyperlink>
            <w:r w:rsidR="00CC530B" w:rsidRPr="00EC68B0">
              <w:rPr>
                <w:rFonts w:cs="Calibri"/>
                <w:sz w:val="19"/>
                <w:szCs w:val="19"/>
                <w:lang w:val="fr-BE"/>
              </w:rPr>
              <w:t xml:space="preserve"> - mt - </w:t>
            </w:r>
            <w:hyperlink r:id="rId114" w:tooltip="The FRA disability project postcard" w:history="1">
              <w:r w:rsidR="00CC530B" w:rsidRPr="00EC68B0">
                <w:rPr>
                  <w:rFonts w:cs="Calibri"/>
                  <w:sz w:val="19"/>
                  <w:szCs w:val="19"/>
                  <w:lang w:val="fr-BE"/>
                </w:rPr>
                <w:t>nl</w:t>
              </w:r>
            </w:hyperlink>
            <w:r w:rsidR="00CC530B" w:rsidRPr="00EC68B0">
              <w:rPr>
                <w:rFonts w:cs="Calibri"/>
                <w:sz w:val="19"/>
                <w:szCs w:val="19"/>
                <w:lang w:val="fr-BE"/>
              </w:rPr>
              <w:t xml:space="preserve"> - </w:t>
            </w:r>
            <w:hyperlink r:id="rId115" w:tooltip="The FRA disability project postcard" w:history="1">
              <w:r w:rsidR="00CC530B" w:rsidRPr="00EC68B0">
                <w:rPr>
                  <w:rFonts w:cs="Calibri"/>
                  <w:sz w:val="19"/>
                  <w:szCs w:val="19"/>
                  <w:lang w:val="fr-BE"/>
                </w:rPr>
                <w:t>pl</w:t>
              </w:r>
            </w:hyperlink>
            <w:r w:rsidR="00CC530B" w:rsidRPr="00EC68B0">
              <w:rPr>
                <w:rFonts w:cs="Calibri"/>
                <w:sz w:val="19"/>
                <w:szCs w:val="19"/>
                <w:lang w:val="fr-BE"/>
              </w:rPr>
              <w:t xml:space="preserve"> - </w:t>
            </w:r>
            <w:hyperlink r:id="rId116" w:tooltip="The FRA disability project postcard" w:history="1">
              <w:r w:rsidR="00CC530B" w:rsidRPr="00EC68B0">
                <w:rPr>
                  <w:rFonts w:cs="Calibri"/>
                  <w:sz w:val="19"/>
                  <w:szCs w:val="19"/>
                  <w:lang w:val="fr-BE"/>
                </w:rPr>
                <w:t>pt</w:t>
              </w:r>
            </w:hyperlink>
            <w:r w:rsidR="00CC530B" w:rsidRPr="00EC68B0">
              <w:rPr>
                <w:rFonts w:cs="Calibri"/>
                <w:sz w:val="19"/>
                <w:szCs w:val="19"/>
                <w:lang w:val="fr-BE"/>
              </w:rPr>
              <w:t xml:space="preserve"> - </w:t>
            </w:r>
            <w:hyperlink r:id="rId117" w:tooltip="The FRA disability project postcard" w:history="1">
              <w:r w:rsidR="00CC530B" w:rsidRPr="00EC68B0">
                <w:rPr>
                  <w:rFonts w:cs="Calibri"/>
                  <w:sz w:val="19"/>
                  <w:szCs w:val="19"/>
                  <w:lang w:val="fr-BE"/>
                </w:rPr>
                <w:t>ro</w:t>
              </w:r>
            </w:hyperlink>
            <w:r w:rsidR="00CC530B" w:rsidRPr="00EC68B0">
              <w:rPr>
                <w:rFonts w:cs="Calibri"/>
                <w:sz w:val="19"/>
                <w:szCs w:val="19"/>
                <w:lang w:val="fr-BE"/>
              </w:rPr>
              <w:t xml:space="preserve"> - </w:t>
            </w:r>
            <w:hyperlink r:id="rId118" w:tooltip="The FRA disability project postcard" w:history="1">
              <w:r w:rsidR="00CC530B" w:rsidRPr="00EC68B0">
                <w:rPr>
                  <w:rFonts w:cs="Calibri"/>
                  <w:sz w:val="19"/>
                  <w:szCs w:val="19"/>
                  <w:lang w:val="fr-BE"/>
                </w:rPr>
                <w:t>sk</w:t>
              </w:r>
            </w:hyperlink>
            <w:r w:rsidR="00CC530B" w:rsidRPr="00EC68B0">
              <w:rPr>
                <w:rFonts w:cs="Calibri"/>
                <w:sz w:val="19"/>
                <w:szCs w:val="19"/>
                <w:lang w:val="fr-BE"/>
              </w:rPr>
              <w:t xml:space="preserve"> - sl - </w:t>
            </w:r>
            <w:hyperlink r:id="rId119" w:tooltip="The FRA disability project postcard" w:history="1">
              <w:r w:rsidR="00CC530B" w:rsidRPr="00EC68B0">
                <w:rPr>
                  <w:rFonts w:cs="Calibri"/>
                  <w:sz w:val="19"/>
                  <w:szCs w:val="19"/>
                  <w:lang w:val="fr-BE"/>
                </w:rPr>
                <w:t>fi</w:t>
              </w:r>
            </w:hyperlink>
            <w:r w:rsidR="00CC530B" w:rsidRPr="00EC68B0">
              <w:rPr>
                <w:rFonts w:cs="Calibri"/>
                <w:sz w:val="19"/>
                <w:szCs w:val="19"/>
                <w:lang w:val="fr-BE"/>
              </w:rPr>
              <w:t xml:space="preserve"> - </w:t>
            </w:r>
            <w:hyperlink r:id="rId120" w:tooltip="The FRA disability project postcard" w:history="1">
              <w:r w:rsidR="00CC530B" w:rsidRPr="00EC68B0">
                <w:rPr>
                  <w:rFonts w:cs="Calibri"/>
                  <w:sz w:val="19"/>
                  <w:szCs w:val="19"/>
                  <w:lang w:val="fr-BE"/>
                </w:rPr>
                <w:t>sv</w:t>
              </w:r>
            </w:hyperlink>
            <w:r w:rsidR="00CC530B" w:rsidRPr="00EC68B0">
              <w:rPr>
                <w:rFonts w:cs="Calibri"/>
                <w:sz w:val="19"/>
                <w:szCs w:val="19"/>
                <w:lang w:val="fr-BE"/>
              </w:rPr>
              <w:t xml:space="preserve"> </w:t>
            </w:r>
          </w:p>
        </w:tc>
      </w:tr>
      <w:tr w:rsidR="00CC530B" w:rsidRPr="00EC68B0" w14:paraId="762D98D7" w14:textId="77777777" w:rsidTr="00D407A3">
        <w:trPr>
          <w:trHeight w:val="2154"/>
        </w:trPr>
        <w:tc>
          <w:tcPr>
            <w:tcW w:w="916" w:type="pct"/>
            <w:tcBorders>
              <w:top w:val="single" w:sz="4" w:space="0" w:color="auto"/>
              <w:bottom w:val="single" w:sz="4" w:space="0" w:color="auto"/>
            </w:tcBorders>
            <w:shd w:val="clear" w:color="auto" w:fill="D9D9D9" w:themeFill="background1" w:themeFillShade="D9"/>
          </w:tcPr>
          <w:p w14:paraId="318802D1" w14:textId="77777777" w:rsidR="00CC530B" w:rsidRPr="00EC68B0" w:rsidRDefault="00CC530B" w:rsidP="00D407A3">
            <w:pPr>
              <w:spacing w:before="60" w:after="60" w:line="240" w:lineRule="auto"/>
              <w:jc w:val="center"/>
            </w:pPr>
            <w:r>
              <w:object w:dxaOrig="9465" w:dyaOrig="13335" w14:anchorId="552837EE">
                <v:shape id="_x0000_i1030" type="#_x0000_t75" style="width:1in;height:100.45pt" o:ole="">
                  <v:imagedata r:id="rId121" o:title=""/>
                </v:shape>
                <o:OLEObject Type="Embed" ProgID="PBrush" ShapeID="_x0000_i1030" DrawAspect="Content" ObjectID="_1556115920" r:id="rId122"/>
              </w:object>
            </w:r>
          </w:p>
        </w:tc>
        <w:tc>
          <w:tcPr>
            <w:tcW w:w="1158" w:type="pct"/>
            <w:tcBorders>
              <w:top w:val="single" w:sz="4" w:space="0" w:color="auto"/>
              <w:bottom w:val="single" w:sz="4" w:space="0" w:color="auto"/>
            </w:tcBorders>
          </w:tcPr>
          <w:p w14:paraId="49E0DD73" w14:textId="77777777" w:rsidR="00CC530B" w:rsidRDefault="00CC530B" w:rsidP="00D407A3">
            <w:pPr>
              <w:pStyle w:val="Heading1"/>
              <w:spacing w:before="60" w:after="60"/>
              <w:rPr>
                <w:rFonts w:cs="Calibri"/>
                <w:sz w:val="19"/>
                <w:szCs w:val="19"/>
              </w:rPr>
            </w:pPr>
            <w:r>
              <w:rPr>
                <w:rFonts w:cs="Calibri"/>
                <w:sz w:val="19"/>
                <w:szCs w:val="19"/>
              </w:rPr>
              <w:t>EASY READ</w:t>
            </w:r>
          </w:p>
          <w:p w14:paraId="529C503B" w14:textId="77777777" w:rsidR="00CC530B" w:rsidRDefault="00CC530B" w:rsidP="00D407A3">
            <w:pPr>
              <w:pStyle w:val="Heading1"/>
              <w:spacing w:before="60" w:after="60"/>
              <w:rPr>
                <w:rFonts w:cs="Calibri"/>
                <w:sz w:val="19"/>
                <w:szCs w:val="19"/>
              </w:rPr>
            </w:pPr>
            <w:r>
              <w:rPr>
                <w:rFonts w:cs="Calibri"/>
                <w:sz w:val="19"/>
                <w:szCs w:val="19"/>
              </w:rPr>
              <w:t xml:space="preserve">Violence against children with disabilities </w:t>
            </w:r>
          </w:p>
          <w:p w14:paraId="51BEBDE6" w14:textId="77777777" w:rsidR="00CC530B" w:rsidRPr="005A70FC" w:rsidRDefault="00CC530B" w:rsidP="00D407A3">
            <w:pPr>
              <w:pStyle w:val="Heading1"/>
              <w:spacing w:before="60" w:after="60"/>
              <w:rPr>
                <w:rFonts w:cs="Calibri"/>
                <w:b w:val="0"/>
                <w:sz w:val="19"/>
                <w:szCs w:val="19"/>
              </w:rPr>
            </w:pPr>
            <w:r w:rsidRPr="005A70FC">
              <w:rPr>
                <w:rFonts w:cs="Calibri"/>
                <w:b w:val="0"/>
                <w:sz w:val="19"/>
                <w:szCs w:val="19"/>
              </w:rPr>
              <w:t>December 2015</w:t>
            </w:r>
          </w:p>
        </w:tc>
        <w:tc>
          <w:tcPr>
            <w:tcW w:w="2128" w:type="pct"/>
            <w:tcBorders>
              <w:top w:val="single" w:sz="4" w:space="0" w:color="auto"/>
              <w:bottom w:val="single" w:sz="4" w:space="0" w:color="auto"/>
            </w:tcBorders>
          </w:tcPr>
          <w:p w14:paraId="1D8811EC" w14:textId="77777777" w:rsidR="00CC530B" w:rsidRPr="00EC68B0" w:rsidRDefault="00CC530B" w:rsidP="00D407A3">
            <w:pPr>
              <w:spacing w:before="60" w:after="60" w:line="240" w:lineRule="auto"/>
              <w:rPr>
                <w:color w:val="333333"/>
                <w:sz w:val="19"/>
                <w:szCs w:val="19"/>
                <w:lang w:val="en" w:eastAsia="en-IE"/>
              </w:rPr>
            </w:pPr>
            <w:r>
              <w:rPr>
                <w:color w:val="333333"/>
                <w:sz w:val="19"/>
                <w:szCs w:val="19"/>
                <w:lang w:val="en" w:eastAsia="en-IE"/>
              </w:rPr>
              <w:t xml:space="preserve">This summary in easy read format </w:t>
            </w:r>
            <w:r w:rsidRPr="005A70FC">
              <w:rPr>
                <w:color w:val="333333"/>
                <w:sz w:val="19"/>
                <w:szCs w:val="19"/>
                <w:lang w:val="en" w:eastAsia="en-IE"/>
              </w:rPr>
              <w:t xml:space="preserve">looks at violence, where it happens, and why people are violent. It also looks at laws to protect children </w:t>
            </w:r>
            <w:r>
              <w:rPr>
                <w:color w:val="333333"/>
                <w:sz w:val="19"/>
                <w:szCs w:val="19"/>
                <w:lang w:val="en" w:eastAsia="en-IE"/>
              </w:rPr>
              <w:t xml:space="preserve">with disabilities </w:t>
            </w:r>
            <w:r w:rsidRPr="005A70FC">
              <w:rPr>
                <w:color w:val="333333"/>
                <w:sz w:val="19"/>
                <w:szCs w:val="19"/>
                <w:lang w:val="en" w:eastAsia="en-IE"/>
              </w:rPr>
              <w:t>from violence and</w:t>
            </w:r>
            <w:r>
              <w:rPr>
                <w:color w:val="333333"/>
                <w:sz w:val="19"/>
                <w:szCs w:val="19"/>
                <w:lang w:val="en" w:eastAsia="en-IE"/>
              </w:rPr>
              <w:t xml:space="preserve"> </w:t>
            </w:r>
            <w:r w:rsidRPr="005A70FC">
              <w:rPr>
                <w:color w:val="333333"/>
                <w:sz w:val="19"/>
                <w:szCs w:val="19"/>
                <w:lang w:val="en" w:eastAsia="en-IE"/>
              </w:rPr>
              <w:t>what countries are doing to prevent this violence.</w:t>
            </w:r>
          </w:p>
        </w:tc>
        <w:tc>
          <w:tcPr>
            <w:tcW w:w="798" w:type="pct"/>
            <w:tcBorders>
              <w:top w:val="single" w:sz="4" w:space="0" w:color="auto"/>
              <w:bottom w:val="single" w:sz="4" w:space="0" w:color="auto"/>
            </w:tcBorders>
            <w:vAlign w:val="center"/>
          </w:tcPr>
          <w:p w14:paraId="08245DC2" w14:textId="77777777" w:rsidR="00CC530B" w:rsidRPr="00EC68B0" w:rsidRDefault="00CC530B" w:rsidP="00D407A3">
            <w:pPr>
              <w:spacing w:before="60" w:after="60" w:line="240" w:lineRule="auto"/>
              <w:jc w:val="center"/>
              <w:rPr>
                <w:rFonts w:cs="Calibri"/>
                <w:sz w:val="19"/>
                <w:szCs w:val="19"/>
                <w:lang w:val="fr-BE"/>
              </w:rPr>
            </w:pPr>
            <w:r>
              <w:rPr>
                <w:rFonts w:cs="Calibri"/>
                <w:sz w:val="19"/>
                <w:szCs w:val="19"/>
                <w:lang w:val="fr-BE"/>
              </w:rPr>
              <w:t>en</w:t>
            </w:r>
          </w:p>
        </w:tc>
      </w:tr>
      <w:tr w:rsidR="00CC530B" w:rsidRPr="00EC68B0" w14:paraId="6DABE315" w14:textId="77777777" w:rsidTr="00D407A3">
        <w:trPr>
          <w:trHeight w:val="2154"/>
        </w:trPr>
        <w:tc>
          <w:tcPr>
            <w:tcW w:w="916" w:type="pct"/>
            <w:tcBorders>
              <w:top w:val="single" w:sz="4" w:space="0" w:color="auto"/>
              <w:bottom w:val="single" w:sz="4" w:space="0" w:color="auto"/>
            </w:tcBorders>
            <w:shd w:val="clear" w:color="auto" w:fill="D9D9D9" w:themeFill="background1" w:themeFillShade="D9"/>
          </w:tcPr>
          <w:p w14:paraId="4E4D673E" w14:textId="77777777" w:rsidR="00CC530B" w:rsidRPr="00EC68B0" w:rsidRDefault="00CC530B" w:rsidP="00D407A3">
            <w:pPr>
              <w:spacing w:before="60" w:after="60" w:line="240" w:lineRule="auto"/>
              <w:jc w:val="center"/>
            </w:pPr>
            <w:r w:rsidRPr="00EC68B0">
              <w:object w:dxaOrig="9105" w:dyaOrig="13005" w14:anchorId="02F6994E">
                <v:shape id="_x0000_i1031" type="#_x0000_t75" style="width:1in;height:100.45pt" o:ole="">
                  <v:imagedata r:id="rId123" o:title=""/>
                </v:shape>
                <o:OLEObject Type="Embed" ProgID="PBrush" ShapeID="_x0000_i1031" DrawAspect="Content" ObjectID="_1556115921" r:id="rId124"/>
              </w:object>
            </w:r>
          </w:p>
        </w:tc>
        <w:tc>
          <w:tcPr>
            <w:tcW w:w="1158" w:type="pct"/>
            <w:tcBorders>
              <w:top w:val="single" w:sz="4" w:space="0" w:color="auto"/>
              <w:bottom w:val="single" w:sz="4" w:space="0" w:color="auto"/>
            </w:tcBorders>
          </w:tcPr>
          <w:p w14:paraId="0A7E882C" w14:textId="77777777" w:rsidR="00CC530B" w:rsidRPr="00EC68B0" w:rsidRDefault="00CC530B" w:rsidP="00D407A3">
            <w:pPr>
              <w:pStyle w:val="Heading1"/>
              <w:spacing w:before="60" w:after="60"/>
              <w:rPr>
                <w:rFonts w:cs="Calibri"/>
                <w:sz w:val="19"/>
                <w:szCs w:val="19"/>
              </w:rPr>
            </w:pPr>
            <w:r w:rsidRPr="00EC68B0">
              <w:rPr>
                <w:rFonts w:cs="Calibri"/>
                <w:sz w:val="19"/>
                <w:szCs w:val="19"/>
              </w:rPr>
              <w:t>EASY READ</w:t>
            </w:r>
          </w:p>
          <w:p w14:paraId="333AC0E0" w14:textId="77777777" w:rsidR="00CC530B" w:rsidRPr="00EC68B0" w:rsidRDefault="00CC530B" w:rsidP="00D407A3">
            <w:pPr>
              <w:pStyle w:val="Heading1"/>
              <w:spacing w:before="60" w:after="60"/>
              <w:rPr>
                <w:rFonts w:cs="Calibri"/>
                <w:sz w:val="19"/>
                <w:szCs w:val="19"/>
              </w:rPr>
            </w:pPr>
            <w:r w:rsidRPr="00EC68B0">
              <w:rPr>
                <w:rFonts w:cs="Calibri"/>
                <w:sz w:val="19"/>
                <w:szCs w:val="19"/>
              </w:rPr>
              <w:t xml:space="preserve">Laws about being able to make important decisions for yourself </w:t>
            </w:r>
          </w:p>
          <w:p w14:paraId="70061063" w14:textId="77777777" w:rsidR="00CC530B" w:rsidRPr="00EC68B0" w:rsidRDefault="00CC530B" w:rsidP="00D407A3">
            <w:pPr>
              <w:pStyle w:val="Heading1"/>
              <w:spacing w:before="60" w:after="60"/>
              <w:rPr>
                <w:rFonts w:cs="Calibri"/>
                <w:sz w:val="19"/>
                <w:szCs w:val="19"/>
              </w:rPr>
            </w:pPr>
            <w:r w:rsidRPr="00EC68B0">
              <w:rPr>
                <w:rFonts w:cs="Calibri"/>
                <w:b w:val="0"/>
                <w:sz w:val="19"/>
                <w:szCs w:val="19"/>
              </w:rPr>
              <w:t>October 2013</w:t>
            </w:r>
          </w:p>
        </w:tc>
        <w:tc>
          <w:tcPr>
            <w:tcW w:w="2128" w:type="pct"/>
            <w:tcBorders>
              <w:top w:val="single" w:sz="4" w:space="0" w:color="auto"/>
              <w:bottom w:val="single" w:sz="4" w:space="0" w:color="auto"/>
            </w:tcBorders>
          </w:tcPr>
          <w:p w14:paraId="33AF9CF4" w14:textId="77777777" w:rsidR="00CC530B" w:rsidRPr="00EC68B0" w:rsidRDefault="00CC530B" w:rsidP="00D407A3">
            <w:pPr>
              <w:spacing w:before="60" w:after="60" w:line="240" w:lineRule="auto"/>
              <w:rPr>
                <w:color w:val="333333"/>
                <w:sz w:val="19"/>
                <w:szCs w:val="19"/>
                <w:lang w:val="en"/>
              </w:rPr>
            </w:pPr>
            <w:r w:rsidRPr="00EC68B0">
              <w:rPr>
                <w:color w:val="333333"/>
                <w:sz w:val="19"/>
                <w:szCs w:val="19"/>
                <w:lang w:val="en"/>
              </w:rPr>
              <w:t>This summary in easy read format provides information about FRA’s work on the right to equal recognition before the law.</w:t>
            </w:r>
          </w:p>
        </w:tc>
        <w:tc>
          <w:tcPr>
            <w:tcW w:w="798" w:type="pct"/>
            <w:tcBorders>
              <w:top w:val="single" w:sz="4" w:space="0" w:color="auto"/>
              <w:bottom w:val="single" w:sz="4" w:space="0" w:color="auto"/>
            </w:tcBorders>
            <w:vAlign w:val="center"/>
          </w:tcPr>
          <w:p w14:paraId="73250132" w14:textId="77777777" w:rsidR="00CC530B" w:rsidRDefault="00CC530B" w:rsidP="00D407A3">
            <w:pPr>
              <w:spacing w:before="60" w:after="60" w:line="240" w:lineRule="auto"/>
              <w:jc w:val="center"/>
              <w:rPr>
                <w:rFonts w:cs="Calibri"/>
                <w:sz w:val="19"/>
                <w:szCs w:val="19"/>
                <w:lang w:val="fr-BE"/>
              </w:rPr>
            </w:pPr>
            <w:r>
              <w:rPr>
                <w:rFonts w:cs="Calibri"/>
                <w:sz w:val="19"/>
                <w:szCs w:val="19"/>
                <w:lang w:val="fr-BE"/>
              </w:rPr>
              <w:t>e</w:t>
            </w:r>
            <w:r w:rsidRPr="00EC68B0">
              <w:rPr>
                <w:rFonts w:cs="Calibri"/>
                <w:sz w:val="19"/>
                <w:szCs w:val="19"/>
                <w:lang w:val="fr-BE"/>
              </w:rPr>
              <w:t>n</w:t>
            </w:r>
            <w:r>
              <w:rPr>
                <w:rFonts w:cs="Calibri"/>
                <w:sz w:val="19"/>
                <w:szCs w:val="19"/>
                <w:lang w:val="fr-BE"/>
              </w:rPr>
              <w:t xml:space="preserve"> - </w:t>
            </w:r>
            <w:r w:rsidRPr="00EC68B0">
              <w:rPr>
                <w:rFonts w:cs="Calibri"/>
                <w:sz w:val="19"/>
                <w:szCs w:val="19"/>
                <w:lang w:val="fr-BE"/>
              </w:rPr>
              <w:t>de</w:t>
            </w:r>
            <w:r>
              <w:rPr>
                <w:rFonts w:cs="Calibri"/>
                <w:sz w:val="19"/>
                <w:szCs w:val="19"/>
                <w:lang w:val="fr-BE"/>
              </w:rPr>
              <w:t xml:space="preserve"> -</w:t>
            </w:r>
            <w:r w:rsidRPr="00EC68B0">
              <w:rPr>
                <w:rFonts w:cs="Calibri"/>
                <w:sz w:val="19"/>
                <w:szCs w:val="19"/>
                <w:lang w:val="fr-BE"/>
              </w:rPr>
              <w:t xml:space="preserve"> fr</w:t>
            </w:r>
          </w:p>
        </w:tc>
      </w:tr>
      <w:tr w:rsidR="00CC530B" w:rsidRPr="00EC68B0" w14:paraId="173A5BC9" w14:textId="77777777" w:rsidTr="00D407A3">
        <w:trPr>
          <w:trHeight w:val="1986"/>
        </w:trPr>
        <w:tc>
          <w:tcPr>
            <w:tcW w:w="916" w:type="pct"/>
            <w:tcBorders>
              <w:top w:val="single" w:sz="4" w:space="0" w:color="auto"/>
              <w:bottom w:val="single" w:sz="4" w:space="0" w:color="auto"/>
            </w:tcBorders>
            <w:shd w:val="clear" w:color="auto" w:fill="D9D9D9" w:themeFill="background1" w:themeFillShade="D9"/>
          </w:tcPr>
          <w:p w14:paraId="763389A6" w14:textId="77777777" w:rsidR="00CC530B" w:rsidRPr="00EC68B0" w:rsidRDefault="00CC530B" w:rsidP="00D407A3">
            <w:pPr>
              <w:spacing w:before="60" w:after="60" w:line="240" w:lineRule="auto"/>
              <w:jc w:val="center"/>
            </w:pPr>
            <w:r>
              <w:rPr>
                <w:noProof/>
                <w:color w:val="003399"/>
                <w:sz w:val="19"/>
                <w:szCs w:val="19"/>
              </w:rPr>
              <w:drawing>
                <wp:inline distT="0" distB="0" distL="0" distR="0" wp14:anchorId="6D8487CD" wp14:editId="105AA9C1">
                  <wp:extent cx="871869" cy="1235643"/>
                  <wp:effectExtent l="0" t="0" r="4445" b="3175"/>
                  <wp:docPr id="15" name="Picture 15" descr="http://fra.europa.eu/sites/default/files/styles/fra_small/public/fra_images/easy-read-cover-image_0.jpg?itok=0-FXbSuV">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ra.europa.eu/sites/default/files/styles/fra_small/public/fra_images/easy-read-cover-image_0.jpg?itok=0-FXbSuV">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88016" cy="1258528"/>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2348A3C" w14:textId="77777777" w:rsidR="00CC530B" w:rsidRDefault="00CC530B" w:rsidP="00D407A3">
            <w:pPr>
              <w:pStyle w:val="Heading1"/>
              <w:spacing w:before="60" w:after="60"/>
              <w:rPr>
                <w:rFonts w:cs="Calibri"/>
                <w:sz w:val="19"/>
                <w:szCs w:val="19"/>
              </w:rPr>
            </w:pPr>
            <w:r>
              <w:rPr>
                <w:rFonts w:cs="Calibri"/>
                <w:sz w:val="19"/>
                <w:szCs w:val="19"/>
              </w:rPr>
              <w:t xml:space="preserve">EASY READ </w:t>
            </w:r>
          </w:p>
          <w:p w14:paraId="24A7ED0D" w14:textId="77777777" w:rsidR="00CC530B" w:rsidRDefault="00CC530B" w:rsidP="00D407A3">
            <w:pPr>
              <w:pStyle w:val="Heading1"/>
              <w:spacing w:before="60" w:after="60"/>
              <w:rPr>
                <w:rFonts w:cs="Calibri"/>
                <w:sz w:val="19"/>
                <w:szCs w:val="19"/>
              </w:rPr>
            </w:pPr>
            <w:r w:rsidRPr="00803945">
              <w:rPr>
                <w:rFonts w:cs="Calibri"/>
                <w:sz w:val="19"/>
                <w:szCs w:val="19"/>
              </w:rPr>
              <w:t>How people are treated differently in healthcare</w:t>
            </w:r>
          </w:p>
          <w:p w14:paraId="593DC99D" w14:textId="77777777" w:rsidR="00CC530B" w:rsidRPr="00803945" w:rsidRDefault="00CC530B" w:rsidP="00D407A3">
            <w:pPr>
              <w:pStyle w:val="Heading1"/>
              <w:spacing w:before="60" w:after="60"/>
              <w:rPr>
                <w:rFonts w:cs="Calibri"/>
                <w:b w:val="0"/>
                <w:sz w:val="19"/>
                <w:szCs w:val="19"/>
              </w:rPr>
            </w:pPr>
            <w:r>
              <w:rPr>
                <w:rFonts w:cs="Calibri"/>
                <w:b w:val="0"/>
                <w:sz w:val="19"/>
                <w:szCs w:val="19"/>
              </w:rPr>
              <w:t xml:space="preserve">March 2013 </w:t>
            </w:r>
          </w:p>
        </w:tc>
        <w:tc>
          <w:tcPr>
            <w:tcW w:w="2128" w:type="pct"/>
            <w:tcBorders>
              <w:top w:val="single" w:sz="4" w:space="0" w:color="auto"/>
              <w:bottom w:val="single" w:sz="4" w:space="0" w:color="auto"/>
            </w:tcBorders>
          </w:tcPr>
          <w:p w14:paraId="326C6739" w14:textId="77777777" w:rsidR="00CC530B" w:rsidRPr="00EC68B0" w:rsidRDefault="00CC530B" w:rsidP="00D407A3">
            <w:pPr>
              <w:spacing w:before="60" w:after="60" w:line="240" w:lineRule="auto"/>
              <w:rPr>
                <w:color w:val="333333"/>
                <w:sz w:val="19"/>
                <w:szCs w:val="19"/>
                <w:lang w:val="en"/>
              </w:rPr>
            </w:pPr>
            <w:r>
              <w:rPr>
                <w:color w:val="333333"/>
                <w:sz w:val="19"/>
                <w:szCs w:val="19"/>
                <w:lang w:val="en"/>
              </w:rPr>
              <w:t>This summary in east read format provides information about FRA’s work on</w:t>
            </w:r>
            <w:r w:rsidRPr="00803945">
              <w:rPr>
                <w:color w:val="333333"/>
                <w:sz w:val="19"/>
                <w:szCs w:val="19"/>
                <w:lang w:val="en"/>
              </w:rPr>
              <w:t xml:space="preserve"> how people might be treated differently in healthcare and on multiple discrimination in healthcare.</w:t>
            </w:r>
          </w:p>
        </w:tc>
        <w:tc>
          <w:tcPr>
            <w:tcW w:w="798" w:type="pct"/>
            <w:tcBorders>
              <w:top w:val="single" w:sz="4" w:space="0" w:color="auto"/>
              <w:bottom w:val="single" w:sz="4" w:space="0" w:color="auto"/>
            </w:tcBorders>
            <w:vAlign w:val="center"/>
          </w:tcPr>
          <w:p w14:paraId="03C0D1B9" w14:textId="77777777" w:rsidR="00CC530B" w:rsidRDefault="00CC530B" w:rsidP="00D407A3">
            <w:pPr>
              <w:spacing w:before="60" w:after="60" w:line="240" w:lineRule="auto"/>
              <w:jc w:val="center"/>
              <w:rPr>
                <w:rFonts w:cs="Calibri"/>
                <w:sz w:val="19"/>
                <w:szCs w:val="19"/>
                <w:lang w:val="fr-BE"/>
              </w:rPr>
            </w:pPr>
            <w:r>
              <w:rPr>
                <w:rFonts w:cs="Calibri"/>
                <w:sz w:val="19"/>
                <w:szCs w:val="19"/>
                <w:lang w:val="fr-BE"/>
              </w:rPr>
              <w:t>en</w:t>
            </w:r>
          </w:p>
        </w:tc>
      </w:tr>
      <w:tr w:rsidR="00CC530B" w:rsidRPr="00EC68B0" w14:paraId="579D739B" w14:textId="77777777" w:rsidTr="00D407A3">
        <w:trPr>
          <w:trHeight w:val="2030"/>
        </w:trPr>
        <w:tc>
          <w:tcPr>
            <w:tcW w:w="916" w:type="pct"/>
            <w:tcBorders>
              <w:top w:val="single" w:sz="4" w:space="0" w:color="auto"/>
              <w:bottom w:val="single" w:sz="4" w:space="0" w:color="auto"/>
            </w:tcBorders>
            <w:shd w:val="clear" w:color="auto" w:fill="D9D9D9" w:themeFill="background1" w:themeFillShade="D9"/>
          </w:tcPr>
          <w:p w14:paraId="34DFDCA0" w14:textId="77777777" w:rsidR="00CC530B" w:rsidRPr="00EC68B0" w:rsidRDefault="00CC530B" w:rsidP="00D407A3">
            <w:pPr>
              <w:spacing w:before="60" w:after="60" w:line="240" w:lineRule="auto"/>
              <w:jc w:val="center"/>
              <w:rPr>
                <w:noProof/>
                <w:lang w:eastAsia="en-IE"/>
              </w:rPr>
            </w:pPr>
            <w:r w:rsidRPr="00EC68B0">
              <w:rPr>
                <w:noProof/>
              </w:rPr>
              <w:drawing>
                <wp:inline distT="0" distB="0" distL="0" distR="0" wp14:anchorId="012F0258" wp14:editId="0379AA69">
                  <wp:extent cx="871869" cy="1243183"/>
                  <wp:effectExtent l="0" t="0" r="4445" b="0"/>
                  <wp:docPr id="17" name="Picture 17"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78912" cy="1253226"/>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B1FBF38" w14:textId="77777777" w:rsidR="00CC530B" w:rsidRPr="00EC68B0" w:rsidRDefault="00CC530B" w:rsidP="00D407A3">
            <w:pPr>
              <w:pStyle w:val="Heading1"/>
              <w:spacing w:before="60" w:after="60"/>
              <w:rPr>
                <w:rFonts w:cs="Calibri"/>
                <w:sz w:val="19"/>
                <w:szCs w:val="19"/>
              </w:rPr>
            </w:pPr>
            <w:r w:rsidRPr="00EC68B0">
              <w:rPr>
                <w:rFonts w:cs="Calibri"/>
                <w:sz w:val="19"/>
                <w:szCs w:val="19"/>
              </w:rPr>
              <w:t>EASY READ</w:t>
            </w:r>
          </w:p>
          <w:p w14:paraId="5BF779B2" w14:textId="77777777" w:rsidR="00CC530B" w:rsidRPr="00EC68B0" w:rsidRDefault="00CC530B" w:rsidP="00D407A3">
            <w:pPr>
              <w:pStyle w:val="Heading1"/>
              <w:spacing w:before="60" w:after="60"/>
              <w:rPr>
                <w:rFonts w:cs="Calibri"/>
                <w:sz w:val="19"/>
                <w:szCs w:val="19"/>
              </w:rPr>
            </w:pPr>
            <w:r w:rsidRPr="00EC68B0">
              <w:rPr>
                <w:rFonts w:cs="Calibri"/>
                <w:sz w:val="19"/>
                <w:szCs w:val="19"/>
              </w:rPr>
              <w:t>Choice and control: the right to live independently - Experiences of people with intellectual disabilities</w:t>
            </w:r>
          </w:p>
          <w:p w14:paraId="40047DE7" w14:textId="77777777" w:rsidR="00CC530B" w:rsidRPr="00EC68B0" w:rsidRDefault="00CC530B" w:rsidP="00D407A3">
            <w:pPr>
              <w:pStyle w:val="Heading1"/>
              <w:spacing w:before="60" w:after="60"/>
              <w:rPr>
                <w:rFonts w:cs="Calibri"/>
                <w:b w:val="0"/>
                <w:sz w:val="19"/>
                <w:szCs w:val="19"/>
              </w:rPr>
            </w:pPr>
            <w:r w:rsidRPr="00EC68B0">
              <w:rPr>
                <w:rFonts w:cs="Calibri"/>
                <w:b w:val="0"/>
                <w:sz w:val="19"/>
                <w:szCs w:val="19"/>
              </w:rPr>
              <w:lastRenderedPageBreak/>
              <w:t>June 2012</w:t>
            </w:r>
          </w:p>
        </w:tc>
        <w:tc>
          <w:tcPr>
            <w:tcW w:w="2128" w:type="pct"/>
            <w:tcBorders>
              <w:top w:val="single" w:sz="4" w:space="0" w:color="auto"/>
              <w:bottom w:val="single" w:sz="4" w:space="0" w:color="auto"/>
            </w:tcBorders>
          </w:tcPr>
          <w:p w14:paraId="075ED167" w14:textId="77777777" w:rsidR="00CC530B" w:rsidRPr="00EC68B0" w:rsidRDefault="00CC530B" w:rsidP="00D407A3">
            <w:pPr>
              <w:spacing w:before="60" w:after="60" w:line="240" w:lineRule="auto"/>
              <w:rPr>
                <w:rFonts w:cs="Calibri"/>
                <w:sz w:val="19"/>
                <w:szCs w:val="19"/>
                <w:lang w:eastAsia="en-IE"/>
              </w:rPr>
            </w:pPr>
            <w:r w:rsidRPr="00EC68B0">
              <w:rPr>
                <w:color w:val="333333"/>
                <w:sz w:val="19"/>
                <w:szCs w:val="19"/>
                <w:lang w:val="en"/>
              </w:rPr>
              <w:lastRenderedPageBreak/>
              <w:t>This summary in easy read format provides information about FRA’s work on the right to live independently.</w:t>
            </w:r>
          </w:p>
        </w:tc>
        <w:tc>
          <w:tcPr>
            <w:tcW w:w="798" w:type="pct"/>
            <w:tcBorders>
              <w:top w:val="single" w:sz="4" w:space="0" w:color="auto"/>
              <w:bottom w:val="single" w:sz="4" w:space="0" w:color="auto"/>
            </w:tcBorders>
            <w:vAlign w:val="center"/>
          </w:tcPr>
          <w:p w14:paraId="5B93FEA9" w14:textId="77777777" w:rsidR="00CC530B" w:rsidRPr="00EC68B0" w:rsidRDefault="00CC530B" w:rsidP="00D407A3">
            <w:pPr>
              <w:spacing w:before="60" w:after="60" w:line="240" w:lineRule="auto"/>
              <w:jc w:val="center"/>
              <w:rPr>
                <w:rFonts w:cs="Calibri"/>
                <w:sz w:val="19"/>
                <w:szCs w:val="19"/>
                <w:lang w:val="fr-BE"/>
              </w:rPr>
            </w:pPr>
            <w:r w:rsidRPr="00EC68B0">
              <w:rPr>
                <w:rFonts w:cs="Calibri"/>
                <w:sz w:val="19"/>
                <w:szCs w:val="19"/>
                <w:lang w:val="fr-BE"/>
              </w:rPr>
              <w:t>en</w:t>
            </w:r>
          </w:p>
        </w:tc>
      </w:tr>
      <w:tr w:rsidR="00CC530B" w:rsidRPr="00EC68B0" w14:paraId="51B885F1" w14:textId="77777777" w:rsidTr="00D407A3">
        <w:trPr>
          <w:trHeight w:val="2106"/>
        </w:trPr>
        <w:tc>
          <w:tcPr>
            <w:tcW w:w="916" w:type="pct"/>
            <w:tcBorders>
              <w:top w:val="single" w:sz="4" w:space="0" w:color="auto"/>
              <w:bottom w:val="single" w:sz="4" w:space="0" w:color="auto"/>
            </w:tcBorders>
            <w:shd w:val="clear" w:color="auto" w:fill="D9D9D9" w:themeFill="background1" w:themeFillShade="D9"/>
          </w:tcPr>
          <w:p w14:paraId="4E68F5D2" w14:textId="77777777" w:rsidR="00CC530B" w:rsidRPr="00EC68B0" w:rsidRDefault="00CC530B" w:rsidP="00D407A3">
            <w:pPr>
              <w:spacing w:before="60" w:after="60" w:line="240" w:lineRule="auto"/>
              <w:jc w:val="center"/>
              <w:rPr>
                <w:noProof/>
                <w:lang w:eastAsia="en-IE"/>
              </w:rPr>
            </w:pPr>
            <w:r w:rsidRPr="00EC68B0">
              <w:rPr>
                <w:noProof/>
              </w:rPr>
              <w:lastRenderedPageBreak/>
              <w:drawing>
                <wp:inline distT="0" distB="0" distL="0" distR="0" wp14:anchorId="6D8B39B6" wp14:editId="1131EFF7">
                  <wp:extent cx="871870" cy="1236224"/>
                  <wp:effectExtent l="0" t="0" r="4445" b="2540"/>
                  <wp:docPr id="20" name="Picture 20"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0570" cy="1248560"/>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2BAB6470" w14:textId="77777777" w:rsidR="00CC530B" w:rsidRPr="00EC68B0" w:rsidRDefault="00CC530B" w:rsidP="00D407A3">
            <w:pPr>
              <w:pStyle w:val="Heading1"/>
              <w:spacing w:before="60" w:after="60"/>
              <w:rPr>
                <w:rFonts w:cs="Calibri"/>
                <w:sz w:val="19"/>
                <w:szCs w:val="19"/>
              </w:rPr>
            </w:pPr>
            <w:r w:rsidRPr="00EC68B0">
              <w:rPr>
                <w:rFonts w:cs="Calibri"/>
                <w:sz w:val="19"/>
                <w:szCs w:val="19"/>
              </w:rPr>
              <w:t>EASY READ</w:t>
            </w:r>
          </w:p>
          <w:p w14:paraId="6938ECC9" w14:textId="77777777" w:rsidR="00CC530B" w:rsidRPr="00EC68B0" w:rsidRDefault="00CC530B" w:rsidP="00D407A3">
            <w:pPr>
              <w:pStyle w:val="Heading1"/>
              <w:spacing w:before="60" w:after="60"/>
              <w:rPr>
                <w:color w:val="000000"/>
                <w:sz w:val="19"/>
                <w:szCs w:val="19"/>
                <w:lang w:val="en"/>
              </w:rPr>
            </w:pPr>
            <w:r w:rsidRPr="00EC68B0">
              <w:rPr>
                <w:color w:val="000000"/>
                <w:sz w:val="19"/>
                <w:szCs w:val="19"/>
                <w:lang w:val="en"/>
              </w:rPr>
              <w:t>The rights of people with mental health problems and intellectual disabilities to take part in politics</w:t>
            </w:r>
          </w:p>
          <w:p w14:paraId="47E0BB87" w14:textId="77777777" w:rsidR="00CC530B" w:rsidRPr="00EC68B0" w:rsidRDefault="00CC530B" w:rsidP="00D407A3">
            <w:pPr>
              <w:pStyle w:val="Heading1"/>
              <w:spacing w:before="60" w:after="60"/>
              <w:rPr>
                <w:rFonts w:cs="Calibri"/>
                <w:b w:val="0"/>
                <w:sz w:val="19"/>
                <w:szCs w:val="19"/>
              </w:rPr>
            </w:pPr>
            <w:r w:rsidRPr="00EC68B0">
              <w:rPr>
                <w:b w:val="0"/>
                <w:color w:val="000000"/>
                <w:sz w:val="19"/>
                <w:szCs w:val="19"/>
                <w:lang w:val="en"/>
              </w:rPr>
              <w:t>November 2010</w:t>
            </w:r>
          </w:p>
        </w:tc>
        <w:tc>
          <w:tcPr>
            <w:tcW w:w="2128" w:type="pct"/>
            <w:tcBorders>
              <w:top w:val="single" w:sz="4" w:space="0" w:color="auto"/>
              <w:bottom w:val="single" w:sz="4" w:space="0" w:color="auto"/>
            </w:tcBorders>
          </w:tcPr>
          <w:p w14:paraId="13870216" w14:textId="77777777" w:rsidR="00CC530B" w:rsidRPr="00EC68B0" w:rsidRDefault="00CC530B" w:rsidP="00D407A3">
            <w:pPr>
              <w:spacing w:before="60" w:after="60" w:line="240" w:lineRule="auto"/>
              <w:rPr>
                <w:color w:val="333333"/>
                <w:sz w:val="19"/>
                <w:szCs w:val="19"/>
                <w:lang w:val="en"/>
              </w:rPr>
            </w:pPr>
            <w:r w:rsidRPr="00EC68B0">
              <w:rPr>
                <w:color w:val="333333"/>
                <w:sz w:val="19"/>
                <w:szCs w:val="19"/>
                <w:lang w:val="en"/>
              </w:rPr>
              <w:t xml:space="preserve">This summary in easy read format provides information about FRA’s work on the right to vote of persons with intellectual disabilities. </w:t>
            </w:r>
          </w:p>
        </w:tc>
        <w:tc>
          <w:tcPr>
            <w:tcW w:w="798" w:type="pct"/>
            <w:tcBorders>
              <w:top w:val="single" w:sz="4" w:space="0" w:color="auto"/>
              <w:bottom w:val="single" w:sz="4" w:space="0" w:color="auto"/>
            </w:tcBorders>
            <w:vAlign w:val="center"/>
          </w:tcPr>
          <w:p w14:paraId="3D67C9E1" w14:textId="77777777" w:rsidR="00CC530B" w:rsidRPr="00EC68B0" w:rsidRDefault="00CC530B" w:rsidP="00D407A3">
            <w:pPr>
              <w:spacing w:before="60" w:after="60" w:line="240" w:lineRule="auto"/>
              <w:jc w:val="center"/>
              <w:rPr>
                <w:rFonts w:cs="Calibri"/>
                <w:sz w:val="19"/>
                <w:szCs w:val="19"/>
                <w:lang w:val="fr-BE"/>
              </w:rPr>
            </w:pPr>
            <w:r w:rsidRPr="00EC68B0">
              <w:rPr>
                <w:rFonts w:cs="Calibri"/>
                <w:sz w:val="19"/>
                <w:szCs w:val="19"/>
                <w:lang w:val="fr-BE"/>
              </w:rPr>
              <w:t>en</w:t>
            </w:r>
          </w:p>
        </w:tc>
      </w:tr>
    </w:tbl>
    <w:p w14:paraId="68F5231D" w14:textId="1F0AE4DF" w:rsidR="005707A1" w:rsidRPr="002B198D" w:rsidRDefault="005707A1" w:rsidP="00672514"/>
    <w:sectPr w:rsidR="005707A1" w:rsidRPr="002B198D" w:rsidSect="00A946C3">
      <w:headerReference w:type="default" r:id="rId129"/>
      <w:footerReference w:type="default" r:id="rId130"/>
      <w:headerReference w:type="first" r:id="rId131"/>
      <w:footerReference w:type="first" r:id="rId132"/>
      <w:pgSz w:w="11900" w:h="16840" w:code="9"/>
      <w:pgMar w:top="2268" w:right="1418" w:bottom="1418" w:left="1418" w:header="567" w:footer="567"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0AEDB" w14:textId="77777777" w:rsidR="00C02ADA" w:rsidRDefault="00C02ADA" w:rsidP="00FF2306">
      <w:r>
        <w:separator/>
      </w:r>
    </w:p>
  </w:endnote>
  <w:endnote w:type="continuationSeparator" w:id="0">
    <w:p w14:paraId="7EC6459E" w14:textId="77777777" w:rsidR="00C02ADA" w:rsidRDefault="00C02ADA" w:rsidP="00FF2306">
      <w:r>
        <w:continuationSeparator/>
      </w:r>
    </w:p>
  </w:endnote>
  <w:endnote w:type="continuationNotice" w:id="1">
    <w:p w14:paraId="4E7CEECC" w14:textId="77777777" w:rsidR="00C02ADA" w:rsidRDefault="00C02A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DaxlinePro-Regular">
    <w:altName w:val="DaxlinePro-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xlinePro-RegularItalic">
    <w:altName w:val="DaxlinePro-Regular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D297" w14:textId="77777777" w:rsidR="00C02ADA" w:rsidRDefault="00C02ADA" w:rsidP="00CC530B"/>
  <w:p w14:paraId="49A8BA81" w14:textId="77777777" w:rsidR="00C02ADA" w:rsidRPr="001833D4" w:rsidRDefault="00C02ADA" w:rsidP="00CC530B">
    <w:pPr>
      <w:ind w:left="-170"/>
      <w:rPr>
        <w:spacing w:val="-4"/>
        <w:w w:val="95"/>
        <w:kern w:val="16"/>
        <w:sz w:val="12"/>
        <w:szCs w:val="12"/>
      </w:rPr>
    </w:pPr>
    <w:r w:rsidRPr="001833D4">
      <w:rPr>
        <w:noProof/>
        <w:w w:val="95"/>
        <w:sz w:val="12"/>
        <w:szCs w:val="12"/>
      </w:rPr>
      <w:drawing>
        <wp:anchor distT="0" distB="0" distL="114300" distR="114300" simplePos="0" relativeHeight="251658245" behindDoc="0" locked="0" layoutInCell="1" allowOverlap="1" wp14:anchorId="440E17D6" wp14:editId="6BB53A84">
          <wp:simplePos x="0" y="0"/>
          <wp:positionH relativeFrom="margin">
            <wp:posOffset>-101600</wp:posOffset>
          </wp:positionH>
          <wp:positionV relativeFrom="paragraph">
            <wp:posOffset>-125095</wp:posOffset>
          </wp:positionV>
          <wp:extent cx="862962" cy="1080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6907C3EC" w14:textId="77777777" w:rsidR="00C02ADA" w:rsidRPr="00CC530B" w:rsidRDefault="00C02ADA" w:rsidP="00CC530B">
    <w:pPr>
      <w:ind w:left="-170"/>
      <w:rPr>
        <w:color w:val="404040"/>
        <w:w w:val="95"/>
        <w:sz w:val="12"/>
        <w:szCs w:val="12"/>
        <w:lang w:val="de-AT"/>
      </w:rPr>
    </w:pPr>
    <w:r w:rsidRPr="00CC530B">
      <w:rPr>
        <w:color w:val="404040"/>
        <w:w w:val="95"/>
        <w:sz w:val="12"/>
        <w:szCs w:val="12"/>
        <w:lang w:val="de-AT"/>
      </w:rPr>
      <w:t xml:space="preserve">European Union Agency for Fundamental Rights </w:t>
    </w:r>
    <w:r w:rsidRPr="00CC530B">
      <w:rPr>
        <w:b/>
        <w:color w:val="F9DD16"/>
        <w:w w:val="95"/>
        <w:sz w:val="12"/>
        <w:szCs w:val="12"/>
        <w:lang w:val="de-AT"/>
      </w:rPr>
      <w:t>|</w:t>
    </w:r>
    <w:r w:rsidRPr="00CC530B">
      <w:rPr>
        <w:color w:val="404040"/>
        <w:w w:val="95"/>
        <w:sz w:val="12"/>
        <w:szCs w:val="12"/>
        <w:lang w:val="de-AT"/>
      </w:rPr>
      <w:t xml:space="preserve"> Agentur der Europäischen Union für Grundrechte </w:t>
    </w:r>
    <w:r w:rsidRPr="00CC530B">
      <w:rPr>
        <w:b/>
        <w:color w:val="F9DD16"/>
        <w:w w:val="95"/>
        <w:sz w:val="12"/>
        <w:szCs w:val="12"/>
        <w:lang w:val="de-AT"/>
      </w:rPr>
      <w:t>|</w:t>
    </w:r>
    <w:r w:rsidRPr="00CC530B">
      <w:rPr>
        <w:color w:val="404040"/>
        <w:w w:val="95"/>
        <w:sz w:val="12"/>
        <w:szCs w:val="12"/>
        <w:lang w:val="de-AT"/>
      </w:rPr>
      <w:t xml:space="preserve"> Agence des droits fondamentaux de l’Union Européenne</w:t>
    </w:r>
  </w:p>
  <w:p w14:paraId="69F42580" w14:textId="77777777" w:rsidR="00C02ADA" w:rsidRPr="00CC530B" w:rsidRDefault="00C02ADA" w:rsidP="00CC530B">
    <w:pPr>
      <w:ind w:left="-170"/>
      <w:rPr>
        <w:color w:val="404040"/>
        <w:w w:val="95"/>
        <w:sz w:val="12"/>
        <w:szCs w:val="12"/>
        <w:lang w:val="de-AT"/>
      </w:rPr>
    </w:pPr>
    <w:r w:rsidRPr="00CC530B">
      <w:rPr>
        <w:color w:val="404040"/>
        <w:w w:val="95"/>
        <w:sz w:val="12"/>
        <w:szCs w:val="12"/>
        <w:lang w:val="de-AT"/>
      </w:rPr>
      <w:t xml:space="preserve">Schwarzenbergplatz 11 </w:t>
    </w:r>
    <w:r w:rsidRPr="00CC530B">
      <w:rPr>
        <w:b/>
        <w:color w:val="F9DD16"/>
        <w:w w:val="95"/>
        <w:sz w:val="12"/>
        <w:szCs w:val="12"/>
        <w:lang w:val="de-AT"/>
      </w:rPr>
      <w:t>|</w:t>
    </w:r>
    <w:r w:rsidRPr="00CC530B">
      <w:rPr>
        <w:color w:val="404040"/>
        <w:w w:val="95"/>
        <w:sz w:val="12"/>
        <w:szCs w:val="12"/>
        <w:lang w:val="de-AT"/>
      </w:rPr>
      <w:t xml:space="preserve"> 1040 Vienna </w:t>
    </w:r>
    <w:r w:rsidRPr="00CC530B">
      <w:rPr>
        <w:b/>
        <w:color w:val="F9DD16"/>
        <w:w w:val="95"/>
        <w:sz w:val="12"/>
        <w:szCs w:val="12"/>
        <w:lang w:val="de-AT"/>
      </w:rPr>
      <w:t>|</w:t>
    </w:r>
    <w:r w:rsidRPr="00CC530B">
      <w:rPr>
        <w:color w:val="404040"/>
        <w:w w:val="95"/>
        <w:sz w:val="12"/>
        <w:szCs w:val="12"/>
        <w:lang w:val="de-AT"/>
      </w:rPr>
      <w:t xml:space="preserve"> Austria </w:t>
    </w:r>
    <w:r w:rsidRPr="00CC530B">
      <w:rPr>
        <w:b/>
        <w:color w:val="F9DD16"/>
        <w:w w:val="95"/>
        <w:sz w:val="12"/>
        <w:szCs w:val="12"/>
        <w:lang w:val="de-AT"/>
      </w:rPr>
      <w:t>|</w:t>
    </w:r>
    <w:r w:rsidRPr="00CC530B">
      <w:rPr>
        <w:color w:val="404040"/>
        <w:w w:val="95"/>
        <w:sz w:val="12"/>
        <w:szCs w:val="12"/>
        <w:lang w:val="de-AT"/>
      </w:rPr>
      <w:t xml:space="preserve"> T +43 (1) 580 30 - 0 </w:t>
    </w:r>
    <w:r w:rsidRPr="00CC530B">
      <w:rPr>
        <w:b/>
        <w:color w:val="F9DD16"/>
        <w:w w:val="95"/>
        <w:sz w:val="12"/>
        <w:szCs w:val="12"/>
        <w:lang w:val="de-AT"/>
      </w:rPr>
      <w:t>|</w:t>
    </w:r>
    <w:r w:rsidRPr="00CC530B">
      <w:rPr>
        <w:color w:val="404040"/>
        <w:w w:val="95"/>
        <w:sz w:val="12"/>
        <w:szCs w:val="12"/>
        <w:lang w:val="de-AT"/>
      </w:rPr>
      <w:t xml:space="preserve"> info@fra.europa.eu</w:t>
    </w:r>
  </w:p>
  <w:p w14:paraId="578FEEAA" w14:textId="25AF73BD" w:rsidR="00C02ADA" w:rsidRPr="00CC530B" w:rsidRDefault="00C02ADA" w:rsidP="00CC530B">
    <w:pPr>
      <w:ind w:left="-170"/>
      <w:rPr>
        <w:color w:val="404040"/>
        <w:w w:val="95"/>
        <w:sz w:val="12"/>
        <w:szCs w:val="12"/>
      </w:rPr>
    </w:pPr>
    <w:r w:rsidRPr="00621F02">
      <w:rPr>
        <w:color w:val="404040"/>
        <w:w w:val="95"/>
        <w:sz w:val="12"/>
        <w:szCs w:val="12"/>
      </w:rPr>
      <w:t xml:space="preserve">fra.europa.eu </w:t>
    </w:r>
    <w:r w:rsidRPr="00621F02">
      <w:rPr>
        <w:b/>
        <w:color w:val="F9DD16"/>
        <w:w w:val="95"/>
        <w:sz w:val="12"/>
        <w:szCs w:val="12"/>
      </w:rPr>
      <w:t>|</w:t>
    </w:r>
    <w:r w:rsidRPr="00621F02">
      <w:rPr>
        <w:color w:val="404040"/>
        <w:w w:val="95"/>
        <w:sz w:val="12"/>
        <w:szCs w:val="12"/>
      </w:rPr>
      <w:t xml:space="preserve"> www.facebook.com/fundamentalrights </w:t>
    </w:r>
    <w:r w:rsidRPr="00621F02">
      <w:rPr>
        <w:b/>
        <w:color w:val="F9DD16"/>
        <w:w w:val="95"/>
        <w:sz w:val="12"/>
        <w:szCs w:val="12"/>
      </w:rPr>
      <w:t>|</w:t>
    </w:r>
    <w:r w:rsidRPr="00621F02">
      <w:rPr>
        <w:color w:val="404040"/>
        <w:w w:val="95"/>
        <w:sz w:val="12"/>
        <w:szCs w:val="12"/>
      </w:rPr>
      <w:t xml:space="preserve"> twitter.com/EURightsAgency </w:t>
    </w:r>
    <w:r w:rsidRPr="00621F02">
      <w:rPr>
        <w:b/>
        <w:color w:val="F9DD16"/>
        <w:w w:val="95"/>
        <w:sz w:val="12"/>
        <w:szCs w:val="12"/>
      </w:rPr>
      <w:t>|</w:t>
    </w:r>
    <w:r w:rsidRPr="00621F02">
      <w:rPr>
        <w:color w:val="404040"/>
        <w:w w:val="95"/>
        <w:sz w:val="12"/>
        <w:szCs w:val="12"/>
      </w:rPr>
      <w:t xml:space="preserve"> www.linkedin.com/company/eu-fundamental-rights-agency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88D97" w14:textId="17C5705B" w:rsidR="00C02ADA" w:rsidRDefault="00C02ADA" w:rsidP="00CC530B">
    <w:r>
      <w:rPr>
        <w:noProof/>
      </w:rPr>
      <mc:AlternateContent>
        <mc:Choice Requires="wps">
          <w:drawing>
            <wp:anchor distT="4294967295" distB="4294967295" distL="114300" distR="114300" simplePos="0" relativeHeight="251658243" behindDoc="0" locked="1" layoutInCell="0" allowOverlap="0" wp14:anchorId="6CD4AADA" wp14:editId="35AB660E">
              <wp:simplePos x="0" y="0"/>
              <wp:positionH relativeFrom="page">
                <wp:posOffset>7275195</wp:posOffset>
              </wp:positionH>
              <wp:positionV relativeFrom="page">
                <wp:posOffset>3695064</wp:posOffset>
              </wp:positionV>
              <wp:extent cx="28829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19055" id="Straight Connector 53" o:spid="_x0000_s1026" style="position:absolute;z-index:251658243;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" o:allowincell="f" o:allowoverlap="f" strokecolor="gray">
              <w10:wrap anchorx="page" anchory="page"/>
              <w10:anchorlock/>
            </v:line>
          </w:pict>
        </mc:Fallback>
      </mc:AlternateContent>
    </w:r>
  </w:p>
  <w:p w14:paraId="58BCCBAC" w14:textId="77777777" w:rsidR="00C02ADA" w:rsidRDefault="00C02ADA" w:rsidP="00CC530B"/>
  <w:p w14:paraId="5DDE5BF3" w14:textId="77777777" w:rsidR="00C02ADA" w:rsidRPr="001833D4" w:rsidRDefault="00C02ADA" w:rsidP="00CC530B">
    <w:pPr>
      <w:ind w:left="-170"/>
      <w:rPr>
        <w:spacing w:val="-4"/>
        <w:w w:val="95"/>
        <w:kern w:val="16"/>
        <w:sz w:val="12"/>
        <w:szCs w:val="12"/>
      </w:rPr>
    </w:pPr>
    <w:r w:rsidRPr="001833D4">
      <w:rPr>
        <w:noProof/>
        <w:w w:val="95"/>
        <w:sz w:val="12"/>
        <w:szCs w:val="12"/>
      </w:rPr>
      <w:drawing>
        <wp:anchor distT="0" distB="0" distL="114300" distR="114300" simplePos="0" relativeHeight="251658242" behindDoc="0" locked="0" layoutInCell="1" allowOverlap="1" wp14:anchorId="6E1FC49C" wp14:editId="53C68716">
          <wp:simplePos x="0" y="0"/>
          <wp:positionH relativeFrom="margin">
            <wp:posOffset>-101600</wp:posOffset>
          </wp:positionH>
          <wp:positionV relativeFrom="paragraph">
            <wp:posOffset>-125095</wp:posOffset>
          </wp:positionV>
          <wp:extent cx="862962" cy="1080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367A6AA5" w14:textId="77777777" w:rsidR="00C02ADA" w:rsidRPr="00CC530B" w:rsidRDefault="00C02ADA" w:rsidP="00CC530B">
    <w:pPr>
      <w:ind w:left="-170"/>
      <w:rPr>
        <w:color w:val="404040"/>
        <w:w w:val="95"/>
        <w:sz w:val="12"/>
        <w:szCs w:val="12"/>
        <w:lang w:val="de-AT"/>
      </w:rPr>
    </w:pPr>
    <w:r w:rsidRPr="00CC530B">
      <w:rPr>
        <w:color w:val="404040"/>
        <w:w w:val="95"/>
        <w:sz w:val="12"/>
        <w:szCs w:val="12"/>
        <w:lang w:val="de-AT"/>
      </w:rPr>
      <w:t xml:space="preserve">European Union Agency for Fundamental Rights </w:t>
    </w:r>
    <w:r w:rsidRPr="00CC530B">
      <w:rPr>
        <w:b/>
        <w:color w:val="F9DD16"/>
        <w:w w:val="95"/>
        <w:sz w:val="12"/>
        <w:szCs w:val="12"/>
        <w:lang w:val="de-AT"/>
      </w:rPr>
      <w:t>|</w:t>
    </w:r>
    <w:r w:rsidRPr="00CC530B">
      <w:rPr>
        <w:color w:val="404040"/>
        <w:w w:val="95"/>
        <w:sz w:val="12"/>
        <w:szCs w:val="12"/>
        <w:lang w:val="de-AT"/>
      </w:rPr>
      <w:t xml:space="preserve"> Agentur der Europäischen Union für Grundrechte </w:t>
    </w:r>
    <w:r w:rsidRPr="00CC530B">
      <w:rPr>
        <w:b/>
        <w:color w:val="F9DD16"/>
        <w:w w:val="95"/>
        <w:sz w:val="12"/>
        <w:szCs w:val="12"/>
        <w:lang w:val="de-AT"/>
      </w:rPr>
      <w:t>|</w:t>
    </w:r>
    <w:r w:rsidRPr="00CC530B">
      <w:rPr>
        <w:color w:val="404040"/>
        <w:w w:val="95"/>
        <w:sz w:val="12"/>
        <w:szCs w:val="12"/>
        <w:lang w:val="de-AT"/>
      </w:rPr>
      <w:t xml:space="preserve"> Agence des droits fondamentaux de l’Union Européenne</w:t>
    </w:r>
  </w:p>
  <w:p w14:paraId="115A0EF7" w14:textId="77777777" w:rsidR="00C02ADA" w:rsidRPr="00CC530B" w:rsidRDefault="00C02ADA" w:rsidP="00CC530B">
    <w:pPr>
      <w:ind w:left="-170"/>
      <w:rPr>
        <w:color w:val="404040"/>
        <w:w w:val="95"/>
        <w:sz w:val="12"/>
        <w:szCs w:val="12"/>
        <w:lang w:val="de-AT"/>
      </w:rPr>
    </w:pPr>
    <w:r w:rsidRPr="00CC530B">
      <w:rPr>
        <w:color w:val="404040"/>
        <w:w w:val="95"/>
        <w:sz w:val="12"/>
        <w:szCs w:val="12"/>
        <w:lang w:val="de-AT"/>
      </w:rPr>
      <w:t xml:space="preserve">Schwarzenbergplatz 11 </w:t>
    </w:r>
    <w:r w:rsidRPr="00CC530B">
      <w:rPr>
        <w:b/>
        <w:color w:val="F9DD16"/>
        <w:w w:val="95"/>
        <w:sz w:val="12"/>
        <w:szCs w:val="12"/>
        <w:lang w:val="de-AT"/>
      </w:rPr>
      <w:t>|</w:t>
    </w:r>
    <w:r w:rsidRPr="00CC530B">
      <w:rPr>
        <w:color w:val="404040"/>
        <w:w w:val="95"/>
        <w:sz w:val="12"/>
        <w:szCs w:val="12"/>
        <w:lang w:val="de-AT"/>
      </w:rPr>
      <w:t xml:space="preserve"> 1040 Vienna </w:t>
    </w:r>
    <w:r w:rsidRPr="00CC530B">
      <w:rPr>
        <w:b/>
        <w:color w:val="F9DD16"/>
        <w:w w:val="95"/>
        <w:sz w:val="12"/>
        <w:szCs w:val="12"/>
        <w:lang w:val="de-AT"/>
      </w:rPr>
      <w:t>|</w:t>
    </w:r>
    <w:r w:rsidRPr="00CC530B">
      <w:rPr>
        <w:color w:val="404040"/>
        <w:w w:val="95"/>
        <w:sz w:val="12"/>
        <w:szCs w:val="12"/>
        <w:lang w:val="de-AT"/>
      </w:rPr>
      <w:t xml:space="preserve"> Austria </w:t>
    </w:r>
    <w:r w:rsidRPr="00CC530B">
      <w:rPr>
        <w:b/>
        <w:color w:val="F9DD16"/>
        <w:w w:val="95"/>
        <w:sz w:val="12"/>
        <w:szCs w:val="12"/>
        <w:lang w:val="de-AT"/>
      </w:rPr>
      <w:t>|</w:t>
    </w:r>
    <w:r w:rsidRPr="00CC530B">
      <w:rPr>
        <w:color w:val="404040"/>
        <w:w w:val="95"/>
        <w:sz w:val="12"/>
        <w:szCs w:val="12"/>
        <w:lang w:val="de-AT"/>
      </w:rPr>
      <w:t xml:space="preserve"> T +43 (1) 580 30 - 0 </w:t>
    </w:r>
    <w:r w:rsidRPr="00CC530B">
      <w:rPr>
        <w:b/>
        <w:color w:val="F9DD16"/>
        <w:w w:val="95"/>
        <w:sz w:val="12"/>
        <w:szCs w:val="12"/>
        <w:lang w:val="de-AT"/>
      </w:rPr>
      <w:t>|</w:t>
    </w:r>
    <w:r w:rsidRPr="00CC530B">
      <w:rPr>
        <w:color w:val="404040"/>
        <w:w w:val="95"/>
        <w:sz w:val="12"/>
        <w:szCs w:val="12"/>
        <w:lang w:val="de-AT"/>
      </w:rPr>
      <w:t xml:space="preserve"> info@fra.europa.eu</w:t>
    </w:r>
  </w:p>
  <w:p w14:paraId="2919137F" w14:textId="6169E88F" w:rsidR="00C02ADA" w:rsidRPr="00CC530B" w:rsidRDefault="00C02ADA" w:rsidP="00CC530B">
    <w:pPr>
      <w:ind w:left="-170"/>
      <w:rPr>
        <w:color w:val="404040"/>
        <w:w w:val="95"/>
        <w:sz w:val="12"/>
        <w:szCs w:val="12"/>
      </w:rPr>
    </w:pPr>
    <w:r w:rsidRPr="00621F02">
      <w:rPr>
        <w:color w:val="404040"/>
        <w:w w:val="95"/>
        <w:sz w:val="12"/>
        <w:szCs w:val="12"/>
      </w:rPr>
      <w:t xml:space="preserve">fra.europa.eu </w:t>
    </w:r>
    <w:r w:rsidRPr="00621F02">
      <w:rPr>
        <w:b/>
        <w:color w:val="F9DD16"/>
        <w:w w:val="95"/>
        <w:sz w:val="12"/>
        <w:szCs w:val="12"/>
      </w:rPr>
      <w:t>|</w:t>
    </w:r>
    <w:r w:rsidRPr="00621F02">
      <w:rPr>
        <w:color w:val="404040"/>
        <w:w w:val="95"/>
        <w:sz w:val="12"/>
        <w:szCs w:val="12"/>
      </w:rPr>
      <w:t xml:space="preserve"> www.facebook.com/fundamentalrights </w:t>
    </w:r>
    <w:r w:rsidRPr="00621F02">
      <w:rPr>
        <w:b/>
        <w:color w:val="F9DD16"/>
        <w:w w:val="95"/>
        <w:sz w:val="12"/>
        <w:szCs w:val="12"/>
      </w:rPr>
      <w:t>|</w:t>
    </w:r>
    <w:r w:rsidRPr="00621F02">
      <w:rPr>
        <w:color w:val="404040"/>
        <w:w w:val="95"/>
        <w:sz w:val="12"/>
        <w:szCs w:val="12"/>
      </w:rPr>
      <w:t xml:space="preserve"> twitter.com/EURightsAgency </w:t>
    </w:r>
    <w:r w:rsidRPr="00621F02">
      <w:rPr>
        <w:b/>
        <w:color w:val="F9DD16"/>
        <w:w w:val="95"/>
        <w:sz w:val="12"/>
        <w:szCs w:val="12"/>
      </w:rPr>
      <w:t>|</w:t>
    </w:r>
    <w:r w:rsidRPr="00621F02">
      <w:rPr>
        <w:color w:val="404040"/>
        <w:w w:val="95"/>
        <w:sz w:val="12"/>
        <w:szCs w:val="12"/>
      </w:rPr>
      <w:t xml:space="preserve"> www.linkedin.com/company/eu-fundamental-rights-agency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D8A32" w14:textId="77777777" w:rsidR="00C02ADA" w:rsidRDefault="00C02ADA" w:rsidP="00FF2306">
      <w:r>
        <w:separator/>
      </w:r>
    </w:p>
  </w:footnote>
  <w:footnote w:type="continuationSeparator" w:id="0">
    <w:p w14:paraId="3626A760" w14:textId="77777777" w:rsidR="00C02ADA" w:rsidRDefault="00C02ADA" w:rsidP="00FF2306">
      <w:r>
        <w:continuationSeparator/>
      </w:r>
    </w:p>
  </w:footnote>
  <w:footnote w:type="continuationNotice" w:id="1">
    <w:p w14:paraId="26BE5BF7" w14:textId="77777777" w:rsidR="00C02ADA" w:rsidRDefault="00C02ADA">
      <w:pPr>
        <w:spacing w:line="240" w:lineRule="auto"/>
      </w:pPr>
    </w:p>
  </w:footnote>
  <w:footnote w:id="2">
    <w:p w14:paraId="0E8702C9" w14:textId="04040089" w:rsidR="00C02ADA" w:rsidRPr="002B6F7E" w:rsidRDefault="00C02ADA">
      <w:pPr>
        <w:pStyle w:val="FootnoteText"/>
        <w:rPr>
          <w:lang w:val="en-IE"/>
        </w:rPr>
      </w:pPr>
      <w:r w:rsidRPr="002B6F7E">
        <w:rPr>
          <w:rStyle w:val="FootnoteReference"/>
        </w:rPr>
        <w:footnoteRef/>
      </w:r>
      <w:r w:rsidRPr="002B6F7E">
        <w:t xml:space="preserve"> </w:t>
      </w:r>
      <w:r w:rsidRPr="00266E9B">
        <w:rPr>
          <w:rFonts w:cs="DaxlinePro-Regular"/>
          <w:color w:val="000000"/>
        </w:rPr>
        <w:t xml:space="preserve">ECtHR, </w:t>
      </w:r>
      <w:hyperlink r:id="rId1" w:history="1">
        <w:r w:rsidRPr="00266E9B">
          <w:rPr>
            <w:rStyle w:val="Hyperlink"/>
            <w:rFonts w:cs="DaxlinePro-Regular"/>
          </w:rPr>
          <w:t>Glor v. Switzerland</w:t>
        </w:r>
      </w:hyperlink>
      <w:r w:rsidRPr="00266E9B">
        <w:rPr>
          <w:rFonts w:eastAsia="DaxlinePro-RegularItalic" w:cs="DaxlinePro-Regular"/>
          <w:color w:val="000000"/>
        </w:rPr>
        <w:t>, No. 13444/04, 30 April 2009.</w:t>
      </w:r>
    </w:p>
  </w:footnote>
  <w:footnote w:id="3">
    <w:p w14:paraId="4251DE60" w14:textId="69F6A824" w:rsidR="00C02ADA" w:rsidRPr="006E22EC" w:rsidRDefault="00C02ADA">
      <w:pPr>
        <w:pStyle w:val="FootnoteText"/>
        <w:rPr>
          <w:lang w:val="en-IE"/>
        </w:rPr>
      </w:pPr>
      <w:r>
        <w:rPr>
          <w:rStyle w:val="FootnoteReference"/>
        </w:rPr>
        <w:footnoteRef/>
      </w:r>
      <w:r>
        <w:t xml:space="preserve"> </w:t>
      </w:r>
      <w:r w:rsidRPr="00266E9B">
        <w:rPr>
          <w:rFonts w:cs="DaxlinePro-Regular"/>
          <w:color w:val="000000"/>
        </w:rPr>
        <w:t xml:space="preserve">ECtHR, </w:t>
      </w:r>
      <w:hyperlink r:id="rId2" w:history="1">
        <w:r w:rsidRPr="00266E9B">
          <w:rPr>
            <w:rStyle w:val="Hyperlink"/>
            <w:rFonts w:cs="DaxlinePro-Regular"/>
          </w:rPr>
          <w:t>Glor v. Switzerland</w:t>
        </w:r>
      </w:hyperlink>
      <w:r>
        <w:rPr>
          <w:rFonts w:eastAsia="DaxlinePro-RegularItalic" w:cs="DaxlinePro-Regular"/>
          <w:color w:val="000000"/>
        </w:rPr>
        <w:t xml:space="preserve">, No. 13444/04, 30 April 2009; </w:t>
      </w:r>
      <w:r>
        <w:t xml:space="preserve">ECtHR, </w:t>
      </w:r>
      <w:hyperlink r:id="rId3" w:history="1">
        <w:r>
          <w:rPr>
            <w:rStyle w:val="Hyperlink"/>
          </w:rPr>
          <w:t>Pretty v. the United Kingdom</w:t>
        </w:r>
      </w:hyperlink>
      <w:r>
        <w:t>, No. 2346/02, 29 April 2002.</w:t>
      </w:r>
    </w:p>
  </w:footnote>
  <w:footnote w:id="4">
    <w:p w14:paraId="32923825" w14:textId="17DA9418" w:rsidR="00C02ADA" w:rsidRPr="003D0AF4" w:rsidRDefault="00C02ADA">
      <w:pPr>
        <w:pStyle w:val="FootnoteText"/>
        <w:rPr>
          <w:lang w:val="en-IE"/>
        </w:rPr>
      </w:pPr>
      <w:r>
        <w:rPr>
          <w:rStyle w:val="FootnoteReference"/>
        </w:rPr>
        <w:footnoteRef/>
      </w:r>
      <w:r>
        <w:t xml:space="preserve"> </w:t>
      </w:r>
      <w:r>
        <w:rPr>
          <w:rFonts w:cs="DaxlinePro-Regular"/>
          <w:color w:val="000000"/>
          <w:sz w:val="14"/>
          <w:szCs w:val="14"/>
        </w:rPr>
        <w:t xml:space="preserve">ECtHR, </w:t>
      </w:r>
      <w:r>
        <w:rPr>
          <w:rFonts w:ascii="DaxlinePro-RegularItalic" w:hAnsi="DaxlinePro-RegularItalic" w:cs="DaxlinePro-RegularItalic"/>
          <w:i/>
          <w:iCs/>
          <w:color w:val="000000"/>
          <w:sz w:val="14"/>
          <w:szCs w:val="14"/>
        </w:rPr>
        <w:t>Artico v. Italy</w:t>
      </w:r>
      <w:r>
        <w:rPr>
          <w:rFonts w:cs="DaxlinePro-Regular"/>
          <w:color w:val="000000"/>
          <w:sz w:val="14"/>
          <w:szCs w:val="14"/>
        </w:rPr>
        <w:t>, No. 6694/74, 13 May 1980, para. 33.</w:t>
      </w:r>
    </w:p>
  </w:footnote>
  <w:footnote w:id="5">
    <w:p w14:paraId="679BC316" w14:textId="38BD7738" w:rsidR="00C02ADA" w:rsidRPr="00EC0525" w:rsidRDefault="00C02ADA">
      <w:pPr>
        <w:pStyle w:val="FootnoteText"/>
        <w:rPr>
          <w:lang w:val="en-IE"/>
        </w:rPr>
      </w:pPr>
      <w:r>
        <w:rPr>
          <w:rStyle w:val="FootnoteReference"/>
        </w:rPr>
        <w:footnoteRef/>
      </w:r>
      <w:r>
        <w:t xml:space="preserve"> ECtHR, </w:t>
      </w:r>
      <w:r w:rsidRPr="00EC0525">
        <w:rPr>
          <w:i/>
        </w:rPr>
        <w:t>Nenov v. Bulgaria</w:t>
      </w:r>
      <w:r>
        <w:t>, No. 33738/02, 16 July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C66B" w14:textId="2DDB2A3C" w:rsidR="00C02ADA" w:rsidRDefault="00C02ADA" w:rsidP="009D1346">
    <w:pPr>
      <w:ind w:left="-567"/>
      <w:jc w:val="left"/>
    </w:pPr>
    <w:r>
      <w:rPr>
        <w:noProof/>
      </w:rPr>
      <w:drawing>
        <wp:anchor distT="0" distB="0" distL="114300" distR="114300" simplePos="0" relativeHeight="251658244" behindDoc="0" locked="0" layoutInCell="1" allowOverlap="1" wp14:anchorId="4BF00E8C" wp14:editId="536AE707">
          <wp:simplePos x="0" y="0"/>
          <wp:positionH relativeFrom="page">
            <wp:posOffset>900430</wp:posOffset>
          </wp:positionH>
          <wp:positionV relativeFrom="page">
            <wp:posOffset>549910</wp:posOffset>
          </wp:positionV>
          <wp:extent cx="1645200" cy="720000"/>
          <wp:effectExtent l="0" t="0" r="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png"/>
                  <pic:cNvPicPr/>
                </pic:nvPicPr>
                <pic:blipFill>
                  <a:blip r:embed="rId1">
                    <a:extLst>
                      <a:ext uri="{28A0092B-C50C-407E-A947-70E740481C1C}">
                        <a14:useLocalDpi xmlns:a14="http://schemas.microsoft.com/office/drawing/2010/main" val="0"/>
                      </a:ext>
                    </a:extLst>
                  </a:blip>
                  <a:stretch>
                    <a:fillRect/>
                  </a:stretch>
                </pic:blipFill>
                <pic:spPr>
                  <a:xfrm>
                    <a:off x="0" y="0"/>
                    <a:ext cx="1645200" cy="720000"/>
                  </a:xfrm>
                  <a:prstGeom prst="rect">
                    <a:avLst/>
                  </a:prstGeom>
                </pic:spPr>
              </pic:pic>
            </a:graphicData>
          </a:graphic>
          <wp14:sizeRelH relativeFrom="margin">
            <wp14:pctWidth>0</wp14:pctWidth>
          </wp14:sizeRelH>
          <wp14:sizeRelV relativeFrom="margin">
            <wp14:pctHeight>0</wp14:pctHeight>
          </wp14:sizeRelV>
        </wp:anchor>
      </w:drawing>
    </w:r>
  </w:p>
  <w:p w14:paraId="3F07ED68" w14:textId="273B6D41" w:rsidR="00C02ADA" w:rsidRPr="00DD0DCC" w:rsidRDefault="00C02ADA" w:rsidP="00BC2677">
    <w:pPr>
      <w:ind w:left="-567"/>
      <w:jc w:val="right"/>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6374" w14:textId="66BF2220" w:rsidR="00C02ADA" w:rsidRPr="00DD0DCC" w:rsidRDefault="00C02ADA" w:rsidP="009D1346">
    <w:pPr>
      <w:ind w:left="-567"/>
      <w:jc w:val="left"/>
      <w:rPr>
        <w:rFonts w:ascii="Arial" w:hAnsi="Arial" w:cs="Arial"/>
      </w:rPr>
    </w:pPr>
    <w:r>
      <w:rPr>
        <w:noProof/>
      </w:rPr>
      <w:drawing>
        <wp:anchor distT="0" distB="0" distL="114300" distR="114300" simplePos="0" relativeHeight="251658241" behindDoc="0" locked="0" layoutInCell="1" allowOverlap="1" wp14:anchorId="0F83E212" wp14:editId="518497C4">
          <wp:simplePos x="0" y="0"/>
          <wp:positionH relativeFrom="page">
            <wp:posOffset>900430</wp:posOffset>
          </wp:positionH>
          <wp:positionV relativeFrom="page">
            <wp:posOffset>538480</wp:posOffset>
          </wp:positionV>
          <wp:extent cx="1645200" cy="720000"/>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png"/>
                  <pic:cNvPicPr/>
                </pic:nvPicPr>
                <pic:blipFill>
                  <a:blip r:embed="rId1">
                    <a:extLst>
                      <a:ext uri="{28A0092B-C50C-407E-A947-70E740481C1C}">
                        <a14:useLocalDpi xmlns:a14="http://schemas.microsoft.com/office/drawing/2010/main" val="0"/>
                      </a:ext>
                    </a:extLst>
                  </a:blip>
                  <a:stretch>
                    <a:fillRect/>
                  </a:stretch>
                </pic:blipFill>
                <pic:spPr>
                  <a:xfrm>
                    <a:off x="0" y="0"/>
                    <a:ext cx="1645200" cy="72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4294967295" distB="4294967295" distL="114300" distR="114300" simplePos="0" relativeHeight="251658240" behindDoc="0" locked="1" layoutInCell="0" allowOverlap="0" wp14:anchorId="5EB4C6B5" wp14:editId="5838032A">
              <wp:simplePos x="0" y="0"/>
              <wp:positionH relativeFrom="page">
                <wp:posOffset>7275195</wp:posOffset>
              </wp:positionH>
              <wp:positionV relativeFrom="page">
                <wp:posOffset>3695064</wp:posOffset>
              </wp:positionV>
              <wp:extent cx="288290" cy="0"/>
              <wp:effectExtent l="0" t="0" r="355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C68D53"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" o:allowincell="f" o:allowoverlap="f" strokecolor="gray">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A2D2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BE41DA8"/>
    <w:lvl w:ilvl="0">
      <w:start w:val="1"/>
      <w:numFmt w:val="decimal"/>
      <w:lvlText w:val="%1."/>
      <w:lvlJc w:val="left"/>
      <w:pPr>
        <w:tabs>
          <w:tab w:val="num" w:pos="1492"/>
        </w:tabs>
        <w:ind w:left="1492" w:hanging="360"/>
      </w:pPr>
    </w:lvl>
  </w:abstractNum>
  <w:abstractNum w:abstractNumId="2">
    <w:nsid w:val="FFFFFF7D"/>
    <w:multiLevelType w:val="singleLevel"/>
    <w:tmpl w:val="236AFCA4"/>
    <w:lvl w:ilvl="0">
      <w:start w:val="1"/>
      <w:numFmt w:val="decimal"/>
      <w:lvlText w:val="%1."/>
      <w:lvlJc w:val="left"/>
      <w:pPr>
        <w:tabs>
          <w:tab w:val="num" w:pos="1209"/>
        </w:tabs>
        <w:ind w:left="1209" w:hanging="360"/>
      </w:pPr>
    </w:lvl>
  </w:abstractNum>
  <w:abstractNum w:abstractNumId="3">
    <w:nsid w:val="FFFFFF7E"/>
    <w:multiLevelType w:val="singleLevel"/>
    <w:tmpl w:val="C63A585C"/>
    <w:lvl w:ilvl="0">
      <w:start w:val="1"/>
      <w:numFmt w:val="decimal"/>
      <w:lvlText w:val="%1."/>
      <w:lvlJc w:val="left"/>
      <w:pPr>
        <w:tabs>
          <w:tab w:val="num" w:pos="926"/>
        </w:tabs>
        <w:ind w:left="926" w:hanging="360"/>
      </w:pPr>
    </w:lvl>
  </w:abstractNum>
  <w:abstractNum w:abstractNumId="4">
    <w:nsid w:val="FFFFFF7F"/>
    <w:multiLevelType w:val="singleLevel"/>
    <w:tmpl w:val="35EA9FBE"/>
    <w:lvl w:ilvl="0">
      <w:start w:val="1"/>
      <w:numFmt w:val="decimal"/>
      <w:lvlText w:val="%1."/>
      <w:lvlJc w:val="left"/>
      <w:pPr>
        <w:tabs>
          <w:tab w:val="num" w:pos="643"/>
        </w:tabs>
        <w:ind w:left="643" w:hanging="360"/>
      </w:pPr>
    </w:lvl>
  </w:abstractNum>
  <w:abstractNum w:abstractNumId="5">
    <w:nsid w:val="FFFFFF80"/>
    <w:multiLevelType w:val="singleLevel"/>
    <w:tmpl w:val="EEB076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D1E6C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26DFE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AD4DE9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D846EC"/>
    <w:lvl w:ilvl="0">
      <w:start w:val="1"/>
      <w:numFmt w:val="decimal"/>
      <w:lvlText w:val="%1."/>
      <w:lvlJc w:val="left"/>
      <w:pPr>
        <w:tabs>
          <w:tab w:val="num" w:pos="360"/>
        </w:tabs>
        <w:ind w:left="360" w:hanging="360"/>
      </w:pPr>
    </w:lvl>
  </w:abstractNum>
  <w:abstractNum w:abstractNumId="10">
    <w:nsid w:val="FFFFFF89"/>
    <w:multiLevelType w:val="singleLevel"/>
    <w:tmpl w:val="F924624E"/>
    <w:lvl w:ilvl="0">
      <w:start w:val="1"/>
      <w:numFmt w:val="bullet"/>
      <w:lvlText w:val=""/>
      <w:lvlJc w:val="left"/>
      <w:pPr>
        <w:tabs>
          <w:tab w:val="num" w:pos="360"/>
        </w:tabs>
        <w:ind w:left="360" w:hanging="360"/>
      </w:pPr>
      <w:rPr>
        <w:rFonts w:ascii="Symbol" w:hAnsi="Symbol" w:hint="default"/>
      </w:rPr>
    </w:lvl>
  </w:abstractNum>
  <w:abstractNum w:abstractNumId="11">
    <w:nsid w:val="10222958"/>
    <w:multiLevelType w:val="hybridMultilevel"/>
    <w:tmpl w:val="A82C37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BF3A3E"/>
    <w:multiLevelType w:val="hybridMultilevel"/>
    <w:tmpl w:val="A246FB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18BB7A79"/>
    <w:multiLevelType w:val="hybridMultilevel"/>
    <w:tmpl w:val="6FFA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D66299"/>
    <w:multiLevelType w:val="hybridMultilevel"/>
    <w:tmpl w:val="AAE47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6233A4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9BB2C0F"/>
    <w:multiLevelType w:val="hybridMultilevel"/>
    <w:tmpl w:val="DE146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A217A01"/>
    <w:multiLevelType w:val="hybridMultilevel"/>
    <w:tmpl w:val="C506F1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33086FC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4945800"/>
    <w:multiLevelType w:val="hybridMultilevel"/>
    <w:tmpl w:val="3022FB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A2D07B0"/>
    <w:multiLevelType w:val="hybridMultilevel"/>
    <w:tmpl w:val="24F67F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795540E"/>
    <w:multiLevelType w:val="hybridMultilevel"/>
    <w:tmpl w:val="BBCAA7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4EA307B3"/>
    <w:multiLevelType w:val="hybridMultilevel"/>
    <w:tmpl w:val="F87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68448D9"/>
    <w:multiLevelType w:val="multilevel"/>
    <w:tmpl w:val="338257CC"/>
    <w:styleLink w:val="FRAHeadings"/>
    <w:lvl w:ilvl="0">
      <w:start w:val="1"/>
      <w:numFmt w:val="decimal"/>
      <w:pStyle w:val="FRAHeading1"/>
      <w:lvlText w:val="%1"/>
      <w:lvlJc w:val="left"/>
      <w:pPr>
        <w:ind w:left="907" w:hanging="907"/>
      </w:pPr>
      <w:rPr>
        <w:rFonts w:hint="default"/>
      </w:rPr>
    </w:lvl>
    <w:lvl w:ilvl="1">
      <w:start w:val="1"/>
      <w:numFmt w:val="decimal"/>
      <w:pStyle w:val="FRAHeading2"/>
      <w:lvlText w:val="%1.%2"/>
      <w:lvlJc w:val="left"/>
      <w:pPr>
        <w:ind w:left="907" w:hanging="907"/>
      </w:pPr>
      <w:rPr>
        <w:rFonts w:hint="default"/>
      </w:rPr>
    </w:lvl>
    <w:lvl w:ilvl="2">
      <w:start w:val="1"/>
      <w:numFmt w:val="decimal"/>
      <w:pStyle w:val="FRAHeading3"/>
      <w:lvlText w:val="%1.%2.%3"/>
      <w:lvlJc w:val="left"/>
      <w:pPr>
        <w:ind w:left="907" w:hanging="907"/>
      </w:pPr>
      <w:rPr>
        <w:rFonts w:hint="default"/>
      </w:rPr>
    </w:lvl>
    <w:lvl w:ilvl="3">
      <w:start w:val="1"/>
      <w:numFmt w:val="none"/>
      <w:pStyle w:val="FRAHeading4Unnumbered"/>
      <w:lvlText w:val=""/>
      <w:lvlJc w:val="left"/>
      <w:pPr>
        <w:ind w:left="907" w:hanging="907"/>
      </w:pPr>
      <w:rPr>
        <w:rFonts w:hint="default"/>
      </w:rPr>
    </w:lvl>
    <w:lvl w:ilvl="4">
      <w:start w:val="1"/>
      <w:numFmt w:val="decimal"/>
      <w:lvlText w:val="%5."/>
      <w:lvlJc w:val="left"/>
      <w:pPr>
        <w:ind w:left="284" w:firstLine="0"/>
      </w:pPr>
      <w:rPr>
        <w:rFonts w:hint="default"/>
      </w:rPr>
    </w:lvl>
    <w:lvl w:ilvl="5">
      <w:start w:val="1"/>
      <w:numFmt w:val="bullet"/>
      <w:lvlRestart w:val="0"/>
      <w:pStyle w:val="FRAListBullet"/>
      <w:lvlText w:val=""/>
      <w:lvlJc w:val="left"/>
      <w:pPr>
        <w:ind w:left="284" w:firstLine="0"/>
      </w:pPr>
      <w:rPr>
        <w:rFonts w:ascii="Symbol" w:hAnsi="Symbol" w:hint="default"/>
        <w:color w:val="auto"/>
      </w:rPr>
    </w:lvl>
    <w:lvl w:ilvl="6">
      <w:start w:val="1"/>
      <w:numFmt w:val="none"/>
      <w:lvlText w:val="%7."/>
      <w:lvlJc w:val="left"/>
      <w:pPr>
        <w:ind w:left="907" w:hanging="907"/>
      </w:pPr>
      <w:rPr>
        <w:rFonts w:hint="default"/>
      </w:rPr>
    </w:lvl>
    <w:lvl w:ilvl="7">
      <w:start w:val="1"/>
      <w:numFmt w:val="none"/>
      <w:lvlText w:val="%8."/>
      <w:lvlJc w:val="left"/>
      <w:pPr>
        <w:ind w:left="907" w:hanging="907"/>
      </w:pPr>
      <w:rPr>
        <w:rFonts w:hint="default"/>
      </w:rPr>
    </w:lvl>
    <w:lvl w:ilvl="8">
      <w:start w:val="1"/>
      <w:numFmt w:val="none"/>
      <w:lvlText w:val="%9."/>
      <w:lvlJc w:val="right"/>
      <w:pPr>
        <w:ind w:left="907" w:hanging="907"/>
      </w:pPr>
      <w:rPr>
        <w:rFonts w:hint="default"/>
      </w:rPr>
    </w:lvl>
  </w:abstractNum>
  <w:abstractNum w:abstractNumId="24">
    <w:nsid w:val="6AC60D5A"/>
    <w:multiLevelType w:val="hybridMultilevel"/>
    <w:tmpl w:val="860616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22"/>
  </w:num>
  <w:num w:numId="13">
    <w:abstractNumId w:val="11"/>
  </w:num>
  <w:num w:numId="14">
    <w:abstractNumId w:val="21"/>
  </w:num>
  <w:num w:numId="15">
    <w:abstractNumId w:val="20"/>
  </w:num>
  <w:num w:numId="16">
    <w:abstractNumId w:val="18"/>
  </w:num>
  <w:num w:numId="17">
    <w:abstractNumId w:val="15"/>
  </w:num>
  <w:num w:numId="18">
    <w:abstractNumId w:val="23"/>
  </w:num>
  <w:num w:numId="19">
    <w:abstractNumId w:val="23"/>
    <w:lvlOverride w:ilvl="0">
      <w:lvl w:ilvl="0">
        <w:start w:val="1"/>
        <w:numFmt w:val="decimal"/>
        <w:pStyle w:val="FRAHeading1"/>
        <w:lvlText w:val="%1"/>
        <w:lvlJc w:val="left"/>
        <w:pPr>
          <w:ind w:left="907" w:hanging="907"/>
        </w:pPr>
        <w:rPr>
          <w:rFonts w:hint="default"/>
          <w:b/>
        </w:rPr>
      </w:lvl>
    </w:lvlOverride>
    <w:lvlOverride w:ilvl="1">
      <w:lvl w:ilvl="1">
        <w:start w:val="1"/>
        <w:numFmt w:val="decimal"/>
        <w:pStyle w:val="FRAHeading2"/>
        <w:lvlText w:val="%1.%2"/>
        <w:lvlJc w:val="left"/>
        <w:pPr>
          <w:ind w:left="907" w:hanging="907"/>
        </w:pPr>
        <w:rPr>
          <w:rFonts w:hint="default"/>
        </w:rPr>
      </w:lvl>
    </w:lvlOverride>
    <w:lvlOverride w:ilvl="2">
      <w:lvl w:ilvl="2">
        <w:start w:val="1"/>
        <w:numFmt w:val="decimal"/>
        <w:pStyle w:val="FRAHeading3"/>
        <w:lvlText w:val="%1.%2.%3"/>
        <w:lvlJc w:val="left"/>
        <w:pPr>
          <w:ind w:left="1191" w:hanging="907"/>
        </w:pPr>
        <w:rPr>
          <w:rFonts w:hint="default"/>
        </w:rPr>
      </w:lvl>
    </w:lvlOverride>
    <w:lvlOverride w:ilvl="3">
      <w:lvl w:ilvl="3">
        <w:start w:val="1"/>
        <w:numFmt w:val="none"/>
        <w:pStyle w:val="FRAHeading4Unnumbered"/>
        <w:lvlText w:val=""/>
        <w:lvlJc w:val="left"/>
        <w:pPr>
          <w:ind w:left="907" w:hanging="907"/>
        </w:pPr>
        <w:rPr>
          <w:rFonts w:hint="default"/>
        </w:rPr>
      </w:lvl>
    </w:lvlOverride>
    <w:lvlOverride w:ilvl="4">
      <w:lvl w:ilvl="4">
        <w:start w:val="1"/>
        <w:numFmt w:val="decimal"/>
        <w:lvlText w:val="%5."/>
        <w:lvlJc w:val="left"/>
        <w:pPr>
          <w:ind w:left="284" w:firstLine="0"/>
        </w:pPr>
        <w:rPr>
          <w:rFonts w:hint="default"/>
        </w:rPr>
      </w:lvl>
    </w:lvlOverride>
    <w:lvlOverride w:ilvl="5">
      <w:lvl w:ilvl="5">
        <w:start w:val="1"/>
        <w:numFmt w:val="bullet"/>
        <w:lvlRestart w:val="0"/>
        <w:pStyle w:val="FRAListBullet"/>
        <w:lvlText w:val=""/>
        <w:lvlJc w:val="left"/>
        <w:pPr>
          <w:ind w:left="284" w:firstLine="0"/>
        </w:pPr>
        <w:rPr>
          <w:rFonts w:ascii="Symbol" w:hAnsi="Symbol" w:hint="default"/>
          <w:color w:val="auto"/>
        </w:rPr>
      </w:lvl>
    </w:lvlOverride>
    <w:lvlOverride w:ilvl="6">
      <w:lvl w:ilvl="6">
        <w:start w:val="1"/>
        <w:numFmt w:val="none"/>
        <w:lvlText w:val="%7."/>
        <w:lvlJc w:val="left"/>
        <w:pPr>
          <w:ind w:left="907" w:hanging="907"/>
        </w:pPr>
        <w:rPr>
          <w:rFonts w:hint="default"/>
        </w:rPr>
      </w:lvl>
    </w:lvlOverride>
    <w:lvlOverride w:ilvl="7">
      <w:lvl w:ilvl="7">
        <w:start w:val="1"/>
        <w:numFmt w:val="none"/>
        <w:lvlText w:val="%8."/>
        <w:lvlJc w:val="left"/>
        <w:pPr>
          <w:ind w:left="907" w:hanging="907"/>
        </w:pPr>
        <w:rPr>
          <w:rFonts w:hint="default"/>
        </w:rPr>
      </w:lvl>
    </w:lvlOverride>
    <w:lvlOverride w:ilvl="8">
      <w:lvl w:ilvl="8">
        <w:start w:val="1"/>
        <w:numFmt w:val="none"/>
        <w:lvlText w:val="%9."/>
        <w:lvlJc w:val="right"/>
        <w:pPr>
          <w:ind w:left="907" w:hanging="907"/>
        </w:pPr>
        <w:rPr>
          <w:rFonts w:hint="default"/>
        </w:rPr>
      </w:lvl>
    </w:lvlOverride>
  </w:num>
  <w:num w:numId="20">
    <w:abstractNumId w:val="14"/>
  </w:num>
  <w:num w:numId="21">
    <w:abstractNumId w:val="16"/>
  </w:num>
  <w:num w:numId="22">
    <w:abstractNumId w:val="1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8673">
      <o:colormru v:ext="edit" colors="#f9dd16,#ffe223,#ffe023,yellow"/>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F8"/>
    <w:rsid w:val="00003377"/>
    <w:rsid w:val="000051BA"/>
    <w:rsid w:val="00011C84"/>
    <w:rsid w:val="000144BB"/>
    <w:rsid w:val="000212D0"/>
    <w:rsid w:val="00023114"/>
    <w:rsid w:val="00035E24"/>
    <w:rsid w:val="00037ADE"/>
    <w:rsid w:val="000429FB"/>
    <w:rsid w:val="000436FB"/>
    <w:rsid w:val="00046959"/>
    <w:rsid w:val="0005484E"/>
    <w:rsid w:val="00061E46"/>
    <w:rsid w:val="00064439"/>
    <w:rsid w:val="00064DA8"/>
    <w:rsid w:val="000657D6"/>
    <w:rsid w:val="00077D1B"/>
    <w:rsid w:val="00082CB8"/>
    <w:rsid w:val="00087993"/>
    <w:rsid w:val="000901B7"/>
    <w:rsid w:val="00091851"/>
    <w:rsid w:val="00093E3C"/>
    <w:rsid w:val="000A1117"/>
    <w:rsid w:val="000A18BE"/>
    <w:rsid w:val="000B1075"/>
    <w:rsid w:val="000B7487"/>
    <w:rsid w:val="000C0C08"/>
    <w:rsid w:val="000C4A4E"/>
    <w:rsid w:val="000D35DA"/>
    <w:rsid w:val="000E3981"/>
    <w:rsid w:val="000F65A4"/>
    <w:rsid w:val="00102FD9"/>
    <w:rsid w:val="0010689E"/>
    <w:rsid w:val="00107F56"/>
    <w:rsid w:val="0011110D"/>
    <w:rsid w:val="00113760"/>
    <w:rsid w:val="001156C5"/>
    <w:rsid w:val="00120F68"/>
    <w:rsid w:val="00120F87"/>
    <w:rsid w:val="00131C2A"/>
    <w:rsid w:val="00146835"/>
    <w:rsid w:val="00146E39"/>
    <w:rsid w:val="001478F6"/>
    <w:rsid w:val="0015022B"/>
    <w:rsid w:val="00157F73"/>
    <w:rsid w:val="001611FF"/>
    <w:rsid w:val="00161289"/>
    <w:rsid w:val="001625F5"/>
    <w:rsid w:val="001734A0"/>
    <w:rsid w:val="00180FF5"/>
    <w:rsid w:val="00183F15"/>
    <w:rsid w:val="001939DC"/>
    <w:rsid w:val="00196603"/>
    <w:rsid w:val="001A376F"/>
    <w:rsid w:val="001A5B96"/>
    <w:rsid w:val="001B2FF1"/>
    <w:rsid w:val="001D7EC7"/>
    <w:rsid w:val="001E4E07"/>
    <w:rsid w:val="001F0D94"/>
    <w:rsid w:val="001F5067"/>
    <w:rsid w:val="00205DA7"/>
    <w:rsid w:val="0020622C"/>
    <w:rsid w:val="0021127E"/>
    <w:rsid w:val="0021494A"/>
    <w:rsid w:val="00220B54"/>
    <w:rsid w:val="00222044"/>
    <w:rsid w:val="00223BAC"/>
    <w:rsid w:val="002314C3"/>
    <w:rsid w:val="0023772D"/>
    <w:rsid w:val="0024089C"/>
    <w:rsid w:val="00245F1E"/>
    <w:rsid w:val="00254150"/>
    <w:rsid w:val="0025561B"/>
    <w:rsid w:val="00262385"/>
    <w:rsid w:val="0026275E"/>
    <w:rsid w:val="00266E9B"/>
    <w:rsid w:val="00271D8E"/>
    <w:rsid w:val="00274554"/>
    <w:rsid w:val="00287DA1"/>
    <w:rsid w:val="002A7F6C"/>
    <w:rsid w:val="002B198D"/>
    <w:rsid w:val="002B6F7E"/>
    <w:rsid w:val="002B7609"/>
    <w:rsid w:val="002C5EEE"/>
    <w:rsid w:val="002C7457"/>
    <w:rsid w:val="002D2CAE"/>
    <w:rsid w:val="002D52A3"/>
    <w:rsid w:val="002E0146"/>
    <w:rsid w:val="002E21B8"/>
    <w:rsid w:val="002E2A8B"/>
    <w:rsid w:val="002F1817"/>
    <w:rsid w:val="00301C19"/>
    <w:rsid w:val="003057EB"/>
    <w:rsid w:val="003060F9"/>
    <w:rsid w:val="003074A0"/>
    <w:rsid w:val="0031585B"/>
    <w:rsid w:val="003242F6"/>
    <w:rsid w:val="00324DAE"/>
    <w:rsid w:val="00330507"/>
    <w:rsid w:val="00340043"/>
    <w:rsid w:val="00344353"/>
    <w:rsid w:val="00344A37"/>
    <w:rsid w:val="00350A5B"/>
    <w:rsid w:val="00350C0F"/>
    <w:rsid w:val="00352ECA"/>
    <w:rsid w:val="00364754"/>
    <w:rsid w:val="00370BBF"/>
    <w:rsid w:val="0037117B"/>
    <w:rsid w:val="00382046"/>
    <w:rsid w:val="0038568E"/>
    <w:rsid w:val="0039138C"/>
    <w:rsid w:val="0039339A"/>
    <w:rsid w:val="00393EEC"/>
    <w:rsid w:val="00397E9F"/>
    <w:rsid w:val="003A3E0D"/>
    <w:rsid w:val="003A75B7"/>
    <w:rsid w:val="003B0738"/>
    <w:rsid w:val="003C60A3"/>
    <w:rsid w:val="003C7967"/>
    <w:rsid w:val="003D0AF4"/>
    <w:rsid w:val="003D5B27"/>
    <w:rsid w:val="003E1427"/>
    <w:rsid w:val="003E27E5"/>
    <w:rsid w:val="003E3EFB"/>
    <w:rsid w:val="003F4514"/>
    <w:rsid w:val="003F67BF"/>
    <w:rsid w:val="003F6FAE"/>
    <w:rsid w:val="0041713E"/>
    <w:rsid w:val="004218CC"/>
    <w:rsid w:val="00441795"/>
    <w:rsid w:val="00446705"/>
    <w:rsid w:val="00447D29"/>
    <w:rsid w:val="0045150C"/>
    <w:rsid w:val="0045222C"/>
    <w:rsid w:val="00453C32"/>
    <w:rsid w:val="00456D8A"/>
    <w:rsid w:val="00462DEF"/>
    <w:rsid w:val="00467C70"/>
    <w:rsid w:val="00472212"/>
    <w:rsid w:val="00475757"/>
    <w:rsid w:val="004816C9"/>
    <w:rsid w:val="00482A08"/>
    <w:rsid w:val="00484C13"/>
    <w:rsid w:val="004851A5"/>
    <w:rsid w:val="0048643D"/>
    <w:rsid w:val="00490369"/>
    <w:rsid w:val="00493370"/>
    <w:rsid w:val="004936CB"/>
    <w:rsid w:val="004A3169"/>
    <w:rsid w:val="004A4B87"/>
    <w:rsid w:val="004A50BD"/>
    <w:rsid w:val="004B02D3"/>
    <w:rsid w:val="004C09BC"/>
    <w:rsid w:val="004C4A5B"/>
    <w:rsid w:val="004C5F92"/>
    <w:rsid w:val="004C720C"/>
    <w:rsid w:val="004C7879"/>
    <w:rsid w:val="004D144D"/>
    <w:rsid w:val="004D28EB"/>
    <w:rsid w:val="004D2F51"/>
    <w:rsid w:val="004D6D99"/>
    <w:rsid w:val="004E04B7"/>
    <w:rsid w:val="004E0A79"/>
    <w:rsid w:val="004E40A7"/>
    <w:rsid w:val="004E6C0A"/>
    <w:rsid w:val="004F1457"/>
    <w:rsid w:val="004F1BDB"/>
    <w:rsid w:val="004F5D90"/>
    <w:rsid w:val="005132EB"/>
    <w:rsid w:val="00513824"/>
    <w:rsid w:val="005138F5"/>
    <w:rsid w:val="005275CA"/>
    <w:rsid w:val="00530C0E"/>
    <w:rsid w:val="005355D9"/>
    <w:rsid w:val="0053660A"/>
    <w:rsid w:val="005374BD"/>
    <w:rsid w:val="005400EB"/>
    <w:rsid w:val="00541098"/>
    <w:rsid w:val="0054491D"/>
    <w:rsid w:val="00550CAD"/>
    <w:rsid w:val="00550CD3"/>
    <w:rsid w:val="00551130"/>
    <w:rsid w:val="00551368"/>
    <w:rsid w:val="005541EC"/>
    <w:rsid w:val="00565791"/>
    <w:rsid w:val="00567F4A"/>
    <w:rsid w:val="005707A1"/>
    <w:rsid w:val="00574240"/>
    <w:rsid w:val="00584DA4"/>
    <w:rsid w:val="00594A2B"/>
    <w:rsid w:val="005A17C8"/>
    <w:rsid w:val="005A1DDB"/>
    <w:rsid w:val="005A33FD"/>
    <w:rsid w:val="005E09E7"/>
    <w:rsid w:val="005E6CB5"/>
    <w:rsid w:val="005F0E25"/>
    <w:rsid w:val="0060109F"/>
    <w:rsid w:val="00604797"/>
    <w:rsid w:val="00606854"/>
    <w:rsid w:val="00613AF4"/>
    <w:rsid w:val="0061754C"/>
    <w:rsid w:val="00617777"/>
    <w:rsid w:val="00620075"/>
    <w:rsid w:val="00621368"/>
    <w:rsid w:val="00625692"/>
    <w:rsid w:val="00625732"/>
    <w:rsid w:val="00634DA3"/>
    <w:rsid w:val="006351EC"/>
    <w:rsid w:val="006353A4"/>
    <w:rsid w:val="00640B09"/>
    <w:rsid w:val="00644A4A"/>
    <w:rsid w:val="00651FF1"/>
    <w:rsid w:val="006533B8"/>
    <w:rsid w:val="006619E6"/>
    <w:rsid w:val="00662ECA"/>
    <w:rsid w:val="00664367"/>
    <w:rsid w:val="00672514"/>
    <w:rsid w:val="00673658"/>
    <w:rsid w:val="00674758"/>
    <w:rsid w:val="00686692"/>
    <w:rsid w:val="00691250"/>
    <w:rsid w:val="00692B92"/>
    <w:rsid w:val="00694072"/>
    <w:rsid w:val="00695506"/>
    <w:rsid w:val="00697E45"/>
    <w:rsid w:val="006A07A1"/>
    <w:rsid w:val="006B34E4"/>
    <w:rsid w:val="006B7215"/>
    <w:rsid w:val="006B726B"/>
    <w:rsid w:val="006D52C4"/>
    <w:rsid w:val="006D56F2"/>
    <w:rsid w:val="006E1387"/>
    <w:rsid w:val="006E22EC"/>
    <w:rsid w:val="006E29AE"/>
    <w:rsid w:val="006F0C19"/>
    <w:rsid w:val="006F201C"/>
    <w:rsid w:val="0070330D"/>
    <w:rsid w:val="00704F23"/>
    <w:rsid w:val="00714BB2"/>
    <w:rsid w:val="007250FD"/>
    <w:rsid w:val="00734BB5"/>
    <w:rsid w:val="00737AA0"/>
    <w:rsid w:val="00737AE7"/>
    <w:rsid w:val="00740227"/>
    <w:rsid w:val="0074164A"/>
    <w:rsid w:val="00742BA3"/>
    <w:rsid w:val="00752487"/>
    <w:rsid w:val="00754083"/>
    <w:rsid w:val="007616E4"/>
    <w:rsid w:val="00780648"/>
    <w:rsid w:val="00780DD0"/>
    <w:rsid w:val="007871A9"/>
    <w:rsid w:val="007878AD"/>
    <w:rsid w:val="00790641"/>
    <w:rsid w:val="0079128A"/>
    <w:rsid w:val="00792C0F"/>
    <w:rsid w:val="00796169"/>
    <w:rsid w:val="007A1796"/>
    <w:rsid w:val="007B2977"/>
    <w:rsid w:val="007B3B09"/>
    <w:rsid w:val="007B54ED"/>
    <w:rsid w:val="007C332F"/>
    <w:rsid w:val="007D63AF"/>
    <w:rsid w:val="007F6C77"/>
    <w:rsid w:val="00814832"/>
    <w:rsid w:val="0082048A"/>
    <w:rsid w:val="00826253"/>
    <w:rsid w:val="008327C3"/>
    <w:rsid w:val="00840132"/>
    <w:rsid w:val="00840DBF"/>
    <w:rsid w:val="0084155E"/>
    <w:rsid w:val="00842FFB"/>
    <w:rsid w:val="0086211D"/>
    <w:rsid w:val="0086623E"/>
    <w:rsid w:val="00881763"/>
    <w:rsid w:val="008866F2"/>
    <w:rsid w:val="00886A57"/>
    <w:rsid w:val="008A2E12"/>
    <w:rsid w:val="008B103B"/>
    <w:rsid w:val="008B47B6"/>
    <w:rsid w:val="008C2F5D"/>
    <w:rsid w:val="008C40CD"/>
    <w:rsid w:val="008D4646"/>
    <w:rsid w:val="008D7A6F"/>
    <w:rsid w:val="008E1C38"/>
    <w:rsid w:val="0090582B"/>
    <w:rsid w:val="00922876"/>
    <w:rsid w:val="009331BD"/>
    <w:rsid w:val="009360D0"/>
    <w:rsid w:val="00937EBB"/>
    <w:rsid w:val="009405AE"/>
    <w:rsid w:val="009417D2"/>
    <w:rsid w:val="009423E3"/>
    <w:rsid w:val="009459E3"/>
    <w:rsid w:val="009501C1"/>
    <w:rsid w:val="0095776B"/>
    <w:rsid w:val="00964441"/>
    <w:rsid w:val="0096716F"/>
    <w:rsid w:val="009673FD"/>
    <w:rsid w:val="00970B75"/>
    <w:rsid w:val="00975EF8"/>
    <w:rsid w:val="00976A6E"/>
    <w:rsid w:val="00982670"/>
    <w:rsid w:val="009B26BB"/>
    <w:rsid w:val="009B3909"/>
    <w:rsid w:val="009B485E"/>
    <w:rsid w:val="009C712A"/>
    <w:rsid w:val="009C7FD9"/>
    <w:rsid w:val="009D1346"/>
    <w:rsid w:val="009D31F2"/>
    <w:rsid w:val="009E0540"/>
    <w:rsid w:val="009E698B"/>
    <w:rsid w:val="00A03AC6"/>
    <w:rsid w:val="00A063C5"/>
    <w:rsid w:val="00A41C01"/>
    <w:rsid w:val="00A507AC"/>
    <w:rsid w:val="00A50E61"/>
    <w:rsid w:val="00A646C5"/>
    <w:rsid w:val="00A67406"/>
    <w:rsid w:val="00A76327"/>
    <w:rsid w:val="00A85C8E"/>
    <w:rsid w:val="00A92C65"/>
    <w:rsid w:val="00A93872"/>
    <w:rsid w:val="00A946C3"/>
    <w:rsid w:val="00A970BB"/>
    <w:rsid w:val="00AA4715"/>
    <w:rsid w:val="00AA73FF"/>
    <w:rsid w:val="00AB367A"/>
    <w:rsid w:val="00AC2B3A"/>
    <w:rsid w:val="00AC3E0B"/>
    <w:rsid w:val="00AC5A75"/>
    <w:rsid w:val="00AD122F"/>
    <w:rsid w:val="00AF3C94"/>
    <w:rsid w:val="00AF7C2D"/>
    <w:rsid w:val="00AF7C62"/>
    <w:rsid w:val="00B014F9"/>
    <w:rsid w:val="00B033EA"/>
    <w:rsid w:val="00B05672"/>
    <w:rsid w:val="00B17F21"/>
    <w:rsid w:val="00B3068E"/>
    <w:rsid w:val="00B420EF"/>
    <w:rsid w:val="00B4508E"/>
    <w:rsid w:val="00B5195B"/>
    <w:rsid w:val="00B55288"/>
    <w:rsid w:val="00B57865"/>
    <w:rsid w:val="00B7062C"/>
    <w:rsid w:val="00B76910"/>
    <w:rsid w:val="00B81BED"/>
    <w:rsid w:val="00B86F7C"/>
    <w:rsid w:val="00B918EF"/>
    <w:rsid w:val="00B944B3"/>
    <w:rsid w:val="00B95881"/>
    <w:rsid w:val="00BA219F"/>
    <w:rsid w:val="00BB4D84"/>
    <w:rsid w:val="00BC1EB3"/>
    <w:rsid w:val="00BC2677"/>
    <w:rsid w:val="00BC526D"/>
    <w:rsid w:val="00BC64FC"/>
    <w:rsid w:val="00BE6465"/>
    <w:rsid w:val="00BF03CA"/>
    <w:rsid w:val="00BF6475"/>
    <w:rsid w:val="00BF6AA2"/>
    <w:rsid w:val="00C02ADA"/>
    <w:rsid w:val="00C04D96"/>
    <w:rsid w:val="00C079AE"/>
    <w:rsid w:val="00C11212"/>
    <w:rsid w:val="00C22C1A"/>
    <w:rsid w:val="00C474C8"/>
    <w:rsid w:val="00C62127"/>
    <w:rsid w:val="00C638DB"/>
    <w:rsid w:val="00C81850"/>
    <w:rsid w:val="00C82EC6"/>
    <w:rsid w:val="00C92193"/>
    <w:rsid w:val="00C97674"/>
    <w:rsid w:val="00CA4120"/>
    <w:rsid w:val="00CB450B"/>
    <w:rsid w:val="00CB62F8"/>
    <w:rsid w:val="00CC218D"/>
    <w:rsid w:val="00CC4884"/>
    <w:rsid w:val="00CC530B"/>
    <w:rsid w:val="00CC659A"/>
    <w:rsid w:val="00CD0B03"/>
    <w:rsid w:val="00CD5726"/>
    <w:rsid w:val="00CD788F"/>
    <w:rsid w:val="00CE06A0"/>
    <w:rsid w:val="00CE3744"/>
    <w:rsid w:val="00CF198D"/>
    <w:rsid w:val="00CF43CC"/>
    <w:rsid w:val="00CF4FF3"/>
    <w:rsid w:val="00CF6B81"/>
    <w:rsid w:val="00D015F0"/>
    <w:rsid w:val="00D11CB9"/>
    <w:rsid w:val="00D2711F"/>
    <w:rsid w:val="00D32634"/>
    <w:rsid w:val="00D34E9A"/>
    <w:rsid w:val="00D37EB3"/>
    <w:rsid w:val="00D407A3"/>
    <w:rsid w:val="00D418D3"/>
    <w:rsid w:val="00D47FE0"/>
    <w:rsid w:val="00D52208"/>
    <w:rsid w:val="00D54E9F"/>
    <w:rsid w:val="00D60342"/>
    <w:rsid w:val="00D63037"/>
    <w:rsid w:val="00D67DFC"/>
    <w:rsid w:val="00D7168F"/>
    <w:rsid w:val="00D851E0"/>
    <w:rsid w:val="00DA17E4"/>
    <w:rsid w:val="00DA3D17"/>
    <w:rsid w:val="00DA7664"/>
    <w:rsid w:val="00DA7B02"/>
    <w:rsid w:val="00DB4D27"/>
    <w:rsid w:val="00DB54C3"/>
    <w:rsid w:val="00DD0BCB"/>
    <w:rsid w:val="00DD0DCC"/>
    <w:rsid w:val="00DD2CD5"/>
    <w:rsid w:val="00DD6221"/>
    <w:rsid w:val="00DD6CD6"/>
    <w:rsid w:val="00DE08E0"/>
    <w:rsid w:val="00DE5832"/>
    <w:rsid w:val="00DF14A5"/>
    <w:rsid w:val="00E10933"/>
    <w:rsid w:val="00E140C4"/>
    <w:rsid w:val="00E14261"/>
    <w:rsid w:val="00E16ED2"/>
    <w:rsid w:val="00E23B70"/>
    <w:rsid w:val="00E3655F"/>
    <w:rsid w:val="00E45F66"/>
    <w:rsid w:val="00E555BE"/>
    <w:rsid w:val="00E57DF6"/>
    <w:rsid w:val="00E608F8"/>
    <w:rsid w:val="00E64EC8"/>
    <w:rsid w:val="00E7060F"/>
    <w:rsid w:val="00E74936"/>
    <w:rsid w:val="00E75DA5"/>
    <w:rsid w:val="00E77625"/>
    <w:rsid w:val="00E77E1C"/>
    <w:rsid w:val="00E83E3B"/>
    <w:rsid w:val="00E8490B"/>
    <w:rsid w:val="00E86291"/>
    <w:rsid w:val="00E91010"/>
    <w:rsid w:val="00E93093"/>
    <w:rsid w:val="00E9409F"/>
    <w:rsid w:val="00EA0D64"/>
    <w:rsid w:val="00EA4826"/>
    <w:rsid w:val="00EB0B1A"/>
    <w:rsid w:val="00EB7291"/>
    <w:rsid w:val="00EC0525"/>
    <w:rsid w:val="00EC0F19"/>
    <w:rsid w:val="00EC1789"/>
    <w:rsid w:val="00EC47D0"/>
    <w:rsid w:val="00ED053C"/>
    <w:rsid w:val="00ED3546"/>
    <w:rsid w:val="00ED48CC"/>
    <w:rsid w:val="00EF328B"/>
    <w:rsid w:val="00EF34B6"/>
    <w:rsid w:val="00EF55AC"/>
    <w:rsid w:val="00F0292D"/>
    <w:rsid w:val="00F02D2E"/>
    <w:rsid w:val="00F0306C"/>
    <w:rsid w:val="00F03FE4"/>
    <w:rsid w:val="00F102A8"/>
    <w:rsid w:val="00F111B4"/>
    <w:rsid w:val="00F13C38"/>
    <w:rsid w:val="00F208A1"/>
    <w:rsid w:val="00F21446"/>
    <w:rsid w:val="00F25D10"/>
    <w:rsid w:val="00F264FF"/>
    <w:rsid w:val="00F26847"/>
    <w:rsid w:val="00F27B30"/>
    <w:rsid w:val="00F33B71"/>
    <w:rsid w:val="00F368DB"/>
    <w:rsid w:val="00F558F3"/>
    <w:rsid w:val="00F66A13"/>
    <w:rsid w:val="00F70188"/>
    <w:rsid w:val="00F8450F"/>
    <w:rsid w:val="00F90BCC"/>
    <w:rsid w:val="00F91255"/>
    <w:rsid w:val="00F91FB3"/>
    <w:rsid w:val="00F92B6E"/>
    <w:rsid w:val="00FA0827"/>
    <w:rsid w:val="00FA601C"/>
    <w:rsid w:val="00FB439A"/>
    <w:rsid w:val="00FD01C8"/>
    <w:rsid w:val="00FD41A0"/>
    <w:rsid w:val="00FD59EE"/>
    <w:rsid w:val="00FE6793"/>
    <w:rsid w:val="00FF05FE"/>
    <w:rsid w:val="00FF2306"/>
    <w:rsid w:val="00FF47E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f9dd16,#ffe223,#ffe023,yellow"/>
    </o:shapedefaults>
    <o:shapelayout v:ext="edit">
      <o:idmap v:ext="edit" data="1"/>
    </o:shapelayout>
  </w:shapeDefaults>
  <w:decimalSymbol w:val="."/>
  <w:listSeparator w:val=","/>
  <w14:docId w14:val="2A5F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A946C3"/>
    <w:pPr>
      <w:autoSpaceDE w:val="0"/>
      <w:autoSpaceDN w:val="0"/>
      <w:adjustRightInd w:val="0"/>
      <w:spacing w:line="288" w:lineRule="auto"/>
      <w:jc w:val="both"/>
    </w:pPr>
    <w:rPr>
      <w:rFonts w:ascii="Verdana" w:eastAsia="Times New Roman" w:hAnsi="Verdana"/>
      <w:szCs w:val="22"/>
      <w:lang w:val="en-GB" w:eastAsia="en-GB"/>
    </w:rPr>
  </w:style>
  <w:style w:type="paragraph" w:styleId="Heading1">
    <w:name w:val="heading 1"/>
    <w:basedOn w:val="Normal"/>
    <w:next w:val="Normal"/>
    <w:link w:val="Heading1Char"/>
    <w:uiPriority w:val="99"/>
    <w:qFormat/>
    <w:rsid w:val="006B34E4"/>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6B34E4"/>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6B34E4"/>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6B34E4"/>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6B34E4"/>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FD59EE"/>
    <w:pPr>
      <w:spacing w:line="240" w:lineRule="auto"/>
      <w:outlineLvl w:val="5"/>
    </w:pPr>
    <w:rPr>
      <w:bCs/>
    </w:rPr>
  </w:style>
  <w:style w:type="paragraph" w:styleId="Heading7">
    <w:name w:val="heading 7"/>
    <w:basedOn w:val="Normal"/>
    <w:next w:val="Normal"/>
    <w:link w:val="Heading7Char"/>
    <w:unhideWhenUsed/>
    <w:qFormat/>
    <w:rsid w:val="00FD59EE"/>
    <w:pPr>
      <w:spacing w:line="240" w:lineRule="auto"/>
      <w:outlineLvl w:val="6"/>
    </w:pPr>
    <w:rPr>
      <w:szCs w:val="24"/>
    </w:rPr>
  </w:style>
  <w:style w:type="paragraph" w:styleId="Heading8">
    <w:name w:val="heading 8"/>
    <w:basedOn w:val="Normal"/>
    <w:next w:val="Normal"/>
    <w:link w:val="Heading8Char"/>
    <w:unhideWhenUsed/>
    <w:qFormat/>
    <w:rsid w:val="00FD59EE"/>
    <w:pPr>
      <w:spacing w:line="240" w:lineRule="auto"/>
      <w:outlineLvl w:val="7"/>
    </w:pPr>
    <w:rPr>
      <w:iCs/>
      <w:szCs w:val="24"/>
    </w:rPr>
  </w:style>
  <w:style w:type="paragraph" w:styleId="Heading9">
    <w:name w:val="heading 9"/>
    <w:basedOn w:val="Normal"/>
    <w:next w:val="Normal"/>
    <w:link w:val="Heading9Char"/>
    <w:unhideWhenUsed/>
    <w:qFormat/>
    <w:rsid w:val="00FD59EE"/>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381"/>
    <w:pPr>
      <w:spacing w:line="240" w:lineRule="auto"/>
    </w:pPr>
    <w:rPr>
      <w:rFonts w:ascii="Lucida Grande" w:hAnsi="Lucida Grande"/>
      <w:szCs w:val="18"/>
    </w:rPr>
  </w:style>
  <w:style w:type="character" w:customStyle="1" w:styleId="Heading6Char">
    <w:name w:val="Heading 6 Char"/>
    <w:link w:val="Heading6"/>
    <w:rsid w:val="00634DA3"/>
    <w:rPr>
      <w:rFonts w:ascii="Verdana" w:eastAsia="Times New Roman" w:hAnsi="Verdana"/>
      <w:bCs/>
      <w:szCs w:val="22"/>
      <w:lang w:val="en-GB" w:eastAsia="en-GB"/>
    </w:rPr>
  </w:style>
  <w:style w:type="character" w:customStyle="1" w:styleId="Heading7Char">
    <w:name w:val="Heading 7 Char"/>
    <w:link w:val="Heading7"/>
    <w:rsid w:val="00634DA3"/>
    <w:rPr>
      <w:rFonts w:ascii="Verdana" w:eastAsia="Times New Roman" w:hAnsi="Verdana"/>
      <w:szCs w:val="24"/>
      <w:lang w:val="en-GB" w:eastAsia="en-GB"/>
    </w:rPr>
  </w:style>
  <w:style w:type="paragraph" w:styleId="Footer">
    <w:name w:val="footer"/>
    <w:basedOn w:val="Normal"/>
    <w:link w:val="FooterChar"/>
    <w:uiPriority w:val="99"/>
    <w:unhideWhenUsed/>
    <w:rsid w:val="00937EBB"/>
    <w:pPr>
      <w:spacing w:line="240" w:lineRule="auto"/>
      <w:ind w:left="-1134" w:right="-1134"/>
      <w:jc w:val="center"/>
    </w:pPr>
    <w:rPr>
      <w:color w:val="404040"/>
      <w:sz w:val="16"/>
    </w:rPr>
  </w:style>
  <w:style w:type="character" w:customStyle="1" w:styleId="FooterChar">
    <w:name w:val="Footer Char"/>
    <w:link w:val="Footer"/>
    <w:uiPriority w:val="99"/>
    <w:rsid w:val="00937EBB"/>
    <w:rPr>
      <w:rFonts w:ascii="DaxlinePro-Regular" w:eastAsia="Times New Roman" w:hAnsi="DaxlinePro-Regular"/>
      <w:color w:val="404040"/>
      <w:sz w:val="16"/>
      <w:szCs w:val="22"/>
      <w:lang w:val="en-GB" w:eastAsia="en-GB"/>
    </w:rPr>
  </w:style>
  <w:style w:type="character" w:customStyle="1" w:styleId="Heading1Char">
    <w:name w:val="Heading 1 Char"/>
    <w:link w:val="Heading1"/>
    <w:uiPriority w:val="99"/>
    <w:rsid w:val="006B34E4"/>
    <w:rPr>
      <w:rFonts w:ascii="Verdana" w:eastAsia="Times New Roman" w:hAnsi="Verdana"/>
      <w:b/>
      <w:bCs/>
      <w:sz w:val="32"/>
      <w:szCs w:val="32"/>
      <w:lang w:val="en-IE" w:eastAsia="en-GB"/>
    </w:rPr>
  </w:style>
  <w:style w:type="character" w:customStyle="1" w:styleId="Heading2Char">
    <w:name w:val="Heading 2 Char"/>
    <w:link w:val="Heading2"/>
    <w:uiPriority w:val="9"/>
    <w:rsid w:val="006B34E4"/>
    <w:rPr>
      <w:rFonts w:ascii="Verdana" w:eastAsia="Times New Roman" w:hAnsi="Verdana"/>
      <w:b/>
      <w:bCs/>
      <w:sz w:val="28"/>
      <w:szCs w:val="28"/>
      <w:lang w:val="en-IE" w:eastAsia="en-GB"/>
    </w:rPr>
  </w:style>
  <w:style w:type="character" w:customStyle="1" w:styleId="Heading3Char">
    <w:name w:val="Heading 3 Char"/>
    <w:link w:val="Heading3"/>
    <w:uiPriority w:val="9"/>
    <w:rsid w:val="006B34E4"/>
    <w:rPr>
      <w:rFonts w:ascii="Verdana" w:eastAsia="Times New Roman" w:hAnsi="Verdana"/>
      <w:b/>
      <w:bCs/>
      <w:sz w:val="24"/>
      <w:szCs w:val="24"/>
      <w:lang w:val="en-GB" w:eastAsia="en-GB"/>
    </w:rPr>
  </w:style>
  <w:style w:type="paragraph" w:styleId="TOCHeading">
    <w:name w:val="TOC Heading"/>
    <w:basedOn w:val="Heading1"/>
    <w:next w:val="Normal"/>
    <w:uiPriority w:val="39"/>
    <w:semiHidden/>
    <w:unhideWhenUsed/>
    <w:qFormat/>
    <w:rsid w:val="00DF14A5"/>
    <w:pPr>
      <w:autoSpaceDE/>
      <w:autoSpaceDN/>
      <w:adjustRightInd/>
      <w:spacing w:before="480" w:line="276" w:lineRule="auto"/>
      <w:jc w:val="left"/>
      <w:outlineLvl w:val="9"/>
    </w:pPr>
    <w:rPr>
      <w:rFonts w:ascii="Cambria" w:eastAsia="MS Gothic" w:hAnsi="Cambria"/>
      <w:color w:val="365F91"/>
      <w:sz w:val="28"/>
      <w:szCs w:val="28"/>
      <w:lang w:val="en-US" w:eastAsia="ja-JP"/>
    </w:rPr>
  </w:style>
  <w:style w:type="character" w:customStyle="1" w:styleId="Heading4Char">
    <w:name w:val="Heading 4 Char"/>
    <w:link w:val="Heading4"/>
    <w:rsid w:val="006B34E4"/>
    <w:rPr>
      <w:rFonts w:ascii="Verdana" w:eastAsia="Times New Roman" w:hAnsi="Verdana"/>
      <w:bCs/>
      <w:iCs/>
      <w:sz w:val="24"/>
      <w:szCs w:val="24"/>
      <w:lang w:val="en-IE" w:eastAsia="en-GB"/>
    </w:rPr>
  </w:style>
  <w:style w:type="paragraph" w:styleId="TOC2">
    <w:name w:val="toc 2"/>
    <w:basedOn w:val="Normal"/>
    <w:next w:val="Normal"/>
    <w:uiPriority w:val="39"/>
    <w:rsid w:val="00B4508E"/>
    <w:pPr>
      <w:tabs>
        <w:tab w:val="left" w:pos="1134"/>
        <w:tab w:val="right" w:leader="dot" w:pos="9072"/>
      </w:tabs>
      <w:spacing w:before="60" w:line="240" w:lineRule="auto"/>
      <w:ind w:left="1134" w:hanging="1134"/>
    </w:pPr>
    <w:rPr>
      <w:rFonts w:cs="Arial"/>
      <w:noProof/>
    </w:rPr>
  </w:style>
  <w:style w:type="character" w:styleId="Hyperlink">
    <w:name w:val="Hyperlink"/>
    <w:uiPriority w:val="99"/>
    <w:rsid w:val="00634DA3"/>
    <w:rPr>
      <w:rFonts w:ascii="Verdana" w:hAnsi="Verdana"/>
      <w:color w:val="0000FF"/>
      <w:u w:val="single"/>
    </w:rPr>
  </w:style>
  <w:style w:type="table" w:styleId="TableGrid">
    <w:name w:val="Table Grid"/>
    <w:basedOn w:val="TableNormal"/>
    <w:rsid w:val="00E7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B4508E"/>
    <w:pPr>
      <w:tabs>
        <w:tab w:val="left" w:pos="1134"/>
        <w:tab w:val="right" w:leader="dot" w:pos="9072"/>
      </w:tabs>
      <w:spacing w:before="60" w:line="240" w:lineRule="auto"/>
      <w:ind w:left="1134" w:hanging="1134"/>
      <w:contextualSpacing/>
    </w:pPr>
    <w:rPr>
      <w:rFonts w:cs="Arial"/>
      <w:noProof/>
    </w:rPr>
  </w:style>
  <w:style w:type="paragraph" w:styleId="TOC1">
    <w:name w:val="toc 1"/>
    <w:basedOn w:val="Normal"/>
    <w:next w:val="Normal"/>
    <w:uiPriority w:val="39"/>
    <w:rsid w:val="00B4508E"/>
    <w:pPr>
      <w:tabs>
        <w:tab w:val="left" w:pos="1134"/>
        <w:tab w:val="right" w:leader="dot" w:pos="9072"/>
      </w:tabs>
      <w:spacing w:before="60" w:line="240" w:lineRule="auto"/>
      <w:ind w:left="1134" w:hanging="1134"/>
      <w:jc w:val="left"/>
    </w:pPr>
    <w:rPr>
      <w:rFonts w:cs="Arial"/>
      <w:b/>
      <w:noProof/>
      <w:sz w:val="22"/>
      <w:szCs w:val="20"/>
    </w:rPr>
  </w:style>
  <w:style w:type="character" w:customStyle="1" w:styleId="Heading5Char">
    <w:name w:val="Heading 5 Char"/>
    <w:link w:val="Heading5"/>
    <w:rsid w:val="006B34E4"/>
    <w:rPr>
      <w:rFonts w:ascii="Verdana" w:eastAsia="Times New Roman" w:hAnsi="Verdana"/>
      <w:b/>
      <w:lang w:val="en-IE" w:eastAsia="en-GB"/>
    </w:rPr>
  </w:style>
  <w:style w:type="paragraph" w:styleId="FootnoteText">
    <w:name w:val="footnote text"/>
    <w:basedOn w:val="Normal"/>
    <w:link w:val="FootnoteTextChar"/>
    <w:rsid w:val="00BF6475"/>
    <w:pPr>
      <w:spacing w:line="240" w:lineRule="auto"/>
      <w:ind w:left="426" w:hanging="426"/>
    </w:pPr>
    <w:rPr>
      <w:sz w:val="18"/>
      <w:szCs w:val="18"/>
      <w:lang w:eastAsia="ko-KR"/>
    </w:rPr>
  </w:style>
  <w:style w:type="character" w:customStyle="1" w:styleId="FootnoteTextChar">
    <w:name w:val="Footnote Text Char"/>
    <w:link w:val="FootnoteText"/>
    <w:rsid w:val="00BF6475"/>
    <w:rPr>
      <w:rFonts w:ascii="Verdana" w:eastAsia="Times New Roman" w:hAnsi="Verdana"/>
      <w:sz w:val="18"/>
      <w:szCs w:val="18"/>
      <w:lang w:val="en-GB" w:eastAsia="ko-KR"/>
    </w:rPr>
  </w:style>
  <w:style w:type="character" w:styleId="FootnoteReference">
    <w:name w:val="footnote reference"/>
    <w:rsid w:val="00BF6475"/>
    <w:rPr>
      <w:rFonts w:ascii="Verdana" w:hAnsi="Verdana"/>
      <w:noProof w:val="0"/>
      <w:sz w:val="20"/>
      <w:vertAlign w:val="superscript"/>
      <w:lang w:val="en-GB"/>
    </w:rPr>
  </w:style>
  <w:style w:type="paragraph" w:styleId="Header">
    <w:name w:val="header"/>
    <w:basedOn w:val="Normal"/>
    <w:link w:val="HeaderChar"/>
    <w:uiPriority w:val="99"/>
    <w:rsid w:val="000E3981"/>
    <w:pPr>
      <w:tabs>
        <w:tab w:val="center" w:pos="4513"/>
        <w:tab w:val="right" w:pos="9026"/>
      </w:tabs>
      <w:spacing w:line="240" w:lineRule="auto"/>
    </w:pPr>
  </w:style>
  <w:style w:type="character" w:customStyle="1" w:styleId="HeaderChar">
    <w:name w:val="Header Char"/>
    <w:link w:val="Header"/>
    <w:uiPriority w:val="99"/>
    <w:rsid w:val="000E3981"/>
    <w:rPr>
      <w:rFonts w:ascii="Verdana" w:eastAsia="Times New Roman" w:hAnsi="Verdana"/>
      <w:szCs w:val="22"/>
      <w:lang w:val="en-GB" w:eastAsia="en-GB"/>
    </w:rPr>
  </w:style>
  <w:style w:type="character" w:customStyle="1" w:styleId="Heading8Char">
    <w:name w:val="Heading 8 Char"/>
    <w:link w:val="Heading8"/>
    <w:rsid w:val="00F90BCC"/>
    <w:rPr>
      <w:rFonts w:ascii="Verdana" w:eastAsia="Times New Roman" w:hAnsi="Verdana"/>
      <w:iCs/>
      <w:szCs w:val="24"/>
      <w:lang w:val="en-GB" w:eastAsia="en-GB"/>
    </w:rPr>
  </w:style>
  <w:style w:type="character" w:customStyle="1" w:styleId="Heading9Char">
    <w:name w:val="Heading 9 Char"/>
    <w:link w:val="Heading9"/>
    <w:rsid w:val="00F90BCC"/>
    <w:rPr>
      <w:rFonts w:ascii="Verdana" w:eastAsia="Times New Roman" w:hAnsi="Verdana"/>
      <w:szCs w:val="22"/>
      <w:lang w:val="en-GB" w:eastAsia="en-GB"/>
    </w:rPr>
  </w:style>
  <w:style w:type="paragraph" w:customStyle="1" w:styleId="Template-Reference">
    <w:name w:val="Template-Reference"/>
    <w:basedOn w:val="Normal"/>
    <w:next w:val="Normal"/>
    <w:rsid w:val="00BF6475"/>
    <w:pPr>
      <w:autoSpaceDE/>
      <w:autoSpaceDN/>
      <w:adjustRightInd/>
      <w:spacing w:line="240" w:lineRule="auto"/>
      <w:jc w:val="right"/>
    </w:pPr>
    <w:rPr>
      <w:i/>
      <w:iCs/>
      <w:sz w:val="16"/>
      <w:szCs w:val="20"/>
      <w:lang w:val="de-DE" w:eastAsia="en-US"/>
    </w:rPr>
  </w:style>
  <w:style w:type="paragraph" w:customStyle="1" w:styleId="Template-Header">
    <w:name w:val="Template-Header"/>
    <w:basedOn w:val="Normal"/>
    <w:next w:val="Normal"/>
    <w:rsid w:val="00BC2677"/>
    <w:pPr>
      <w:autoSpaceDE/>
      <w:autoSpaceDN/>
      <w:adjustRightInd/>
      <w:spacing w:line="240" w:lineRule="auto"/>
      <w:jc w:val="left"/>
    </w:pPr>
    <w:rPr>
      <w:rFonts w:ascii="Arial" w:hAnsi="Arial" w:cs="Arial"/>
      <w:sz w:val="32"/>
      <w:szCs w:val="20"/>
      <w:lang w:val="de-DE" w:eastAsia="en-US"/>
    </w:rPr>
  </w:style>
  <w:style w:type="paragraph" w:customStyle="1" w:styleId="FRAHeading1">
    <w:name w:val="(FRA) Heading 1"/>
    <w:basedOn w:val="Normal"/>
    <w:next w:val="Normal"/>
    <w:uiPriority w:val="1"/>
    <w:qFormat/>
    <w:locked/>
    <w:rsid w:val="006B34E4"/>
    <w:pPr>
      <w:keepNext/>
      <w:numPr>
        <w:numId w:val="19"/>
      </w:numPr>
      <w:tabs>
        <w:tab w:val="left" w:pos="907"/>
      </w:tabs>
      <w:spacing w:before="360" w:after="240" w:line="240" w:lineRule="auto"/>
      <w:outlineLvl w:val="0"/>
    </w:pPr>
    <w:rPr>
      <w:rFonts w:eastAsia="Calibri" w:cs="Arial"/>
      <w:b/>
      <w:sz w:val="32"/>
      <w:szCs w:val="32"/>
      <w:lang w:eastAsia="en-US" w:bidi="en-US"/>
    </w:rPr>
  </w:style>
  <w:style w:type="paragraph" w:customStyle="1" w:styleId="FRAHeading2">
    <w:name w:val="(FRA) Heading 2"/>
    <w:basedOn w:val="FRAHeading1"/>
    <w:next w:val="Normal"/>
    <w:uiPriority w:val="1"/>
    <w:qFormat/>
    <w:locked/>
    <w:rsid w:val="003A75B7"/>
    <w:pPr>
      <w:numPr>
        <w:ilvl w:val="1"/>
        <w:numId w:val="18"/>
      </w:numPr>
      <w:outlineLvl w:val="1"/>
    </w:pPr>
    <w:rPr>
      <w:sz w:val="28"/>
      <w:szCs w:val="28"/>
    </w:rPr>
  </w:style>
  <w:style w:type="paragraph" w:customStyle="1" w:styleId="FRAHeading3">
    <w:name w:val="(FRA) Heading 3"/>
    <w:basedOn w:val="FRAHeading2"/>
    <w:next w:val="Normal"/>
    <w:uiPriority w:val="1"/>
    <w:qFormat/>
    <w:locked/>
    <w:rsid w:val="003A75B7"/>
    <w:pPr>
      <w:numPr>
        <w:ilvl w:val="2"/>
      </w:numPr>
      <w:outlineLvl w:val="2"/>
    </w:pPr>
    <w:rPr>
      <w:sz w:val="24"/>
      <w:szCs w:val="24"/>
    </w:rPr>
  </w:style>
  <w:style w:type="paragraph" w:customStyle="1" w:styleId="FRAHeading4Unnumbered">
    <w:name w:val="(FRA) Heading 4 Unnumbered"/>
    <w:basedOn w:val="FRAHeading3"/>
    <w:next w:val="Normal"/>
    <w:rsid w:val="003A75B7"/>
    <w:pPr>
      <w:numPr>
        <w:ilvl w:val="3"/>
      </w:numPr>
      <w:outlineLvl w:val="3"/>
    </w:pPr>
    <w:rPr>
      <w:sz w:val="22"/>
      <w:u w:val="single"/>
    </w:rPr>
  </w:style>
  <w:style w:type="numbering" w:customStyle="1" w:styleId="FRAHeadings">
    <w:name w:val="(FRA) Headings"/>
    <w:uiPriority w:val="99"/>
    <w:rsid w:val="003A75B7"/>
    <w:pPr>
      <w:numPr>
        <w:numId w:val="18"/>
      </w:numPr>
    </w:pPr>
  </w:style>
  <w:style w:type="paragraph" w:customStyle="1" w:styleId="FRAListBullet">
    <w:name w:val="(FRA) List Bullet"/>
    <w:basedOn w:val="Normal"/>
    <w:qFormat/>
    <w:rsid w:val="003A75B7"/>
    <w:pPr>
      <w:numPr>
        <w:ilvl w:val="5"/>
        <w:numId w:val="18"/>
      </w:numPr>
      <w:autoSpaceDE/>
      <w:autoSpaceDN/>
      <w:adjustRightInd/>
      <w:spacing w:line="240" w:lineRule="auto"/>
    </w:pPr>
    <w:rPr>
      <w:rFonts w:ascii="Times New Roman" w:eastAsia="Calibri" w:hAnsi="Times New Roman"/>
      <w:sz w:val="22"/>
      <w:lang w:eastAsia="en-US" w:bidi="en-US"/>
    </w:rPr>
  </w:style>
  <w:style w:type="paragraph" w:styleId="CommentText">
    <w:name w:val="annotation text"/>
    <w:basedOn w:val="Normal"/>
    <w:link w:val="CommentTextChar"/>
    <w:uiPriority w:val="99"/>
    <w:unhideWhenUsed/>
    <w:rsid w:val="003A75B7"/>
    <w:pPr>
      <w:autoSpaceDE/>
      <w:autoSpaceDN/>
      <w:adjustRightInd/>
      <w:spacing w:after="200" w:line="240" w:lineRule="auto"/>
      <w:jc w:val="left"/>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3A75B7"/>
    <w:rPr>
      <w:rFonts w:ascii="Calibri" w:eastAsia="Calibri" w:hAnsi="Calibri"/>
      <w:lang w:val="en-GB" w:eastAsia="en-US"/>
    </w:rPr>
  </w:style>
  <w:style w:type="character" w:styleId="CommentReference">
    <w:name w:val="annotation reference"/>
    <w:uiPriority w:val="99"/>
    <w:unhideWhenUsed/>
    <w:rsid w:val="00091851"/>
    <w:rPr>
      <w:rFonts w:ascii="Arial" w:hAnsi="Arial"/>
      <w:sz w:val="16"/>
      <w:szCs w:val="16"/>
    </w:rPr>
  </w:style>
  <w:style w:type="paragraph" w:styleId="CommentSubject">
    <w:name w:val="annotation subject"/>
    <w:basedOn w:val="CommentText"/>
    <w:next w:val="CommentText"/>
    <w:link w:val="CommentSubjectChar"/>
    <w:rsid w:val="00091851"/>
    <w:pPr>
      <w:autoSpaceDE w:val="0"/>
      <w:autoSpaceDN w:val="0"/>
      <w:adjustRightInd w:val="0"/>
      <w:spacing w:after="0"/>
      <w:jc w:val="both"/>
    </w:pPr>
    <w:rPr>
      <w:rFonts w:ascii="Verdana" w:eastAsia="Times New Roman" w:hAnsi="Verdana"/>
      <w:b/>
      <w:bCs/>
      <w:lang w:eastAsia="en-GB"/>
    </w:rPr>
  </w:style>
  <w:style w:type="character" w:customStyle="1" w:styleId="CommentSubjectChar">
    <w:name w:val="Comment Subject Char"/>
    <w:basedOn w:val="CommentTextChar"/>
    <w:link w:val="CommentSubject"/>
    <w:rsid w:val="00091851"/>
    <w:rPr>
      <w:rFonts w:ascii="Verdana" w:eastAsia="Times New Roman" w:hAnsi="Verdana"/>
      <w:b/>
      <w:bCs/>
      <w:lang w:val="en-GB" w:eastAsia="en-GB"/>
    </w:rPr>
  </w:style>
  <w:style w:type="character" w:styleId="FollowedHyperlink">
    <w:name w:val="FollowedHyperlink"/>
    <w:basedOn w:val="DefaultParagraphFont"/>
    <w:semiHidden/>
    <w:unhideWhenUsed/>
    <w:rsid w:val="00E140C4"/>
    <w:rPr>
      <w:color w:val="800080" w:themeColor="followedHyperlink"/>
      <w:u w:val="single"/>
    </w:rPr>
  </w:style>
  <w:style w:type="paragraph" w:styleId="NormalWeb">
    <w:name w:val="Normal (Web)"/>
    <w:basedOn w:val="Normal"/>
    <w:uiPriority w:val="99"/>
    <w:rsid w:val="00E140C4"/>
    <w:pPr>
      <w:autoSpaceDE/>
      <w:autoSpaceDN/>
      <w:adjustRightInd/>
      <w:spacing w:before="100" w:beforeAutospacing="1" w:after="100" w:afterAutospacing="1" w:line="240" w:lineRule="auto"/>
      <w:jc w:val="left"/>
    </w:pPr>
    <w:rPr>
      <w:rFonts w:ascii="Times New Roman" w:hAnsi="Times New Roman"/>
      <w:sz w:val="24"/>
      <w:szCs w:val="24"/>
      <w:lang w:val="en-IE" w:eastAsia="en-IE"/>
    </w:rPr>
  </w:style>
  <w:style w:type="paragraph" w:styleId="ListParagraph">
    <w:name w:val="List Paragraph"/>
    <w:basedOn w:val="Normal"/>
    <w:qFormat/>
    <w:rsid w:val="00550CD3"/>
    <w:pPr>
      <w:ind w:left="720"/>
      <w:contextualSpacing/>
    </w:pPr>
  </w:style>
  <w:style w:type="paragraph" w:customStyle="1" w:styleId="FRABodyText">
    <w:name w:val="(FRA) Body Text"/>
    <w:basedOn w:val="Normal"/>
    <w:link w:val="FRABodyTextChar"/>
    <w:rsid w:val="007B3B09"/>
    <w:pPr>
      <w:autoSpaceDE/>
      <w:autoSpaceDN/>
      <w:adjustRightInd/>
      <w:spacing w:after="240" w:line="240" w:lineRule="auto"/>
    </w:pPr>
    <w:rPr>
      <w:rFonts w:ascii="Times New Roman" w:hAnsi="Times New Roman"/>
      <w:sz w:val="22"/>
      <w:lang w:val="de-DE" w:eastAsia="en-US"/>
    </w:rPr>
  </w:style>
  <w:style w:type="character" w:customStyle="1" w:styleId="FRABodyTextChar">
    <w:name w:val="(FRA) Body Text Char"/>
    <w:link w:val="FRABodyText"/>
    <w:locked/>
    <w:rsid w:val="007B3B09"/>
    <w:rPr>
      <w:rFonts w:ascii="Times New Roman" w:eastAsia="Times New Roman" w:hAnsi="Times New Roman"/>
      <w:sz w:val="22"/>
      <w:szCs w:val="22"/>
      <w:lang w:eastAsia="en-US"/>
    </w:rPr>
  </w:style>
  <w:style w:type="paragraph" w:customStyle="1" w:styleId="Pa27">
    <w:name w:val="Pa27"/>
    <w:basedOn w:val="Normal"/>
    <w:next w:val="Normal"/>
    <w:uiPriority w:val="99"/>
    <w:rsid w:val="0041713E"/>
    <w:pPr>
      <w:spacing w:line="161" w:lineRule="atLeast"/>
      <w:jc w:val="left"/>
    </w:pPr>
    <w:rPr>
      <w:rFonts w:ascii="DaxlinePro-Regular" w:eastAsia="Cambria" w:hAnsi="DaxlinePro-Regular"/>
      <w:sz w:val="24"/>
      <w:szCs w:val="24"/>
      <w:lang w:val="en-IE" w:eastAsia="de-DE"/>
    </w:rPr>
  </w:style>
  <w:style w:type="character" w:customStyle="1" w:styleId="A13">
    <w:name w:val="A13"/>
    <w:uiPriority w:val="99"/>
    <w:rsid w:val="002B6F7E"/>
    <w:rPr>
      <w:rFonts w:ascii="DaxlinePro-Regular" w:hAnsi="DaxlinePro-Regular" w:cs="DaxlinePro-Regular"/>
      <w:color w:val="000000"/>
      <w:sz w:val="10"/>
      <w:szCs w:val="10"/>
    </w:rPr>
  </w:style>
  <w:style w:type="character" w:customStyle="1" w:styleId="A7">
    <w:name w:val="A7"/>
    <w:uiPriority w:val="99"/>
    <w:rsid w:val="000436FB"/>
    <w:rPr>
      <w:rFonts w:cs="DaxlinePro-Regular"/>
      <w:color w:val="000000"/>
      <w:sz w:val="18"/>
      <w:szCs w:val="18"/>
    </w:rPr>
  </w:style>
  <w:style w:type="paragraph" w:customStyle="1" w:styleId="Pa28">
    <w:name w:val="Pa28"/>
    <w:basedOn w:val="Normal"/>
    <w:next w:val="Normal"/>
    <w:uiPriority w:val="99"/>
    <w:rsid w:val="005400EB"/>
    <w:pPr>
      <w:spacing w:line="185" w:lineRule="atLeast"/>
      <w:jc w:val="left"/>
    </w:pPr>
    <w:rPr>
      <w:rFonts w:ascii="DaxlinePro-Regular" w:eastAsia="Cambria" w:hAnsi="DaxlinePro-Regular"/>
      <w:sz w:val="24"/>
      <w:szCs w:val="24"/>
      <w:lang w:val="en-IE" w:eastAsia="de-DE"/>
    </w:rPr>
  </w:style>
  <w:style w:type="character" w:styleId="Strong">
    <w:name w:val="Strong"/>
    <w:basedOn w:val="DefaultParagraphFont"/>
    <w:uiPriority w:val="22"/>
    <w:qFormat/>
    <w:rsid w:val="00D015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A946C3"/>
    <w:pPr>
      <w:autoSpaceDE w:val="0"/>
      <w:autoSpaceDN w:val="0"/>
      <w:adjustRightInd w:val="0"/>
      <w:spacing w:line="288" w:lineRule="auto"/>
      <w:jc w:val="both"/>
    </w:pPr>
    <w:rPr>
      <w:rFonts w:ascii="Verdana" w:eastAsia="Times New Roman" w:hAnsi="Verdana"/>
      <w:szCs w:val="22"/>
      <w:lang w:val="en-GB" w:eastAsia="en-GB"/>
    </w:rPr>
  </w:style>
  <w:style w:type="paragraph" w:styleId="Heading1">
    <w:name w:val="heading 1"/>
    <w:basedOn w:val="Normal"/>
    <w:next w:val="Normal"/>
    <w:link w:val="Heading1Char"/>
    <w:uiPriority w:val="99"/>
    <w:qFormat/>
    <w:rsid w:val="006B34E4"/>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6B34E4"/>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6B34E4"/>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6B34E4"/>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6B34E4"/>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FD59EE"/>
    <w:pPr>
      <w:spacing w:line="240" w:lineRule="auto"/>
      <w:outlineLvl w:val="5"/>
    </w:pPr>
    <w:rPr>
      <w:bCs/>
    </w:rPr>
  </w:style>
  <w:style w:type="paragraph" w:styleId="Heading7">
    <w:name w:val="heading 7"/>
    <w:basedOn w:val="Normal"/>
    <w:next w:val="Normal"/>
    <w:link w:val="Heading7Char"/>
    <w:unhideWhenUsed/>
    <w:qFormat/>
    <w:rsid w:val="00FD59EE"/>
    <w:pPr>
      <w:spacing w:line="240" w:lineRule="auto"/>
      <w:outlineLvl w:val="6"/>
    </w:pPr>
    <w:rPr>
      <w:szCs w:val="24"/>
    </w:rPr>
  </w:style>
  <w:style w:type="paragraph" w:styleId="Heading8">
    <w:name w:val="heading 8"/>
    <w:basedOn w:val="Normal"/>
    <w:next w:val="Normal"/>
    <w:link w:val="Heading8Char"/>
    <w:unhideWhenUsed/>
    <w:qFormat/>
    <w:rsid w:val="00FD59EE"/>
    <w:pPr>
      <w:spacing w:line="240" w:lineRule="auto"/>
      <w:outlineLvl w:val="7"/>
    </w:pPr>
    <w:rPr>
      <w:iCs/>
      <w:szCs w:val="24"/>
    </w:rPr>
  </w:style>
  <w:style w:type="paragraph" w:styleId="Heading9">
    <w:name w:val="heading 9"/>
    <w:basedOn w:val="Normal"/>
    <w:next w:val="Normal"/>
    <w:link w:val="Heading9Char"/>
    <w:unhideWhenUsed/>
    <w:qFormat/>
    <w:rsid w:val="00FD59EE"/>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381"/>
    <w:pPr>
      <w:spacing w:line="240" w:lineRule="auto"/>
    </w:pPr>
    <w:rPr>
      <w:rFonts w:ascii="Lucida Grande" w:hAnsi="Lucida Grande"/>
      <w:szCs w:val="18"/>
    </w:rPr>
  </w:style>
  <w:style w:type="character" w:customStyle="1" w:styleId="Heading6Char">
    <w:name w:val="Heading 6 Char"/>
    <w:link w:val="Heading6"/>
    <w:rsid w:val="00634DA3"/>
    <w:rPr>
      <w:rFonts w:ascii="Verdana" w:eastAsia="Times New Roman" w:hAnsi="Verdana"/>
      <w:bCs/>
      <w:szCs w:val="22"/>
      <w:lang w:val="en-GB" w:eastAsia="en-GB"/>
    </w:rPr>
  </w:style>
  <w:style w:type="character" w:customStyle="1" w:styleId="Heading7Char">
    <w:name w:val="Heading 7 Char"/>
    <w:link w:val="Heading7"/>
    <w:rsid w:val="00634DA3"/>
    <w:rPr>
      <w:rFonts w:ascii="Verdana" w:eastAsia="Times New Roman" w:hAnsi="Verdana"/>
      <w:szCs w:val="24"/>
      <w:lang w:val="en-GB" w:eastAsia="en-GB"/>
    </w:rPr>
  </w:style>
  <w:style w:type="paragraph" w:styleId="Footer">
    <w:name w:val="footer"/>
    <w:basedOn w:val="Normal"/>
    <w:link w:val="FooterChar"/>
    <w:uiPriority w:val="99"/>
    <w:unhideWhenUsed/>
    <w:rsid w:val="00937EBB"/>
    <w:pPr>
      <w:spacing w:line="240" w:lineRule="auto"/>
      <w:ind w:left="-1134" w:right="-1134"/>
      <w:jc w:val="center"/>
    </w:pPr>
    <w:rPr>
      <w:color w:val="404040"/>
      <w:sz w:val="16"/>
    </w:rPr>
  </w:style>
  <w:style w:type="character" w:customStyle="1" w:styleId="FooterChar">
    <w:name w:val="Footer Char"/>
    <w:link w:val="Footer"/>
    <w:uiPriority w:val="99"/>
    <w:rsid w:val="00937EBB"/>
    <w:rPr>
      <w:rFonts w:ascii="DaxlinePro-Regular" w:eastAsia="Times New Roman" w:hAnsi="DaxlinePro-Regular"/>
      <w:color w:val="404040"/>
      <w:sz w:val="16"/>
      <w:szCs w:val="22"/>
      <w:lang w:val="en-GB" w:eastAsia="en-GB"/>
    </w:rPr>
  </w:style>
  <w:style w:type="character" w:customStyle="1" w:styleId="Heading1Char">
    <w:name w:val="Heading 1 Char"/>
    <w:link w:val="Heading1"/>
    <w:uiPriority w:val="99"/>
    <w:rsid w:val="006B34E4"/>
    <w:rPr>
      <w:rFonts w:ascii="Verdana" w:eastAsia="Times New Roman" w:hAnsi="Verdana"/>
      <w:b/>
      <w:bCs/>
      <w:sz w:val="32"/>
      <w:szCs w:val="32"/>
      <w:lang w:val="en-IE" w:eastAsia="en-GB"/>
    </w:rPr>
  </w:style>
  <w:style w:type="character" w:customStyle="1" w:styleId="Heading2Char">
    <w:name w:val="Heading 2 Char"/>
    <w:link w:val="Heading2"/>
    <w:uiPriority w:val="9"/>
    <w:rsid w:val="006B34E4"/>
    <w:rPr>
      <w:rFonts w:ascii="Verdana" w:eastAsia="Times New Roman" w:hAnsi="Verdana"/>
      <w:b/>
      <w:bCs/>
      <w:sz w:val="28"/>
      <w:szCs w:val="28"/>
      <w:lang w:val="en-IE" w:eastAsia="en-GB"/>
    </w:rPr>
  </w:style>
  <w:style w:type="character" w:customStyle="1" w:styleId="Heading3Char">
    <w:name w:val="Heading 3 Char"/>
    <w:link w:val="Heading3"/>
    <w:uiPriority w:val="9"/>
    <w:rsid w:val="006B34E4"/>
    <w:rPr>
      <w:rFonts w:ascii="Verdana" w:eastAsia="Times New Roman" w:hAnsi="Verdana"/>
      <w:b/>
      <w:bCs/>
      <w:sz w:val="24"/>
      <w:szCs w:val="24"/>
      <w:lang w:val="en-GB" w:eastAsia="en-GB"/>
    </w:rPr>
  </w:style>
  <w:style w:type="paragraph" w:styleId="TOCHeading">
    <w:name w:val="TOC Heading"/>
    <w:basedOn w:val="Heading1"/>
    <w:next w:val="Normal"/>
    <w:uiPriority w:val="39"/>
    <w:semiHidden/>
    <w:unhideWhenUsed/>
    <w:qFormat/>
    <w:rsid w:val="00DF14A5"/>
    <w:pPr>
      <w:autoSpaceDE/>
      <w:autoSpaceDN/>
      <w:adjustRightInd/>
      <w:spacing w:before="480" w:line="276" w:lineRule="auto"/>
      <w:jc w:val="left"/>
      <w:outlineLvl w:val="9"/>
    </w:pPr>
    <w:rPr>
      <w:rFonts w:ascii="Cambria" w:eastAsia="MS Gothic" w:hAnsi="Cambria"/>
      <w:color w:val="365F91"/>
      <w:sz w:val="28"/>
      <w:szCs w:val="28"/>
      <w:lang w:val="en-US" w:eastAsia="ja-JP"/>
    </w:rPr>
  </w:style>
  <w:style w:type="character" w:customStyle="1" w:styleId="Heading4Char">
    <w:name w:val="Heading 4 Char"/>
    <w:link w:val="Heading4"/>
    <w:rsid w:val="006B34E4"/>
    <w:rPr>
      <w:rFonts w:ascii="Verdana" w:eastAsia="Times New Roman" w:hAnsi="Verdana"/>
      <w:bCs/>
      <w:iCs/>
      <w:sz w:val="24"/>
      <w:szCs w:val="24"/>
      <w:lang w:val="en-IE" w:eastAsia="en-GB"/>
    </w:rPr>
  </w:style>
  <w:style w:type="paragraph" w:styleId="TOC2">
    <w:name w:val="toc 2"/>
    <w:basedOn w:val="Normal"/>
    <w:next w:val="Normal"/>
    <w:uiPriority w:val="39"/>
    <w:rsid w:val="00B4508E"/>
    <w:pPr>
      <w:tabs>
        <w:tab w:val="left" w:pos="1134"/>
        <w:tab w:val="right" w:leader="dot" w:pos="9072"/>
      </w:tabs>
      <w:spacing w:before="60" w:line="240" w:lineRule="auto"/>
      <w:ind w:left="1134" w:hanging="1134"/>
    </w:pPr>
    <w:rPr>
      <w:rFonts w:cs="Arial"/>
      <w:noProof/>
    </w:rPr>
  </w:style>
  <w:style w:type="character" w:styleId="Hyperlink">
    <w:name w:val="Hyperlink"/>
    <w:uiPriority w:val="99"/>
    <w:rsid w:val="00634DA3"/>
    <w:rPr>
      <w:rFonts w:ascii="Verdana" w:hAnsi="Verdana"/>
      <w:color w:val="0000FF"/>
      <w:u w:val="single"/>
    </w:rPr>
  </w:style>
  <w:style w:type="table" w:styleId="TableGrid">
    <w:name w:val="Table Grid"/>
    <w:basedOn w:val="TableNormal"/>
    <w:rsid w:val="00E7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B4508E"/>
    <w:pPr>
      <w:tabs>
        <w:tab w:val="left" w:pos="1134"/>
        <w:tab w:val="right" w:leader="dot" w:pos="9072"/>
      </w:tabs>
      <w:spacing w:before="60" w:line="240" w:lineRule="auto"/>
      <w:ind w:left="1134" w:hanging="1134"/>
      <w:contextualSpacing/>
    </w:pPr>
    <w:rPr>
      <w:rFonts w:cs="Arial"/>
      <w:noProof/>
    </w:rPr>
  </w:style>
  <w:style w:type="paragraph" w:styleId="TOC1">
    <w:name w:val="toc 1"/>
    <w:basedOn w:val="Normal"/>
    <w:next w:val="Normal"/>
    <w:uiPriority w:val="39"/>
    <w:rsid w:val="00B4508E"/>
    <w:pPr>
      <w:tabs>
        <w:tab w:val="left" w:pos="1134"/>
        <w:tab w:val="right" w:leader="dot" w:pos="9072"/>
      </w:tabs>
      <w:spacing w:before="60" w:line="240" w:lineRule="auto"/>
      <w:ind w:left="1134" w:hanging="1134"/>
      <w:jc w:val="left"/>
    </w:pPr>
    <w:rPr>
      <w:rFonts w:cs="Arial"/>
      <w:b/>
      <w:noProof/>
      <w:sz w:val="22"/>
      <w:szCs w:val="20"/>
    </w:rPr>
  </w:style>
  <w:style w:type="character" w:customStyle="1" w:styleId="Heading5Char">
    <w:name w:val="Heading 5 Char"/>
    <w:link w:val="Heading5"/>
    <w:rsid w:val="006B34E4"/>
    <w:rPr>
      <w:rFonts w:ascii="Verdana" w:eastAsia="Times New Roman" w:hAnsi="Verdana"/>
      <w:b/>
      <w:lang w:val="en-IE" w:eastAsia="en-GB"/>
    </w:rPr>
  </w:style>
  <w:style w:type="paragraph" w:styleId="FootnoteText">
    <w:name w:val="footnote text"/>
    <w:basedOn w:val="Normal"/>
    <w:link w:val="FootnoteTextChar"/>
    <w:rsid w:val="00BF6475"/>
    <w:pPr>
      <w:spacing w:line="240" w:lineRule="auto"/>
      <w:ind w:left="426" w:hanging="426"/>
    </w:pPr>
    <w:rPr>
      <w:sz w:val="18"/>
      <w:szCs w:val="18"/>
      <w:lang w:eastAsia="ko-KR"/>
    </w:rPr>
  </w:style>
  <w:style w:type="character" w:customStyle="1" w:styleId="FootnoteTextChar">
    <w:name w:val="Footnote Text Char"/>
    <w:link w:val="FootnoteText"/>
    <w:rsid w:val="00BF6475"/>
    <w:rPr>
      <w:rFonts w:ascii="Verdana" w:eastAsia="Times New Roman" w:hAnsi="Verdana"/>
      <w:sz w:val="18"/>
      <w:szCs w:val="18"/>
      <w:lang w:val="en-GB" w:eastAsia="ko-KR"/>
    </w:rPr>
  </w:style>
  <w:style w:type="character" w:styleId="FootnoteReference">
    <w:name w:val="footnote reference"/>
    <w:rsid w:val="00BF6475"/>
    <w:rPr>
      <w:rFonts w:ascii="Verdana" w:hAnsi="Verdana"/>
      <w:noProof w:val="0"/>
      <w:sz w:val="20"/>
      <w:vertAlign w:val="superscript"/>
      <w:lang w:val="en-GB"/>
    </w:rPr>
  </w:style>
  <w:style w:type="paragraph" w:styleId="Header">
    <w:name w:val="header"/>
    <w:basedOn w:val="Normal"/>
    <w:link w:val="HeaderChar"/>
    <w:uiPriority w:val="99"/>
    <w:rsid w:val="000E3981"/>
    <w:pPr>
      <w:tabs>
        <w:tab w:val="center" w:pos="4513"/>
        <w:tab w:val="right" w:pos="9026"/>
      </w:tabs>
      <w:spacing w:line="240" w:lineRule="auto"/>
    </w:pPr>
  </w:style>
  <w:style w:type="character" w:customStyle="1" w:styleId="HeaderChar">
    <w:name w:val="Header Char"/>
    <w:link w:val="Header"/>
    <w:uiPriority w:val="99"/>
    <w:rsid w:val="000E3981"/>
    <w:rPr>
      <w:rFonts w:ascii="Verdana" w:eastAsia="Times New Roman" w:hAnsi="Verdana"/>
      <w:szCs w:val="22"/>
      <w:lang w:val="en-GB" w:eastAsia="en-GB"/>
    </w:rPr>
  </w:style>
  <w:style w:type="character" w:customStyle="1" w:styleId="Heading8Char">
    <w:name w:val="Heading 8 Char"/>
    <w:link w:val="Heading8"/>
    <w:rsid w:val="00F90BCC"/>
    <w:rPr>
      <w:rFonts w:ascii="Verdana" w:eastAsia="Times New Roman" w:hAnsi="Verdana"/>
      <w:iCs/>
      <w:szCs w:val="24"/>
      <w:lang w:val="en-GB" w:eastAsia="en-GB"/>
    </w:rPr>
  </w:style>
  <w:style w:type="character" w:customStyle="1" w:styleId="Heading9Char">
    <w:name w:val="Heading 9 Char"/>
    <w:link w:val="Heading9"/>
    <w:rsid w:val="00F90BCC"/>
    <w:rPr>
      <w:rFonts w:ascii="Verdana" w:eastAsia="Times New Roman" w:hAnsi="Verdana"/>
      <w:szCs w:val="22"/>
      <w:lang w:val="en-GB" w:eastAsia="en-GB"/>
    </w:rPr>
  </w:style>
  <w:style w:type="paragraph" w:customStyle="1" w:styleId="Template-Reference">
    <w:name w:val="Template-Reference"/>
    <w:basedOn w:val="Normal"/>
    <w:next w:val="Normal"/>
    <w:rsid w:val="00BF6475"/>
    <w:pPr>
      <w:autoSpaceDE/>
      <w:autoSpaceDN/>
      <w:adjustRightInd/>
      <w:spacing w:line="240" w:lineRule="auto"/>
      <w:jc w:val="right"/>
    </w:pPr>
    <w:rPr>
      <w:i/>
      <w:iCs/>
      <w:sz w:val="16"/>
      <w:szCs w:val="20"/>
      <w:lang w:val="de-DE" w:eastAsia="en-US"/>
    </w:rPr>
  </w:style>
  <w:style w:type="paragraph" w:customStyle="1" w:styleId="Template-Header">
    <w:name w:val="Template-Header"/>
    <w:basedOn w:val="Normal"/>
    <w:next w:val="Normal"/>
    <w:rsid w:val="00BC2677"/>
    <w:pPr>
      <w:autoSpaceDE/>
      <w:autoSpaceDN/>
      <w:adjustRightInd/>
      <w:spacing w:line="240" w:lineRule="auto"/>
      <w:jc w:val="left"/>
    </w:pPr>
    <w:rPr>
      <w:rFonts w:ascii="Arial" w:hAnsi="Arial" w:cs="Arial"/>
      <w:sz w:val="32"/>
      <w:szCs w:val="20"/>
      <w:lang w:val="de-DE" w:eastAsia="en-US"/>
    </w:rPr>
  </w:style>
  <w:style w:type="paragraph" w:customStyle="1" w:styleId="FRAHeading1">
    <w:name w:val="(FRA) Heading 1"/>
    <w:basedOn w:val="Normal"/>
    <w:next w:val="Normal"/>
    <w:uiPriority w:val="1"/>
    <w:qFormat/>
    <w:locked/>
    <w:rsid w:val="006B34E4"/>
    <w:pPr>
      <w:keepNext/>
      <w:numPr>
        <w:numId w:val="19"/>
      </w:numPr>
      <w:tabs>
        <w:tab w:val="left" w:pos="907"/>
      </w:tabs>
      <w:spacing w:before="360" w:after="240" w:line="240" w:lineRule="auto"/>
      <w:outlineLvl w:val="0"/>
    </w:pPr>
    <w:rPr>
      <w:rFonts w:eastAsia="Calibri" w:cs="Arial"/>
      <w:b/>
      <w:sz w:val="32"/>
      <w:szCs w:val="32"/>
      <w:lang w:eastAsia="en-US" w:bidi="en-US"/>
    </w:rPr>
  </w:style>
  <w:style w:type="paragraph" w:customStyle="1" w:styleId="FRAHeading2">
    <w:name w:val="(FRA) Heading 2"/>
    <w:basedOn w:val="FRAHeading1"/>
    <w:next w:val="Normal"/>
    <w:uiPriority w:val="1"/>
    <w:qFormat/>
    <w:locked/>
    <w:rsid w:val="003A75B7"/>
    <w:pPr>
      <w:numPr>
        <w:ilvl w:val="1"/>
        <w:numId w:val="18"/>
      </w:numPr>
      <w:outlineLvl w:val="1"/>
    </w:pPr>
    <w:rPr>
      <w:sz w:val="28"/>
      <w:szCs w:val="28"/>
    </w:rPr>
  </w:style>
  <w:style w:type="paragraph" w:customStyle="1" w:styleId="FRAHeading3">
    <w:name w:val="(FRA) Heading 3"/>
    <w:basedOn w:val="FRAHeading2"/>
    <w:next w:val="Normal"/>
    <w:uiPriority w:val="1"/>
    <w:qFormat/>
    <w:locked/>
    <w:rsid w:val="003A75B7"/>
    <w:pPr>
      <w:numPr>
        <w:ilvl w:val="2"/>
      </w:numPr>
      <w:outlineLvl w:val="2"/>
    </w:pPr>
    <w:rPr>
      <w:sz w:val="24"/>
      <w:szCs w:val="24"/>
    </w:rPr>
  </w:style>
  <w:style w:type="paragraph" w:customStyle="1" w:styleId="FRAHeading4Unnumbered">
    <w:name w:val="(FRA) Heading 4 Unnumbered"/>
    <w:basedOn w:val="FRAHeading3"/>
    <w:next w:val="Normal"/>
    <w:rsid w:val="003A75B7"/>
    <w:pPr>
      <w:numPr>
        <w:ilvl w:val="3"/>
      </w:numPr>
      <w:outlineLvl w:val="3"/>
    </w:pPr>
    <w:rPr>
      <w:sz w:val="22"/>
      <w:u w:val="single"/>
    </w:rPr>
  </w:style>
  <w:style w:type="numbering" w:customStyle="1" w:styleId="FRAHeadings">
    <w:name w:val="(FRA) Headings"/>
    <w:uiPriority w:val="99"/>
    <w:rsid w:val="003A75B7"/>
    <w:pPr>
      <w:numPr>
        <w:numId w:val="18"/>
      </w:numPr>
    </w:pPr>
  </w:style>
  <w:style w:type="paragraph" w:customStyle="1" w:styleId="FRAListBullet">
    <w:name w:val="(FRA) List Bullet"/>
    <w:basedOn w:val="Normal"/>
    <w:qFormat/>
    <w:rsid w:val="003A75B7"/>
    <w:pPr>
      <w:numPr>
        <w:ilvl w:val="5"/>
        <w:numId w:val="18"/>
      </w:numPr>
      <w:autoSpaceDE/>
      <w:autoSpaceDN/>
      <w:adjustRightInd/>
      <w:spacing w:line="240" w:lineRule="auto"/>
    </w:pPr>
    <w:rPr>
      <w:rFonts w:ascii="Times New Roman" w:eastAsia="Calibri" w:hAnsi="Times New Roman"/>
      <w:sz w:val="22"/>
      <w:lang w:eastAsia="en-US" w:bidi="en-US"/>
    </w:rPr>
  </w:style>
  <w:style w:type="paragraph" w:styleId="CommentText">
    <w:name w:val="annotation text"/>
    <w:basedOn w:val="Normal"/>
    <w:link w:val="CommentTextChar"/>
    <w:uiPriority w:val="99"/>
    <w:unhideWhenUsed/>
    <w:rsid w:val="003A75B7"/>
    <w:pPr>
      <w:autoSpaceDE/>
      <w:autoSpaceDN/>
      <w:adjustRightInd/>
      <w:spacing w:after="200" w:line="240" w:lineRule="auto"/>
      <w:jc w:val="left"/>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3A75B7"/>
    <w:rPr>
      <w:rFonts w:ascii="Calibri" w:eastAsia="Calibri" w:hAnsi="Calibri"/>
      <w:lang w:val="en-GB" w:eastAsia="en-US"/>
    </w:rPr>
  </w:style>
  <w:style w:type="character" w:styleId="CommentReference">
    <w:name w:val="annotation reference"/>
    <w:uiPriority w:val="99"/>
    <w:unhideWhenUsed/>
    <w:rsid w:val="00091851"/>
    <w:rPr>
      <w:rFonts w:ascii="Arial" w:hAnsi="Arial"/>
      <w:sz w:val="16"/>
      <w:szCs w:val="16"/>
    </w:rPr>
  </w:style>
  <w:style w:type="paragraph" w:styleId="CommentSubject">
    <w:name w:val="annotation subject"/>
    <w:basedOn w:val="CommentText"/>
    <w:next w:val="CommentText"/>
    <w:link w:val="CommentSubjectChar"/>
    <w:rsid w:val="00091851"/>
    <w:pPr>
      <w:autoSpaceDE w:val="0"/>
      <w:autoSpaceDN w:val="0"/>
      <w:adjustRightInd w:val="0"/>
      <w:spacing w:after="0"/>
      <w:jc w:val="both"/>
    </w:pPr>
    <w:rPr>
      <w:rFonts w:ascii="Verdana" w:eastAsia="Times New Roman" w:hAnsi="Verdana"/>
      <w:b/>
      <w:bCs/>
      <w:lang w:eastAsia="en-GB"/>
    </w:rPr>
  </w:style>
  <w:style w:type="character" w:customStyle="1" w:styleId="CommentSubjectChar">
    <w:name w:val="Comment Subject Char"/>
    <w:basedOn w:val="CommentTextChar"/>
    <w:link w:val="CommentSubject"/>
    <w:rsid w:val="00091851"/>
    <w:rPr>
      <w:rFonts w:ascii="Verdana" w:eastAsia="Times New Roman" w:hAnsi="Verdana"/>
      <w:b/>
      <w:bCs/>
      <w:lang w:val="en-GB" w:eastAsia="en-GB"/>
    </w:rPr>
  </w:style>
  <w:style w:type="character" w:styleId="FollowedHyperlink">
    <w:name w:val="FollowedHyperlink"/>
    <w:basedOn w:val="DefaultParagraphFont"/>
    <w:semiHidden/>
    <w:unhideWhenUsed/>
    <w:rsid w:val="00E140C4"/>
    <w:rPr>
      <w:color w:val="800080" w:themeColor="followedHyperlink"/>
      <w:u w:val="single"/>
    </w:rPr>
  </w:style>
  <w:style w:type="paragraph" w:styleId="NormalWeb">
    <w:name w:val="Normal (Web)"/>
    <w:basedOn w:val="Normal"/>
    <w:uiPriority w:val="99"/>
    <w:rsid w:val="00E140C4"/>
    <w:pPr>
      <w:autoSpaceDE/>
      <w:autoSpaceDN/>
      <w:adjustRightInd/>
      <w:spacing w:before="100" w:beforeAutospacing="1" w:after="100" w:afterAutospacing="1" w:line="240" w:lineRule="auto"/>
      <w:jc w:val="left"/>
    </w:pPr>
    <w:rPr>
      <w:rFonts w:ascii="Times New Roman" w:hAnsi="Times New Roman"/>
      <w:sz w:val="24"/>
      <w:szCs w:val="24"/>
      <w:lang w:val="en-IE" w:eastAsia="en-IE"/>
    </w:rPr>
  </w:style>
  <w:style w:type="paragraph" w:styleId="ListParagraph">
    <w:name w:val="List Paragraph"/>
    <w:basedOn w:val="Normal"/>
    <w:qFormat/>
    <w:rsid w:val="00550CD3"/>
    <w:pPr>
      <w:ind w:left="720"/>
      <w:contextualSpacing/>
    </w:pPr>
  </w:style>
  <w:style w:type="paragraph" w:customStyle="1" w:styleId="FRABodyText">
    <w:name w:val="(FRA) Body Text"/>
    <w:basedOn w:val="Normal"/>
    <w:link w:val="FRABodyTextChar"/>
    <w:rsid w:val="007B3B09"/>
    <w:pPr>
      <w:autoSpaceDE/>
      <w:autoSpaceDN/>
      <w:adjustRightInd/>
      <w:spacing w:after="240" w:line="240" w:lineRule="auto"/>
    </w:pPr>
    <w:rPr>
      <w:rFonts w:ascii="Times New Roman" w:hAnsi="Times New Roman"/>
      <w:sz w:val="22"/>
      <w:lang w:val="de-DE" w:eastAsia="en-US"/>
    </w:rPr>
  </w:style>
  <w:style w:type="character" w:customStyle="1" w:styleId="FRABodyTextChar">
    <w:name w:val="(FRA) Body Text Char"/>
    <w:link w:val="FRABodyText"/>
    <w:locked/>
    <w:rsid w:val="007B3B09"/>
    <w:rPr>
      <w:rFonts w:ascii="Times New Roman" w:eastAsia="Times New Roman" w:hAnsi="Times New Roman"/>
      <w:sz w:val="22"/>
      <w:szCs w:val="22"/>
      <w:lang w:eastAsia="en-US"/>
    </w:rPr>
  </w:style>
  <w:style w:type="paragraph" w:customStyle="1" w:styleId="Pa27">
    <w:name w:val="Pa27"/>
    <w:basedOn w:val="Normal"/>
    <w:next w:val="Normal"/>
    <w:uiPriority w:val="99"/>
    <w:rsid w:val="0041713E"/>
    <w:pPr>
      <w:spacing w:line="161" w:lineRule="atLeast"/>
      <w:jc w:val="left"/>
    </w:pPr>
    <w:rPr>
      <w:rFonts w:ascii="DaxlinePro-Regular" w:eastAsia="Cambria" w:hAnsi="DaxlinePro-Regular"/>
      <w:sz w:val="24"/>
      <w:szCs w:val="24"/>
      <w:lang w:val="en-IE" w:eastAsia="de-DE"/>
    </w:rPr>
  </w:style>
  <w:style w:type="character" w:customStyle="1" w:styleId="A13">
    <w:name w:val="A13"/>
    <w:uiPriority w:val="99"/>
    <w:rsid w:val="002B6F7E"/>
    <w:rPr>
      <w:rFonts w:ascii="DaxlinePro-Regular" w:hAnsi="DaxlinePro-Regular" w:cs="DaxlinePro-Regular"/>
      <w:color w:val="000000"/>
      <w:sz w:val="10"/>
      <w:szCs w:val="10"/>
    </w:rPr>
  </w:style>
  <w:style w:type="character" w:customStyle="1" w:styleId="A7">
    <w:name w:val="A7"/>
    <w:uiPriority w:val="99"/>
    <w:rsid w:val="000436FB"/>
    <w:rPr>
      <w:rFonts w:cs="DaxlinePro-Regular"/>
      <w:color w:val="000000"/>
      <w:sz w:val="18"/>
      <w:szCs w:val="18"/>
    </w:rPr>
  </w:style>
  <w:style w:type="paragraph" w:customStyle="1" w:styleId="Pa28">
    <w:name w:val="Pa28"/>
    <w:basedOn w:val="Normal"/>
    <w:next w:val="Normal"/>
    <w:uiPriority w:val="99"/>
    <w:rsid w:val="005400EB"/>
    <w:pPr>
      <w:spacing w:line="185" w:lineRule="atLeast"/>
      <w:jc w:val="left"/>
    </w:pPr>
    <w:rPr>
      <w:rFonts w:ascii="DaxlinePro-Regular" w:eastAsia="Cambria" w:hAnsi="DaxlinePro-Regular"/>
      <w:sz w:val="24"/>
      <w:szCs w:val="24"/>
      <w:lang w:val="en-IE" w:eastAsia="de-DE"/>
    </w:rPr>
  </w:style>
  <w:style w:type="character" w:styleId="Strong">
    <w:name w:val="Strong"/>
    <w:basedOn w:val="DefaultParagraphFont"/>
    <w:uiPriority w:val="22"/>
    <w:qFormat/>
    <w:rsid w:val="00D01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6479">
      <w:bodyDiv w:val="1"/>
      <w:marLeft w:val="0"/>
      <w:marRight w:val="0"/>
      <w:marTop w:val="0"/>
      <w:marBottom w:val="0"/>
      <w:divBdr>
        <w:top w:val="none" w:sz="0" w:space="0" w:color="auto"/>
        <w:left w:val="none" w:sz="0" w:space="0" w:color="auto"/>
        <w:bottom w:val="none" w:sz="0" w:space="0" w:color="auto"/>
        <w:right w:val="none" w:sz="0" w:space="0" w:color="auto"/>
      </w:divBdr>
      <w:divsChild>
        <w:div w:id="1230768392">
          <w:marLeft w:val="0"/>
          <w:marRight w:val="0"/>
          <w:marTop w:val="0"/>
          <w:marBottom w:val="0"/>
          <w:divBdr>
            <w:top w:val="none" w:sz="0" w:space="0" w:color="auto"/>
            <w:left w:val="none" w:sz="0" w:space="0" w:color="auto"/>
            <w:bottom w:val="none" w:sz="0" w:space="0" w:color="auto"/>
            <w:right w:val="none" w:sz="0" w:space="0" w:color="auto"/>
          </w:divBdr>
          <w:divsChild>
            <w:div w:id="17968331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8050632">
      <w:bodyDiv w:val="1"/>
      <w:marLeft w:val="0"/>
      <w:marRight w:val="0"/>
      <w:marTop w:val="0"/>
      <w:marBottom w:val="0"/>
      <w:divBdr>
        <w:top w:val="none" w:sz="0" w:space="0" w:color="auto"/>
        <w:left w:val="none" w:sz="0" w:space="0" w:color="auto"/>
        <w:bottom w:val="none" w:sz="0" w:space="0" w:color="auto"/>
        <w:right w:val="none" w:sz="0" w:space="0" w:color="auto"/>
      </w:divBdr>
    </w:div>
    <w:div w:id="572199316">
      <w:bodyDiv w:val="1"/>
      <w:marLeft w:val="0"/>
      <w:marRight w:val="0"/>
      <w:marTop w:val="0"/>
      <w:marBottom w:val="0"/>
      <w:divBdr>
        <w:top w:val="none" w:sz="0" w:space="0" w:color="auto"/>
        <w:left w:val="none" w:sz="0" w:space="0" w:color="auto"/>
        <w:bottom w:val="none" w:sz="0" w:space="0" w:color="auto"/>
        <w:right w:val="none" w:sz="0" w:space="0" w:color="auto"/>
      </w:divBdr>
      <w:divsChild>
        <w:div w:id="1496460425">
          <w:marLeft w:val="0"/>
          <w:marRight w:val="0"/>
          <w:marTop w:val="0"/>
          <w:marBottom w:val="0"/>
          <w:divBdr>
            <w:top w:val="none" w:sz="0" w:space="0" w:color="auto"/>
            <w:left w:val="none" w:sz="0" w:space="0" w:color="auto"/>
            <w:bottom w:val="none" w:sz="0" w:space="0" w:color="auto"/>
            <w:right w:val="none" w:sz="0" w:space="0" w:color="auto"/>
          </w:divBdr>
          <w:divsChild>
            <w:div w:id="2974936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22421030">
      <w:bodyDiv w:val="1"/>
      <w:marLeft w:val="0"/>
      <w:marRight w:val="0"/>
      <w:marTop w:val="0"/>
      <w:marBottom w:val="0"/>
      <w:divBdr>
        <w:top w:val="none" w:sz="0" w:space="0" w:color="auto"/>
        <w:left w:val="none" w:sz="0" w:space="0" w:color="auto"/>
        <w:bottom w:val="none" w:sz="0" w:space="0" w:color="auto"/>
        <w:right w:val="none" w:sz="0" w:space="0" w:color="auto"/>
      </w:divBdr>
    </w:div>
    <w:div w:id="988097580">
      <w:bodyDiv w:val="1"/>
      <w:marLeft w:val="0"/>
      <w:marRight w:val="0"/>
      <w:marTop w:val="0"/>
      <w:marBottom w:val="0"/>
      <w:divBdr>
        <w:top w:val="none" w:sz="0" w:space="0" w:color="auto"/>
        <w:left w:val="none" w:sz="0" w:space="0" w:color="auto"/>
        <w:bottom w:val="none" w:sz="0" w:space="0" w:color="auto"/>
        <w:right w:val="none" w:sz="0" w:space="0" w:color="auto"/>
      </w:divBdr>
    </w:div>
    <w:div w:id="208360325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fra.europa.eu/en/publication/2013/inequalities-and-multiple-discrimination-access-and-quality-healthcare" TargetMode="External"/><Relationship Id="rId117" Type="http://schemas.openxmlformats.org/officeDocument/2006/relationships/hyperlink" Target="http://fra.europa.eu/fraWebsite/attachments/FRA-disabilities-postcard_RO.pdf" TargetMode="External"/><Relationship Id="rId21" Type="http://schemas.openxmlformats.org/officeDocument/2006/relationships/hyperlink" Target="http://ec.europa.eu/justice/policies/children/docs/com_2011_60_en.pdf" TargetMode="External"/><Relationship Id="rId42" Type="http://schemas.openxmlformats.org/officeDocument/2006/relationships/hyperlink" Target="http://fra.europa.eu/en/publication/2011/access-justice-europe-overview-challenges-and-opportunities" TargetMode="External"/><Relationship Id="rId47" Type="http://schemas.openxmlformats.org/officeDocument/2006/relationships/hyperlink" Target="http://fra.europa.eu/en/publication/2014/right-political-participation-persons-disabilities-human-rights-indicators" TargetMode="External"/><Relationship Id="rId63" Type="http://schemas.openxmlformats.org/officeDocument/2006/relationships/hyperlink" Target="http://fra.europa.eu/en/publication/2015/equal-protection-all-victims-hate-crime-case-people-disabilities" TargetMode="External"/><Relationship Id="rId68" Type="http://schemas.openxmlformats.org/officeDocument/2006/relationships/image" Target="media/image8.jpeg"/><Relationship Id="rId84" Type="http://schemas.openxmlformats.org/officeDocument/2006/relationships/hyperlink" Target="http://fra.europa.eu/fraWebsite/attachments/disability_key%20rights_factsheet_LV.pdf" TargetMode="External"/><Relationship Id="rId89" Type="http://schemas.openxmlformats.org/officeDocument/2006/relationships/oleObject" Target="embeddings/oleObject4.bin"/><Relationship Id="rId112" Type="http://schemas.openxmlformats.org/officeDocument/2006/relationships/hyperlink" Target="http://fra.europa.eu/fraWebsite/attachments/FRA-disabilities-postcard_LT.pdf" TargetMode="External"/><Relationship Id="rId133" Type="http://schemas.openxmlformats.org/officeDocument/2006/relationships/fontTable" Target="fontTable.xml"/><Relationship Id="rId16" Type="http://schemas.openxmlformats.org/officeDocument/2006/relationships/hyperlink" Target="http://eur-lex.europa.eu/legal-content/EN/TXT/?qid=1431679474559&amp;uri=CELEX:32012L0029" TargetMode="External"/><Relationship Id="rId107" Type="http://schemas.openxmlformats.org/officeDocument/2006/relationships/hyperlink" Target="http://fra.europa.eu/fraWebsite/attachments/FRA-disabilities-postcard_EE.pdf" TargetMode="External"/><Relationship Id="rId11" Type="http://schemas.openxmlformats.org/officeDocument/2006/relationships/endnotes" Target="endnotes.xml"/><Relationship Id="rId32" Type="http://schemas.openxmlformats.org/officeDocument/2006/relationships/hyperlink" Target="http://fra.europa.eu/en/publication/2012/choice-and-control-right-independent-living" TargetMode="External"/><Relationship Id="rId37" Type="http://schemas.openxmlformats.org/officeDocument/2006/relationships/hyperlink" Target="http://fra.europa.eu/en/publication/2011/handbook-european-non-discrimination-law" TargetMode="External"/><Relationship Id="rId53" Type="http://schemas.openxmlformats.org/officeDocument/2006/relationships/hyperlink" Target="http://fra.europa.eu/en/theme/people-disabilities" TargetMode="External"/><Relationship Id="rId58" Type="http://schemas.openxmlformats.org/officeDocument/2006/relationships/image" Target="media/image3.jpeg"/><Relationship Id="rId74" Type="http://schemas.openxmlformats.org/officeDocument/2006/relationships/oleObject" Target="embeddings/oleObject2.bin"/><Relationship Id="rId79" Type="http://schemas.openxmlformats.org/officeDocument/2006/relationships/hyperlink" Target="http://fra.europa.eu/fraWebsite/attachments/disability_key%20rights_factsheet_BG.pdf" TargetMode="External"/><Relationship Id="rId102" Type="http://schemas.openxmlformats.org/officeDocument/2006/relationships/image" Target="media/image18.png"/><Relationship Id="rId123" Type="http://schemas.openxmlformats.org/officeDocument/2006/relationships/image" Target="media/image20.png"/><Relationship Id="rId128" Type="http://schemas.openxmlformats.org/officeDocument/2006/relationships/image" Target="media/image23.jpeg"/><Relationship Id="rId5" Type="http://schemas.openxmlformats.org/officeDocument/2006/relationships/numbering" Target="numbering.xml"/><Relationship Id="rId90" Type="http://schemas.openxmlformats.org/officeDocument/2006/relationships/image" Target="media/image16.jpeg"/><Relationship Id="rId95" Type="http://schemas.openxmlformats.org/officeDocument/2006/relationships/hyperlink" Target="http://fra.europa.eu/fraWebsite/attachments/disability_key%20rights_factsheet_DE.pdf" TargetMode="External"/><Relationship Id="rId14" Type="http://schemas.openxmlformats.org/officeDocument/2006/relationships/hyperlink" Target="http://www.echr.coe.int/Documents/Convention_ENG.pdf" TargetMode="External"/><Relationship Id="rId22" Type="http://schemas.openxmlformats.org/officeDocument/2006/relationships/hyperlink" Target="http://www.coe.int/en/web/children/child-friendly-justice" TargetMode="External"/><Relationship Id="rId27" Type="http://schemas.openxmlformats.org/officeDocument/2006/relationships/hyperlink" Target="http://fra.europa.eu/en/publication/2013/handbook-european-law-relating-asylum-borders-and-immigration" TargetMode="External"/><Relationship Id="rId30" Type="http://schemas.openxmlformats.org/officeDocument/2006/relationships/hyperlink" Target="http://eur-lex.europa.eu/eli/dir/2013/32/oj" TargetMode="External"/><Relationship Id="rId35" Type="http://schemas.openxmlformats.org/officeDocument/2006/relationships/hyperlink" Target="http://fra.europa.eu/en/publication/2015/children-disabilities-violence" TargetMode="External"/><Relationship Id="rId43" Type="http://schemas.openxmlformats.org/officeDocument/2006/relationships/hyperlink" Target="http://fra.europa.eu/en/publication/2012/access-justice-cases-discrimination-eu-steps-further-equality" TargetMode="External"/><Relationship Id="rId48" Type="http://schemas.openxmlformats.org/officeDocument/2006/relationships/hyperlink" Target="http://fra.europa.eu/en/publication/2014/right-political-participation-persons-disabilities-human-rights-indicators" TargetMode="External"/><Relationship Id="rId56" Type="http://schemas.openxmlformats.org/officeDocument/2006/relationships/image" Target="media/image2.jpeg"/><Relationship Id="rId64" Type="http://schemas.openxmlformats.org/officeDocument/2006/relationships/image" Target="media/image6.jpeg"/><Relationship Id="rId69" Type="http://schemas.openxmlformats.org/officeDocument/2006/relationships/hyperlink" Target="http://fra.europa.eu/sites/default/files/styles/fra_large/public/fra_images/polpar_infographics.jpg" TargetMode="External"/><Relationship Id="rId77" Type="http://schemas.openxmlformats.org/officeDocument/2006/relationships/oleObject" Target="embeddings/oleObject3.bin"/><Relationship Id="rId100" Type="http://schemas.openxmlformats.org/officeDocument/2006/relationships/hyperlink" Target="http://fra.europa.eu/fraWebsite/attachments/disability_key%20rights_factsheet_RO.pdf" TargetMode="External"/><Relationship Id="rId105" Type="http://schemas.openxmlformats.org/officeDocument/2006/relationships/hyperlink" Target="http://fra.europa.eu/fraWebsite/attachments/FRA-disabilities-postcard_CZ.pdf" TargetMode="External"/><Relationship Id="rId113" Type="http://schemas.openxmlformats.org/officeDocument/2006/relationships/hyperlink" Target="http://fra.europa.eu/fraWebsite/attachments/FRA-disabilities-postcard_HU.pdf" TargetMode="External"/><Relationship Id="rId118" Type="http://schemas.openxmlformats.org/officeDocument/2006/relationships/hyperlink" Target="http://fra.europa.eu/fraWebsite/attachments/FRA-disabilities-postcard_SK.pdf" TargetMode="External"/><Relationship Id="rId126" Type="http://schemas.openxmlformats.org/officeDocument/2006/relationships/image" Target="media/image21.jpe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curia.europa.eu/juris/" TargetMode="External"/><Relationship Id="rId72" Type="http://schemas.openxmlformats.org/officeDocument/2006/relationships/oleObject" Target="embeddings/oleObject1.bin"/><Relationship Id="rId80" Type="http://schemas.openxmlformats.org/officeDocument/2006/relationships/hyperlink" Target="http://fra.europa.eu/fraWebsite/attachments/disability_key%20rights_factsheet_DE.pdf" TargetMode="External"/><Relationship Id="rId85" Type="http://schemas.openxmlformats.org/officeDocument/2006/relationships/hyperlink" Target="http://fra.europa.eu/fraWebsite/attachments/disability_key%20rights_factsheet_RO.pdf" TargetMode="External"/><Relationship Id="rId93" Type="http://schemas.openxmlformats.org/officeDocument/2006/relationships/hyperlink" Target="http://fra.europa.eu/fraWebsite/attachments/disability_key%20rights_factsheet_EN.pdf" TargetMode="External"/><Relationship Id="rId98" Type="http://schemas.openxmlformats.org/officeDocument/2006/relationships/hyperlink" Target="http://fra.europa.eu/fraWebsite/attachments/disability_key%20rights_factsheet_HU.pdf" TargetMode="External"/><Relationship Id="rId12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fra.europa.eu/en/theme/people-disabilities/publications" TargetMode="External"/><Relationship Id="rId17" Type="http://schemas.openxmlformats.org/officeDocument/2006/relationships/hyperlink" Target="http://eur-lex.europa.eu/legal-content/EN/TXT/?qid=1431679503020&amp;uri=CELEX:32012L0013" TargetMode="External"/><Relationship Id="rId25" Type="http://schemas.openxmlformats.org/officeDocument/2006/relationships/hyperlink" Target="http://fra.europa.eu/en/publication/2016/handbook-european-law-relating-access-justice" TargetMode="External"/><Relationship Id="rId33" Type="http://schemas.openxmlformats.org/officeDocument/2006/relationships/hyperlink" Target="http://fra.europa.eu/en/publication/2015/child-friendly-justice-perspectives-and-experiences-professionals-childrens" TargetMode="External"/><Relationship Id="rId38" Type="http://schemas.openxmlformats.org/officeDocument/2006/relationships/hyperlink" Target="http://fra.europa.eu/en/publication/2015/children-disabilities-violence" TargetMode="External"/><Relationship Id="rId46" Type="http://schemas.openxmlformats.org/officeDocument/2006/relationships/hyperlink" Target="http://eur-lex.europa.eu/legal-content/EN/TXT/?qid=1431679503020&amp;uri=CELEX:32012L0013" TargetMode="External"/><Relationship Id="rId59" Type="http://schemas.openxmlformats.org/officeDocument/2006/relationships/hyperlink" Target="http://fra.europa.eu/sites/default/files/styles/fra_large/public/fra_images/cover_violence-against-children-disabilities_summary.jpg?itok=ryd8c57t" TargetMode="External"/><Relationship Id="rId67" Type="http://schemas.openxmlformats.org/officeDocument/2006/relationships/hyperlink" Target="http://fra.europa.eu/sites/default/files/styles/fra_large/public/fra_images/fra-2014-political-participation-persons-disabilities-summary-cover_en.jpg" TargetMode="External"/><Relationship Id="rId103" Type="http://schemas.openxmlformats.org/officeDocument/2006/relationships/oleObject" Target="embeddings/oleObject5.bin"/><Relationship Id="rId108" Type="http://schemas.openxmlformats.org/officeDocument/2006/relationships/hyperlink" Target="http://fra.europa.eu/fraWebsite/attachments/FRA-disabilities-postcard_EL.pdf" TargetMode="External"/><Relationship Id="rId116" Type="http://schemas.openxmlformats.org/officeDocument/2006/relationships/hyperlink" Target="http://fra.europa.eu/fraWebsite/attachments/FRA-disabilities-postcard_PT.pdf" TargetMode="External"/><Relationship Id="rId124" Type="http://schemas.openxmlformats.org/officeDocument/2006/relationships/oleObject" Target="embeddings/oleObject7.bin"/><Relationship Id="rId129" Type="http://schemas.openxmlformats.org/officeDocument/2006/relationships/header" Target="header1.xml"/><Relationship Id="rId20" Type="http://schemas.openxmlformats.org/officeDocument/2006/relationships/hyperlink" Target="http://eur-lex.europa.eu/legal-content/en/ALL/;ELX_SESSIONID=ZybQJzWNghvVFQMYM2nlhxkKGxGh4bPJckQb1xnk4RDHc61gzY2t!1316736443?uri=CELEX:32013H1224(02)" TargetMode="External"/><Relationship Id="rId41" Type="http://schemas.openxmlformats.org/officeDocument/2006/relationships/hyperlink" Target="http://fra.europa.eu/en/publication/2016/handbook-european-law-relating-access-justice" TargetMode="External"/><Relationship Id="rId54" Type="http://schemas.openxmlformats.org/officeDocument/2006/relationships/image" Target="media/image1.png"/><Relationship Id="rId62" Type="http://schemas.openxmlformats.org/officeDocument/2006/relationships/image" Target="media/image5.jpeg"/><Relationship Id="rId70" Type="http://schemas.openxmlformats.org/officeDocument/2006/relationships/image" Target="media/image9.jpeg"/><Relationship Id="rId75" Type="http://schemas.openxmlformats.org/officeDocument/2006/relationships/image" Target="media/image12.png"/><Relationship Id="rId83" Type="http://schemas.openxmlformats.org/officeDocument/2006/relationships/hyperlink" Target="http://fra.europa.eu/fraWebsite/attachments/disability_key%20rights_factsheet_HU.pdf" TargetMode="External"/><Relationship Id="rId88" Type="http://schemas.openxmlformats.org/officeDocument/2006/relationships/image" Target="media/image15.png"/><Relationship Id="rId91" Type="http://schemas.openxmlformats.org/officeDocument/2006/relationships/hyperlink" Target="http://fra.europa.eu/fraWebsite/research/publications/publications_per_year/2011/pub-legal-protection-persons-mental-health-problems_en.htm" TargetMode="External"/><Relationship Id="rId96" Type="http://schemas.openxmlformats.org/officeDocument/2006/relationships/hyperlink" Target="http://fra.europa.eu/fraWebsite/attachments/disability_key%20rights_factsheet_EL.pdf" TargetMode="External"/><Relationship Id="rId111" Type="http://schemas.openxmlformats.org/officeDocument/2006/relationships/hyperlink" Target="http://fra.europa.eu/fraWebsite/attachments/FRA-disabilities-postcard_LV.pdf"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ur-lex.europa.eu/legal-content/EN/TXT/?uri=CELEX:12012P/TXT" TargetMode="External"/><Relationship Id="rId23" Type="http://schemas.openxmlformats.org/officeDocument/2006/relationships/hyperlink" Target="http://fra.europa.eu/en/publication/2011/access-justice-europe-overview-challenges-and-opportunities" TargetMode="External"/><Relationship Id="rId28" Type="http://schemas.openxmlformats.org/officeDocument/2006/relationships/hyperlink" Target="http://www.echr.coe.int/Documents/Convention_ENG.pdf" TargetMode="External"/><Relationship Id="rId36" Type="http://schemas.openxmlformats.org/officeDocument/2006/relationships/hyperlink" Target="http://fra.europa.eu/en/publication/2016/handbook-european-law-relating-access-justice" TargetMode="External"/><Relationship Id="rId49" Type="http://schemas.openxmlformats.org/officeDocument/2006/relationships/hyperlink" Target="http://fra.europa.eu/en/publication/2012/choice-and-control-right-independent-living" TargetMode="External"/><Relationship Id="rId57" Type="http://schemas.openxmlformats.org/officeDocument/2006/relationships/hyperlink" Target="http://fra.europa.eu/sites/default/files/styles/fra_large/public/fra_images/cover_violence_against_children_with_disabilities_report.jpg?itok=fmJl-0V7" TargetMode="External"/><Relationship Id="rId106" Type="http://schemas.openxmlformats.org/officeDocument/2006/relationships/hyperlink" Target="http://fra.europa.eu/fraWebsite/attachments/FRA-disabilities-postcard_DK.pdf" TargetMode="External"/><Relationship Id="rId114" Type="http://schemas.openxmlformats.org/officeDocument/2006/relationships/hyperlink" Target="http://fra.europa.eu/fraWebsite/attachments/FRA-disabilities-postcard_NL.pdf" TargetMode="External"/><Relationship Id="rId119" Type="http://schemas.openxmlformats.org/officeDocument/2006/relationships/hyperlink" Target="http://fra.europa.eu/fraWebsite/attachments/FRA-disabilities-postcard_FI.pdf" TargetMode="External"/><Relationship Id="rId12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hyperlink" Target="http://data.europa.eu/eli/dir/2008/115/oj" TargetMode="External"/><Relationship Id="rId44" Type="http://schemas.openxmlformats.org/officeDocument/2006/relationships/hyperlink" Target="http://fra.europa.eu/en/publication/2016/rights-suspected-and-accused-persons-across-eu-translation-interpretation-and" TargetMode="External"/><Relationship Id="rId52" Type="http://schemas.openxmlformats.org/officeDocument/2006/relationships/hyperlink" Target="http://www.europarl.europa.eu/committees/en/peti/search-in-documents.html" TargetMode="External"/><Relationship Id="rId60" Type="http://schemas.openxmlformats.org/officeDocument/2006/relationships/image" Target="media/image4.jpeg"/><Relationship Id="rId65" Type="http://schemas.openxmlformats.org/officeDocument/2006/relationships/hyperlink" Target="http://fra.europa.eu/sites/default/files/styles/fra_large/public/fra_images/fra-2014-right-political-participation-persons-disabilities-cover.jpg" TargetMode="External"/><Relationship Id="rId73" Type="http://schemas.openxmlformats.org/officeDocument/2006/relationships/image" Target="media/image11.png"/><Relationship Id="rId78" Type="http://schemas.openxmlformats.org/officeDocument/2006/relationships/hyperlink" Target="http://fra.europa.eu/fraWebsite/attachments/disability_key%20rights_factsheet_EN.pdf" TargetMode="External"/><Relationship Id="rId81" Type="http://schemas.openxmlformats.org/officeDocument/2006/relationships/hyperlink" Target="http://fra.europa.eu/fraWebsite/attachments/disability_key%20rights_factsheet_EL.pdf" TargetMode="External"/><Relationship Id="rId86" Type="http://schemas.openxmlformats.org/officeDocument/2006/relationships/hyperlink" Target="http://fra.europa.eu/fraWebsite/attachments/disability_key%20rights_factsheet_SV.pdf" TargetMode="External"/><Relationship Id="rId94" Type="http://schemas.openxmlformats.org/officeDocument/2006/relationships/hyperlink" Target="http://fra.europa.eu/fraWebsite/attachments/disability_key%20rights_factsheet_BG.pdf" TargetMode="External"/><Relationship Id="rId99" Type="http://schemas.openxmlformats.org/officeDocument/2006/relationships/hyperlink" Target="http://fra.europa.eu/fraWebsite/attachments/disability_key%20rights_factsheet_LV.pdf" TargetMode="External"/><Relationship Id="rId101" Type="http://schemas.openxmlformats.org/officeDocument/2006/relationships/hyperlink" Target="http://fra.europa.eu/fraWebsite/attachments/disability_key%20rights_factsheet_SV.pdf" TargetMode="External"/><Relationship Id="rId122" Type="http://schemas.openxmlformats.org/officeDocument/2006/relationships/oleObject" Target="embeddings/oleObject6.bin"/><Relationship Id="rId13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fra.europa.eu/en/publication/2016/handbook-european-law-relating-access-justice" TargetMode="External"/><Relationship Id="rId18" Type="http://schemas.openxmlformats.org/officeDocument/2006/relationships/hyperlink" Target="http://eur-lex.europa.eu/legal-content/EN/TXT/?qid=1431679398229&amp;uri=CELEX:32010L0064" TargetMode="External"/><Relationship Id="rId39" Type="http://schemas.openxmlformats.org/officeDocument/2006/relationships/hyperlink" Target="http://www.era.int/" TargetMode="External"/><Relationship Id="rId109" Type="http://schemas.openxmlformats.org/officeDocument/2006/relationships/hyperlink" Target="http://fra.europa.eu/fraWebsite/attachments/FRA-disabilities-postcard_ES.pdf" TargetMode="External"/><Relationship Id="rId34" Type="http://schemas.openxmlformats.org/officeDocument/2006/relationships/hyperlink" Target="http://fra.europa.eu/en/publication/2017/child-friendly-justice-childrens-view" TargetMode="External"/><Relationship Id="rId50" Type="http://schemas.openxmlformats.org/officeDocument/2006/relationships/hyperlink" Target="http://fra.europa.eu/en/project/2014/rights-persons-disabilities-right-independent-living" TargetMode="External"/><Relationship Id="rId55" Type="http://schemas.openxmlformats.org/officeDocument/2006/relationships/hyperlink" Target="http://fra.europa.eu/sites/default/files/styles/fra_large/public/fra_images/cover-image-frr-2016_en.jpg?itok=WhMJFWph" TargetMode="External"/><Relationship Id="rId76" Type="http://schemas.openxmlformats.org/officeDocument/2006/relationships/image" Target="media/image13.png"/><Relationship Id="rId97" Type="http://schemas.openxmlformats.org/officeDocument/2006/relationships/hyperlink" Target="http://fra.europa.eu/fraWebsite/attachments/disability_key%20rights_factsheet_FR.pdf" TargetMode="External"/><Relationship Id="rId104" Type="http://schemas.openxmlformats.org/officeDocument/2006/relationships/hyperlink" Target="http://fra.europa.eu/fraWebsite/attachments/FRA-disabilities-postcard_BG.pdf" TargetMode="External"/><Relationship Id="rId120" Type="http://schemas.openxmlformats.org/officeDocument/2006/relationships/hyperlink" Target="http://fra.europa.eu/fraWebsite/attachments/FRA-disabilities-postcard_SE.pdf" TargetMode="External"/><Relationship Id="rId125" Type="http://schemas.openxmlformats.org/officeDocument/2006/relationships/hyperlink" Target="http://fra.europa.eu/en/publication/2013/how-people-are-treated-differently-healthcare" TargetMode="External"/><Relationship Id="rId7" Type="http://schemas.microsoft.com/office/2007/relationships/stylesWithEffects" Target="stylesWithEffects.xml"/><Relationship Id="rId71" Type="http://schemas.openxmlformats.org/officeDocument/2006/relationships/image" Target="media/image10.png"/><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yperlink" Target="http://data.europa.eu/eli/reg/2013/604/oj" TargetMode="External"/><Relationship Id="rId24" Type="http://schemas.openxmlformats.org/officeDocument/2006/relationships/hyperlink" Target="http://fra.europa.eu/en/publication/2012/access-justice-cases-discrimination-eu-steps-further-equality" TargetMode="External"/><Relationship Id="rId40" Type="http://schemas.openxmlformats.org/officeDocument/2006/relationships/hyperlink" Target="https://www.era.int/upload/dokumente/19322.pdf" TargetMode="External"/><Relationship Id="rId45" Type="http://schemas.openxmlformats.org/officeDocument/2006/relationships/hyperlink" Target="http://eur-lex.europa.eu/legal-content/EN/TXT/?qid=1431679398229&amp;uri=CELEX:32010L0064" TargetMode="External"/><Relationship Id="rId66" Type="http://schemas.openxmlformats.org/officeDocument/2006/relationships/image" Target="media/image7.jpeg"/><Relationship Id="rId87" Type="http://schemas.openxmlformats.org/officeDocument/2006/relationships/image" Target="media/image14.png"/><Relationship Id="rId110" Type="http://schemas.openxmlformats.org/officeDocument/2006/relationships/hyperlink" Target="http://fra.europa.eu/fraWebsite/attachments/FRA-disabilities-postcard_IT.pdf" TargetMode="External"/><Relationship Id="rId115" Type="http://schemas.openxmlformats.org/officeDocument/2006/relationships/hyperlink" Target="http://fra.europa.eu/fraWebsite/attachments/FRA-disabilities-postcard_PL.pdf" TargetMode="External"/><Relationship Id="rId131" Type="http://schemas.openxmlformats.org/officeDocument/2006/relationships/header" Target="header2.xml"/><Relationship Id="rId61" Type="http://schemas.openxmlformats.org/officeDocument/2006/relationships/hyperlink" Target="http://fra.europa.eu/en/publication/2015/implementing-un-crpd-overview-legal-reforms-eu-member-states" TargetMode="External"/><Relationship Id="rId82" Type="http://schemas.openxmlformats.org/officeDocument/2006/relationships/hyperlink" Target="http://fra.europa.eu/fraWebsite/attachments/disability_key%20rights_factsheet_FR.pdf" TargetMode="External"/><Relationship Id="rId19" Type="http://schemas.openxmlformats.org/officeDocument/2006/relationships/hyperlink" Target="http://eur-lex.europa.eu/legal-content/EN/TXT/?qid=1431679660570&amp;uri=CELEX:32013L004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hudoc.echr.coe.int/eng?i=001-60448" TargetMode="External"/><Relationship Id="rId2" Type="http://schemas.openxmlformats.org/officeDocument/2006/relationships/hyperlink" Target="http://hudoc.echr.coe.int/eng?i=001-92525" TargetMode="External"/><Relationship Id="rId1" Type="http://schemas.openxmlformats.org/officeDocument/2006/relationships/hyperlink" Target="http://hudoc.echr.coe.int/eng?i=001-925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624FC-E7A0-4EF6-AA8A-A5A7DA27114E}">
  <ds:schemaRefs>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B5076C8-4E0C-4650-AB3E-1B1FF6D4A57F}">
  <ds:schemaRefs>
    <ds:schemaRef ds:uri="http://schemas.microsoft.com/sharepoint/v3/contenttype/forms"/>
  </ds:schemaRefs>
</ds:datastoreItem>
</file>

<file path=customXml/itemProps3.xml><?xml version="1.0" encoding="utf-8"?>
<ds:datastoreItem xmlns:ds="http://schemas.openxmlformats.org/officeDocument/2006/customXml" ds:itemID="{CE8AEC5B-9248-4D30-8BA1-ED65314F4803}"/>
</file>

<file path=customXml/itemProps4.xml><?xml version="1.0" encoding="utf-8"?>
<ds:datastoreItem xmlns:ds="http://schemas.openxmlformats.org/officeDocument/2006/customXml" ds:itemID="{95C49CF1-BF87-4E37-9143-9F48BE79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5662</Words>
  <Characters>32275</Characters>
  <Application>Microsoft Office Word</Application>
  <DocSecurity>0</DocSecurity>
  <Lines>268</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Service Network</Company>
  <LinksUpToDate>false</LinksUpToDate>
  <CharactersWithSpaces>37862</CharactersWithSpaces>
  <SharedDoc>false</SharedDoc>
  <HLinks>
    <vt:vector size="18" baseType="variant">
      <vt:variant>
        <vt:i4>1703984</vt:i4>
      </vt:variant>
      <vt:variant>
        <vt:i4>22</vt:i4>
      </vt:variant>
      <vt:variant>
        <vt:i4>0</vt:i4>
      </vt:variant>
      <vt:variant>
        <vt:i4>5</vt:i4>
      </vt:variant>
      <vt:variant>
        <vt:lpwstr/>
      </vt:variant>
      <vt:variant>
        <vt:lpwstr>_Toc361755797</vt:lpwstr>
      </vt:variant>
      <vt:variant>
        <vt:i4>1703984</vt:i4>
      </vt:variant>
      <vt:variant>
        <vt:i4>16</vt:i4>
      </vt:variant>
      <vt:variant>
        <vt:i4>0</vt:i4>
      </vt:variant>
      <vt:variant>
        <vt:i4>5</vt:i4>
      </vt:variant>
      <vt:variant>
        <vt:lpwstr/>
      </vt:variant>
      <vt:variant>
        <vt:lpwstr>_Toc361755796</vt:lpwstr>
      </vt:variant>
      <vt:variant>
        <vt:i4>1703984</vt:i4>
      </vt:variant>
      <vt:variant>
        <vt:i4>10</vt:i4>
      </vt:variant>
      <vt:variant>
        <vt:i4>0</vt:i4>
      </vt:variant>
      <vt:variant>
        <vt:i4>5</vt:i4>
      </vt:variant>
      <vt:variant>
        <vt:lpwstr/>
      </vt:variant>
      <vt:variant>
        <vt:lpwstr>_Toc361755795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MARCHETTI Laura (FRA)</dc:creator>
  <dc:description>comment</dc:description>
  <cp:lastModifiedBy>Facundo Chavez Penillas</cp:lastModifiedBy>
  <cp:revision>2</cp:revision>
  <cp:lastPrinted>2013-07-16T16:11:00Z</cp:lastPrinted>
  <dcterms:created xsi:type="dcterms:W3CDTF">2017-05-12T15:38:00Z</dcterms:created>
  <dcterms:modified xsi:type="dcterms:W3CDTF">2017-05-12T15:38:00Z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