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B8" w:rsidRDefault="00517593" w:rsidP="001F1636">
      <w:pPr>
        <w:spacing w:line="240" w:lineRule="auto"/>
        <w:jc w:val="center"/>
        <w:rPr>
          <w:rFonts w:ascii="Trebuchet MS" w:hAnsi="Trebuchet MS"/>
          <w:b/>
          <w:sz w:val="32"/>
        </w:rPr>
      </w:pPr>
      <w:bookmarkStart w:id="0" w:name="_GoBack"/>
      <w:bookmarkEnd w:id="0"/>
      <w:r w:rsidRPr="00C6027E">
        <w:rPr>
          <w:rFonts w:ascii="Trebuchet MS" w:hAnsi="Trebuchet MS"/>
          <w:b/>
          <w:sz w:val="32"/>
        </w:rPr>
        <w:t>Provision of support</w:t>
      </w:r>
      <w:r w:rsidR="00FA55CD" w:rsidRPr="00C6027E">
        <w:rPr>
          <w:rFonts w:ascii="Trebuchet MS" w:hAnsi="Trebuchet MS"/>
          <w:b/>
          <w:sz w:val="32"/>
        </w:rPr>
        <w:t xml:space="preserve"> to persons with disabilities</w:t>
      </w:r>
    </w:p>
    <w:p w:rsidR="00C17D58" w:rsidRDefault="00C17D58" w:rsidP="00C17D58">
      <w:pPr>
        <w:pStyle w:val="NoSpacing"/>
        <w:jc w:val="center"/>
        <w:rPr>
          <w:rFonts w:ascii="Trebuchet MS" w:hAnsi="Trebuchet MS"/>
        </w:rPr>
      </w:pPr>
      <w:r w:rsidRPr="00C17D58">
        <w:rPr>
          <w:rFonts w:ascii="Trebuchet MS" w:hAnsi="Trebuchet MS"/>
        </w:rPr>
        <w:t xml:space="preserve">Response to </w:t>
      </w:r>
      <w:r>
        <w:rPr>
          <w:rFonts w:ascii="Trebuchet MS" w:hAnsi="Trebuchet MS"/>
        </w:rPr>
        <w:t xml:space="preserve">the </w:t>
      </w:r>
      <w:r w:rsidRPr="00C17D58">
        <w:rPr>
          <w:rFonts w:ascii="Trebuchet MS" w:hAnsi="Trebuchet MS"/>
        </w:rPr>
        <w:t>consultation launched by</w:t>
      </w:r>
      <w:r>
        <w:rPr>
          <w:rFonts w:ascii="Trebuchet MS" w:hAnsi="Trebuchet MS"/>
        </w:rPr>
        <w:t xml:space="preserve"> </w:t>
      </w:r>
    </w:p>
    <w:p w:rsidR="00C17D58" w:rsidRDefault="00C17D58" w:rsidP="00C17D58">
      <w:pPr>
        <w:pStyle w:val="NoSpacing"/>
        <w:jc w:val="center"/>
        <w:rPr>
          <w:rFonts w:ascii="Trebuchet MS" w:hAnsi="Trebuchet MS"/>
        </w:rPr>
      </w:pPr>
      <w:proofErr w:type="gramStart"/>
      <w:r w:rsidRPr="00C17D58">
        <w:rPr>
          <w:rFonts w:ascii="Trebuchet MS" w:hAnsi="Trebuchet MS"/>
        </w:rPr>
        <w:t>the</w:t>
      </w:r>
      <w:proofErr w:type="gramEnd"/>
      <w:r w:rsidRPr="00C17D58">
        <w:rPr>
          <w:rFonts w:ascii="Trebuchet MS" w:hAnsi="Trebuchet MS"/>
        </w:rPr>
        <w:t xml:space="preserve"> UN Special Rapporteur on the Rights of Persons with Disabilities</w:t>
      </w:r>
    </w:p>
    <w:p w:rsidR="00C17D58" w:rsidRPr="00C17D58" w:rsidRDefault="00C17D58" w:rsidP="00C17D58">
      <w:pPr>
        <w:pStyle w:val="NoSpacing"/>
        <w:jc w:val="center"/>
        <w:rPr>
          <w:rFonts w:ascii="Trebuchet MS" w:hAnsi="Trebuchet MS"/>
        </w:rPr>
      </w:pPr>
    </w:p>
    <w:p w:rsidR="00C17D58" w:rsidRPr="00C17D58" w:rsidRDefault="00C17D58" w:rsidP="00C17D58">
      <w:pPr>
        <w:pStyle w:val="NoSpacing"/>
        <w:jc w:val="center"/>
        <w:rPr>
          <w:rFonts w:ascii="Trebuchet MS" w:hAnsi="Trebuchet MS"/>
        </w:rPr>
      </w:pPr>
      <w:r w:rsidRPr="00C17D58">
        <w:rPr>
          <w:rFonts w:ascii="Trebuchet MS" w:hAnsi="Trebuchet MS"/>
        </w:rPr>
        <w:t>October 2016</w:t>
      </w:r>
    </w:p>
    <w:p w:rsidR="00FA55CD" w:rsidRPr="00C17D58" w:rsidRDefault="00FA55CD" w:rsidP="00C6027E">
      <w:pPr>
        <w:pStyle w:val="ListParagraph"/>
        <w:spacing w:line="240" w:lineRule="auto"/>
        <w:jc w:val="both"/>
        <w:rPr>
          <w:rFonts w:ascii="Trebuchet MS" w:hAnsi="Trebuchet MS"/>
          <w:b/>
          <w:sz w:val="28"/>
        </w:rPr>
      </w:pPr>
      <w:r w:rsidRPr="00C17D58">
        <w:rPr>
          <w:rFonts w:ascii="Trebuchet MS" w:hAnsi="Trebuchet MS"/>
          <w:b/>
          <w:sz w:val="28"/>
        </w:rPr>
        <w:t xml:space="preserve">About us </w:t>
      </w:r>
    </w:p>
    <w:p w:rsidR="00EE3368" w:rsidRPr="00C6027E" w:rsidRDefault="00336850" w:rsidP="00EE3368">
      <w:pPr>
        <w:spacing w:line="240" w:lineRule="auto"/>
        <w:jc w:val="both"/>
        <w:rPr>
          <w:rFonts w:ascii="Trebuchet MS" w:hAnsi="Trebuchet MS"/>
        </w:rPr>
      </w:pPr>
      <w:hyperlink r:id="rId9" w:history="1">
        <w:r w:rsidR="00EE3368" w:rsidRPr="00C6027E">
          <w:rPr>
            <w:rStyle w:val="Hyperlink"/>
            <w:rFonts w:ascii="Trebuchet MS" w:hAnsi="Trebuchet MS"/>
            <w:b/>
          </w:rPr>
          <w:t>International Federation for Spina Bifida and Hydrocephalus (IF)</w:t>
        </w:r>
      </w:hyperlink>
      <w:r w:rsidR="00EE3368" w:rsidRPr="00C6027E">
        <w:rPr>
          <w:rFonts w:ascii="Trebuchet MS" w:hAnsi="Trebuchet MS"/>
        </w:rPr>
        <w:t xml:space="preserve"> is a global </w:t>
      </w:r>
      <w:r w:rsidR="00D23CC5" w:rsidRPr="00C6027E">
        <w:rPr>
          <w:rFonts w:ascii="Trebuchet MS" w:hAnsi="Trebuchet MS"/>
        </w:rPr>
        <w:t>organisation of persons with disabilities</w:t>
      </w:r>
      <w:r w:rsidR="00EE3368" w:rsidRPr="00C6027E">
        <w:rPr>
          <w:rFonts w:ascii="Trebuchet MS" w:hAnsi="Trebuchet MS"/>
        </w:rPr>
        <w:t xml:space="preserve"> governed by adults with spina bifida or hydrocephalus (SBH) or parents of children with SBH. IF’s mission is to reduce the incidence of SBH by primary prevention, and to improve the quality of life of people with SBH and their families through human rights education, political advocacy, research and community building. Universal respect of the rights reaffirmed in the </w:t>
      </w:r>
      <w:r w:rsidR="00EE3368" w:rsidRPr="00C6027E">
        <w:rPr>
          <w:rFonts w:ascii="Trebuchet MS" w:hAnsi="Trebuchet MS"/>
          <w:b/>
        </w:rPr>
        <w:t xml:space="preserve">UN Convention on the Rights of Persons with Disabilities </w:t>
      </w:r>
      <w:r w:rsidR="00EE3368" w:rsidRPr="00C6027E">
        <w:rPr>
          <w:rFonts w:ascii="Trebuchet MS" w:hAnsi="Trebuchet MS"/>
        </w:rPr>
        <w:t xml:space="preserve">for all children and adults with SBH is IF’s underlining philosophical base. IF is a member of International Disability Alliance, the European Disability Forum and the International Disability and Development Consortium. </w:t>
      </w:r>
    </w:p>
    <w:p w:rsidR="00C6027E" w:rsidRDefault="00C6027E" w:rsidP="00C6027E">
      <w:pPr>
        <w:pStyle w:val="ListParagraph"/>
        <w:spacing w:line="240" w:lineRule="auto"/>
        <w:jc w:val="both"/>
        <w:rPr>
          <w:rFonts w:ascii="Trebuchet MS" w:hAnsi="Trebuchet MS"/>
          <w:b/>
          <w:sz w:val="32"/>
        </w:rPr>
      </w:pPr>
    </w:p>
    <w:p w:rsidR="00517593" w:rsidRPr="00C17D58" w:rsidRDefault="00D23CC5" w:rsidP="00C6027E">
      <w:pPr>
        <w:pStyle w:val="ListParagraph"/>
        <w:spacing w:line="240" w:lineRule="auto"/>
        <w:jc w:val="both"/>
        <w:rPr>
          <w:rFonts w:ascii="Trebuchet MS" w:hAnsi="Trebuchet MS"/>
          <w:b/>
          <w:sz w:val="28"/>
        </w:rPr>
      </w:pPr>
      <w:r w:rsidRPr="00C17D58">
        <w:rPr>
          <w:rFonts w:ascii="Trebuchet MS" w:hAnsi="Trebuchet MS"/>
          <w:b/>
          <w:sz w:val="28"/>
        </w:rPr>
        <w:t xml:space="preserve">What is spina bifida and </w:t>
      </w:r>
      <w:proofErr w:type="gramStart"/>
      <w:r w:rsidRPr="00C17D58">
        <w:rPr>
          <w:rFonts w:ascii="Trebuchet MS" w:hAnsi="Trebuchet MS"/>
          <w:b/>
          <w:sz w:val="28"/>
        </w:rPr>
        <w:t>hydrocephalus</w:t>
      </w:r>
      <w:proofErr w:type="gramEnd"/>
    </w:p>
    <w:p w:rsidR="00CD0D34" w:rsidRPr="00C6027E" w:rsidRDefault="00CD0D34" w:rsidP="00D11A9D">
      <w:pPr>
        <w:spacing w:line="240" w:lineRule="auto"/>
        <w:jc w:val="both"/>
        <w:rPr>
          <w:rFonts w:ascii="Trebuchet MS" w:hAnsi="Trebuchet MS"/>
        </w:rPr>
      </w:pPr>
      <w:r w:rsidRPr="00C6027E">
        <w:rPr>
          <w:rFonts w:ascii="Trebuchet MS" w:hAnsi="Trebuchet MS"/>
          <w:b/>
        </w:rPr>
        <w:t>Spina bifida</w:t>
      </w:r>
      <w:r w:rsidRPr="00C6027E">
        <w:rPr>
          <w:rFonts w:ascii="Trebuchet MS" w:hAnsi="Trebuchet MS"/>
        </w:rPr>
        <w:t>,</w:t>
      </w:r>
      <w:r w:rsidR="00D91CDE" w:rsidRPr="00C6027E">
        <w:rPr>
          <w:rFonts w:ascii="Trebuchet MS" w:hAnsi="Trebuchet MS"/>
        </w:rPr>
        <w:t xml:space="preserve"> one of the most complex </w:t>
      </w:r>
      <w:r w:rsidRPr="00C6027E">
        <w:rPr>
          <w:rFonts w:ascii="Trebuchet MS" w:hAnsi="Trebuchet MS"/>
        </w:rPr>
        <w:t xml:space="preserve">neural tube </w:t>
      </w:r>
      <w:r w:rsidR="00D91CDE" w:rsidRPr="00C6027E">
        <w:rPr>
          <w:rFonts w:ascii="Trebuchet MS" w:hAnsi="Trebuchet MS"/>
        </w:rPr>
        <w:t xml:space="preserve">birth defects compatible with life, </w:t>
      </w:r>
      <w:r w:rsidRPr="00C6027E">
        <w:rPr>
          <w:rFonts w:ascii="Trebuchet MS" w:hAnsi="Trebuchet MS"/>
        </w:rPr>
        <w:t xml:space="preserve">is characterised by various degrees of damage to the spinal cord and consequent life-long health conditions necessitating care and support related to reduced mobility, urological and bowel management issues, orthotic needs and weight management. Many people with spina bifida also develop </w:t>
      </w:r>
      <w:r w:rsidRPr="00C6027E">
        <w:rPr>
          <w:rFonts w:ascii="Trebuchet MS" w:hAnsi="Trebuchet MS"/>
          <w:b/>
        </w:rPr>
        <w:t>hydrocephalus</w:t>
      </w:r>
      <w:r w:rsidRPr="00C6027E">
        <w:rPr>
          <w:rFonts w:ascii="Trebuchet MS" w:hAnsi="Trebuchet MS"/>
        </w:rPr>
        <w:t xml:space="preserve">, which is an abnormal accumulation of cerebrospinal fluid in the brain. If untreated, it causes blindness, intellectual disabilities and premature death. </w:t>
      </w:r>
    </w:p>
    <w:p w:rsidR="001170AA" w:rsidRPr="00C6027E" w:rsidRDefault="001170AA" w:rsidP="001170AA">
      <w:pPr>
        <w:spacing w:line="240" w:lineRule="auto"/>
        <w:jc w:val="both"/>
        <w:rPr>
          <w:rFonts w:ascii="Trebuchet MS" w:hAnsi="Trebuchet MS"/>
        </w:rPr>
      </w:pPr>
      <w:r w:rsidRPr="00C6027E">
        <w:rPr>
          <w:rFonts w:ascii="Trebuchet MS" w:hAnsi="Trebuchet MS"/>
        </w:rPr>
        <w:t xml:space="preserve">Although persons with SBH may experience the same support needs as persons with other disabilities (such as personal assistance, daily support in the community, support in decision-making and communication), they also experience </w:t>
      </w:r>
      <w:r w:rsidRPr="00C6027E">
        <w:rPr>
          <w:rFonts w:ascii="Trebuchet MS" w:hAnsi="Trebuchet MS"/>
          <w:b/>
        </w:rPr>
        <w:t>distinct needs that stem specifically from the complex nature of the disabilities in question</w:t>
      </w:r>
      <w:r w:rsidRPr="00C6027E">
        <w:rPr>
          <w:rFonts w:ascii="Trebuchet MS" w:hAnsi="Trebuchet MS"/>
        </w:rPr>
        <w:t xml:space="preserve">. Since it is these support needs that most often remain unmet, making the person vulnerable to abuse of their human rights, they are be focus of the present submission. </w:t>
      </w:r>
    </w:p>
    <w:p w:rsidR="00C6027E" w:rsidRDefault="00C6027E" w:rsidP="00C6027E">
      <w:pPr>
        <w:pStyle w:val="ListParagraph"/>
        <w:spacing w:line="240" w:lineRule="auto"/>
        <w:jc w:val="both"/>
        <w:rPr>
          <w:rFonts w:ascii="Trebuchet MS" w:hAnsi="Trebuchet MS"/>
          <w:b/>
          <w:sz w:val="32"/>
        </w:rPr>
      </w:pPr>
    </w:p>
    <w:p w:rsidR="004A42AC" w:rsidRPr="00C17D58" w:rsidRDefault="00D23CC5" w:rsidP="00C6027E">
      <w:pPr>
        <w:pStyle w:val="ListParagraph"/>
        <w:spacing w:line="240" w:lineRule="auto"/>
        <w:jc w:val="both"/>
        <w:rPr>
          <w:rFonts w:ascii="Trebuchet MS" w:hAnsi="Trebuchet MS"/>
          <w:b/>
          <w:sz w:val="28"/>
        </w:rPr>
      </w:pPr>
      <w:r w:rsidRPr="00C17D58">
        <w:rPr>
          <w:rFonts w:ascii="Trebuchet MS" w:hAnsi="Trebuchet MS"/>
          <w:b/>
          <w:sz w:val="28"/>
        </w:rPr>
        <w:t xml:space="preserve">Underlying </w:t>
      </w:r>
      <w:r w:rsidR="00DD16DF" w:rsidRPr="00C17D58">
        <w:rPr>
          <w:rFonts w:ascii="Trebuchet MS" w:hAnsi="Trebuchet MS"/>
          <w:b/>
          <w:sz w:val="28"/>
        </w:rPr>
        <w:t>obstacles to availability of support</w:t>
      </w:r>
      <w:r w:rsidRPr="00C17D58">
        <w:rPr>
          <w:rFonts w:ascii="Trebuchet MS" w:hAnsi="Trebuchet MS"/>
          <w:b/>
          <w:sz w:val="28"/>
        </w:rPr>
        <w:t xml:space="preserve"> </w:t>
      </w:r>
    </w:p>
    <w:p w:rsidR="004A42AC" w:rsidRPr="00C6027E" w:rsidRDefault="004A42AC" w:rsidP="00C6027E">
      <w:pPr>
        <w:spacing w:line="240" w:lineRule="auto"/>
        <w:jc w:val="both"/>
        <w:rPr>
          <w:rFonts w:ascii="Trebuchet MS" w:hAnsi="Trebuchet MS"/>
          <w:i/>
        </w:rPr>
      </w:pPr>
      <w:r w:rsidRPr="00C6027E">
        <w:rPr>
          <w:rFonts w:ascii="Trebuchet MS" w:hAnsi="Trebuchet MS"/>
          <w:i/>
        </w:rPr>
        <w:t>Lack of data</w:t>
      </w:r>
      <w:r w:rsidR="001D627B" w:rsidRPr="00C6027E">
        <w:rPr>
          <w:rFonts w:ascii="Trebuchet MS" w:hAnsi="Trebuchet MS"/>
          <w:i/>
        </w:rPr>
        <w:t xml:space="preserve"> </w:t>
      </w:r>
      <w:r w:rsidRPr="00C6027E">
        <w:rPr>
          <w:rFonts w:ascii="Trebuchet MS" w:hAnsi="Trebuchet MS"/>
          <w:i/>
        </w:rPr>
        <w:t xml:space="preserve"> </w:t>
      </w:r>
    </w:p>
    <w:p w:rsidR="00562E3D" w:rsidRPr="00C6027E" w:rsidRDefault="007F244F" w:rsidP="001F1636">
      <w:pPr>
        <w:spacing w:line="240" w:lineRule="auto"/>
        <w:jc w:val="both"/>
        <w:rPr>
          <w:rFonts w:ascii="Trebuchet MS" w:hAnsi="Trebuchet MS"/>
        </w:rPr>
      </w:pPr>
      <w:r w:rsidRPr="00C6027E">
        <w:rPr>
          <w:rFonts w:ascii="Trebuchet MS" w:hAnsi="Trebuchet MS"/>
        </w:rPr>
        <w:t>Widespread f</w:t>
      </w:r>
      <w:r w:rsidR="001D627B" w:rsidRPr="00C6027E">
        <w:rPr>
          <w:rFonts w:ascii="Trebuchet MS" w:hAnsi="Trebuchet MS"/>
        </w:rPr>
        <w:t xml:space="preserve">ailure to collect data on prevalence of spina bifida and hydrocephalus in the society is </w:t>
      </w:r>
      <w:r w:rsidR="00DD16DF" w:rsidRPr="00C6027E">
        <w:rPr>
          <w:rFonts w:ascii="Trebuchet MS" w:hAnsi="Trebuchet MS"/>
        </w:rPr>
        <w:t>the underlying reason for the</w:t>
      </w:r>
      <w:r w:rsidRPr="00C6027E">
        <w:rPr>
          <w:rFonts w:ascii="Trebuchet MS" w:hAnsi="Trebuchet MS"/>
        </w:rPr>
        <w:t xml:space="preserve"> inadequacy of support services </w:t>
      </w:r>
      <w:r w:rsidR="00DD16DF" w:rsidRPr="00C6027E">
        <w:rPr>
          <w:rFonts w:ascii="Trebuchet MS" w:hAnsi="Trebuchet MS"/>
        </w:rPr>
        <w:t xml:space="preserve">for </w:t>
      </w:r>
      <w:r w:rsidRPr="00C6027E">
        <w:rPr>
          <w:rFonts w:ascii="Trebuchet MS" w:hAnsi="Trebuchet MS"/>
        </w:rPr>
        <w:t xml:space="preserve">persons with SBH in both the developed world and the developing countries. </w:t>
      </w:r>
      <w:r w:rsidR="00DD16DF" w:rsidRPr="00C6027E">
        <w:rPr>
          <w:rFonts w:ascii="Trebuchet MS" w:hAnsi="Trebuchet MS"/>
        </w:rPr>
        <w:t>The little</w:t>
      </w:r>
      <w:r w:rsidR="000B0DAE" w:rsidRPr="00C6027E">
        <w:rPr>
          <w:rFonts w:ascii="Trebuchet MS" w:hAnsi="Trebuchet MS"/>
        </w:rPr>
        <w:t xml:space="preserve"> data that is being collected is rarely disaggregated by the person’s support needs, focusing inst</w:t>
      </w:r>
      <w:r w:rsidR="00562E3D" w:rsidRPr="00C6027E">
        <w:rPr>
          <w:rFonts w:ascii="Trebuchet MS" w:hAnsi="Trebuchet MS"/>
        </w:rPr>
        <w:t xml:space="preserve">ead on her medical history, such as the presence of a shunt, or past surgeries, making it impossible to identify the extent of support the person needs, and plan and budget accordingly. This is especially detrimental to </w:t>
      </w:r>
      <w:r w:rsidR="00DD16DF" w:rsidRPr="00C6027E">
        <w:rPr>
          <w:rFonts w:ascii="Trebuchet MS" w:hAnsi="Trebuchet MS"/>
        </w:rPr>
        <w:t xml:space="preserve">young </w:t>
      </w:r>
      <w:r w:rsidR="00562E3D" w:rsidRPr="00C6027E">
        <w:rPr>
          <w:rFonts w:ascii="Trebuchet MS" w:hAnsi="Trebuchet MS"/>
        </w:rPr>
        <w:t xml:space="preserve">children with SBH who need timely and adequate support and care to maximise their chances of survival and quality of life. </w:t>
      </w:r>
    </w:p>
    <w:p w:rsidR="004A42AC" w:rsidRPr="00C6027E" w:rsidRDefault="004A42AC" w:rsidP="00C6027E">
      <w:pPr>
        <w:spacing w:line="240" w:lineRule="auto"/>
        <w:jc w:val="both"/>
        <w:rPr>
          <w:rFonts w:ascii="Trebuchet MS" w:hAnsi="Trebuchet MS"/>
          <w:i/>
        </w:rPr>
      </w:pPr>
      <w:r w:rsidRPr="00C6027E">
        <w:rPr>
          <w:rFonts w:ascii="Trebuchet MS" w:hAnsi="Trebuchet MS"/>
          <w:i/>
        </w:rPr>
        <w:lastRenderedPageBreak/>
        <w:t xml:space="preserve">Misunderstanding of SBH and consequent lack of expertise </w:t>
      </w:r>
    </w:p>
    <w:p w:rsidR="00CD0D34" w:rsidRPr="00C6027E" w:rsidRDefault="001F1636" w:rsidP="00CD0D34">
      <w:pPr>
        <w:spacing w:line="240" w:lineRule="auto"/>
        <w:jc w:val="both"/>
        <w:rPr>
          <w:rFonts w:ascii="Trebuchet MS" w:hAnsi="Trebuchet MS"/>
        </w:rPr>
      </w:pPr>
      <w:r w:rsidRPr="00C6027E">
        <w:rPr>
          <w:rFonts w:ascii="Trebuchet MS" w:hAnsi="Trebuchet MS"/>
        </w:rPr>
        <w:t xml:space="preserve">As the result </w:t>
      </w:r>
      <w:r w:rsidR="00A0345A" w:rsidRPr="00C6027E">
        <w:rPr>
          <w:rFonts w:ascii="Trebuchet MS" w:hAnsi="Trebuchet MS"/>
        </w:rPr>
        <w:t xml:space="preserve">of lack of reliable data, the profile of spina bifida and hydrocephalus remains low, and misconceptions about the disabilities </w:t>
      </w:r>
      <w:r w:rsidR="00DD16DF" w:rsidRPr="00C6027E">
        <w:rPr>
          <w:rFonts w:ascii="Trebuchet MS" w:hAnsi="Trebuchet MS"/>
        </w:rPr>
        <w:t xml:space="preserve">- </w:t>
      </w:r>
      <w:r w:rsidR="00A0345A" w:rsidRPr="00C6027E">
        <w:rPr>
          <w:rFonts w:ascii="Trebuchet MS" w:hAnsi="Trebuchet MS"/>
        </w:rPr>
        <w:t xml:space="preserve">widespread. This, in its turn, leads to stigma that is routinely experienced by people with SBH and their families who are shunned from their communities, denied access to information and support and excluded from </w:t>
      </w:r>
      <w:r w:rsidR="00DD16DF" w:rsidRPr="00C6027E">
        <w:rPr>
          <w:rFonts w:ascii="Trebuchet MS" w:hAnsi="Trebuchet MS"/>
        </w:rPr>
        <w:t>the society</w:t>
      </w:r>
      <w:r w:rsidR="00A0345A" w:rsidRPr="00C6027E">
        <w:rPr>
          <w:rFonts w:ascii="Trebuchet MS" w:hAnsi="Trebuchet MS"/>
        </w:rPr>
        <w:t xml:space="preserve">. Inaccurate and often dangerous </w:t>
      </w:r>
      <w:r w:rsidR="009843B9" w:rsidRPr="00C6027E">
        <w:rPr>
          <w:rFonts w:ascii="Trebuchet MS" w:hAnsi="Trebuchet MS"/>
        </w:rPr>
        <w:t>speculations</w:t>
      </w:r>
      <w:r w:rsidR="00A0345A" w:rsidRPr="00C6027E">
        <w:rPr>
          <w:rFonts w:ascii="Trebuchet MS" w:hAnsi="Trebuchet MS"/>
        </w:rPr>
        <w:t xml:space="preserve"> are made about the future quality of life of children with SBH, </w:t>
      </w:r>
      <w:r w:rsidR="005052F9" w:rsidRPr="00C6027E">
        <w:rPr>
          <w:rFonts w:ascii="Trebuchet MS" w:hAnsi="Trebuchet MS"/>
        </w:rPr>
        <w:t>often</w:t>
      </w:r>
      <w:r w:rsidR="00A0345A" w:rsidRPr="00C6027E">
        <w:rPr>
          <w:rFonts w:ascii="Trebuchet MS" w:hAnsi="Trebuchet MS"/>
        </w:rPr>
        <w:t xml:space="preserve"> leading to </w:t>
      </w:r>
      <w:r w:rsidR="00C63F6E" w:rsidRPr="00C6027E">
        <w:rPr>
          <w:rFonts w:ascii="Trebuchet MS" w:hAnsi="Trebuchet MS"/>
        </w:rPr>
        <w:t xml:space="preserve">denial of essential care that would help children to </w:t>
      </w:r>
      <w:r w:rsidR="005052F9" w:rsidRPr="00C6027E">
        <w:rPr>
          <w:rFonts w:ascii="Trebuchet MS" w:hAnsi="Trebuchet MS"/>
        </w:rPr>
        <w:t xml:space="preserve">survive and </w:t>
      </w:r>
      <w:r w:rsidR="00C63F6E" w:rsidRPr="00C6027E">
        <w:rPr>
          <w:rFonts w:ascii="Trebuchet MS" w:hAnsi="Trebuchet MS"/>
        </w:rPr>
        <w:t xml:space="preserve">thrive. </w:t>
      </w:r>
      <w:r w:rsidR="009843B9" w:rsidRPr="00C6027E">
        <w:rPr>
          <w:rFonts w:ascii="Trebuchet MS" w:hAnsi="Trebuchet MS"/>
        </w:rPr>
        <w:t>Scarcity of data also leads to the wrongful presumptions that spina bifida is rare in the society, and as such, not worth</w:t>
      </w:r>
      <w:r w:rsidR="00266F2D" w:rsidRPr="00C6027E">
        <w:rPr>
          <w:rFonts w:ascii="Trebuchet MS" w:hAnsi="Trebuchet MS"/>
        </w:rPr>
        <w:t>y of</w:t>
      </w:r>
      <w:r w:rsidR="009843B9" w:rsidRPr="00C6027E">
        <w:rPr>
          <w:rFonts w:ascii="Trebuchet MS" w:hAnsi="Trebuchet MS"/>
        </w:rPr>
        <w:t xml:space="preserve"> investment in medical research</w:t>
      </w:r>
      <w:r w:rsidR="00F811AA" w:rsidRPr="00C6027E">
        <w:rPr>
          <w:rFonts w:ascii="Trebuchet MS" w:hAnsi="Trebuchet MS"/>
        </w:rPr>
        <w:t xml:space="preserve"> or care</w:t>
      </w:r>
      <w:r w:rsidR="009843B9" w:rsidRPr="00C6027E">
        <w:rPr>
          <w:rFonts w:ascii="Trebuchet MS" w:hAnsi="Trebuchet MS"/>
        </w:rPr>
        <w:t>,</w:t>
      </w:r>
      <w:r w:rsidR="00F811AA" w:rsidRPr="00C6027E">
        <w:rPr>
          <w:rFonts w:ascii="Trebuchet MS" w:hAnsi="Trebuchet MS"/>
        </w:rPr>
        <w:t xml:space="preserve"> or</w:t>
      </w:r>
      <w:r w:rsidR="009843B9" w:rsidRPr="00C6027E">
        <w:rPr>
          <w:rFonts w:ascii="Trebuchet MS" w:hAnsi="Trebuchet MS"/>
        </w:rPr>
        <w:t xml:space="preserve"> development of </w:t>
      </w:r>
      <w:r w:rsidR="00266F2D" w:rsidRPr="00C6027E">
        <w:rPr>
          <w:rFonts w:ascii="Trebuchet MS" w:hAnsi="Trebuchet MS"/>
        </w:rPr>
        <w:t xml:space="preserve">support </w:t>
      </w:r>
      <w:r w:rsidR="009843B9" w:rsidRPr="00C6027E">
        <w:rPr>
          <w:rFonts w:ascii="Trebuchet MS" w:hAnsi="Trebuchet MS"/>
        </w:rPr>
        <w:t>services</w:t>
      </w:r>
      <w:r w:rsidR="00F811AA" w:rsidRPr="00C6027E">
        <w:rPr>
          <w:rFonts w:ascii="Trebuchet MS" w:hAnsi="Trebuchet MS"/>
        </w:rPr>
        <w:t>.</w:t>
      </w:r>
    </w:p>
    <w:p w:rsidR="004A42AC" w:rsidRPr="00C6027E" w:rsidRDefault="008B1983" w:rsidP="00C6027E">
      <w:pPr>
        <w:spacing w:line="240" w:lineRule="auto"/>
        <w:jc w:val="both"/>
        <w:rPr>
          <w:rFonts w:ascii="Trebuchet MS" w:hAnsi="Trebuchet MS"/>
        </w:rPr>
      </w:pPr>
      <w:r w:rsidRPr="00C6027E">
        <w:rPr>
          <w:rFonts w:ascii="Trebuchet MS" w:hAnsi="Trebuchet MS"/>
          <w:i/>
        </w:rPr>
        <w:t xml:space="preserve">Lack of attention to the person’s mental health and well-being </w:t>
      </w:r>
    </w:p>
    <w:p w:rsidR="002E17F6" w:rsidRPr="00C6027E" w:rsidRDefault="0094262C" w:rsidP="00DD16DF">
      <w:pPr>
        <w:spacing w:line="240" w:lineRule="auto"/>
        <w:jc w:val="both"/>
        <w:rPr>
          <w:rFonts w:ascii="Trebuchet MS" w:hAnsi="Trebuchet MS"/>
        </w:rPr>
      </w:pPr>
      <w:r w:rsidRPr="00C6027E">
        <w:rPr>
          <w:rFonts w:ascii="Trebuchet MS" w:hAnsi="Trebuchet MS"/>
        </w:rPr>
        <w:t xml:space="preserve">The </w:t>
      </w:r>
      <w:r w:rsidR="00813C7A" w:rsidRPr="00C6027E">
        <w:rPr>
          <w:rFonts w:ascii="Trebuchet MS" w:hAnsi="Trebuchet MS"/>
        </w:rPr>
        <w:t>often</w:t>
      </w:r>
      <w:r w:rsidRPr="00C6027E">
        <w:rPr>
          <w:rFonts w:ascii="Trebuchet MS" w:hAnsi="Trebuchet MS"/>
        </w:rPr>
        <w:t xml:space="preserve"> overwhelming and continuous </w:t>
      </w:r>
      <w:r w:rsidR="00DD16DF" w:rsidRPr="00C6027E">
        <w:rPr>
          <w:rFonts w:ascii="Trebuchet MS" w:hAnsi="Trebuchet MS"/>
        </w:rPr>
        <w:t xml:space="preserve">physical </w:t>
      </w:r>
      <w:proofErr w:type="gramStart"/>
      <w:r w:rsidR="00DD16DF" w:rsidRPr="00C6027E">
        <w:rPr>
          <w:rFonts w:ascii="Trebuchet MS" w:hAnsi="Trebuchet MS"/>
        </w:rPr>
        <w:t>needs of a person living with SBH throughout the life cycle</w:t>
      </w:r>
      <w:r w:rsidRPr="00C6027E">
        <w:rPr>
          <w:rStyle w:val="FootnoteReference"/>
          <w:rFonts w:ascii="Trebuchet MS" w:hAnsi="Trebuchet MS"/>
        </w:rPr>
        <w:footnoteReference w:id="1"/>
      </w:r>
      <w:r w:rsidRPr="00C6027E">
        <w:rPr>
          <w:rFonts w:ascii="Trebuchet MS" w:hAnsi="Trebuchet MS"/>
        </w:rPr>
        <w:t xml:space="preserve"> </w:t>
      </w:r>
      <w:r w:rsidR="00DD16DF" w:rsidRPr="00C6027E">
        <w:rPr>
          <w:rFonts w:ascii="Trebuchet MS" w:hAnsi="Trebuchet MS"/>
        </w:rPr>
        <w:t xml:space="preserve">commonly </w:t>
      </w:r>
      <w:r w:rsidR="00813C7A" w:rsidRPr="00C6027E">
        <w:rPr>
          <w:rFonts w:ascii="Trebuchet MS" w:hAnsi="Trebuchet MS"/>
        </w:rPr>
        <w:t>leaves</w:t>
      </w:r>
      <w:proofErr w:type="gramEnd"/>
      <w:r w:rsidR="00813C7A" w:rsidRPr="00C6027E">
        <w:rPr>
          <w:rFonts w:ascii="Trebuchet MS" w:hAnsi="Trebuchet MS"/>
        </w:rPr>
        <w:t xml:space="preserve"> little space to address the mental health and wellbeing of persons with SBH. Indeed, even when </w:t>
      </w:r>
      <w:r w:rsidR="00DD16DF" w:rsidRPr="00C6027E">
        <w:rPr>
          <w:rFonts w:ascii="Trebuchet MS" w:hAnsi="Trebuchet MS"/>
        </w:rPr>
        <w:t xml:space="preserve">specialised </w:t>
      </w:r>
      <w:r w:rsidR="002E17F6" w:rsidRPr="00C6027E">
        <w:rPr>
          <w:rFonts w:ascii="Trebuchet MS" w:hAnsi="Trebuchet MS"/>
        </w:rPr>
        <w:t xml:space="preserve">SBH </w:t>
      </w:r>
      <w:r w:rsidR="00DD16DF" w:rsidRPr="00C6027E">
        <w:rPr>
          <w:rFonts w:ascii="Trebuchet MS" w:hAnsi="Trebuchet MS"/>
        </w:rPr>
        <w:t>support services</w:t>
      </w:r>
      <w:r w:rsidR="002E17F6" w:rsidRPr="00C6027E">
        <w:rPr>
          <w:rFonts w:ascii="Trebuchet MS" w:hAnsi="Trebuchet MS"/>
        </w:rPr>
        <w:t xml:space="preserve"> exist, the</w:t>
      </w:r>
      <w:r w:rsidR="00DD16DF" w:rsidRPr="00C6027E">
        <w:rPr>
          <w:rFonts w:ascii="Trebuchet MS" w:hAnsi="Trebuchet MS"/>
        </w:rPr>
        <w:t>ir</w:t>
      </w:r>
      <w:r w:rsidR="002E17F6" w:rsidRPr="00C6027E">
        <w:rPr>
          <w:rFonts w:ascii="Trebuchet MS" w:hAnsi="Trebuchet MS"/>
        </w:rPr>
        <w:t xml:space="preserve"> focus is often on the person’s physical health, while the mental and em</w:t>
      </w:r>
      <w:r w:rsidR="00330902" w:rsidRPr="00C6027E">
        <w:rPr>
          <w:rFonts w:ascii="Trebuchet MS" w:hAnsi="Trebuchet MS"/>
        </w:rPr>
        <w:t xml:space="preserve">otional health comes secondary. </w:t>
      </w:r>
    </w:p>
    <w:p w:rsidR="00330902" w:rsidRPr="00C6027E" w:rsidRDefault="00330902" w:rsidP="00813C7A">
      <w:pPr>
        <w:spacing w:line="240" w:lineRule="auto"/>
        <w:jc w:val="both"/>
        <w:rPr>
          <w:rFonts w:ascii="Trebuchet MS" w:hAnsi="Trebuchet MS"/>
        </w:rPr>
      </w:pPr>
      <w:r w:rsidRPr="00C6027E">
        <w:rPr>
          <w:rFonts w:ascii="Trebuchet MS" w:hAnsi="Trebuchet MS"/>
        </w:rPr>
        <w:t xml:space="preserve">This is a dangerous pattern. IF members universally report the mental health problems that people </w:t>
      </w:r>
      <w:r w:rsidR="00DD16DF" w:rsidRPr="00C6027E">
        <w:rPr>
          <w:rFonts w:ascii="Trebuchet MS" w:hAnsi="Trebuchet MS"/>
        </w:rPr>
        <w:t xml:space="preserve">with disabilities </w:t>
      </w:r>
      <w:r w:rsidRPr="00C6027E">
        <w:rPr>
          <w:rFonts w:ascii="Trebuchet MS" w:hAnsi="Trebuchet MS"/>
        </w:rPr>
        <w:t xml:space="preserve">experience due to repeated medical complications, painful surgery recoveries, chronic pain, but also isolation and social exclusion that is often a reality for people with SBH. </w:t>
      </w:r>
      <w:r w:rsidR="00DD16DF" w:rsidRPr="00C6027E">
        <w:rPr>
          <w:rFonts w:ascii="Trebuchet MS" w:hAnsi="Trebuchet MS"/>
        </w:rPr>
        <w:t xml:space="preserve">Misconceptions about the abilities of person with SBH and the phenomenon of </w:t>
      </w:r>
      <w:r w:rsidR="00DD16DF" w:rsidRPr="00C6027E">
        <w:rPr>
          <w:rFonts w:ascii="Trebuchet MS" w:hAnsi="Trebuchet MS"/>
          <w:b/>
        </w:rPr>
        <w:t>learned helplessness</w:t>
      </w:r>
      <w:r w:rsidR="00DD16DF" w:rsidRPr="00C6027E">
        <w:rPr>
          <w:rStyle w:val="FootnoteReference"/>
          <w:rFonts w:ascii="Trebuchet MS" w:hAnsi="Trebuchet MS"/>
          <w:b/>
        </w:rPr>
        <w:footnoteReference w:id="2"/>
      </w:r>
      <w:r w:rsidR="00DD16DF" w:rsidRPr="00C6027E">
        <w:rPr>
          <w:rFonts w:ascii="Trebuchet MS" w:hAnsi="Trebuchet MS"/>
          <w:b/>
        </w:rPr>
        <w:t xml:space="preserve"> </w:t>
      </w:r>
      <w:r w:rsidR="00DD16DF" w:rsidRPr="00C6027E">
        <w:rPr>
          <w:rFonts w:ascii="Trebuchet MS" w:hAnsi="Trebuchet MS"/>
        </w:rPr>
        <w:t>add to the invisibility of challenges faced by persons with SBH, further increasing their</w:t>
      </w:r>
      <w:r w:rsidR="00D73DBE" w:rsidRPr="00C6027E">
        <w:rPr>
          <w:rFonts w:ascii="Trebuchet MS" w:hAnsi="Trebuchet MS"/>
        </w:rPr>
        <w:t xml:space="preserve"> isolation and pressure on mental health. </w:t>
      </w:r>
    </w:p>
    <w:p w:rsidR="00C6027E" w:rsidRDefault="00C6027E" w:rsidP="00C6027E">
      <w:pPr>
        <w:pStyle w:val="ListParagraph"/>
        <w:spacing w:line="240" w:lineRule="auto"/>
        <w:jc w:val="both"/>
        <w:rPr>
          <w:rFonts w:ascii="Trebuchet MS" w:hAnsi="Trebuchet MS"/>
          <w:b/>
          <w:sz w:val="32"/>
        </w:rPr>
      </w:pPr>
    </w:p>
    <w:p w:rsidR="00517593" w:rsidRPr="00C17D58" w:rsidRDefault="00517593" w:rsidP="00C6027E">
      <w:pPr>
        <w:pStyle w:val="ListParagraph"/>
        <w:spacing w:line="240" w:lineRule="auto"/>
        <w:jc w:val="both"/>
        <w:rPr>
          <w:rFonts w:ascii="Trebuchet MS" w:hAnsi="Trebuchet MS"/>
          <w:b/>
          <w:sz w:val="28"/>
        </w:rPr>
      </w:pPr>
      <w:r w:rsidRPr="00C17D58">
        <w:rPr>
          <w:rFonts w:ascii="Trebuchet MS" w:hAnsi="Trebuchet MS"/>
          <w:b/>
          <w:sz w:val="28"/>
        </w:rPr>
        <w:t>Support needs throughout the life cycle</w:t>
      </w:r>
    </w:p>
    <w:p w:rsidR="00FA55CD" w:rsidRPr="00C6027E" w:rsidRDefault="007E322E" w:rsidP="00330902">
      <w:pPr>
        <w:spacing w:line="240" w:lineRule="auto"/>
        <w:jc w:val="both"/>
        <w:rPr>
          <w:rFonts w:ascii="Trebuchet MS" w:hAnsi="Trebuchet MS"/>
        </w:rPr>
      </w:pPr>
      <w:r w:rsidRPr="00C6027E">
        <w:rPr>
          <w:rFonts w:ascii="Trebuchet MS" w:hAnsi="Trebuchet MS"/>
        </w:rPr>
        <w:t xml:space="preserve">Many </w:t>
      </w:r>
      <w:r w:rsidR="001170AA" w:rsidRPr="00C6027E">
        <w:rPr>
          <w:rFonts w:ascii="Trebuchet MS" w:hAnsi="Trebuchet MS"/>
        </w:rPr>
        <w:t xml:space="preserve">distinct </w:t>
      </w:r>
      <w:r w:rsidRPr="00C6027E">
        <w:rPr>
          <w:rFonts w:ascii="Trebuchet MS" w:hAnsi="Trebuchet MS"/>
        </w:rPr>
        <w:t xml:space="preserve">support needs experienced by persons with SBH are related to their health and vary throughout the life cycle. </w:t>
      </w:r>
      <w:r w:rsidR="00FA55CD" w:rsidRPr="00C6027E">
        <w:rPr>
          <w:rFonts w:ascii="Trebuchet MS" w:hAnsi="Trebuchet MS"/>
        </w:rPr>
        <w:t xml:space="preserve"> </w:t>
      </w:r>
    </w:p>
    <w:p w:rsidR="00517593" w:rsidRPr="00C6027E" w:rsidRDefault="00517593" w:rsidP="00C6027E">
      <w:pPr>
        <w:spacing w:line="240" w:lineRule="auto"/>
        <w:jc w:val="both"/>
        <w:rPr>
          <w:rFonts w:ascii="Trebuchet MS" w:hAnsi="Trebuchet MS"/>
          <w:i/>
        </w:rPr>
      </w:pPr>
      <w:r w:rsidRPr="00C6027E">
        <w:rPr>
          <w:rFonts w:ascii="Trebuchet MS" w:hAnsi="Trebuchet MS"/>
          <w:i/>
        </w:rPr>
        <w:t>Infancy and childhood</w:t>
      </w:r>
    </w:p>
    <w:p w:rsidR="003721E6" w:rsidRPr="00C6027E" w:rsidRDefault="007E322E" w:rsidP="001170AA">
      <w:pPr>
        <w:spacing w:line="240" w:lineRule="auto"/>
        <w:jc w:val="both"/>
        <w:rPr>
          <w:rFonts w:ascii="Trebuchet MS" w:hAnsi="Trebuchet MS"/>
        </w:rPr>
      </w:pPr>
      <w:r w:rsidRPr="00C6027E">
        <w:rPr>
          <w:rFonts w:ascii="Trebuchet MS" w:hAnsi="Trebuchet MS"/>
        </w:rPr>
        <w:t xml:space="preserve">The first and, possibly, the most crucial need for informed and appropriate support demonstrates itself immediately after the birth when parents of the </w:t>
      </w:r>
      <w:proofErr w:type="spellStart"/>
      <w:r w:rsidRPr="00C6027E">
        <w:rPr>
          <w:rFonts w:ascii="Trebuchet MS" w:hAnsi="Trebuchet MS"/>
        </w:rPr>
        <w:t>newborn</w:t>
      </w:r>
      <w:proofErr w:type="spellEnd"/>
      <w:r w:rsidRPr="00C6027E">
        <w:rPr>
          <w:rFonts w:ascii="Trebuchet MS" w:hAnsi="Trebuchet MS"/>
        </w:rPr>
        <w:t xml:space="preserve"> with SBH are presented with </w:t>
      </w:r>
      <w:r w:rsidRPr="00C6027E">
        <w:rPr>
          <w:rFonts w:ascii="Trebuchet MS" w:hAnsi="Trebuchet MS"/>
          <w:b/>
        </w:rPr>
        <w:t xml:space="preserve">medical choices that will inform the life </w:t>
      </w:r>
      <w:r w:rsidR="00032EA9" w:rsidRPr="00C6027E">
        <w:rPr>
          <w:rFonts w:ascii="Trebuchet MS" w:hAnsi="Trebuchet MS"/>
          <w:b/>
        </w:rPr>
        <w:t>of their child for the future</w:t>
      </w:r>
      <w:r w:rsidR="00032EA9" w:rsidRPr="00C6027E">
        <w:rPr>
          <w:rFonts w:ascii="Trebuchet MS" w:hAnsi="Trebuchet MS"/>
        </w:rPr>
        <w:t xml:space="preserve">. </w:t>
      </w:r>
      <w:r w:rsidRPr="00C6027E">
        <w:rPr>
          <w:rFonts w:ascii="Trebuchet MS" w:hAnsi="Trebuchet MS"/>
        </w:rPr>
        <w:t>The cases of parents receiving biased information</w:t>
      </w:r>
      <w:r w:rsidR="005052F9" w:rsidRPr="00C6027E">
        <w:rPr>
          <w:rFonts w:ascii="Trebuchet MS" w:hAnsi="Trebuchet MS"/>
        </w:rPr>
        <w:t xml:space="preserve"> from the medical professionals, traditional healers and wider community </w:t>
      </w:r>
      <w:r w:rsidRPr="00C6027E">
        <w:rPr>
          <w:rFonts w:ascii="Trebuchet MS" w:hAnsi="Trebuchet MS"/>
        </w:rPr>
        <w:t xml:space="preserve">about their child’s </w:t>
      </w:r>
      <w:r w:rsidR="005052F9" w:rsidRPr="00C6027E">
        <w:rPr>
          <w:rFonts w:ascii="Trebuchet MS" w:hAnsi="Trebuchet MS"/>
        </w:rPr>
        <w:t xml:space="preserve">chances of survival and </w:t>
      </w:r>
      <w:r w:rsidRPr="00C6027E">
        <w:rPr>
          <w:rFonts w:ascii="Trebuchet MS" w:hAnsi="Trebuchet MS"/>
        </w:rPr>
        <w:t>future quality of life are sadly widesp</w:t>
      </w:r>
      <w:r w:rsidR="00032EA9" w:rsidRPr="00C6027E">
        <w:rPr>
          <w:rFonts w:ascii="Trebuchet MS" w:hAnsi="Trebuchet MS"/>
        </w:rPr>
        <w:t>read</w:t>
      </w:r>
      <w:r w:rsidRPr="00C6027E">
        <w:rPr>
          <w:rFonts w:ascii="Trebuchet MS" w:hAnsi="Trebuchet MS"/>
        </w:rPr>
        <w:t>. Despite medical advances enabling to ensure high quality of life for persons with spina bifid</w:t>
      </w:r>
      <w:r w:rsidR="00032EA9" w:rsidRPr="00C6027E">
        <w:rPr>
          <w:rFonts w:ascii="Trebuchet MS" w:hAnsi="Trebuchet MS"/>
        </w:rPr>
        <w:t>a, the disability is still frequently</w:t>
      </w:r>
      <w:r w:rsidRPr="00C6027E">
        <w:rPr>
          <w:rFonts w:ascii="Trebuchet MS" w:hAnsi="Trebuchet MS"/>
        </w:rPr>
        <w:t xml:space="preserve"> portrayed as a ‘near death sentence’ to new parents. Very often, counselling is conducted by medical </w:t>
      </w:r>
      <w:r w:rsidRPr="00C6027E">
        <w:rPr>
          <w:rFonts w:ascii="Trebuchet MS" w:hAnsi="Trebuchet MS"/>
        </w:rPr>
        <w:lastRenderedPageBreak/>
        <w:t xml:space="preserve">professionals only, without the participation of DPOs or parent support groups, and the emphasis is made on challenges that the person with SBH will encounter in life, instead of abilities and opportunities the person will have.  </w:t>
      </w:r>
      <w:r w:rsidR="003721E6" w:rsidRPr="00C6027E">
        <w:rPr>
          <w:rFonts w:ascii="Trebuchet MS" w:hAnsi="Trebuchet MS"/>
        </w:rPr>
        <w:t xml:space="preserve">Lack of </w:t>
      </w:r>
      <w:r w:rsidR="003721E6" w:rsidRPr="00C6027E">
        <w:rPr>
          <w:rFonts w:ascii="Trebuchet MS" w:hAnsi="Trebuchet MS"/>
          <w:b/>
        </w:rPr>
        <w:t xml:space="preserve">unbiased, positive support to parents of </w:t>
      </w:r>
      <w:proofErr w:type="spellStart"/>
      <w:r w:rsidR="003721E6" w:rsidRPr="00C6027E">
        <w:rPr>
          <w:rFonts w:ascii="Trebuchet MS" w:hAnsi="Trebuchet MS"/>
          <w:b/>
        </w:rPr>
        <w:t>newborn</w:t>
      </w:r>
      <w:proofErr w:type="spellEnd"/>
      <w:r w:rsidR="003721E6" w:rsidRPr="00C6027E">
        <w:rPr>
          <w:rFonts w:ascii="Trebuchet MS" w:hAnsi="Trebuchet MS"/>
          <w:b/>
        </w:rPr>
        <w:t xml:space="preserve"> children with SBH</w:t>
      </w:r>
      <w:r w:rsidR="003721E6" w:rsidRPr="00C6027E">
        <w:rPr>
          <w:rFonts w:ascii="Trebuchet MS" w:hAnsi="Trebuchet MS"/>
        </w:rPr>
        <w:t xml:space="preserve"> often results in poor care received by the children, abandonment and institutionalisation, or even active termination of life. </w:t>
      </w:r>
    </w:p>
    <w:p w:rsidR="005A4015" w:rsidRPr="00C6027E" w:rsidRDefault="00032EA9" w:rsidP="001F1636">
      <w:pPr>
        <w:spacing w:line="240" w:lineRule="auto"/>
        <w:jc w:val="both"/>
        <w:rPr>
          <w:rFonts w:ascii="Trebuchet MS" w:hAnsi="Trebuchet MS"/>
        </w:rPr>
      </w:pPr>
      <w:r w:rsidRPr="00C6027E">
        <w:rPr>
          <w:rFonts w:ascii="Trebuchet MS" w:hAnsi="Trebuchet MS"/>
        </w:rPr>
        <w:t xml:space="preserve">Discrimination of children with SBH in educational settings due </w:t>
      </w:r>
      <w:r w:rsidR="001170AA" w:rsidRPr="00C6027E">
        <w:rPr>
          <w:rFonts w:ascii="Trebuchet MS" w:hAnsi="Trebuchet MS"/>
        </w:rPr>
        <w:t xml:space="preserve">to </w:t>
      </w:r>
      <w:r w:rsidRPr="00C6027E">
        <w:rPr>
          <w:rFonts w:ascii="Trebuchet MS" w:hAnsi="Trebuchet MS"/>
        </w:rPr>
        <w:t xml:space="preserve">refusal to provide reasonable accommodation and support is often identified as the most serious and persistent violation of human rights of children with SBH. </w:t>
      </w:r>
      <w:r w:rsidR="00055DD8" w:rsidRPr="00C6027E">
        <w:rPr>
          <w:rFonts w:ascii="Trebuchet MS" w:hAnsi="Trebuchet MS"/>
        </w:rPr>
        <w:t xml:space="preserve">IF frequently receives accounts of children with SBH being excluded from mainstream education due to the absence of </w:t>
      </w:r>
      <w:r w:rsidR="00055DD8" w:rsidRPr="00C6027E">
        <w:rPr>
          <w:rFonts w:ascii="Trebuchet MS" w:hAnsi="Trebuchet MS"/>
          <w:b/>
        </w:rPr>
        <w:t>support in bladder and bowel management at school</w:t>
      </w:r>
      <w:r w:rsidR="00055DD8" w:rsidRPr="00C6027E">
        <w:rPr>
          <w:rFonts w:ascii="Trebuchet MS" w:hAnsi="Trebuchet MS"/>
        </w:rPr>
        <w:t xml:space="preserve">. Lack </w:t>
      </w:r>
      <w:r w:rsidR="00391A89" w:rsidRPr="00C6027E">
        <w:rPr>
          <w:rFonts w:ascii="Trebuchet MS" w:hAnsi="Trebuchet MS"/>
        </w:rPr>
        <w:t xml:space="preserve">of </w:t>
      </w:r>
      <w:r w:rsidR="005052F9" w:rsidRPr="00C6027E">
        <w:rPr>
          <w:rFonts w:ascii="Trebuchet MS" w:hAnsi="Trebuchet MS"/>
          <w:b/>
        </w:rPr>
        <w:t>accessible facilities</w:t>
      </w:r>
      <w:r w:rsidR="005052F9" w:rsidRPr="00C6027E">
        <w:rPr>
          <w:rFonts w:ascii="Trebuchet MS" w:hAnsi="Trebuchet MS"/>
        </w:rPr>
        <w:t xml:space="preserve"> and </w:t>
      </w:r>
      <w:r w:rsidR="00391A89" w:rsidRPr="00C6027E">
        <w:rPr>
          <w:rFonts w:ascii="Trebuchet MS" w:hAnsi="Trebuchet MS"/>
          <w:b/>
        </w:rPr>
        <w:t>trained assistants</w:t>
      </w:r>
      <w:r w:rsidR="00391A89" w:rsidRPr="00C6027E">
        <w:rPr>
          <w:rFonts w:ascii="Trebuchet MS" w:hAnsi="Trebuchet MS"/>
        </w:rPr>
        <w:t xml:space="preserve"> available on school premises</w:t>
      </w:r>
      <w:r w:rsidR="00055DD8" w:rsidRPr="00C6027E">
        <w:rPr>
          <w:rFonts w:ascii="Trebuchet MS" w:hAnsi="Trebuchet MS"/>
        </w:rPr>
        <w:t xml:space="preserve">, over-medicalisation of continence management </w:t>
      </w:r>
      <w:r w:rsidR="00391A89" w:rsidRPr="00C6027E">
        <w:rPr>
          <w:rFonts w:ascii="Trebuchet MS" w:hAnsi="Trebuchet MS"/>
        </w:rPr>
        <w:t>(“only a trained nurse can help the child catheterise</w:t>
      </w:r>
      <w:r w:rsidR="001170AA" w:rsidRPr="00C6027E">
        <w:rPr>
          <w:rFonts w:ascii="Trebuchet MS" w:hAnsi="Trebuchet MS"/>
        </w:rPr>
        <w:t>, and we don’t have one</w:t>
      </w:r>
      <w:r w:rsidR="00391A89" w:rsidRPr="00C6027E">
        <w:rPr>
          <w:rFonts w:ascii="Trebuchet MS" w:hAnsi="Trebuchet MS"/>
        </w:rPr>
        <w:t>”)</w:t>
      </w:r>
      <w:r w:rsidR="005A4015" w:rsidRPr="00C6027E">
        <w:rPr>
          <w:rFonts w:ascii="Trebuchet MS" w:hAnsi="Trebuchet MS"/>
        </w:rPr>
        <w:t xml:space="preserve"> and misconceptions about living with SBH (including the mobility limitations that often come with it) usually result in one of two scenarios: either one parent of the child with a disability provides unpaid support (usually forcing the parent out of formal employment and putting the family in financial dire straits) or the child ends up in a segregated schooling system</w:t>
      </w:r>
      <w:r w:rsidR="005052F9" w:rsidRPr="00C6027E">
        <w:rPr>
          <w:rFonts w:ascii="Trebuchet MS" w:hAnsi="Trebuchet MS"/>
        </w:rPr>
        <w:t xml:space="preserve"> (or, without access to education at all)</w:t>
      </w:r>
      <w:r w:rsidR="005A4015" w:rsidRPr="00C6027E">
        <w:rPr>
          <w:rFonts w:ascii="Trebuchet MS" w:hAnsi="Trebuchet MS"/>
        </w:rPr>
        <w:t xml:space="preserve">. </w:t>
      </w:r>
    </w:p>
    <w:p w:rsidR="00B1287C" w:rsidRPr="00C6027E" w:rsidRDefault="00032EA9" w:rsidP="00B1287C">
      <w:pPr>
        <w:spacing w:line="240" w:lineRule="auto"/>
        <w:jc w:val="both"/>
        <w:rPr>
          <w:rFonts w:ascii="Trebuchet MS" w:hAnsi="Trebuchet MS"/>
        </w:rPr>
      </w:pPr>
      <w:r w:rsidRPr="00C6027E">
        <w:rPr>
          <w:rFonts w:ascii="Trebuchet MS" w:hAnsi="Trebuchet MS"/>
        </w:rPr>
        <w:t xml:space="preserve">Lack of understanding of the learning needs of children with hydrocephalus, such as difficulties in processing and organising information, or keeping up with the pace in the classroom, often results in failure to </w:t>
      </w:r>
      <w:r w:rsidRPr="00C6027E">
        <w:rPr>
          <w:rFonts w:ascii="Trebuchet MS" w:hAnsi="Trebuchet MS"/>
          <w:b/>
        </w:rPr>
        <w:t>make the learning methods and environments accessible</w:t>
      </w:r>
      <w:r w:rsidR="00BA2D33" w:rsidRPr="00C6027E">
        <w:rPr>
          <w:rFonts w:ascii="Trebuchet MS" w:hAnsi="Trebuchet MS"/>
        </w:rPr>
        <w:t xml:space="preserve">, including through </w:t>
      </w:r>
      <w:r w:rsidR="00BA2D33" w:rsidRPr="00C6027E">
        <w:rPr>
          <w:rFonts w:ascii="Trebuchet MS" w:hAnsi="Trebuchet MS"/>
          <w:b/>
        </w:rPr>
        <w:t>provision of support teachers and adapted curricula</w:t>
      </w:r>
      <w:r w:rsidR="00BA2D33" w:rsidRPr="00C6027E">
        <w:rPr>
          <w:rFonts w:ascii="Trebuchet MS" w:hAnsi="Trebuchet MS"/>
        </w:rPr>
        <w:t xml:space="preserve">. </w:t>
      </w:r>
      <w:r w:rsidR="00B1287C" w:rsidRPr="00C6027E">
        <w:rPr>
          <w:rFonts w:ascii="Trebuchet MS" w:hAnsi="Trebuchet MS"/>
        </w:rPr>
        <w:t>This, in its turn, may lead</w:t>
      </w:r>
      <w:r w:rsidRPr="00C6027E">
        <w:rPr>
          <w:rFonts w:ascii="Trebuchet MS" w:hAnsi="Trebuchet MS"/>
        </w:rPr>
        <w:t xml:space="preserve"> to segregation </w:t>
      </w:r>
      <w:r w:rsidR="00B1287C" w:rsidRPr="00C6027E">
        <w:rPr>
          <w:rFonts w:ascii="Trebuchet MS" w:hAnsi="Trebuchet MS"/>
        </w:rPr>
        <w:t xml:space="preserve">in education and </w:t>
      </w:r>
      <w:r w:rsidR="00BA2D33" w:rsidRPr="00C6027E">
        <w:rPr>
          <w:rFonts w:ascii="Trebuchet MS" w:hAnsi="Trebuchet MS"/>
        </w:rPr>
        <w:t>underachievement of their potential by</w:t>
      </w:r>
      <w:r w:rsidR="00AB3C6F" w:rsidRPr="00C6027E">
        <w:rPr>
          <w:rFonts w:ascii="Trebuchet MS" w:hAnsi="Trebuchet MS"/>
        </w:rPr>
        <w:t xml:space="preserve"> children </w:t>
      </w:r>
      <w:r w:rsidR="00B1287C" w:rsidRPr="00C6027E">
        <w:rPr>
          <w:rFonts w:ascii="Trebuchet MS" w:hAnsi="Trebuchet MS"/>
        </w:rPr>
        <w:t xml:space="preserve">with hydrocephalus. </w:t>
      </w:r>
      <w:r w:rsidRPr="00C6027E">
        <w:rPr>
          <w:rFonts w:ascii="Trebuchet MS" w:hAnsi="Trebuchet MS"/>
        </w:rPr>
        <w:t xml:space="preserve"> </w:t>
      </w:r>
    </w:p>
    <w:p w:rsidR="00517593" w:rsidRPr="00C6027E" w:rsidRDefault="00517593" w:rsidP="00C6027E">
      <w:pPr>
        <w:spacing w:line="240" w:lineRule="auto"/>
        <w:jc w:val="both"/>
        <w:rPr>
          <w:rFonts w:ascii="Trebuchet MS" w:hAnsi="Trebuchet MS"/>
          <w:i/>
        </w:rPr>
      </w:pPr>
      <w:r w:rsidRPr="00C6027E">
        <w:rPr>
          <w:rFonts w:ascii="Trebuchet MS" w:hAnsi="Trebuchet MS"/>
          <w:i/>
        </w:rPr>
        <w:t>Adolescence</w:t>
      </w:r>
    </w:p>
    <w:p w:rsidR="00E25AF3" w:rsidRPr="00C6027E" w:rsidRDefault="00E25AF3" w:rsidP="001F1636">
      <w:pPr>
        <w:spacing w:line="240" w:lineRule="auto"/>
        <w:jc w:val="both"/>
        <w:rPr>
          <w:rFonts w:ascii="Trebuchet MS" w:hAnsi="Trebuchet MS"/>
        </w:rPr>
      </w:pPr>
      <w:r w:rsidRPr="00C6027E">
        <w:rPr>
          <w:rFonts w:ascii="Trebuchet MS" w:hAnsi="Trebuchet MS"/>
        </w:rPr>
        <w:t xml:space="preserve">As young people with SBH mature into adulthood, new challenges, such as </w:t>
      </w:r>
      <w:r w:rsidRPr="00C6027E">
        <w:rPr>
          <w:rFonts w:ascii="Trebuchet MS" w:hAnsi="Trebuchet MS"/>
          <w:b/>
        </w:rPr>
        <w:t>self-management of multidisciplinary health needs</w:t>
      </w:r>
      <w:r w:rsidRPr="00C6027E">
        <w:rPr>
          <w:rFonts w:ascii="Trebuchet MS" w:hAnsi="Trebuchet MS"/>
        </w:rPr>
        <w:t xml:space="preserve">, </w:t>
      </w:r>
      <w:r w:rsidRPr="00C6027E">
        <w:rPr>
          <w:rFonts w:ascii="Trebuchet MS" w:hAnsi="Trebuchet MS"/>
          <w:b/>
        </w:rPr>
        <w:t>learning about sexuality and family planning</w:t>
      </w:r>
      <w:r w:rsidRPr="00C6027E">
        <w:rPr>
          <w:rFonts w:ascii="Trebuchet MS" w:hAnsi="Trebuchet MS"/>
        </w:rPr>
        <w:t xml:space="preserve">, or </w:t>
      </w:r>
      <w:r w:rsidRPr="00C6027E">
        <w:rPr>
          <w:rFonts w:ascii="Trebuchet MS" w:hAnsi="Trebuchet MS"/>
          <w:b/>
        </w:rPr>
        <w:t>self-advocating for the best health options</w:t>
      </w:r>
      <w:r w:rsidRPr="00C6027E">
        <w:rPr>
          <w:rFonts w:ascii="Trebuchet MS" w:hAnsi="Trebuchet MS"/>
        </w:rPr>
        <w:t xml:space="preserve">, emerge. </w:t>
      </w:r>
    </w:p>
    <w:p w:rsidR="00E25AF3" w:rsidRPr="00C6027E" w:rsidRDefault="00E25AF3" w:rsidP="001F1636">
      <w:pPr>
        <w:spacing w:line="240" w:lineRule="auto"/>
        <w:jc w:val="both"/>
        <w:rPr>
          <w:rFonts w:ascii="Trebuchet MS" w:hAnsi="Trebuchet MS"/>
        </w:rPr>
      </w:pPr>
      <w:r w:rsidRPr="00C6027E">
        <w:rPr>
          <w:rFonts w:ascii="Trebuchet MS" w:hAnsi="Trebuchet MS"/>
        </w:rPr>
        <w:t xml:space="preserve">For young persons with SBH, the importance of </w:t>
      </w:r>
      <w:r w:rsidRPr="00C6027E">
        <w:rPr>
          <w:rFonts w:ascii="Trebuchet MS" w:hAnsi="Trebuchet MS"/>
          <w:b/>
        </w:rPr>
        <w:t xml:space="preserve">transfer of care from paediatric to adult services </w:t>
      </w:r>
      <w:r w:rsidRPr="00C6027E">
        <w:rPr>
          <w:rFonts w:ascii="Trebuchet MS" w:hAnsi="Trebuchet MS"/>
        </w:rPr>
        <w:t xml:space="preserve">cannot be overestimated. Research from the USA has shown that 37.7% of hospitalisations of young adults with spina bifida between 18 and 36 were a result of preventable conditions such as recurrent urinary tract infections, bowel issues and pressure ulcers. </w:t>
      </w:r>
      <w:r w:rsidR="00520A7A" w:rsidRPr="00C6027E">
        <w:rPr>
          <w:rFonts w:ascii="Trebuchet MS" w:hAnsi="Trebuchet MS"/>
        </w:rPr>
        <w:t>Indeed,</w:t>
      </w:r>
      <w:r w:rsidR="00864AC5" w:rsidRPr="00C6027E">
        <w:rPr>
          <w:rFonts w:ascii="Trebuchet MS" w:hAnsi="Trebuchet MS"/>
        </w:rPr>
        <w:t xml:space="preserve"> adolescence is a weak link in provision of both formal and informal support, as young people are gradually being released from the care of their parents who have supervised their health </w:t>
      </w:r>
      <w:r w:rsidR="00A77661" w:rsidRPr="00C6027E">
        <w:rPr>
          <w:rFonts w:ascii="Trebuchet MS" w:hAnsi="Trebuchet MS"/>
        </w:rPr>
        <w:t xml:space="preserve">needs from birth into the care of trained professionals whose role is to support and guide young people through </w:t>
      </w:r>
      <w:r w:rsidR="00943CA5" w:rsidRPr="00C6027E">
        <w:rPr>
          <w:rFonts w:ascii="Trebuchet MS" w:hAnsi="Trebuchet MS"/>
        </w:rPr>
        <w:t xml:space="preserve">the array of decisions </w:t>
      </w:r>
      <w:r w:rsidR="00A77661" w:rsidRPr="00C6027E">
        <w:rPr>
          <w:rFonts w:ascii="Trebuchet MS" w:hAnsi="Trebuchet MS"/>
        </w:rPr>
        <w:t xml:space="preserve">to be made. </w:t>
      </w:r>
      <w:r w:rsidR="00D56869" w:rsidRPr="00C6027E">
        <w:rPr>
          <w:rFonts w:ascii="Trebuchet MS" w:hAnsi="Trebuchet MS"/>
        </w:rPr>
        <w:t xml:space="preserve">Successful models of transfer of care and </w:t>
      </w:r>
      <w:r w:rsidR="00D56869" w:rsidRPr="00C6027E">
        <w:rPr>
          <w:rFonts w:ascii="Trebuchet MS" w:hAnsi="Trebuchet MS"/>
          <w:b/>
        </w:rPr>
        <w:t>support must be geared to increase the young person’s independence and active participation in the decisions</w:t>
      </w:r>
      <w:r w:rsidR="00D56869" w:rsidRPr="00C6027E">
        <w:rPr>
          <w:rFonts w:ascii="Trebuchet MS" w:hAnsi="Trebuchet MS"/>
        </w:rPr>
        <w:t xml:space="preserve"> concerning their own lives, including health, education and professional orientation, or housing. </w:t>
      </w:r>
    </w:p>
    <w:p w:rsidR="006E15AA" w:rsidRPr="00C6027E" w:rsidRDefault="00444ACD" w:rsidP="006E15AA">
      <w:pPr>
        <w:pBdr>
          <w:top w:val="single" w:sz="4" w:space="1" w:color="auto"/>
          <w:left w:val="single" w:sz="4" w:space="4" w:color="auto"/>
          <w:bottom w:val="single" w:sz="4" w:space="1" w:color="auto"/>
          <w:right w:val="single" w:sz="4" w:space="4" w:color="auto"/>
        </w:pBdr>
        <w:spacing w:line="240" w:lineRule="auto"/>
        <w:jc w:val="both"/>
        <w:rPr>
          <w:rFonts w:ascii="Trebuchet MS" w:hAnsi="Trebuchet MS"/>
        </w:rPr>
      </w:pPr>
      <w:r w:rsidRPr="00C6027E">
        <w:rPr>
          <w:rFonts w:ascii="Trebuchet MS" w:hAnsi="Trebuchet MS"/>
        </w:rPr>
        <w:t xml:space="preserve">Among good examples helping transition for people with disabilities from childhood and youth into adulthood is the </w:t>
      </w:r>
      <w:r w:rsidR="007C0563" w:rsidRPr="00C6027E">
        <w:rPr>
          <w:rFonts w:ascii="Trebuchet MS" w:hAnsi="Trebuchet MS"/>
          <w:b/>
        </w:rPr>
        <w:t>“</w:t>
      </w:r>
      <w:hyperlink r:id="rId10" w:history="1">
        <w:r w:rsidR="007C0563" w:rsidRPr="00C6027E">
          <w:rPr>
            <w:rStyle w:val="Hyperlink"/>
            <w:rFonts w:ascii="Trebuchet MS" w:hAnsi="Trebuchet MS"/>
            <w:b/>
          </w:rPr>
          <w:t>Growing up ready</w:t>
        </w:r>
      </w:hyperlink>
      <w:r w:rsidR="007C0563" w:rsidRPr="00C6027E">
        <w:rPr>
          <w:rFonts w:ascii="Trebuchet MS" w:hAnsi="Trebuchet MS"/>
          <w:b/>
        </w:rPr>
        <w:t>” programme</w:t>
      </w:r>
      <w:r w:rsidR="007C0563" w:rsidRPr="00C6027E">
        <w:rPr>
          <w:rFonts w:ascii="Trebuchet MS" w:hAnsi="Trebuchet MS"/>
        </w:rPr>
        <w:t xml:space="preserve"> developed by Holland </w:t>
      </w:r>
      <w:proofErr w:type="spellStart"/>
      <w:r w:rsidR="007C0563" w:rsidRPr="00C6027E">
        <w:rPr>
          <w:rFonts w:ascii="Trebuchet MS" w:hAnsi="Trebuchet MS"/>
        </w:rPr>
        <w:t>Bloorview</w:t>
      </w:r>
      <w:proofErr w:type="spellEnd"/>
      <w:r w:rsidR="007C0563" w:rsidRPr="00C6027E">
        <w:rPr>
          <w:rFonts w:ascii="Trebuchet MS" w:hAnsi="Trebuchet MS"/>
        </w:rPr>
        <w:t xml:space="preserve"> Kids Rehabilitation hospital, </w:t>
      </w:r>
      <w:r w:rsidR="00E613B5" w:rsidRPr="00C6027E">
        <w:rPr>
          <w:rFonts w:ascii="Trebuchet MS" w:hAnsi="Trebuchet MS"/>
        </w:rPr>
        <w:t xml:space="preserve">developed in close consultation with families with members with disabilities, and aimed at parents, teachers and medical professionals working with children and young people with disabilities. The programme includes </w:t>
      </w:r>
      <w:r w:rsidR="00E613B5" w:rsidRPr="00C6027E">
        <w:rPr>
          <w:rFonts w:ascii="Trebuchet MS" w:hAnsi="Trebuchet MS"/>
        </w:rPr>
        <w:lastRenderedPageBreak/>
        <w:t xml:space="preserve">practical support tools (including a timetable and checklists) to guide them through the delicate stage of transition from childhood into adulthood </w:t>
      </w:r>
      <w:r w:rsidR="006E15AA" w:rsidRPr="00C6027E">
        <w:rPr>
          <w:rFonts w:ascii="Trebuchet MS" w:hAnsi="Trebuchet MS"/>
        </w:rPr>
        <w:t xml:space="preserve">and facilitate the increasing independence and self-agency of a young person with a disability. The programme was adapted for specific needs of children and young people with spina bifida and hydrocephalus in Norway, where it is being successfully piloted by the </w:t>
      </w:r>
      <w:r w:rsidR="006E15AA" w:rsidRPr="00C6027E">
        <w:rPr>
          <w:rFonts w:ascii="Trebuchet MS" w:hAnsi="Trebuchet MS"/>
          <w:b/>
        </w:rPr>
        <w:t>Norwegian association for spina bifida and hydrocephalus</w:t>
      </w:r>
      <w:r w:rsidR="006E15AA" w:rsidRPr="00C6027E">
        <w:rPr>
          <w:rStyle w:val="FootnoteReference"/>
          <w:rFonts w:ascii="Trebuchet MS" w:hAnsi="Trebuchet MS"/>
        </w:rPr>
        <w:footnoteReference w:id="3"/>
      </w:r>
      <w:r w:rsidR="006E15AA" w:rsidRPr="00C6027E">
        <w:rPr>
          <w:rFonts w:ascii="Trebuchet MS" w:hAnsi="Trebuchet MS"/>
        </w:rPr>
        <w:t xml:space="preserve">. </w:t>
      </w:r>
    </w:p>
    <w:p w:rsidR="00517593" w:rsidRPr="00C6027E" w:rsidRDefault="00517593" w:rsidP="00C6027E">
      <w:pPr>
        <w:spacing w:line="240" w:lineRule="auto"/>
        <w:jc w:val="both"/>
        <w:rPr>
          <w:rFonts w:ascii="Trebuchet MS" w:hAnsi="Trebuchet MS"/>
          <w:i/>
        </w:rPr>
      </w:pPr>
      <w:r w:rsidRPr="00C6027E">
        <w:rPr>
          <w:rFonts w:ascii="Trebuchet MS" w:hAnsi="Trebuchet MS"/>
          <w:i/>
        </w:rPr>
        <w:t>Adulthood and ageing with SBH</w:t>
      </w:r>
    </w:p>
    <w:p w:rsidR="00137C75" w:rsidRPr="00C6027E" w:rsidRDefault="006616AA" w:rsidP="00137C75">
      <w:pPr>
        <w:spacing w:line="240" w:lineRule="auto"/>
        <w:jc w:val="both"/>
        <w:rPr>
          <w:rFonts w:ascii="Trebuchet MS" w:hAnsi="Trebuchet MS"/>
        </w:rPr>
      </w:pPr>
      <w:r w:rsidRPr="00C6027E">
        <w:rPr>
          <w:rFonts w:ascii="Trebuchet MS" w:hAnsi="Trebuchet MS"/>
        </w:rPr>
        <w:t xml:space="preserve">People with SBH born in the Western world in the 1950s are the first generation </w:t>
      </w:r>
      <w:r w:rsidR="00507C89" w:rsidRPr="00C6027E">
        <w:rPr>
          <w:rFonts w:ascii="Trebuchet MS" w:hAnsi="Trebuchet MS"/>
        </w:rPr>
        <w:t xml:space="preserve">to survive the childhood and live through adulthood. </w:t>
      </w:r>
      <w:r w:rsidR="00804BDB" w:rsidRPr="00C6027E">
        <w:rPr>
          <w:rFonts w:ascii="Trebuchet MS" w:hAnsi="Trebuchet MS"/>
        </w:rPr>
        <w:t xml:space="preserve">Thanks to improved medical research and care, </w:t>
      </w:r>
      <w:r w:rsidR="00804BDB" w:rsidRPr="00C6027E">
        <w:rPr>
          <w:rFonts w:ascii="Trebuchet MS" w:hAnsi="Trebuchet MS"/>
          <w:b/>
        </w:rPr>
        <w:t>t</w:t>
      </w:r>
      <w:r w:rsidR="00507C89" w:rsidRPr="00C6027E">
        <w:rPr>
          <w:rFonts w:ascii="Trebuchet MS" w:hAnsi="Trebuchet MS"/>
          <w:b/>
        </w:rPr>
        <w:t xml:space="preserve">he numbers of people living and ageing with SBH are on the increase </w:t>
      </w:r>
      <w:r w:rsidR="00507C89" w:rsidRPr="00C6027E">
        <w:rPr>
          <w:rFonts w:ascii="Trebuchet MS" w:hAnsi="Trebuchet MS"/>
        </w:rPr>
        <w:t xml:space="preserve">and will continue to rise over the next few decades. </w:t>
      </w:r>
      <w:r w:rsidR="00C316C1" w:rsidRPr="00C6027E">
        <w:rPr>
          <w:rFonts w:ascii="Trebuchet MS" w:hAnsi="Trebuchet MS"/>
        </w:rPr>
        <w:t xml:space="preserve">Due to lack of precedents, little is known about progression of SBH throughout adulthood and ageing, making the availability of care and support scarce and, often, non-existent. </w:t>
      </w:r>
    </w:p>
    <w:p w:rsidR="004E1A68" w:rsidRPr="00C6027E" w:rsidRDefault="00C316C1" w:rsidP="00137C75">
      <w:pPr>
        <w:spacing w:line="240" w:lineRule="auto"/>
        <w:jc w:val="both"/>
        <w:rPr>
          <w:rFonts w:ascii="Trebuchet MS" w:hAnsi="Trebuchet MS"/>
        </w:rPr>
      </w:pPr>
      <w:r w:rsidRPr="00C6027E">
        <w:rPr>
          <w:rFonts w:ascii="Trebuchet MS" w:hAnsi="Trebuchet MS"/>
        </w:rPr>
        <w:t xml:space="preserve">In addition to SBH-specific conditions (such as tethered cord syndrome, kidney failure or pressure sores), people with SBH often experience an early onset of secondary conditions usually associated with old age (such as arthritis, osteoporosis, obesity or diabetes) and necessitate </w:t>
      </w:r>
      <w:r w:rsidRPr="00C6027E">
        <w:rPr>
          <w:rFonts w:ascii="Trebuchet MS" w:hAnsi="Trebuchet MS"/>
          <w:b/>
        </w:rPr>
        <w:t>timely and continuous interventions and support to preserve their independence and quality of life</w:t>
      </w:r>
      <w:r w:rsidRPr="00C6027E">
        <w:rPr>
          <w:rFonts w:ascii="Trebuchet MS" w:hAnsi="Trebuchet MS"/>
        </w:rPr>
        <w:t xml:space="preserve">. </w:t>
      </w:r>
      <w:r w:rsidR="004E1A68" w:rsidRPr="00C6027E">
        <w:rPr>
          <w:rFonts w:ascii="Trebuchet MS" w:hAnsi="Trebuchet MS"/>
        </w:rPr>
        <w:t>Physical challenges faced by many people</w:t>
      </w:r>
      <w:r w:rsidR="00783443" w:rsidRPr="00C6027E">
        <w:rPr>
          <w:rFonts w:ascii="Trebuchet MS" w:hAnsi="Trebuchet MS"/>
        </w:rPr>
        <w:t xml:space="preserve"> with SBH</w:t>
      </w:r>
      <w:r w:rsidR="004E1A68" w:rsidRPr="00C6027E">
        <w:rPr>
          <w:rFonts w:ascii="Trebuchet MS" w:hAnsi="Trebuchet MS"/>
        </w:rPr>
        <w:t>, especially as they age</w:t>
      </w:r>
      <w:r w:rsidR="00783443" w:rsidRPr="00C6027E">
        <w:rPr>
          <w:rFonts w:ascii="Trebuchet MS" w:hAnsi="Trebuchet MS"/>
        </w:rPr>
        <w:t>,</w:t>
      </w:r>
      <w:r w:rsidR="004E1A68" w:rsidRPr="00C6027E">
        <w:rPr>
          <w:rFonts w:ascii="Trebuchet MS" w:hAnsi="Trebuchet MS"/>
        </w:rPr>
        <w:t xml:space="preserve"> greatly increase the difficulty of finding and maintaining a full-time, office-based job with traditional working hours. Having to attend multiple medical appointments can be time-consuming, physically endu</w:t>
      </w:r>
      <w:r w:rsidR="00783443" w:rsidRPr="00C6027E">
        <w:rPr>
          <w:rFonts w:ascii="Trebuchet MS" w:hAnsi="Trebuchet MS"/>
        </w:rPr>
        <w:t xml:space="preserve">ring, financially burdensome </w:t>
      </w:r>
      <w:r w:rsidR="004E1A68" w:rsidRPr="00C6027E">
        <w:rPr>
          <w:rFonts w:ascii="Trebuchet MS" w:hAnsi="Trebuchet MS"/>
        </w:rPr>
        <w:t xml:space="preserve">and </w:t>
      </w:r>
      <w:r w:rsidR="00783443" w:rsidRPr="00C6027E">
        <w:rPr>
          <w:rFonts w:ascii="Trebuchet MS" w:hAnsi="Trebuchet MS"/>
        </w:rPr>
        <w:t>may even provoke</w:t>
      </w:r>
      <w:r w:rsidR="004E1A68" w:rsidRPr="00C6027E">
        <w:rPr>
          <w:rFonts w:ascii="Trebuchet MS" w:hAnsi="Trebuchet MS"/>
        </w:rPr>
        <w:t xml:space="preserve"> incomprehension and stigma at work. </w:t>
      </w:r>
    </w:p>
    <w:p w:rsidR="00783443" w:rsidRPr="00C6027E" w:rsidRDefault="00783443" w:rsidP="00137C75">
      <w:pPr>
        <w:spacing w:line="240" w:lineRule="auto"/>
        <w:jc w:val="both"/>
        <w:rPr>
          <w:rFonts w:ascii="Trebuchet MS" w:hAnsi="Trebuchet MS"/>
        </w:rPr>
      </w:pPr>
      <w:r w:rsidRPr="00C6027E">
        <w:rPr>
          <w:rFonts w:ascii="Trebuchet MS" w:hAnsi="Trebuchet MS"/>
        </w:rPr>
        <w:t>One of the most efficient ways of addressing these challeng</w:t>
      </w:r>
      <w:r w:rsidR="00167BB0" w:rsidRPr="00C6027E">
        <w:rPr>
          <w:rFonts w:ascii="Trebuchet MS" w:hAnsi="Trebuchet MS"/>
        </w:rPr>
        <w:t>es</w:t>
      </w:r>
      <w:r w:rsidRPr="00C6027E">
        <w:rPr>
          <w:rFonts w:ascii="Trebuchet MS" w:hAnsi="Trebuchet MS"/>
        </w:rPr>
        <w:t xml:space="preserve"> is providing adults with SBH with a </w:t>
      </w:r>
      <w:r w:rsidRPr="00C6027E">
        <w:rPr>
          <w:rFonts w:ascii="Trebuchet MS" w:hAnsi="Trebuchet MS"/>
          <w:b/>
        </w:rPr>
        <w:t>multidisciplinary model of care and support</w:t>
      </w:r>
      <w:r w:rsidRPr="00C6027E">
        <w:rPr>
          <w:rFonts w:ascii="Trebuchet MS" w:hAnsi="Trebuchet MS"/>
        </w:rPr>
        <w:t>, where the person’s medical, rehabilitation, but also social and civic support needs are coordinated</w:t>
      </w:r>
      <w:r w:rsidR="00F5212B" w:rsidRPr="00C6027E">
        <w:rPr>
          <w:rFonts w:ascii="Trebuchet MS" w:hAnsi="Trebuchet MS"/>
        </w:rPr>
        <w:t xml:space="preserve"> in a seamless fashion (usually at a hospital or a SBH-specific clinic)</w:t>
      </w:r>
      <w:r w:rsidRPr="00C6027E">
        <w:rPr>
          <w:rFonts w:ascii="Trebuchet MS" w:hAnsi="Trebuchet MS"/>
        </w:rPr>
        <w:t xml:space="preserve">. The </w:t>
      </w:r>
      <w:r w:rsidRPr="00C6027E">
        <w:rPr>
          <w:rFonts w:ascii="Trebuchet MS" w:hAnsi="Trebuchet MS"/>
          <w:b/>
        </w:rPr>
        <w:t>one stop shop approach</w:t>
      </w:r>
      <w:r w:rsidRPr="00C6027E">
        <w:rPr>
          <w:rFonts w:ascii="Trebuchet MS" w:hAnsi="Trebuchet MS"/>
        </w:rPr>
        <w:t xml:space="preserve"> helps avoid gaps in care, minimise the time spent commuting to receive it, and equips the person with the necessary tools (such as support in hiring a personal assistant, information about rights and remedies, and emotional counselling) to increase their independence. </w:t>
      </w:r>
    </w:p>
    <w:p w:rsidR="006C3AC2" w:rsidRPr="00C6027E" w:rsidRDefault="006C3AC2" w:rsidP="00137C75">
      <w:pPr>
        <w:spacing w:line="240" w:lineRule="auto"/>
        <w:jc w:val="both"/>
        <w:rPr>
          <w:rFonts w:ascii="Trebuchet MS" w:hAnsi="Trebuchet MS"/>
        </w:rPr>
      </w:pPr>
      <w:r w:rsidRPr="00C6027E">
        <w:rPr>
          <w:rFonts w:ascii="Trebuchet MS" w:hAnsi="Trebuchet MS"/>
        </w:rPr>
        <w:t>However, even in Europe the availability of multidisciplinary care is low. Research conducted by IF in 2016 shows that 38 % of respondents do not have a multidisciplinary clinic in their area, compared to only 17 % who do.</w:t>
      </w:r>
      <w:r w:rsidR="00F70CDB" w:rsidRPr="00C6027E">
        <w:rPr>
          <w:rFonts w:ascii="Trebuchet MS" w:hAnsi="Trebuchet MS"/>
        </w:rPr>
        <w:t xml:space="preserve"> The numbers are even lower in the developing </w:t>
      </w:r>
      <w:r w:rsidR="007550E9" w:rsidRPr="00C6027E">
        <w:rPr>
          <w:rFonts w:ascii="Trebuchet MS" w:hAnsi="Trebuchet MS"/>
        </w:rPr>
        <w:t>world, contradicting</w:t>
      </w:r>
      <w:r w:rsidRPr="00C6027E">
        <w:rPr>
          <w:rFonts w:ascii="Trebuchet MS" w:hAnsi="Trebuchet MS"/>
        </w:rPr>
        <w:t xml:space="preserve"> the principle that </w:t>
      </w:r>
      <w:r w:rsidR="007550E9" w:rsidRPr="00C6027E">
        <w:rPr>
          <w:rFonts w:ascii="Trebuchet MS" w:hAnsi="Trebuchet MS"/>
        </w:rPr>
        <w:t>in order to be adequate,</w:t>
      </w:r>
      <w:r w:rsidRPr="00C6027E">
        <w:rPr>
          <w:rFonts w:ascii="Trebuchet MS" w:hAnsi="Trebuchet MS"/>
        </w:rPr>
        <w:t xml:space="preserve"> care should be both available and accessible. </w:t>
      </w:r>
    </w:p>
    <w:p w:rsidR="00F70CDB" w:rsidRPr="00C6027E" w:rsidRDefault="00F70CDB" w:rsidP="00F70CDB">
      <w:pPr>
        <w:pBdr>
          <w:top w:val="single" w:sz="4" w:space="1" w:color="auto"/>
          <w:left w:val="single" w:sz="4" w:space="4" w:color="auto"/>
          <w:bottom w:val="single" w:sz="4" w:space="1" w:color="auto"/>
          <w:right w:val="single" w:sz="4" w:space="4" w:color="auto"/>
        </w:pBdr>
        <w:spacing w:line="240" w:lineRule="auto"/>
        <w:jc w:val="both"/>
        <w:rPr>
          <w:rFonts w:ascii="Trebuchet MS" w:hAnsi="Trebuchet MS"/>
        </w:rPr>
      </w:pPr>
      <w:r w:rsidRPr="00C6027E">
        <w:rPr>
          <w:rFonts w:ascii="Trebuchet MS" w:hAnsi="Trebuchet MS"/>
        </w:rPr>
        <w:t xml:space="preserve">The </w:t>
      </w:r>
      <w:hyperlink r:id="rId11" w:history="1">
        <w:r w:rsidRPr="00C6027E">
          <w:rPr>
            <w:rStyle w:val="Hyperlink"/>
            <w:rFonts w:ascii="Trebuchet MS" w:hAnsi="Trebuchet MS"/>
          </w:rPr>
          <w:t>Peer Support Service of the Spina Bifida Hydrocephalus Ireland</w:t>
        </w:r>
      </w:hyperlink>
      <w:r w:rsidRPr="00C6027E">
        <w:rPr>
          <w:rFonts w:ascii="Trebuchet MS" w:hAnsi="Trebuchet MS"/>
        </w:rPr>
        <w:t xml:space="preserve"> was established in 2013, following an explicit request from SBHI members, and has since helped many people, some in very severe crises. The issues dealt with have ranged from those regarding personal care, personal and sexual relationships and difficulties with self-confidence and self-esteem. The service is run by trained volunteers and was rolled out thanks to financial support of a private company that shared the values of empowerment and independence of persons with SBH. </w:t>
      </w:r>
    </w:p>
    <w:p w:rsidR="00F70CDB" w:rsidRPr="00C6027E" w:rsidRDefault="00F70CDB" w:rsidP="00F70CDB">
      <w:pPr>
        <w:spacing w:line="240" w:lineRule="auto"/>
        <w:jc w:val="both"/>
        <w:rPr>
          <w:rFonts w:ascii="Trebuchet MS" w:hAnsi="Trebuchet MS"/>
        </w:rPr>
      </w:pPr>
    </w:p>
    <w:p w:rsidR="00517593" w:rsidRPr="00C17D58" w:rsidRDefault="00517593" w:rsidP="00C6027E">
      <w:pPr>
        <w:pStyle w:val="ListParagraph"/>
        <w:spacing w:line="240" w:lineRule="auto"/>
        <w:jc w:val="both"/>
        <w:rPr>
          <w:rFonts w:ascii="Trebuchet MS" w:hAnsi="Trebuchet MS"/>
          <w:b/>
          <w:sz w:val="28"/>
        </w:rPr>
      </w:pPr>
      <w:r w:rsidRPr="00C17D58">
        <w:rPr>
          <w:rFonts w:ascii="Trebuchet MS" w:hAnsi="Trebuchet MS"/>
          <w:b/>
          <w:sz w:val="28"/>
        </w:rPr>
        <w:t>Partnership</w:t>
      </w:r>
      <w:r w:rsidR="00330902" w:rsidRPr="00C17D58">
        <w:rPr>
          <w:rFonts w:ascii="Trebuchet MS" w:hAnsi="Trebuchet MS"/>
          <w:b/>
          <w:sz w:val="28"/>
        </w:rPr>
        <w:t xml:space="preserve">s between </w:t>
      </w:r>
      <w:r w:rsidR="00C6027E" w:rsidRPr="00C17D58">
        <w:rPr>
          <w:rFonts w:ascii="Trebuchet MS" w:hAnsi="Trebuchet MS"/>
          <w:b/>
          <w:sz w:val="28"/>
        </w:rPr>
        <w:t xml:space="preserve">different actors </w:t>
      </w:r>
    </w:p>
    <w:p w:rsidR="00597358" w:rsidRPr="00C6027E" w:rsidRDefault="00B44D09" w:rsidP="00B44D09">
      <w:pPr>
        <w:spacing w:line="240" w:lineRule="auto"/>
        <w:jc w:val="both"/>
        <w:rPr>
          <w:rFonts w:ascii="Trebuchet MS" w:hAnsi="Trebuchet MS"/>
        </w:rPr>
      </w:pPr>
      <w:r w:rsidRPr="00C6027E">
        <w:rPr>
          <w:rFonts w:ascii="Trebuchet MS" w:hAnsi="Trebuchet MS"/>
        </w:rPr>
        <w:t xml:space="preserve">The availability of the above-mentioned </w:t>
      </w:r>
      <w:r w:rsidR="00F5212B" w:rsidRPr="00C6027E">
        <w:rPr>
          <w:rFonts w:ascii="Trebuchet MS" w:hAnsi="Trebuchet MS"/>
          <w:b/>
        </w:rPr>
        <w:t xml:space="preserve">seamless </w:t>
      </w:r>
      <w:r w:rsidRPr="00C6027E">
        <w:rPr>
          <w:rFonts w:ascii="Trebuchet MS" w:hAnsi="Trebuchet MS"/>
          <w:b/>
        </w:rPr>
        <w:t xml:space="preserve">multidisciplinary model of care and support is essential for realisation of human rights and dignity </w:t>
      </w:r>
      <w:r w:rsidRPr="00C6027E">
        <w:rPr>
          <w:rFonts w:ascii="Trebuchet MS" w:hAnsi="Trebuchet MS"/>
        </w:rPr>
        <w:t xml:space="preserve">of persons with spina bifida and hydrocephalus at all ages. </w:t>
      </w:r>
      <w:r w:rsidR="00F5212B" w:rsidRPr="00C6027E">
        <w:rPr>
          <w:rFonts w:ascii="Trebuchet MS" w:hAnsi="Trebuchet MS"/>
        </w:rPr>
        <w:t>In addition to providing</w:t>
      </w:r>
      <w:r w:rsidR="00FA711B" w:rsidRPr="00C6027E">
        <w:rPr>
          <w:rFonts w:ascii="Trebuchet MS" w:hAnsi="Trebuchet MS"/>
        </w:rPr>
        <w:t xml:space="preserve"> preventative annual check-ups and</w:t>
      </w:r>
      <w:r w:rsidR="006A7D98" w:rsidRPr="00C6027E">
        <w:rPr>
          <w:rFonts w:ascii="Trebuchet MS" w:hAnsi="Trebuchet MS"/>
        </w:rPr>
        <w:t xml:space="preserve"> timely expertise interventions for medical emergencies</w:t>
      </w:r>
      <w:r w:rsidR="00ED284D" w:rsidRPr="00C6027E">
        <w:rPr>
          <w:rFonts w:ascii="Trebuchet MS" w:hAnsi="Trebuchet MS"/>
        </w:rPr>
        <w:t xml:space="preserve">, multidisciplinary clinics are able to counsel </w:t>
      </w:r>
      <w:r w:rsidR="007D6B8C" w:rsidRPr="00C6027E">
        <w:rPr>
          <w:rFonts w:ascii="Trebuchet MS" w:hAnsi="Trebuchet MS"/>
        </w:rPr>
        <w:t xml:space="preserve">individuals </w:t>
      </w:r>
      <w:r w:rsidR="00597358" w:rsidRPr="00C6027E">
        <w:rPr>
          <w:rFonts w:ascii="Trebuchet MS" w:hAnsi="Trebuchet MS"/>
        </w:rPr>
        <w:t xml:space="preserve">and provide them with support concerning social security entitlements, employment, or peer support. </w:t>
      </w:r>
    </w:p>
    <w:p w:rsidR="00E54EA8" w:rsidRPr="00C6027E" w:rsidRDefault="00E54EA8" w:rsidP="00E54EA8">
      <w:pPr>
        <w:pBdr>
          <w:top w:val="single" w:sz="4" w:space="1" w:color="auto"/>
          <w:left w:val="single" w:sz="4" w:space="4" w:color="auto"/>
          <w:bottom w:val="single" w:sz="4" w:space="1" w:color="auto"/>
          <w:right w:val="single" w:sz="4" w:space="4" w:color="auto"/>
        </w:pBdr>
        <w:spacing w:line="240" w:lineRule="auto"/>
        <w:jc w:val="both"/>
        <w:rPr>
          <w:rFonts w:ascii="Trebuchet MS" w:hAnsi="Trebuchet MS"/>
        </w:rPr>
      </w:pPr>
      <w:r w:rsidRPr="00C6027E">
        <w:rPr>
          <w:rFonts w:ascii="Trebuchet MS" w:hAnsi="Trebuchet MS"/>
        </w:rPr>
        <w:t xml:space="preserve">IF and its partners in developing countries have developed the </w:t>
      </w:r>
      <w:hyperlink r:id="rId12" w:history="1">
        <w:r w:rsidRPr="00C6027E">
          <w:rPr>
            <w:rStyle w:val="Hyperlink"/>
            <w:rFonts w:ascii="Trebuchet MS" w:hAnsi="Trebuchet MS"/>
          </w:rPr>
          <w:t>S.H.I.P. model – Spina Bifida and Hydrocephalus Interdisciplinary Program</w:t>
        </w:r>
      </w:hyperlink>
      <w:r w:rsidRPr="00C6027E">
        <w:rPr>
          <w:rFonts w:ascii="Trebuchet MS" w:hAnsi="Trebuchet MS"/>
        </w:rPr>
        <w:t xml:space="preserve"> – that emphasise a coordinated approach between the different partners in care and support the neurosurgical hospital, the CBR (community-based rehabilitation) centre, ambulant clinics, parent groups and local authorities.  The purpose of S.H.I.P. is to help partners communicate better and understand each other’s role in the process of supporting the individual with SBH. The model has successfully been implemented in Uganda, </w:t>
      </w:r>
      <w:hyperlink r:id="rId13" w:history="1">
        <w:r w:rsidRPr="00C6027E">
          <w:rPr>
            <w:rStyle w:val="Hyperlink"/>
            <w:rFonts w:ascii="Trebuchet MS" w:hAnsi="Trebuchet MS"/>
          </w:rPr>
          <w:t>Kenya</w:t>
        </w:r>
      </w:hyperlink>
      <w:r w:rsidRPr="00C6027E">
        <w:rPr>
          <w:rFonts w:ascii="Trebuchet MS" w:hAnsi="Trebuchet MS"/>
        </w:rPr>
        <w:t xml:space="preserve"> and Tanzania.</w:t>
      </w:r>
    </w:p>
    <w:p w:rsidR="00E54EA8" w:rsidRPr="00C6027E" w:rsidRDefault="00E54EA8" w:rsidP="00B44D09">
      <w:pPr>
        <w:spacing w:line="240" w:lineRule="auto"/>
        <w:jc w:val="both"/>
        <w:rPr>
          <w:rFonts w:ascii="Trebuchet MS" w:hAnsi="Trebuchet MS"/>
        </w:rPr>
      </w:pPr>
      <w:r w:rsidRPr="00C6027E">
        <w:rPr>
          <w:rFonts w:ascii="Trebuchet MS" w:hAnsi="Trebuchet MS"/>
        </w:rPr>
        <w:t>IF strongly supports the collaborative model where medical professionals cooperate closely with local SBH associations in running the SBH clinics. Close invo</w:t>
      </w:r>
      <w:r w:rsidR="00A369F3" w:rsidRPr="00C6027E">
        <w:rPr>
          <w:rFonts w:ascii="Trebuchet MS" w:hAnsi="Trebuchet MS"/>
        </w:rPr>
        <w:t xml:space="preserve">lvement of DPOs helps gain trust of persons with SBH seeking support and give value to the expertise of DPO self-advocates.  </w:t>
      </w:r>
      <w:r w:rsidRPr="00C6027E">
        <w:rPr>
          <w:rFonts w:ascii="Trebuchet MS" w:hAnsi="Trebuchet MS"/>
        </w:rPr>
        <w:t xml:space="preserve"> </w:t>
      </w:r>
    </w:p>
    <w:p w:rsidR="00B44D09" w:rsidRPr="00C6027E" w:rsidRDefault="00A369F3" w:rsidP="00CC1609">
      <w:pPr>
        <w:pBdr>
          <w:top w:val="single" w:sz="4" w:space="1" w:color="auto"/>
          <w:left w:val="single" w:sz="4" w:space="4" w:color="auto"/>
          <w:bottom w:val="single" w:sz="4" w:space="1" w:color="auto"/>
          <w:right w:val="single" w:sz="4" w:space="4" w:color="auto"/>
        </w:pBdr>
        <w:spacing w:line="240" w:lineRule="auto"/>
        <w:jc w:val="both"/>
        <w:rPr>
          <w:rFonts w:ascii="Trebuchet MS" w:hAnsi="Trebuchet MS"/>
        </w:rPr>
      </w:pPr>
      <w:r w:rsidRPr="00C6027E">
        <w:rPr>
          <w:rFonts w:ascii="Trebuchet MS" w:hAnsi="Trebuchet MS"/>
        </w:rPr>
        <w:t>I</w:t>
      </w:r>
      <w:r w:rsidR="00CA0345" w:rsidRPr="00C6027E">
        <w:rPr>
          <w:rFonts w:ascii="Trebuchet MS" w:hAnsi="Trebuchet MS"/>
        </w:rPr>
        <w:t xml:space="preserve">n Flanders (Belgium), the </w:t>
      </w:r>
      <w:hyperlink r:id="rId14" w:history="1">
        <w:r w:rsidR="00CA0345" w:rsidRPr="00C6027E">
          <w:rPr>
            <w:rStyle w:val="Hyperlink"/>
            <w:rFonts w:ascii="Trebuchet MS" w:hAnsi="Trebuchet MS"/>
          </w:rPr>
          <w:t>SBH association</w:t>
        </w:r>
      </w:hyperlink>
      <w:r w:rsidR="00CA0345" w:rsidRPr="00C6027E">
        <w:rPr>
          <w:rFonts w:ascii="Trebuchet MS" w:hAnsi="Trebuchet MS"/>
        </w:rPr>
        <w:t xml:space="preserve"> participates in monthly multidisciplinary clinic at the University Hospital Leuven, where it counsels participants and informs them of the support available from the association.</w:t>
      </w:r>
      <w:r w:rsidR="00E54EA8" w:rsidRPr="00C6027E">
        <w:rPr>
          <w:rFonts w:ascii="Trebuchet MS" w:hAnsi="Trebuchet MS"/>
        </w:rPr>
        <w:t xml:space="preserve"> This valuable collaboration </w:t>
      </w:r>
      <w:r w:rsidR="002B3ABF" w:rsidRPr="00C6027E">
        <w:rPr>
          <w:rFonts w:ascii="Trebuchet MS" w:hAnsi="Trebuchet MS"/>
        </w:rPr>
        <w:t xml:space="preserve">allows people with SBH find peer support in their local community, and to the association – to reach out to people it wouldn’t have otherwise identified and </w:t>
      </w:r>
      <w:proofErr w:type="gramStart"/>
      <w:r w:rsidR="002B3ABF" w:rsidRPr="00C6027E">
        <w:rPr>
          <w:rFonts w:ascii="Trebuchet MS" w:hAnsi="Trebuchet MS"/>
        </w:rPr>
        <w:t>expand</w:t>
      </w:r>
      <w:proofErr w:type="gramEnd"/>
      <w:r w:rsidR="002B3ABF" w:rsidRPr="00C6027E">
        <w:rPr>
          <w:rFonts w:ascii="Trebuchet MS" w:hAnsi="Trebuchet MS"/>
        </w:rPr>
        <w:t xml:space="preserve"> their membership. </w:t>
      </w:r>
      <w:r w:rsidR="00E54EA8" w:rsidRPr="00C6027E">
        <w:rPr>
          <w:rFonts w:ascii="Trebuchet MS" w:hAnsi="Trebuchet MS"/>
        </w:rPr>
        <w:t xml:space="preserve"> </w:t>
      </w:r>
      <w:r w:rsidR="00CA0345" w:rsidRPr="00C6027E">
        <w:rPr>
          <w:rFonts w:ascii="Trebuchet MS" w:hAnsi="Trebuchet MS"/>
        </w:rPr>
        <w:t xml:space="preserve">  </w:t>
      </w:r>
      <w:r w:rsidR="006A7D98" w:rsidRPr="00C6027E">
        <w:rPr>
          <w:rFonts w:ascii="Trebuchet MS" w:hAnsi="Trebuchet MS"/>
        </w:rPr>
        <w:t xml:space="preserve"> </w:t>
      </w:r>
    </w:p>
    <w:p w:rsidR="00CE2534" w:rsidRPr="00C6027E" w:rsidRDefault="00CE2534" w:rsidP="00CC1609">
      <w:pPr>
        <w:spacing w:line="240" w:lineRule="auto"/>
        <w:jc w:val="both"/>
        <w:rPr>
          <w:rFonts w:ascii="Trebuchet MS" w:hAnsi="Trebuchet MS"/>
        </w:rPr>
      </w:pPr>
    </w:p>
    <w:p w:rsidR="00517593" w:rsidRPr="00C6027E" w:rsidRDefault="00517593" w:rsidP="001F1636">
      <w:pPr>
        <w:spacing w:line="240" w:lineRule="auto"/>
        <w:jc w:val="both"/>
        <w:rPr>
          <w:rFonts w:ascii="Trebuchet MS" w:hAnsi="Trebuchet MS"/>
        </w:rPr>
      </w:pPr>
    </w:p>
    <w:sectPr w:rsidR="00517593" w:rsidRPr="00C602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29" w:rsidRDefault="00C34C29" w:rsidP="005A4015">
      <w:pPr>
        <w:spacing w:after="0" w:line="240" w:lineRule="auto"/>
      </w:pPr>
      <w:r>
        <w:separator/>
      </w:r>
    </w:p>
  </w:endnote>
  <w:endnote w:type="continuationSeparator" w:id="0">
    <w:p w:rsidR="00C34C29" w:rsidRDefault="00C34C29" w:rsidP="005A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362648"/>
      <w:docPartObj>
        <w:docPartGallery w:val="Page Numbers (Bottom of Page)"/>
        <w:docPartUnique/>
      </w:docPartObj>
    </w:sdtPr>
    <w:sdtEndPr>
      <w:rPr>
        <w:noProof/>
      </w:rPr>
    </w:sdtEndPr>
    <w:sdtContent>
      <w:p w:rsidR="00C00361" w:rsidRDefault="00C00361">
        <w:pPr>
          <w:pStyle w:val="Footer"/>
          <w:jc w:val="center"/>
        </w:pPr>
        <w:r>
          <w:fldChar w:fldCharType="begin"/>
        </w:r>
        <w:r>
          <w:instrText xml:space="preserve"> PAGE   \* MERGEFORMAT </w:instrText>
        </w:r>
        <w:r>
          <w:fldChar w:fldCharType="separate"/>
        </w:r>
        <w:r w:rsidR="00336850">
          <w:rPr>
            <w:noProof/>
          </w:rPr>
          <w:t>1</w:t>
        </w:r>
        <w:r>
          <w:rPr>
            <w:noProof/>
          </w:rPr>
          <w:fldChar w:fldCharType="end"/>
        </w:r>
      </w:p>
    </w:sdtContent>
  </w:sdt>
  <w:p w:rsidR="00C00361" w:rsidRDefault="00C0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29" w:rsidRDefault="00C34C29" w:rsidP="005A4015">
      <w:pPr>
        <w:spacing w:after="0" w:line="240" w:lineRule="auto"/>
      </w:pPr>
      <w:r>
        <w:separator/>
      </w:r>
    </w:p>
  </w:footnote>
  <w:footnote w:type="continuationSeparator" w:id="0">
    <w:p w:rsidR="00C34C29" w:rsidRDefault="00C34C29" w:rsidP="005A4015">
      <w:pPr>
        <w:spacing w:after="0" w:line="240" w:lineRule="auto"/>
      </w:pPr>
      <w:r>
        <w:continuationSeparator/>
      </w:r>
    </w:p>
  </w:footnote>
  <w:footnote w:id="1">
    <w:p w:rsidR="0094262C" w:rsidRDefault="0094262C">
      <w:pPr>
        <w:pStyle w:val="FootnoteText"/>
      </w:pPr>
      <w:r>
        <w:rPr>
          <w:rStyle w:val="FootnoteReference"/>
        </w:rPr>
        <w:footnoteRef/>
      </w:r>
      <w:r>
        <w:t xml:space="preserve"> Such as shunt maintenance, orthopaedic challenges (</w:t>
      </w:r>
      <w:proofErr w:type="spellStart"/>
      <w:r>
        <w:t>incl</w:t>
      </w:r>
      <w:proofErr w:type="spellEnd"/>
      <w:r>
        <w:t xml:space="preserve"> scoliosis and joint contractures), urological problems, pressure ulcers or obesity, as well as potential complications from the chronic effects of surgeries and other medical interventions.  </w:t>
      </w:r>
    </w:p>
  </w:footnote>
  <w:footnote w:id="2">
    <w:p w:rsidR="00DD16DF" w:rsidRDefault="00DD16DF">
      <w:pPr>
        <w:pStyle w:val="FootnoteText"/>
      </w:pPr>
      <w:r>
        <w:rPr>
          <w:rStyle w:val="FootnoteReference"/>
        </w:rPr>
        <w:footnoteRef/>
      </w:r>
      <w:r>
        <w:t xml:space="preserve"> Learned helplessness is a phenomenon where the extent and content of support provided to persons with congenital disabilities has not been adapted to their growing maturity (from infancy to childhood to adolescence to adulthood), resulting in disempowerment of the person, their complete reliance on the carer (usually a parent) and lack of self-advocacy skills.   </w:t>
      </w:r>
    </w:p>
  </w:footnote>
  <w:footnote w:id="3">
    <w:p w:rsidR="006E15AA" w:rsidRDefault="006E15AA" w:rsidP="006E15AA">
      <w:pPr>
        <w:pStyle w:val="FootnoteText"/>
      </w:pPr>
      <w:r>
        <w:rPr>
          <w:rStyle w:val="FootnoteReference"/>
        </w:rPr>
        <w:footnoteRef/>
      </w:r>
      <w:r>
        <w:t xml:space="preserve"> </w:t>
      </w:r>
      <w:hyperlink r:id="rId1" w:history="1">
        <w:r w:rsidRPr="00E01DDB">
          <w:rPr>
            <w:rStyle w:val="Hyperlink"/>
          </w:rPr>
          <w:t>http://www.ifgoodpractices.org/norway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4A0" w:firstRow="1" w:lastRow="0" w:firstColumn="1" w:lastColumn="0" w:noHBand="0" w:noVBand="1"/>
    </w:tblPr>
    <w:tblGrid>
      <w:gridCol w:w="5493"/>
      <w:gridCol w:w="4254"/>
    </w:tblGrid>
    <w:tr w:rsidR="00C6027E" w:rsidRPr="006E208C" w:rsidTr="0091018A">
      <w:tc>
        <w:tcPr>
          <w:tcW w:w="5493" w:type="dxa"/>
        </w:tcPr>
        <w:p w:rsidR="00C6027E" w:rsidRDefault="00C6027E" w:rsidP="0091018A">
          <w:r>
            <w:rPr>
              <w:noProof/>
              <w:lang w:eastAsia="en-GB"/>
            </w:rPr>
            <w:drawing>
              <wp:anchor distT="0" distB="0" distL="114300" distR="114300" simplePos="0" relativeHeight="251659264" behindDoc="0" locked="0" layoutInCell="1" allowOverlap="1" wp14:anchorId="0954A65F" wp14:editId="0F7F3D3E">
                <wp:simplePos x="0" y="0"/>
                <wp:positionH relativeFrom="column">
                  <wp:posOffset>209550</wp:posOffset>
                </wp:positionH>
                <wp:positionV relativeFrom="paragraph">
                  <wp:posOffset>114300</wp:posOffset>
                </wp:positionV>
                <wp:extent cx="2990850" cy="869950"/>
                <wp:effectExtent l="25400" t="0" r="6350" b="0"/>
                <wp:wrapNone/>
                <wp:docPr id="1" name="Picture 1" descr="SB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H_logo.jpg"/>
                        <pic:cNvPicPr/>
                      </pic:nvPicPr>
                      <pic:blipFill>
                        <a:blip r:embed="rId1"/>
                        <a:stretch>
                          <a:fillRect/>
                        </a:stretch>
                      </pic:blipFill>
                      <pic:spPr>
                        <a:xfrm>
                          <a:off x="0" y="0"/>
                          <a:ext cx="2990850" cy="869950"/>
                        </a:xfrm>
                        <a:prstGeom prst="rect">
                          <a:avLst/>
                        </a:prstGeom>
                      </pic:spPr>
                    </pic:pic>
                  </a:graphicData>
                </a:graphic>
              </wp:anchor>
            </w:drawing>
          </w:r>
        </w:p>
      </w:tc>
      <w:tc>
        <w:tcPr>
          <w:tcW w:w="4254" w:type="dxa"/>
        </w:tcPr>
        <w:p w:rsidR="00C6027E" w:rsidRDefault="00C6027E" w:rsidP="0091018A">
          <w:pPr>
            <w:pStyle w:val="ContactInformation"/>
          </w:pPr>
        </w:p>
        <w:p w:rsidR="00C6027E" w:rsidRPr="006E208C" w:rsidRDefault="00C6027E" w:rsidP="0091018A">
          <w:pPr>
            <w:pStyle w:val="ContactInformation"/>
            <w:rPr>
              <w:color w:val="0E254D"/>
              <w:lang w:val="fr-BE"/>
            </w:rPr>
          </w:pPr>
          <w:r w:rsidRPr="006E208C">
            <w:rPr>
              <w:color w:val="0E254D"/>
              <w:lang w:val="fr-BE"/>
            </w:rPr>
            <w:t>IFSBH</w:t>
          </w:r>
        </w:p>
        <w:p w:rsidR="00C6027E" w:rsidRPr="006E208C" w:rsidRDefault="00C6027E" w:rsidP="0091018A">
          <w:pPr>
            <w:pStyle w:val="ContactInformation"/>
            <w:rPr>
              <w:color w:val="0E254D"/>
              <w:lang w:val="fr-BE"/>
            </w:rPr>
          </w:pPr>
          <w:r w:rsidRPr="006E208C">
            <w:rPr>
              <w:color w:val="0E254D"/>
              <w:lang w:val="fr-BE"/>
            </w:rPr>
            <w:t xml:space="preserve">16 rue des </w:t>
          </w:r>
          <w:proofErr w:type="spellStart"/>
          <w:r w:rsidRPr="006E208C">
            <w:rPr>
              <w:color w:val="0E254D"/>
              <w:lang w:val="fr-BE"/>
            </w:rPr>
            <w:t>Alexiens</w:t>
          </w:r>
          <w:proofErr w:type="spellEnd"/>
          <w:r w:rsidRPr="006E208C">
            <w:rPr>
              <w:color w:val="0E254D"/>
              <w:lang w:val="fr-BE"/>
            </w:rPr>
            <w:br/>
            <w:t xml:space="preserve">1000 Brussels, </w:t>
          </w:r>
          <w:proofErr w:type="spellStart"/>
          <w:r w:rsidRPr="006E208C">
            <w:rPr>
              <w:color w:val="0E254D"/>
              <w:lang w:val="fr-BE"/>
            </w:rPr>
            <w:t>Belgium</w:t>
          </w:r>
          <w:proofErr w:type="spellEnd"/>
          <w:r w:rsidRPr="006E208C">
            <w:rPr>
              <w:color w:val="0E254D"/>
              <w:lang w:val="fr-BE"/>
            </w:rPr>
            <w:t xml:space="preserve">  </w:t>
          </w:r>
          <w:r w:rsidRPr="006E208C">
            <w:rPr>
              <w:color w:val="0E254D"/>
              <w:lang w:val="fr-BE"/>
            </w:rPr>
            <w:br/>
            <w:t xml:space="preserve">T: +32 (0)2 502 0413  </w:t>
          </w:r>
          <w:r w:rsidRPr="006E208C">
            <w:rPr>
              <w:color w:val="0E254D"/>
              <w:lang w:val="fr-BE"/>
            </w:rPr>
            <w:br/>
            <w:t xml:space="preserve">E: </w:t>
          </w:r>
          <w:hyperlink r:id="rId2" w:history="1">
            <w:r w:rsidRPr="006E208C">
              <w:rPr>
                <w:rStyle w:val="Hyperlink"/>
                <w:color w:val="0E254D"/>
                <w:lang w:val="fr-BE"/>
              </w:rPr>
              <w:t>info@ifglobal.org</w:t>
            </w:r>
          </w:hyperlink>
          <w:r w:rsidRPr="006E208C">
            <w:rPr>
              <w:color w:val="0E254D"/>
              <w:lang w:val="fr-BE"/>
            </w:rPr>
            <w:t xml:space="preserve">  W: </w:t>
          </w:r>
          <w:hyperlink r:id="rId3" w:history="1">
            <w:r w:rsidRPr="006E208C">
              <w:rPr>
                <w:rStyle w:val="Hyperlink"/>
                <w:color w:val="0E254D"/>
                <w:lang w:val="fr-BE"/>
              </w:rPr>
              <w:t>www.ifglobal.org</w:t>
            </w:r>
          </w:hyperlink>
          <w:r w:rsidRPr="006E208C">
            <w:rPr>
              <w:color w:val="0E254D"/>
              <w:lang w:val="fr-BE"/>
            </w:rPr>
            <w:t xml:space="preserve"> </w:t>
          </w:r>
        </w:p>
        <w:p w:rsidR="00C6027E" w:rsidRPr="006E208C" w:rsidRDefault="00C6027E" w:rsidP="0091018A">
          <w:pPr>
            <w:pStyle w:val="ContactInformation"/>
            <w:jc w:val="left"/>
            <w:rPr>
              <w:lang w:val="fr-BE"/>
            </w:rPr>
          </w:pPr>
        </w:p>
      </w:tc>
    </w:tr>
  </w:tbl>
  <w:p w:rsidR="00C6027E" w:rsidRPr="00C6027E" w:rsidRDefault="00C6027E">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288"/>
    <w:multiLevelType w:val="hybridMultilevel"/>
    <w:tmpl w:val="0AD04474"/>
    <w:lvl w:ilvl="0" w:tplc="DC62230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838D9"/>
    <w:multiLevelType w:val="hybridMultilevel"/>
    <w:tmpl w:val="406AB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085DD4"/>
    <w:multiLevelType w:val="hybridMultilevel"/>
    <w:tmpl w:val="CE78726A"/>
    <w:lvl w:ilvl="0" w:tplc="0CFA2904">
      <w:start w:val="1"/>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05204A"/>
    <w:multiLevelType w:val="hybridMultilevel"/>
    <w:tmpl w:val="7576D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Moravcova">
    <w15:presenceInfo w15:providerId="Windows Live" w15:userId="90f9a24326ca3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3"/>
    <w:rsid w:val="00032EA9"/>
    <w:rsid w:val="00055DD8"/>
    <w:rsid w:val="00081739"/>
    <w:rsid w:val="000B0DAE"/>
    <w:rsid w:val="001170AA"/>
    <w:rsid w:val="00137C75"/>
    <w:rsid w:val="00151CF0"/>
    <w:rsid w:val="00167BB0"/>
    <w:rsid w:val="001D627B"/>
    <w:rsid w:val="001F1636"/>
    <w:rsid w:val="00265F4B"/>
    <w:rsid w:val="00266F2D"/>
    <w:rsid w:val="002B3ABF"/>
    <w:rsid w:val="002E17F6"/>
    <w:rsid w:val="00310078"/>
    <w:rsid w:val="003130A3"/>
    <w:rsid w:val="00330902"/>
    <w:rsid w:val="00336850"/>
    <w:rsid w:val="00363325"/>
    <w:rsid w:val="00370058"/>
    <w:rsid w:val="003721E6"/>
    <w:rsid w:val="00391A89"/>
    <w:rsid w:val="00444ACD"/>
    <w:rsid w:val="004A42AC"/>
    <w:rsid w:val="004B0667"/>
    <w:rsid w:val="004B665D"/>
    <w:rsid w:val="004E1A68"/>
    <w:rsid w:val="005052F9"/>
    <w:rsid w:val="00507C89"/>
    <w:rsid w:val="00517593"/>
    <w:rsid w:val="00520A7A"/>
    <w:rsid w:val="00562E3D"/>
    <w:rsid w:val="0059529B"/>
    <w:rsid w:val="00597358"/>
    <w:rsid w:val="005A4015"/>
    <w:rsid w:val="005D573F"/>
    <w:rsid w:val="006616AA"/>
    <w:rsid w:val="0067014E"/>
    <w:rsid w:val="00680ADC"/>
    <w:rsid w:val="006A7D98"/>
    <w:rsid w:val="006C3AC2"/>
    <w:rsid w:val="006D44A4"/>
    <w:rsid w:val="006E15AA"/>
    <w:rsid w:val="0071510D"/>
    <w:rsid w:val="007433F6"/>
    <w:rsid w:val="007550E9"/>
    <w:rsid w:val="007723B4"/>
    <w:rsid w:val="00783443"/>
    <w:rsid w:val="007A0207"/>
    <w:rsid w:val="007B4516"/>
    <w:rsid w:val="007C0563"/>
    <w:rsid w:val="007D6B8C"/>
    <w:rsid w:val="007E322E"/>
    <w:rsid w:val="007F244F"/>
    <w:rsid w:val="007F2FB8"/>
    <w:rsid w:val="008003A1"/>
    <w:rsid w:val="00804BDB"/>
    <w:rsid w:val="00813C7A"/>
    <w:rsid w:val="00864AC5"/>
    <w:rsid w:val="008B1983"/>
    <w:rsid w:val="0094262C"/>
    <w:rsid w:val="00943CA5"/>
    <w:rsid w:val="009843B9"/>
    <w:rsid w:val="00A0345A"/>
    <w:rsid w:val="00A369F3"/>
    <w:rsid w:val="00A77661"/>
    <w:rsid w:val="00AB3C6F"/>
    <w:rsid w:val="00B1287C"/>
    <w:rsid w:val="00B44D09"/>
    <w:rsid w:val="00BA2D33"/>
    <w:rsid w:val="00C001D6"/>
    <w:rsid w:val="00C00361"/>
    <w:rsid w:val="00C17D58"/>
    <w:rsid w:val="00C316C1"/>
    <w:rsid w:val="00C34C29"/>
    <w:rsid w:val="00C51287"/>
    <w:rsid w:val="00C6027E"/>
    <w:rsid w:val="00C63F6E"/>
    <w:rsid w:val="00C938E6"/>
    <w:rsid w:val="00CA0345"/>
    <w:rsid w:val="00CC1609"/>
    <w:rsid w:val="00CD0D34"/>
    <w:rsid w:val="00CE2534"/>
    <w:rsid w:val="00D11A9D"/>
    <w:rsid w:val="00D23CC5"/>
    <w:rsid w:val="00D56869"/>
    <w:rsid w:val="00D73DBE"/>
    <w:rsid w:val="00D91CDE"/>
    <w:rsid w:val="00DA4000"/>
    <w:rsid w:val="00DD16DF"/>
    <w:rsid w:val="00E25AF3"/>
    <w:rsid w:val="00E54EA8"/>
    <w:rsid w:val="00E613B5"/>
    <w:rsid w:val="00ED284D"/>
    <w:rsid w:val="00EE3214"/>
    <w:rsid w:val="00EE3368"/>
    <w:rsid w:val="00F363DB"/>
    <w:rsid w:val="00F5212B"/>
    <w:rsid w:val="00F70043"/>
    <w:rsid w:val="00F70CDB"/>
    <w:rsid w:val="00F811AA"/>
    <w:rsid w:val="00FA55CD"/>
    <w:rsid w:val="00FA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93"/>
    <w:pPr>
      <w:ind w:left="720"/>
      <w:contextualSpacing/>
    </w:pPr>
  </w:style>
  <w:style w:type="character" w:styleId="CommentReference">
    <w:name w:val="annotation reference"/>
    <w:basedOn w:val="DefaultParagraphFont"/>
    <w:uiPriority w:val="99"/>
    <w:semiHidden/>
    <w:unhideWhenUsed/>
    <w:rsid w:val="005A4015"/>
    <w:rPr>
      <w:sz w:val="16"/>
      <w:szCs w:val="16"/>
    </w:rPr>
  </w:style>
  <w:style w:type="paragraph" w:styleId="CommentText">
    <w:name w:val="annotation text"/>
    <w:basedOn w:val="Normal"/>
    <w:link w:val="CommentTextChar"/>
    <w:uiPriority w:val="99"/>
    <w:semiHidden/>
    <w:unhideWhenUsed/>
    <w:rsid w:val="005A4015"/>
    <w:pPr>
      <w:spacing w:line="240" w:lineRule="auto"/>
    </w:pPr>
    <w:rPr>
      <w:sz w:val="20"/>
      <w:szCs w:val="20"/>
    </w:rPr>
  </w:style>
  <w:style w:type="character" w:customStyle="1" w:styleId="CommentTextChar">
    <w:name w:val="Comment Text Char"/>
    <w:basedOn w:val="DefaultParagraphFont"/>
    <w:link w:val="CommentText"/>
    <w:uiPriority w:val="99"/>
    <w:semiHidden/>
    <w:rsid w:val="005A4015"/>
    <w:rPr>
      <w:sz w:val="20"/>
      <w:szCs w:val="20"/>
    </w:rPr>
  </w:style>
  <w:style w:type="paragraph" w:styleId="CommentSubject">
    <w:name w:val="annotation subject"/>
    <w:basedOn w:val="CommentText"/>
    <w:next w:val="CommentText"/>
    <w:link w:val="CommentSubjectChar"/>
    <w:uiPriority w:val="99"/>
    <w:semiHidden/>
    <w:unhideWhenUsed/>
    <w:rsid w:val="005A4015"/>
    <w:rPr>
      <w:b/>
      <w:bCs/>
    </w:rPr>
  </w:style>
  <w:style w:type="character" w:customStyle="1" w:styleId="CommentSubjectChar">
    <w:name w:val="Comment Subject Char"/>
    <w:basedOn w:val="CommentTextChar"/>
    <w:link w:val="CommentSubject"/>
    <w:uiPriority w:val="99"/>
    <w:semiHidden/>
    <w:rsid w:val="005A4015"/>
    <w:rPr>
      <w:b/>
      <w:bCs/>
      <w:sz w:val="20"/>
      <w:szCs w:val="20"/>
    </w:rPr>
  </w:style>
  <w:style w:type="paragraph" w:styleId="BalloonText">
    <w:name w:val="Balloon Text"/>
    <w:basedOn w:val="Normal"/>
    <w:link w:val="BalloonTextChar"/>
    <w:uiPriority w:val="99"/>
    <w:semiHidden/>
    <w:unhideWhenUsed/>
    <w:rsid w:val="005A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15"/>
    <w:rPr>
      <w:rFonts w:ascii="Tahoma" w:hAnsi="Tahoma" w:cs="Tahoma"/>
      <w:sz w:val="16"/>
      <w:szCs w:val="16"/>
    </w:rPr>
  </w:style>
  <w:style w:type="paragraph" w:styleId="FootnoteText">
    <w:name w:val="footnote text"/>
    <w:basedOn w:val="Normal"/>
    <w:link w:val="FootnoteTextChar"/>
    <w:uiPriority w:val="99"/>
    <w:semiHidden/>
    <w:unhideWhenUsed/>
    <w:rsid w:val="005A4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15"/>
    <w:rPr>
      <w:sz w:val="20"/>
      <w:szCs w:val="20"/>
    </w:rPr>
  </w:style>
  <w:style w:type="character" w:styleId="FootnoteReference">
    <w:name w:val="footnote reference"/>
    <w:basedOn w:val="DefaultParagraphFont"/>
    <w:uiPriority w:val="99"/>
    <w:semiHidden/>
    <w:unhideWhenUsed/>
    <w:rsid w:val="005A4015"/>
    <w:rPr>
      <w:vertAlign w:val="superscript"/>
    </w:rPr>
  </w:style>
  <w:style w:type="character" w:styleId="Hyperlink">
    <w:name w:val="Hyperlink"/>
    <w:basedOn w:val="DefaultParagraphFont"/>
    <w:uiPriority w:val="99"/>
    <w:unhideWhenUsed/>
    <w:rsid w:val="00C938E6"/>
    <w:rPr>
      <w:color w:val="0000FF" w:themeColor="hyperlink"/>
      <w:u w:val="single"/>
    </w:rPr>
  </w:style>
  <w:style w:type="character" w:customStyle="1" w:styleId="apple-converted-space">
    <w:name w:val="apple-converted-space"/>
    <w:basedOn w:val="DefaultParagraphFont"/>
    <w:rsid w:val="004A42AC"/>
  </w:style>
  <w:style w:type="paragraph" w:styleId="Header">
    <w:name w:val="header"/>
    <w:basedOn w:val="Normal"/>
    <w:link w:val="HeaderChar"/>
    <w:uiPriority w:val="99"/>
    <w:unhideWhenUsed/>
    <w:rsid w:val="00C00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61"/>
  </w:style>
  <w:style w:type="paragraph" w:styleId="Footer">
    <w:name w:val="footer"/>
    <w:basedOn w:val="Normal"/>
    <w:link w:val="FooterChar"/>
    <w:uiPriority w:val="99"/>
    <w:unhideWhenUsed/>
    <w:rsid w:val="00C00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61"/>
  </w:style>
  <w:style w:type="character" w:styleId="FollowedHyperlink">
    <w:name w:val="FollowedHyperlink"/>
    <w:basedOn w:val="DefaultParagraphFont"/>
    <w:uiPriority w:val="99"/>
    <w:semiHidden/>
    <w:unhideWhenUsed/>
    <w:rsid w:val="00CC1609"/>
    <w:rPr>
      <w:color w:val="800080" w:themeColor="followedHyperlink"/>
      <w:u w:val="single"/>
    </w:rPr>
  </w:style>
  <w:style w:type="paragraph" w:styleId="NormalWeb">
    <w:name w:val="Normal (Web)"/>
    <w:basedOn w:val="Normal"/>
    <w:uiPriority w:val="99"/>
    <w:semiHidden/>
    <w:unhideWhenUsed/>
    <w:rsid w:val="00032E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rmation">
    <w:name w:val="Contact Information"/>
    <w:basedOn w:val="Normal"/>
    <w:rsid w:val="00C6027E"/>
    <w:pPr>
      <w:spacing w:before="40" w:after="0" w:line="220" w:lineRule="atLeast"/>
      <w:jc w:val="right"/>
    </w:pPr>
    <w:rPr>
      <w:rFonts w:eastAsiaTheme="minorEastAsia"/>
      <w:color w:val="EEECE1" w:themeColor="background2"/>
      <w:sz w:val="16"/>
      <w:lang w:val="en-US"/>
    </w:rPr>
  </w:style>
  <w:style w:type="paragraph" w:styleId="NoSpacing">
    <w:name w:val="No Spacing"/>
    <w:uiPriority w:val="1"/>
    <w:qFormat/>
    <w:rsid w:val="00C17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93"/>
    <w:pPr>
      <w:ind w:left="720"/>
      <w:contextualSpacing/>
    </w:pPr>
  </w:style>
  <w:style w:type="character" w:styleId="CommentReference">
    <w:name w:val="annotation reference"/>
    <w:basedOn w:val="DefaultParagraphFont"/>
    <w:uiPriority w:val="99"/>
    <w:semiHidden/>
    <w:unhideWhenUsed/>
    <w:rsid w:val="005A4015"/>
    <w:rPr>
      <w:sz w:val="16"/>
      <w:szCs w:val="16"/>
    </w:rPr>
  </w:style>
  <w:style w:type="paragraph" w:styleId="CommentText">
    <w:name w:val="annotation text"/>
    <w:basedOn w:val="Normal"/>
    <w:link w:val="CommentTextChar"/>
    <w:uiPriority w:val="99"/>
    <w:semiHidden/>
    <w:unhideWhenUsed/>
    <w:rsid w:val="005A4015"/>
    <w:pPr>
      <w:spacing w:line="240" w:lineRule="auto"/>
    </w:pPr>
    <w:rPr>
      <w:sz w:val="20"/>
      <w:szCs w:val="20"/>
    </w:rPr>
  </w:style>
  <w:style w:type="character" w:customStyle="1" w:styleId="CommentTextChar">
    <w:name w:val="Comment Text Char"/>
    <w:basedOn w:val="DefaultParagraphFont"/>
    <w:link w:val="CommentText"/>
    <w:uiPriority w:val="99"/>
    <w:semiHidden/>
    <w:rsid w:val="005A4015"/>
    <w:rPr>
      <w:sz w:val="20"/>
      <w:szCs w:val="20"/>
    </w:rPr>
  </w:style>
  <w:style w:type="paragraph" w:styleId="CommentSubject">
    <w:name w:val="annotation subject"/>
    <w:basedOn w:val="CommentText"/>
    <w:next w:val="CommentText"/>
    <w:link w:val="CommentSubjectChar"/>
    <w:uiPriority w:val="99"/>
    <w:semiHidden/>
    <w:unhideWhenUsed/>
    <w:rsid w:val="005A4015"/>
    <w:rPr>
      <w:b/>
      <w:bCs/>
    </w:rPr>
  </w:style>
  <w:style w:type="character" w:customStyle="1" w:styleId="CommentSubjectChar">
    <w:name w:val="Comment Subject Char"/>
    <w:basedOn w:val="CommentTextChar"/>
    <w:link w:val="CommentSubject"/>
    <w:uiPriority w:val="99"/>
    <w:semiHidden/>
    <w:rsid w:val="005A4015"/>
    <w:rPr>
      <w:b/>
      <w:bCs/>
      <w:sz w:val="20"/>
      <w:szCs w:val="20"/>
    </w:rPr>
  </w:style>
  <w:style w:type="paragraph" w:styleId="BalloonText">
    <w:name w:val="Balloon Text"/>
    <w:basedOn w:val="Normal"/>
    <w:link w:val="BalloonTextChar"/>
    <w:uiPriority w:val="99"/>
    <w:semiHidden/>
    <w:unhideWhenUsed/>
    <w:rsid w:val="005A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15"/>
    <w:rPr>
      <w:rFonts w:ascii="Tahoma" w:hAnsi="Tahoma" w:cs="Tahoma"/>
      <w:sz w:val="16"/>
      <w:szCs w:val="16"/>
    </w:rPr>
  </w:style>
  <w:style w:type="paragraph" w:styleId="FootnoteText">
    <w:name w:val="footnote text"/>
    <w:basedOn w:val="Normal"/>
    <w:link w:val="FootnoteTextChar"/>
    <w:uiPriority w:val="99"/>
    <w:semiHidden/>
    <w:unhideWhenUsed/>
    <w:rsid w:val="005A4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15"/>
    <w:rPr>
      <w:sz w:val="20"/>
      <w:szCs w:val="20"/>
    </w:rPr>
  </w:style>
  <w:style w:type="character" w:styleId="FootnoteReference">
    <w:name w:val="footnote reference"/>
    <w:basedOn w:val="DefaultParagraphFont"/>
    <w:uiPriority w:val="99"/>
    <w:semiHidden/>
    <w:unhideWhenUsed/>
    <w:rsid w:val="005A4015"/>
    <w:rPr>
      <w:vertAlign w:val="superscript"/>
    </w:rPr>
  </w:style>
  <w:style w:type="character" w:styleId="Hyperlink">
    <w:name w:val="Hyperlink"/>
    <w:basedOn w:val="DefaultParagraphFont"/>
    <w:uiPriority w:val="99"/>
    <w:unhideWhenUsed/>
    <w:rsid w:val="00C938E6"/>
    <w:rPr>
      <w:color w:val="0000FF" w:themeColor="hyperlink"/>
      <w:u w:val="single"/>
    </w:rPr>
  </w:style>
  <w:style w:type="character" w:customStyle="1" w:styleId="apple-converted-space">
    <w:name w:val="apple-converted-space"/>
    <w:basedOn w:val="DefaultParagraphFont"/>
    <w:rsid w:val="004A42AC"/>
  </w:style>
  <w:style w:type="paragraph" w:styleId="Header">
    <w:name w:val="header"/>
    <w:basedOn w:val="Normal"/>
    <w:link w:val="HeaderChar"/>
    <w:uiPriority w:val="99"/>
    <w:unhideWhenUsed/>
    <w:rsid w:val="00C00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61"/>
  </w:style>
  <w:style w:type="paragraph" w:styleId="Footer">
    <w:name w:val="footer"/>
    <w:basedOn w:val="Normal"/>
    <w:link w:val="FooterChar"/>
    <w:uiPriority w:val="99"/>
    <w:unhideWhenUsed/>
    <w:rsid w:val="00C00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61"/>
  </w:style>
  <w:style w:type="character" w:styleId="FollowedHyperlink">
    <w:name w:val="FollowedHyperlink"/>
    <w:basedOn w:val="DefaultParagraphFont"/>
    <w:uiPriority w:val="99"/>
    <w:semiHidden/>
    <w:unhideWhenUsed/>
    <w:rsid w:val="00CC1609"/>
    <w:rPr>
      <w:color w:val="800080" w:themeColor="followedHyperlink"/>
      <w:u w:val="single"/>
    </w:rPr>
  </w:style>
  <w:style w:type="paragraph" w:styleId="NormalWeb">
    <w:name w:val="Normal (Web)"/>
    <w:basedOn w:val="Normal"/>
    <w:uiPriority w:val="99"/>
    <w:semiHidden/>
    <w:unhideWhenUsed/>
    <w:rsid w:val="00032E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rmation">
    <w:name w:val="Contact Information"/>
    <w:basedOn w:val="Normal"/>
    <w:rsid w:val="00C6027E"/>
    <w:pPr>
      <w:spacing w:before="40" w:after="0" w:line="220" w:lineRule="atLeast"/>
      <w:jc w:val="right"/>
    </w:pPr>
    <w:rPr>
      <w:rFonts w:eastAsiaTheme="minorEastAsia"/>
      <w:color w:val="EEECE1" w:themeColor="background2"/>
      <w:sz w:val="16"/>
      <w:lang w:val="en-US"/>
    </w:rPr>
  </w:style>
  <w:style w:type="paragraph" w:styleId="NoSpacing">
    <w:name w:val="No Spacing"/>
    <w:uiPriority w:val="1"/>
    <w:qFormat/>
    <w:rsid w:val="00C1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1904">
      <w:bodyDiv w:val="1"/>
      <w:marLeft w:val="0"/>
      <w:marRight w:val="0"/>
      <w:marTop w:val="0"/>
      <w:marBottom w:val="0"/>
      <w:divBdr>
        <w:top w:val="none" w:sz="0" w:space="0" w:color="auto"/>
        <w:left w:val="none" w:sz="0" w:space="0" w:color="auto"/>
        <w:bottom w:val="none" w:sz="0" w:space="0" w:color="auto"/>
        <w:right w:val="none" w:sz="0" w:space="0" w:color="auto"/>
      </w:divBdr>
    </w:div>
    <w:div w:id="14929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ld-help.international/our-projects/keny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ild-help.international/what-we-do/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hi.ie/peer_suppor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ollandbloorview.ca/programsandservices/programsservicesaz/growingupready"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fglobal.org" TargetMode="External"/><Relationship Id="rId14" Type="http://schemas.openxmlformats.org/officeDocument/2006/relationships/hyperlink" Target="https://www.spinabifida.be/"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ifgoodpractices.org/norwa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fglobal.org" TargetMode="External"/><Relationship Id="rId2" Type="http://schemas.openxmlformats.org/officeDocument/2006/relationships/hyperlink" Target="mailto:info@ifgloba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A739C-5AE0-4368-9923-A653824B7818}"/>
</file>

<file path=customXml/itemProps2.xml><?xml version="1.0" encoding="utf-8"?>
<ds:datastoreItem xmlns:ds="http://schemas.openxmlformats.org/officeDocument/2006/customXml" ds:itemID="{4E3258F2-A34F-4B7F-BD84-3F4AD418422A}"/>
</file>

<file path=customXml/itemProps3.xml><?xml version="1.0" encoding="utf-8"?>
<ds:datastoreItem xmlns:ds="http://schemas.openxmlformats.org/officeDocument/2006/customXml" ds:itemID="{29A70324-177B-4D49-9265-F2AD871168A9}"/>
</file>

<file path=customXml/itemProps4.xml><?xml version="1.0" encoding="utf-8"?>
<ds:datastoreItem xmlns:ds="http://schemas.openxmlformats.org/officeDocument/2006/customXml" ds:itemID="{012D399A-B918-4668-AB83-2D941360C97F}"/>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Arsenjeva</dc:creator>
  <cp:lastModifiedBy>Alina Grigoras</cp:lastModifiedBy>
  <cp:revision>2</cp:revision>
  <cp:lastPrinted>2016-10-17T11:06:00Z</cp:lastPrinted>
  <dcterms:created xsi:type="dcterms:W3CDTF">2016-11-01T15:04:00Z</dcterms:created>
  <dcterms:modified xsi:type="dcterms:W3CDTF">2016-11-01T15:04:00Z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