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655DAC" w:rsidP="00655DAC">
            <w:pPr>
              <w:suppressAutoHyphens w:val="0"/>
              <w:spacing w:after="20"/>
              <w:jc w:val="right"/>
            </w:pPr>
            <w:r w:rsidRPr="00655DAC">
              <w:rPr>
                <w:sz w:val="40"/>
              </w:rPr>
              <w:t>A</w:t>
            </w:r>
            <w:r>
              <w:t>/HRC/WGAD/2017/20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A67F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655DAC" w:rsidP="00655DAC">
            <w:pPr>
              <w:suppressAutoHyphens w:val="0"/>
              <w:spacing w:before="240" w:line="240" w:lineRule="exact"/>
            </w:pPr>
            <w:r>
              <w:t>Distr.: General</w:t>
            </w:r>
          </w:p>
          <w:p w:rsidR="00655DAC" w:rsidRDefault="00484E40" w:rsidP="00655DAC">
            <w:pPr>
              <w:suppressAutoHyphens w:val="0"/>
            </w:pPr>
            <w:r>
              <w:t>18</w:t>
            </w:r>
            <w:r w:rsidR="00655DAC">
              <w:t xml:space="preserve"> July 2017</w:t>
            </w:r>
          </w:p>
          <w:p w:rsidR="00655DAC" w:rsidRDefault="00655DAC" w:rsidP="00655DAC">
            <w:pPr>
              <w:suppressAutoHyphens w:val="0"/>
            </w:pPr>
          </w:p>
          <w:p w:rsidR="00655DAC" w:rsidRDefault="00655DAC" w:rsidP="00655DAC">
            <w:pPr>
              <w:suppressAutoHyphens w:val="0"/>
            </w:pPr>
            <w:r>
              <w:t>Original: English</w:t>
            </w:r>
          </w:p>
        </w:tc>
      </w:tr>
    </w:tbl>
    <w:p w:rsidR="007A71D1" w:rsidRPr="00AC5D9B" w:rsidRDefault="007A71D1">
      <w:pPr>
        <w:spacing w:before="120"/>
        <w:rPr>
          <w:b/>
          <w:sz w:val="24"/>
          <w:szCs w:val="24"/>
        </w:rPr>
      </w:pPr>
      <w:r>
        <w:rPr>
          <w:b/>
          <w:sz w:val="24"/>
          <w:szCs w:val="24"/>
        </w:rPr>
        <w:t>Human Rights Council</w:t>
      </w:r>
    </w:p>
    <w:p w:rsidR="007A71D1" w:rsidRPr="007A71D1" w:rsidRDefault="007A71D1" w:rsidP="007A71D1">
      <w:pPr>
        <w:rPr>
          <w:b/>
        </w:rPr>
      </w:pPr>
      <w:r w:rsidRPr="007A71D1">
        <w:rPr>
          <w:b/>
        </w:rPr>
        <w:t>Working Group on Arbitrary Detention</w:t>
      </w:r>
    </w:p>
    <w:p w:rsidR="007A71D1" w:rsidRPr="007B27C3" w:rsidRDefault="007A71D1" w:rsidP="00F45A85">
      <w:pPr>
        <w:pStyle w:val="HChG"/>
      </w:pPr>
      <w:r w:rsidRPr="007B27C3">
        <w:tab/>
      </w:r>
      <w:r w:rsidRPr="007B27C3">
        <w:tab/>
        <w:t>Opinions adopted by the Working Group on Arbitrary Detention at its seventy-eighth session, 19-28 April 2017</w:t>
      </w:r>
    </w:p>
    <w:p w:rsidR="007A71D1" w:rsidRPr="007B27C3" w:rsidRDefault="007A71D1" w:rsidP="00F45A85">
      <w:pPr>
        <w:pStyle w:val="H1G"/>
      </w:pPr>
      <w:r w:rsidRPr="007B27C3">
        <w:tab/>
      </w:r>
      <w:r w:rsidRPr="007B27C3">
        <w:tab/>
        <w:t>Opinion No. 20/</w:t>
      </w:r>
      <w:r w:rsidRPr="007B27C3">
        <w:rPr>
          <w:rFonts w:hint="eastAsia"/>
        </w:rPr>
        <w:t xml:space="preserve">2017 </w:t>
      </w:r>
      <w:r w:rsidRPr="007B27C3">
        <w:t>concerning</w:t>
      </w:r>
      <w:r w:rsidRPr="007B27C3">
        <w:rPr>
          <w:rFonts w:hint="eastAsia"/>
        </w:rPr>
        <w:t xml:space="preserve"> </w:t>
      </w:r>
      <w:r w:rsidRPr="007B27C3">
        <w:t>Musallam Mohamed Hamad al-</w:t>
      </w:r>
      <w:proofErr w:type="spellStart"/>
      <w:r w:rsidRPr="007B27C3">
        <w:t>Barrak</w:t>
      </w:r>
      <w:proofErr w:type="spellEnd"/>
      <w:r w:rsidRPr="007B27C3">
        <w:t xml:space="preserve"> (Kuwait)</w:t>
      </w:r>
    </w:p>
    <w:p w:rsidR="007A71D1" w:rsidRPr="007B27C3" w:rsidRDefault="007A71D1" w:rsidP="007A71D1">
      <w:pPr>
        <w:pStyle w:val="SingleTxtG"/>
      </w:pPr>
      <w:r w:rsidRPr="007B27C3">
        <w:t>1.</w:t>
      </w:r>
      <w:r w:rsidRPr="007B27C3">
        <w:tab/>
        <w:t>The Working Group on Arbitrary Detention was established in resolution 1991/42 of the Commission on Human Rights, which extended and clarified the Working Group</w:t>
      </w:r>
      <w:r w:rsidR="00E858CE">
        <w:t>’</w:t>
      </w:r>
      <w:r w:rsidRPr="007B27C3">
        <w:t>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rsidR="007A71D1" w:rsidRPr="007B27C3" w:rsidRDefault="007A71D1" w:rsidP="007A71D1">
      <w:pPr>
        <w:pStyle w:val="SingleTxtG"/>
      </w:pPr>
      <w:r w:rsidRPr="007B27C3">
        <w:t>2.</w:t>
      </w:r>
      <w:r w:rsidRPr="007B27C3">
        <w:tab/>
        <w:t>In accordance with its methods of work (A/HRC/3</w:t>
      </w:r>
      <w:r w:rsidRPr="007B27C3">
        <w:rPr>
          <w:rFonts w:hint="eastAsia"/>
        </w:rPr>
        <w:t>3</w:t>
      </w:r>
      <w:r w:rsidRPr="007B27C3">
        <w:t>/6</w:t>
      </w:r>
      <w:r w:rsidRPr="007B27C3">
        <w:rPr>
          <w:rFonts w:hint="eastAsia"/>
        </w:rPr>
        <w:t>6</w:t>
      </w:r>
      <w:r w:rsidRPr="007B27C3">
        <w:t>), on</w:t>
      </w:r>
      <w:r w:rsidRPr="007B27C3">
        <w:rPr>
          <w:rFonts w:hint="eastAsia"/>
        </w:rPr>
        <w:t xml:space="preserve"> </w:t>
      </w:r>
      <w:r w:rsidRPr="007B27C3">
        <w:t>24 June 2016 the Working Group transmitted a communication to the Government of</w:t>
      </w:r>
      <w:r w:rsidRPr="007B27C3">
        <w:rPr>
          <w:rFonts w:hint="eastAsia"/>
        </w:rPr>
        <w:t xml:space="preserve"> Kuwait</w:t>
      </w:r>
      <w:r w:rsidRPr="007B27C3">
        <w:t xml:space="preserve"> concerning Musallam Mohamed Hamad al-</w:t>
      </w:r>
      <w:proofErr w:type="spellStart"/>
      <w:r w:rsidRPr="007B27C3">
        <w:t>Barrak</w:t>
      </w:r>
      <w:proofErr w:type="spellEnd"/>
      <w:r w:rsidRPr="007B27C3">
        <w:t>. The Government replied to the communication on 16 and 19 August 2016. The State</w:t>
      </w:r>
      <w:r w:rsidRPr="007B27C3">
        <w:rPr>
          <w:rFonts w:hint="eastAsia"/>
        </w:rPr>
        <w:t xml:space="preserve"> is</w:t>
      </w:r>
      <w:r w:rsidRPr="007B27C3">
        <w:t xml:space="preserve"> a party to the International Covenant on Civil and Political Rights.</w:t>
      </w:r>
    </w:p>
    <w:p w:rsidR="007A71D1" w:rsidRPr="007B27C3" w:rsidRDefault="007A71D1" w:rsidP="007A71D1">
      <w:pPr>
        <w:pStyle w:val="SingleTxtG"/>
      </w:pPr>
      <w:r w:rsidRPr="007B27C3">
        <w:t>3.</w:t>
      </w:r>
      <w:r w:rsidRPr="007B27C3">
        <w:tab/>
        <w:t>The Working Group regards deprivation of liberty as arbitrary in the following cases:</w:t>
      </w:r>
    </w:p>
    <w:p w:rsidR="007A71D1" w:rsidRPr="007B27C3" w:rsidRDefault="007A71D1" w:rsidP="007A71D1">
      <w:pPr>
        <w:pStyle w:val="SingleTxtG"/>
      </w:pPr>
      <w:r w:rsidRPr="007B27C3">
        <w:tab/>
        <w:t>(a)</w:t>
      </w:r>
      <w:r w:rsidRPr="007B27C3">
        <w:tab/>
        <w:t>When it is clearly impossible to invoke any legal basis justifying the deprivation of liberty (as when a person is kept in detention after the completion of his or her sentence or despite an amnesty law applicable to him or her) (category I);</w:t>
      </w:r>
    </w:p>
    <w:p w:rsidR="007A71D1" w:rsidRPr="007B27C3" w:rsidRDefault="007A71D1" w:rsidP="007A71D1">
      <w:pPr>
        <w:pStyle w:val="SingleTxtG"/>
      </w:pPr>
      <w:r w:rsidRPr="007B27C3">
        <w:tab/>
        <w:t>(b)</w:t>
      </w:r>
      <w:r w:rsidRPr="007B27C3">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7A71D1" w:rsidRPr="007B27C3" w:rsidRDefault="007A71D1" w:rsidP="007A71D1">
      <w:pPr>
        <w:pStyle w:val="SingleTxtG"/>
      </w:pPr>
      <w:r w:rsidRPr="007B27C3">
        <w:tab/>
        <w:t>(c)</w:t>
      </w:r>
      <w:r w:rsidRPr="007B27C3">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7A71D1" w:rsidRPr="007B27C3" w:rsidRDefault="007A71D1" w:rsidP="007A71D1">
      <w:pPr>
        <w:pStyle w:val="SingleTxtG"/>
      </w:pPr>
      <w:r w:rsidRPr="007B27C3">
        <w:tab/>
        <w:t>(d)</w:t>
      </w:r>
      <w:r w:rsidRPr="007B27C3">
        <w:tab/>
        <w:t>When asylum seekers, immigrants or refugees are subjected to prolonged administrative custody without the possibility of administrative or judicial review or remedy (category IV);</w:t>
      </w:r>
    </w:p>
    <w:p w:rsidR="007A71D1" w:rsidRPr="007B27C3" w:rsidRDefault="007A71D1" w:rsidP="007A71D1">
      <w:pPr>
        <w:pStyle w:val="SingleTxtG"/>
      </w:pPr>
      <w:r w:rsidRPr="007B27C3">
        <w:tab/>
        <w:t>(e)</w:t>
      </w:r>
      <w:r w:rsidRPr="007B27C3">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7A71D1" w:rsidRPr="007B27C3" w:rsidRDefault="007A71D1" w:rsidP="00F45A85">
      <w:pPr>
        <w:pStyle w:val="H23G"/>
      </w:pPr>
      <w:r w:rsidRPr="007B27C3">
        <w:lastRenderedPageBreak/>
        <w:tab/>
      </w:r>
      <w:r w:rsidRPr="007B27C3">
        <w:tab/>
        <w:t>Submissions</w:t>
      </w:r>
    </w:p>
    <w:p w:rsidR="007A71D1" w:rsidRPr="007B27C3" w:rsidRDefault="007A71D1" w:rsidP="00F45A85">
      <w:pPr>
        <w:pStyle w:val="H4G"/>
      </w:pPr>
      <w:r w:rsidRPr="007B27C3">
        <w:tab/>
      </w:r>
      <w:r w:rsidRPr="007B27C3">
        <w:tab/>
        <w:t>Communication from the source</w:t>
      </w:r>
    </w:p>
    <w:p w:rsidR="007A71D1" w:rsidRPr="007B27C3" w:rsidRDefault="007A71D1" w:rsidP="007A71D1">
      <w:pPr>
        <w:pStyle w:val="SingleTxtG"/>
      </w:pPr>
      <w:r w:rsidRPr="007B27C3">
        <w:t>4.</w:t>
      </w:r>
      <w:r w:rsidRPr="007B27C3">
        <w:tab/>
        <w:t>Musallam Mohamed Hamad Al-</w:t>
      </w:r>
      <w:proofErr w:type="spellStart"/>
      <w:r w:rsidRPr="007B27C3">
        <w:t>Barrak</w:t>
      </w:r>
      <w:proofErr w:type="spellEnd"/>
      <w:r w:rsidRPr="007B27C3">
        <w:t>, born on 30 January 1956, is a citizen of Kuwait. He was a member of the Kuwaiti National Assembly from 1996 to 2012. Mr. Al-</w:t>
      </w:r>
      <w:proofErr w:type="spellStart"/>
      <w:r w:rsidRPr="007B27C3">
        <w:t>Barrak</w:t>
      </w:r>
      <w:proofErr w:type="spellEnd"/>
      <w:r w:rsidRPr="007B27C3">
        <w:t xml:space="preserve"> is a widely known and respected political figure from the opposition, who on many occasions has spoken out against the violations of civil and political rights committed by the Kuwaiti authorities. During his time as a parliamentarian, he publicly condemned the practice of torture committed by governmental forces.</w:t>
      </w:r>
    </w:p>
    <w:p w:rsidR="007A71D1" w:rsidRPr="007B27C3" w:rsidRDefault="007A71D1" w:rsidP="007A71D1">
      <w:pPr>
        <w:pStyle w:val="SingleTxtG"/>
      </w:pPr>
      <w:r w:rsidRPr="007B27C3">
        <w:t>5.</w:t>
      </w:r>
      <w:r w:rsidRPr="007B27C3">
        <w:tab/>
        <w:t>According to the information received, on 20 June 2012, the National Assembly of Kuwait was dissolved by a decision of the Constitutional Court in accordance with the orders of the Emir. The source claims that the dissolution of the National Assembly happened after the opposition to the existing Government, composed of the majority of elected members of parliament, including Mr. Al-</w:t>
      </w:r>
      <w:proofErr w:type="spellStart"/>
      <w:r w:rsidRPr="007B27C3">
        <w:t>Barrak</w:t>
      </w:r>
      <w:proofErr w:type="spellEnd"/>
      <w:r w:rsidRPr="007B27C3">
        <w:t xml:space="preserve">, called for new democratic reforms, following several corruption scandals, which reportedly involved individuals close to the Emir. </w:t>
      </w:r>
    </w:p>
    <w:p w:rsidR="007A71D1" w:rsidRPr="007B27C3" w:rsidRDefault="007A71D1" w:rsidP="007A71D1">
      <w:pPr>
        <w:pStyle w:val="SingleTxtG"/>
      </w:pPr>
      <w:r w:rsidRPr="007B27C3">
        <w:t>6.</w:t>
      </w:r>
      <w:r w:rsidRPr="007B27C3">
        <w:tab/>
        <w:t>The source claims that in this political context, Mr. Al-</w:t>
      </w:r>
      <w:proofErr w:type="spellStart"/>
      <w:r w:rsidRPr="007B27C3">
        <w:t>Barrak</w:t>
      </w:r>
      <w:proofErr w:type="spellEnd"/>
      <w:r w:rsidRPr="007B27C3">
        <w:t xml:space="preserve"> defended the human rights of all individuals subjected to arbitrary decisions, both within the National Assembly and in the media. As a parliamentarian, he marked his political life by courageously speaking up, without discrimination, for victims of human rights violations. Notably, in the institutional and public forums, he condemned the use of torture and asked for proper investigations and for those responsible to be held accountable.</w:t>
      </w:r>
    </w:p>
    <w:p w:rsidR="007A71D1" w:rsidRPr="007B27C3" w:rsidRDefault="007A71D1" w:rsidP="007A71D1">
      <w:pPr>
        <w:pStyle w:val="SingleTxtG"/>
      </w:pPr>
      <w:r w:rsidRPr="007B27C3">
        <w:t>7.</w:t>
      </w:r>
      <w:r w:rsidRPr="007B27C3">
        <w:tab/>
        <w:t>Reportedly, during a conference that took place at Al-</w:t>
      </w:r>
      <w:proofErr w:type="spellStart"/>
      <w:r w:rsidRPr="007B27C3">
        <w:t>Erada</w:t>
      </w:r>
      <w:proofErr w:type="spellEnd"/>
      <w:r w:rsidRPr="007B27C3">
        <w:t xml:space="preserve"> Square in October 2012, Mr. Al-</w:t>
      </w:r>
      <w:proofErr w:type="spellStart"/>
      <w:r w:rsidRPr="007B27C3">
        <w:t>Barrak</w:t>
      </w:r>
      <w:proofErr w:type="spellEnd"/>
      <w:r w:rsidRPr="007B27C3">
        <w:t xml:space="preserve"> delivered a speech criticizing the arbitrariness of the Emir</w:t>
      </w:r>
      <w:r w:rsidR="00E858CE">
        <w:t>’</w:t>
      </w:r>
      <w:r w:rsidRPr="007B27C3">
        <w:t>s policies and decisions, which had resulted in restrictions on political and civil rights, and denounced the effects of the new draconian electoral law reform.</w:t>
      </w:r>
    </w:p>
    <w:p w:rsidR="007A71D1" w:rsidRPr="007B27C3" w:rsidRDefault="007A71D1" w:rsidP="007A71D1">
      <w:pPr>
        <w:pStyle w:val="SingleTxtG"/>
      </w:pPr>
      <w:r w:rsidRPr="007B27C3">
        <w:t>8.</w:t>
      </w:r>
      <w:r w:rsidRPr="007B27C3">
        <w:tab/>
        <w:t>On 29 October 2012, as a direct consequence of his speech, Mr. Al-</w:t>
      </w:r>
      <w:proofErr w:type="spellStart"/>
      <w:r w:rsidRPr="007B27C3">
        <w:t>Barrak</w:t>
      </w:r>
      <w:proofErr w:type="spellEnd"/>
      <w:r w:rsidRPr="007B27C3">
        <w:t xml:space="preserve"> was arrested. While he was released on bail four days later, criminal proceedings against him continued. On 15 April 2013, he was found guilty of violating article 25 of Act No. 31 of 1970 amending various provisions of the Criminal Code, which prohibits any public expression that disrespects the Emir, challenges his rights or authority or commits lese-majesty, and thereby was sentenced to five years in prison by the court of first instance. However, he remained on bail pending his appeal.</w:t>
      </w:r>
    </w:p>
    <w:p w:rsidR="007A71D1" w:rsidRPr="007B27C3" w:rsidRDefault="007A71D1" w:rsidP="007A71D1">
      <w:pPr>
        <w:pStyle w:val="SingleTxtG"/>
      </w:pPr>
      <w:r w:rsidRPr="007B27C3">
        <w:t>9.</w:t>
      </w:r>
      <w:r w:rsidRPr="007B27C3">
        <w:tab/>
        <w:t>On 22 February 2015, the Court of Appeal upheld the decision, while reducing his sentence to two years</w:t>
      </w:r>
      <w:r w:rsidR="00E858CE">
        <w:t>’</w:t>
      </w:r>
      <w:r w:rsidRPr="007B27C3">
        <w:t xml:space="preserve"> imprisonment. On 1 March 2015, Mr. Al-</w:t>
      </w:r>
      <w:proofErr w:type="spellStart"/>
      <w:r w:rsidRPr="007B27C3">
        <w:t>Barrak</w:t>
      </w:r>
      <w:proofErr w:type="spellEnd"/>
      <w:r w:rsidRPr="007B27C3">
        <w:t xml:space="preserve"> was arrested by police officers carrying out the criminal court</w:t>
      </w:r>
      <w:r w:rsidR="00E858CE">
        <w:t>’</w:t>
      </w:r>
      <w:r w:rsidRPr="007B27C3">
        <w:t xml:space="preserve">s decision for him to be held in the Central Prison of Kuwait. On 20 April 2015, he was released pending his appeal before the Court of Cassation. </w:t>
      </w:r>
    </w:p>
    <w:p w:rsidR="007A71D1" w:rsidRPr="007B27C3" w:rsidRDefault="007A71D1" w:rsidP="007A71D1">
      <w:pPr>
        <w:pStyle w:val="SingleTxtG"/>
      </w:pPr>
      <w:r w:rsidRPr="007B27C3">
        <w:t>10.</w:t>
      </w:r>
      <w:r w:rsidRPr="007B27C3">
        <w:tab/>
        <w:t>On 18 May 2015, the Court of Cassation decided to uphold the decision of the Court of Appeal. This last decision is final and cannot be appealed. On 13 June 2015, Mr. Al-</w:t>
      </w:r>
      <w:proofErr w:type="spellStart"/>
      <w:r w:rsidRPr="007B27C3">
        <w:rPr>
          <w:rFonts w:hint="eastAsia"/>
        </w:rPr>
        <w:t>B</w:t>
      </w:r>
      <w:r w:rsidRPr="007B27C3">
        <w:t>arrak</w:t>
      </w:r>
      <w:proofErr w:type="spellEnd"/>
      <w:r w:rsidRPr="007B27C3">
        <w:t xml:space="preserve"> was arrested by the State security forces and detained in the Central Prison to serve his sentence.</w:t>
      </w:r>
    </w:p>
    <w:p w:rsidR="007A71D1" w:rsidRPr="007B27C3" w:rsidRDefault="007A71D1" w:rsidP="007A71D1">
      <w:pPr>
        <w:pStyle w:val="SingleTxtG"/>
      </w:pPr>
      <w:r w:rsidRPr="007B27C3">
        <w:t>11.</w:t>
      </w:r>
      <w:r w:rsidRPr="007B27C3">
        <w:tab/>
        <w:t>In the light of the aforementioned information, the source claims that this case meets the requirements of category I of the Working Group</w:t>
      </w:r>
      <w:r w:rsidR="00E858CE">
        <w:t>’</w:t>
      </w:r>
      <w:r w:rsidRPr="007B27C3">
        <w:t>s classifications of deprivations of liberty, because there is no legal basis, in view of the international obligations of Kuwait, justifying Mr. Al-</w:t>
      </w:r>
      <w:proofErr w:type="spellStart"/>
      <w:r w:rsidRPr="007B27C3">
        <w:t>Barrak</w:t>
      </w:r>
      <w:r w:rsidR="00E858CE">
        <w:t>’</w:t>
      </w:r>
      <w:r w:rsidRPr="007B27C3">
        <w:t>s</w:t>
      </w:r>
      <w:proofErr w:type="spellEnd"/>
      <w:r w:rsidRPr="007B27C3">
        <w:t xml:space="preserve"> deprivation of liberty. In that regard, the source submits that Mr. Al-</w:t>
      </w:r>
      <w:proofErr w:type="spellStart"/>
      <w:r w:rsidRPr="007B27C3">
        <w:t>Barrak</w:t>
      </w:r>
      <w:proofErr w:type="spellEnd"/>
      <w:r w:rsidRPr="007B27C3">
        <w:t xml:space="preserve"> was charged and convicted pursuant to article 25 of Act No. 31, which provides for a prison term, not exceeding five years, for anyone who publicly or in a public place, or in a place where he or she can be heard or seen while being in a public place, through speech, writing, drawing or displaying pictures, or by any other means of expression of thought, challenges the rights or the authority of the Emir, commits lese-majesty or disrespects the Emir.</w:t>
      </w:r>
    </w:p>
    <w:p w:rsidR="007A71D1" w:rsidRPr="007B27C3" w:rsidRDefault="007A71D1" w:rsidP="007A71D1">
      <w:pPr>
        <w:pStyle w:val="SingleTxtG"/>
      </w:pPr>
      <w:r w:rsidRPr="007B27C3">
        <w:t>12.</w:t>
      </w:r>
      <w:r w:rsidRPr="007B27C3">
        <w:tab/>
        <w:t>Based on the above, the source claims that article 25 of Act No. 31, which was used by the Kuwaiti authorities as the legal basis for the deprivation of Mr. Al-</w:t>
      </w:r>
      <w:proofErr w:type="spellStart"/>
      <w:r w:rsidRPr="007B27C3">
        <w:t>Barrak</w:t>
      </w:r>
      <w:r w:rsidR="00E858CE">
        <w:t>’</w:t>
      </w:r>
      <w:r w:rsidRPr="007B27C3">
        <w:t>s</w:t>
      </w:r>
      <w:proofErr w:type="spellEnd"/>
      <w:r w:rsidRPr="007B27C3">
        <w:t xml:space="preserve"> liberty, cannot be considered as legitimate, because it is not in accordance with the international </w:t>
      </w:r>
      <w:r w:rsidRPr="007B27C3">
        <w:lastRenderedPageBreak/>
        <w:t>obligations of Kuwait as regards human rights. The source argues that, as a party to the Covenant, Kuwait has an international obligation to comply with its provisions. By criminalizing any criticism against the Emir through article 25 of Act No. 31, Kuwait is in clear violation of the Covenant and, therefore, this provision cannot be considered as a valid legal basis for the deprivation of Mr. Al-</w:t>
      </w:r>
      <w:proofErr w:type="spellStart"/>
      <w:r w:rsidRPr="007B27C3">
        <w:t>Barrak</w:t>
      </w:r>
      <w:r w:rsidR="00E858CE">
        <w:t>’</w:t>
      </w:r>
      <w:r w:rsidRPr="007B27C3">
        <w:t>s</w:t>
      </w:r>
      <w:proofErr w:type="spellEnd"/>
      <w:r w:rsidRPr="007B27C3">
        <w:t xml:space="preserve"> liberty.</w:t>
      </w:r>
    </w:p>
    <w:p w:rsidR="007A71D1" w:rsidRPr="007B27C3" w:rsidRDefault="007A71D1" w:rsidP="007A71D1">
      <w:pPr>
        <w:pStyle w:val="SingleTxtG"/>
      </w:pPr>
      <w:r w:rsidRPr="007B27C3">
        <w:t>13.</w:t>
      </w:r>
      <w:r w:rsidRPr="007B27C3">
        <w:tab/>
        <w:t>Also, the source claims that this case meets the requirements of category II of the Working Group</w:t>
      </w:r>
      <w:r w:rsidR="00E858CE">
        <w:t>’</w:t>
      </w:r>
      <w:r w:rsidRPr="007B27C3">
        <w:t>s classifications of deprivations of liberty, because the deprivation of Mr. Al-</w:t>
      </w:r>
      <w:proofErr w:type="spellStart"/>
      <w:r w:rsidRPr="007B27C3">
        <w:t>Barrak</w:t>
      </w:r>
      <w:r w:rsidR="00E858CE">
        <w:t>’</w:t>
      </w:r>
      <w:r w:rsidRPr="007B27C3">
        <w:t>s</w:t>
      </w:r>
      <w:proofErr w:type="spellEnd"/>
      <w:r w:rsidRPr="007B27C3">
        <w:t xml:space="preserve"> liberty resulted from the legitimate exercise of his right to freedom of expression. The source claims that he was sentenced to two years in prison for conduct that falls under the protection of the right to freedom of opinion and expression.</w:t>
      </w:r>
    </w:p>
    <w:p w:rsidR="007A71D1" w:rsidRPr="007B27C3" w:rsidRDefault="007A71D1" w:rsidP="007A71D1">
      <w:pPr>
        <w:pStyle w:val="SingleTxtG"/>
      </w:pPr>
      <w:r w:rsidRPr="007B27C3">
        <w:t>14.</w:t>
      </w:r>
      <w:r w:rsidRPr="007B27C3">
        <w:tab/>
        <w:t>In this regard, the source provides the following quote of the essential parts of Mr. Al-</w:t>
      </w:r>
      <w:proofErr w:type="spellStart"/>
      <w:r w:rsidRPr="007B27C3">
        <w:t>Barrak</w:t>
      </w:r>
      <w:r w:rsidR="00E858CE">
        <w:t>’</w:t>
      </w:r>
      <w:r w:rsidRPr="007B27C3">
        <w:t>s</w:t>
      </w:r>
      <w:proofErr w:type="spellEnd"/>
      <w:r w:rsidRPr="007B27C3">
        <w:t xml:space="preserve"> speech, which he delivered at Al-</w:t>
      </w:r>
      <w:proofErr w:type="spellStart"/>
      <w:r w:rsidRPr="007B27C3">
        <w:t>Erada</w:t>
      </w:r>
      <w:proofErr w:type="spellEnd"/>
      <w:r w:rsidRPr="007B27C3">
        <w:t xml:space="preserve"> Square in October 2012: </w:t>
      </w:r>
    </w:p>
    <w:p w:rsidR="007A71D1" w:rsidRPr="007B27C3" w:rsidRDefault="007A71D1" w:rsidP="00F45A85">
      <w:pPr>
        <w:pStyle w:val="SingleTxtG"/>
        <w:ind w:left="1701"/>
      </w:pPr>
      <w:r w:rsidRPr="007B27C3">
        <w:t>In the name of the nation, in the name of the people, we will not allow you, your highness, to take Kuwait into the abyss of autocracy. Your highness, some of your advisers have business interests and some of them have a deep hatred of democracy and the people of your nation. When the history books present your reign, how do you want them to describe you? Do you want them to say that you, Sheikh Sabah al-Ahmad al-Sabah, threw in jail anyone who dared to have an opinion? Do you want history to write that people were beaten; do you want history to write that during the era of Sheikh Sabah al-Ahmad, Kuwait</w:t>
      </w:r>
      <w:r w:rsidR="00E858CE">
        <w:t>’</w:t>
      </w:r>
      <w:r w:rsidRPr="007B27C3">
        <w:t>s wealth was looted? Do you want history to write that during your era people</w:t>
      </w:r>
      <w:r w:rsidR="00E858CE">
        <w:t>’</w:t>
      </w:r>
      <w:r w:rsidRPr="007B27C3">
        <w:t>s rights were violated and the constitution undermined?</w:t>
      </w:r>
    </w:p>
    <w:p w:rsidR="007A71D1" w:rsidRPr="007B27C3" w:rsidRDefault="007A71D1" w:rsidP="007A71D1">
      <w:pPr>
        <w:pStyle w:val="SingleTxtG"/>
      </w:pPr>
      <w:r w:rsidRPr="007B27C3">
        <w:t>15.</w:t>
      </w:r>
      <w:r w:rsidRPr="007B27C3">
        <w:tab/>
        <w:t>The source submits that this quote mirrors the content of Mr. Al-</w:t>
      </w:r>
      <w:proofErr w:type="spellStart"/>
      <w:r w:rsidRPr="007B27C3">
        <w:t>Barrak</w:t>
      </w:r>
      <w:r w:rsidR="00E858CE">
        <w:t>’</w:t>
      </w:r>
      <w:r w:rsidRPr="007B27C3">
        <w:t>s</w:t>
      </w:r>
      <w:proofErr w:type="spellEnd"/>
      <w:r w:rsidRPr="007B27C3">
        <w:t xml:space="preserve"> entire speech delivered during that event. According to the source, it is clear that, while Mr. Al-</w:t>
      </w:r>
      <w:proofErr w:type="spellStart"/>
      <w:r w:rsidRPr="007B27C3">
        <w:t>Barrak</w:t>
      </w:r>
      <w:proofErr w:type="spellEnd"/>
      <w:r w:rsidRPr="007B27C3">
        <w:t xml:space="preserve"> expressed criticism against the decisions taken by the Emir, he did not call for violence or hate, but instead was peacefully requesting the Emir to put an end to what he considered an abuse of power. </w:t>
      </w:r>
    </w:p>
    <w:p w:rsidR="007A71D1" w:rsidRPr="007B27C3" w:rsidRDefault="007A71D1" w:rsidP="007A71D1">
      <w:pPr>
        <w:pStyle w:val="SingleTxtG"/>
      </w:pPr>
      <w:r w:rsidRPr="007B27C3">
        <w:t>16.</w:t>
      </w:r>
      <w:r w:rsidRPr="007B27C3">
        <w:tab/>
        <w:t>Finally, the source argues that the deprivation of Mr. Al-</w:t>
      </w:r>
      <w:proofErr w:type="spellStart"/>
      <w:r w:rsidRPr="007B27C3">
        <w:t>Barrak</w:t>
      </w:r>
      <w:r w:rsidR="00E858CE">
        <w:t>’</w:t>
      </w:r>
      <w:r w:rsidRPr="007B27C3">
        <w:t>s</w:t>
      </w:r>
      <w:proofErr w:type="spellEnd"/>
      <w:r w:rsidRPr="007B27C3">
        <w:t xml:space="preserve"> liberty was used by the Government to prevent him from engaging in politics by keeping him away from public debate and ultimately preventing him from presenting himself as a candidate in the next parliamentary elections, which should take place in 2017. Therefore, the source asserts that the Kuwaiti authorities are also in violation of article 25 of the Covenant, which recognizes and protects the right of every citizen to take part in the conduct of public affairs, the right to vote and to be elected and the right to have access to public service.</w:t>
      </w:r>
      <w:r w:rsidRPr="00E858CE">
        <w:rPr>
          <w:rStyle w:val="FootnoteReference"/>
        </w:rPr>
        <w:footnoteReference w:id="2"/>
      </w:r>
    </w:p>
    <w:p w:rsidR="007A71D1" w:rsidRPr="007B27C3" w:rsidRDefault="007A71D1" w:rsidP="00F45A85">
      <w:pPr>
        <w:pStyle w:val="H4G"/>
      </w:pPr>
      <w:r w:rsidRPr="007B27C3">
        <w:tab/>
      </w:r>
      <w:r w:rsidRPr="007B27C3">
        <w:tab/>
        <w:t>Response from the Government</w:t>
      </w:r>
    </w:p>
    <w:p w:rsidR="007A71D1" w:rsidRPr="007B27C3" w:rsidRDefault="007A71D1" w:rsidP="007A71D1">
      <w:pPr>
        <w:pStyle w:val="SingleTxtG"/>
      </w:pPr>
      <w:r w:rsidRPr="007B27C3">
        <w:t>17.</w:t>
      </w:r>
      <w:r w:rsidRPr="007B27C3">
        <w:tab/>
        <w:t>On 24 June 2016, the Working Group transmitted the allegations from the source to the Government under its regular communication procedure, requesting the Government to provide detailed information, by 24 August 2016, about the current situation of Mr. Al-</w:t>
      </w:r>
      <w:proofErr w:type="spellStart"/>
      <w:r w:rsidRPr="007B27C3">
        <w:rPr>
          <w:rFonts w:hint="eastAsia"/>
        </w:rPr>
        <w:t>B</w:t>
      </w:r>
      <w:r w:rsidRPr="007B27C3">
        <w:t>arrak</w:t>
      </w:r>
      <w:proofErr w:type="spellEnd"/>
      <w:r w:rsidRPr="007B27C3">
        <w:t xml:space="preserve"> and any comment on the source</w:t>
      </w:r>
      <w:r w:rsidR="00E858CE">
        <w:t>’</w:t>
      </w:r>
      <w:r w:rsidRPr="007B27C3">
        <w:t>s allegations. The Working Group also requested the Government to clarify the factual and legal grounds invoked by the authorities to justify his arrest and continued detention, and to provide the details regarding the conformity of the relevant legal provisions and proceedings with international law, in particular the norms of international human rights treaties that Kuwait has ratified.</w:t>
      </w:r>
      <w:r w:rsidRPr="007B27C3">
        <w:rPr>
          <w:rFonts w:hint="eastAsia"/>
        </w:rPr>
        <w:t xml:space="preserve"> Moreover, the Working Group called upon the Government to ensure Mr. Al-</w:t>
      </w:r>
      <w:proofErr w:type="spellStart"/>
      <w:r w:rsidRPr="007B27C3">
        <w:rPr>
          <w:rFonts w:hint="eastAsia"/>
        </w:rPr>
        <w:t>Barr</w:t>
      </w:r>
      <w:r w:rsidRPr="007B27C3">
        <w:t>a</w:t>
      </w:r>
      <w:r w:rsidRPr="007B27C3">
        <w:rPr>
          <w:rFonts w:hint="eastAsia"/>
        </w:rPr>
        <w:t>k</w:t>
      </w:r>
      <w:r w:rsidR="00E858CE">
        <w:t>’</w:t>
      </w:r>
      <w:r w:rsidRPr="007B27C3">
        <w:rPr>
          <w:rFonts w:hint="eastAsia"/>
        </w:rPr>
        <w:t>s</w:t>
      </w:r>
      <w:proofErr w:type="spellEnd"/>
      <w:r w:rsidRPr="007B27C3">
        <w:rPr>
          <w:rFonts w:hint="eastAsia"/>
        </w:rPr>
        <w:t xml:space="preserve"> physical and mental integrity.</w:t>
      </w:r>
    </w:p>
    <w:p w:rsidR="007A71D1" w:rsidRPr="007B27C3" w:rsidRDefault="007A71D1" w:rsidP="007A71D1">
      <w:pPr>
        <w:pStyle w:val="SingleTxtG"/>
      </w:pPr>
      <w:r w:rsidRPr="007B27C3">
        <w:t>18.</w:t>
      </w:r>
      <w:r w:rsidRPr="007B27C3">
        <w:tab/>
        <w:t>On 28 June 2016, the Government acknowledged receipt of the Working Group</w:t>
      </w:r>
      <w:r w:rsidR="00E858CE">
        <w:t>’</w:t>
      </w:r>
      <w:r w:rsidRPr="007B27C3">
        <w:t xml:space="preserve">s request and assured it that its reply would be submitted within the time limit. On 16 August 2016, the Permanent Mission </w:t>
      </w:r>
      <w:r w:rsidRPr="007B27C3">
        <w:rPr>
          <w:rFonts w:hint="eastAsia"/>
        </w:rPr>
        <w:t xml:space="preserve">of Kuwait </w:t>
      </w:r>
      <w:r w:rsidRPr="007B27C3">
        <w:t xml:space="preserve">to the United Nations Office and other international organizations in Geneva submitted its initial response, specifying that a more detailed and exhaustive reply would be forwarded as soon as it became available. On 19 </w:t>
      </w:r>
      <w:r w:rsidRPr="007B27C3">
        <w:lastRenderedPageBreak/>
        <w:t xml:space="preserve">August 2016, the Permanent Mission </w:t>
      </w:r>
      <w:r w:rsidRPr="007B27C3">
        <w:rPr>
          <w:rFonts w:hint="eastAsia"/>
        </w:rPr>
        <w:t xml:space="preserve">of Kuwait </w:t>
      </w:r>
      <w:r w:rsidRPr="007B27C3">
        <w:t>added the reply of the Attorney General of the Office of Public Prosecution.</w:t>
      </w:r>
    </w:p>
    <w:p w:rsidR="007A71D1" w:rsidRPr="007B27C3" w:rsidRDefault="007A71D1" w:rsidP="007A71D1">
      <w:pPr>
        <w:pStyle w:val="SingleTxtG"/>
      </w:pPr>
      <w:r w:rsidRPr="007B27C3">
        <w:t>19.</w:t>
      </w:r>
      <w:r w:rsidRPr="007B27C3">
        <w:tab/>
        <w:t>According to the Government</w:t>
      </w:r>
      <w:r w:rsidR="00E858CE">
        <w:t>’</w:t>
      </w:r>
      <w:r w:rsidRPr="007B27C3">
        <w:t>s reply, Mr. Al-</w:t>
      </w:r>
      <w:proofErr w:type="spellStart"/>
      <w:r w:rsidRPr="007B27C3">
        <w:t>Barrak</w:t>
      </w:r>
      <w:proofErr w:type="spellEnd"/>
      <w:r w:rsidRPr="007B27C3">
        <w:t xml:space="preserve"> was convicted, in State security case No. 15 on 15 October 2012, for having committed the crime of openly challenging in a public place the rights and authority of the Emir, defaming his person and disparaging the basis on which he holds office at a public assembly. The Criminal Court decided, at a hearing on 15 April 2013, to sentence him to five years</w:t>
      </w:r>
      <w:r w:rsidR="00E858CE">
        <w:t>’</w:t>
      </w:r>
      <w:r w:rsidRPr="007B27C3">
        <w:t xml:space="preserve"> imprisonment with hard labour and without a stay of execution. The Court of Appeal then decided, at a hearing on 22 February 2015, to amend the judgment and to sentence him to two years</w:t>
      </w:r>
      <w:r w:rsidR="00E858CE">
        <w:t>’</w:t>
      </w:r>
      <w:r w:rsidRPr="007B27C3">
        <w:t xml:space="preserve"> imprisonment with hard labour and without a stay of execution. The Court of Cassation upheld the judgment at a hearing on 18 May 2015 in a final enforceable judgment.</w:t>
      </w:r>
    </w:p>
    <w:p w:rsidR="007A71D1" w:rsidRPr="007B27C3" w:rsidRDefault="00731D5F" w:rsidP="007A71D1">
      <w:pPr>
        <w:pStyle w:val="SingleTxtG"/>
      </w:pPr>
      <w:r w:rsidRPr="007B27C3">
        <w:t>20.</w:t>
      </w:r>
      <w:r w:rsidRPr="007B27C3">
        <w:tab/>
      </w:r>
      <w:r w:rsidR="007A71D1" w:rsidRPr="007B27C3">
        <w:t>The</w:t>
      </w:r>
      <w:r w:rsidR="007A71D1" w:rsidRPr="007B27C3">
        <w:rPr>
          <w:rFonts w:hint="eastAsia"/>
        </w:rPr>
        <w:t xml:space="preserve"> </w:t>
      </w:r>
      <w:r w:rsidR="007A71D1" w:rsidRPr="007B27C3">
        <w:t>Government</w:t>
      </w:r>
      <w:r w:rsidR="007A71D1" w:rsidRPr="007B27C3">
        <w:rPr>
          <w:rFonts w:hint="eastAsia"/>
        </w:rPr>
        <w:t xml:space="preserve"> </w:t>
      </w:r>
      <w:r w:rsidR="007A71D1" w:rsidRPr="007B27C3">
        <w:t>states</w:t>
      </w:r>
      <w:r w:rsidR="007A71D1" w:rsidRPr="007B27C3">
        <w:rPr>
          <w:rFonts w:hint="eastAsia"/>
        </w:rPr>
        <w:t xml:space="preserve"> that the</w:t>
      </w:r>
      <w:r w:rsidR="007A71D1" w:rsidRPr="007B27C3">
        <w:t xml:space="preserve"> accused was convicted of committing a crime pursuant to article 25 of Act No. 31, which provides for a prison term, not exceeding five years, for anyone who publicly or in a public place, or in a place where he or she can be heard or seen while being in a public place, through speech, writing, drawing or displaying pictures, or by any other means of expression of thought, challenges the rights or the authority of the Emir, commits lese-majesty or disrespects the Emir.</w:t>
      </w:r>
    </w:p>
    <w:p w:rsidR="007A71D1" w:rsidRPr="007B27C3" w:rsidRDefault="007A71D1" w:rsidP="007A71D1">
      <w:pPr>
        <w:pStyle w:val="SingleTxtG"/>
      </w:pPr>
      <w:r w:rsidRPr="007B27C3">
        <w:t>21.</w:t>
      </w:r>
      <w:r w:rsidRPr="007B27C3">
        <w:tab/>
        <w:t xml:space="preserve">The Government contends that there can be no doubt that the accused was convicted of the offence that he perpetrated on 15 October 2012 after the adoption of article 25 of Act No. 31, which was promulgated on 21 July 1970. Accordingly, there are no grounds for finding a violation of article 15 (1) of the Covenant, which prohibits the conviction of a person for acts committed prior to the enactment of a law. </w:t>
      </w:r>
    </w:p>
    <w:p w:rsidR="007A71D1" w:rsidRPr="007B27C3" w:rsidRDefault="007A71D1" w:rsidP="007A71D1">
      <w:pPr>
        <w:pStyle w:val="SingleTxtG"/>
      </w:pPr>
      <w:r w:rsidRPr="007B27C3">
        <w:t>22.</w:t>
      </w:r>
      <w:r w:rsidRPr="007B27C3">
        <w:tab/>
      </w:r>
      <w:r w:rsidRPr="007B27C3">
        <w:rPr>
          <w:rFonts w:hint="eastAsia"/>
        </w:rPr>
        <w:t xml:space="preserve">The Government </w:t>
      </w:r>
      <w:r w:rsidRPr="007B27C3">
        <w:t>submits</w:t>
      </w:r>
      <w:r w:rsidRPr="007B27C3">
        <w:rPr>
          <w:rFonts w:hint="eastAsia"/>
        </w:rPr>
        <w:t xml:space="preserve"> that</w:t>
      </w:r>
      <w:r w:rsidRPr="007B27C3">
        <w:t xml:space="preserve"> the provisions of article 25 of Act No. 31 contain no vague terms but a specific definition of the kinds of speech and acts that are prohibited. This was confirmed by the Constitutional Court of Kuwait in a judgment handed down on 2 December 2013, which rejected criticism of the provisions of the article on the ground that the terms used were extremely general and had no clear-cut import or specific meaning. </w:t>
      </w:r>
      <w:r w:rsidRPr="007B27C3">
        <w:rPr>
          <w:rFonts w:hint="eastAsia"/>
        </w:rPr>
        <w:t>According to the Government, t</w:t>
      </w:r>
      <w:r w:rsidRPr="007B27C3">
        <w:t>he Constitutional Court concluded, with a view to protecting the principles that guarantee the unity of the nation and the internal security of the country, preventing any harm to the nation and the destruction of the regime, and ensuring that it is treated with veneration and respect, and in the light of the guarantees of personal freedom enshrined in the Constitution, that the criminalization of acts that challenge the rights and authority of the Emir, that defame his person and that disparage the basis on which he holds office does not constitute a violation of freedom of opinion and expression, since it does not penalize reflection and the formation of opinions but penalizes views that are contrary to the law and the public dissemination of those views in any of the ways listed exhaustively in the provisions of the article.</w:t>
      </w:r>
    </w:p>
    <w:p w:rsidR="007A71D1" w:rsidRPr="007B27C3" w:rsidRDefault="007A71D1" w:rsidP="007A71D1">
      <w:pPr>
        <w:pStyle w:val="SingleTxtG"/>
      </w:pPr>
      <w:r w:rsidRPr="007B27C3">
        <w:t>23.</w:t>
      </w:r>
      <w:r w:rsidRPr="007B27C3">
        <w:tab/>
        <w:t>The Government submits that the speech that Mr. Al-</w:t>
      </w:r>
      <w:proofErr w:type="spellStart"/>
      <w:r w:rsidRPr="007B27C3">
        <w:t>Barrak</w:t>
      </w:r>
      <w:proofErr w:type="spellEnd"/>
      <w:r w:rsidRPr="007B27C3">
        <w:t xml:space="preserve"> gave in October 2012, at Al-</w:t>
      </w:r>
      <w:proofErr w:type="spellStart"/>
      <w:r w:rsidRPr="007B27C3">
        <w:t>Erada</w:t>
      </w:r>
      <w:proofErr w:type="spellEnd"/>
      <w:r w:rsidRPr="007B27C3">
        <w:t xml:space="preserve"> Square, fell within the scope of article 19</w:t>
      </w:r>
      <w:r w:rsidR="00E858CE">
        <w:t xml:space="preserve"> </w:t>
      </w:r>
      <w:r w:rsidRPr="007B27C3">
        <w:t>(3) of the Covenant, outlining the restrictions to freedom of expression, namely: (a) respect of the rights or reputations of others; and (b) protection of national security or of public order, or of public health or morals.</w:t>
      </w:r>
    </w:p>
    <w:p w:rsidR="007A71D1" w:rsidRPr="007B27C3" w:rsidRDefault="00731D5F" w:rsidP="00731D5F">
      <w:pPr>
        <w:pStyle w:val="H4G"/>
      </w:pPr>
      <w:r>
        <w:tab/>
      </w:r>
      <w:r>
        <w:tab/>
      </w:r>
      <w:r w:rsidR="007A71D1" w:rsidRPr="007B27C3">
        <w:rPr>
          <w:rFonts w:hint="eastAsia"/>
        </w:rPr>
        <w:t xml:space="preserve">Further </w:t>
      </w:r>
      <w:r w:rsidR="007A71D1" w:rsidRPr="007B27C3">
        <w:t>c</w:t>
      </w:r>
      <w:r w:rsidR="007A71D1" w:rsidRPr="007B27C3">
        <w:rPr>
          <w:rFonts w:hint="eastAsia"/>
        </w:rPr>
        <w:t>omments from the source</w:t>
      </w:r>
    </w:p>
    <w:p w:rsidR="007A71D1" w:rsidRPr="007B27C3" w:rsidRDefault="007A71D1" w:rsidP="007A71D1">
      <w:pPr>
        <w:pStyle w:val="SingleTxtG"/>
      </w:pPr>
      <w:r w:rsidRPr="007B27C3">
        <w:t>24.</w:t>
      </w:r>
      <w:r w:rsidRPr="007B27C3">
        <w:tab/>
        <w:t xml:space="preserve">The reply from the Government of Kuwait was transmitted to the source on 17 August 2016. The source responded on 19 August 2016. </w:t>
      </w:r>
    </w:p>
    <w:p w:rsidR="007A71D1" w:rsidRPr="007B27C3" w:rsidRDefault="007A71D1" w:rsidP="007A71D1">
      <w:pPr>
        <w:pStyle w:val="SingleTxtG"/>
      </w:pPr>
      <w:r w:rsidRPr="007B27C3">
        <w:t>25.</w:t>
      </w:r>
      <w:r w:rsidRPr="007B27C3">
        <w:tab/>
        <w:t xml:space="preserve">The source recalls the recommendations made by the Human Rights Committee after its recent review of the obligations of Kuwait under the Covenant, in particular in relation to the right to freedom of opinion and expression. The Committee expressed its concern over the criminalization of defamation and prosecution of individuals expressing critical views or views deemed to </w:t>
      </w:r>
      <w:r w:rsidR="00E858CE">
        <w:t>“</w:t>
      </w:r>
      <w:r w:rsidRPr="007B27C3">
        <w:t>insult</w:t>
      </w:r>
      <w:r w:rsidR="00E858CE">
        <w:t>”</w:t>
      </w:r>
      <w:r w:rsidRPr="007B27C3">
        <w:t xml:space="preserve"> the Emir or undermine his authority or threaten</w:t>
      </w:r>
      <w:r w:rsidR="00E858CE">
        <w:t xml:space="preserve"> </w:t>
      </w:r>
      <w:r w:rsidRPr="007B27C3">
        <w:t>the national security of Kuwait. Hence, the Committee urged the State to:</w:t>
      </w:r>
    </w:p>
    <w:p w:rsidR="007A71D1" w:rsidRPr="007B27C3" w:rsidRDefault="007A71D1" w:rsidP="00850DDC">
      <w:pPr>
        <w:pStyle w:val="SingleTxtG"/>
        <w:ind w:left="1701"/>
      </w:pPr>
      <w:r w:rsidRPr="007B27C3">
        <w:t>(a)</w:t>
      </w:r>
      <w:r w:rsidR="00731D5F">
        <w:tab/>
      </w:r>
      <w:r w:rsidRPr="007B27C3">
        <w:t xml:space="preserve">Repeal or revise laws containing provisions restricting the right to freedom of expression and opinion and repeal laws criminalizing blasphemy and insulting the </w:t>
      </w:r>
      <w:r w:rsidRPr="007B27C3">
        <w:lastRenderedPageBreak/>
        <w:t>Emir, among other acts, with a view to bringing them into conformity with its obligations under the Covenant;</w:t>
      </w:r>
    </w:p>
    <w:p w:rsidR="007A71D1" w:rsidRPr="007B27C3" w:rsidRDefault="007A71D1" w:rsidP="00850DDC">
      <w:pPr>
        <w:pStyle w:val="SingleTxtG"/>
        <w:ind w:left="1701"/>
      </w:pPr>
      <w:r w:rsidRPr="007B27C3">
        <w:t>(b)</w:t>
      </w:r>
      <w:r w:rsidR="00731D5F">
        <w:tab/>
      </w:r>
      <w:r w:rsidRPr="007B27C3">
        <w:t>Clarify the vague, broad and open-ended definition of key terms in those laws and ensure that they are not used as tools to curtail freedom of expression beyond the narrow restrictions permitted by article 19 (3) of the Covenant (see CCPR/C/KWT/CO/3, para. 41).</w:t>
      </w:r>
    </w:p>
    <w:p w:rsidR="007A71D1" w:rsidRPr="007B27C3" w:rsidRDefault="007A71D1" w:rsidP="007A71D1">
      <w:pPr>
        <w:pStyle w:val="SingleTxtG"/>
      </w:pPr>
      <w:r w:rsidRPr="007B27C3">
        <w:t>26.</w:t>
      </w:r>
      <w:r w:rsidRPr="007B27C3">
        <w:tab/>
        <w:t>The source notes that the Government argue</w:t>
      </w:r>
      <w:r w:rsidRPr="007B27C3">
        <w:rPr>
          <w:rFonts w:hint="eastAsia"/>
        </w:rPr>
        <w:t>d</w:t>
      </w:r>
      <w:r w:rsidRPr="007B27C3">
        <w:t xml:space="preserve"> that the speech that Mr. Al-</w:t>
      </w:r>
      <w:proofErr w:type="spellStart"/>
      <w:r w:rsidRPr="007B27C3">
        <w:t>Barrak</w:t>
      </w:r>
      <w:proofErr w:type="spellEnd"/>
      <w:r w:rsidRPr="007B27C3">
        <w:t xml:space="preserve"> gave in October 2012, at Al-</w:t>
      </w:r>
      <w:proofErr w:type="spellStart"/>
      <w:r w:rsidRPr="007B27C3">
        <w:t>Erada</w:t>
      </w:r>
      <w:proofErr w:type="spellEnd"/>
      <w:r w:rsidRPr="007B27C3">
        <w:t xml:space="preserve"> Square, f</w:t>
      </w:r>
      <w:r w:rsidRPr="007B27C3">
        <w:rPr>
          <w:rFonts w:hint="eastAsia"/>
        </w:rPr>
        <w:t>ell</w:t>
      </w:r>
      <w:r w:rsidRPr="007B27C3">
        <w:t xml:space="preserve"> within the scope of article 19</w:t>
      </w:r>
      <w:r w:rsidR="00E858CE">
        <w:t xml:space="preserve"> </w:t>
      </w:r>
      <w:r w:rsidRPr="007B27C3">
        <w:t>(3) of the Covenant, outlining the restrictions to freedom of expression. The source also mentions that the Government elaborated its argument by stating that Mr. Al-</w:t>
      </w:r>
      <w:proofErr w:type="spellStart"/>
      <w:r w:rsidRPr="007B27C3">
        <w:t>Barrak</w:t>
      </w:r>
      <w:proofErr w:type="spellEnd"/>
      <w:r w:rsidRPr="007B27C3">
        <w:t xml:space="preserve"> had accused certain individuals and members of parliament of corruption and theft. In that context, the source recalls that there was indeed a major corruption scandal that surfaced in Kuwait in 2012, involving bribes and funds allegedly transferred to members of parliament in return for voting along government lines. </w:t>
      </w:r>
      <w:r w:rsidRPr="007B27C3">
        <w:rPr>
          <w:rFonts w:hint="eastAsia"/>
        </w:rPr>
        <w:t>According to the source, t</w:t>
      </w:r>
      <w:r w:rsidRPr="007B27C3">
        <w:t>his was denounced</w:t>
      </w:r>
      <w:r w:rsidRPr="007B27C3">
        <w:rPr>
          <w:rFonts w:hint="eastAsia"/>
        </w:rPr>
        <w:t xml:space="preserve"> not only</w:t>
      </w:r>
      <w:r w:rsidRPr="007B27C3">
        <w:t xml:space="preserve"> by Mr. Al-</w:t>
      </w:r>
      <w:proofErr w:type="spellStart"/>
      <w:r w:rsidRPr="007B27C3">
        <w:t>Barrak</w:t>
      </w:r>
      <w:proofErr w:type="spellEnd"/>
      <w:r w:rsidRPr="007B27C3">
        <w:t>, but was widely discussed by civil society, national and international press a</w:t>
      </w:r>
      <w:r w:rsidRPr="007B27C3">
        <w:rPr>
          <w:rFonts w:hint="eastAsia"/>
        </w:rPr>
        <w:t>nd</w:t>
      </w:r>
      <w:r w:rsidRPr="007B27C3">
        <w:t xml:space="preserve"> human rights organizations. Therefore, the statements made by Mr. Al-</w:t>
      </w:r>
      <w:proofErr w:type="spellStart"/>
      <w:r w:rsidRPr="007B27C3">
        <w:t>Barrak</w:t>
      </w:r>
      <w:proofErr w:type="spellEnd"/>
      <w:r w:rsidRPr="007B27C3">
        <w:t xml:space="preserve"> d</w:t>
      </w:r>
      <w:r w:rsidRPr="007B27C3">
        <w:rPr>
          <w:rFonts w:hint="eastAsia"/>
        </w:rPr>
        <w:t>id</w:t>
      </w:r>
      <w:r w:rsidRPr="007B27C3">
        <w:t xml:space="preserve"> not constitute a personal attack or slander of the reputation of private individuals falling under the restrictions of article 19 (3) </w:t>
      </w:r>
      <w:r w:rsidRPr="007B27C3">
        <w:rPr>
          <w:rFonts w:hint="eastAsia"/>
        </w:rPr>
        <w:t xml:space="preserve">of the </w:t>
      </w:r>
      <w:r w:rsidRPr="007B27C3">
        <w:t xml:space="preserve">Covenant, but </w:t>
      </w:r>
      <w:r w:rsidRPr="007B27C3">
        <w:rPr>
          <w:rFonts w:hint="eastAsia"/>
        </w:rPr>
        <w:t>ought to be deemed</w:t>
      </w:r>
      <w:r w:rsidRPr="007B27C3">
        <w:t xml:space="preserve"> a contribution to the discussion on the misconduct of certain members of parliament and public figures.</w:t>
      </w:r>
    </w:p>
    <w:p w:rsidR="007A71D1" w:rsidRPr="007B27C3" w:rsidRDefault="007A71D1" w:rsidP="007A71D1">
      <w:pPr>
        <w:pStyle w:val="SingleTxtG"/>
      </w:pPr>
      <w:r w:rsidRPr="007B27C3">
        <w:t>27.</w:t>
      </w:r>
      <w:r w:rsidRPr="007B27C3">
        <w:tab/>
      </w:r>
      <w:r w:rsidRPr="007B27C3">
        <w:rPr>
          <w:rFonts w:hint="eastAsia"/>
        </w:rPr>
        <w:t>The so</w:t>
      </w:r>
      <w:r w:rsidRPr="007B27C3">
        <w:t>u</w:t>
      </w:r>
      <w:r w:rsidRPr="007B27C3">
        <w:rPr>
          <w:rFonts w:hint="eastAsia"/>
        </w:rPr>
        <w:t xml:space="preserve">rce </w:t>
      </w:r>
      <w:r w:rsidRPr="007B27C3">
        <w:t xml:space="preserve">notes </w:t>
      </w:r>
      <w:r w:rsidRPr="007B27C3">
        <w:rPr>
          <w:rFonts w:hint="eastAsia"/>
        </w:rPr>
        <w:t>that, a</w:t>
      </w:r>
      <w:r w:rsidRPr="007B27C3">
        <w:t>dditionally, the</w:t>
      </w:r>
      <w:r w:rsidRPr="007B27C3">
        <w:rPr>
          <w:rFonts w:hint="eastAsia"/>
        </w:rPr>
        <w:t xml:space="preserve"> </w:t>
      </w:r>
      <w:r w:rsidRPr="007B27C3">
        <w:t>information conveyed in a speech, whether true or false, c</w:t>
      </w:r>
      <w:r w:rsidRPr="007B27C3">
        <w:rPr>
          <w:rFonts w:hint="eastAsia"/>
        </w:rPr>
        <w:t>ould</w:t>
      </w:r>
      <w:r w:rsidRPr="007B27C3">
        <w:t xml:space="preserve"> hardly threaten to national security and stability. Hence, the source argues that sentencing Mr. Al-</w:t>
      </w:r>
      <w:proofErr w:type="spellStart"/>
      <w:r w:rsidRPr="007B27C3">
        <w:t>Barrak</w:t>
      </w:r>
      <w:proofErr w:type="spellEnd"/>
      <w:r w:rsidRPr="007B27C3">
        <w:t xml:space="preserve"> to two years in prison under Act No. 31 </w:t>
      </w:r>
      <w:r w:rsidRPr="007B27C3">
        <w:rPr>
          <w:rFonts w:hint="eastAsia"/>
        </w:rPr>
        <w:t>did not fall</w:t>
      </w:r>
      <w:r w:rsidRPr="007B27C3">
        <w:t xml:space="preserve"> under the limits of article 19 (3) of the Covenant</w:t>
      </w:r>
      <w:r w:rsidRPr="007B27C3">
        <w:rPr>
          <w:rFonts w:hint="eastAsia"/>
        </w:rPr>
        <w:t>.</w:t>
      </w:r>
      <w:r w:rsidRPr="007B27C3">
        <w:t xml:space="preserve"> </w:t>
      </w:r>
    </w:p>
    <w:p w:rsidR="007A71D1" w:rsidRPr="007B27C3" w:rsidRDefault="007A71D1" w:rsidP="007A71D1">
      <w:pPr>
        <w:pStyle w:val="SingleTxtG"/>
      </w:pPr>
      <w:r w:rsidRPr="007B27C3">
        <w:t>28.</w:t>
      </w:r>
      <w:r w:rsidRPr="007B27C3">
        <w:tab/>
        <w:t>Lastly, the source recalls the Government</w:t>
      </w:r>
      <w:r w:rsidR="00E858CE">
        <w:t>’</w:t>
      </w:r>
      <w:r w:rsidRPr="007B27C3">
        <w:t>s claim that Mr. Al-</w:t>
      </w:r>
      <w:proofErr w:type="spellStart"/>
      <w:r w:rsidRPr="007B27C3">
        <w:t>Barrak</w:t>
      </w:r>
      <w:r w:rsidR="00E858CE">
        <w:t>’</w:t>
      </w:r>
      <w:r w:rsidRPr="007B27C3">
        <w:t>s</w:t>
      </w:r>
      <w:proofErr w:type="spellEnd"/>
      <w:r w:rsidRPr="007B27C3">
        <w:t xml:space="preserve"> speech also include</w:t>
      </w:r>
      <w:r w:rsidRPr="007B27C3">
        <w:rPr>
          <w:rFonts w:hint="eastAsia"/>
        </w:rPr>
        <w:t>d</w:t>
      </w:r>
      <w:r w:rsidRPr="007B27C3">
        <w:t xml:space="preserve"> a direct call and incitement to chaos and violence, quoting the expression </w:t>
      </w:r>
      <w:r w:rsidR="00E858CE">
        <w:t>“</w:t>
      </w:r>
      <w:r w:rsidRPr="007B27C3">
        <w:t>face the oppressive power</w:t>
      </w:r>
      <w:r w:rsidR="00E858CE">
        <w:t>”</w:t>
      </w:r>
      <w:r w:rsidRPr="007B27C3">
        <w:t xml:space="preserve"> in his speech. In this context, the source states that the expression in no way constitutes a call for violence, but rather represents an appeal to the citizens to peacefully claim their political rights and demand a fair, reliable and representative government. </w:t>
      </w:r>
    </w:p>
    <w:p w:rsidR="007A71D1" w:rsidRPr="007B27C3" w:rsidRDefault="007A71D1" w:rsidP="007A71D1">
      <w:pPr>
        <w:pStyle w:val="SingleTxtG"/>
      </w:pPr>
      <w:r w:rsidRPr="007B27C3">
        <w:t>29.</w:t>
      </w:r>
      <w:r w:rsidRPr="007B27C3">
        <w:tab/>
        <w:t xml:space="preserve">In the light of the above information, the </w:t>
      </w:r>
      <w:r w:rsidRPr="007B27C3">
        <w:rPr>
          <w:rFonts w:hint="eastAsia"/>
        </w:rPr>
        <w:t>source</w:t>
      </w:r>
      <w:r w:rsidRPr="007B27C3">
        <w:t xml:space="preserve"> reiterates that Mr. Al-</w:t>
      </w:r>
      <w:proofErr w:type="spellStart"/>
      <w:r w:rsidRPr="007B27C3">
        <w:t>Barrak</w:t>
      </w:r>
      <w:proofErr w:type="spellEnd"/>
      <w:r w:rsidRPr="007B27C3">
        <w:t xml:space="preserve"> </w:t>
      </w:r>
      <w:r w:rsidRPr="007B27C3">
        <w:rPr>
          <w:rFonts w:hint="eastAsia"/>
        </w:rPr>
        <w:t>wa</w:t>
      </w:r>
      <w:r w:rsidRPr="007B27C3">
        <w:t xml:space="preserve">s currently arbitrarily detained according to categories I and II of the categories applicable to the consideration of cases submitted to the Working Group. </w:t>
      </w:r>
    </w:p>
    <w:p w:rsidR="007A71D1" w:rsidRPr="007B27C3" w:rsidRDefault="007A71D1" w:rsidP="00BE68AD">
      <w:pPr>
        <w:pStyle w:val="H23G"/>
      </w:pPr>
      <w:r w:rsidRPr="007B27C3">
        <w:tab/>
      </w:r>
      <w:r w:rsidRPr="007B27C3">
        <w:tab/>
        <w:t xml:space="preserve">Discussion </w:t>
      </w:r>
    </w:p>
    <w:p w:rsidR="007A71D1" w:rsidRPr="007B27C3" w:rsidRDefault="007A71D1" w:rsidP="007A71D1">
      <w:pPr>
        <w:pStyle w:val="SingleTxtG"/>
      </w:pPr>
      <w:r w:rsidRPr="007B27C3">
        <w:t>30.</w:t>
      </w:r>
      <w:r w:rsidRPr="007B27C3">
        <w:tab/>
      </w:r>
      <w:r w:rsidRPr="007B27C3">
        <w:rPr>
          <w:rFonts w:hint="eastAsia"/>
        </w:rPr>
        <w:t xml:space="preserve">The Working Group thanks the source and the Government for their extensive </w:t>
      </w:r>
      <w:r w:rsidRPr="007B27C3">
        <w:t xml:space="preserve">engagement and for their </w:t>
      </w:r>
      <w:r w:rsidRPr="007B27C3">
        <w:rPr>
          <w:rFonts w:hint="eastAsia"/>
        </w:rPr>
        <w:t>submissions in relation to Mr. Al-</w:t>
      </w:r>
      <w:proofErr w:type="spellStart"/>
      <w:r w:rsidRPr="007B27C3">
        <w:rPr>
          <w:rFonts w:hint="eastAsia"/>
        </w:rPr>
        <w:t>Barrak</w:t>
      </w:r>
      <w:r w:rsidR="00E858CE">
        <w:t>’</w:t>
      </w:r>
      <w:r w:rsidRPr="007B27C3">
        <w:rPr>
          <w:rFonts w:hint="eastAsia"/>
        </w:rPr>
        <w:t>s</w:t>
      </w:r>
      <w:proofErr w:type="spellEnd"/>
      <w:r w:rsidRPr="007B27C3">
        <w:rPr>
          <w:rFonts w:hint="eastAsia"/>
        </w:rPr>
        <w:t xml:space="preserve"> arrest, conviction and imprisonment</w:t>
      </w:r>
      <w:r w:rsidRPr="007B27C3">
        <w:t>.</w:t>
      </w:r>
    </w:p>
    <w:p w:rsidR="007A71D1" w:rsidRPr="007B27C3" w:rsidRDefault="007A71D1" w:rsidP="007A71D1">
      <w:pPr>
        <w:pStyle w:val="SingleTxtG"/>
      </w:pPr>
      <w:r w:rsidRPr="007B27C3">
        <w:t>31.</w:t>
      </w:r>
      <w:r w:rsidRPr="007B27C3">
        <w:tab/>
        <w:t>The Working Group has in its jurisprudence established the ways in which it deals with evidentiary issues. If the source has established a prima facie case of breach of international requirements constituting arbitrary detention, the burden of proof should be understood to rest with the Government if it wishes to refute the allegations (see A/HRC/19/57, para. 68).</w:t>
      </w:r>
    </w:p>
    <w:p w:rsidR="007A71D1" w:rsidRPr="007B27C3" w:rsidRDefault="007A71D1" w:rsidP="007A71D1">
      <w:pPr>
        <w:pStyle w:val="SingleTxtG"/>
      </w:pPr>
      <w:r w:rsidRPr="007B27C3">
        <w:t>32.</w:t>
      </w:r>
      <w:r w:rsidRPr="007B27C3">
        <w:tab/>
        <w:t>The Working Group recalls that where it is alleged that a person has not been afforded, by a public authority, certain procedural guarantees to which he or she was entitled, the burden of proof should rest with the public authority, because the latter is in a better position to demonstrate that it has followed the appropriate procedures and applied the guarantees required by law.</w:t>
      </w:r>
      <w:r w:rsidRPr="00E858CE">
        <w:rPr>
          <w:rStyle w:val="FootnoteReference"/>
        </w:rPr>
        <w:footnoteReference w:id="3"/>
      </w:r>
    </w:p>
    <w:p w:rsidR="007A71D1" w:rsidRPr="007B27C3" w:rsidRDefault="007A71D1" w:rsidP="007A71D1">
      <w:pPr>
        <w:pStyle w:val="SingleTxtG"/>
      </w:pPr>
      <w:r w:rsidRPr="007B27C3">
        <w:t>33.</w:t>
      </w:r>
      <w:r w:rsidRPr="007B27C3">
        <w:tab/>
      </w:r>
      <w:r w:rsidRPr="007B27C3">
        <w:rPr>
          <w:rFonts w:hint="eastAsia"/>
        </w:rPr>
        <w:t xml:space="preserve">The Working Group notes that </w:t>
      </w:r>
      <w:r w:rsidRPr="007B27C3">
        <w:t>Mr. Al-</w:t>
      </w:r>
      <w:proofErr w:type="spellStart"/>
      <w:r w:rsidRPr="007B27C3">
        <w:t>Barrak</w:t>
      </w:r>
      <w:proofErr w:type="spellEnd"/>
      <w:r w:rsidRPr="007B27C3">
        <w:t xml:space="preserve"> was previously the subject of a joint letter of allegations sent by the Special Rapporteur on the promotion and protection of the right to freedom of opinion and expression and the Special Rapporteur on the rights to </w:t>
      </w:r>
      <w:r w:rsidRPr="007B27C3">
        <w:lastRenderedPageBreak/>
        <w:t>freedom of peaceful assembly and of association on 13 August 2015.</w:t>
      </w:r>
      <w:r w:rsidRPr="00E858CE">
        <w:rPr>
          <w:rStyle w:val="FootnoteReference"/>
        </w:rPr>
        <w:footnoteReference w:id="4"/>
      </w:r>
      <w:r w:rsidRPr="007B27C3">
        <w:t xml:space="preserve"> </w:t>
      </w:r>
      <w:r w:rsidRPr="007B27C3">
        <w:rPr>
          <w:rFonts w:hint="eastAsia"/>
        </w:rPr>
        <w:t>The Working Group</w:t>
      </w:r>
      <w:r w:rsidRPr="007B27C3">
        <w:t xml:space="preserve"> acknowledge</w:t>
      </w:r>
      <w:r w:rsidRPr="007B27C3">
        <w:rPr>
          <w:rFonts w:hint="eastAsia"/>
        </w:rPr>
        <w:t>s</w:t>
      </w:r>
      <w:r w:rsidRPr="007B27C3">
        <w:t xml:space="preserve"> the Government</w:t>
      </w:r>
      <w:r w:rsidR="00E858CE">
        <w:t>’</w:t>
      </w:r>
      <w:r w:rsidRPr="007B27C3">
        <w:t>s response to that communication received on 14 September 2015.</w:t>
      </w:r>
    </w:p>
    <w:p w:rsidR="007A71D1" w:rsidRPr="007B27C3" w:rsidRDefault="007A71D1" w:rsidP="007A71D1">
      <w:pPr>
        <w:pStyle w:val="SingleTxtG"/>
      </w:pPr>
      <w:r w:rsidRPr="007B27C3">
        <w:t>34.</w:t>
      </w:r>
      <w:r w:rsidRPr="007B27C3">
        <w:tab/>
        <w:t>The Working Group will first consider whether Mr. Al-</w:t>
      </w:r>
      <w:proofErr w:type="spellStart"/>
      <w:r w:rsidRPr="007B27C3">
        <w:t>Barrak</w:t>
      </w:r>
      <w:r w:rsidR="00E858CE">
        <w:t>’</w:t>
      </w:r>
      <w:r w:rsidRPr="007B27C3">
        <w:t>s</w:t>
      </w:r>
      <w:proofErr w:type="spellEnd"/>
      <w:r w:rsidRPr="007B27C3">
        <w:t xml:space="preserve"> arrest, trial and</w:t>
      </w:r>
      <w:r w:rsidRPr="007B27C3">
        <w:rPr>
          <w:rFonts w:hint="eastAsia"/>
        </w:rPr>
        <w:t xml:space="preserve"> imprisonment</w:t>
      </w:r>
      <w:r w:rsidRPr="007B27C3">
        <w:t>,</w:t>
      </w:r>
      <w:r w:rsidRPr="007B27C3">
        <w:rPr>
          <w:rFonts w:hint="eastAsia"/>
        </w:rPr>
        <w:t xml:space="preserve"> for his alleged violation of </w:t>
      </w:r>
      <w:r w:rsidRPr="007B27C3">
        <w:t>article 25 of Act No. 31,</w:t>
      </w:r>
      <w:r w:rsidRPr="007B27C3">
        <w:rPr>
          <w:rFonts w:hint="eastAsia"/>
        </w:rPr>
        <w:t xml:space="preserve"> </w:t>
      </w:r>
      <w:r w:rsidRPr="007B27C3">
        <w:t>through</w:t>
      </w:r>
      <w:r w:rsidRPr="007B27C3">
        <w:rPr>
          <w:rFonts w:hint="eastAsia"/>
        </w:rPr>
        <w:t xml:space="preserve"> his speech </w:t>
      </w:r>
      <w:r w:rsidRPr="007B27C3">
        <w:t>of 15 October 2012</w:t>
      </w:r>
      <w:r w:rsidRPr="007B27C3">
        <w:rPr>
          <w:rFonts w:hint="eastAsia"/>
        </w:rPr>
        <w:t xml:space="preserve"> at </w:t>
      </w:r>
      <w:r w:rsidRPr="007B27C3">
        <w:t>Al-</w:t>
      </w:r>
      <w:proofErr w:type="spellStart"/>
      <w:r w:rsidRPr="007B27C3">
        <w:rPr>
          <w:rFonts w:hint="eastAsia"/>
        </w:rPr>
        <w:t>Erada</w:t>
      </w:r>
      <w:proofErr w:type="spellEnd"/>
      <w:r w:rsidRPr="007B27C3">
        <w:rPr>
          <w:rFonts w:hint="eastAsia"/>
        </w:rPr>
        <w:t xml:space="preserve"> Square</w:t>
      </w:r>
      <w:r w:rsidRPr="007B27C3">
        <w:t>,</w:t>
      </w:r>
      <w:r w:rsidRPr="007B27C3">
        <w:rPr>
          <w:rFonts w:hint="eastAsia"/>
        </w:rPr>
        <w:t xml:space="preserve"> is arbitrary </w:t>
      </w:r>
      <w:r w:rsidRPr="007B27C3">
        <w:t>and falls within c</w:t>
      </w:r>
      <w:r w:rsidRPr="007B27C3">
        <w:rPr>
          <w:rFonts w:hint="eastAsia"/>
        </w:rPr>
        <w:t xml:space="preserve">ategory I. </w:t>
      </w:r>
    </w:p>
    <w:p w:rsidR="007A71D1" w:rsidRPr="007B27C3" w:rsidRDefault="007A71D1" w:rsidP="007A71D1">
      <w:pPr>
        <w:pStyle w:val="SingleTxtG"/>
      </w:pPr>
      <w:r w:rsidRPr="007B27C3">
        <w:t>35.</w:t>
      </w:r>
      <w:r w:rsidRPr="007B27C3">
        <w:tab/>
        <w:t xml:space="preserve">The </w:t>
      </w:r>
      <w:r w:rsidRPr="007B27C3">
        <w:rPr>
          <w:rFonts w:hint="eastAsia"/>
        </w:rPr>
        <w:t xml:space="preserve">Working Group is </w:t>
      </w:r>
      <w:r w:rsidRPr="007B27C3">
        <w:t>concerned</w:t>
      </w:r>
      <w:r w:rsidRPr="007B27C3">
        <w:rPr>
          <w:rFonts w:hint="eastAsia"/>
        </w:rPr>
        <w:t xml:space="preserve"> that </w:t>
      </w:r>
      <w:r w:rsidRPr="007B27C3">
        <w:t>Act</w:t>
      </w:r>
      <w:r w:rsidRPr="007B27C3">
        <w:rPr>
          <w:rFonts w:hint="eastAsia"/>
        </w:rPr>
        <w:t xml:space="preserve"> No. 31 </w:t>
      </w:r>
      <w:r w:rsidRPr="007B27C3">
        <w:t>might</w:t>
      </w:r>
      <w:r w:rsidRPr="007B27C3">
        <w:rPr>
          <w:rFonts w:hint="eastAsia"/>
        </w:rPr>
        <w:t xml:space="preserve"> allow</w:t>
      </w:r>
      <w:r w:rsidRPr="007B27C3">
        <w:t xml:space="preserve"> an </w:t>
      </w:r>
      <w:r w:rsidRPr="007B27C3">
        <w:rPr>
          <w:rFonts w:hint="eastAsia"/>
        </w:rPr>
        <w:t xml:space="preserve">excessively broad interpretation </w:t>
      </w:r>
      <w:r w:rsidRPr="007B27C3">
        <w:t>of its provisions due to</w:t>
      </w:r>
      <w:r w:rsidRPr="007B27C3">
        <w:rPr>
          <w:rFonts w:hint="eastAsia"/>
        </w:rPr>
        <w:t xml:space="preserve"> </w:t>
      </w:r>
      <w:r w:rsidRPr="007B27C3">
        <w:t>their</w:t>
      </w:r>
      <w:r w:rsidRPr="007B27C3">
        <w:rPr>
          <w:rFonts w:hint="eastAsia"/>
        </w:rPr>
        <w:t xml:space="preserve"> vagueness, </w:t>
      </w:r>
      <w:r w:rsidRPr="007B27C3">
        <w:t xml:space="preserve">thus </w:t>
      </w:r>
      <w:r w:rsidRPr="007B27C3">
        <w:rPr>
          <w:rFonts w:hint="eastAsia"/>
        </w:rPr>
        <w:t>resulting in unjustified</w:t>
      </w:r>
      <w:r w:rsidRPr="007B27C3">
        <w:t xml:space="preserve"> and arbitrary</w:t>
      </w:r>
      <w:r w:rsidRPr="007B27C3">
        <w:rPr>
          <w:rFonts w:hint="eastAsia"/>
        </w:rPr>
        <w:t xml:space="preserve"> criminalization of </w:t>
      </w:r>
      <w:r w:rsidRPr="007B27C3">
        <w:t xml:space="preserve">the </w:t>
      </w:r>
      <w:r w:rsidRPr="007B27C3">
        <w:rPr>
          <w:rFonts w:hint="eastAsia"/>
        </w:rPr>
        <w:t xml:space="preserve">legitimate exercise of the right to freedom of expression. </w:t>
      </w:r>
      <w:r w:rsidRPr="007B27C3">
        <w:t xml:space="preserve">However, the </w:t>
      </w:r>
      <w:r w:rsidRPr="007B27C3">
        <w:rPr>
          <w:rFonts w:hint="eastAsia"/>
        </w:rPr>
        <w:t xml:space="preserve">Working Group finds it difficult to </w:t>
      </w:r>
      <w:r w:rsidRPr="007B27C3">
        <w:t>conclude</w:t>
      </w:r>
      <w:r w:rsidRPr="007B27C3">
        <w:rPr>
          <w:rFonts w:hint="eastAsia"/>
        </w:rPr>
        <w:t xml:space="preserve"> that Mr. Al-</w:t>
      </w:r>
      <w:proofErr w:type="spellStart"/>
      <w:r w:rsidRPr="007B27C3">
        <w:rPr>
          <w:rFonts w:hint="eastAsia"/>
        </w:rPr>
        <w:t>Barrak</w:t>
      </w:r>
      <w:r w:rsidR="00E858CE">
        <w:t>’</w:t>
      </w:r>
      <w:r w:rsidRPr="007B27C3">
        <w:rPr>
          <w:rFonts w:hint="eastAsia"/>
        </w:rPr>
        <w:t>s</w:t>
      </w:r>
      <w:proofErr w:type="spellEnd"/>
      <w:r w:rsidRPr="007B27C3">
        <w:rPr>
          <w:rFonts w:hint="eastAsia"/>
        </w:rPr>
        <w:t xml:space="preserve"> deprivation of liberty is completely without legal basis so as to fall within </w:t>
      </w:r>
      <w:r w:rsidRPr="007B27C3">
        <w:t>c</w:t>
      </w:r>
      <w:r w:rsidRPr="007B27C3">
        <w:rPr>
          <w:rFonts w:hint="eastAsia"/>
        </w:rPr>
        <w:t>ategory I.</w:t>
      </w:r>
      <w:r w:rsidRPr="007B27C3">
        <w:t xml:space="preserve"> </w:t>
      </w:r>
    </w:p>
    <w:p w:rsidR="007A71D1" w:rsidRPr="007B27C3" w:rsidRDefault="007A71D1" w:rsidP="007A71D1">
      <w:pPr>
        <w:pStyle w:val="SingleTxtG"/>
      </w:pPr>
      <w:r w:rsidRPr="007B27C3">
        <w:t>36.</w:t>
      </w:r>
      <w:r w:rsidRPr="007B27C3">
        <w:tab/>
      </w:r>
      <w:r w:rsidRPr="007B27C3">
        <w:rPr>
          <w:rFonts w:hint="eastAsia"/>
        </w:rPr>
        <w:t xml:space="preserve">The Working Group </w:t>
      </w:r>
      <w:r w:rsidRPr="007B27C3">
        <w:t xml:space="preserve">will </w:t>
      </w:r>
      <w:r w:rsidRPr="007B27C3">
        <w:rPr>
          <w:rFonts w:hint="eastAsia"/>
        </w:rPr>
        <w:t>further consider whether Mr. Al-</w:t>
      </w:r>
      <w:proofErr w:type="spellStart"/>
      <w:r w:rsidRPr="007B27C3">
        <w:rPr>
          <w:rFonts w:hint="eastAsia"/>
        </w:rPr>
        <w:t>Barrak</w:t>
      </w:r>
      <w:r w:rsidR="00E858CE">
        <w:t>’</w:t>
      </w:r>
      <w:r w:rsidRPr="007B27C3">
        <w:rPr>
          <w:rFonts w:hint="eastAsia"/>
        </w:rPr>
        <w:t>s</w:t>
      </w:r>
      <w:proofErr w:type="spellEnd"/>
      <w:r w:rsidRPr="007B27C3">
        <w:rPr>
          <w:rFonts w:hint="eastAsia"/>
        </w:rPr>
        <w:t xml:space="preserve"> deprivation of liberty resulted from </w:t>
      </w:r>
      <w:r w:rsidRPr="007B27C3">
        <w:t>the</w:t>
      </w:r>
      <w:r w:rsidRPr="007B27C3">
        <w:rPr>
          <w:rFonts w:hint="eastAsia"/>
        </w:rPr>
        <w:t xml:space="preserve"> legitimate exercise of his rights or freedoms</w:t>
      </w:r>
      <w:r w:rsidRPr="007B27C3">
        <w:t>,</w:t>
      </w:r>
      <w:r w:rsidRPr="007B27C3">
        <w:rPr>
          <w:rFonts w:hint="eastAsia"/>
        </w:rPr>
        <w:t xml:space="preserve"> rendering it arbitrary and falling within </w:t>
      </w:r>
      <w:r w:rsidRPr="007B27C3">
        <w:t>c</w:t>
      </w:r>
      <w:r w:rsidRPr="007B27C3">
        <w:rPr>
          <w:rFonts w:hint="eastAsia"/>
        </w:rPr>
        <w:t>ategory II.</w:t>
      </w:r>
    </w:p>
    <w:p w:rsidR="007A71D1" w:rsidRPr="007B27C3" w:rsidRDefault="007A71D1" w:rsidP="007A71D1">
      <w:pPr>
        <w:pStyle w:val="SingleTxtG"/>
      </w:pPr>
      <w:r w:rsidRPr="007B27C3">
        <w:t>37.</w:t>
      </w:r>
      <w:r w:rsidRPr="007B27C3">
        <w:tab/>
        <w:t>The Working Group wishes to</w:t>
      </w:r>
      <w:r w:rsidRPr="007B27C3">
        <w:rPr>
          <w:rFonts w:hint="eastAsia"/>
        </w:rPr>
        <w:t xml:space="preserve"> </w:t>
      </w:r>
      <w:r w:rsidRPr="007B27C3">
        <w:t>reaffirm that any national law allowing deprivations of liberty should be made and implemented in compliance with the relevant international provisions set forth in the Universal Declaration of Human Rights</w:t>
      </w:r>
      <w:r w:rsidRPr="007B27C3">
        <w:rPr>
          <w:rFonts w:hint="eastAsia"/>
        </w:rPr>
        <w:t xml:space="preserve">, the </w:t>
      </w:r>
      <w:r w:rsidRPr="007B27C3">
        <w:t xml:space="preserve">Covenant and </w:t>
      </w:r>
      <w:r w:rsidRPr="007B27C3">
        <w:rPr>
          <w:rFonts w:hint="eastAsia"/>
        </w:rPr>
        <w:t xml:space="preserve">other </w:t>
      </w:r>
      <w:r w:rsidRPr="007B27C3">
        <w:t>relevant international legal instruments. Consequently, even if the detention is in conformity with national legislation, the Working Group must assess whether such detention is also consistent with the relevant provisions of</w:t>
      </w:r>
      <w:r w:rsidRPr="007B27C3">
        <w:rPr>
          <w:rFonts w:hint="eastAsia"/>
        </w:rPr>
        <w:t xml:space="preserve"> in</w:t>
      </w:r>
      <w:r w:rsidRPr="007B27C3">
        <w:t>ternational human rights</w:t>
      </w:r>
      <w:r w:rsidRPr="007B27C3">
        <w:rPr>
          <w:rFonts w:hint="eastAsia"/>
        </w:rPr>
        <w:t xml:space="preserve"> law</w:t>
      </w:r>
      <w:r w:rsidRPr="007B27C3">
        <w:t xml:space="preserve"> (see opinion No. 28/2015, para. 41)</w:t>
      </w:r>
      <w:r w:rsidRPr="007B27C3">
        <w:rPr>
          <w:rFonts w:hint="eastAsia"/>
        </w:rPr>
        <w:t>.</w:t>
      </w:r>
    </w:p>
    <w:p w:rsidR="007A71D1" w:rsidRPr="007B27C3" w:rsidRDefault="007A71D1" w:rsidP="007A71D1">
      <w:pPr>
        <w:pStyle w:val="SingleTxtG"/>
      </w:pPr>
      <w:r w:rsidRPr="007B27C3">
        <w:t>38.</w:t>
      </w:r>
      <w:r w:rsidRPr="007B27C3">
        <w:tab/>
      </w:r>
      <w:r w:rsidRPr="007B27C3">
        <w:rPr>
          <w:rFonts w:hint="eastAsia"/>
        </w:rPr>
        <w:t xml:space="preserve">The </w:t>
      </w:r>
      <w:r w:rsidRPr="007B27C3">
        <w:t>Working Group recalls that holding and expressing opinions, including those</w:t>
      </w:r>
      <w:r w:rsidRPr="007B27C3">
        <w:rPr>
          <w:rFonts w:hint="eastAsia"/>
        </w:rPr>
        <w:t xml:space="preserve"> </w:t>
      </w:r>
      <w:r w:rsidRPr="007B27C3">
        <w:t>that are not in accordance with official government policy, are protected by article 19 of the</w:t>
      </w:r>
      <w:r w:rsidRPr="007B27C3">
        <w:rPr>
          <w:rFonts w:hint="eastAsia"/>
        </w:rPr>
        <w:t xml:space="preserve"> </w:t>
      </w:r>
      <w:r w:rsidRPr="007B27C3">
        <w:t>Universal Declaration of Human Rights</w:t>
      </w:r>
      <w:r w:rsidRPr="007B27C3">
        <w:rPr>
          <w:rFonts w:hint="eastAsia"/>
        </w:rPr>
        <w:t xml:space="preserve"> and</w:t>
      </w:r>
      <w:r w:rsidRPr="007B27C3">
        <w:t xml:space="preserve"> </w:t>
      </w:r>
      <w:r w:rsidRPr="007B27C3">
        <w:rPr>
          <w:rFonts w:hint="eastAsia"/>
        </w:rPr>
        <w:t xml:space="preserve">article 19 of the </w:t>
      </w:r>
      <w:r w:rsidRPr="007B27C3">
        <w:t>Covenant.</w:t>
      </w:r>
      <w:r w:rsidRPr="00E858CE">
        <w:rPr>
          <w:rStyle w:val="FootnoteReference"/>
        </w:rPr>
        <w:footnoteReference w:id="5"/>
      </w:r>
      <w:r w:rsidRPr="007B27C3">
        <w:rPr>
          <w:rFonts w:hint="eastAsia"/>
        </w:rPr>
        <w:t xml:space="preserve"> </w:t>
      </w:r>
      <w:r w:rsidRPr="007B27C3">
        <w:t xml:space="preserve">In that regard, the Human Rights Committee stated, in paragraph 38 of its general comment No. 34 (2011) on the freedoms of opinion and expression, that: </w:t>
      </w:r>
    </w:p>
    <w:p w:rsidR="007A71D1" w:rsidRPr="007B27C3" w:rsidRDefault="007A71D1" w:rsidP="009D102D">
      <w:pPr>
        <w:pStyle w:val="SingleTxtG"/>
        <w:ind w:left="1701"/>
      </w:pPr>
      <w:r w:rsidRPr="007B27C3">
        <w:t>The mere fact that forms of expression are considered to be insulting to a public figure is not sufficient to justify the imposition of penalties, albeit public figures may also benefit from the provisions of the Covenant. Moreover, all public figures, including those exercising the highest political authority such as heads of state and government, are legitimately subject to criticism and political opposition.</w:t>
      </w:r>
    </w:p>
    <w:p w:rsidR="007A71D1" w:rsidRPr="007B27C3" w:rsidRDefault="007A71D1" w:rsidP="007A71D1">
      <w:pPr>
        <w:pStyle w:val="SingleTxtG"/>
      </w:pPr>
      <w:r w:rsidRPr="007B27C3">
        <w:t>39.</w:t>
      </w:r>
      <w:r w:rsidRPr="007B27C3">
        <w:tab/>
        <w:t>With regard to Act No. 31, particularly article 25, and its application, the</w:t>
      </w:r>
      <w:r w:rsidRPr="007B27C3">
        <w:rPr>
          <w:rFonts w:hint="eastAsia"/>
        </w:rPr>
        <w:t xml:space="preserve"> W</w:t>
      </w:r>
      <w:r w:rsidRPr="007B27C3">
        <w:t>o</w:t>
      </w:r>
      <w:r w:rsidRPr="007B27C3">
        <w:rPr>
          <w:rFonts w:hint="eastAsia"/>
        </w:rPr>
        <w:t xml:space="preserve">rking Group is concerned </w:t>
      </w:r>
      <w:r w:rsidRPr="007B27C3">
        <w:t>by the</w:t>
      </w:r>
      <w:r w:rsidRPr="007B27C3">
        <w:rPr>
          <w:rFonts w:hint="eastAsia"/>
        </w:rPr>
        <w:t xml:space="preserve"> </w:t>
      </w:r>
      <w:r w:rsidRPr="007B27C3">
        <w:t>lese-majesty</w:t>
      </w:r>
      <w:r w:rsidRPr="007B27C3">
        <w:rPr>
          <w:rFonts w:hint="eastAsia"/>
        </w:rPr>
        <w:t xml:space="preserve"> nature </w:t>
      </w:r>
      <w:r w:rsidRPr="007B27C3">
        <w:t>of the</w:t>
      </w:r>
      <w:r w:rsidRPr="007B27C3">
        <w:rPr>
          <w:rFonts w:hint="eastAsia"/>
        </w:rPr>
        <w:t xml:space="preserve"> </w:t>
      </w:r>
      <w:r w:rsidRPr="007B27C3">
        <w:t>law</w:t>
      </w:r>
      <w:r w:rsidRPr="007B27C3">
        <w:rPr>
          <w:rFonts w:hint="eastAsia"/>
        </w:rPr>
        <w:t xml:space="preserve">. The Working Group recalls that in </w:t>
      </w:r>
      <w:r w:rsidRPr="007B27C3">
        <w:t>a</w:t>
      </w:r>
      <w:r w:rsidRPr="007B27C3">
        <w:rPr>
          <w:rFonts w:hint="eastAsia"/>
        </w:rPr>
        <w:t xml:space="preserve"> previous case</w:t>
      </w:r>
      <w:r w:rsidRPr="007B27C3">
        <w:t xml:space="preserve"> of</w:t>
      </w:r>
      <w:r w:rsidRPr="007B27C3">
        <w:rPr>
          <w:rFonts w:hint="eastAsia"/>
        </w:rPr>
        <w:t xml:space="preserve"> </w:t>
      </w:r>
      <w:r w:rsidRPr="007B27C3">
        <w:t>lese-majesty</w:t>
      </w:r>
      <w:r w:rsidRPr="007B27C3">
        <w:rPr>
          <w:rFonts w:hint="eastAsia"/>
        </w:rPr>
        <w:t xml:space="preserve"> </w:t>
      </w:r>
      <w:r w:rsidRPr="007B27C3">
        <w:t>in</w:t>
      </w:r>
      <w:r w:rsidRPr="007B27C3">
        <w:rPr>
          <w:rFonts w:hint="eastAsia"/>
        </w:rPr>
        <w:t xml:space="preserve"> Kuwait, it found the </w:t>
      </w:r>
      <w:r w:rsidRPr="007B27C3">
        <w:t>charge</w:t>
      </w:r>
      <w:r w:rsidRPr="007B27C3">
        <w:rPr>
          <w:rFonts w:hint="eastAsia"/>
        </w:rPr>
        <w:t xml:space="preserve"> and conviction</w:t>
      </w:r>
      <w:r w:rsidRPr="007B27C3">
        <w:t>,</w:t>
      </w:r>
      <w:r w:rsidRPr="007B27C3">
        <w:rPr>
          <w:rFonts w:hint="eastAsia"/>
        </w:rPr>
        <w:t xml:space="preserve"> under article 25 of </w:t>
      </w:r>
      <w:r w:rsidRPr="007B27C3">
        <w:t>Act</w:t>
      </w:r>
      <w:r w:rsidRPr="007B27C3">
        <w:rPr>
          <w:rFonts w:hint="eastAsia"/>
        </w:rPr>
        <w:t xml:space="preserve"> No. 31 </w:t>
      </w:r>
      <w:r w:rsidRPr="007B27C3">
        <w:t>and</w:t>
      </w:r>
      <w:r w:rsidRPr="007B27C3">
        <w:rPr>
          <w:rFonts w:hint="eastAsia"/>
        </w:rPr>
        <w:t xml:space="preserve"> article 1 of Law No. 9 of 2001 </w:t>
      </w:r>
      <w:r w:rsidRPr="007B27C3">
        <w:t>concerning the m</w:t>
      </w:r>
      <w:r w:rsidRPr="007B27C3">
        <w:rPr>
          <w:rFonts w:hint="eastAsia"/>
        </w:rPr>
        <w:t xml:space="preserve">isuse </w:t>
      </w:r>
      <w:r w:rsidRPr="007B27C3">
        <w:t>of telecommunication and eavesdropping equipment, in violation of article 19 of the Universal Declaration of Human Rights and article 19 of the Covenant (see opinion No. 28/2015).</w:t>
      </w:r>
      <w:r w:rsidRPr="007B27C3">
        <w:rPr>
          <w:rFonts w:hint="eastAsia"/>
        </w:rPr>
        <w:t xml:space="preserve"> </w:t>
      </w:r>
    </w:p>
    <w:p w:rsidR="007A71D1" w:rsidRPr="007B27C3" w:rsidRDefault="007A71D1" w:rsidP="007A71D1">
      <w:pPr>
        <w:pStyle w:val="SingleTxtG"/>
      </w:pPr>
      <w:r w:rsidRPr="007B27C3">
        <w:t>40.</w:t>
      </w:r>
      <w:r w:rsidRPr="007B27C3">
        <w:tab/>
      </w:r>
      <w:r w:rsidRPr="007B27C3">
        <w:rPr>
          <w:rFonts w:hint="eastAsia"/>
        </w:rPr>
        <w:t>The Working Group also notes that the Human Rights Committee, in its c</w:t>
      </w:r>
      <w:r w:rsidRPr="007B27C3">
        <w:t xml:space="preserve">oncluding observations on the third periodic report of Kuwait, explicitly urged the repeal or revision of </w:t>
      </w:r>
      <w:r w:rsidR="00E858CE">
        <w:t>“</w:t>
      </w:r>
      <w:r w:rsidRPr="007B27C3">
        <w:t>laws containing provisions restricting the right to freedom of expression and opinion and repeal laws criminalizing blasphemy and insulting the Emir, among other acts, with a view to bringing them into conformity with its obligations under the Covenant</w:t>
      </w:r>
      <w:r w:rsidR="00E858CE">
        <w:t>”</w:t>
      </w:r>
      <w:r w:rsidRPr="007B27C3">
        <w:t xml:space="preserve">, and requested the Government to </w:t>
      </w:r>
      <w:r w:rsidR="00E858CE">
        <w:t>“</w:t>
      </w:r>
      <w:r w:rsidRPr="007B27C3">
        <w:t>clarify the vague, broad and open-ended definition of key terms</w:t>
      </w:r>
      <w:r w:rsidR="00E858CE">
        <w:t>”</w:t>
      </w:r>
      <w:r w:rsidRPr="007B27C3">
        <w:t xml:space="preserve"> (see CCPR/C/KWT/CO/3, para. 41).</w:t>
      </w:r>
      <w:r w:rsidRPr="007B27C3">
        <w:rPr>
          <w:rFonts w:hint="eastAsia"/>
        </w:rPr>
        <w:t xml:space="preserve"> The Working Group, mindful of the chilling effect on the freedom of expression that such vaguely and broadly worded regulation</w:t>
      </w:r>
      <w:r w:rsidRPr="007B27C3">
        <w:t>s</w:t>
      </w:r>
      <w:r w:rsidRPr="007B27C3">
        <w:rPr>
          <w:rFonts w:hint="eastAsia"/>
        </w:rPr>
        <w:t xml:space="preserve"> may have, also </w:t>
      </w:r>
      <w:r w:rsidRPr="007B27C3">
        <w:t>concurs</w:t>
      </w:r>
      <w:r w:rsidRPr="007B27C3">
        <w:rPr>
          <w:rFonts w:hint="eastAsia"/>
        </w:rPr>
        <w:t xml:space="preserve"> with the Human Rights Committee</w:t>
      </w:r>
      <w:r w:rsidR="00E858CE">
        <w:t>’</w:t>
      </w:r>
      <w:r w:rsidRPr="007B27C3">
        <w:rPr>
          <w:rFonts w:hint="eastAsia"/>
        </w:rPr>
        <w:t xml:space="preserve">s assessment, which was previously cited in a recent </w:t>
      </w:r>
      <w:r w:rsidRPr="007B27C3">
        <w:t>opinion in which it found</w:t>
      </w:r>
      <w:r w:rsidRPr="007B27C3">
        <w:rPr>
          <w:rFonts w:hint="eastAsia"/>
        </w:rPr>
        <w:t xml:space="preserve"> deprivation of liberty </w:t>
      </w:r>
      <w:r w:rsidRPr="007B27C3">
        <w:t xml:space="preserve">to be </w:t>
      </w:r>
      <w:r w:rsidRPr="007B27C3">
        <w:rPr>
          <w:rFonts w:hint="eastAsia"/>
        </w:rPr>
        <w:t xml:space="preserve">arbitrary under a similar </w:t>
      </w:r>
      <w:r w:rsidRPr="007B27C3">
        <w:t>legal framework of lese-majesty (see opinion No. 48/2016)</w:t>
      </w:r>
      <w:r w:rsidRPr="007B27C3">
        <w:rPr>
          <w:rFonts w:hint="eastAsia"/>
        </w:rPr>
        <w:t>.</w:t>
      </w:r>
    </w:p>
    <w:p w:rsidR="007A71D1" w:rsidRPr="007B27C3" w:rsidRDefault="007A71D1" w:rsidP="007A71D1">
      <w:pPr>
        <w:pStyle w:val="SingleTxtG"/>
      </w:pPr>
      <w:r w:rsidRPr="007B27C3">
        <w:t>41.</w:t>
      </w:r>
      <w:r w:rsidRPr="007B27C3">
        <w:tab/>
      </w:r>
      <w:r w:rsidRPr="007B27C3">
        <w:rPr>
          <w:rFonts w:hint="eastAsia"/>
        </w:rPr>
        <w:t xml:space="preserve">The Working Group </w:t>
      </w:r>
      <w:r w:rsidRPr="007B27C3">
        <w:t>notes that</w:t>
      </w:r>
      <w:r w:rsidRPr="007B27C3">
        <w:rPr>
          <w:rFonts w:hint="eastAsia"/>
        </w:rPr>
        <w:t xml:space="preserve"> the Government</w:t>
      </w:r>
      <w:r w:rsidRPr="007B27C3">
        <w:t>, in its response, referred</w:t>
      </w:r>
      <w:r w:rsidRPr="007B27C3">
        <w:rPr>
          <w:rFonts w:hint="eastAsia"/>
        </w:rPr>
        <w:t xml:space="preserve"> to the restrictions on the freedom of expression permitted under </w:t>
      </w:r>
      <w:r w:rsidRPr="007B27C3">
        <w:t>article 19 (3) of the</w:t>
      </w:r>
      <w:r w:rsidRPr="007B27C3">
        <w:rPr>
          <w:rFonts w:hint="eastAsia"/>
        </w:rPr>
        <w:t xml:space="preserve"> </w:t>
      </w:r>
      <w:r w:rsidRPr="007B27C3">
        <w:t>Covenant,</w:t>
      </w:r>
      <w:r w:rsidRPr="007B27C3">
        <w:rPr>
          <w:rFonts w:hint="eastAsia"/>
        </w:rPr>
        <w:t xml:space="preserve"> </w:t>
      </w:r>
      <w:r w:rsidRPr="007B27C3">
        <w:t xml:space="preserve">in </w:t>
      </w:r>
      <w:r w:rsidRPr="007B27C3">
        <w:lastRenderedPageBreak/>
        <w:t xml:space="preserve">order </w:t>
      </w:r>
      <w:r w:rsidRPr="007B27C3">
        <w:rPr>
          <w:rFonts w:hint="eastAsia"/>
        </w:rPr>
        <w:t xml:space="preserve">to justify </w:t>
      </w:r>
      <w:r w:rsidRPr="007B27C3">
        <w:t>article 25 of Act No. 31, and Mr. Al-</w:t>
      </w:r>
      <w:proofErr w:type="spellStart"/>
      <w:r w:rsidRPr="007B27C3">
        <w:t>Barrak</w:t>
      </w:r>
      <w:r w:rsidR="00E858CE">
        <w:t>’</w:t>
      </w:r>
      <w:r w:rsidRPr="007B27C3">
        <w:t>s</w:t>
      </w:r>
      <w:proofErr w:type="spellEnd"/>
      <w:r w:rsidRPr="007B27C3">
        <w:t xml:space="preserve"> deprivation of liberty.</w:t>
      </w:r>
      <w:r w:rsidRPr="007B27C3">
        <w:rPr>
          <w:rFonts w:hint="eastAsia"/>
        </w:rPr>
        <w:t xml:space="preserve"> </w:t>
      </w:r>
      <w:r w:rsidRPr="007B27C3">
        <w:t>According to article 19</w:t>
      </w:r>
      <w:r w:rsidR="00E858CE">
        <w:t xml:space="preserve"> </w:t>
      </w:r>
      <w:r w:rsidRPr="007B27C3">
        <w:t xml:space="preserve">(3) of the Covenant, freedom of expression may be subject to restrictions, when provided by law and necessary. Furthermore, article 29 (2) of the Universal Declaration of Human Rights states that: </w:t>
      </w:r>
      <w:r w:rsidR="00E858CE">
        <w:t>“</w:t>
      </w:r>
      <w:r w:rsidRPr="007B27C3">
        <w:t>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r w:rsidR="00E858CE">
        <w:t>”</w:t>
      </w:r>
    </w:p>
    <w:p w:rsidR="007A71D1" w:rsidRPr="007B27C3" w:rsidRDefault="007A71D1" w:rsidP="007A71D1">
      <w:pPr>
        <w:pStyle w:val="SingleTxtG"/>
      </w:pPr>
      <w:r w:rsidRPr="007B27C3">
        <w:t>42.</w:t>
      </w:r>
      <w:r w:rsidRPr="007B27C3">
        <w:tab/>
      </w:r>
      <w:r w:rsidRPr="007B27C3">
        <w:rPr>
          <w:rFonts w:hint="eastAsia"/>
        </w:rPr>
        <w:t xml:space="preserve">In this regard, the Working Group has </w:t>
      </w:r>
      <w:r w:rsidRPr="007B27C3">
        <w:t xml:space="preserve">stated, in its deliberation No. 9 concerning the definition and scope of arbitrary deprivation of liberty under customary international law, that: </w:t>
      </w:r>
      <w:r w:rsidR="00E858CE">
        <w:t>“</w:t>
      </w:r>
      <w:r w:rsidRPr="007B27C3">
        <w:t xml:space="preserve">The notion of </w:t>
      </w:r>
      <w:r w:rsidR="00E858CE">
        <w:t>‘</w:t>
      </w:r>
      <w:r w:rsidRPr="007B27C3">
        <w:t>arbitrary</w:t>
      </w:r>
      <w:r w:rsidR="00E858CE">
        <w:t>’</w:t>
      </w:r>
      <w:r w:rsidRPr="007B27C3">
        <w:t xml:space="preserve"> </w:t>
      </w:r>
      <w:proofErr w:type="spellStart"/>
      <w:r w:rsidRPr="00BE0426">
        <w:t>stricto</w:t>
      </w:r>
      <w:proofErr w:type="spellEnd"/>
      <w:r w:rsidRPr="00BE0426">
        <w:t xml:space="preserve"> </w:t>
      </w:r>
      <w:proofErr w:type="spellStart"/>
      <w:r w:rsidRPr="00BE0426">
        <w:t>sensu</w:t>
      </w:r>
      <w:proofErr w:type="spellEnd"/>
      <w:r w:rsidRPr="007B27C3">
        <w:t xml:space="preserve"> includes both the requirement that a particular form of deprivation of liberty is taken in accordance with the applicable law and procedure and that it is proportional to the aim sought, reasonable and necessary</w:t>
      </w:r>
      <w:r w:rsidR="00E858CE">
        <w:t>”</w:t>
      </w:r>
      <w:r w:rsidRPr="007B27C3">
        <w:t xml:space="preserve"> (para. 61).</w:t>
      </w:r>
      <w:r w:rsidRPr="007B27C3">
        <w:rPr>
          <w:rFonts w:hint="eastAsia"/>
        </w:rPr>
        <w:t xml:space="preserve"> </w:t>
      </w:r>
    </w:p>
    <w:p w:rsidR="007A71D1" w:rsidRPr="007B27C3" w:rsidRDefault="007A71D1" w:rsidP="007A71D1">
      <w:pPr>
        <w:pStyle w:val="SingleTxtG"/>
      </w:pPr>
      <w:r w:rsidRPr="007B27C3">
        <w:t>43.</w:t>
      </w:r>
      <w:r w:rsidRPr="007B27C3">
        <w:tab/>
      </w:r>
      <w:r w:rsidRPr="007B27C3">
        <w:rPr>
          <w:rFonts w:hint="eastAsia"/>
        </w:rPr>
        <w:t>In the present case, t</w:t>
      </w:r>
      <w:r w:rsidRPr="007B27C3">
        <w:t>h</w:t>
      </w:r>
      <w:r w:rsidRPr="007B27C3">
        <w:rPr>
          <w:rFonts w:hint="eastAsia"/>
        </w:rPr>
        <w:t xml:space="preserve">e Working Group has been unable to find </w:t>
      </w:r>
      <w:r w:rsidRPr="007B27C3">
        <w:t xml:space="preserve">Mr. </w:t>
      </w:r>
      <w:r w:rsidRPr="007B27C3">
        <w:rPr>
          <w:rFonts w:hint="eastAsia"/>
        </w:rPr>
        <w:t>Al-</w:t>
      </w:r>
      <w:proofErr w:type="spellStart"/>
      <w:r w:rsidRPr="007B27C3">
        <w:rPr>
          <w:rFonts w:hint="eastAsia"/>
        </w:rPr>
        <w:t>Barrak</w:t>
      </w:r>
      <w:r w:rsidR="00E858CE">
        <w:t>’</w:t>
      </w:r>
      <w:r w:rsidRPr="007B27C3">
        <w:rPr>
          <w:rFonts w:hint="eastAsia"/>
        </w:rPr>
        <w:t>s</w:t>
      </w:r>
      <w:proofErr w:type="spellEnd"/>
      <w:r w:rsidRPr="007B27C3">
        <w:rPr>
          <w:rFonts w:hint="eastAsia"/>
        </w:rPr>
        <w:t xml:space="preserve"> deprivation of liberty for the </w:t>
      </w:r>
      <w:r w:rsidRPr="007B27C3">
        <w:t>lese-majesty offence, under article</w:t>
      </w:r>
      <w:r w:rsidRPr="007B27C3">
        <w:rPr>
          <w:rFonts w:hint="eastAsia"/>
        </w:rPr>
        <w:t xml:space="preserve"> </w:t>
      </w:r>
      <w:r w:rsidRPr="007B27C3">
        <w:t>25 of Act No. 31</w:t>
      </w:r>
      <w:r w:rsidRPr="007B27C3">
        <w:rPr>
          <w:rFonts w:hint="eastAsia"/>
        </w:rPr>
        <w:t xml:space="preserve">, </w:t>
      </w:r>
      <w:r w:rsidRPr="007B27C3">
        <w:t>and</w:t>
      </w:r>
      <w:r w:rsidRPr="007B27C3">
        <w:rPr>
          <w:rFonts w:hint="eastAsia"/>
        </w:rPr>
        <w:t xml:space="preserve"> the criminal provision itself, necessary or proportional for the purposes</w:t>
      </w:r>
      <w:r w:rsidRPr="007B27C3">
        <w:t xml:space="preserve"> set out in article 19 (3) of the Covenant.</w:t>
      </w:r>
      <w:r w:rsidRPr="007B27C3">
        <w:rPr>
          <w:rFonts w:hint="eastAsia"/>
        </w:rPr>
        <w:t xml:space="preserve"> </w:t>
      </w:r>
      <w:r w:rsidRPr="007B27C3">
        <w:t>T</w:t>
      </w:r>
      <w:r w:rsidRPr="007B27C3">
        <w:rPr>
          <w:rFonts w:hint="eastAsia"/>
        </w:rPr>
        <w:t xml:space="preserve">he Working Group </w:t>
      </w:r>
      <w:r w:rsidRPr="007B27C3">
        <w:t>concurs</w:t>
      </w:r>
      <w:r w:rsidRPr="007B27C3">
        <w:rPr>
          <w:rFonts w:hint="eastAsia"/>
        </w:rPr>
        <w:t xml:space="preserve"> with the assessment of the Human Right</w:t>
      </w:r>
      <w:r w:rsidRPr="007B27C3">
        <w:t>s</w:t>
      </w:r>
      <w:r w:rsidRPr="007B27C3">
        <w:rPr>
          <w:rFonts w:hint="eastAsia"/>
        </w:rPr>
        <w:t xml:space="preserve"> Committee that all public </w:t>
      </w:r>
      <w:r w:rsidRPr="007B27C3">
        <w:t>figures, including those exercising the highest political authority, such as heads of State and Government, are legitimately subject to criticism and political opposition</w:t>
      </w:r>
      <w:r w:rsidRPr="007B27C3">
        <w:rPr>
          <w:rFonts w:hint="eastAsia"/>
        </w:rPr>
        <w:t xml:space="preserve"> </w:t>
      </w:r>
      <w:r w:rsidRPr="007B27C3">
        <w:t xml:space="preserve">(see general comment No. 34 (2011) on the freedoms of opinion and expression, para. 38). </w:t>
      </w:r>
      <w:r w:rsidRPr="007B27C3">
        <w:rPr>
          <w:rFonts w:hint="eastAsia"/>
        </w:rPr>
        <w:t>The Working Group also notes the Human Rights Committee</w:t>
      </w:r>
      <w:r w:rsidR="00E858CE">
        <w:t>’</w:t>
      </w:r>
      <w:r w:rsidRPr="007B27C3">
        <w:rPr>
          <w:rFonts w:hint="eastAsia"/>
        </w:rPr>
        <w:t xml:space="preserve">s </w:t>
      </w:r>
      <w:r w:rsidRPr="007B27C3">
        <w:t xml:space="preserve">specific reference to lese-majesty when stating that </w:t>
      </w:r>
      <w:r w:rsidR="00E858CE">
        <w:t>“</w:t>
      </w:r>
      <w:r w:rsidRPr="007B27C3">
        <w:t>laws should not provide for more severe penalties solely on the basis of the identity of the person that may have been impugned</w:t>
      </w:r>
      <w:r w:rsidR="00E858CE">
        <w:t>”</w:t>
      </w:r>
      <w:r w:rsidRPr="007B27C3">
        <w:t xml:space="preserve"> (ibid.).</w:t>
      </w:r>
    </w:p>
    <w:p w:rsidR="007A71D1" w:rsidRPr="007B27C3" w:rsidRDefault="007A71D1" w:rsidP="007A71D1">
      <w:pPr>
        <w:pStyle w:val="SingleTxtG"/>
      </w:pPr>
      <w:r w:rsidRPr="007B27C3">
        <w:t>44.</w:t>
      </w:r>
      <w:r w:rsidRPr="007B27C3">
        <w:tab/>
      </w:r>
      <w:r w:rsidRPr="007B27C3">
        <w:rPr>
          <w:rFonts w:hint="eastAsia"/>
        </w:rPr>
        <w:t xml:space="preserve">The </w:t>
      </w:r>
      <w:r w:rsidRPr="007B27C3">
        <w:t xml:space="preserve">Working Group also recalls that the Human Rights Council noted that </w:t>
      </w:r>
      <w:r w:rsidR="00E858CE">
        <w:t>“</w:t>
      </w:r>
      <w:r w:rsidRPr="007B27C3">
        <w:t xml:space="preserve">the right to freedom of expression includes expression of views and opinions that </w:t>
      </w:r>
      <w:proofErr w:type="gramStart"/>
      <w:r w:rsidRPr="007B27C3">
        <w:t>offend,</w:t>
      </w:r>
      <w:proofErr w:type="gramEnd"/>
      <w:r w:rsidRPr="007B27C3">
        <w:t xml:space="preserve"> shock or disturb</w:t>
      </w:r>
      <w:r w:rsidR="00E858CE">
        <w:t>”</w:t>
      </w:r>
      <w:r w:rsidRPr="007B27C3">
        <w:t xml:space="preserve"> (see A/HRC/17/27, para. 37). In addition, t</w:t>
      </w:r>
      <w:r w:rsidRPr="007B27C3">
        <w:rPr>
          <w:rFonts w:hint="eastAsia"/>
        </w:rPr>
        <w:t xml:space="preserve">he Working Group wishes to note that </w:t>
      </w:r>
      <w:r w:rsidRPr="007B27C3">
        <w:t>the Special Rapporteur on the promotion and protection of the right to freedom of opinion and expression stated that:</w:t>
      </w:r>
      <w:r w:rsidRPr="007B27C3">
        <w:rPr>
          <w:rFonts w:hint="eastAsia"/>
        </w:rPr>
        <w:t xml:space="preserve"> </w:t>
      </w:r>
    </w:p>
    <w:p w:rsidR="007A71D1" w:rsidRPr="007B27C3" w:rsidRDefault="007A71D1" w:rsidP="009D102D">
      <w:pPr>
        <w:pStyle w:val="SingleTxtG"/>
        <w:ind w:left="1701"/>
      </w:pPr>
      <w:r w:rsidRPr="007B27C3">
        <w:t>Protection of national security or countering terrorism cannot be used to justify restricting the right to expression unless the Government can demonstrate that: (a) the expression is intended to incite imminent violence; (b) it is likely to incite such violence; and (c) there is a direct and immediate connection between the expression and the likelihood or occurrence of such violence (ibid., para. 36).</w:t>
      </w:r>
      <w:r w:rsidRPr="007B27C3">
        <w:rPr>
          <w:rFonts w:hint="eastAsia"/>
        </w:rPr>
        <w:t xml:space="preserve"> </w:t>
      </w:r>
    </w:p>
    <w:p w:rsidR="007A71D1" w:rsidRPr="007B27C3" w:rsidRDefault="007A71D1" w:rsidP="007A71D1">
      <w:pPr>
        <w:pStyle w:val="SingleTxtG"/>
      </w:pPr>
      <w:r w:rsidRPr="007B27C3">
        <w:t>45.</w:t>
      </w:r>
      <w:r w:rsidRPr="007B27C3">
        <w:tab/>
      </w:r>
      <w:r w:rsidRPr="007B27C3">
        <w:rPr>
          <w:rFonts w:hint="eastAsia"/>
        </w:rPr>
        <w:t xml:space="preserve">It is difficult for the Working Group to </w:t>
      </w:r>
      <w:r w:rsidRPr="007B27C3">
        <w:t>consider</w:t>
      </w:r>
      <w:r w:rsidRPr="007B27C3">
        <w:rPr>
          <w:rFonts w:hint="eastAsia"/>
        </w:rPr>
        <w:t xml:space="preserve"> that Mr. Al-</w:t>
      </w:r>
      <w:proofErr w:type="spellStart"/>
      <w:r w:rsidRPr="007B27C3">
        <w:rPr>
          <w:rFonts w:hint="eastAsia"/>
        </w:rPr>
        <w:t>Barrak</w:t>
      </w:r>
      <w:r w:rsidR="00E858CE">
        <w:t>’</w:t>
      </w:r>
      <w:r w:rsidRPr="007B27C3">
        <w:rPr>
          <w:rFonts w:hint="eastAsia"/>
        </w:rPr>
        <w:t>s</w:t>
      </w:r>
      <w:proofErr w:type="spellEnd"/>
      <w:r w:rsidRPr="007B27C3">
        <w:rPr>
          <w:rFonts w:hint="eastAsia"/>
        </w:rPr>
        <w:t xml:space="preserve"> speech could plausibly threaten national security or public order</w:t>
      </w:r>
      <w:r w:rsidRPr="007B27C3">
        <w:t>,</w:t>
      </w:r>
      <w:r w:rsidRPr="007B27C3">
        <w:rPr>
          <w:rFonts w:hint="eastAsia"/>
        </w:rPr>
        <w:t xml:space="preserve"> let alone public health or morals. Therefore</w:t>
      </w:r>
      <w:r w:rsidRPr="007B27C3">
        <w:t>,</w:t>
      </w:r>
      <w:r w:rsidRPr="007B27C3">
        <w:rPr>
          <w:rFonts w:hint="eastAsia"/>
        </w:rPr>
        <w:t xml:space="preserve"> the Working Group considers that Mr. Al-</w:t>
      </w:r>
      <w:proofErr w:type="spellStart"/>
      <w:r w:rsidRPr="007B27C3">
        <w:rPr>
          <w:rFonts w:hint="eastAsia"/>
        </w:rPr>
        <w:t>Barrak</w:t>
      </w:r>
      <w:r w:rsidR="00E858CE">
        <w:t>’</w:t>
      </w:r>
      <w:r w:rsidRPr="007B27C3">
        <w:rPr>
          <w:rFonts w:hint="eastAsia"/>
        </w:rPr>
        <w:t>s</w:t>
      </w:r>
      <w:proofErr w:type="spellEnd"/>
      <w:r w:rsidRPr="007B27C3">
        <w:rPr>
          <w:rFonts w:hint="eastAsia"/>
        </w:rPr>
        <w:t xml:space="preserve"> deprivation of liberty for the </w:t>
      </w:r>
      <w:r w:rsidRPr="007B27C3">
        <w:t>lese-majesty</w:t>
      </w:r>
      <w:r w:rsidRPr="007B27C3">
        <w:rPr>
          <w:rFonts w:hint="eastAsia"/>
        </w:rPr>
        <w:t xml:space="preserve"> charge </w:t>
      </w:r>
      <w:r w:rsidRPr="007B27C3">
        <w:t>related to</w:t>
      </w:r>
      <w:r w:rsidRPr="007B27C3">
        <w:rPr>
          <w:rFonts w:hint="eastAsia"/>
        </w:rPr>
        <w:t xml:space="preserve"> his speech of </w:t>
      </w:r>
      <w:r w:rsidRPr="007B27C3">
        <w:t>15 October 2012</w:t>
      </w:r>
      <w:r w:rsidRPr="007B27C3">
        <w:rPr>
          <w:rFonts w:hint="eastAsia"/>
        </w:rPr>
        <w:t xml:space="preserve"> resulted from the exercise of the right to freedom of expression </w:t>
      </w:r>
      <w:r w:rsidRPr="007B27C3">
        <w:t>guaranteed</w:t>
      </w:r>
      <w:r w:rsidRPr="007B27C3">
        <w:rPr>
          <w:rFonts w:hint="eastAsia"/>
        </w:rPr>
        <w:t xml:space="preserve"> by article 19 of </w:t>
      </w:r>
      <w:r w:rsidRPr="007B27C3">
        <w:t>the Universal Declaration</w:t>
      </w:r>
      <w:r w:rsidRPr="007B27C3">
        <w:rPr>
          <w:rFonts w:hint="eastAsia"/>
        </w:rPr>
        <w:t xml:space="preserve"> </w:t>
      </w:r>
      <w:r w:rsidRPr="007B27C3">
        <w:t xml:space="preserve">of Human Rights </w:t>
      </w:r>
      <w:r w:rsidRPr="007B27C3">
        <w:rPr>
          <w:rFonts w:hint="eastAsia"/>
        </w:rPr>
        <w:t xml:space="preserve">and </w:t>
      </w:r>
      <w:r w:rsidRPr="007B27C3">
        <w:t>article</w:t>
      </w:r>
      <w:r w:rsidRPr="007B27C3">
        <w:rPr>
          <w:rFonts w:hint="eastAsia"/>
        </w:rPr>
        <w:t xml:space="preserve"> 19 of the </w:t>
      </w:r>
      <w:r w:rsidRPr="007B27C3">
        <w:t>Covenant</w:t>
      </w:r>
      <w:r w:rsidRPr="007B27C3">
        <w:rPr>
          <w:rFonts w:hint="eastAsia"/>
        </w:rPr>
        <w:t>.</w:t>
      </w:r>
    </w:p>
    <w:p w:rsidR="007A71D1" w:rsidRPr="007B27C3" w:rsidRDefault="007A71D1" w:rsidP="007A71D1">
      <w:pPr>
        <w:pStyle w:val="SingleTxtG"/>
      </w:pPr>
      <w:r w:rsidRPr="007B27C3">
        <w:t>46.</w:t>
      </w:r>
      <w:r w:rsidRPr="007B27C3">
        <w:tab/>
        <w:t>Moreover</w:t>
      </w:r>
      <w:r w:rsidRPr="007B27C3">
        <w:rPr>
          <w:rFonts w:hint="eastAsia"/>
        </w:rPr>
        <w:t>,</w:t>
      </w:r>
      <w:r w:rsidRPr="007B27C3">
        <w:t xml:space="preserve"> the Working Group received information that</w:t>
      </w:r>
      <w:r w:rsidRPr="007B27C3">
        <w:rPr>
          <w:rFonts w:hint="eastAsia"/>
        </w:rPr>
        <w:t xml:space="preserve"> the Government </w:t>
      </w:r>
      <w:r w:rsidRPr="007B27C3">
        <w:t xml:space="preserve">had </w:t>
      </w:r>
      <w:r w:rsidRPr="007B27C3">
        <w:rPr>
          <w:rFonts w:hint="eastAsia"/>
        </w:rPr>
        <w:t>revised the electoral law in June 2016</w:t>
      </w:r>
      <w:r w:rsidRPr="007B27C3">
        <w:t xml:space="preserve"> and that this</w:t>
      </w:r>
      <w:r w:rsidRPr="007B27C3">
        <w:rPr>
          <w:rFonts w:hint="eastAsia"/>
        </w:rPr>
        <w:t xml:space="preserve"> </w:t>
      </w:r>
      <w:r w:rsidRPr="007B27C3">
        <w:t xml:space="preserve">had </w:t>
      </w:r>
      <w:r w:rsidRPr="007B27C3">
        <w:rPr>
          <w:rFonts w:hint="eastAsia"/>
        </w:rPr>
        <w:t>ba</w:t>
      </w:r>
      <w:r w:rsidRPr="007B27C3">
        <w:t>r</w:t>
      </w:r>
      <w:r w:rsidRPr="007B27C3">
        <w:rPr>
          <w:rFonts w:hint="eastAsia"/>
        </w:rPr>
        <w:t>r</w:t>
      </w:r>
      <w:r w:rsidRPr="007B27C3">
        <w:t>ed</w:t>
      </w:r>
      <w:r w:rsidRPr="007B27C3">
        <w:rPr>
          <w:rFonts w:hint="eastAsia"/>
        </w:rPr>
        <w:t xml:space="preserve"> Mr. Al-</w:t>
      </w:r>
      <w:proofErr w:type="spellStart"/>
      <w:r w:rsidRPr="007B27C3">
        <w:rPr>
          <w:rFonts w:hint="eastAsia"/>
        </w:rPr>
        <w:t>Barrak</w:t>
      </w:r>
      <w:proofErr w:type="spellEnd"/>
      <w:r w:rsidRPr="007B27C3">
        <w:t>,</w:t>
      </w:r>
      <w:r w:rsidRPr="007B27C3">
        <w:rPr>
          <w:rFonts w:hint="eastAsia"/>
        </w:rPr>
        <w:t xml:space="preserve"> and other politicians convicted under </w:t>
      </w:r>
      <w:r w:rsidRPr="007B27C3">
        <w:t>article 25 of Act No. 31,</w:t>
      </w:r>
      <w:r w:rsidRPr="007B27C3">
        <w:rPr>
          <w:rFonts w:hint="eastAsia"/>
        </w:rPr>
        <w:t xml:space="preserve"> from competing in the parliamentary elections. </w:t>
      </w:r>
      <w:r w:rsidRPr="007B27C3">
        <w:t>T</w:t>
      </w:r>
      <w:r w:rsidRPr="007B27C3">
        <w:rPr>
          <w:rFonts w:hint="eastAsia"/>
        </w:rPr>
        <w:t>h</w:t>
      </w:r>
      <w:r w:rsidRPr="007B27C3">
        <w:t>ose allegations indicate that</w:t>
      </w:r>
      <w:r w:rsidRPr="007B27C3">
        <w:rPr>
          <w:rFonts w:hint="eastAsia"/>
        </w:rPr>
        <w:t xml:space="preserve"> </w:t>
      </w:r>
      <w:r w:rsidRPr="007B27C3">
        <w:t xml:space="preserve">the </w:t>
      </w:r>
      <w:r w:rsidRPr="007B27C3">
        <w:rPr>
          <w:rFonts w:hint="eastAsia"/>
        </w:rPr>
        <w:t xml:space="preserve">new law </w:t>
      </w:r>
      <w:r w:rsidRPr="007B27C3">
        <w:t>resulted in the loss of parliamentary</w:t>
      </w:r>
      <w:r w:rsidRPr="007B27C3">
        <w:rPr>
          <w:rFonts w:hint="eastAsia"/>
        </w:rPr>
        <w:t xml:space="preserve"> seats</w:t>
      </w:r>
      <w:r w:rsidRPr="007B27C3">
        <w:t xml:space="preserve"> by certain individuals</w:t>
      </w:r>
      <w:r w:rsidRPr="007B27C3">
        <w:rPr>
          <w:rFonts w:hint="eastAsia"/>
        </w:rPr>
        <w:t xml:space="preserve"> in the latest elections</w:t>
      </w:r>
      <w:r w:rsidRPr="007B27C3">
        <w:t>,</w:t>
      </w:r>
      <w:r w:rsidRPr="007B27C3">
        <w:rPr>
          <w:rFonts w:hint="eastAsia"/>
        </w:rPr>
        <w:t xml:space="preserve"> held on </w:t>
      </w:r>
      <w:r w:rsidRPr="007B27C3">
        <w:t>26 November 2016, including Mr. Al-</w:t>
      </w:r>
      <w:proofErr w:type="spellStart"/>
      <w:r w:rsidRPr="007B27C3">
        <w:t>Barrak</w:t>
      </w:r>
      <w:proofErr w:type="spellEnd"/>
      <w:r w:rsidRPr="007B27C3">
        <w:t>.</w:t>
      </w:r>
      <w:r w:rsidRPr="007B27C3">
        <w:rPr>
          <w:rFonts w:hint="eastAsia"/>
        </w:rPr>
        <w:t xml:space="preserve"> </w:t>
      </w:r>
    </w:p>
    <w:p w:rsidR="007A71D1" w:rsidRPr="007B27C3" w:rsidRDefault="007A71D1" w:rsidP="007A71D1">
      <w:pPr>
        <w:pStyle w:val="SingleTxtG"/>
      </w:pPr>
      <w:r w:rsidRPr="007B27C3">
        <w:t>47.</w:t>
      </w:r>
      <w:r w:rsidRPr="007B27C3">
        <w:tab/>
      </w:r>
      <w:r w:rsidRPr="007B27C3">
        <w:rPr>
          <w:rFonts w:hint="eastAsia"/>
        </w:rPr>
        <w:t>T</w:t>
      </w:r>
      <w:r w:rsidRPr="007B27C3">
        <w:t>h</w:t>
      </w:r>
      <w:r w:rsidRPr="007B27C3">
        <w:rPr>
          <w:rFonts w:hint="eastAsia"/>
        </w:rPr>
        <w:t>e Government did not refute the claim that</w:t>
      </w:r>
      <w:r w:rsidRPr="007B27C3">
        <w:t>,</w:t>
      </w:r>
      <w:r w:rsidRPr="007B27C3">
        <w:rPr>
          <w:rFonts w:hint="eastAsia"/>
        </w:rPr>
        <w:t xml:space="preserve"> </w:t>
      </w:r>
      <w:r w:rsidRPr="007B27C3">
        <w:t>by arresting and prosecuting Mr. Al-</w:t>
      </w:r>
      <w:proofErr w:type="spellStart"/>
      <w:r w:rsidRPr="007B27C3">
        <w:t>Barrak</w:t>
      </w:r>
      <w:proofErr w:type="spellEnd"/>
      <w:r w:rsidRPr="007B27C3">
        <w:t>, it prevented him from running in the elections. Instead, the Government only asserted that it was enforcing the law. The Working Group therefore considers that preventing Mr. Al-</w:t>
      </w:r>
      <w:proofErr w:type="spellStart"/>
      <w:r w:rsidRPr="007B27C3">
        <w:t>Barrak</w:t>
      </w:r>
      <w:proofErr w:type="spellEnd"/>
      <w:r w:rsidRPr="007B27C3">
        <w:t xml:space="preserve"> from exercising his right to participate in public affairs and to be elected, under article 21 of the Universal Declaration of Human Rights and article 25 of the Covenant, has also been a motivation for Mr. Al-</w:t>
      </w:r>
      <w:proofErr w:type="spellStart"/>
      <w:r w:rsidRPr="007B27C3">
        <w:t>Barrak</w:t>
      </w:r>
      <w:r w:rsidR="00E858CE">
        <w:t>’</w:t>
      </w:r>
      <w:r w:rsidRPr="007B27C3">
        <w:t>s</w:t>
      </w:r>
      <w:proofErr w:type="spellEnd"/>
      <w:r w:rsidRPr="007B27C3">
        <w:t xml:space="preserve"> imprisonment.</w:t>
      </w:r>
    </w:p>
    <w:p w:rsidR="007A71D1" w:rsidRPr="007B27C3" w:rsidRDefault="007A71D1" w:rsidP="007A71D1">
      <w:pPr>
        <w:pStyle w:val="SingleTxtG"/>
      </w:pPr>
      <w:r w:rsidRPr="007B27C3">
        <w:t>48.</w:t>
      </w:r>
      <w:r w:rsidRPr="007B27C3">
        <w:tab/>
      </w:r>
      <w:r w:rsidRPr="007B27C3">
        <w:rPr>
          <w:rFonts w:hint="eastAsia"/>
        </w:rPr>
        <w:t>For th</w:t>
      </w:r>
      <w:r w:rsidRPr="007B27C3">
        <w:t>o</w:t>
      </w:r>
      <w:r w:rsidRPr="007B27C3">
        <w:rPr>
          <w:rFonts w:hint="eastAsia"/>
        </w:rPr>
        <w:t xml:space="preserve">se reasons, </w:t>
      </w:r>
      <w:r w:rsidRPr="007B27C3">
        <w:t xml:space="preserve">the Working Group is of the opinion that </w:t>
      </w:r>
      <w:r w:rsidRPr="007B27C3">
        <w:rPr>
          <w:rFonts w:hint="eastAsia"/>
        </w:rPr>
        <w:t>Mr. Al-</w:t>
      </w:r>
      <w:proofErr w:type="spellStart"/>
      <w:r w:rsidRPr="007B27C3">
        <w:rPr>
          <w:rFonts w:hint="eastAsia"/>
        </w:rPr>
        <w:t>Barrak</w:t>
      </w:r>
      <w:r w:rsidR="00E858CE">
        <w:t>’</w:t>
      </w:r>
      <w:r w:rsidRPr="007B27C3">
        <w:rPr>
          <w:rFonts w:hint="eastAsia"/>
        </w:rPr>
        <w:t>s</w:t>
      </w:r>
      <w:proofErr w:type="spellEnd"/>
      <w:r w:rsidRPr="007B27C3">
        <w:rPr>
          <w:rFonts w:hint="eastAsia"/>
        </w:rPr>
        <w:t xml:space="preserve"> deprivation of liberty</w:t>
      </w:r>
      <w:r w:rsidRPr="007B27C3">
        <w:t>,</w:t>
      </w:r>
      <w:r w:rsidRPr="007B27C3">
        <w:rPr>
          <w:rFonts w:hint="eastAsia"/>
        </w:rPr>
        <w:t xml:space="preserve"> </w:t>
      </w:r>
      <w:r w:rsidRPr="007B27C3">
        <w:t>under</w:t>
      </w:r>
      <w:r w:rsidRPr="007B27C3">
        <w:rPr>
          <w:rFonts w:hint="eastAsia"/>
        </w:rPr>
        <w:t xml:space="preserve"> </w:t>
      </w:r>
      <w:r w:rsidRPr="007B27C3">
        <w:t>article 25 of Act No. 31,</w:t>
      </w:r>
      <w:r w:rsidRPr="007B27C3">
        <w:rPr>
          <w:rFonts w:hint="eastAsia"/>
        </w:rPr>
        <w:t xml:space="preserve"> falls within category II of </w:t>
      </w:r>
      <w:r w:rsidRPr="007B27C3">
        <w:t xml:space="preserve">the </w:t>
      </w:r>
      <w:r w:rsidRPr="007B27C3">
        <w:rPr>
          <w:rFonts w:hint="eastAsia"/>
        </w:rPr>
        <w:t xml:space="preserve">categories </w:t>
      </w:r>
      <w:r w:rsidRPr="007B27C3">
        <w:t>referred to by the Working Group when considering the cases submitted to it.</w:t>
      </w:r>
    </w:p>
    <w:p w:rsidR="007A71D1" w:rsidRPr="007B27C3" w:rsidRDefault="009D102D" w:rsidP="009D102D">
      <w:pPr>
        <w:pStyle w:val="H4G"/>
      </w:pPr>
      <w:r>
        <w:lastRenderedPageBreak/>
        <w:tab/>
      </w:r>
      <w:r>
        <w:tab/>
      </w:r>
      <w:r w:rsidR="007A71D1" w:rsidRPr="007B27C3">
        <w:t>L</w:t>
      </w:r>
      <w:r w:rsidR="007A71D1" w:rsidRPr="007B27C3">
        <w:rPr>
          <w:rFonts w:hint="eastAsia"/>
        </w:rPr>
        <w:t>aw</w:t>
      </w:r>
      <w:r w:rsidR="007A71D1" w:rsidRPr="007B27C3">
        <w:t>s on lese-majesty</w:t>
      </w:r>
    </w:p>
    <w:p w:rsidR="007A71D1" w:rsidRPr="007B27C3" w:rsidRDefault="007A71D1" w:rsidP="007A71D1">
      <w:pPr>
        <w:pStyle w:val="SingleTxtG"/>
      </w:pPr>
      <w:r w:rsidRPr="007B27C3">
        <w:t>49.</w:t>
      </w:r>
      <w:r w:rsidRPr="007B27C3">
        <w:tab/>
        <w:t>The Working Group</w:t>
      </w:r>
      <w:r w:rsidRPr="007B27C3">
        <w:rPr>
          <w:rFonts w:hint="eastAsia"/>
        </w:rPr>
        <w:t xml:space="preserve"> </w:t>
      </w:r>
      <w:r w:rsidRPr="007B27C3">
        <w:t xml:space="preserve">will </w:t>
      </w:r>
      <w:r w:rsidRPr="007B27C3">
        <w:rPr>
          <w:rFonts w:hint="eastAsia"/>
        </w:rPr>
        <w:t xml:space="preserve">elaborate further on the propriety of the </w:t>
      </w:r>
      <w:r w:rsidRPr="007B27C3">
        <w:t xml:space="preserve">lese-majesty </w:t>
      </w:r>
      <w:r w:rsidRPr="007B27C3">
        <w:rPr>
          <w:rFonts w:hint="eastAsia"/>
        </w:rPr>
        <w:t xml:space="preserve">law in view of the principle of legality and its effect on the right </w:t>
      </w:r>
      <w:r w:rsidRPr="007B27C3">
        <w:t xml:space="preserve">to </w:t>
      </w:r>
      <w:r w:rsidRPr="007B27C3">
        <w:rPr>
          <w:rFonts w:hint="eastAsia"/>
        </w:rPr>
        <w:t xml:space="preserve">a fair trial. </w:t>
      </w:r>
      <w:r w:rsidRPr="007B27C3">
        <w:t>O</w:t>
      </w:r>
      <w:r w:rsidRPr="007B27C3">
        <w:rPr>
          <w:rFonts w:hint="eastAsia"/>
        </w:rPr>
        <w:t>ne of the fundamental guarantees of due process is the principle of legality</w:t>
      </w:r>
      <w:r w:rsidRPr="007B27C3">
        <w:t>,</w:t>
      </w:r>
      <w:r w:rsidRPr="007B27C3">
        <w:rPr>
          <w:rFonts w:hint="eastAsia"/>
        </w:rPr>
        <w:t xml:space="preserve"> including the principle of </w:t>
      </w:r>
      <w:proofErr w:type="spellStart"/>
      <w:r w:rsidRPr="009D102D">
        <w:rPr>
          <w:i/>
        </w:rPr>
        <w:t>nullum</w:t>
      </w:r>
      <w:proofErr w:type="spellEnd"/>
      <w:r w:rsidRPr="009D102D">
        <w:rPr>
          <w:i/>
        </w:rPr>
        <w:t xml:space="preserve"> </w:t>
      </w:r>
      <w:proofErr w:type="spellStart"/>
      <w:r w:rsidRPr="009D102D">
        <w:rPr>
          <w:i/>
        </w:rPr>
        <w:t>crimen</w:t>
      </w:r>
      <w:proofErr w:type="spellEnd"/>
      <w:r w:rsidRPr="009D102D">
        <w:rPr>
          <w:i/>
        </w:rPr>
        <w:t xml:space="preserve"> sine </w:t>
      </w:r>
      <w:proofErr w:type="spellStart"/>
      <w:r w:rsidRPr="009D102D">
        <w:rPr>
          <w:i/>
        </w:rPr>
        <w:t>lege</w:t>
      </w:r>
      <w:proofErr w:type="spellEnd"/>
      <w:r w:rsidRPr="009D102D">
        <w:rPr>
          <w:i/>
        </w:rPr>
        <w:t xml:space="preserve"> </w:t>
      </w:r>
      <w:proofErr w:type="spellStart"/>
      <w:r w:rsidRPr="009D102D">
        <w:rPr>
          <w:i/>
        </w:rPr>
        <w:t>certa</w:t>
      </w:r>
      <w:proofErr w:type="spellEnd"/>
      <w:r w:rsidRPr="007B27C3">
        <w:rPr>
          <w:rFonts w:hint="eastAsia"/>
        </w:rPr>
        <w:t>, which is particularly relevant in the case of Mr. Al-</w:t>
      </w:r>
      <w:proofErr w:type="spellStart"/>
      <w:r w:rsidRPr="007B27C3">
        <w:rPr>
          <w:rFonts w:hint="eastAsia"/>
        </w:rPr>
        <w:t>Barrak</w:t>
      </w:r>
      <w:proofErr w:type="spellEnd"/>
      <w:r w:rsidRPr="007B27C3">
        <w:rPr>
          <w:rFonts w:hint="eastAsia"/>
        </w:rPr>
        <w:t xml:space="preserve">. </w:t>
      </w:r>
      <w:r w:rsidRPr="007B27C3">
        <w:t>The principle of legality</w:t>
      </w:r>
      <w:r w:rsidRPr="007B27C3">
        <w:rPr>
          <w:rFonts w:hint="eastAsia"/>
        </w:rPr>
        <w:t>, in general,</w:t>
      </w:r>
      <w:r w:rsidRPr="007B27C3">
        <w:t xml:space="preserve"> ensures that no defendant may be punished arbitrarily or retroactively by the State. That means that a person cannot be convicted of a crime that </w:t>
      </w:r>
      <w:r w:rsidRPr="007B27C3">
        <w:rPr>
          <w:rFonts w:hint="eastAsia"/>
        </w:rPr>
        <w:t>was not</w:t>
      </w:r>
      <w:r w:rsidRPr="007B27C3">
        <w:t xml:space="preserve"> publicly accessible; nor can they be charged under a law that is ex</w:t>
      </w:r>
      <w:r w:rsidRPr="007B27C3">
        <w:rPr>
          <w:rFonts w:hint="eastAsia"/>
        </w:rPr>
        <w:t>c</w:t>
      </w:r>
      <w:r w:rsidRPr="007B27C3">
        <w:t>essively unclea</w:t>
      </w:r>
      <w:r w:rsidRPr="007B27C3">
        <w:rPr>
          <w:rFonts w:hint="eastAsia"/>
        </w:rPr>
        <w:t>r</w:t>
      </w:r>
      <w:r w:rsidRPr="007B27C3">
        <w:t xml:space="preserve"> or</w:t>
      </w:r>
      <w:r w:rsidRPr="007B27C3">
        <w:rPr>
          <w:rFonts w:hint="eastAsia"/>
        </w:rPr>
        <w:t xml:space="preserve"> convicted </w:t>
      </w:r>
      <w:r w:rsidRPr="007B27C3">
        <w:t>under a penal law that is passed retroactively to criminalize a previous act</w:t>
      </w:r>
      <w:r w:rsidRPr="007B27C3">
        <w:rPr>
          <w:rFonts w:hint="eastAsia"/>
        </w:rPr>
        <w:t xml:space="preserve"> or omission</w:t>
      </w:r>
      <w:r w:rsidRPr="007B27C3">
        <w:t xml:space="preserve">. </w:t>
      </w:r>
    </w:p>
    <w:p w:rsidR="007A71D1" w:rsidRPr="007B27C3" w:rsidRDefault="007A71D1" w:rsidP="007A71D1">
      <w:pPr>
        <w:pStyle w:val="SingleTxtG"/>
      </w:pPr>
      <w:r w:rsidRPr="007B27C3">
        <w:t>50.</w:t>
      </w:r>
      <w:r w:rsidRPr="007B27C3">
        <w:tab/>
        <w:t>L</w:t>
      </w:r>
      <w:r w:rsidRPr="007B27C3">
        <w:rPr>
          <w:rFonts w:hint="eastAsia"/>
        </w:rPr>
        <w:t>aws</w:t>
      </w:r>
      <w:r w:rsidRPr="007B27C3">
        <w:t xml:space="preserve"> that are v</w:t>
      </w:r>
      <w:r w:rsidRPr="007B27C3">
        <w:rPr>
          <w:rFonts w:hint="eastAsia"/>
        </w:rPr>
        <w:t>aguely and broadly worded may have a chilling effect on the exercise of the right to freedom of expression</w:t>
      </w:r>
      <w:r w:rsidRPr="007B27C3">
        <w:t>,</w:t>
      </w:r>
      <w:r w:rsidRPr="007B27C3">
        <w:rPr>
          <w:rFonts w:hint="eastAsia"/>
        </w:rPr>
        <w:t xml:space="preserve"> </w:t>
      </w:r>
      <w:r w:rsidRPr="007B27C3">
        <w:t>as they have potential for abuse. They</w:t>
      </w:r>
      <w:r w:rsidRPr="007B27C3">
        <w:rPr>
          <w:rFonts w:hint="eastAsia"/>
        </w:rPr>
        <w:t xml:space="preserve"> also violate the principle of legality</w:t>
      </w:r>
      <w:r w:rsidRPr="007B27C3">
        <w:t xml:space="preserve"> under</w:t>
      </w:r>
      <w:r w:rsidRPr="007B27C3">
        <w:rPr>
          <w:rFonts w:hint="eastAsia"/>
        </w:rPr>
        <w:t xml:space="preserve"> article 15 of the </w:t>
      </w:r>
      <w:r w:rsidRPr="007B27C3">
        <w:t>Covenant,</w:t>
      </w:r>
      <w:r w:rsidRPr="007B27C3">
        <w:rPr>
          <w:rFonts w:hint="eastAsia"/>
        </w:rPr>
        <w:t xml:space="preserve"> </w:t>
      </w:r>
      <w:r w:rsidRPr="007B27C3">
        <w:t>as it</w:t>
      </w:r>
      <w:r w:rsidRPr="007B27C3">
        <w:rPr>
          <w:rFonts w:hint="eastAsia"/>
        </w:rPr>
        <w:t xml:space="preserve"> makes </w:t>
      </w:r>
      <w:r w:rsidRPr="007B27C3">
        <w:t xml:space="preserve">it unlikely or </w:t>
      </w:r>
      <w:r w:rsidRPr="007B27C3">
        <w:rPr>
          <w:rFonts w:hint="eastAsia"/>
        </w:rPr>
        <w:t xml:space="preserve">impossible </w:t>
      </w:r>
      <w:r w:rsidRPr="007B27C3">
        <w:t xml:space="preserve">for the accused to have a fair trial. In that regard, the Working Group notes that, as discussed above, the Human Rights Committee, in its concluding observations on the third periodic report of Kuwait, urged the Government to </w:t>
      </w:r>
      <w:r w:rsidR="00E858CE">
        <w:t>“</w:t>
      </w:r>
      <w:r w:rsidRPr="007B27C3">
        <w:t>clarify the vague, broad and open-ended definition of key terms</w:t>
      </w:r>
      <w:r w:rsidR="00E858CE">
        <w:t>”</w:t>
      </w:r>
      <w:r w:rsidRPr="007B27C3">
        <w:t xml:space="preserve"> in the relevant provisions (see CCPR/C/KWT/CO/3, para. 41). Furthermore, the Working Group has </w:t>
      </w:r>
      <w:r w:rsidRPr="007B27C3">
        <w:rPr>
          <w:rFonts w:hint="eastAsia"/>
        </w:rPr>
        <w:t>found in its case</w:t>
      </w:r>
      <w:r w:rsidRPr="007B27C3">
        <w:t xml:space="preserve"> </w:t>
      </w:r>
      <w:r w:rsidRPr="007B27C3">
        <w:rPr>
          <w:rFonts w:hint="eastAsia"/>
        </w:rPr>
        <w:t xml:space="preserve">law that </w:t>
      </w:r>
      <w:r w:rsidRPr="007B27C3">
        <w:t>detention pursuant to proceedings that are incompatible with article 15 are</w:t>
      </w:r>
      <w:r w:rsidRPr="007B27C3">
        <w:rPr>
          <w:rFonts w:hint="eastAsia"/>
        </w:rPr>
        <w:t xml:space="preserve"> </w:t>
      </w:r>
      <w:r w:rsidRPr="007B27C3">
        <w:t>necessarily arbitrary within the meaning of article 9</w:t>
      </w:r>
      <w:r w:rsidR="00E858CE">
        <w:t xml:space="preserve"> </w:t>
      </w:r>
      <w:r w:rsidRPr="007B27C3">
        <w:rPr>
          <w:rFonts w:hint="eastAsia"/>
        </w:rPr>
        <w:t>(</w:t>
      </w:r>
      <w:r w:rsidRPr="007B27C3">
        <w:t>1</w:t>
      </w:r>
      <w:r w:rsidRPr="007B27C3">
        <w:rPr>
          <w:rFonts w:hint="eastAsia"/>
        </w:rPr>
        <w:t>)</w:t>
      </w:r>
      <w:r w:rsidRPr="007B27C3">
        <w:t xml:space="preserve"> of the Covenant</w:t>
      </w:r>
      <w:r w:rsidRPr="007B27C3">
        <w:rPr>
          <w:rFonts w:hint="eastAsia"/>
        </w:rPr>
        <w:t>.</w:t>
      </w:r>
      <w:r w:rsidRPr="00E858CE">
        <w:rPr>
          <w:rStyle w:val="FootnoteReference"/>
        </w:rPr>
        <w:footnoteReference w:id="6"/>
      </w:r>
      <w:r w:rsidRPr="007B27C3">
        <w:t xml:space="preserve"> </w:t>
      </w:r>
    </w:p>
    <w:p w:rsidR="007A71D1" w:rsidRPr="007B27C3" w:rsidRDefault="007A71D1" w:rsidP="007A71D1">
      <w:pPr>
        <w:pStyle w:val="SingleTxtG"/>
      </w:pPr>
      <w:r w:rsidRPr="007B27C3">
        <w:t>51.</w:t>
      </w:r>
      <w:r w:rsidRPr="007B27C3">
        <w:tab/>
      </w:r>
      <w:r w:rsidRPr="007B27C3">
        <w:rPr>
          <w:rFonts w:hint="eastAsia"/>
        </w:rPr>
        <w:t xml:space="preserve">The Working Group has also </w:t>
      </w:r>
      <w:r w:rsidRPr="007B27C3">
        <w:t xml:space="preserve">expressed its concern </w:t>
      </w:r>
      <w:r w:rsidRPr="007B27C3">
        <w:rPr>
          <w:rFonts w:hint="eastAsia"/>
        </w:rPr>
        <w:t xml:space="preserve">that antiterrorism laws </w:t>
      </w:r>
      <w:r w:rsidR="00E858CE">
        <w:t>“</w:t>
      </w:r>
      <w:r w:rsidRPr="007B27C3">
        <w:rPr>
          <w:rFonts w:hint="eastAsia"/>
        </w:rPr>
        <w:t xml:space="preserve">by using an extremely vague and broad definition of terrorism, </w:t>
      </w:r>
      <w:r w:rsidRPr="007B27C3">
        <w:t>bring within their fold the innocent and the suspect alike and thereby increase the risk of arbitrary detention</w:t>
      </w:r>
      <w:r w:rsidR="00E858CE">
        <w:t>”</w:t>
      </w:r>
      <w:r w:rsidRPr="007B27C3">
        <w:t xml:space="preserve"> with the consequence that </w:t>
      </w:r>
      <w:r w:rsidR="00E858CE">
        <w:t>“</w:t>
      </w:r>
      <w:r w:rsidRPr="007B27C3">
        <w:t>legitimate democratic opposition … becomes a victim in the application of such laws</w:t>
      </w:r>
      <w:r w:rsidR="00E858CE">
        <w:t>”</w:t>
      </w:r>
      <w:r w:rsidRPr="007B27C3">
        <w:t xml:space="preserve"> (see E/CN.4/1995/31, para. 25 (d)). Notably</w:t>
      </w:r>
      <w:r w:rsidRPr="007B27C3">
        <w:rPr>
          <w:rFonts w:hint="eastAsia"/>
        </w:rPr>
        <w:t xml:space="preserve">, with regard to </w:t>
      </w:r>
      <w:r w:rsidRPr="007B27C3">
        <w:t>a</w:t>
      </w:r>
      <w:r w:rsidRPr="007B27C3">
        <w:rPr>
          <w:rFonts w:hint="eastAsia"/>
        </w:rPr>
        <w:t>rticle 15</w:t>
      </w:r>
      <w:r w:rsidR="00E858CE">
        <w:t xml:space="preserve"> </w:t>
      </w:r>
      <w:r w:rsidRPr="007B27C3">
        <w:rPr>
          <w:rFonts w:hint="eastAsia"/>
        </w:rPr>
        <w:t xml:space="preserve">(1) of the </w:t>
      </w:r>
      <w:r w:rsidRPr="007B27C3">
        <w:t>Covenant</w:t>
      </w:r>
      <w:r w:rsidRPr="007B27C3">
        <w:rPr>
          <w:rFonts w:hint="eastAsia"/>
        </w:rPr>
        <w:t xml:space="preserve">, </w:t>
      </w:r>
      <w:r w:rsidRPr="007B27C3">
        <w:t>the prohibition</w:t>
      </w:r>
      <w:r w:rsidRPr="007B27C3">
        <w:rPr>
          <w:rFonts w:hint="eastAsia"/>
        </w:rPr>
        <w:t xml:space="preserve"> of terrorist conduct</w:t>
      </w:r>
      <w:r w:rsidRPr="007B27C3">
        <w:t xml:space="preserve"> must be framed in such a way that: the law is adequately accessible so that the individual has a proper indication of how the law limits his or her conduct and the law is formulated with sufficient precision so that the individual can regulate his or her conduct.</w:t>
      </w:r>
      <w:r w:rsidRPr="00E858CE">
        <w:rPr>
          <w:rStyle w:val="FootnoteReference"/>
        </w:rPr>
        <w:footnoteReference w:id="7"/>
      </w:r>
    </w:p>
    <w:p w:rsidR="007A71D1" w:rsidRPr="007B27C3" w:rsidRDefault="007A71D1" w:rsidP="007A71D1">
      <w:pPr>
        <w:pStyle w:val="SingleTxtG"/>
      </w:pPr>
      <w:r w:rsidRPr="007B27C3">
        <w:t>52.</w:t>
      </w:r>
      <w:r w:rsidRPr="007B27C3">
        <w:tab/>
        <w:t>The concerns expressed with regard to the vague definition of terrorist conduct (see, e.g., CCPR/CO/81/BEL, para. 24) and other criminal offences, such as organized crime, are equally pertinent for the alleged acts criminalized by lese-majesty laws. In that respect, the Working Group notes with concern that article 25 of Act No. 31, which aims to regulate acts criminalized by lese-majesty laws, contains unclear wording that denies foreseeability for potential, unsuspecting defendants.</w:t>
      </w:r>
    </w:p>
    <w:p w:rsidR="007A71D1" w:rsidRPr="007B27C3" w:rsidRDefault="007A71D1" w:rsidP="009D102D">
      <w:pPr>
        <w:pStyle w:val="H23G"/>
      </w:pPr>
      <w:r w:rsidRPr="007B27C3">
        <w:tab/>
      </w:r>
      <w:r w:rsidRPr="007B27C3">
        <w:tab/>
        <w:t>Disposition</w:t>
      </w:r>
    </w:p>
    <w:p w:rsidR="007A71D1" w:rsidRPr="007B27C3" w:rsidRDefault="007A71D1" w:rsidP="007A71D1">
      <w:pPr>
        <w:pStyle w:val="SingleTxtG"/>
      </w:pPr>
      <w:r w:rsidRPr="007B27C3">
        <w:t>53.</w:t>
      </w:r>
      <w:r w:rsidRPr="007B27C3">
        <w:tab/>
        <w:t>In the light of the foregoing, the Working Group renders the following opinion:</w:t>
      </w:r>
    </w:p>
    <w:p w:rsidR="007A71D1" w:rsidRPr="007B27C3" w:rsidRDefault="007A71D1" w:rsidP="009D102D">
      <w:pPr>
        <w:pStyle w:val="SingleTxtG"/>
        <w:ind w:left="1701"/>
      </w:pPr>
      <w:r w:rsidRPr="007B27C3">
        <w:t>The deprivation of liberty of</w:t>
      </w:r>
      <w:r w:rsidRPr="007B27C3">
        <w:rPr>
          <w:rFonts w:hint="eastAsia"/>
        </w:rPr>
        <w:t xml:space="preserve"> Mr. Al-</w:t>
      </w:r>
      <w:proofErr w:type="spellStart"/>
      <w:r w:rsidRPr="007B27C3">
        <w:rPr>
          <w:rFonts w:hint="eastAsia"/>
        </w:rPr>
        <w:t>Barrak</w:t>
      </w:r>
      <w:proofErr w:type="spellEnd"/>
      <w:r w:rsidRPr="007B27C3">
        <w:t>, being in contravention of articles</w:t>
      </w:r>
      <w:r w:rsidRPr="007B27C3">
        <w:rPr>
          <w:rFonts w:hint="eastAsia"/>
        </w:rPr>
        <w:t xml:space="preserve"> </w:t>
      </w:r>
      <w:r w:rsidRPr="007B27C3">
        <w:t>9, 11</w:t>
      </w:r>
      <w:r w:rsidRPr="007B27C3">
        <w:rPr>
          <w:rFonts w:hint="eastAsia"/>
        </w:rPr>
        <w:t>,</w:t>
      </w:r>
      <w:r w:rsidRPr="007B27C3">
        <w:t xml:space="preserve"> 19</w:t>
      </w:r>
      <w:r w:rsidRPr="007B27C3">
        <w:rPr>
          <w:rFonts w:hint="eastAsia"/>
        </w:rPr>
        <w:t xml:space="preserve"> and</w:t>
      </w:r>
      <w:r w:rsidRPr="007B27C3">
        <w:t xml:space="preserve"> 21</w:t>
      </w:r>
      <w:r w:rsidRPr="007B27C3">
        <w:rPr>
          <w:rFonts w:hint="eastAsia"/>
        </w:rPr>
        <w:t xml:space="preserve"> </w:t>
      </w:r>
      <w:r w:rsidRPr="007B27C3">
        <w:t>of the Universal Declaration of Human Rights and of articles 9, 15</w:t>
      </w:r>
      <w:r w:rsidRPr="007B27C3">
        <w:rPr>
          <w:rFonts w:hint="eastAsia"/>
        </w:rPr>
        <w:t>,</w:t>
      </w:r>
      <w:r w:rsidRPr="007B27C3">
        <w:t xml:space="preserve"> 19</w:t>
      </w:r>
      <w:r w:rsidRPr="007B27C3">
        <w:rPr>
          <w:rFonts w:hint="eastAsia"/>
        </w:rPr>
        <w:t xml:space="preserve"> and</w:t>
      </w:r>
      <w:r w:rsidRPr="007B27C3">
        <w:t xml:space="preserve"> 25 of the International Covenant on Civil and Political Rights, is arbitrary and falls within</w:t>
      </w:r>
      <w:r w:rsidRPr="007B27C3">
        <w:rPr>
          <w:rFonts w:hint="eastAsia"/>
        </w:rPr>
        <w:t xml:space="preserve"> category II</w:t>
      </w:r>
      <w:r w:rsidRPr="007B27C3">
        <w:t>.</w:t>
      </w:r>
    </w:p>
    <w:p w:rsidR="007A71D1" w:rsidRPr="007B27C3" w:rsidRDefault="007A71D1" w:rsidP="007A71D1">
      <w:pPr>
        <w:pStyle w:val="SingleTxtG"/>
      </w:pPr>
      <w:r w:rsidRPr="007B27C3">
        <w:t>54.</w:t>
      </w:r>
      <w:r w:rsidRPr="007B27C3">
        <w:tab/>
        <w:t xml:space="preserve">The Working Group requests the Government of Kuwait </w:t>
      </w:r>
      <w:r w:rsidRPr="007B27C3">
        <w:rPr>
          <w:rFonts w:hint="eastAsia"/>
        </w:rPr>
        <w:t>t</w:t>
      </w:r>
      <w:r w:rsidRPr="007B27C3">
        <w:t xml:space="preserve">o take the steps necessary to remedy the situation of </w:t>
      </w:r>
      <w:r w:rsidRPr="007B27C3">
        <w:rPr>
          <w:rFonts w:hint="eastAsia"/>
        </w:rPr>
        <w:t>Mr. Al-</w:t>
      </w:r>
      <w:proofErr w:type="spellStart"/>
      <w:r w:rsidRPr="007B27C3">
        <w:rPr>
          <w:rFonts w:hint="eastAsia"/>
        </w:rPr>
        <w:t>Barrak</w:t>
      </w:r>
      <w:proofErr w:type="spellEnd"/>
      <w:r w:rsidRPr="007B27C3">
        <w:t xml:space="preserve"> without delay and bring it into conformity with the relevant international norms, including those set out in the U</w:t>
      </w:r>
      <w:r w:rsidRPr="007B27C3">
        <w:rPr>
          <w:rFonts w:hint="eastAsia"/>
        </w:rPr>
        <w:t xml:space="preserve">niversal </w:t>
      </w:r>
      <w:r w:rsidRPr="007B27C3">
        <w:t>D</w:t>
      </w:r>
      <w:r w:rsidRPr="007B27C3">
        <w:rPr>
          <w:rFonts w:hint="eastAsia"/>
        </w:rPr>
        <w:t xml:space="preserve">eclaration of </w:t>
      </w:r>
      <w:r w:rsidRPr="007B27C3">
        <w:t>H</w:t>
      </w:r>
      <w:r w:rsidRPr="007B27C3">
        <w:rPr>
          <w:rFonts w:hint="eastAsia"/>
        </w:rPr>
        <w:t xml:space="preserve">uman </w:t>
      </w:r>
      <w:r w:rsidRPr="007B27C3">
        <w:t>R</w:t>
      </w:r>
      <w:r w:rsidRPr="007B27C3">
        <w:rPr>
          <w:rFonts w:hint="eastAsia"/>
        </w:rPr>
        <w:t>ights</w:t>
      </w:r>
      <w:r w:rsidRPr="007B27C3">
        <w:t xml:space="preserve"> and the I</w:t>
      </w:r>
      <w:r w:rsidRPr="007B27C3">
        <w:rPr>
          <w:rFonts w:hint="eastAsia"/>
        </w:rPr>
        <w:t xml:space="preserve">nternational </w:t>
      </w:r>
      <w:r w:rsidRPr="007B27C3">
        <w:t>C</w:t>
      </w:r>
      <w:r w:rsidRPr="007B27C3">
        <w:rPr>
          <w:rFonts w:hint="eastAsia"/>
        </w:rPr>
        <w:t xml:space="preserve">ovenant on </w:t>
      </w:r>
      <w:r w:rsidRPr="007B27C3">
        <w:t>C</w:t>
      </w:r>
      <w:r w:rsidRPr="007B27C3">
        <w:rPr>
          <w:rFonts w:hint="eastAsia"/>
        </w:rPr>
        <w:t xml:space="preserve">ivil and </w:t>
      </w:r>
      <w:r w:rsidRPr="007B27C3">
        <w:t>P</w:t>
      </w:r>
      <w:r w:rsidRPr="007B27C3">
        <w:rPr>
          <w:rFonts w:hint="eastAsia"/>
        </w:rPr>
        <w:t xml:space="preserve">olitical </w:t>
      </w:r>
      <w:r w:rsidRPr="007B27C3">
        <w:t>R</w:t>
      </w:r>
      <w:r w:rsidRPr="007B27C3">
        <w:rPr>
          <w:rFonts w:hint="eastAsia"/>
        </w:rPr>
        <w:t>ights.</w:t>
      </w:r>
    </w:p>
    <w:p w:rsidR="007A71D1" w:rsidRPr="007B27C3" w:rsidRDefault="007A71D1" w:rsidP="007A71D1">
      <w:pPr>
        <w:pStyle w:val="SingleTxtG"/>
      </w:pPr>
      <w:r w:rsidRPr="007B27C3">
        <w:t>55.</w:t>
      </w:r>
      <w:r w:rsidRPr="007B27C3">
        <w:tab/>
        <w:t>The Working Group considers that, taking into account all the circumstances of the case, the appropriate remedy would be to</w:t>
      </w:r>
      <w:r w:rsidRPr="007B27C3">
        <w:rPr>
          <w:rFonts w:hint="eastAsia"/>
        </w:rPr>
        <w:t xml:space="preserve"> release Mr. Al-</w:t>
      </w:r>
      <w:proofErr w:type="spellStart"/>
      <w:r w:rsidRPr="007B27C3">
        <w:rPr>
          <w:rFonts w:hint="eastAsia"/>
        </w:rPr>
        <w:t>Barrak</w:t>
      </w:r>
      <w:proofErr w:type="spellEnd"/>
      <w:r w:rsidRPr="007B27C3">
        <w:rPr>
          <w:rFonts w:hint="eastAsia"/>
        </w:rPr>
        <w:t xml:space="preserve"> immediately and</w:t>
      </w:r>
      <w:r w:rsidRPr="007B27C3">
        <w:t xml:space="preserve"> accord </w:t>
      </w:r>
      <w:r w:rsidRPr="007B27C3">
        <w:rPr>
          <w:rFonts w:hint="eastAsia"/>
        </w:rPr>
        <w:lastRenderedPageBreak/>
        <w:t>him</w:t>
      </w:r>
      <w:r w:rsidRPr="007B27C3">
        <w:t xml:space="preserve"> an enforceable right to </w:t>
      </w:r>
      <w:r w:rsidRPr="007B27C3">
        <w:rPr>
          <w:rFonts w:hint="eastAsia"/>
        </w:rPr>
        <w:t>compensation and other reparations, in accordance with international law.</w:t>
      </w:r>
    </w:p>
    <w:p w:rsidR="007A71D1" w:rsidRPr="007B27C3" w:rsidRDefault="007A71D1" w:rsidP="007A71D1">
      <w:pPr>
        <w:pStyle w:val="SingleTxtG"/>
      </w:pPr>
      <w:r w:rsidRPr="007B27C3">
        <w:t>56.</w:t>
      </w:r>
      <w:r w:rsidRPr="007B27C3">
        <w:tab/>
        <w:t xml:space="preserve">The Working Group urges the Government to bring the relevant legislation, particularly laws such as Act No. 31, which has been used to restrict the right to freedom of expression, into conformity with the commitments of </w:t>
      </w:r>
      <w:r w:rsidRPr="007B27C3">
        <w:rPr>
          <w:rFonts w:hint="eastAsia"/>
        </w:rPr>
        <w:t>Kuwait</w:t>
      </w:r>
      <w:r w:rsidRPr="007B27C3">
        <w:t xml:space="preserve"> under international human rights law.</w:t>
      </w:r>
    </w:p>
    <w:p w:rsidR="007A71D1" w:rsidRPr="007B27C3" w:rsidRDefault="007A71D1" w:rsidP="009D102D">
      <w:pPr>
        <w:pStyle w:val="H23G"/>
      </w:pPr>
      <w:r w:rsidRPr="007B27C3">
        <w:tab/>
      </w:r>
      <w:r w:rsidRPr="007B27C3">
        <w:tab/>
        <w:t>Follow-up procedure</w:t>
      </w:r>
    </w:p>
    <w:p w:rsidR="007A71D1" w:rsidRPr="007B27C3" w:rsidRDefault="007A71D1" w:rsidP="007A71D1">
      <w:pPr>
        <w:pStyle w:val="SingleTxtG"/>
      </w:pPr>
      <w:r w:rsidRPr="007B27C3">
        <w:t>57.</w:t>
      </w:r>
      <w:r w:rsidRPr="007B27C3">
        <w:tab/>
        <w:t>In accordance with paragraph 20 of its methods of work, the Working Group requests the source and the Government to provide it with information on action taken in follow-up to the recommendations made in the present opinion, including:</w:t>
      </w:r>
    </w:p>
    <w:p w:rsidR="007A71D1" w:rsidRPr="007B27C3" w:rsidRDefault="009D102D" w:rsidP="007A71D1">
      <w:pPr>
        <w:pStyle w:val="SingleTxtG"/>
      </w:pPr>
      <w:r>
        <w:tab/>
      </w:r>
      <w:r w:rsidR="007A71D1" w:rsidRPr="007B27C3">
        <w:t>(a)</w:t>
      </w:r>
      <w:r w:rsidR="007A71D1" w:rsidRPr="007B27C3">
        <w:tab/>
        <w:t xml:space="preserve">Whether </w:t>
      </w:r>
      <w:r w:rsidR="007A71D1" w:rsidRPr="007B27C3">
        <w:rPr>
          <w:rFonts w:hint="eastAsia"/>
        </w:rPr>
        <w:t>Mr. Al-</w:t>
      </w:r>
      <w:proofErr w:type="spellStart"/>
      <w:r w:rsidR="007A71D1" w:rsidRPr="007B27C3">
        <w:rPr>
          <w:rFonts w:hint="eastAsia"/>
        </w:rPr>
        <w:t>Barrak</w:t>
      </w:r>
      <w:proofErr w:type="spellEnd"/>
      <w:r w:rsidR="007A71D1" w:rsidRPr="007B27C3">
        <w:t xml:space="preserve"> has been released and, if so, on what date;</w:t>
      </w:r>
    </w:p>
    <w:p w:rsidR="007A71D1" w:rsidRPr="007B27C3" w:rsidRDefault="009D102D" w:rsidP="007A71D1">
      <w:pPr>
        <w:pStyle w:val="SingleTxtG"/>
      </w:pPr>
      <w:r>
        <w:tab/>
      </w:r>
      <w:r w:rsidR="007A71D1" w:rsidRPr="007B27C3">
        <w:t>(b)</w:t>
      </w:r>
      <w:r w:rsidR="007A71D1" w:rsidRPr="007B27C3">
        <w:tab/>
        <w:t xml:space="preserve">Whether compensation or other reparations have been made to </w:t>
      </w:r>
      <w:r w:rsidR="007A71D1" w:rsidRPr="007B27C3">
        <w:rPr>
          <w:rFonts w:hint="eastAsia"/>
        </w:rPr>
        <w:t>Mr. Al-</w:t>
      </w:r>
      <w:proofErr w:type="spellStart"/>
      <w:r w:rsidR="007A71D1" w:rsidRPr="007B27C3">
        <w:rPr>
          <w:rFonts w:hint="eastAsia"/>
        </w:rPr>
        <w:t>Barrak</w:t>
      </w:r>
      <w:proofErr w:type="spellEnd"/>
      <w:r w:rsidR="007A71D1" w:rsidRPr="007B27C3">
        <w:t>;</w:t>
      </w:r>
    </w:p>
    <w:p w:rsidR="007A71D1" w:rsidRPr="007B27C3" w:rsidRDefault="009D102D" w:rsidP="007A71D1">
      <w:pPr>
        <w:pStyle w:val="SingleTxtG"/>
      </w:pPr>
      <w:r>
        <w:tab/>
      </w:r>
      <w:r w:rsidR="007A71D1" w:rsidRPr="007B27C3">
        <w:t>(c)</w:t>
      </w:r>
      <w:r w:rsidR="007A71D1" w:rsidRPr="007B27C3">
        <w:tab/>
        <w:t xml:space="preserve">Whether an investigation has been conducted into the violation of </w:t>
      </w:r>
      <w:r w:rsidR="007A71D1" w:rsidRPr="007B27C3">
        <w:rPr>
          <w:rFonts w:hint="eastAsia"/>
        </w:rPr>
        <w:t>Mr. Al-</w:t>
      </w:r>
      <w:proofErr w:type="spellStart"/>
      <w:r w:rsidR="007A71D1" w:rsidRPr="007B27C3">
        <w:rPr>
          <w:rFonts w:hint="eastAsia"/>
        </w:rPr>
        <w:t>Barrak</w:t>
      </w:r>
      <w:r w:rsidR="00E858CE">
        <w:t>’</w:t>
      </w:r>
      <w:r w:rsidR="007A71D1" w:rsidRPr="007B27C3">
        <w:rPr>
          <w:rFonts w:hint="eastAsia"/>
        </w:rPr>
        <w:t>s</w:t>
      </w:r>
      <w:proofErr w:type="spellEnd"/>
      <w:r w:rsidR="007A71D1" w:rsidRPr="007B27C3">
        <w:t xml:space="preserve"> rights and, if so, the outcome of the investigation; </w:t>
      </w:r>
    </w:p>
    <w:p w:rsidR="007A71D1" w:rsidRPr="007B27C3" w:rsidRDefault="009D102D" w:rsidP="007A71D1">
      <w:pPr>
        <w:pStyle w:val="SingleTxtG"/>
      </w:pPr>
      <w:r>
        <w:tab/>
      </w:r>
      <w:r w:rsidR="007A71D1" w:rsidRPr="007B27C3">
        <w:t>(d)</w:t>
      </w:r>
      <w:r w:rsidR="007A71D1" w:rsidRPr="007B27C3">
        <w:tab/>
        <w:t xml:space="preserve">Whether any legislative amendments or changes in practice have been made to harmonize the laws and practices of Kuwait with its international obligations in line with the present opinion; </w:t>
      </w:r>
    </w:p>
    <w:p w:rsidR="007A71D1" w:rsidRPr="007B27C3" w:rsidRDefault="009D102D" w:rsidP="007A71D1">
      <w:pPr>
        <w:pStyle w:val="SingleTxtG"/>
      </w:pPr>
      <w:r>
        <w:tab/>
      </w:r>
      <w:r w:rsidR="007A71D1" w:rsidRPr="007B27C3">
        <w:t>(e)</w:t>
      </w:r>
      <w:r w:rsidR="007A71D1" w:rsidRPr="007B27C3">
        <w:tab/>
        <w:t>Whether any other action has been taken to implement the present opinion.</w:t>
      </w:r>
    </w:p>
    <w:p w:rsidR="007A71D1" w:rsidRPr="007B27C3" w:rsidRDefault="007A71D1" w:rsidP="007A71D1">
      <w:pPr>
        <w:pStyle w:val="SingleTxtG"/>
      </w:pPr>
      <w:r w:rsidRPr="007B27C3">
        <w:t>58.</w:t>
      </w:r>
      <w:r w:rsidRPr="007B27C3">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7A71D1" w:rsidRPr="007B27C3" w:rsidRDefault="007A71D1" w:rsidP="007A71D1">
      <w:pPr>
        <w:pStyle w:val="SingleTxtG"/>
      </w:pPr>
      <w:r w:rsidRPr="007B27C3">
        <w:t>59.</w:t>
      </w:r>
      <w:r w:rsidRPr="007B27C3">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7A71D1" w:rsidRPr="007B27C3" w:rsidRDefault="007A71D1" w:rsidP="007A71D1">
      <w:pPr>
        <w:pStyle w:val="SingleTxtG"/>
      </w:pPr>
      <w:r w:rsidRPr="007B27C3">
        <w:t>60.</w:t>
      </w:r>
      <w:r w:rsidRPr="007B27C3">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E858CE">
        <w:rPr>
          <w:rStyle w:val="FootnoteReference"/>
        </w:rPr>
        <w:footnoteReference w:id="8"/>
      </w:r>
    </w:p>
    <w:p w:rsidR="007A71D1" w:rsidRPr="007B27C3" w:rsidRDefault="007A71D1" w:rsidP="009D102D">
      <w:pPr>
        <w:pStyle w:val="SingleTxtG"/>
        <w:jc w:val="right"/>
      </w:pPr>
      <w:r w:rsidRPr="007B27C3">
        <w:t>[</w:t>
      </w:r>
      <w:r w:rsidRPr="00195B58">
        <w:rPr>
          <w:i/>
        </w:rPr>
        <w:t>Adopted on 24 April 2017</w:t>
      </w:r>
      <w:r w:rsidRPr="007B27C3">
        <w:t>]</w:t>
      </w:r>
    </w:p>
    <w:p w:rsidR="00195B58" w:rsidRPr="00106A43" w:rsidRDefault="00195B58">
      <w:pPr>
        <w:spacing w:before="240"/>
        <w:jc w:val="center"/>
        <w:rPr>
          <w:u w:val="single"/>
        </w:rPr>
      </w:pPr>
      <w:r>
        <w:rPr>
          <w:u w:val="single"/>
        </w:rPr>
        <w:tab/>
      </w:r>
      <w:r>
        <w:rPr>
          <w:u w:val="single"/>
        </w:rPr>
        <w:tab/>
      </w:r>
      <w:r>
        <w:rPr>
          <w:u w:val="single"/>
        </w:rPr>
        <w:tab/>
      </w:r>
    </w:p>
    <w:sectPr w:rsidR="00195B58" w:rsidRPr="00106A43" w:rsidSect="00655DAC">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7E" w:rsidRPr="00C47B2E" w:rsidRDefault="0093107E" w:rsidP="00C47B2E">
      <w:pPr>
        <w:pStyle w:val="Footer"/>
      </w:pPr>
    </w:p>
  </w:endnote>
  <w:endnote w:type="continuationSeparator" w:id="0">
    <w:p w:rsidR="0093107E" w:rsidRPr="00C47B2E" w:rsidRDefault="0093107E" w:rsidP="00C47B2E">
      <w:pPr>
        <w:pStyle w:val="Footer"/>
      </w:pPr>
    </w:p>
  </w:endnote>
  <w:endnote w:type="continuationNotice" w:id="1">
    <w:p w:rsidR="0093107E" w:rsidRPr="00C47B2E" w:rsidRDefault="0093107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AC" w:rsidRPr="00655DAC" w:rsidRDefault="00655DAC" w:rsidP="00655DAC">
    <w:pPr>
      <w:pStyle w:val="Footer"/>
      <w:tabs>
        <w:tab w:val="right" w:pos="9598"/>
      </w:tabs>
    </w:pPr>
    <w:r w:rsidRPr="00655DAC">
      <w:rPr>
        <w:b/>
        <w:sz w:val="18"/>
      </w:rPr>
      <w:fldChar w:fldCharType="begin"/>
    </w:r>
    <w:r w:rsidRPr="00655DAC">
      <w:rPr>
        <w:b/>
        <w:sz w:val="18"/>
      </w:rPr>
      <w:instrText xml:space="preserve"> PAGE  \* MERGEFORMAT </w:instrText>
    </w:r>
    <w:r w:rsidRPr="00655DAC">
      <w:rPr>
        <w:b/>
        <w:sz w:val="18"/>
      </w:rPr>
      <w:fldChar w:fldCharType="separate"/>
    </w:r>
    <w:r w:rsidR="007E30EE">
      <w:rPr>
        <w:b/>
        <w:noProof/>
        <w:sz w:val="18"/>
      </w:rPr>
      <w:t>8</w:t>
    </w:r>
    <w:r w:rsidRPr="00655D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AC" w:rsidRPr="00655DAC" w:rsidRDefault="00655DAC" w:rsidP="00655DAC">
    <w:pPr>
      <w:pStyle w:val="Footer"/>
      <w:tabs>
        <w:tab w:val="right" w:pos="9598"/>
      </w:tabs>
      <w:rPr>
        <w:b/>
        <w:sz w:val="18"/>
      </w:rPr>
    </w:pPr>
    <w:r>
      <w:tab/>
    </w:r>
    <w:r w:rsidRPr="00655DAC">
      <w:rPr>
        <w:b/>
        <w:sz w:val="18"/>
      </w:rPr>
      <w:fldChar w:fldCharType="begin"/>
    </w:r>
    <w:r w:rsidRPr="00655DAC">
      <w:rPr>
        <w:b/>
        <w:sz w:val="18"/>
      </w:rPr>
      <w:instrText xml:space="preserve"> PAGE  \* MERGEFORMAT </w:instrText>
    </w:r>
    <w:r w:rsidRPr="00655DAC">
      <w:rPr>
        <w:b/>
        <w:sz w:val="18"/>
      </w:rPr>
      <w:fldChar w:fldCharType="separate"/>
    </w:r>
    <w:r w:rsidR="007E30EE">
      <w:rPr>
        <w:b/>
        <w:noProof/>
        <w:sz w:val="18"/>
      </w:rPr>
      <w:t>9</w:t>
    </w:r>
    <w:r w:rsidRPr="00655D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7E" w:rsidRPr="00C47B2E" w:rsidRDefault="0093107E" w:rsidP="00C47B2E">
      <w:pPr>
        <w:tabs>
          <w:tab w:val="right" w:pos="2155"/>
        </w:tabs>
        <w:spacing w:after="80" w:line="240" w:lineRule="auto"/>
        <w:ind w:left="680"/>
      </w:pPr>
      <w:r>
        <w:rPr>
          <w:u w:val="single"/>
        </w:rPr>
        <w:tab/>
      </w:r>
    </w:p>
  </w:footnote>
  <w:footnote w:type="continuationSeparator" w:id="0">
    <w:p w:rsidR="0093107E" w:rsidRPr="00C47B2E" w:rsidRDefault="0093107E" w:rsidP="005E716E">
      <w:pPr>
        <w:tabs>
          <w:tab w:val="right" w:pos="2155"/>
        </w:tabs>
        <w:spacing w:after="80" w:line="240" w:lineRule="auto"/>
        <w:ind w:left="680"/>
      </w:pPr>
      <w:r>
        <w:rPr>
          <w:u w:val="single"/>
        </w:rPr>
        <w:tab/>
      </w:r>
    </w:p>
  </w:footnote>
  <w:footnote w:type="continuationNotice" w:id="1">
    <w:p w:rsidR="0093107E" w:rsidRPr="00C47B2E" w:rsidRDefault="0093107E" w:rsidP="00C47B2E">
      <w:pPr>
        <w:pStyle w:val="Footer"/>
      </w:pPr>
    </w:p>
  </w:footnote>
  <w:footnote w:id="2">
    <w:p w:rsidR="007A71D1" w:rsidRPr="00E806E5" w:rsidRDefault="007A71D1" w:rsidP="00731D5F">
      <w:pPr>
        <w:pStyle w:val="FootnoteText"/>
        <w:rPr>
          <w:rFonts w:eastAsia="Malgun Gothic"/>
          <w:lang w:eastAsia="ko-KR"/>
        </w:rPr>
      </w:pPr>
      <w:r>
        <w:tab/>
      </w:r>
      <w:r w:rsidRPr="00E858CE">
        <w:rPr>
          <w:rStyle w:val="FootnoteReference"/>
        </w:rPr>
        <w:footnoteRef/>
      </w:r>
      <w:r>
        <w:t xml:space="preserve"> </w:t>
      </w:r>
      <w:r>
        <w:tab/>
      </w:r>
      <w:proofErr w:type="gramStart"/>
      <w:r>
        <w:t>See H</w:t>
      </w:r>
      <w:r w:rsidRPr="0037317D">
        <w:t>uman Rights Committee</w:t>
      </w:r>
      <w:r>
        <w:t>,</w:t>
      </w:r>
      <w:r w:rsidRPr="0037317D">
        <w:t xml:space="preserve"> </w:t>
      </w:r>
      <w:r>
        <w:t>g</w:t>
      </w:r>
      <w:r w:rsidRPr="0037317D">
        <w:t xml:space="preserve">eneral </w:t>
      </w:r>
      <w:r>
        <w:t>c</w:t>
      </w:r>
      <w:r w:rsidRPr="0037317D">
        <w:t>omment No. 25 (</w:t>
      </w:r>
      <w:r>
        <w:t>1996</w:t>
      </w:r>
      <w:r w:rsidRPr="0037317D">
        <w:t>)</w:t>
      </w:r>
      <w:r>
        <w:t xml:space="preserve"> on p</w:t>
      </w:r>
      <w:r w:rsidRPr="0037317D">
        <w:t xml:space="preserve">articipation in </w:t>
      </w:r>
      <w:r>
        <w:t>p</w:t>
      </w:r>
      <w:r w:rsidRPr="0037317D">
        <w:t xml:space="preserve">ublic </w:t>
      </w:r>
      <w:r>
        <w:t>a</w:t>
      </w:r>
      <w:r w:rsidRPr="0037317D">
        <w:t xml:space="preserve">ffairs and the </w:t>
      </w:r>
      <w:r>
        <w:t>r</w:t>
      </w:r>
      <w:r w:rsidRPr="0037317D">
        <w:t xml:space="preserve">ight to </w:t>
      </w:r>
      <w:r>
        <w:t>v</w:t>
      </w:r>
      <w:r w:rsidRPr="0037317D">
        <w:t>ote)</w:t>
      </w:r>
      <w:r>
        <w:rPr>
          <w:rFonts w:eastAsia="Malgun Gothic" w:hint="eastAsia"/>
          <w:lang w:eastAsia="ko-KR"/>
        </w:rPr>
        <w:t>, para.</w:t>
      </w:r>
      <w:proofErr w:type="gramEnd"/>
      <w:r>
        <w:rPr>
          <w:rFonts w:eastAsia="Malgun Gothic" w:hint="eastAsia"/>
          <w:lang w:eastAsia="ko-KR"/>
        </w:rPr>
        <w:t xml:space="preserve"> 24.</w:t>
      </w:r>
    </w:p>
  </w:footnote>
  <w:footnote w:id="3">
    <w:p w:rsidR="007A71D1" w:rsidRPr="00484E40" w:rsidRDefault="007A71D1" w:rsidP="00731D5F">
      <w:pPr>
        <w:pStyle w:val="FootnoteText"/>
        <w:rPr>
          <w:rFonts w:eastAsia="Malgun Gothic"/>
          <w:highlight w:val="green"/>
          <w:lang w:val="es-ES" w:eastAsia="ko-KR"/>
        </w:rPr>
      </w:pPr>
      <w:r>
        <w:tab/>
      </w:r>
      <w:r w:rsidRPr="00E858CE">
        <w:rPr>
          <w:rStyle w:val="FootnoteReference"/>
        </w:rPr>
        <w:footnoteRef/>
      </w:r>
      <w:r>
        <w:t xml:space="preserve"> </w:t>
      </w:r>
      <w:r>
        <w:tab/>
      </w:r>
      <w:r w:rsidRPr="00B11435">
        <w:t xml:space="preserve">See </w:t>
      </w:r>
      <w:proofErr w:type="spellStart"/>
      <w:r w:rsidRPr="009976D7">
        <w:rPr>
          <w:i/>
        </w:rPr>
        <w:t>Ahmadou</w:t>
      </w:r>
      <w:proofErr w:type="spellEnd"/>
      <w:r w:rsidRPr="009976D7">
        <w:rPr>
          <w:i/>
        </w:rPr>
        <w:t xml:space="preserve"> </w:t>
      </w:r>
      <w:proofErr w:type="spellStart"/>
      <w:r w:rsidRPr="009976D7">
        <w:rPr>
          <w:i/>
        </w:rPr>
        <w:t>Sadio</w:t>
      </w:r>
      <w:proofErr w:type="spellEnd"/>
      <w:r w:rsidRPr="009976D7">
        <w:rPr>
          <w:i/>
        </w:rPr>
        <w:t xml:space="preserve"> Diallo (Republic of Guinea v. Democratic Republic of the Congo), Merits, Judgment, I.C.J. Reports 2010</w:t>
      </w:r>
      <w:r w:rsidRPr="00B11435">
        <w:t xml:space="preserve">, </w:t>
      </w:r>
      <w:r w:rsidRPr="009976D7">
        <w:t xml:space="preserve">p. 639, at </w:t>
      </w:r>
      <w:r>
        <w:t>p</w:t>
      </w:r>
      <w:r w:rsidRPr="00B11435">
        <w:t xml:space="preserve">p. </w:t>
      </w:r>
      <w:r>
        <w:t>660-</w:t>
      </w:r>
      <w:r w:rsidRPr="00B11435">
        <w:t>661, para</w:t>
      </w:r>
      <w:r w:rsidRPr="001C1812">
        <w:t xml:space="preserve">. </w:t>
      </w:r>
      <w:r w:rsidRPr="00484E40">
        <w:rPr>
          <w:lang w:val="es-ES"/>
        </w:rPr>
        <w:t>55; opinion No. 41/2013, para. 27; and opinion No. 59/2016, para. 61.</w:t>
      </w:r>
    </w:p>
  </w:footnote>
  <w:footnote w:id="4">
    <w:p w:rsidR="007A71D1" w:rsidRPr="009976D7" w:rsidRDefault="007A71D1" w:rsidP="00731D5F">
      <w:pPr>
        <w:pStyle w:val="FootnoteText"/>
        <w:rPr>
          <w:rFonts w:eastAsia="Malgun Gothic"/>
          <w:highlight w:val="green"/>
          <w:lang w:eastAsia="ko-KR"/>
        </w:rPr>
      </w:pPr>
      <w:r w:rsidRPr="00484E40">
        <w:rPr>
          <w:lang w:val="es-ES"/>
        </w:rPr>
        <w:tab/>
      </w:r>
      <w:r w:rsidRPr="00E858CE">
        <w:rPr>
          <w:rStyle w:val="FootnoteReference"/>
        </w:rPr>
        <w:footnoteRef/>
      </w:r>
      <w:r w:rsidRPr="007E30EE">
        <w:t xml:space="preserve"> </w:t>
      </w:r>
      <w:r w:rsidRPr="007E30EE">
        <w:tab/>
      </w:r>
      <w:r w:rsidRPr="007E30EE">
        <w:rPr>
          <w:lang w:eastAsia="ko-KR"/>
        </w:rPr>
        <w:t xml:space="preserve">Reference: AL KWT 5/2015. </w:t>
      </w:r>
      <w:proofErr w:type="gramStart"/>
      <w:r w:rsidRPr="00A908EF">
        <w:rPr>
          <w:lang w:eastAsia="ko-KR"/>
        </w:rPr>
        <w:t xml:space="preserve">Available from </w:t>
      </w:r>
      <w:hyperlink r:id="rId1" w:history="1">
        <w:r w:rsidRPr="00A908EF">
          <w:t>https://spdb.ohchr.org/hrdb/31st/public_-_AL_Kuwait_13.08.15_(5.2015).pdf</w:t>
        </w:r>
      </w:hyperlink>
      <w:r w:rsidR="00850DDC">
        <w:rPr>
          <w:rFonts w:eastAsia="Malgun Gothic"/>
          <w:lang w:eastAsia="ko-KR"/>
        </w:rPr>
        <w:t>.</w:t>
      </w:r>
      <w:proofErr w:type="gramEnd"/>
    </w:p>
  </w:footnote>
  <w:footnote w:id="5">
    <w:p w:rsidR="007A71D1" w:rsidRPr="00F7698D" w:rsidRDefault="007A71D1" w:rsidP="00731D5F">
      <w:pPr>
        <w:pStyle w:val="FootnoteText"/>
        <w:rPr>
          <w:rFonts w:eastAsia="Malgun Gothic"/>
          <w:lang w:eastAsia="ko-KR"/>
        </w:rPr>
      </w:pPr>
      <w:r w:rsidRPr="00F16084">
        <w:tab/>
      </w:r>
      <w:r w:rsidRPr="00E858CE">
        <w:rPr>
          <w:rStyle w:val="FootnoteReference"/>
        </w:rPr>
        <w:footnoteRef/>
      </w:r>
      <w:r w:rsidRPr="00F16084">
        <w:t xml:space="preserve"> </w:t>
      </w:r>
      <w:r w:rsidRPr="00F16084">
        <w:tab/>
      </w:r>
      <w:r w:rsidRPr="00F16084">
        <w:rPr>
          <w:rFonts w:eastAsia="Malgun Gothic"/>
          <w:lang w:eastAsia="ko-KR"/>
        </w:rPr>
        <w:t>See also article 32 of the Arab Charter on Human Rights.</w:t>
      </w:r>
    </w:p>
  </w:footnote>
  <w:footnote w:id="6">
    <w:p w:rsidR="007A71D1" w:rsidRPr="009976D7" w:rsidRDefault="007A71D1" w:rsidP="00731D5F">
      <w:pPr>
        <w:pStyle w:val="FootnoteText"/>
        <w:rPr>
          <w:rFonts w:eastAsia="Malgun Gothic"/>
          <w:highlight w:val="green"/>
          <w:lang w:eastAsia="ko-KR"/>
        </w:rPr>
      </w:pPr>
      <w:r>
        <w:tab/>
      </w:r>
      <w:r w:rsidRPr="00E858CE">
        <w:rPr>
          <w:rStyle w:val="FootnoteReference"/>
        </w:rPr>
        <w:footnoteRef/>
      </w:r>
      <w:r w:rsidRPr="007E2F1F">
        <w:tab/>
        <w:t xml:space="preserve">Human Rights Committee, </w:t>
      </w:r>
      <w:r w:rsidRPr="009976D7">
        <w:t xml:space="preserve">communication No. 1629/2007, </w:t>
      </w:r>
      <w:proofErr w:type="spellStart"/>
      <w:r w:rsidRPr="009976D7">
        <w:rPr>
          <w:i/>
        </w:rPr>
        <w:t>Fardon</w:t>
      </w:r>
      <w:proofErr w:type="spellEnd"/>
      <w:r w:rsidRPr="009976D7">
        <w:rPr>
          <w:i/>
        </w:rPr>
        <w:t xml:space="preserve"> v</w:t>
      </w:r>
      <w:r w:rsidR="00CA24DD">
        <w:rPr>
          <w:i/>
        </w:rPr>
        <w:t>.</w:t>
      </w:r>
      <w:r w:rsidRPr="009976D7">
        <w:rPr>
          <w:i/>
        </w:rPr>
        <w:t xml:space="preserve"> Australia</w:t>
      </w:r>
      <w:r w:rsidRPr="007E2F1F">
        <w:t xml:space="preserve">, </w:t>
      </w:r>
      <w:r w:rsidRPr="009976D7">
        <w:t>Views adopted on 18 March 2010</w:t>
      </w:r>
      <w:r w:rsidRPr="007E2F1F">
        <w:t xml:space="preserve">, para. </w:t>
      </w:r>
      <w:proofErr w:type="gramStart"/>
      <w:r w:rsidRPr="007E2F1F">
        <w:t>7.4</w:t>
      </w:r>
      <w:r w:rsidR="00E858CE">
        <w:t xml:space="preserve"> </w:t>
      </w:r>
      <w:r w:rsidRPr="007E2F1F">
        <w:t>(2)</w:t>
      </w:r>
      <w:r w:rsidRPr="007E2F1F">
        <w:rPr>
          <w:rFonts w:eastAsia="Malgun Gothic"/>
          <w:lang w:eastAsia="ko-KR"/>
        </w:rPr>
        <w:t>.</w:t>
      </w:r>
      <w:proofErr w:type="gramEnd"/>
    </w:p>
  </w:footnote>
  <w:footnote w:id="7">
    <w:p w:rsidR="007A71D1" w:rsidRPr="00903EB6" w:rsidRDefault="007A71D1" w:rsidP="00731D5F">
      <w:pPr>
        <w:pStyle w:val="FootnoteText"/>
        <w:rPr>
          <w:rFonts w:eastAsia="Malgun Gothic"/>
          <w:lang w:eastAsia="ko-KR"/>
        </w:rPr>
      </w:pPr>
      <w:r w:rsidRPr="004135F2">
        <w:tab/>
      </w:r>
      <w:r w:rsidRPr="00E858CE">
        <w:rPr>
          <w:rStyle w:val="FootnoteReference"/>
        </w:rPr>
        <w:footnoteRef/>
      </w:r>
      <w:r w:rsidRPr="004135F2">
        <w:tab/>
      </w:r>
      <w:proofErr w:type="gramStart"/>
      <w:r w:rsidRPr="004135F2">
        <w:t>Report of the Special Rapporteur on the promotion and protection of human rights and fundamental freedoms while countering terrorism</w:t>
      </w:r>
      <w:r w:rsidRPr="009976D7">
        <w:rPr>
          <w:rFonts w:eastAsia="Malgun Gothic"/>
          <w:lang w:eastAsia="ko-KR"/>
        </w:rPr>
        <w:t xml:space="preserve"> (</w:t>
      </w:r>
      <w:r w:rsidRPr="004135F2">
        <w:t>E/CN.4/2006/98</w:t>
      </w:r>
      <w:r w:rsidRPr="009976D7">
        <w:t>)</w:t>
      </w:r>
      <w:r w:rsidRPr="004135F2">
        <w:rPr>
          <w:rFonts w:eastAsia="Malgun Gothic"/>
          <w:lang w:eastAsia="ko-KR"/>
        </w:rPr>
        <w:t>, para.</w:t>
      </w:r>
      <w:proofErr w:type="gramEnd"/>
      <w:r w:rsidRPr="004135F2">
        <w:rPr>
          <w:rFonts w:eastAsia="Malgun Gothic"/>
          <w:lang w:eastAsia="ko-KR"/>
        </w:rPr>
        <w:t xml:space="preserve"> 46.</w:t>
      </w:r>
    </w:p>
  </w:footnote>
  <w:footnote w:id="8">
    <w:p w:rsidR="007A71D1" w:rsidRPr="00DE37AF" w:rsidRDefault="007A71D1" w:rsidP="00731D5F">
      <w:pPr>
        <w:pStyle w:val="FootnoteText"/>
      </w:pPr>
      <w:r>
        <w:tab/>
      </w:r>
      <w:r w:rsidRPr="00E858CE">
        <w:rPr>
          <w:rStyle w:val="FootnoteReference"/>
        </w:rPr>
        <w:footnoteRef/>
      </w:r>
      <w:r>
        <w:tab/>
        <w:t xml:space="preserve">See </w:t>
      </w:r>
      <w:r w:rsidRPr="00DE37AF">
        <w:t xml:space="preserve">Human Rights Council </w:t>
      </w:r>
      <w:r>
        <w:rPr>
          <w:rFonts w:ascii="TimesNewRoman" w:eastAsia="Calibri" w:hAnsi="TimesNewRoman" w:cs="TimesNewRoman"/>
        </w:rPr>
        <w:t>r</w:t>
      </w:r>
      <w:r w:rsidRPr="009F20E8">
        <w:rPr>
          <w:rFonts w:ascii="TimesNewRoman" w:eastAsia="Calibri" w:hAnsi="TimesNewRoman" w:cs="TimesNewRoman"/>
        </w:rPr>
        <w:t>esolution</w:t>
      </w:r>
      <w:r w:rsidRPr="00DE37AF">
        <w:t xml:space="preserve"> 24/7, </w:t>
      </w:r>
      <w:r>
        <w:t>paras.</w:t>
      </w:r>
      <w:r w:rsidRPr="00DE37AF">
        <w:t xml:space="preserve"> </w:t>
      </w:r>
      <w:proofErr w:type="gramStart"/>
      <w:r w:rsidRPr="00DE37AF">
        <w:t>3</w:t>
      </w:r>
      <w:r>
        <w:t xml:space="preserve"> and 7</w:t>
      </w:r>
      <w:r w:rsidRPr="00DE37AF">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AC" w:rsidRPr="00655DAC" w:rsidRDefault="00655DAC" w:rsidP="00655DAC">
    <w:pPr>
      <w:pStyle w:val="Header"/>
    </w:pPr>
    <w:r w:rsidRPr="00655DAC">
      <w:t>A/HRC/WGAD/2017/20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AC" w:rsidRPr="00655DAC" w:rsidRDefault="00655DAC" w:rsidP="00655DAC">
    <w:pPr>
      <w:pStyle w:val="Header"/>
      <w:jc w:val="right"/>
    </w:pPr>
    <w:r w:rsidRPr="00655DAC">
      <w:t>A/HRC/WGAD/2017/20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107E"/>
    <w:rsid w:val="00046E92"/>
    <w:rsid w:val="00063C90"/>
    <w:rsid w:val="00072607"/>
    <w:rsid w:val="00101B98"/>
    <w:rsid w:val="00195B58"/>
    <w:rsid w:val="00247E2C"/>
    <w:rsid w:val="002A32CB"/>
    <w:rsid w:val="002D6C53"/>
    <w:rsid w:val="002F5595"/>
    <w:rsid w:val="00334F6A"/>
    <w:rsid w:val="00342AC8"/>
    <w:rsid w:val="003B4550"/>
    <w:rsid w:val="0040017C"/>
    <w:rsid w:val="00461253"/>
    <w:rsid w:val="00484E40"/>
    <w:rsid w:val="004A2814"/>
    <w:rsid w:val="004C0622"/>
    <w:rsid w:val="004D10F9"/>
    <w:rsid w:val="005042C2"/>
    <w:rsid w:val="005E716E"/>
    <w:rsid w:val="00655DAC"/>
    <w:rsid w:val="00671529"/>
    <w:rsid w:val="0070489D"/>
    <w:rsid w:val="007268F9"/>
    <w:rsid w:val="00731D5F"/>
    <w:rsid w:val="007A71D1"/>
    <w:rsid w:val="007C52B0"/>
    <w:rsid w:val="007E30EE"/>
    <w:rsid w:val="00850DDC"/>
    <w:rsid w:val="008A67F0"/>
    <w:rsid w:val="0093107E"/>
    <w:rsid w:val="009411B4"/>
    <w:rsid w:val="009D0139"/>
    <w:rsid w:val="009D102D"/>
    <w:rsid w:val="009D717D"/>
    <w:rsid w:val="009F5CDC"/>
    <w:rsid w:val="00A775CF"/>
    <w:rsid w:val="00B06045"/>
    <w:rsid w:val="00B52EF4"/>
    <w:rsid w:val="00BE0426"/>
    <w:rsid w:val="00BE68AD"/>
    <w:rsid w:val="00C03015"/>
    <w:rsid w:val="00C0358D"/>
    <w:rsid w:val="00C35A27"/>
    <w:rsid w:val="00C47B2E"/>
    <w:rsid w:val="00CA1B04"/>
    <w:rsid w:val="00CA24DD"/>
    <w:rsid w:val="00DA7192"/>
    <w:rsid w:val="00E02C2B"/>
    <w:rsid w:val="00E14847"/>
    <w:rsid w:val="00E52109"/>
    <w:rsid w:val="00E75317"/>
    <w:rsid w:val="00E858CE"/>
    <w:rsid w:val="00ED6C48"/>
    <w:rsid w:val="00EE2171"/>
    <w:rsid w:val="00F45A85"/>
    <w:rsid w:val="00F65F5D"/>
    <w:rsid w:val="00F86A3A"/>
    <w:rsid w:val="00F8737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ppel note de bas de page Char Char Char Char Char Cha"/>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A71D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ppel note de bas de page Char Char Char Char Char Cha"/>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A71D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db.ohchr.org/hrdb/31st/public_-_AL_Kuwait_13.08.15_(5.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E42B5B-A76F-4FEA-9318-E93ED8B58E26}"/>
</file>

<file path=customXml/itemProps2.xml><?xml version="1.0" encoding="utf-8"?>
<ds:datastoreItem xmlns:ds="http://schemas.openxmlformats.org/officeDocument/2006/customXml" ds:itemID="{8801DDB9-01BA-4E9A-9DA7-13038FA92BA0}"/>
</file>

<file path=customXml/itemProps3.xml><?xml version="1.0" encoding="utf-8"?>
<ds:datastoreItem xmlns:ds="http://schemas.openxmlformats.org/officeDocument/2006/customXml" ds:itemID="{1270FF42-D066-4462-A61B-F3268023AEA0}"/>
</file>

<file path=customXml/itemProps4.xml><?xml version="1.0" encoding="utf-8"?>
<ds:datastoreItem xmlns:ds="http://schemas.openxmlformats.org/officeDocument/2006/customXml" ds:itemID="{ADACF293-FF27-4B43-A0E0-75FC37BBEBC9}"/>
</file>

<file path=docProps/app.xml><?xml version="1.0" encoding="utf-8"?>
<Properties xmlns="http://schemas.openxmlformats.org/officeDocument/2006/extended-properties" xmlns:vt="http://schemas.openxmlformats.org/officeDocument/2006/docPropsVTypes">
  <Template>Normal.dotm</Template>
  <TotalTime>0</TotalTime>
  <Pages>9</Pages>
  <Words>5046</Words>
  <Characters>28766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1710827</vt:lpstr>
    </vt:vector>
  </TitlesOfParts>
  <Company>DCM</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A/HRC/WGAD/2017/20</dc:subject>
  <dc:creator>Anni Vi TIROL</dc:creator>
  <cp:lastModifiedBy>Helle Iversen</cp:lastModifiedBy>
  <cp:revision>2</cp:revision>
  <cp:lastPrinted>2017-07-17T15:39:00Z</cp:lastPrinted>
  <dcterms:created xsi:type="dcterms:W3CDTF">2017-07-18T09:37:00Z</dcterms:created>
  <dcterms:modified xsi:type="dcterms:W3CDTF">2017-07-18T09:37:00Z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